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58CDE1E" w14:textId="77777777" w:rsidR="003263BD" w:rsidRPr="004946F6" w:rsidRDefault="00876985" w:rsidP="00BC403A">
      <w:pPr>
        <w:tabs>
          <w:tab w:val="left" w:pos="5670"/>
        </w:tabs>
        <w:spacing w:line="480" w:lineRule="auto"/>
        <w:jc w:val="center"/>
        <w:rPr>
          <w:b/>
          <w:bCs/>
        </w:rPr>
      </w:pPr>
      <w:r w:rsidRPr="004946F6">
        <w:rPr>
          <w:b/>
          <w:bCs/>
        </w:rPr>
        <w:t xml:space="preserve">A retrieved context model </w:t>
      </w:r>
      <w:r w:rsidR="003F0AB2" w:rsidRPr="004946F6">
        <w:rPr>
          <w:b/>
          <w:bCs/>
        </w:rPr>
        <w:t xml:space="preserve">of </w:t>
      </w:r>
      <w:r w:rsidR="00BF3ABD" w:rsidRPr="004946F6">
        <w:rPr>
          <w:b/>
          <w:bCs/>
        </w:rPr>
        <w:t xml:space="preserve">the </w:t>
      </w:r>
      <w:r w:rsidR="003F0AB2" w:rsidRPr="004946F6">
        <w:rPr>
          <w:b/>
          <w:bCs/>
        </w:rPr>
        <w:t>emotion</w:t>
      </w:r>
      <w:r w:rsidR="00760908" w:rsidRPr="004946F6">
        <w:rPr>
          <w:b/>
          <w:bCs/>
        </w:rPr>
        <w:t xml:space="preserve">al </w:t>
      </w:r>
      <w:r w:rsidR="00CC0031" w:rsidRPr="004946F6">
        <w:rPr>
          <w:b/>
          <w:bCs/>
        </w:rPr>
        <w:t>modulation of</w:t>
      </w:r>
      <w:r w:rsidR="00BF3ABD" w:rsidRPr="004946F6">
        <w:rPr>
          <w:b/>
          <w:bCs/>
        </w:rPr>
        <w:t xml:space="preserve"> </w:t>
      </w:r>
      <w:r w:rsidR="00760908" w:rsidRPr="004946F6">
        <w:rPr>
          <w:b/>
          <w:bCs/>
        </w:rPr>
        <w:t>memory</w:t>
      </w:r>
    </w:p>
    <w:p w14:paraId="7831EBC7" w14:textId="77777777" w:rsidR="00021319" w:rsidRPr="004946F6" w:rsidRDefault="00021319" w:rsidP="0058064A">
      <w:pPr>
        <w:spacing w:line="480" w:lineRule="auto"/>
        <w:jc w:val="both"/>
        <w:rPr>
          <w:b/>
          <w:bCs/>
        </w:rPr>
      </w:pPr>
    </w:p>
    <w:p w14:paraId="2E2F2B0E" w14:textId="77777777" w:rsidR="00544318" w:rsidRPr="004946F6" w:rsidRDefault="00544318" w:rsidP="0058064A">
      <w:pPr>
        <w:spacing w:line="480" w:lineRule="auto"/>
        <w:jc w:val="center"/>
        <w:rPr>
          <w:b/>
          <w:bCs/>
        </w:rPr>
      </w:pPr>
      <w:r w:rsidRPr="004946F6">
        <w:rPr>
          <w:b/>
          <w:bCs/>
        </w:rPr>
        <w:t>Deborah Talmi</w:t>
      </w:r>
      <w:r w:rsidRPr="004946F6">
        <w:rPr>
          <w:b/>
          <w:bCs/>
          <w:vertAlign w:val="superscript"/>
        </w:rPr>
        <w:t>ab</w:t>
      </w:r>
      <w:r w:rsidR="000762CC" w:rsidRPr="004946F6">
        <w:rPr>
          <w:b/>
          <w:bCs/>
        </w:rPr>
        <w:t xml:space="preserve">, Lynn </w:t>
      </w:r>
      <w:r w:rsidR="00D93594" w:rsidRPr="004946F6">
        <w:rPr>
          <w:b/>
          <w:bCs/>
        </w:rPr>
        <w:t xml:space="preserve">J. </w:t>
      </w:r>
      <w:r w:rsidR="000762CC" w:rsidRPr="004946F6">
        <w:rPr>
          <w:b/>
          <w:bCs/>
        </w:rPr>
        <w:t>Lohnas</w:t>
      </w:r>
      <w:r w:rsidR="000762CC" w:rsidRPr="004946F6">
        <w:rPr>
          <w:b/>
          <w:bCs/>
          <w:vertAlign w:val="superscript"/>
        </w:rPr>
        <w:t>c</w:t>
      </w:r>
      <w:r w:rsidR="000762CC" w:rsidRPr="004946F6">
        <w:rPr>
          <w:b/>
          <w:bCs/>
        </w:rPr>
        <w:t xml:space="preserve">, Nathaniel </w:t>
      </w:r>
      <w:r w:rsidR="002D3E8C" w:rsidRPr="004946F6">
        <w:rPr>
          <w:b/>
          <w:bCs/>
        </w:rPr>
        <w:t xml:space="preserve">D. </w:t>
      </w:r>
      <w:r w:rsidR="000762CC" w:rsidRPr="004946F6">
        <w:rPr>
          <w:b/>
          <w:bCs/>
        </w:rPr>
        <w:t>Daw</w:t>
      </w:r>
      <w:r w:rsidR="000762CC" w:rsidRPr="004946F6">
        <w:rPr>
          <w:b/>
          <w:bCs/>
          <w:vertAlign w:val="superscript"/>
        </w:rPr>
        <w:t>b</w:t>
      </w:r>
    </w:p>
    <w:p w14:paraId="62937201" w14:textId="77777777" w:rsidR="00094075" w:rsidRPr="004946F6" w:rsidRDefault="00094075" w:rsidP="0058064A">
      <w:pPr>
        <w:spacing w:line="480" w:lineRule="auto"/>
        <w:jc w:val="both"/>
        <w:rPr>
          <w:b/>
          <w:bCs/>
          <w:vertAlign w:val="superscript"/>
        </w:rPr>
      </w:pPr>
    </w:p>
    <w:p w14:paraId="4D8979DD" w14:textId="77777777" w:rsidR="00544318" w:rsidRPr="004946F6" w:rsidRDefault="00544318" w:rsidP="0058064A">
      <w:pPr>
        <w:spacing w:line="480" w:lineRule="auto"/>
        <w:jc w:val="both"/>
        <w:rPr>
          <w:bCs/>
        </w:rPr>
      </w:pPr>
      <w:r w:rsidRPr="004946F6">
        <w:rPr>
          <w:bCs/>
          <w:vertAlign w:val="superscript"/>
        </w:rPr>
        <w:t>a</w:t>
      </w:r>
      <w:r w:rsidR="000762CC" w:rsidRPr="004946F6">
        <w:rPr>
          <w:bCs/>
        </w:rPr>
        <w:t>Division of Neuroscience and experimental psychology, U</w:t>
      </w:r>
      <w:r w:rsidRPr="004946F6">
        <w:rPr>
          <w:bCs/>
        </w:rPr>
        <w:t>niversity of Manchester</w:t>
      </w:r>
    </w:p>
    <w:p w14:paraId="0925C09F" w14:textId="77777777" w:rsidR="002A27EE" w:rsidRPr="004946F6" w:rsidRDefault="00544318" w:rsidP="002A27EE">
      <w:pPr>
        <w:spacing w:line="480" w:lineRule="auto"/>
        <w:jc w:val="both"/>
        <w:rPr>
          <w:bCs/>
        </w:rPr>
      </w:pPr>
      <w:r w:rsidRPr="004946F6">
        <w:rPr>
          <w:bCs/>
          <w:vertAlign w:val="superscript"/>
        </w:rPr>
        <w:t>b</w:t>
      </w:r>
      <w:r w:rsidRPr="004946F6">
        <w:rPr>
          <w:bCs/>
        </w:rPr>
        <w:t>Princeton Neuroscience Institute</w:t>
      </w:r>
      <w:r w:rsidR="002A27EE" w:rsidRPr="004946F6">
        <w:rPr>
          <w:bCs/>
        </w:rPr>
        <w:t xml:space="preserve"> and Department of Psychology, Princeton University</w:t>
      </w:r>
    </w:p>
    <w:p w14:paraId="7269C6D9" w14:textId="77777777" w:rsidR="000762CC" w:rsidRPr="004946F6" w:rsidRDefault="000762CC" w:rsidP="0058064A">
      <w:pPr>
        <w:spacing w:line="480" w:lineRule="auto"/>
        <w:jc w:val="both"/>
        <w:rPr>
          <w:bCs/>
        </w:rPr>
      </w:pPr>
      <w:r w:rsidRPr="004946F6">
        <w:rPr>
          <w:bCs/>
          <w:vertAlign w:val="superscript"/>
        </w:rPr>
        <w:t>c</w:t>
      </w:r>
      <w:r w:rsidR="00066412" w:rsidRPr="004946F6">
        <w:rPr>
          <w:bCs/>
        </w:rPr>
        <w:t>Department of Psychology, N</w:t>
      </w:r>
      <w:r w:rsidRPr="004946F6">
        <w:rPr>
          <w:bCs/>
        </w:rPr>
        <w:t>ew York University</w:t>
      </w:r>
    </w:p>
    <w:p w14:paraId="5EFE68FE" w14:textId="77777777" w:rsidR="00E5323F" w:rsidRPr="004946F6" w:rsidRDefault="00E5323F" w:rsidP="0058064A">
      <w:pPr>
        <w:spacing w:line="480" w:lineRule="auto"/>
        <w:jc w:val="both"/>
        <w:rPr>
          <w:b/>
          <w:bCs/>
        </w:rPr>
      </w:pPr>
    </w:p>
    <w:p w14:paraId="610EC358" w14:textId="77777777" w:rsidR="006770A4" w:rsidRPr="004946F6" w:rsidRDefault="006770A4" w:rsidP="00C44DF9">
      <w:pPr>
        <w:spacing w:line="480" w:lineRule="auto"/>
        <w:jc w:val="both"/>
        <w:rPr>
          <w:b/>
          <w:bCs/>
        </w:rPr>
      </w:pPr>
    </w:p>
    <w:p w14:paraId="0E68F677" w14:textId="77777777" w:rsidR="006770A4" w:rsidRPr="004946F6" w:rsidRDefault="006770A4">
      <w:pPr>
        <w:spacing w:line="480" w:lineRule="auto"/>
        <w:jc w:val="both"/>
        <w:rPr>
          <w:b/>
          <w:bCs/>
        </w:rPr>
      </w:pPr>
    </w:p>
    <w:p w14:paraId="6BC3F17E" w14:textId="77777777" w:rsidR="006770A4" w:rsidRPr="004946F6" w:rsidRDefault="006770A4">
      <w:pPr>
        <w:spacing w:line="480" w:lineRule="auto"/>
        <w:jc w:val="both"/>
        <w:rPr>
          <w:b/>
          <w:bCs/>
        </w:rPr>
      </w:pPr>
    </w:p>
    <w:p w14:paraId="57146CCD" w14:textId="77777777" w:rsidR="006770A4" w:rsidRPr="004946F6" w:rsidRDefault="006770A4">
      <w:pPr>
        <w:spacing w:line="480" w:lineRule="auto"/>
        <w:jc w:val="both"/>
        <w:rPr>
          <w:b/>
          <w:bCs/>
        </w:rPr>
      </w:pPr>
    </w:p>
    <w:p w14:paraId="459EE264" w14:textId="77777777" w:rsidR="00E5323F" w:rsidRPr="004946F6" w:rsidRDefault="003248C6">
      <w:pPr>
        <w:spacing w:line="480" w:lineRule="auto"/>
        <w:jc w:val="both"/>
        <w:rPr>
          <w:b/>
          <w:bCs/>
        </w:rPr>
      </w:pPr>
      <w:r w:rsidRPr="004946F6">
        <w:rPr>
          <w:b/>
          <w:bCs/>
        </w:rPr>
        <w:t>Address for correspondence</w:t>
      </w:r>
    </w:p>
    <w:p w14:paraId="7B600212" w14:textId="77777777" w:rsidR="009603FB" w:rsidRPr="004946F6" w:rsidRDefault="003248C6">
      <w:pPr>
        <w:spacing w:line="480" w:lineRule="auto"/>
        <w:jc w:val="both"/>
        <w:rPr>
          <w:bCs/>
        </w:rPr>
      </w:pPr>
      <w:r w:rsidRPr="004946F6">
        <w:rPr>
          <w:bCs/>
        </w:rPr>
        <w:t>Deborah Talmi, Division of neuroscience and experimental psychology, School of Biological Sciences, University of Manchester, Manchester, UK, M139PL.</w:t>
      </w:r>
      <w:r w:rsidR="009603FB" w:rsidRPr="004946F6">
        <w:rPr>
          <w:bCs/>
        </w:rPr>
        <w:t xml:space="preserve"> </w:t>
      </w:r>
    </w:p>
    <w:p w14:paraId="2D3C7463" w14:textId="77777777" w:rsidR="003248C6" w:rsidRPr="004946F6" w:rsidRDefault="009603FB">
      <w:pPr>
        <w:spacing w:line="480" w:lineRule="auto"/>
        <w:jc w:val="both"/>
        <w:rPr>
          <w:bCs/>
        </w:rPr>
      </w:pPr>
      <w:r w:rsidRPr="004946F6">
        <w:rPr>
          <w:bCs/>
        </w:rPr>
        <w:t xml:space="preserve">Telephone: 0161 </w:t>
      </w:r>
      <w:bookmarkStart w:id="0" w:name="_GoBack"/>
      <w:bookmarkEnd w:id="0"/>
      <w:r w:rsidRPr="004946F6">
        <w:rPr>
          <w:bCs/>
        </w:rPr>
        <w:t>275 1968</w:t>
      </w:r>
    </w:p>
    <w:p w14:paraId="0349B995" w14:textId="77777777" w:rsidR="009603FB" w:rsidRPr="004946F6" w:rsidRDefault="009603FB">
      <w:pPr>
        <w:spacing w:line="480" w:lineRule="auto"/>
        <w:jc w:val="both"/>
        <w:rPr>
          <w:bCs/>
        </w:rPr>
      </w:pPr>
      <w:r w:rsidRPr="004946F6">
        <w:rPr>
          <w:bCs/>
        </w:rPr>
        <w:t>Email: Deborah.Talmi@manchester.ac.uk</w:t>
      </w:r>
    </w:p>
    <w:p w14:paraId="3E6144C6" w14:textId="77777777" w:rsidR="00544318" w:rsidRPr="004946F6" w:rsidRDefault="00544318">
      <w:pPr>
        <w:spacing w:line="480" w:lineRule="auto"/>
        <w:jc w:val="both"/>
        <w:rPr>
          <w:b/>
          <w:bCs/>
        </w:rPr>
      </w:pPr>
      <w:r w:rsidRPr="004946F6">
        <w:rPr>
          <w:b/>
          <w:bCs/>
        </w:rPr>
        <w:br w:type="page"/>
      </w:r>
    </w:p>
    <w:p w14:paraId="349829E3" w14:textId="77777777" w:rsidR="00CD3F7B" w:rsidRPr="004946F6" w:rsidRDefault="00CD3F7B" w:rsidP="00BC403A">
      <w:pPr>
        <w:spacing w:line="480" w:lineRule="auto"/>
        <w:jc w:val="center"/>
        <w:rPr>
          <w:b/>
          <w:bCs/>
        </w:rPr>
      </w:pPr>
      <w:r w:rsidRPr="004946F6">
        <w:rPr>
          <w:b/>
          <w:bCs/>
        </w:rPr>
        <w:lastRenderedPageBreak/>
        <w:t>Abstract</w:t>
      </w:r>
    </w:p>
    <w:p w14:paraId="4C8BBEA8" w14:textId="77777777" w:rsidR="00A3298E" w:rsidRPr="004946F6" w:rsidRDefault="00A3298E" w:rsidP="00B4577B">
      <w:pPr>
        <w:spacing w:line="480" w:lineRule="auto"/>
      </w:pPr>
      <w:r w:rsidRPr="004946F6">
        <w:t>Emotion enhances episodic memory, an effect thought to be an adaptation to prioriti</w:t>
      </w:r>
      <w:r w:rsidR="000F5721" w:rsidRPr="004946F6">
        <w:t>s</w:t>
      </w:r>
      <w:r w:rsidRPr="004946F6">
        <w:t>e the memories that best serve evolutionary fitness. But viewing this effect largely in terms of prioriti</w:t>
      </w:r>
      <w:r w:rsidR="000F5721" w:rsidRPr="004946F6">
        <w:t>s</w:t>
      </w:r>
      <w:r w:rsidRPr="004946F6">
        <w:t xml:space="preserve">ing what to encode or consolidate neglects broader rational considerations about what sorts of associations should be formed at encoding, and which should be retrieved later. Although neurobiological investigations have provided many mechanistic clues about how emotional arousal modulates item memory, these effects have not been wholly integrated with the cognitive and computational neuroscience of memory more generally. </w:t>
      </w:r>
    </w:p>
    <w:p w14:paraId="281E2107" w14:textId="62EF88CA" w:rsidR="00A3298E" w:rsidRPr="004946F6" w:rsidRDefault="00A3298E" w:rsidP="002A27EE">
      <w:pPr>
        <w:spacing w:line="480" w:lineRule="auto"/>
      </w:pPr>
      <w:r w:rsidRPr="004946F6">
        <w:t>Here we apply the Context Maintenance and Retrieval Model (CMR, Polyn, Norman &amp; Kahana, 2009) to this problem by extending it to describe the way people may represent and process emotional information. A number of ways to operationalise the effect of emotion were tested. The winning emotional CMR (eCMR) model reconceptualises emotional memory effects as arising from the modulation of a process by which memories become bound to ever-changing temporal and emotional contexts. eCMR provides a good qualitative fit for the emotional list</w:t>
      </w:r>
      <w:r w:rsidR="00A0115B" w:rsidRPr="004946F6">
        <w:t>-</w:t>
      </w:r>
      <w:r w:rsidRPr="004946F6">
        <w:t>composition effect and the emotional oddball effect, illuminating how these effects are jointly determined by the interplay of encoding and retrieval processes</w:t>
      </w:r>
      <w:r w:rsidR="00B51401" w:rsidRPr="004946F6">
        <w:t xml:space="preserve">. eCMR </w:t>
      </w:r>
      <w:r w:rsidR="00A0115B" w:rsidRPr="004946F6">
        <w:t xml:space="preserve">explains the </w:t>
      </w:r>
      <w:r w:rsidR="00B51401" w:rsidRPr="004946F6">
        <w:t xml:space="preserve">increased advantage of emotional memories </w:t>
      </w:r>
      <w:r w:rsidR="00A0115B" w:rsidRPr="004946F6">
        <w:t>in delayed memory tests through the limited ability of retrieval to re</w:t>
      </w:r>
      <w:r w:rsidR="002A27EE" w:rsidRPr="004946F6">
        <w:t>instate</w:t>
      </w:r>
      <w:r w:rsidR="00A0115B" w:rsidRPr="004946F6">
        <w:t xml:space="preserve"> the </w:t>
      </w:r>
      <w:r w:rsidR="00B51401" w:rsidRPr="004946F6">
        <w:t>temporal context</w:t>
      </w:r>
      <w:r w:rsidR="00A0115B" w:rsidRPr="004946F6">
        <w:t xml:space="preserve"> of encoding</w:t>
      </w:r>
      <w:r w:rsidRPr="004946F6">
        <w:t xml:space="preserve">. </w:t>
      </w:r>
    </w:p>
    <w:p w14:paraId="26E5D5E6" w14:textId="77777777" w:rsidR="00A3298E" w:rsidRPr="004946F6" w:rsidRDefault="00A3298E" w:rsidP="00B4577B">
      <w:pPr>
        <w:spacing w:line="480" w:lineRule="auto"/>
      </w:pPr>
      <w:r w:rsidRPr="004946F6">
        <w:t xml:space="preserve">By leveraging the rich tradition of temporal context models, eCMR helps integrate existing effects of emotion and provides a powerful tool to test mechanisms by which emotion affects memory in a broad range of paradigms. </w:t>
      </w:r>
    </w:p>
    <w:p w14:paraId="5A4B8F8D" w14:textId="77777777" w:rsidR="00F30D24" w:rsidRPr="004946F6" w:rsidRDefault="00F30D24">
      <w:pPr>
        <w:spacing w:line="480" w:lineRule="auto"/>
        <w:rPr>
          <w:b/>
          <w:bCs/>
        </w:rPr>
      </w:pPr>
    </w:p>
    <w:p w14:paraId="1FCEFA81" w14:textId="77777777" w:rsidR="00CD3F7B" w:rsidRPr="004946F6" w:rsidRDefault="006770A4" w:rsidP="0024232E">
      <w:pPr>
        <w:spacing w:line="480" w:lineRule="auto"/>
      </w:pPr>
      <w:r w:rsidRPr="004946F6">
        <w:rPr>
          <w:b/>
          <w:bCs/>
        </w:rPr>
        <w:t xml:space="preserve">Key words: </w:t>
      </w:r>
      <w:r w:rsidRPr="004946F6">
        <w:t xml:space="preserve">Memory, Emotion, Arousal, Retrieved context models, Free recall. </w:t>
      </w:r>
    </w:p>
    <w:p w14:paraId="626CD804" w14:textId="77777777" w:rsidR="00B55BF2" w:rsidRPr="004946F6" w:rsidRDefault="003A0A3B">
      <w:pPr>
        <w:rPr>
          <w:b/>
          <w:bCs/>
        </w:rPr>
      </w:pPr>
      <w:r w:rsidRPr="004946F6" w:rsidDel="003A0A3B">
        <w:rPr>
          <w:b/>
          <w:bCs/>
        </w:rPr>
        <w:t xml:space="preserve"> </w:t>
      </w:r>
      <w:bookmarkStart w:id="1" w:name="Introduction"/>
      <w:r w:rsidR="00B55BF2" w:rsidRPr="004946F6">
        <w:rPr>
          <w:b/>
          <w:bCs/>
        </w:rPr>
        <w:br w:type="page"/>
      </w:r>
    </w:p>
    <w:p w14:paraId="04A7F14A" w14:textId="77777777" w:rsidR="00AE509C" w:rsidRPr="004946F6" w:rsidRDefault="00F05CE5" w:rsidP="0024232E">
      <w:pPr>
        <w:spacing w:line="480" w:lineRule="auto"/>
        <w:jc w:val="center"/>
        <w:rPr>
          <w:b/>
          <w:bCs/>
        </w:rPr>
      </w:pPr>
      <w:r w:rsidRPr="004946F6">
        <w:rPr>
          <w:b/>
          <w:bCs/>
        </w:rPr>
        <w:lastRenderedPageBreak/>
        <w:t xml:space="preserve">1. </w:t>
      </w:r>
      <w:r w:rsidR="00AE509C" w:rsidRPr="004946F6">
        <w:rPr>
          <w:b/>
          <w:bCs/>
        </w:rPr>
        <w:t>Introduction</w:t>
      </w:r>
    </w:p>
    <w:bookmarkEnd w:id="1"/>
    <w:p w14:paraId="39E06393" w14:textId="52FA71FA" w:rsidR="00380720" w:rsidRPr="004946F6" w:rsidRDefault="00380720" w:rsidP="00E004AB">
      <w:pPr>
        <w:spacing w:line="480" w:lineRule="auto"/>
        <w:jc w:val="both"/>
      </w:pPr>
      <w:r w:rsidRPr="004946F6">
        <w:t xml:space="preserve">There is tremendous interest in the effect of emotional arousal on episodic memory. The literature generally agrees that moderate emotional arousal enhances </w:t>
      </w:r>
      <w:r w:rsidR="009406C9" w:rsidRPr="004946F6">
        <w:t xml:space="preserve">item </w:t>
      </w:r>
      <w:r w:rsidRPr="004946F6">
        <w:t xml:space="preserve">memory </w:t>
      </w:r>
      <w:r w:rsidRPr="004946F6">
        <w:fldChar w:fldCharType="begin" w:fldLock="1"/>
      </w:r>
      <w:r w:rsidR="008C25E5" w:rsidRPr="004946F6">
        <w:instrText>ADDIN CSL_CITATION { "citationItems" : [ { "id" : "ITEM-1", "itemData" : { "DOI" : "10.1016/S0166-2236(97)01214-9", "ISBN" : "0166-2236", "ISSN" : "01662236", "PMID" : "9683321", "abstract" : "Neuroscience is witnessing growing interest in understanding brain mechanisms of memory formation for emotionally arousing events, a development closely related to renewed interest in the concept of memory consolidation. Extensive research in animals implicates stress hormones and the amygdaloid complex as key, interacting modulators of memory consolidation for emotional events. Considerable evidence suggests that the amygdala is not a site of long-term explicit or declarative memory storage, but serves to influence memory-storage processes in other brain regions, such as the hippocampus, striatum and neocortex. Human-subject studies confirm the prediction of animal work that the amygdala is involved with the formation of enhanced declarative memory for emotionally arousing events.", "author" : [ { "dropping-particle" : "", "family" : "Cahill", "given" : "Larry", "non-dropping-particle" : "", "parse-names" : false, "suffix" : "" }, { "dropping-particle" : "", "family" : "McGaugh", "given" : "James L.", "non-dropping-particle" : "", "parse-names" : false, "suffix" : "" } ], "container-title" : "Trends in Neurosciences", "id" : "ITEM-1", "issue" : "7", "issued" : { "date-parts" : [ [ "1998" ] ] }, "page" : "294-299", "title" : "Mechanisms of emotional arousal and lasting declarative memory", "type" : "article", "volume" : "21" }, "uris" : [ "http://www.mendeley.com/documents/?uuid=76bd1b1a-6d3b-4e83-be24-3894eb26b471" ] }, { "id" : "ITEM-2", "itemData" : { "DOI" : "10.1016/j.tics.2015.02.009", "ISBN" : "1879-307X (Electronic)\\r1364-6613 (Linking)", "ISSN" : "1879307X", "PMID" : "25836045", "abstract" : "Emotional events are remembered better than neutral events, and this emotion advantage becomes particularly pronounced over time. The time-dependent effects of emotion impact upon recollection rather than on familiarity-based recognition, and they influence the recollection of item-specific details rather than contextual details. Moreover, the amygdala, but not the hippocampus, is crucial for producing these effects. Time-dependent effects of emotion have been attributed to an emotional consolidation process whereby the amygdala gradually facilitates the storage of emotional memories by other medial temporal lobe regions. However, we propose that these effects can be better understood by an emotional binding account whereby the amygdala mediates the recollection of item-emotion bindings that are forgotten more slowly than item-context bindings supported by the hippocampus.", "author" : [ { "dropping-particle" : "", "family" : "Yonelinas", "given" : "Andrew P.", "non-dropping-particle" : "", "parse-names" : false, "suffix" : "" }, { "dropping-particle" : "", "family" : "Ritchey", "given" : "Maureen", "non-dropping-particle" : "", "parse-names" : false, "suffix" : "" } ], "container-title" : "Trends in Cognitive Sciences", "id" : "ITEM-2", "issue" : "5", "issued" : { "date-parts" : [ [ "2015" ] ] }, "page" : "259-267", "publisher" : "Elsevier Ltd", "title" : "The slow forgetting of emotional episodic memories: An emotional binding account", "type" : "article-journal", "volume" : "19" }, "uris" : [ "http://www.mendeley.com/documents/?uuid=b2c9465d-ace6-4f5e-a6bf-323b66b58ed5" ] }, { "id" : "ITEM-3", "itemData" : { "DOI" : "10.1038/nrn1825", "ISBN" : "1471-0048", "ISSN" : "1471-003X", "PMID" : "16371950", "abstract" : "Emotional events often attain a privileged status in memory. Cognitive neuroscientists have begun to elucidate the psychological and neural mechanisms underlying emotional retention advantages in the human brain. The amygdala is a brain structure that directly mediates aspects of emotional learning and facilitates memory operations in other regions, including the hippocampus and prefrontal cortex. Emotion-memory interactions occur at various stages of information processing, from the initial encoding and consolidation of memory traces to their long-term retrieval. Recent advances are revealing new insights into the reactivation of latent emotional associations and the recollection of personal episodes from the remote past.", "author" : [ { "dropping-particle" : "", "family" : "LaBar", "given" : "Kevin S", "non-dropping-particle" : "", "parse-names" : false, "suffix" : "" }, { "dropping-particle" : "", "family" : "Cabeza", "given" : "Roberto", "non-dropping-particle" : "", "parse-names" : false, "suffix" : "" } ], "container-title" : "Nature Reviews Neuroscience", "id" : "ITEM-3", "issue" : "1", "issued" : { "date-parts" : [ [ "2006" ] ] }, "page" : "54-64", "title" : "Cognitive neuroscience of emotional memory", "type" : "article-journal", "volume" : "7" }, "uris" : [ "http://www.mendeley.com/documents/?uuid=8435b6a5-0ec0-429e-b8ab-b040a2adc758" ] } ], "mendeley" : { "formattedCitation" : "(Cahill &amp; McGaugh, 1998; LaBar &amp; Cabeza, 2006; Yonelinas &amp; Ritchey, 2015)", "manualFormatting" : "(Cahill &amp; McGaugh, 1998; LaBar &amp; Cabeza, 2006; Yonelinas &amp; Ritchey, 2015)", "plainTextFormattedCitation" : "(Cahill &amp; McGaugh, 1998; LaBar &amp; Cabeza, 2006; Yonelinas &amp; Ritchey, 2015)", "previouslyFormattedCitation" : "(Cahill &amp; McGaugh, 1998; LaBar &amp; Cabeza, 2006; Yonelinas &amp; Ritchey, 2015)" }, "properties" : { "noteIndex" : 0 }, "schema" : "https://github.com/citation-style-language/schema/raw/master/csl-citation.json" }</w:instrText>
      </w:r>
      <w:r w:rsidRPr="004946F6">
        <w:fldChar w:fldCharType="separate"/>
      </w:r>
      <w:r w:rsidRPr="004946F6">
        <w:rPr>
          <w:noProof/>
        </w:rPr>
        <w:t>(Cahill &amp; McGaugh, 1998; LaBar &amp; Cabeza, 2006; Yonelinas &amp; Ritchey, 2015)</w:t>
      </w:r>
      <w:r w:rsidRPr="004946F6">
        <w:fldChar w:fldCharType="end"/>
      </w:r>
      <w:r w:rsidRPr="004946F6">
        <w:t xml:space="preserve">. However, the circumstances in which it does so, and the mechanisms and models by which these effects are understood, might look unusual to a student of memory more generally. </w:t>
      </w:r>
      <w:r w:rsidR="0092381E" w:rsidRPr="004946F6">
        <w:t>T</w:t>
      </w:r>
      <w:r w:rsidRPr="004946F6">
        <w:t>he mainstream human memory literature has traditionally tested memory within minutes of encoding</w:t>
      </w:r>
      <w:r w:rsidR="00867322" w:rsidRPr="004946F6" w:rsidDel="00867322">
        <w:t xml:space="preserve"> </w:t>
      </w:r>
      <w:r w:rsidR="0092381E" w:rsidRPr="004946F6">
        <w:t>because most functional manipulations do not dissociate immediate and delayed memory performance</w:t>
      </w:r>
      <w:r w:rsidR="00840C69" w:rsidRPr="004946F6">
        <w:t>. By contrast</w:t>
      </w:r>
      <w:r w:rsidRPr="004946F6">
        <w:t xml:space="preserve">, the research </w:t>
      </w:r>
      <w:r w:rsidR="00B51401" w:rsidRPr="004946F6">
        <w:t>on</w:t>
      </w:r>
      <w:r w:rsidRPr="004946F6">
        <w:t xml:space="preserve"> emotional </w:t>
      </w:r>
      <w:r w:rsidR="00840C69" w:rsidRPr="004946F6">
        <w:t xml:space="preserve">memory </w:t>
      </w:r>
      <w:r w:rsidR="00B51401" w:rsidRPr="004946F6">
        <w:t>focuse</w:t>
      </w:r>
      <w:r w:rsidRPr="004946F6">
        <w:t xml:space="preserve">s on factors that influence </w:t>
      </w:r>
      <w:r w:rsidR="0092381E" w:rsidRPr="004946F6">
        <w:t>delayed</w:t>
      </w:r>
      <w:r w:rsidRPr="004946F6">
        <w:t xml:space="preserve"> memory</w:t>
      </w:r>
      <w:r w:rsidR="00F40C07" w:rsidRPr="004946F6">
        <w:t>, and</w:t>
      </w:r>
      <w:r w:rsidR="005A58A0" w:rsidRPr="004946F6">
        <w:t xml:space="preserve"> </w:t>
      </w:r>
      <w:r w:rsidR="0092381E" w:rsidRPr="004946F6">
        <w:t xml:space="preserve">those are interpreted mostly </w:t>
      </w:r>
      <w:r w:rsidRPr="004946F6">
        <w:t>in terms of prioriti</w:t>
      </w:r>
      <w:r w:rsidR="000F5721" w:rsidRPr="004946F6">
        <w:t>s</w:t>
      </w:r>
      <w:r w:rsidRPr="004946F6">
        <w:t xml:space="preserve">ed </w:t>
      </w:r>
      <w:r w:rsidR="00051B98" w:rsidRPr="004946F6">
        <w:t>storage</w:t>
      </w:r>
      <w:r w:rsidR="00840C69" w:rsidRPr="004946F6">
        <w:t xml:space="preserve">. </w:t>
      </w:r>
      <w:r w:rsidR="00B51401" w:rsidRPr="004946F6">
        <w:t>O</w:t>
      </w:r>
      <w:r w:rsidRPr="004946F6">
        <w:t xml:space="preserve">ne reason </w:t>
      </w:r>
      <w:r w:rsidR="00B51401" w:rsidRPr="004946F6">
        <w:t xml:space="preserve">for the appeal of </w:t>
      </w:r>
      <w:r w:rsidR="00F37512" w:rsidRPr="004946F6">
        <w:t xml:space="preserve">that </w:t>
      </w:r>
      <w:r w:rsidRPr="004946F6">
        <w:t>focus is that it suggests an interpretation in terms of the broader purpose of memory in guiding behaviour, and connections to an emerging set of rational, decision-theoretic accounts of the allocation of limited cognitive resources</w:t>
      </w:r>
      <w:r w:rsidR="00051B98" w:rsidRPr="004946F6">
        <w:t xml:space="preserve">. </w:t>
      </w:r>
      <w:r w:rsidR="00D51BDE" w:rsidRPr="004946F6">
        <w:t xml:space="preserve">In particular, </w:t>
      </w:r>
      <w:r w:rsidR="009406C9" w:rsidRPr="004946F6">
        <w:t>e</w:t>
      </w:r>
      <w:r w:rsidRPr="004946F6">
        <w:t>motionally</w:t>
      </w:r>
      <w:r w:rsidR="00B51401" w:rsidRPr="004946F6">
        <w:t>-</w:t>
      </w:r>
      <w:r w:rsidRPr="004946F6">
        <w:t xml:space="preserve">charged memories may be most relevant to fitness-relevant decisions later </w:t>
      </w:r>
      <w:r w:rsidRPr="004946F6">
        <w:fldChar w:fldCharType="begin" w:fldLock="1"/>
      </w:r>
      <w:r w:rsidR="008C25E5" w:rsidRPr="004946F6">
        <w:instrText>ADDIN CSL_CITATION { "citationItems" : [ { "id" : "ITEM-1", "itemData" : { "DOI" : "10.1016/j.tics.2015.08.013", "ISSN" : "1879307X", "PMID" : "26483151", "abstract" : "Many different situations related to self control involve competition between two routes to decisions: default and frugal versus more resource-intensive. Examples include habits versus deliberative decisions, fatigue versus cognitive effort, and Pavlovian versus instrumental decision making. We propose that these situations are linked by a strikingly similar core dilemma, pitting the opportunity costs of monopolizing shared resources such as executive functions for some time, against the possibility of obtaining a better outcome. We offer a unifying normative perspective on this underlying rational meta-optimization, review how this may tie together recent advances in many separate areas, and connect several independent models. Finally, we suggest that the crucial mechanisms and meta-decision variables may be shared across domains.", "author" : [ { "dropping-particle" : "", "family" : "Boureau", "given" : "Y. Lan", "non-dropping-particle" : "", "parse-names" : false, "suffix" : "" }, { "dropping-particle" : "", "family" : "Sokol-Hessner", "given" : "Peter", "non-dropping-particle" : "", "parse-names" : false, "suffix" : "" }, { "dropping-particle" : "", "family" : "Daw", "given" : "N D.", "non-dropping-particle" : "", "parse-names" : false, "suffix" : "" } ], "container-title" : "Trends in Cognitive Sciences", "id" : "ITEM-1", "issue" : "11", "issued" : { "date-parts" : [ [ "2015" ] ] }, "page" : "700-710", "publisher" : "Elsevier Ltd", "title" : "Deciding How To Decide: Self-Control and Meta-Decision Making", "type" : "article-journal", "volume" : "19" }, "uris" : [ "http://www.mendeley.com/documents/?uuid=276cc169-aaac-4c55-bacb-5a6bf0c752d6" ] }, { "id" : "ITEM-2", "itemData" : { "DOI" : "10.1146/annurev-psych-122414-033625", "author" : [ { "dropping-particle" : "", "family" : "Gershman", "given" : "S J", "non-dropping-particle" : "", "parse-names" : false, "suffix" : "" }, { "dropping-particle" : "", "family" : "Daw", "given" : "N D", "non-dropping-particle" : "", "parse-names" : false, "suffix" : "" } ], "id" : "ITEM-2", "issue" : "5", "issued" : { "date-parts" : [ [ "2017" ] ] }, "page" : "101-128", "title" : "Reinforcement Learning and Episodic Memory in Humans and Animals : An Integrative Framework", "type" : "article-journal", "volume" : "68" }, "uris" : [ "http://www.mendeley.com/documents/?uuid=43b07053-7698-4626-937e-c072ed44f6e8" ] } ], "mendeley" : { "formattedCitation" : "(Boureau, Sokol-Hessner, &amp; Daw, 2015; Gershman &amp; Daw, 2017)", "manualFormatting" : "(Boureau, Sokol-Hessner, &amp; Daw, 2015; Gershman &amp; Daw, 2017)", "plainTextFormattedCitation" : "(Boureau, Sokol-Hessner, &amp; Daw, 2015; Gershman &amp; Daw, 2017)", "previouslyFormattedCitation" : "(Boureau, Sokol-Hessner, &amp; Daw, 2015; Gershman &amp; Daw, 2017)" }, "properties" : { "noteIndex" : 0 }, "schema" : "https://github.com/citation-style-language/schema/raw/master/csl-citation.json" }</w:instrText>
      </w:r>
      <w:r w:rsidRPr="004946F6">
        <w:fldChar w:fldCharType="separate"/>
      </w:r>
      <w:r w:rsidR="00256C19" w:rsidRPr="004946F6">
        <w:rPr>
          <w:noProof/>
        </w:rPr>
        <w:t>(Boureau, Sokol-Hessner, &amp; Daw, 2015; Gershman &amp; Daw, 2017)</w:t>
      </w:r>
      <w:r w:rsidRPr="004946F6">
        <w:fldChar w:fldCharType="end"/>
      </w:r>
      <w:r w:rsidR="00D51BDE" w:rsidRPr="004946F6">
        <w:t xml:space="preserve">, and therefore </w:t>
      </w:r>
      <w:r w:rsidR="00E004AB">
        <w:t xml:space="preserve">their maintenance </w:t>
      </w:r>
      <w:r w:rsidR="00D51BDE" w:rsidRPr="004946F6">
        <w:t xml:space="preserve">should </w:t>
      </w:r>
      <w:r w:rsidR="00E004AB">
        <w:t xml:space="preserve">be </w:t>
      </w:r>
      <w:r w:rsidR="00D51BDE" w:rsidRPr="004946F6">
        <w:t>priorit</w:t>
      </w:r>
      <w:r w:rsidR="00E004AB">
        <w:t xml:space="preserve">ised </w:t>
      </w:r>
      <w:r w:rsidR="00D51BDE" w:rsidRPr="004946F6">
        <w:t>in the face of limited memory capacity</w:t>
      </w:r>
      <w:r w:rsidRPr="004946F6">
        <w:t xml:space="preserve">. However, we argue </w:t>
      </w:r>
      <w:r w:rsidR="00D51BDE" w:rsidRPr="004946F6">
        <w:t xml:space="preserve">this view </w:t>
      </w:r>
      <w:r w:rsidRPr="004946F6">
        <w:t xml:space="preserve">is incomplete from both an empirical and a normative perspective. </w:t>
      </w:r>
    </w:p>
    <w:p w14:paraId="7058C103" w14:textId="532B6239" w:rsidR="00380720" w:rsidRPr="004946F6" w:rsidRDefault="00380720" w:rsidP="00B61713">
      <w:pPr>
        <w:spacing w:line="480" w:lineRule="auto"/>
        <w:jc w:val="both"/>
      </w:pPr>
      <w:r w:rsidRPr="004946F6">
        <w:t xml:space="preserve">Empirically, </w:t>
      </w:r>
      <w:r w:rsidR="0097293E" w:rsidRPr="004946F6">
        <w:t xml:space="preserve">current </w:t>
      </w:r>
      <w:r w:rsidR="00373442" w:rsidRPr="004946F6">
        <w:t xml:space="preserve">models of </w:t>
      </w:r>
      <w:r w:rsidR="00465C29" w:rsidRPr="004946F6">
        <w:t xml:space="preserve">emotional memory </w:t>
      </w:r>
      <w:r w:rsidR="00373442" w:rsidRPr="004946F6">
        <w:t xml:space="preserve">fail to predict </w:t>
      </w:r>
      <w:r w:rsidR="0097293E" w:rsidRPr="004946F6">
        <w:t xml:space="preserve">when </w:t>
      </w:r>
      <w:r w:rsidR="00465C29" w:rsidRPr="004946F6">
        <w:t>enhancement</w:t>
      </w:r>
      <w:r w:rsidR="0097293E" w:rsidRPr="004946F6">
        <w:t xml:space="preserve"> </w:t>
      </w:r>
      <w:r w:rsidR="00465C29" w:rsidRPr="004946F6">
        <w:t>would</w:t>
      </w:r>
      <w:r w:rsidR="0097293E" w:rsidRPr="004946F6">
        <w:t xml:space="preserve"> be exhibited and when it would not</w:t>
      </w:r>
      <w:r w:rsidR="005A58A0" w:rsidRPr="004946F6">
        <w:t xml:space="preserve">. </w:t>
      </w:r>
      <w:r w:rsidR="003B0635" w:rsidRPr="004946F6">
        <w:t xml:space="preserve">In particular, simple prioritization fails to account for situations in which emotion does </w:t>
      </w:r>
      <w:r w:rsidR="003B0635" w:rsidRPr="004946F6">
        <w:rPr>
          <w:i/>
          <w:iCs/>
        </w:rPr>
        <w:t>not</w:t>
      </w:r>
      <w:r w:rsidR="003B0635" w:rsidRPr="004946F6">
        <w:t xml:space="preserve"> benefit memory, such as in free recall tests for pure lists of emotional and neutral stimuli (the emotional list-composition effect, described below); in </w:t>
      </w:r>
      <w:r w:rsidR="00F37512" w:rsidRPr="004946F6">
        <w:t xml:space="preserve">immediate </w:t>
      </w:r>
      <w:r w:rsidR="003B0635" w:rsidRPr="004946F6">
        <w:t xml:space="preserve">recognition tests for mixed lists of emotional and neutral stimuli </w:t>
      </w:r>
      <w:r w:rsidR="003B0635" w:rsidRPr="004946F6">
        <w:fldChar w:fldCharType="begin" w:fldLock="1"/>
      </w:r>
      <w:r w:rsidR="008C25E5" w:rsidRPr="004946F6">
        <w:instrText>ADDIN CSL_CITATION { "citationItems" : [ { "id" : "ITEM-1", "itemData" : { "DOI" : "10.3758/BF03194083", "ISBN" : "1069-9384", "ISSN" : "1069-9384", "PMID" : "17874582", "abstract" : "Recent studies have demonstrated that emotional stimuli result in a higher proportion of recognized items that are \"remembered\" (e.g., Kensinger &amp; Corkin, 2003; Ochsner, 2000), leading to greater estimates of recollection by the dual-process model (Yonelinas, 1994). This result suggests that recognition judgments to emotional stimuli depend on a recollection process. We challenge this conclusion with receiver operating characteristic (ROC) curve data from two experiments. In both experiments, subjects studied neutral and emotional words. During the recognition test, subjects made old-new confidence ratings as well as remember-know judgments. Four models of remember-know judgments were fit to individual subjects' data: two versions of a one-dimensional signal-detection-based model (Donaldson, 1996; Wixted &amp; Stretch, 2004), the dual-process model (Yonelinas, 1994), and the two-dimensional signal-detection-based model known as STREAK (Rotello, Macmillan, &amp; Reeder, 2004). Consistent with the literature, we found that emotion increases subjective reports of \"remembering:\" However, our ROC analyses and modeling work reveal that the effect is due to response bias differences rather than sensitivity change or use of a high-threshold recollection process.", "author" : [ { "dropping-particle" : "", "family" : "Dougal", "given" : "Sonya", "non-dropping-particle" : "", "parse-names" : false, "suffix" : "" }, { "dropping-particle" : "", "family" : "Rotello", "given" : "Caren M", "non-dropping-particle" : "", "parse-names" : false, "suffix" : "" } ], "container-title" : "Psychonomic bulletin &amp; review", "id" : "ITEM-1", "issue" : "3", "issued" : { "date-parts" : [ [ "2007" ] ] }, "page" : "423-429", "title" : "\"Remembering\" emotional words is based on response bias, not recollection.", "type" : "article-journal", "volume" : "14" }, "uris" : [ "http://www.mendeley.com/documents/?uuid=3b626e94-2935-4580-b083-f4364d7e17fe" ] }, { "id" : "ITEM-2", "itemData" : { "DOI" : "10.1016/j.cognition.2007.03.002", "ISBN" : "0010-0277 (Print)\\r0010-0277 (Linking)", "ISSN" : "00100277", "PMID" : "17451666", "abstract" : "Emotion has been suggested to slow forgetting via a mechanism that enhances memory consolidation. Here, we investigate whether this time dependent process influences the subjective experience of recollection as well as the ability to retrieve specific contextual details of the study event. To do so we examined recognition for emotional and neutral pictures at two retention intervals and collected remember/know reports and reports about the task that had been performed with the item during encoding. Recollective experience was enhanced for emotional compared to neutral photos after a 24-h delay, but not immediately after encoding. In contrast, memory for the task performed during encoding did not differ between emotional and neutral photos at either time point. The findings indicate that emotion slows the effects of forgetting on the recollective experience associated with studied events, without necessarily slowing the forgetting of specific contextual details of those events. ?? 2007 Elsevier B.V. All rights reserved.", "author" : [ { "dropping-particle" : "", "family" : "Sharot", "given" : "T", "non-dropping-particle" : "", "parse-names" : false, "suffix" : "" }, { "dropping-particle" : "", "family" : "Yonelinas", "given" : "A P.", "non-dropping-particle" : "", "parse-names" : false, "suffix" : "" } ], "container-title" : "Cognition", "id" : "ITEM-2", "issue" : "1", "issued" : { "date-parts" : [ [ "2008" ] ] }, "page" : "538-547", "title" : "Differential time-dependent effects of emotion on recollective experience and memory for contextual information", "type" : "article-journal", "volume" : "106" }, "uris" : [ "http://www.mendeley.com/documents/?uuid=cade4c60-71ed-4291-b2f8-9b1053f69e92" ] } ], "mendeley" : { "formattedCitation" : "(Dougal &amp; Rotello, 2007; Sharot &amp; Yonelinas, 2008)", "plainTextFormattedCitation" : "(Dougal &amp; Rotello, 2007; Sharot &amp; Yonelinas, 2008)", "previouslyFormattedCitation" : "(Dougal &amp; Rotello, 2007; Sharot &amp; Yonelinas, 2008)" }, "properties" : { "noteIndex" : 0 }, "schema" : "https://github.com/citation-style-language/schema/raw/master/csl-citation.json" }</w:instrText>
      </w:r>
      <w:r w:rsidR="003B0635" w:rsidRPr="004946F6">
        <w:fldChar w:fldCharType="separate"/>
      </w:r>
      <w:r w:rsidR="003B0635" w:rsidRPr="004946F6">
        <w:rPr>
          <w:noProof/>
        </w:rPr>
        <w:t>(Dougal &amp; Rotello, 2007; Sharot &amp; Yonelinas, 2008)</w:t>
      </w:r>
      <w:r w:rsidR="003B0635" w:rsidRPr="004946F6">
        <w:fldChar w:fldCharType="end"/>
      </w:r>
      <w:r w:rsidR="003B0635" w:rsidRPr="004946F6">
        <w:t xml:space="preserve">; and in tests of associative memory </w:t>
      </w:r>
      <w:r w:rsidR="003B0635" w:rsidRPr="004946F6">
        <w:fldChar w:fldCharType="begin" w:fldLock="1"/>
      </w:r>
      <w:r w:rsidR="008C25E5" w:rsidRPr="004946F6">
        <w:instrText>ADDIN CSL_CITATION { "citationItems" : [ { "id" : "ITEM-1", "itemData" : { "DOI" : "10.1093/scan/nsw028", "PMID" : "26969864", "abstract" : "Although negative emotion can strengthen memory of an event it can also result in memory disturbances, as in post-traumatic stress disorder (PTSD). We examined the effects of negative item content on amygdalar and hippocampal function in memory for the items themselves and for the associations between them. During fMRI, we examined encoding and retrieval of paired associates made up of all four combinations of neutral and negative images. At test, participants were cued with an image and, if recognised, had to retrieve the associated (target) image. The presence of negative images increased item memory but reduced associative memory. At encoding, subsequent item recognition correlated with amygdala activity, while subsequent associative memory correlated with hippocampal activity. Hippocampal activity was reduced by the presence of negative images, during encoding and correct associative retrieval. In contrast, amygdala activity increased for correctly retrieved negative images, even when cued by a neutral image. Our findings support a dual representation account, whereby negative emotion up-regulates the amygdala to strengthen item memory but down-regulates the hippocampus to weaken associative representations. These results have implications for the development and treatment of clinical disorders in which diminished associations between emotional stimuli and their context contribute to negative symptoms, as in PTSD.", "author" : [ { "dropping-particle" : "", "family" : "Bisby", "given" : "James A", "non-dropping-particle" : "", "parse-names" : false, "suffix" : "" }, { "dropping-particle" : "", "family" : "Horner", "given" : "Aidan J", "non-dropping-particle" : "", "parse-names" : false, "suffix" : "" }, { "dropping-particle" : "", "family" : "H\u00f8rlyck", "given" : "Lone D", "non-dropping-particle" : "", "parse-names" : false, "suffix" : "" }, { "dropping-particle" : "", "family" : "Burgess", "given" : "Neil", "non-dropping-particle" : "", "parse-names" : false, "suffix" : "" } ], "container-title" : "Social cognitive and affective neuroscience", "id" : "ITEM-1", "issue" : "6", "issued" : { "date-parts" : [ [ "2016" ] ] }, "page" : "981-90", "publisher" : "Oxford University Press", "title" : "Opposing effects of negative emotion on amygdalar and hippocampal memory for items and associations.", "type" : "article-journal", "volume" : "11" }, "uris" : [ "http://www.mendeley.com/documents/?uuid=ca6ecce4-e338-3af4-aec7-2408b23ef7be" ] }, { "id" : "ITEM-2", "itemData" : { "DOI" : "10.1016/j.jml.2012.04.001", "abstract" : "a b s t r a c t Emotionally arousing information is remembered better than neutral information. This enhancement effect has been shown for memory for items. In contrast, studies of associa-tion-memory have found both impairments and enhancements of association-memory by arousal. We aimed to resolve these conflicting results by using a cued-recall paradigm combined with a model-based data analysis method (Madan, Glaholt, &amp; Caplan, 2010) that simultaneously obtains separate estimates of arousal effects on memory for associations and memory for items. Participants studied sequentially presented words in pairs that were pure (NEGATIVE\u2013NEGATIVE or NEUTRAL\u2013NEUTRAL) or mixed (NEGATIVE\u2013NEUTRAL or NEUTRAL\u2013NEGATIVE). Cued recall tests had NEUTRAL or NEGATIVE probes and NEUTRAL or NEGATIVE targets. We found impaired memory for associations involving neg-ative words despite enhanced item-memory (more retrievable targets). A category-list control condition explained away the item-memory enhancement but could not explain the impairment of association-memory due to arousal. A second experiment with identical structure but using higher-arousing taboo words revealed increased cued recall of taboo than neutral words. However, this was exclusively mediated by item-memory effects with neither enhancement nor impairment of association-memory. Thus, cued recall was lower for pure negative pairs and higher for pure taboo pairs, but our modeling approach deter-mined a different locus of action for these memory impairing or increasing effects: Although item memory was increased by arousal, association-memory was impaired by negative words and unaffected by taboo words. Our results suggest that previous results reporting an enhancement of association-memory due to arousal may have instead been solely driven by enhanced item-memory.", "author" : [ { "dropping-particle" : "", "family" : "Madan", "given" : "Christopher R", "non-dropping-particle" : "", "parse-names" : false, "suffix" : "" }, { "dropping-particle" : "", "family" : "Caplan", "given" : "Jeremy B", "non-dropping-particle" : "", "parse-names" : false, "suffix" : "" }, { "dropping-particle" : "", "family" : "Lau", "given" : "Christine S M", "non-dropping-particle" : "", "parse-names" : false, "suffix" : "" }, { "dropping-particle" : "", "family" : "Fujiwara", "given" : "Esther", "non-dropping-particle" : "", "parse-names" : false, "suffix" : "" } ], "id" : "ITEM-2", "issued" : { "date-parts" : [ [ "2012" ] ] }, "title" : "Emotional arousal does not enhance association-memory", "type" : "article-journal" }, "uris" : [ "http://www.mendeley.com/documents/?uuid=177cca8e-9e63-3a55-9885-1cbe156a0efe" ] }, { "id" : "ITEM-3", "itemData" : { "DOI" : "10.1016/j.neuroimage.2017.04.065", "abstract" : "Emotional arousal is well-known to enhance memory for individual items or events, whereas it can impair association memory. The neural mechanism of this association memory impairment by emotion is not known: In response to emotionally arousing information, amygdala activity may interfere with hippocampal associative encoding (e.g., via prefrontal cortex). Alternatively, emotional information may be harder to unitize, resulting in reduced availability of extra-hippocampal medial temporal lobe support for emotional than neutral associations. To test these opposing hypotheses, we compared neural processes underlying successful and unsuccessful encoding of emotional and neutral associations. Participants intentionally studied pairs of neutral and negative pictures (Experiments 1\u20133). We found reduced association-memory for negative pictures in all experiments, accompanied by item-memory increases in Experiment 2. High-resolution fMRI (Experiment 3) indicated that reductions in associative encoding of emotional information are localizable to an area in ventral-lateral amygdala, driven by attentional/salience effects in the central amygdala. Hippocampal activity was similar during both pair types, but a left hippocampal cluster related to successful encoding was observed only for negative pairs. Extra-hippocampal associative memory processes (e.g., unitization) were more effective for neutral than emotional materials. Our findings suggest that reduced emotional association memory is accompanied by increases in activity and functional coupling within the amygdala. This did not disrupt hippocampal association-memory processes, which indeed were critical for successful emotional association memory formation.", "author" : [ { "dropping-particle" : "", "family" : "Madan", "given" : "Christopher R.", "non-dropping-particle" : "", "parse-names" : false, "suffix" : "" }, { "dropping-particle" : "", "family" : "Fujiwara", "given" : "Esther", "non-dropping-particle" : "", "parse-names" : false, "suffix" : "" }, { "dropping-particle" : "", "family" : "Caplan", "given" : "Jeremy B.", "non-dropping-particle" : "", "parse-names" : false, "suffix" : "" }, { "dropping-particle" : "", "family" : "Sommer", "given" : "Tobias", "non-dropping-particle" : "", "parse-names" : false, "suffix" : "" } ], "container-title" : "NeuroImage", "id" : "ITEM-3", "issued" : { "date-parts" : [ [ "2017" ] ] }, "page" : "14-28", "title" : "Emotional arousal impairs association-memory: Roles of amygdala and hippocampus", "type" : "article-journal", "volume" : "156" }, "uris" : [ "http://www.mendeley.com/documents/?uuid=34495a05-9f23-375b-98ae-fd9ffa68d157" ] } ], "mendeley" : { "formattedCitation" : "(Bisby, Horner, H\u00f8rlyck, &amp; Burgess, 2016; Madan, Caplan, Lau, &amp; Fujiwara, 2012; Madan, Fujiwara, Caplan, &amp; Sommer, 2017)", "manualFormatting" : "(Bisby, Horner, H\u00f8rlyck, &amp; Burgess, 2016; Madan, Caplan, Lau, &amp; Fujiwara, 2012; Madan, Fujiwara, Caplan, &amp; Sommer, 2017)", "plainTextFormattedCitation" : "(Bisby, Horner, H\u00f8rlyck, &amp; Burgess, 2016; Madan, Caplan, Lau, &amp; Fujiwara, 2012; Madan, Fujiwara, Caplan, &amp; Sommer, 2017)", "previouslyFormattedCitation" : "(Bisby, Horner, H\u00f8rlyck, &amp; Burgess, 2016; Madan, Caplan, Lau, &amp; Fujiwara, 2012; Madan, Fujiwara, Caplan, &amp; Sommer, 2017)" }, "properties" : { "noteIndex" : 0 }, "schema" : "https://github.com/citation-style-language/schema/raw/master/csl-citation.json" }</w:instrText>
      </w:r>
      <w:r w:rsidR="003B0635" w:rsidRPr="004946F6">
        <w:fldChar w:fldCharType="separate"/>
      </w:r>
      <w:r w:rsidR="00D42F2C" w:rsidRPr="004946F6">
        <w:rPr>
          <w:noProof/>
        </w:rPr>
        <w:t>(Bisby, Horner, Hørlyck, &amp; Burgess, 2016; Madan, Caplan, Lau, &amp; Fujiwara, 2012; Madan, F</w:t>
      </w:r>
      <w:r w:rsidR="00C031F3" w:rsidRPr="004946F6">
        <w:rPr>
          <w:noProof/>
        </w:rPr>
        <w:t>ujiwara, Caplan, &amp; Sommer, 2017</w:t>
      </w:r>
      <w:r w:rsidR="00D42F2C" w:rsidRPr="004946F6">
        <w:rPr>
          <w:noProof/>
        </w:rPr>
        <w:t>)</w:t>
      </w:r>
      <w:r w:rsidR="003B0635" w:rsidRPr="004946F6">
        <w:fldChar w:fldCharType="end"/>
      </w:r>
      <w:r w:rsidR="003B0635" w:rsidRPr="004946F6">
        <w:t xml:space="preserve">. </w:t>
      </w:r>
      <w:r w:rsidR="002A27EE" w:rsidRPr="004946F6">
        <w:t xml:space="preserve">Furthermore, while the emotional memory literature has so far marginalised the influence of the retrieval test, in other areas of memory there has been a recent emphasis on retrieved context models of memory, which emphasise a role for associations between items and context during both encoding and retrieval </w:t>
      </w:r>
      <w:r w:rsidRPr="004946F6">
        <w:fldChar w:fldCharType="begin" w:fldLock="1"/>
      </w:r>
      <w:r w:rsidR="008C25E5" w:rsidRPr="004946F6">
        <w:instrText>ADDIN CSL_CITATION { "citationItems" : [ { "id" : "ITEM-1", "itemData" : { "DOI" : "10.1006", "abstract" : "The principles of recency and contiguity are two cornerstones of the theoretical and empirical analysis of human memory. Recency has been alternatively explained by mechanisms of decay, displacement, and retroac-tive interference. Another account of recency is based on the idea of variable context (Estes, 1955; Mensink &amp; Raaijmakers, 1989). Such notions are typi-cally cast in terms of a randomly fluctuating population of elements reflective of subtle changes in the environment or in the subjects' mental state. This random context view has recently been incorporated into distributed and neural network memory models (Murdock, 1997; Murdock, Smith, &amp; Bai, 2001). Here we propose an alternative model. Rather than being driven by random fluctuations, this formulation, the temporal context model (TCM), uses retrieval of prior contextual states to drive contextual drift. In TCM, retrieved context is an inherently asymmetric retrieval cue. This allows the model to provide a principled explanation of the widespread advantage for forward recalls in free and serial recall. Modeling data from single-trial free recall, we demonstrate that TCM can simultaneously explain recency and contiguity effects across time scales.", "author" : [ { "dropping-particle" : "", "family" : "Howard", "given" : "Marc W", "non-dropping-particle" : "", "parse-names" : false, "suffix" : "" }, { "dropping-particle" : "", "family" : "Kahana", "given" : "Michael J", "non-dropping-particle" : "", "parse-names" : false, "suffix" : "" } ], "container-title" : "Journal of Mathematical Psychology", "id" : "ITEM-1", "issue" : "3", "issued" : { "date-parts" : [ [ "2002" ] ] }, "page" : "269-299", "title" : "A Distributed Representation of Temporal Context", "type" : "article-journal", "volume" : "46" }, "uris" : [ "http://www.mendeley.com/documents/?uuid=2b90dde9-b561-3d12-a949-d37b66d9807d" ] }, { "id" : "ITEM-2", "itemData" : { "DOI" : "10.1037/a0013396.A", "author" : [ { "dropping-particle" : "", "family" : "Sederberg", "given" : "P B", "non-dropping-particle" : "", "parse-names" : false, "suffix" : "" }, { "dropping-particle" : "", "family" : "Howard", "given" : "M W", "non-dropping-particle" : "", "parse-names" : false, "suffix" : "" }, { "dropping-particle" : "", "family" : "Kahana", "given" : "M J", "non-dropping-particle" : "", "parse-names" : false, "suffix" : "" } ], "id" : "ITEM-2", "issue" : "4", "issued" : { "date-parts" : [ [ "2008" ] ] }, "page" : "893-912", "title" : "A context-based theory of recency and contiguity in free recall", "type" : "article-journal", "volume" : "115" }, "uris" : [ "http://www.mendeley.com/documents/?uuid=20c66708-35d7-45d1-988a-40c72b11bc77" ] }, { "id" : "ITEM-3", "itemData" : { "DOI" : "10.1037/a0014420.A", "author" : [ { "dropping-particle" : "", "family" : "Polyn", "given" : "Sean M", "non-dropping-particle" : "", "parse-names" : false, "suffix" : "" }, { "dropping-particle" : "", "family" : "Norman", "given" : "Kenneth A", "non-dropping-particle" : "", "parse-names" : false, "suffix" : "" }, { "dropping-particle" : "", "family" : "Kahana", "given" : "Michael J", "non-dropping-particle" : "", "parse-names" : false, "suffix" : "" } ], "id" : "ITEM-3", "issue" : "1", "issued" : { "date-parts" : [ [ "2009" ] ] }, "page" : "129-156", "title" : "A context maintenance and retrieval model of organizational processes in free recall", "type" : "article-journal", "volume" : "116" }, "uris" : [ "http://www.mendeley.com/documents/?uuid=332b768b-157f-44b6-b42c-04445440d695" ] }, { "id" : "ITEM-4", "itemData" : { "DOI" : "10.1037/a0039036", "ISSN" : "0033295X", "PMID" : "25844876", "abstract" : "The human memory system is remarkable in its capacity to focus its search on items learned in a given context. This capacity can be so precise that many leading models of human memory assume that only those items learned in the context of a recently studied list compete for recall. We sought to extend the explanatory scope of these models to include not only intralist phenomena, such as primacy and recency effects, but also interlist phenomena such as proactive and retroactive interference. Building on retrieved temporal context models of memory search (e.g., Polyn, Norman, &amp; Kahana, 2009), we present a substantially revised theory in which memory accumulates across multiple experimental lists, and temporal context is used both to focus retrieval on a target list, and to censor retrieved information when its match to the current context indicates that it was learned in a nontarget list. We show how the resulting model can simultaneously account for a wide range of intralist and interlist phenomena, including the pattern of prior-list intrusions observed in free recall, build-up of and release from proactive interference, and the ability to selectively target retrieval of items on specific prior lists (Jang &amp; Huber, 2008; Shiffrin, 1970). In a new experiment, we verify that subjects\u2019 error monitoring processes are consistent with those predicted by the model.", "author" : [ { "dropping-particle" : "", "family" : "Lohnas", "given" : "Lynn J", "non-dropping-particle" : "", "parse-names" : false, "suffix" : "" }, { "dropping-particle" : "", "family" : "Polyn", "given" : "Sean M", "non-dropping-particle" : "", "parse-names" : false, "suffix" : "" }, { "dropping-particle" : "", "family" : "Kahana", "given" : "Michael Jacob", "non-dropping-particle" : "", "parse-names" : false, "suffix" : "" } ], "container-title" : "Psychological Review", "id" : "ITEM-4", "issue" : "2", "issued" : { "date-parts" : [ [ "2015" ] ] }, "page" : "337-363", "title" : "Expanding the Scope of Memory Search: Modeling Intralist and Interlist Effects in Free Recall", "type" : "article-journal", "volume" : "122" }, "uris" : [ "http://www.mendeley.com/documents/?uuid=e1456abe-962f-46fa-9814-1941586b7e2b" ] } ], "mendeley" : { "formattedCitation" : "(Howard &amp; Kahana, 2002a; Lohnas, Polyn, &amp; Kahana, 2015; Polyn, Norman, &amp; Kahana, 2009; Sederberg, Howard, &amp; Kahana, 2008)", "plainTextFormattedCitation" : "(Howard &amp; Kahana, 2002a; Lohnas, Polyn, &amp; Kahana, 2015; Polyn, Norman, &amp; Kahana, 2009; Sederberg, Howard, &amp; Kahana, 2008)", "previouslyFormattedCitation" : "(Howard &amp; Kahana, 2002a; Lohnas, Polyn, &amp; Kahana, 2015; Polyn, Norman, &amp; Kahana, 2009; Sederberg, Howard, &amp; Kahana, 2008)" }, "properties" : { "noteIndex" : 0 }, "schema" : "https://github.com/citation-style-language/schema/raw/master/csl-citation.json" }</w:instrText>
      </w:r>
      <w:r w:rsidRPr="004946F6">
        <w:fldChar w:fldCharType="separate"/>
      </w:r>
      <w:r w:rsidR="00A670A8" w:rsidRPr="004946F6">
        <w:rPr>
          <w:noProof/>
        </w:rPr>
        <w:t>(Howard &amp; Kahana, 2002a; Lohnas, Polyn, &amp; Kahana, 2015; Polyn, Norman, &amp; Kahana, 2009; Sederberg, Howard, &amp; Kahana, 2008)</w:t>
      </w:r>
      <w:r w:rsidRPr="004946F6">
        <w:fldChar w:fldCharType="end"/>
      </w:r>
      <w:r w:rsidRPr="004946F6">
        <w:t xml:space="preserve">. </w:t>
      </w:r>
      <w:r w:rsidR="00370F74" w:rsidRPr="004946F6">
        <w:t>‘</w:t>
      </w:r>
      <w:r w:rsidR="002A27EE" w:rsidRPr="004946F6">
        <w:t>B</w:t>
      </w:r>
      <w:r w:rsidR="00370F74" w:rsidRPr="004946F6">
        <w:t xml:space="preserve">rain states’ </w:t>
      </w:r>
      <w:r w:rsidR="002A27EE" w:rsidRPr="004946F6">
        <w:t xml:space="preserve">that </w:t>
      </w:r>
      <w:r w:rsidR="00370F74" w:rsidRPr="004946F6">
        <w:t xml:space="preserve">change gradually with time </w:t>
      </w:r>
      <w:r w:rsidR="00690E14" w:rsidRPr="004946F6">
        <w:fldChar w:fldCharType="begin" w:fldLock="1"/>
      </w:r>
      <w:r w:rsidR="008C25E5" w:rsidRPr="004946F6">
        <w:instrText>ADDIN CSL_CITATION { "citationItems" : [ { "id" : "ITEM-1", "itemData" : { "DOI" : "10.1016/j.neuron.2007.08.017", "ISSN" : "0896-6273", "PMID" : "17988635", "abstract" : "The hippocampus is thought to contribute to episodic memory in part by binding stimuli to their spatiotemporal context. The present study examined how hippocampal neuronal populations encode spatial and temporal context as rats performed a task in which they were required to remember the order of trial-unique sequences of odors. The results suggest that a gradual change in the pattern of hippocampal activity served as a temporal context for odor-sampling events and was important for successful subsequent memory of the order of those odors.", "author" : [ { "dropping-particle" : "", "family" : "Manns", "given" : "Joseph R", "non-dropping-particle" : "", "parse-names" : false, "suffix" : "" }, { "dropping-particle" : "", "family" : "Howard", "given" : "Marc W", "non-dropping-particle" : "", "parse-names" : false, "suffix" : "" }, { "dropping-particle" : "", "family" : "Eichenbaum", "given" : "Howard", "non-dropping-particle" : "", "parse-names" : false, "suffix" : "" } ], "container-title" : "Neuron", "id" : "ITEM-1", "issue" : "3", "issued" : { "date-parts" : [ [ "2007", "11", "8" ] ] }, "page" : "530-40", "publisher" : "NIH Public Access", "title" : "Gradual changes in hippocampal activity support remembering the order of events.", "type" : "article-journal", "volume" : "56" }, "uris" : [ "http://www.mendeley.com/documents/?uuid=55c049c3-210f-3452-ab52-5dda5770d0b0" ] } ], "mendeley" : { "formattedCitation" : "(Manns, Howard, &amp; Eichenbaum, 2007)", "plainTextFormattedCitation" : "(Manns, Howard, &amp; Eichenbaum, 2007)", "previouslyFormattedCitation" : "(Manns, Howard, &amp; Eichenbaum, 2007)" }, "properties" : { "noteIndex" : 0 }, "schema" : "https://github.com/citation-style-language/schema/raw/master/csl-citation.json" }</w:instrText>
      </w:r>
      <w:r w:rsidR="00690E14" w:rsidRPr="004946F6">
        <w:fldChar w:fldCharType="separate"/>
      </w:r>
      <w:r w:rsidR="008C25E5" w:rsidRPr="004946F6">
        <w:rPr>
          <w:noProof/>
        </w:rPr>
        <w:t>(Manns, Howard, &amp; Eichenbaum, 2007)</w:t>
      </w:r>
      <w:r w:rsidR="00690E14" w:rsidRPr="004946F6">
        <w:fldChar w:fldCharType="end"/>
      </w:r>
      <w:r w:rsidR="00690E14" w:rsidRPr="004946F6">
        <w:t xml:space="preserve"> </w:t>
      </w:r>
      <w:r w:rsidR="00370F74" w:rsidRPr="004946F6">
        <w:t xml:space="preserve">are thought to provide the neurobiological substrate that implements the temporal context in such models, </w:t>
      </w:r>
      <w:r w:rsidR="00B51401" w:rsidRPr="004946F6">
        <w:t xml:space="preserve">a view supported by </w:t>
      </w:r>
      <w:r w:rsidR="00370F74" w:rsidRPr="004946F6">
        <w:t xml:space="preserve">recent evidence that temporal overlap functionally links neural representations of separate events </w:t>
      </w:r>
      <w:r w:rsidR="00370F74" w:rsidRPr="004946F6">
        <w:fldChar w:fldCharType="begin" w:fldLock="1"/>
      </w:r>
      <w:r w:rsidR="008C25E5" w:rsidRPr="004946F6">
        <w:instrText>ADDIN CSL_CITATION { "citationItems" : [ { "id" : "ITEM-1", "itemData" : { "DOI" : "10.1038/nature17955", "ISSN" : "1476-4687", "abstract" : "This paper tests and provides support for the emerging hypothesis that two distinct memories formed close in time may be linked, such that recall of one triggers recall of the other. Using a range of techniques including in vivo calcium imaging with miniature head-mounted fluorescent microscopes in freely behaving mice, Alcino Silva and colleagues show that learning-dependent changes in excitability can temporally and contextually link memories formed close in time. Interestingly the overlap between memory encoding ensembles and strengthening of the second memory within short periods of time do not occur in aged animals, which do not exhibit the increased hippocampal excitability necessary for such links to occur.", "author" : [ { "dropping-particle" : "", "family" : "Cai", "given" : "Denise J.", "non-dropping-particle" : "", "parse-names" : false, "suffix" : "" }, { "dropping-particle" : "", "family" : "Aharoni", "given" : "Daniel", "non-dropping-particle" : "", "parse-names" : false, "suffix" : "" }, { "dropping-particle" : "", "family" : "Shuman", "given" : "Tristan", "non-dropping-particle" : "", "parse-names" : false, "suffix" : "" }, { "dropping-particle" : "", "family" : "Shobe", "given" : "Justin", "non-dropping-particle" : "", "parse-names" : false, "suffix" : "" }, { "dropping-particle" : "", "family" : "Biane", "given" : "Jeremy", "non-dropping-particle" : "", "parse-names" : false, "suffix" : "" }, { "dropping-particle" : "", "family" : "Song", "given" : "Weilin", "non-dropping-particle" : "", "parse-names" : false, "suffix" : "" }, { "dropping-particle" : "", "family" : "Wei", "given" : "Brandon", "non-dropping-particle" : "", "parse-names" : false, "suffix" : "" }, { "dropping-particle" : "", "family" : "Veshkini", "given" : "Michael", "non-dropping-particle" : "", "parse-names" : false, "suffix" : "" }, { "dropping-particle" : "", "family" : "La-Vu", "given" : "Mimi", "non-dropping-particle" : "", "parse-names" : false, "suffix" : "" }, { "dropping-particle" : "", "family" : "Lou", "given" : "Jerry", "non-dropping-particle" : "", "parse-names" : false, "suffix" : "" }, { "dropping-particle" : "", "family" : "Flores", "given" : "Sergio E.", "non-dropping-particle" : "", "parse-names" : false, "suffix" : "" }, { "dropping-particle" : "", "family" : "Kim", "given" : "Isaac", "non-dropping-particle" : "", "parse-names" : false, "suffix" : "" }, { "dropping-particle" : "", "family" : "Sano", "given" : "Yoshitake", "non-dropping-particle" : "", "parse-names" : false, "suffix" : "" }, { "dropping-particle" : "", "family" : "Zhou", "given" : "Miou", "non-dropping-particle" : "", "parse-names" : false, "suffix" : "" }, { "dropping-particle" : "", "family" : "Baumgaertel", "given" : "Karsten", "non-dropping-particle" : "", "parse-names" : false, "suffix" : "" }, { "dropping-particle" : "", "family" : "Lavi", "given" : "Ayal", "non-dropping-particle" : "", "parse-names" : false, "suffix" : "" }, { "dropping-particle" : "", "family" : "Kamata", "given" : "Masakazu", "non-dropping-particle" : "", "parse-names" : false, "suffix" : "" }, { "dropping-particle" : "", "family" : "Tuszynski", "given" : "Mark", "non-dropping-particle" : "", "parse-names" : false, "suffix" : "" }, { "dropping-particle" : "", "family" : "Mayford", "given" : "Mark", "non-dropping-particle" : "", "parse-names" : false, "suffix" : "" }, { "dropping-particle" : "", "family" : "Golshani", "given" : "Peyman", "non-dropping-particle" : "", "parse-names" : false, "suffix" : "" }, { "dropping-particle" : "", "family" : "Silva", "given" : "Alcino J.", "non-dropping-particle" : "", "parse-names" : false, "suffix" : "" } ], "container-title" : "Nature 2016 534:7605", "id" : "ITEM-1", "issue" : "7605", "issued" : { "date-parts" : [ [ "2016", "5", "23" ] ] }, "page" : "115", "publisher" : "Nature Publishing Group", "title" : "A shared neural ensemble links distinct contextual memories encoded close in time", "type" : "article-journal", "volume" : "534" }, "uris" : [ "http://www.mendeley.com/documents/?uuid=e1baee10-843b-3afb-8c51-cf14855cc015", "http://www.mendeley.com/documents/?uuid=88b2be78-ea04-4b78-8b35-94dc1f710518" ] }, { "id" : "ITEM-2", "itemData" : { "DOI" : "10.1126/science.aaf0594", "ISBN" : "9788578110796", "ISSN" : "10959203", "PMID" : "27463673", "abstract" : "Collections of cells called engrams are thought to represent memories. Although there has been progress in identifying and manipulating single engrams, little is known about how multiple engrams interact to influence memory. In lateral amygdala (LA), neurons with increased excitability during training outcompete their neighbors for allocation to an engram. We examined whether competition based on neuronal excitability also governs the interaction between engrams. Mice received two distinct fear conditioning events separated by different intervals. LA neuron excitability was optogenetically manipulated and revealed a transient competitive process that integrates memories for events occurring closely in time (coallocating overlapping populations of neurons to both engrams) and separates memories for events occurring at distal times (disallocating nonoverlapping populations to each engram).", "author" : [ { "dropping-particle" : "", "family" : "Rashid", "given" : "Asim J.", "non-dropping-particle" : "", "parse-names" : false, "suffix" : "" }, { "dropping-particle" : "", "family" : "Yan", "given" : "Chen", "non-dropping-particle" : "", "parse-names" : false, "suffix" : "" }, { "dropping-particle" : "", "family" : "Mercaldo", "given" : "Valentina", "non-dropping-particle" : "", "parse-names" : false, "suffix" : "" }, { "dropping-particle" : "", "family" : "Hsiang", "given" : "Hwa Lin", "non-dropping-particle" : "", "parse-names" : false, "suffix" : "" }, { "dropping-particle" : "", "family" : "Park", "given" : "Sungmo", "non-dropping-particle" : "", "parse-names" : false, "suffix" : "" }, { "dropping-particle" : "", "family" : "Cole", "given" : "Christina J.", "non-dropping-particle" : "", "parse-names" : false, "suffix" : "" }, { "dropping-particle" : "", "family" : "Cristofaro", "given" : "Antonietta", "non-dropping-particle" : "De", "parse-names" : false, "suffix" : "" }, { "dropping-particle" : "", "family" : "Yu", "given" : "Julia", "non-dropping-particle" : "", "parse-names" : false, "suffix" : "" }, { "dropping-particle" : "", "family" : "Ramakrishnan", "given" : "Charu", "non-dropping-particle" : "", "parse-names" : false, "suffix" : "" }, { "dropping-particle" : "", "family" : "Lee", "given" : "Soo Yeun", "non-dropping-particle" : "", "parse-names" : false, "suffix" : "" }, { "dropping-particle" : "", "family" : "Deisseroth", "given" : "Karl", "non-dropping-particle" : "", "parse-names" : false, "suffix" : "" }, { "dropping-particle" : "", "family" : "Frankland", "given" : "Paul W.", "non-dropping-particle" : "", "parse-names" : false, "suffix" : "" }, { "dropping-particle" : "", "family" : "Josselyn", "given" : "Sheena A.", "non-dropping-particle" : "", "parse-names" : false, "suffix" : "" } ], "container-title" : "Science", "id" : "ITEM-2", "issue" : "6297", "issued" : { "date-parts" : [ [ "2016" ] ] }, "page" : "383-387", "title" : "Competition between engrams influences fear memory formation and recall", "type" : "article-journal", "volume" : "353" }, "uris" : [ "http://www.mendeley.com/documents/?uuid=c2d2f381-79d8-489a-bcef-0927b46e68cc", "http://www.mendeley.com/documents/?uuid=b28b4a3d-c7a7-46cd-86c4-59e13f251bbe" ] } ], "mendeley" : { "formattedCitation" : "(Cai et al., 2016; Rashid et al., 2016)", "plainTextFormattedCitation" : "(Cai et al., 2016; Rashid et al., 2016)", "previouslyFormattedCitation" : "(Cai et al., 2016; Rashid et al., 2016)" }, "properties" : { "noteIndex" : 0 }, "schema" : "https://github.com/citation-style-language/schema/raw/master/csl-citation.json" }</w:instrText>
      </w:r>
      <w:r w:rsidR="00370F74" w:rsidRPr="004946F6">
        <w:fldChar w:fldCharType="separate"/>
      </w:r>
      <w:r w:rsidR="008C25E5" w:rsidRPr="004946F6">
        <w:rPr>
          <w:noProof/>
        </w:rPr>
        <w:t>(Cai et al., 2016; Rashid et al., 2016)</w:t>
      </w:r>
      <w:r w:rsidR="00370F74" w:rsidRPr="004946F6">
        <w:fldChar w:fldCharType="end"/>
      </w:r>
      <w:r w:rsidR="00370F74" w:rsidRPr="004946F6">
        <w:t xml:space="preserve">. </w:t>
      </w:r>
    </w:p>
    <w:p w14:paraId="17F17C4A" w14:textId="588CC1E8" w:rsidR="008179B1" w:rsidRPr="004946F6" w:rsidRDefault="003B0635" w:rsidP="002A27EE">
      <w:pPr>
        <w:spacing w:line="480" w:lineRule="auto"/>
        <w:jc w:val="both"/>
      </w:pPr>
      <w:r w:rsidRPr="004946F6">
        <w:t>Apart from addressing these empirical considerations, retrieved context models suggest a more nuanced normative interpretation. Instead of simply ranking which individual items should be prioritized in isolation, the retrieved context models speak to what sorts of memory structures should be built by encoding associations among these items. Indeed, these associations themselves have a clear normative interpretation in that the item-context associations at the heart of retrieved context models mathematically correspond to a particular sort of world model for guiding utility</w:t>
      </w:r>
      <w:r w:rsidR="00F37512" w:rsidRPr="004946F6">
        <w:t>-</w:t>
      </w:r>
      <w:r w:rsidRPr="004946F6">
        <w:t>maximizing future choices</w:t>
      </w:r>
      <w:r w:rsidR="003658DA" w:rsidRPr="004946F6">
        <w:t xml:space="preserve"> </w:t>
      </w:r>
      <w:r w:rsidR="003658DA" w:rsidRPr="004946F6">
        <w:fldChar w:fldCharType="begin" w:fldLock="1"/>
      </w:r>
      <w:r w:rsidR="008C25E5" w:rsidRPr="004946F6">
        <w:instrText>ADDIN CSL_CITATION { "citationItems" : [ { "id" : "ITEM-1", "itemData" : { "DOI" : "10.1162/NECO_a_00282", "ISBN" : "10.1162/NECO_a_00282", "ISSN" : "0899-7667", "PMID" : "22364500", "abstract" : "The successor representation was introduced into reinforcement learning by Dayan ( 1993 ) as a means of facilitating generalization between states with similar successors. Although reinforcement learning in general has been used extensively as a model of psychological and neural processes, the psychological validity of the successor representation has yet to be explored. An interesting possibility is that the successor representation can be used not only for reinforcement learning but for episodic learning as well. Our main contribution is to show that a variant of the temporal context model (TCM; Howard &amp; Kahana, 2002 ), an influential model of episodic memory, can be understood as directly estimating the successor representation using the temporal difference learning algorithm (Sutton &amp; Barto, 1998 ). This insight leads to a generalization of TCM and new experimental predictions. In addition to casting a new normative light on TCM, this equivalence suggests a previously unexplored point of contact between different learning systems.", "author" : [ { "dropping-particle" : "", "family" : "Gershman", "given" : "S J.", "non-dropping-particle" : "", "parse-names" : false, "suffix" : "" }, { "dropping-particle" : "", "family" : "Moore", "given" : "C D.", "non-dropping-particle" : "", "parse-names" : false, "suffix" : "" }, { "dropping-particle" : "", "family" : "Todd", "given" : "M T.", "non-dropping-particle" : "", "parse-names" : false, "suffix" : "" }, { "dropping-particle" : "", "family" : "Norman", "given" : "K A .", "non-dropping-particle" : "", "parse-names" : false, "suffix" : "" }, { "dropping-particle" : "", "family" : "Sederberg", "given" : "P B", "non-dropping-particle" : "", "parse-names" : false, "suffix" : "" } ], "container-title" : "Neural Computation", "id" : "ITEM-1", "issue" : "6", "issued" : { "date-parts" : [ [ "2012" ] ] }, "page" : "1553-1568", "title" : "The Successor Representation and Temporal Context", "type" : "article-journal", "volume" : "24" }, "uris" : [ "http://www.mendeley.com/documents/?uuid=427efa40-29a5-42e7-b784-39ed4f5dca4d" ] } ], "mendeley" : { "formattedCitation" : "(Gershman, Moore, Todd, Norman, &amp; Sederberg, 2012)", "manualFormatting" : "(Gershman, Moore, Todd, Norman, &amp; Sederberg, 2012)", "plainTextFormattedCitation" : "(Gershman, Moore, Todd, Norman, &amp; Sederberg, 2012)", "previouslyFormattedCitation" : "(Gershman, Moore, Todd, Norman, &amp; Sederberg, 2012)" }, "properties" : { "noteIndex" : 0 }, "schema" : "https://github.com/citation-style-language/schema/raw/master/csl-citation.json" }</w:instrText>
      </w:r>
      <w:r w:rsidR="003658DA" w:rsidRPr="004946F6">
        <w:fldChar w:fldCharType="separate"/>
      </w:r>
      <w:r w:rsidR="003658DA" w:rsidRPr="004946F6">
        <w:rPr>
          <w:noProof/>
        </w:rPr>
        <w:t>(Gershman, Moore, Todd, Norman, &amp; Sederberg, 2012)</w:t>
      </w:r>
      <w:r w:rsidR="003658DA" w:rsidRPr="004946F6">
        <w:fldChar w:fldCharType="end"/>
      </w:r>
      <w:r w:rsidR="003658DA" w:rsidRPr="004946F6">
        <w:t xml:space="preserve">. </w:t>
      </w:r>
      <w:r w:rsidRPr="004946F6">
        <w:t xml:space="preserve">Retrieved context models also shed light on the distinct question of how memories will be prioritized for </w:t>
      </w:r>
      <w:r w:rsidRPr="004946F6">
        <w:rPr>
          <w:i/>
        </w:rPr>
        <w:t>retrieval</w:t>
      </w:r>
      <w:r w:rsidRPr="004946F6">
        <w:t xml:space="preserve"> </w:t>
      </w:r>
      <w:r w:rsidR="0054695C" w:rsidRPr="004946F6">
        <w:t>given the goals of the</w:t>
      </w:r>
      <w:r w:rsidRPr="004946F6">
        <w:t xml:space="preserve"> test context</w:t>
      </w:r>
      <w:r w:rsidR="0054695C" w:rsidRPr="004946F6">
        <w:t xml:space="preserve"> </w:t>
      </w:r>
      <w:r w:rsidR="0054695C" w:rsidRPr="004946F6">
        <w:fldChar w:fldCharType="begin" w:fldLock="1"/>
      </w:r>
      <w:r w:rsidR="008C25E5" w:rsidRPr="004946F6">
        <w:instrText>ADDIN CSL_CITATION { "citationItems" : [ { "id" : "ITEM-1", "itemData" : { "ISSN" : "2352-1546", "PMID" : "29335678", "abstract" : "Theories of episodic memory have generally proposed that individual memory traces are linked together by a representation of context that drifts slowly over time. Recent data challenge the notion that contextual drift is always slow and passive. In particular, changes in one's external environment or internal model induce discontinuities in memory that are reflected in sudden changes in neural activity, suggesting that context can shift abruptly. Furthermore, context change effects are sensitive to top-down goals, suggesting that contextual drift may be an active process. These findings call for revising models of the role of context in memory, in order to account for abrupt contextual shifts and the controllable nature of context change.", "author" : [ { "dropping-particle" : "", "family" : "DuBrow", "given" : "Sarah", "non-dropping-particle" : "", "parse-names" : false, "suffix" : "" }, { "dropping-particle" : "", "family" : "Rouhani", "given" : "Nina", "non-dropping-particle" : "", "parse-names" : false, "suffix" : "" }, { "dropping-particle" : "", "family" : "Niv", "given" : "Yael", "non-dropping-particle" : "", "parse-names" : false, "suffix" : "" }, { "dropping-particle" : "", "family" : "Norman", "given" : "Kenneth A", "non-dropping-particle" : "", "parse-names" : false, "suffix" : "" } ], "container-title" : "Current opinion in behavioral sciences", "id" : "ITEM-1", "issued" : { "date-parts" : [ [ "2017", "10" ] ] }, "page" : "141-146", "title" : "Does mental context drift or shift?", "type" : "article-journal", "volume" : "17" }, "uris" : [ "http://www.mendeley.com/documents/?uuid=cb4d25f0-e82b-3cc6-b5c7-3ba82dc087ce" ] } ], "mendeley" : { "formattedCitation" : "(DuBrow, Rouhani, Niv, &amp; Norman, 2017)", "plainTextFormattedCitation" : "(DuBrow, Rouhani, Niv, &amp; Norman, 2017)", "previouslyFormattedCitation" : "(DuBrow, Rouhani, Niv, &amp; Norman, 2017)" }, "properties" : { "noteIndex" : 0 }, "schema" : "https://github.com/citation-style-language/schema/raw/master/csl-citation.json" }</w:instrText>
      </w:r>
      <w:r w:rsidR="0054695C" w:rsidRPr="004946F6">
        <w:fldChar w:fldCharType="separate"/>
      </w:r>
      <w:r w:rsidR="0054695C" w:rsidRPr="004946F6">
        <w:rPr>
          <w:noProof/>
        </w:rPr>
        <w:t>(DuBrow, Rouhani, Niv, &amp; Norman, 2017)</w:t>
      </w:r>
      <w:r w:rsidR="0054695C" w:rsidRPr="004946F6">
        <w:fldChar w:fldCharType="end"/>
      </w:r>
      <w:r w:rsidRPr="004946F6">
        <w:t xml:space="preserve">. In decision making, such modulation of retrieval will promote consideration of particular (emotionally charged) outcomes of candidate actions, and are reminiscent of mechanisms independently proposed in the decision-making literature for rationally prioritized evaluation </w:t>
      </w:r>
      <w:r w:rsidR="002A27EE" w:rsidRPr="004946F6">
        <w:fldChar w:fldCharType="begin" w:fldLock="1"/>
      </w:r>
      <w:r w:rsidR="008C25E5" w:rsidRPr="004946F6">
        <w:instrText>ADDIN CSL_CITATION { "citationItems" : [ { "id" : "ITEM-1", "itemData" : { "DOI" : "10.1073/pnas.1506367112", "ISBN" : "1091-6490 (Electronic)\\r0027-8424 (Linking)", "ISSN" : "0027-8424", "PMID" : "26460050", "abstract" : "Humans choose actions based on both habit and planning. Habitual control is computationally frugal but adapts slowly to novel circumstances, whereas planning is computationally expensive but can adapt swiftly. Current research emphasizes the competition between habits and plans for behavioral control, yet many complex tasks instead favor their integration. We consider a hierarchical architecture that exploits the computational efficiency of habitual control to select goals while preserving the flexibility of planning to achieve those goals. We formalize this mechanism in a reinforcement learning setting, illustrate its costs and benefits, and experimentally demonstrate its spontaneous application in a sequential decision-making task.", "author" : [ { "dropping-particle" : "", "family" : "Cushman", "given" : "Fiery", "non-dropping-particle" : "", "parse-names" : false, "suffix" : "" }, { "dropping-particle" : "", "family" : "Morris", "given" : "Adam", "non-dropping-particle" : "", "parse-names" : false, "suffix" : "" } ], "container-title" : "Proceedings of the National Academy of Sciences", "id" : "ITEM-1", "issue" : "45", "issued" : { "date-parts" : [ [ "2015" ] ] }, "page" : "201506367", "title" : "Habitual control of goal selection in humans", "type" : "article-journal", "volume" : "112" }, "uris" : [ "http://www.mendeley.com/documents/?uuid=5733fe50-e318-4b2a-ba72-d73587641379" ] }, { "id" : "ITEM-2", "itemData" : { "DOI" : "10.1371/journal.pcbi.1002410", "ISBN" : "1553-7358 (Electronic)\\r1553-734X (Linking)", "ISSN" : "1553734X", "PMID" : "22412360", "abstract" : "Author Summary Planning is tricky because choices we make now affect future choices, and future choices and outcomes should guide current choices. Because there are exponentially many combinations of future choices and actions, brute-force approaches that consider all possible combinations work only for trivially small problems. Here, we describe how humans use a simple Pavlovian strategy to cut an expanding decision tree down to a computationally manageable size. We find that humans use this strategy even when it is disadvantageous, and that the tendency to use it is related to mild depressive symptoms. The findings, we suggest, can be interpreted within a theoretical framework which relates Pavlovian behavioural inhibition to serotonin and mood disorders.", "author" : [ { "dropping-particle" : "", "family" : "Huys", "given" : "Quentin J M", "non-dropping-particle" : "", "parse-names" : false, "suffix" : "" }, { "dropping-particle" : "", "family" : "Eshel", "given" : "Neir", "non-dropping-particle" : "", "parse-names" : false, "suffix" : "" }, { "dropping-particle" : "", "family" : "O'Nions", "given" : "Elizabeth", "non-dropping-particle" : "", "parse-names" : false, "suffix" : "" }, { "dropping-particle" : "", "family" : "Sheridan", "given" : "Luke", "non-dropping-particle" : "", "parse-names" : false, "suffix" : "" }, { "dropping-particle" : "", "family" : "Dayan", "given" : "Peter", "non-dropping-particle" : "", "parse-names" : false, "suffix" : "" }, { "dropping-particle" : "", "family" : "Roiser", "given" : "Jonathan P.", "non-dropping-particle" : "", "parse-names" : false, "suffix" : "" } ], "container-title" : "PLoS Computational Biology", "id" : "ITEM-2", "issue" : "3", "issued" : { "date-parts" : [ [ "2012" ] ] }, "title" : "Bonsai trees in your head: How the pavlovian system sculpts goal-directed choices by pruning decision trees", "type" : "article-journal", "volume" : "8" }, "uris" : [ "http://www.mendeley.com/documents/?uuid=c09cc475-9b9e-4227-8561-ce7266639933" ] }, { "id" : "ITEM-3", "itemData" : { "DOI" : "10.1037/rev0000074", "ISBN" : "1939-1471(Electronic),0033-295X(Print)", "ISSN" : "0033295X", "abstract" : "People\u2019s decisions and judgments are disproportionately swayed by improbable but extreme eventualities, such as terrorism, that come to mind easily. This article explores whether such availability biases can be reconciled with rational information processing by taking into account the fact that decision makers value their time and have limited cognitive resources. Our analysis suggests that to make optimal use of their finite time decision makers should overrepresent the most important potential consequences relative to less important, put potentially more probable, outcomes. To evaluate this account, we derive and test a model we call utility-weighted sampling. Utility-weighted sampling estimates the expected utility of potential actions by simulating their outcomes. Critically, outcomes with more extreme utilities have a higher probability of being simulated. We demonstrate that this model can explain not only people\u2019s availability bias in judging the frequency of extreme events but also a wide range of cognitive biases in decisions from experience, decisions from description, and memory recall.", "author" : [ { "dropping-particle" : "", "family" : "Lieder", "given" : "Falk", "non-dropping-particle" : "", "parse-names" : false, "suffix" : "" }, { "dropping-particle" : "", "family" : "Griffiths", "given" : "Thomas L.", "non-dropping-particle" : "", "parse-names" : false, "suffix" : "" }, { "dropping-particle" : "", "family" : "Hsu", "given" : "Ming", "non-dropping-particle" : "", "parse-names" : false, "suffix" : "" } ], "container-title" : "Psychological Review", "id" : "ITEM-3", "issue" : "1", "issued" : { "date-parts" : [ [ "2018" ] ] }, "page" : "1-32", "title" : "Overrepresentation of extreme events in decision making reflects rational use of cognitive resources", "type" : "article-journal", "volume" : "125" }, "uris" : [ "http://www.mendeley.com/documents/?uuid=cc36b22c-1e46-4c4f-a4b9-5a71245efecd" ] } ], "mendeley" : { "formattedCitation" : "(Cushman &amp; Morris, 2015; Huys et al., 2012; Lieder, Griffiths, &amp; Hsu, 2018)", "plainTextFormattedCitation" : "(Cushman &amp; Morris, 2015; Huys et al., 2012; Lieder, Griffiths, &amp; Hsu, 2018)", "previouslyFormattedCitation" : "(Cushman &amp; Morris, 2015; Huys et al., 2012; Lieder, Griffiths, &amp; Hsu, 2018)" }, "properties" : { "noteIndex" : 0 }, "schema" : "https://github.com/citation-style-language/schema/raw/master/csl-citation.json" }</w:instrText>
      </w:r>
      <w:r w:rsidR="002A27EE" w:rsidRPr="004946F6">
        <w:fldChar w:fldCharType="separate"/>
      </w:r>
      <w:r w:rsidR="00EE60B2" w:rsidRPr="004946F6">
        <w:rPr>
          <w:noProof/>
        </w:rPr>
        <w:t>(Cushman &amp; Morris, 2015; Huys et al., 2012; Lieder, Griffiths, &amp; Hsu, 2018)</w:t>
      </w:r>
      <w:r w:rsidR="002A27EE" w:rsidRPr="004946F6">
        <w:fldChar w:fldCharType="end"/>
      </w:r>
      <w:r w:rsidR="002A27EE" w:rsidRPr="004946F6">
        <w:t>.</w:t>
      </w:r>
    </w:p>
    <w:p w14:paraId="2639E173" w14:textId="2F311E00" w:rsidR="00C62971" w:rsidRPr="004946F6" w:rsidRDefault="0054695C" w:rsidP="00494B21">
      <w:pPr>
        <w:spacing w:line="480" w:lineRule="auto"/>
        <w:jc w:val="both"/>
      </w:pPr>
      <w:r w:rsidRPr="004946F6">
        <w:t>Here we reinterpret emotional memory effects in the framework of retrieved context models with the aim to explain how emotion enhances episodic memory through their already-established mechanisms, thus bringing the emotional memory literature more closely into the fold of the mainstream memory literature.</w:t>
      </w:r>
      <w:r w:rsidR="006E738D" w:rsidRPr="004946F6">
        <w:t xml:space="preserve"> </w:t>
      </w:r>
      <w:r w:rsidR="0020321A" w:rsidRPr="004946F6">
        <w:t xml:space="preserve">Our aims are, first, to consider systematically the different ways in which emotion can be operationalised </w:t>
      </w:r>
      <w:r w:rsidR="00995980" w:rsidRPr="004946F6">
        <w:t>with</w:t>
      </w:r>
      <w:r w:rsidR="0020321A" w:rsidRPr="004946F6">
        <w:t xml:space="preserve">in </w:t>
      </w:r>
      <w:r w:rsidR="00995980" w:rsidRPr="004946F6">
        <w:t xml:space="preserve">the Context Maintenance and Retrieval Model (CMR); </w:t>
      </w:r>
      <w:r w:rsidR="0020321A" w:rsidRPr="004946F6">
        <w:t xml:space="preserve">and second, to identify which constellation of mechanisms allow the extended model, emotional CMR (eCMR), to capture qualitatively key effects </w:t>
      </w:r>
      <w:r w:rsidR="0034719A" w:rsidRPr="004946F6">
        <w:t xml:space="preserve">of </w:t>
      </w:r>
      <w:r w:rsidR="0020321A" w:rsidRPr="004946F6">
        <w:t>episodic memory for emotionally</w:t>
      </w:r>
      <w:r w:rsidR="000F5721" w:rsidRPr="004946F6">
        <w:t xml:space="preserve"> </w:t>
      </w:r>
      <w:r w:rsidR="0020321A" w:rsidRPr="004946F6">
        <w:t>arousing items.</w:t>
      </w:r>
    </w:p>
    <w:p w14:paraId="158AC5F5" w14:textId="77777777" w:rsidR="00F12BB2" w:rsidRPr="004946F6" w:rsidRDefault="00F12BB2" w:rsidP="007F6F4E">
      <w:pPr>
        <w:spacing w:line="480" w:lineRule="auto"/>
        <w:jc w:val="both"/>
      </w:pPr>
    </w:p>
    <w:tbl>
      <w:tblPr>
        <w:tblStyle w:val="TableGrid"/>
        <w:tblW w:w="8505" w:type="dxa"/>
        <w:tblInd w:w="67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05"/>
      </w:tblGrid>
      <w:tr w:rsidR="00574452" w:rsidRPr="004946F6" w14:paraId="2AB8A968" w14:textId="77777777" w:rsidTr="00BC403A">
        <w:trPr>
          <w:trHeight w:val="3647"/>
        </w:trPr>
        <w:tc>
          <w:tcPr>
            <w:tcW w:w="8505" w:type="dxa"/>
          </w:tcPr>
          <w:p w14:paraId="07D8FEEE" w14:textId="77777777" w:rsidR="00574452" w:rsidRPr="004946F6" w:rsidRDefault="00574452" w:rsidP="00BC403A">
            <w:pPr>
              <w:spacing w:line="480" w:lineRule="auto"/>
              <w:rPr>
                <w:b/>
                <w:bCs/>
              </w:rPr>
            </w:pPr>
            <w:r w:rsidRPr="004946F6">
              <w:rPr>
                <w:i/>
                <w:iCs/>
                <w:noProof/>
                <w:lang w:eastAsia="en-GB" w:bidi="he-IL"/>
              </w:rPr>
              <w:drawing>
                <wp:anchor distT="0" distB="0" distL="114300" distR="114300" simplePos="0" relativeHeight="251698176" behindDoc="0" locked="0" layoutInCell="1" allowOverlap="1" wp14:anchorId="0CF904CE" wp14:editId="483A0F4E">
                  <wp:simplePos x="0" y="0"/>
                  <wp:positionH relativeFrom="column">
                    <wp:posOffset>2858135</wp:posOffset>
                  </wp:positionH>
                  <wp:positionV relativeFrom="page">
                    <wp:posOffset>88900</wp:posOffset>
                  </wp:positionV>
                  <wp:extent cx="2667000" cy="2105025"/>
                  <wp:effectExtent l="0" t="0" r="0" b="9525"/>
                  <wp:wrapSquare wrapText="bothSides"/>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667000" cy="2105025"/>
                          </a:xfrm>
                          <a:prstGeom prst="rect">
                            <a:avLst/>
                          </a:prstGeom>
                          <a:noFill/>
                          <a:ln>
                            <a:noFill/>
                          </a:ln>
                          <a:effectLst/>
                        </pic:spPr>
                      </pic:pic>
                    </a:graphicData>
                  </a:graphic>
                  <wp14:sizeRelH relativeFrom="page">
                    <wp14:pctWidth>0</wp14:pctWidth>
                  </wp14:sizeRelH>
                  <wp14:sizeRelV relativeFrom="page">
                    <wp14:pctHeight>0</wp14:pctHeight>
                  </wp14:sizeRelV>
                </wp:anchor>
              </w:drawing>
            </w:r>
            <w:r w:rsidRPr="004946F6">
              <w:rPr>
                <w:b/>
                <w:bCs/>
                <w:noProof/>
                <w:lang w:eastAsia="en-GB" w:bidi="he-IL"/>
              </w:rPr>
              <w:drawing>
                <wp:anchor distT="0" distB="0" distL="114300" distR="114300" simplePos="0" relativeHeight="251697152" behindDoc="0" locked="0" layoutInCell="1" allowOverlap="1" wp14:anchorId="7669ED36" wp14:editId="58BE3491">
                  <wp:simplePos x="0" y="0"/>
                  <wp:positionH relativeFrom="column">
                    <wp:posOffset>125095</wp:posOffset>
                  </wp:positionH>
                  <wp:positionV relativeFrom="paragraph">
                    <wp:posOffset>90170</wp:posOffset>
                  </wp:positionV>
                  <wp:extent cx="2677795" cy="2109470"/>
                  <wp:effectExtent l="0" t="0" r="8255" b="5080"/>
                  <wp:wrapSquare wrapText="bothSides"/>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677795" cy="2109470"/>
                          </a:xfrm>
                          <a:prstGeom prst="rect">
                            <a:avLst/>
                          </a:prstGeom>
                          <a:noFill/>
                          <a:ln>
                            <a:noFill/>
                          </a:ln>
                          <a:effectLst/>
                        </pic:spPr>
                      </pic:pic>
                    </a:graphicData>
                  </a:graphic>
                  <wp14:sizeRelH relativeFrom="page">
                    <wp14:pctWidth>0</wp14:pctWidth>
                  </wp14:sizeRelH>
                  <wp14:sizeRelV relativeFrom="page">
                    <wp14:pctHeight>0</wp14:pctHeight>
                  </wp14:sizeRelV>
                </wp:anchor>
              </w:drawing>
            </w:r>
          </w:p>
        </w:tc>
      </w:tr>
      <w:tr w:rsidR="00574452" w:rsidRPr="004946F6" w14:paraId="3B6ECE17" w14:textId="77777777" w:rsidTr="00BC403A">
        <w:trPr>
          <w:trHeight w:val="552"/>
        </w:trPr>
        <w:tc>
          <w:tcPr>
            <w:tcW w:w="8505" w:type="dxa"/>
          </w:tcPr>
          <w:p w14:paraId="0947D66C" w14:textId="1AA0B80F" w:rsidR="00DA3A25" w:rsidRPr="004946F6" w:rsidRDefault="00574452" w:rsidP="002A27EE">
            <w:pPr>
              <w:spacing w:line="480" w:lineRule="auto"/>
              <w:rPr>
                <w:b/>
                <w:bCs/>
              </w:rPr>
            </w:pPr>
            <w:bookmarkStart w:id="2" w:name="Figure1"/>
            <w:r w:rsidRPr="004946F6">
              <w:rPr>
                <w:b/>
                <w:bCs/>
              </w:rPr>
              <w:t>FIGURE 1</w:t>
            </w:r>
            <w:bookmarkEnd w:id="2"/>
            <w:r w:rsidRPr="004946F6">
              <w:rPr>
                <w:b/>
                <w:bCs/>
              </w:rPr>
              <w:t xml:space="preserve">. </w:t>
            </w:r>
            <w:r w:rsidR="002A27EE" w:rsidRPr="004946F6">
              <w:rPr>
                <w:b/>
                <w:bCs/>
              </w:rPr>
              <w:t>Example negative (emotionally arousing) and neutral stimuli.</w:t>
            </w:r>
            <w:r w:rsidRPr="004946F6">
              <w:rPr>
                <w:b/>
                <w:bCs/>
              </w:rPr>
              <w:t xml:space="preserve"> </w:t>
            </w:r>
          </w:p>
          <w:p w14:paraId="23F9A655" w14:textId="0948D258" w:rsidR="00574452" w:rsidRPr="004946F6" w:rsidRDefault="00574452" w:rsidP="001777DB">
            <w:pPr>
              <w:spacing w:line="480" w:lineRule="auto"/>
              <w:rPr>
                <w:b/>
                <w:bCs/>
                <w:i/>
                <w:iCs/>
              </w:rPr>
            </w:pPr>
            <w:r w:rsidRPr="004946F6">
              <w:rPr>
                <w:i/>
                <w:iCs/>
              </w:rPr>
              <w:t xml:space="preserve">Note. Left. </w:t>
            </w:r>
            <w:r w:rsidRPr="004946F6">
              <w:rPr>
                <w:i/>
                <w:iCs/>
                <w:lang w:val="en"/>
              </w:rPr>
              <w:t xml:space="preserve">Ljubljana car crash 2013 </w:t>
            </w:r>
            <w:r w:rsidRPr="004946F6">
              <w:rPr>
                <w:i/>
                <w:iCs/>
              </w:rPr>
              <w:t>©</w:t>
            </w:r>
            <w:r w:rsidRPr="004946F6">
              <w:rPr>
                <w:i/>
                <w:iCs/>
                <w:lang w:val="en"/>
              </w:rPr>
              <w:t xml:space="preserve"> </w:t>
            </w:r>
            <w:hyperlink r:id="rId11" w:history="1">
              <w:r w:rsidRPr="004946F6">
                <w:rPr>
                  <w:rStyle w:val="Hyperlink"/>
                  <w:i/>
                  <w:iCs/>
                  <w:color w:val="auto"/>
                  <w:u w:val="none"/>
                </w:rPr>
                <w:t>Dino Kužnik</w:t>
              </w:r>
            </w:hyperlink>
            <w:r w:rsidR="006E738D" w:rsidRPr="004946F6">
              <w:rPr>
                <w:i/>
                <w:iCs/>
                <w:lang w:val="en"/>
              </w:rPr>
              <w:t xml:space="preserve"> </w:t>
            </w:r>
            <w:r w:rsidRPr="004946F6">
              <w:rPr>
                <w:i/>
                <w:iCs/>
                <w:lang w:val="en"/>
              </w:rPr>
              <w:t>(</w:t>
            </w:r>
            <w:hyperlink r:id="rId12" w:tooltip="Category:CC-BY-2.0" w:history="1">
              <w:r w:rsidRPr="004946F6">
                <w:rPr>
                  <w:rStyle w:val="Hyperlink"/>
                  <w:i/>
                  <w:iCs/>
                  <w:color w:val="auto"/>
                  <w:u w:val="none"/>
                </w:rPr>
                <w:t>CC-BY-2.0</w:t>
              </w:r>
            </w:hyperlink>
            <w:r w:rsidRPr="004946F6">
              <w:rPr>
                <w:i/>
                <w:iCs/>
              </w:rPr>
              <w:t xml:space="preserve">) Right. </w:t>
            </w:r>
            <w:hyperlink r:id="rId13" w:tooltip="view full size image" w:history="1">
              <w:r w:rsidRPr="004946F6">
                <w:rPr>
                  <w:rStyle w:val="Hyperlink"/>
                  <w:i/>
                  <w:iCs/>
                  <w:color w:val="auto"/>
                  <w:u w:val="none"/>
                </w:rPr>
                <w:t>High Street cars in Narberth</w:t>
              </w:r>
            </w:hyperlink>
            <w:r w:rsidRPr="004946F6">
              <w:rPr>
                <w:i/>
                <w:iCs/>
              </w:rPr>
              <w:t xml:space="preserve"> © </w:t>
            </w:r>
            <w:hyperlink r:id="rId14" w:tooltip="View profile" w:history="1">
              <w:r w:rsidRPr="004946F6">
                <w:rPr>
                  <w:rStyle w:val="Hyperlink"/>
                  <w:i/>
                  <w:iCs/>
                  <w:color w:val="auto"/>
                  <w:u w:val="none"/>
                </w:rPr>
                <w:t>Jaggery</w:t>
              </w:r>
            </w:hyperlink>
            <w:r w:rsidRPr="004946F6">
              <w:rPr>
                <w:i/>
                <w:iCs/>
              </w:rPr>
              <w:t xml:space="preserve"> (</w:t>
            </w:r>
            <w:hyperlink r:id="rId15" w:history="1">
              <w:r w:rsidRPr="004946F6">
                <w:rPr>
                  <w:rStyle w:val="Hyperlink"/>
                  <w:i/>
                  <w:iCs/>
                  <w:color w:val="auto"/>
                  <w:u w:val="none"/>
                </w:rPr>
                <w:t>cc-by-sa/2.0</w:t>
              </w:r>
            </w:hyperlink>
            <w:r w:rsidRPr="004946F6">
              <w:rPr>
                <w:i/>
                <w:iCs/>
              </w:rPr>
              <w:t xml:space="preserve">) </w:t>
            </w:r>
          </w:p>
        </w:tc>
      </w:tr>
    </w:tbl>
    <w:p w14:paraId="24E51F93" w14:textId="77777777" w:rsidR="002C166C" w:rsidRPr="004946F6" w:rsidRDefault="002C166C" w:rsidP="007F6F4E">
      <w:pPr>
        <w:spacing w:line="480" w:lineRule="auto"/>
        <w:jc w:val="both"/>
      </w:pPr>
    </w:p>
    <w:p w14:paraId="04F90E5E" w14:textId="77777777" w:rsidR="00380720" w:rsidRPr="004946F6" w:rsidRDefault="00380720">
      <w:pPr>
        <w:spacing w:line="480" w:lineRule="auto"/>
        <w:jc w:val="both"/>
      </w:pPr>
      <w:r w:rsidRPr="004946F6">
        <w:rPr>
          <w:b/>
        </w:rPr>
        <w:t xml:space="preserve">1.1 </w:t>
      </w:r>
      <w:r w:rsidR="0020321A" w:rsidRPr="004946F6">
        <w:rPr>
          <w:b/>
        </w:rPr>
        <w:t>Existing models of emotion</w:t>
      </w:r>
      <w:r w:rsidR="00F0278E" w:rsidRPr="004946F6">
        <w:rPr>
          <w:b/>
        </w:rPr>
        <w:t>al</w:t>
      </w:r>
      <w:r w:rsidR="0020321A" w:rsidRPr="004946F6">
        <w:rPr>
          <w:b/>
        </w:rPr>
        <w:t xml:space="preserve"> memory</w:t>
      </w:r>
      <w:r w:rsidRPr="004946F6">
        <w:rPr>
          <w:b/>
        </w:rPr>
        <w:t xml:space="preserve"> </w:t>
      </w:r>
    </w:p>
    <w:p w14:paraId="61A8D5F5" w14:textId="7B12C2E6" w:rsidR="00AA09CE" w:rsidRPr="004946F6" w:rsidRDefault="00B37735">
      <w:pPr>
        <w:spacing w:line="480" w:lineRule="auto"/>
        <w:jc w:val="both"/>
      </w:pPr>
      <w:r w:rsidRPr="004946F6">
        <w:t>The f</w:t>
      </w:r>
      <w:r w:rsidR="008179B1" w:rsidRPr="004946F6">
        <w:t xml:space="preserve">ocus of </w:t>
      </w:r>
      <w:r w:rsidRPr="004946F6">
        <w:t xml:space="preserve">the literature on emotional memory </w:t>
      </w:r>
      <w:r w:rsidR="00380720" w:rsidRPr="004946F6">
        <w:t xml:space="preserve">on </w:t>
      </w:r>
      <w:r w:rsidR="008179B1" w:rsidRPr="004946F6">
        <w:t xml:space="preserve">delayed </w:t>
      </w:r>
      <w:r w:rsidR="00380720" w:rsidRPr="004946F6">
        <w:t xml:space="preserve">effects </w:t>
      </w:r>
      <w:r w:rsidR="00F53ACF" w:rsidRPr="004946F6">
        <w:t xml:space="preserve">of emotion </w:t>
      </w:r>
      <w:r w:rsidR="00380720" w:rsidRPr="004946F6">
        <w:t xml:space="preserve">stems </w:t>
      </w:r>
      <w:r w:rsidR="00E142D4" w:rsidRPr="004946F6">
        <w:t xml:space="preserve">partly from the </w:t>
      </w:r>
      <w:r w:rsidR="00753F02" w:rsidRPr="004946F6">
        <w:t>social</w:t>
      </w:r>
      <w:r w:rsidR="00E142D4" w:rsidRPr="004946F6">
        <w:t xml:space="preserve"> value of understanding memor</w:t>
      </w:r>
      <w:r w:rsidR="00753F02" w:rsidRPr="004946F6">
        <w:t>y for key life events</w:t>
      </w:r>
      <w:r w:rsidR="00B61713">
        <w:t xml:space="preserve"> - </w:t>
      </w:r>
      <w:r w:rsidR="00753F02" w:rsidRPr="004946F6">
        <w:t>experiences that define us as people (</w:t>
      </w:r>
      <w:r w:rsidR="00AE295D" w:rsidRPr="004946F6">
        <w:t>graduating from school, winning a competition</w:t>
      </w:r>
      <w:r w:rsidR="00753F02" w:rsidRPr="004946F6">
        <w:t>) and as community members (weddings</w:t>
      </w:r>
      <w:r w:rsidR="00AE295D" w:rsidRPr="004946F6">
        <w:t xml:space="preserve">, </w:t>
      </w:r>
      <w:r w:rsidR="00FF3139" w:rsidRPr="004946F6">
        <w:t xml:space="preserve">funerals, </w:t>
      </w:r>
      <w:r w:rsidR="00AE295D" w:rsidRPr="004946F6">
        <w:t>flash-bulb memories for culturally important events</w:t>
      </w:r>
      <w:r w:rsidR="00753F02" w:rsidRPr="004946F6">
        <w:t>).</w:t>
      </w:r>
      <w:r w:rsidR="00E142D4" w:rsidRPr="004946F6">
        <w:t xml:space="preserve"> </w:t>
      </w:r>
      <w:r w:rsidR="002C166C" w:rsidRPr="004946F6">
        <w:t>This remained a focus in the laboratory, where emotional experiences were operat</w:t>
      </w:r>
      <w:r w:rsidR="00B61713">
        <w:t>i</w:t>
      </w:r>
      <w:r w:rsidR="002C166C" w:rsidRPr="004946F6">
        <w:t xml:space="preserve">onalised by presenting participants </w:t>
      </w:r>
      <w:r w:rsidR="004F60F9" w:rsidRPr="004946F6">
        <w:t xml:space="preserve">with </w:t>
      </w:r>
      <w:r w:rsidR="002C166C" w:rsidRPr="004946F6">
        <w:t xml:space="preserve">emotional </w:t>
      </w:r>
      <w:r w:rsidR="004F60F9" w:rsidRPr="004946F6">
        <w:t xml:space="preserve">words, </w:t>
      </w:r>
      <w:r w:rsidR="002C166C" w:rsidRPr="004946F6">
        <w:t>pictures (</w:t>
      </w:r>
      <w:r w:rsidR="00574452" w:rsidRPr="004946F6">
        <w:fldChar w:fldCharType="begin"/>
      </w:r>
      <w:r w:rsidR="00574452" w:rsidRPr="004946F6">
        <w:instrText xml:space="preserve"> REF Figure1 \h </w:instrText>
      </w:r>
      <w:r w:rsidR="007A07D9" w:rsidRPr="004946F6">
        <w:instrText xml:space="preserve"> \* MERGEFORMAT </w:instrText>
      </w:r>
      <w:r w:rsidR="00574452" w:rsidRPr="004946F6">
        <w:fldChar w:fldCharType="separate"/>
      </w:r>
      <w:r w:rsidR="00574452" w:rsidRPr="004946F6">
        <w:rPr>
          <w:b/>
          <w:bCs/>
        </w:rPr>
        <w:t>FIGURE 1</w:t>
      </w:r>
      <w:r w:rsidR="00574452" w:rsidRPr="004946F6">
        <w:fldChar w:fldCharType="end"/>
      </w:r>
      <w:r w:rsidR="002C166C" w:rsidRPr="004946F6">
        <w:t>)</w:t>
      </w:r>
      <w:r w:rsidR="00B61713">
        <w:t>, stories</w:t>
      </w:r>
      <w:r w:rsidR="004F60F9" w:rsidRPr="004946F6">
        <w:t xml:space="preserve"> and</w:t>
      </w:r>
      <w:r w:rsidR="002C166C" w:rsidRPr="004946F6">
        <w:t xml:space="preserve"> film clips</w:t>
      </w:r>
      <w:r w:rsidR="00FF3139" w:rsidRPr="004946F6">
        <w:t xml:space="preserve">, and </w:t>
      </w:r>
      <w:r w:rsidR="00B61713">
        <w:t xml:space="preserve">testing </w:t>
      </w:r>
      <w:r w:rsidR="00FF3139" w:rsidRPr="004946F6">
        <w:t xml:space="preserve">memory for them </w:t>
      </w:r>
      <w:r w:rsidR="00E64353" w:rsidRPr="004946F6">
        <w:t>24 hours to two weeks</w:t>
      </w:r>
      <w:r w:rsidR="00FF3139" w:rsidRPr="004946F6">
        <w:t xml:space="preserve"> later</w:t>
      </w:r>
      <w:r w:rsidR="002C166C" w:rsidRPr="004946F6">
        <w:t xml:space="preserve">. </w:t>
      </w:r>
      <w:r w:rsidR="00753F02" w:rsidRPr="004946F6">
        <w:t xml:space="preserve">Another contributing factor </w:t>
      </w:r>
      <w:r w:rsidR="006367A1" w:rsidRPr="004946F6">
        <w:t xml:space="preserve">for the focus on </w:t>
      </w:r>
      <w:r w:rsidR="008179B1" w:rsidRPr="004946F6">
        <w:t>delayed</w:t>
      </w:r>
      <w:r w:rsidR="006367A1" w:rsidRPr="004946F6">
        <w:t xml:space="preserve"> memory </w:t>
      </w:r>
      <w:r w:rsidR="000447EC" w:rsidRPr="004946F6">
        <w:t>i</w:t>
      </w:r>
      <w:r w:rsidR="00753F02" w:rsidRPr="004946F6">
        <w:t xml:space="preserve">s </w:t>
      </w:r>
      <w:r w:rsidR="00E142D4" w:rsidRPr="004946F6">
        <w:t xml:space="preserve">that the </w:t>
      </w:r>
      <w:r w:rsidR="008179B1" w:rsidRPr="004946F6">
        <w:t>dominant</w:t>
      </w:r>
      <w:r w:rsidR="00E142D4" w:rsidRPr="004946F6">
        <w:t xml:space="preserve"> model for </w:t>
      </w:r>
      <w:r w:rsidR="008179B1" w:rsidRPr="004946F6">
        <w:t>emotional memory</w:t>
      </w:r>
      <w:r w:rsidR="003E5633" w:rsidRPr="004946F6">
        <w:t>, the modulated-consolidation model</w:t>
      </w:r>
      <w:r w:rsidR="00AE295D" w:rsidRPr="004946F6">
        <w:t xml:space="preserve"> </w:t>
      </w:r>
      <w:r w:rsidR="00AE295D" w:rsidRPr="004946F6">
        <w:fldChar w:fldCharType="begin" w:fldLock="1"/>
      </w:r>
      <w:r w:rsidR="008C25E5" w:rsidRPr="004946F6">
        <w:instrText>ADDIN CSL_CITATION { "citationItems" : [ { "id" : "ITEM-1", "itemData" : { "DOI" : "10.1126/science.287.5451.248", "ISSN" : "0036-8075", "PMID" : "10634773", "abstract" : "The memory consolidation hypothesis proposed 100 years ago by M\u00fcller and Pilzecker continues to guide memory research. The hypothesis that new memories consolidate slowly over time has stimulated studies revealing the hormonal and neural influences regulating memory consolidation, as well as molecular and cellular mechanisms. This review examines the progress made over the century in understanding the time-dependent processes that create our lasting memories.", "author" : [ { "dropping-particle" : "", "family" : "McGaugh", "given" : "J L", "non-dropping-particle" : "", "parse-names" : false, "suffix" : "" }, { "dropping-particle" : "", "family" : "M\u00fcller", "given" : "G. E.", "non-dropping-particle" : "", "parse-names" : false, "suffix" : "" }, { "dropping-particle" : "", "family" : "Pilzecker", "given" : "A.", "non-dropping-particle" : "", "parse-names" : false, "suffix" : "" }, { "dropping-particle" : "", "family" : "Glickman", "given" : "S. E.", "non-dropping-particle" : "", "parse-names" : false, "suffix" : "" }, { "dropping-particle" : "", "family" : "Lechner", "given" : "H. A.", "non-dropping-particle" : "", "parse-names" : false, "suffix" : "" }, { "dropping-particle" : "", "family" : "Squire", "given" : "L. R.", "non-dropping-particle" : "", "parse-names" : false, "suffix" : "" }, { "dropping-particle" : "", "family" : "Byrne", "given" : "J. H.", "non-dropping-particle" : "", "parse-names" : false, "suffix" : "" }, { "dropping-particle" : "", "family" : "Polster", "given" : "M. R.", "non-dropping-particle" : "", "parse-names" : false, "suffix" : "" }, { "dropping-particle" : "", "family" : "Nadel", "given" : "L.", "non-dropping-particle" : "", "parse-names" : false, "suffix" : "" }, { "dropping-particle" : "", "family" : "Schacter", "given" : "D. L.", "non-dropping-particle" : "", "parse-names" : false, "suffix" : "" }, { "dropping-particle" : "", "family" : "McGaugh", "given" : "J. L.", "non-dropping-particle" : "", "parse-names" : false, "suffix" : "" }, { "dropping-particle" : "", "family" : "Dudai", "given" : "Y.", "non-dropping-particle" : "", "parse-names" : false, "suffix" : "" }, { "dropping-particle" : "", "family" : "McDougall", "given" : "W.", "non-dropping-particle" : "", "parse-names" : false, "suffix" : "" }, { "dropping-particle" : "", "family" : "Burnham", "given" : "W. H.", "non-dropping-particle" : "", "parse-names" : false, "suffix" : "" }, { "dropping-particle" : "", "family" : "Duncan", "given" : "C. P.", "non-dropping-particle" : "", "parse-names" : false, "suffix" : "" }, { "dropping-particle" : "", "family" : "Gerard", "given" : "R. W.", "non-dropping-particle" : "", "parse-names" : false, "suffix" : "" }, { "dropping-particle" : "", "family" : "Agranoff", "given" : "B. W.", "non-dropping-particle" : "", "parse-names" : false, "suffix" : "" }, { "dropping-particle" : "", "family" : "Davis", "given" : "R. E.", "non-dropping-particle" : "", "parse-names" : false, "suffix" : "" }, { "dropping-particle" : "", "family" : "Brink", "given" : "J. J.", "non-dropping-particle" : "", "parse-names" : false, "suffix" : "" }, { "dropping-particle" : "", "family" : "McGaugh", "given" : "J. L.", "non-dropping-particle" : "", "parse-names" : false, "suffix" : "" }, { "dropping-particle" : "", "family" : "Alloway", "given" : "T. M.", "non-dropping-particle" : "", "parse-names" : false, "suffix" : "" }, { "dropping-particle" : "", "family" : "Routtenberg", "given" : "A.", "non-dropping-particle" : "", "parse-names" : false, "suffix" : "" }, { "dropping-particle" : "", "family" : "Tully", "given" : "T.", "non-dropping-particle" : "", "parse-names" : false, "suffix" : "" }, { "dropping-particle" : "", "family" : "Preat", "given" : "T.", "non-dropping-particle" : "", "parse-names" : false, "suffix" : "" }, { "dropping-particle" : "", "family" : "Boynton", "given" : "S. C.", "non-dropping-particle" : "", "parse-names" : false, "suffix" : "" }, { "dropping-particle" : "Del", "family" : "Vecchio", "given" : "M.", "non-dropping-particle" : "", "parse-names" : false, "suffix" : "" }, { "dropping-particle" : "", "family" : "Menzel", "given" : "R.", "non-dropping-particle" : "", "parse-names" : false, "suffix" : "" }, { "dropping-particle" : "", "family" : "M\u00fcller", "given" : "U.", "non-dropping-particle" : "", "parse-names" : false, "suffix" : "" }, { "dropping-particle" : "", "family" : "M\u00fcller", "given" : "U.", "non-dropping-particle" : "", "parse-names" : false, "suffix" : "" }, { "dropping-particle" : "", "family" : "Sandi", "given" : "C.", "non-dropping-particle" : "", "parse-names" : false, "suffix" : "" }, { "dropping-particle" : "", "family" : "Rose", "given" : "S. P. R.", "non-dropping-particle" : "", "parse-names" : false, "suffix" : "" }, { "dropping-particle" : "", "family" : "Gold", "given" : "P. E.", "non-dropping-particle" : "", "parse-names" : false, "suffix" : "" }, { "dropping-particle" : "van", "family" : "Buskirk", "given" : "R.", "non-dropping-particle" : "", "parse-names" : false, "suffix" : "" }, { "dropping-particle" : "de", "family" : "Kloet", "given" : "E. R.", "non-dropping-particle" : "", "parse-names" : false, "suffix" : "" }, { "dropping-particle" : "", "family" : "___", "given" : ".", "non-dropping-particle" : "", "parse-names" : false, "suffix" : "" }, { "dropping-particle" : "", "family" : "Kock", "given" : "S.", "non-dropping-particle" : "", "parse-names" : false, "suffix" : "" }, { "dropping-particle" : "", "family" : "Schild", "given" : "V.", "non-dropping-particle" : "", "parse-names" : false, "suffix" : "" }, { "dropping-particle" : "", "family" : "Veldhuis", "given" : "H. D.", "non-dropping-particle" : "", "parse-names" : false, "suffix" : "" }, { "dropping-particle" : "", "family" : "Lupien", "given" : "S. J.", "non-dropping-particle" : "", "parse-names" : false, "suffix" : "" }, { "dropping-particle" : "", "family" : "McEwen", "given" : "B. S.", "non-dropping-particle" : "", "parse-names" : false, "suffix" : "" }, { "dropping-particle" : "", "family" : "McGaugh", "given" : "J. L.", "non-dropping-particle" : "", "parse-names" : false, "suffix" : "" }, { "dropping-particle" : "", "family" : "Cahill", "given" : "L.", "non-dropping-particle" : "", "parse-names" : false, "suffix" : "" }, { "dropping-particle" : "", "family" : "Roozendaal", "given" : "B.", "non-dropping-particle" : "", "parse-names" : false, "suffix" : "" }, { "dropping-particle" : "", "family" : "Liang", "given" : "K. C.", "non-dropping-particle" : "", "parse-names" : false, "suffix" : "" }, { "dropping-particle" : "", "family" : "Juler", "given" : "R. G.", "non-dropping-particle" : "", "parse-names" : false, "suffix" : "" }, { "dropping-particle" : "", "family" : "McGaugh", "given" : "J. L.", "non-dropping-particle" : "", "parse-names" : false, "suffix" : "" }, { "dropping-particle" : "", "family" : "Roozendaal", "given" : "B.", "non-dropping-particle" : "", "parse-names" : false, "suffix" : "" }, { "dropping-particle" : "", "family" : "McGaugh", "given" : "J. L.", "non-dropping-particle" : "", "parse-names" : false, "suffix" : "" }, { "dropping-particle" : "", "family" : "Hatfield", "given" : "T.", "non-dropping-particle" : "", "parse-names" : false, "suffix" : "" }, { "dropping-particle" : "", "family" : "McGaugh", "given" : "J. L.", "non-dropping-particle" : "", "parse-names" : false, "suffix" : "" }, { "dropping-particle" : "", "family" : "Ferry", "given" : "B.", "non-dropping-particle" : "", "parse-names" : false, "suffix" : "" }, { "dropping-particle" : "", "family" : "McGaugh", "given" : "J. L.", "non-dropping-particle" : "", "parse-names" : false, "suffix" : "" }, { "dropping-particle" : "", "family" : "Quirarte", "given" : "G. L.", "non-dropping-particle" : "", "parse-names" : false, "suffix" : "" }, { "dropping-particle" : "", "family" : "Roozendaal", "given" : "B.", "non-dropping-particle" : "", "parse-names" : false, "suffix" : "" }, { "dropping-particle" : "", "family" : "McGaugh", "given" : "J. L.", "non-dropping-particle" : "", "parse-names" : false, "suffix" : "" }, { "dropping-particle" : "", "family" : "Galvez", "given" : "R.", "non-dropping-particle" : "", "parse-names" : false, "suffix" : "" }, { "dropping-particle" : "", "family" : "Mesches", "given" : "M.", "non-dropping-particle" : "", "parse-names" : false, "suffix" : "" }, { "dropping-particle" : "", "family" : "McGaugh", "given" : "J. L.", "non-dropping-particle" : "", "parse-names" : false, "suffix" : "" }, { "dropping-particle" : "", "family" : "Quirarte", "given" : "G. L.", "non-dropping-particle" : "", "parse-names" : false, "suffix" : "" }, { "dropping-particle" : "", "family" : "Galvez", "given" : "R.", "non-dropping-particle" : "", "parse-names" : false, "suffix" : "" }, { "dropping-particle" : "", "family" : "Roozendaal", "given" : "B.", "non-dropping-particle" : "", "parse-names" : false, "suffix" : "" }, { "dropping-particle" : "", "family" : "McGaugh", "given" : "J. L.", "non-dropping-particle" : "", "parse-names" : false, "suffix" : "" }, { "dropping-particle" : "", "family" : "Williams", "given" : "C. L.", "non-dropping-particle" : "", "parse-names" : false, "suffix" : "" }, { "dropping-particle" : "", "family" : "Men", "given" : "D.", "non-dropping-particle" : "", "parse-names" : false, "suffix" : "" }, { "dropping-particle" : "", "family" : "Clayton", "given" : "E. C.", "non-dropping-particle" : "", "parse-names" : false, "suffix" : "" }, { "dropping-particle" : "", "family" : "Gold", "given" : "P. E.", "non-dropping-particle" : "", "parse-names" : false, "suffix" : "" }, { "dropping-particle" : "", "family" : "Hatfield", "given" : "T.", "non-dropping-particle" : "", "parse-names" : false, "suffix" : "" }, { "dropping-particle" : "", "family" : "Spanis", "given" : "C.", "non-dropping-particle" : "", "parse-names" : false, "suffix" : "" }, { "dropping-particle" : "", "family" : "McGaugh", "given" : "J. L.", "non-dropping-particle" : "", "parse-names" : false, "suffix" : "" }, { "dropping-particle" : "", "family" : "Packard", "given" : "M. G.", "non-dropping-particle" : "", "parse-names" : false, "suffix" : "" }, { "dropping-particle" : "", "family" : "White", "given" : "N. M.", "non-dropping-particle" : "", "parse-names" : false, "suffix" : "" }, { "dropping-particle" : "", "family" : "Packard", "given" : "M. G.", "non-dropping-particle" : "", "parse-names" : false, "suffix" : "" }, { "dropping-particle" : "", "family" : "Hirsh", "given" : "R.", "non-dropping-particle" : "", "parse-names" : false, "suffix" : "" }, { "dropping-particle" : "", "family" : "White", "given" : "N. M.", "non-dropping-particle" : "", "parse-names" : false, "suffix" : "" }, { "dropping-particle" : "", "family" : "Packard", "given" : "M. G.", "non-dropping-particle" : "", "parse-names" : false, "suffix" : "" }, { "dropping-particle" : "", "family" : "Cahill", "given" : "L.", "non-dropping-particle" : "", "parse-names" : false, "suffix" : "" }, { "dropping-particle" : "", "family" : "McGaugh", "given" : "J. L.", "non-dropping-particle" : "", "parse-names" : false, "suffix" : "" }, { "dropping-particle" : "", "family" : "Packard", "given" : "M. G.", "non-dropping-particle" : "", "parse-names" : false, "suffix" : "" }, { "dropping-particle" : "", "family" : "Teather", "given" : "L.", "non-dropping-particle" : "", "parse-names" : false, "suffix" : "" }, { "dropping-particle" : "", "family" : "Roozendaal", "given" : "B.", "non-dropping-particle" : "", "parse-names" : false, "suffix" : "" }, { "dropping-particle" : "", "family" : "McGaugh", "given" : "J. L.", "non-dropping-particle" : "", "parse-names" : false, "suffix" : "" }, { "dropping-particle" : "", "family" : "Roozendaal", "given" : "B.", "non-dropping-particle" : "", "parse-names" : false, "suffix" : "" }, { "dropping-particle" : "", "family" : "Nguyen", "given" : "B.T.", "non-dropping-particle" : "", "parse-names" : false, "suffix" : "" }, { "dropping-particle" : "", "family" : "Power", "given" : "A.", "non-dropping-particle" : "", "parse-names" : false, "suffix" : "" }, { "dropping-particle" : "", "family" : "McGaugh", "given" : "J. L.", "non-dropping-particle" : "", "parse-names" : false, "suffix" : "" }, { "dropping-particle" : "", "family" : "Ikegaya", "given" : "Y.", "non-dropping-particle" : "", "parse-names" : false, "suffix" : "" }, { "dropping-particle" : "", "family" : "Saito", "given" : "H.", "non-dropping-particle" : "", "parse-names" : false, "suffix" : "" }, { "dropping-particle" : "", "family" : "Abe", "given" : "K.", "non-dropping-particle" : "", "parse-names" : false, "suffix" : "" }, { "dropping-particle" : "", "family" : "___", "given" : ".", "non-dropping-particle" : "", "parse-names" : false, "suffix" : "" }, { "dropping-particle" : "", "family" : "Nakanishi", "given" : "K.", "non-dropping-particle" : "", "parse-names" : false, "suffix" : "" }, { "dropping-particle" : "", "family" : "Bermudez-Rattoni", "given" : "F.", "non-dropping-particle" : "", "parse-names" : false, "suffix" : "" }, { "dropping-particle" : "", "family" : "Introini-Collison", "given" : "I. B.", "non-dropping-particle" : "", "parse-names" : false, "suffix" : "" }, { "dropping-particle" : "", "family" : "McGaugh", "given" : "J. L.", "non-dropping-particle" : "", "parse-names" : false, "suffix" : "" }, { "dropping-particle" : "", "family" : "Escobar", "given" : "M. L.", "non-dropping-particle" : "", "parse-names" : false, "suffix" : "" }, { "dropping-particle" : "", "family" : "Chao", "given" : "V.", "non-dropping-particle" : "", "parse-names" : false, "suffix" : "" }, { "dropping-particle" : "", "family" : "Bermudez-Rattoni", "given" : "F.", "non-dropping-particle" : "", "parse-names" : false, "suffix" : "" }, { "dropping-particle" : "", "family" : "Hueting", "given" : "J. E.", "non-dropping-particle" : "", "parse-names" : false, "suffix" : "" }, { "dropping-particle" : "", "family" : "Cahill", "given" : "L.", "non-dropping-particle" : "", "parse-names" : false, "suffix" : "" }, { "dropping-particle" : "", "family" : "Prins", "given" : "B.", "non-dropping-particle" : "", "parse-names" : false, "suffix" : "" }, { "dropping-particle" : "", "family" : "Weber", "given" : "M.", "non-dropping-particle" : "", "parse-names" : false, "suffix" : "" }, { "dropping-particle" : "", "family" : "McGaugh", "given" : "J. L.", "non-dropping-particle" : "", "parse-names" : false, "suffix" : "" }, { "dropping-particle" : "van", "family" : "Stegeren", "given" : "A. H.", "non-dropping-particle" : "", "parse-names" : false, "suffix" : "" }, { "dropping-particle" : "", "family" : "Everaerd", "given" : "W.", "non-dropping-particle" : "", "parse-names" : false, "suffix" : "" }, { "dropping-particle" : "", "family" : "Cahill", "given" : "L.", "non-dropping-particle" : "", "parse-names" : false, "suffix" : "" }, { "dropping-particle" : "", "family" : "McGaugh", "given" : "J. L.", "non-dropping-particle" : "", "parse-names" : false, "suffix" : "" }, { "dropping-particle" : "", "family" : "Gooren", "given" : "L. J. G.", "non-dropping-particle" : "", "parse-names" : false, "suffix" : "" }, { "dropping-particle" : "", "family" : "Nielson", "given" : "K.", "non-dropping-particle" : "", "parse-names" : false, "suffix" : "" }, { "dropping-particle" : "", "family" : "Jensen", "given" : "R.", "non-dropping-particle" : "", "parse-names" : false, "suffix" : "" }, { "dropping-particle" : "", "family" : "Cahill", "given" : "L.", "non-dropping-particle" : "", "parse-names" : false, "suffix" : "" }, { "dropping-particle" : "", "family" : "Babinsky", "given" : "R.", "non-dropping-particle" : "", "parse-names" : false, "suffix" : "" }, { "dropping-particle" : "", "family" : "Markowitsch", "given" : "H. J.", "non-dropping-particle" : "", "parse-names" : false, "suffix" : "" }, { "dropping-particle" : "", "family" : "McGaugh", "given" : "J. L.", "non-dropping-particle" : "", "parse-names" : false, "suffix" : "" }, { "dropping-particle" : "", "family" : "Adolphs", "given" : "R.", "non-dropping-particle" : "", "parse-names" : false, "suffix" : "" }, { "dropping-particle" : "", "family" : "Cahill", "given" : "L.", "non-dropping-particle" : "", "parse-names" : false, "suffix" : "" }, { "dropping-particle" : "", "family" : "Schul", "given" : "R.", "non-dropping-particle" : "", "parse-names" : false, "suffix" : "" }, { "dropping-particle" : "", "family" : "Babinsky", "given" : "R.", "non-dropping-particle" : "", "parse-names" : false, "suffix" : "" }, { "dropping-particle" : "", "family" : "Hamann", "given" : "S.", "non-dropping-particle" : "", "parse-names" : false, "suffix" : "" }, { "dropping-particle" : "", "family" : "Ely", "given" : "T.", "non-dropping-particle" : "", "parse-names" : false, "suffix" : "" }, { "dropping-particle" : "", "family" : "Grafton", "given" : "S.", "non-dropping-particle" : "", "parse-names" : false, "suffix" : "" }, { "dropping-particle" : "", "family" : "Kilts", "given" : "C.", "non-dropping-particle" : "", "parse-names" : false, "suffix" : "" }, { "dropping-particle" : "", "family" : "Shadmehr", "given" : "R.", "non-dropping-particle" : "", "parse-names" : false, "suffix" : "" }, { "dropping-particle" : "", "family" : "Holcomb", "given" : "H. H.", "non-dropping-particle" : "", "parse-names" : false, "suffix" : "" }, { "dropping-particle" : "", "family" : "Weinberger", "given" : "N. M.", "non-dropping-particle" : "", "parse-names" : false, "suffix" : "" }, { "dropping-particle" : "", "family" : "Bjordahl", "given" : "T. S.", "non-dropping-particle" : "", "parse-names" : false, "suffix" : "" }, { "dropping-particle" : "", "family" : "Dimyan", "given" : "M. A.", "non-dropping-particle" : "", "parse-names" : false, "suffix" : "" }, { "dropping-particle" : "", "family" : "Weinberger", "given" : "N. M.", "non-dropping-particle" : "", "parse-names" : false, "suffix" : "" }, { "dropping-particle" : "V.", "family" : "Galvan", "given" : "V.", "non-dropping-particle" : "", "parse-names" : false, "suffix" : "" }, { "dropping-particle" : "", "family" : "Chen", "given" : "J.", "non-dropping-particle" : "", "parse-names" : false, "suffix" : "" }, { "dropping-particle" : "", "family" : "Weinberger", "given" : "N. M.", "non-dropping-particle" : "", "parse-names" : false, "suffix" : "" }, { "dropping-particle" : "", "family" : "Winocur", "given" : "G.", "non-dropping-particle" : "", "parse-names" : false, "suffix" : "" }, { "dropping-particle" : "", "family" : "Zola-Morgan", "given" : "S.", "non-dropping-particle" : "", "parse-names" : false, "suffix" : "" }, { "dropping-particle" : "", "family" : "Squire", "given" : "L. R.", "non-dropping-particle" : "", "parse-names" : false, "suffix" : "" }, { "dropping-particle" : "", "family" : "Kim", "given" : "J. J.", "non-dropping-particle" : "", "parse-names" : false, "suffix" : "" }, { "dropping-particle" : "", "family" : "Fanselow", "given" : "M. S.", "non-dropping-particle" : "", "parse-names" : false, "suffix" : "" }, { "dropping-particle" : "", "family" : "Cho", "given" : "Y. H.", "non-dropping-particle" : "", "parse-names" : false, "suffix" : "" }, { "dropping-particle" : "", "family" : "Beracochea", "given" : "D.", "non-dropping-particle" : "", "parse-names" : false, "suffix" : "" }, { "dropping-particle" : "", "family" : "Jaffard", "given" : "R.", "non-dropping-particle" : "", "parse-names" : false, "suffix" : "" }, { "dropping-particle" : "", "family" : "Kim", "given" : "J. J.", "non-dropping-particle" : "", "parse-names" : false, "suffix" : "" }, { "dropping-particle" : "", "family" : "Clark", "given" : "R. E.", "non-dropping-particle" : "", "parse-names" : false, "suffix" : "" }, { "dropping-particle" : "", "family" : "Thompson", "given" : "R. F.", "non-dropping-particle" : "", "parse-names" : false, "suffix" : "" }, { "dropping-particle" : "", "family" : "Reidel", "given" : "G.", "non-dropping-particle" : "", "parse-names" : false, "suffix" : "" }, { "dropping-particle" : "", "family" : "Scoville", "given" : "W. B.", "non-dropping-particle" : "", "parse-names" : false, "suffix" : "" }, { "dropping-particle" : "", "family" : "Milner", "given" : "B.", "non-dropping-particle" : "", "parse-names" : false, "suffix" : "" }, { "dropping-particle" : "", "family" : "Squire", "given" : "L. R.", "non-dropping-particle" : "", "parse-names" : false, "suffix" : "" }, { "dropping-particle" : "", "family" : "Alvarez", "given" : "P.", "non-dropping-particle" : "", "parse-names" : false, "suffix" : "" }, { "dropping-particle" : "", "family" : "Tyler", "given" : "T. J.", "non-dropping-particle" : "", "parse-names" : false, "suffix" : "" }, { "dropping-particle" : "", "family" : "DiScenna", "given" : "P.", "non-dropping-particle" : "", "parse-names" : false, "suffix" : "" }, { "dropping-particle" : "", "family" : "Shors", "given" : "T. J.", "non-dropping-particle" : "", "parse-names" : false, "suffix" : "" }, { "dropping-particle" : "", "family" : "Matzel", "given" : "L. D.", "non-dropping-particle" : "", "parse-names" : false, "suffix" : "" }, { "dropping-particle" : "", "family" : "Malenka", "given" : "R. C.", "non-dropping-particle" : "", "parse-names" : false, "suffix" : "" }, { "dropping-particle" : "", "family" : "Nicoll", "given" : "R. A.", "non-dropping-particle" : "", "parse-names" : false, "suffix" : "" }, { "dropping-particle" : "", "family" : "Seidenbacher", "given" : "T.", "non-dropping-particle" : "", "parse-names" : false, "suffix" : "" }, { "dropping-particle" : "", "family" : "Reymann", "given" : "K. G.", "non-dropping-particle" : "", "parse-names" : false, "suffix" : "" }, { "dropping-particle" : "", "family" : "Balschun", "given" : "D.", "non-dropping-particle" : "", "parse-names" : false, "suffix" : "" }, { "dropping-particle" : "", "family" : "Frey", "given" : "U.", "non-dropping-particle" : "", "parse-names" : false, "suffix" : "" }, { "dropping-particle" : "", "family" : "Krug", "given" : "M.", "non-dropping-particle" : "", "parse-names" : false, "suffix" : "" }, { "dropping-particle" : "", "family" : "Reymann", "given" : "K. G.", "non-dropping-particle" : "", "parse-names" : false, "suffix" : "" }, { "dropping-particle" : "", "family" : "Matthies", "given" : "H.", "non-dropping-particle" : "", "parse-names" : false, "suffix" : "" }, { "dropping-particle" : "", "family" : "Barros", "given" : "D. M.", "non-dropping-particle" : "", "parse-names" : false, "suffix" : "" }, { "dropping-particle" : "", "family" : "Sheu", "given" : "S.", "non-dropping-particle" : "", "parse-names" : false, "suffix" : "" }, { "dropping-particle" : "", "family" : "Routtenberg", "given" : "A.", "non-dropping-particle" : "", "parse-names" : false, "suffix" : "" }, { "dropping-particle" : "", "family" : "Huang", "given" : "Y.-Y.", "non-dropping-particle" : "", "parse-names" : false, "suffix" : "" }, { "dropping-particle" : "", "family" : "Colley", "given" : "P. A.", "non-dropping-particle" : "", "parse-names" : false, "suffix" : "" }, { "dropping-particle" : "", "family" : "Routtenberg", "given" : "A.", "non-dropping-particle" : "", "parse-names" : false, "suffix" : "" }, { "dropping-particle" : "", "family" : "Jerusalinsky", "given" : "D.", "non-dropping-particle" : "", "parse-names" : false, "suffix" : "" }, { "dropping-particle" : "", "family" : "Huang", "given" : "Y.-Y.", "non-dropping-particle" : "", "parse-names" : false, "suffix" : "" }, { "dropping-particle" : "", "family" : "Kandel", "given" : "E. R.", "non-dropping-particle" : "", "parse-names" : false, "suffix" : "" }, { "dropping-particle" : "", "family" : "Schafe", "given" : "G. E.", "non-dropping-particle" : "", "parse-names" : false, "suffix" : "" }, { "dropping-particle" : "V.", "family" : "Nadel", "given" : "N.", "non-dropping-particle" : "", "parse-names" : false, "suffix" : "" }, { "dropping-particle" : "", "family" : "Sullivan", "given" : "G. M.", "non-dropping-particle" : "", "parse-names" : false, "suffix" : "" }, { "dropping-particle" : "", "family" : "Harris", "given" : "A.", "non-dropping-particle" : "", "parse-names" : false, "suffix" : "" }, { "dropping-particle" : "", "family" : "LeDoux", "given" : "J. E.", "non-dropping-particle" : "", "parse-names" : false, "suffix" : "" }, { "dropping-particle" : "", "family" : "Guzowski", "given" : "J. F.", "non-dropping-particle" : "", "parse-names" : false, "suffix" : "" }, { "dropping-particle" : "", "family" : "McGaugh", "given" : "J. L.", "non-dropping-particle" : "", "parse-names" : false, "suffix" : "" }, { "dropping-particle" : "", "family" : "Tully", "given" : "T.", "non-dropping-particle" : "", "parse-names" : false, "suffix" : "" }, { "dropping-particle" : "", "family" : "Abel", "given" : "T.", "non-dropping-particle" : "", "parse-names" : false, "suffix" : "" }, { "dropping-particle" : "", "family" : "Martin", "given" : "K. C.", "non-dropping-particle" : "", "parse-names" : false, "suffix" : "" }, { "dropping-particle" : "", "family" : "Bartsch", "given" : "D.", "non-dropping-particle" : "", "parse-names" : false, "suffix" : "" }, { "dropping-particle" : "", "family" : "Kandel", "given" : "E. R.", "non-dropping-particle" : "", "parse-names" : false, "suffix" : "" }, { "dropping-particle" : "", "family" : "Regan", "given" : "M.", "non-dropping-particle" : "", "parse-names" : false, "suffix" : "" }, { "dropping-particle" : "", "family" : "Emptage", "given" : "N. J.", "non-dropping-particle" : "", "parse-names" : false, "suffix" : "" }, { "dropping-particle" : "", "family" : "Carew", "given" : "T. J.", "non-dropping-particle" : "", "parse-names" : false, "suffix" : "" }, { "dropping-particle" : "", "family" : "Mauelshagen", "given" : "J.", "non-dropping-particle" : "", "parse-names" : false, "suffix" : "" }, { "dropping-particle" : "", "family" : "Parker", "given" : "G. R.", "non-dropping-particle" : "", "parse-names" : false, "suffix" : "" }, { "dropping-particle" : "", "family" : "Carew", "given" : "T. J.", "non-dropping-particle" : "", "parse-names" : false, "suffix" : "" }, { "dropping-particle" : "", "family" : "M\u00fcller", "given" : "U.", "non-dropping-particle" : "", "parse-names" : false, "suffix" : "" }, { "dropping-particle" : "", "family" : "Carew", "given" : "T. J.", "non-dropping-particle" : "", "parse-names" : false, "suffix" : "" }, { "dropping-particle" : "", "family" : "Izquierdo", "given" : "I.", "non-dropping-particle" : "", "parse-names" : false, "suffix" : "" }, { "dropping-particle" : "", "family" : "Barros", "given" : "D. M.", "non-dropping-particle" : "", "parse-names" : false, "suffix" : "" }, { "dropping-particle" : "", "family" : "Souza", "given" : "T. Mello e", "non-dropping-particle" : "", "parse-names" : false, "suffix" : "" }, { "dropping-particle" : "de", "family" : "Souza", "given" : "M. M.", "non-dropping-particle" : "", "parse-names" : false, "suffix" : "" }, { "dropping-particle" : "", "family" : "Izquierdo", "given" : "L. A.", "non-dropping-particle" : "", "parse-names" : false, "suffix" : "" } ], "container-title" : "Science (New York, N.Y.)", "id" : "ITEM-1", "issue" : "5451", "issued" : { "date-parts" : [ [ "2000" ] ] }, "page" : "248-51", "title" : "Memory--a century of consolidation.", "type" : "article-journal", "volume" : "287" }, "uris" : [ "http://www.mendeley.com/documents/?uuid=5e5ae989-272c-4b6e-909d-67c3383f278d" ] }, { "id" : "ITEM-2", "itemData" : { "DOI" : "10.1016/S0166-2236(97)01214-9", "ISBN" : "0166-2236", "ISSN" : "01662236", "PMID" : "9683321", "abstract" : "Neuroscience is witnessing growing interest in understanding brain mechanisms of memory formation for emotionally arousing events, a development closely related to renewed interest in the concept of memory consolidation. Extensive research in animals implicates stress hormones and the amygdaloid complex as key, interacting modulators of memory consolidation for emotional events. Considerable evidence suggests that the amygdala is not a site of long-term explicit or declarative memory storage, but serves to influence memory-storage processes in other brain regions, such as the hippocampus, striatum and neocortex. Human-subject studies confirm the prediction of animal work that the amygdala is involved with the formation of enhanced declarative memory for emotionally arousing events.", "author" : [ { "dropping-particle" : "", "family" : "Cahill", "given" : "Larry", "non-dropping-particle" : "", "parse-names" : false, "suffix" : "" }, { "dropping-particle" : "", "family" : "McGaugh", "given" : "James L.", "non-dropping-particle" : "", "parse-names" : false, "suffix" : "" } ], "container-title" : "Trends in Neurosciences", "id" : "ITEM-2", "issue" : "7", "issued" : { "date-parts" : [ [ "1998" ] ] }, "page" : "294-299", "title" : "Mechanisms of emotional arousal and lasting declarative memory", "type" : "article", "volume" : "21" }, "uris" : [ "http://www.mendeley.com/documents/?uuid=76bd1b1a-6d3b-4e83-be24-3894eb26b471" ] } ], "mendeley" : { "formattedCitation" : "(Cahill &amp; McGaugh, 1998; McGaugh et al., 2000)", "plainTextFormattedCitation" : "(Cahill &amp; McGaugh, 1998; McGaugh et al., 2000)", "previouslyFormattedCitation" : "(Cahill &amp; McGaugh, 1998; McGaugh et al., 2000)" }, "properties" : { "noteIndex" : 0 }, "schema" : "https://github.com/citation-style-language/schema/raw/master/csl-citation.json" }</w:instrText>
      </w:r>
      <w:r w:rsidR="00AE295D" w:rsidRPr="004946F6">
        <w:fldChar w:fldCharType="separate"/>
      </w:r>
      <w:r w:rsidR="00AE295D" w:rsidRPr="004946F6">
        <w:rPr>
          <w:noProof/>
        </w:rPr>
        <w:t>(Cahill &amp; McGaugh, 1998; McGaugh et al., 2000)</w:t>
      </w:r>
      <w:r w:rsidR="00AE295D" w:rsidRPr="004946F6">
        <w:fldChar w:fldCharType="end"/>
      </w:r>
      <w:r w:rsidR="003E5633" w:rsidRPr="004946F6">
        <w:t>,</w:t>
      </w:r>
      <w:r w:rsidR="00E142D4" w:rsidRPr="004946F6">
        <w:t xml:space="preserve"> </w:t>
      </w:r>
      <w:r w:rsidR="008179B1" w:rsidRPr="004946F6">
        <w:t xml:space="preserve">is concerned with </w:t>
      </w:r>
      <w:r w:rsidR="00E142D4" w:rsidRPr="004946F6">
        <w:t>effect</w:t>
      </w:r>
      <w:r w:rsidR="00153AFF" w:rsidRPr="004946F6">
        <w:t>s</w:t>
      </w:r>
      <w:r w:rsidR="00E142D4" w:rsidRPr="004946F6">
        <w:t xml:space="preserve"> </w:t>
      </w:r>
      <w:r w:rsidR="00585FB6" w:rsidRPr="004946F6">
        <w:t>that manifest themselves after a few hours, but not before</w:t>
      </w:r>
      <w:r w:rsidR="00E142D4" w:rsidRPr="004946F6">
        <w:t xml:space="preserve">. </w:t>
      </w:r>
      <w:r w:rsidR="00BC132C" w:rsidRPr="004946F6">
        <w:t xml:space="preserve">Both the Modulated-consolidation model and the Emotional Binding account </w:t>
      </w:r>
      <w:r w:rsidR="00BC132C" w:rsidRPr="004946F6">
        <w:fldChar w:fldCharType="begin" w:fldLock="1"/>
      </w:r>
      <w:r w:rsidR="008C25E5" w:rsidRPr="004946F6">
        <w:instrText>ADDIN CSL_CITATION { "citationItems" : [ { "id" : "ITEM-1", "itemData" : { "DOI" : "10.1016/j.tics.2015.02.009", "ISBN" : "1879-307X (Electronic)\\r1364-6613 (Linking)", "ISSN" : "1879307X", "PMID" : "25836045", "abstract" : "Emotional events are remembered better than neutral events, and this emotion advantage becomes particularly pronounced over time. The time-dependent effects of emotion impact upon recollection rather than on familiarity-based recognition, and they influence the recollection of item-specific details rather than contextual details. Moreover, the amygdala, but not the hippocampus, is crucial for producing these effects. Time-dependent effects of emotion have been attributed to an emotional consolidation process whereby the amygdala gradually facilitates the storage of emotional memories by other medial temporal lobe regions. However, we propose that these effects can be better understood by an emotional binding account whereby the amygdala mediates the recollection of item-emotion bindings that are forgotten more slowly than item-context bindings supported by the hippocampus.", "author" : [ { "dropping-particle" : "", "family" : "Yonelinas", "given" : "Andrew P.", "non-dropping-particle" : "", "parse-names" : false, "suffix" : "" }, { "dropping-particle" : "", "family" : "Ritchey", "given" : "Maureen", "non-dropping-particle" : "", "parse-names" : false, "suffix" : "" } ], "container-title" : "Trends in Cognitive Sciences", "id" : "ITEM-1", "issue" : "5", "issued" : { "date-parts" : [ [ "2015" ] ] }, "page" : "259-267", "publisher" : "Elsevier Ltd", "title" : "The slow forgetting of emotional episodic memories: An emotional binding account", "type" : "article-journal", "volume" : "19" }, "uris" : [ "http://www.mendeley.com/documents/?uuid=b2c9465d-ace6-4f5e-a6bf-323b66b58ed5" ] } ], "mendeley" : { "formattedCitation" : "(Yonelinas &amp; Ritchey, 2015)", "plainTextFormattedCitation" : "(Yonelinas &amp; Ritchey, 2015)", "previouslyFormattedCitation" : "(Yonelinas &amp; Ritchey, 2015)" }, "properties" : { "noteIndex" : 0 }, "schema" : "https://github.com/citation-style-language/schema/raw/master/csl-citation.json" }</w:instrText>
      </w:r>
      <w:r w:rsidR="00BC132C" w:rsidRPr="004946F6">
        <w:fldChar w:fldCharType="separate"/>
      </w:r>
      <w:r w:rsidR="00BC132C" w:rsidRPr="004946F6">
        <w:rPr>
          <w:noProof/>
        </w:rPr>
        <w:t>(Yonelinas &amp; Ritchey, 2015)</w:t>
      </w:r>
      <w:r w:rsidR="00BC132C" w:rsidRPr="004946F6">
        <w:fldChar w:fldCharType="end"/>
      </w:r>
      <w:r w:rsidR="00BC132C" w:rsidRPr="004946F6">
        <w:t xml:space="preserve"> attribute all of the explanatory power to processes that occur in the hours and days after stimulus encoding is completed. The former </w:t>
      </w:r>
      <w:r w:rsidR="002A27EE" w:rsidRPr="004946F6">
        <w:t xml:space="preserve">model </w:t>
      </w:r>
      <w:r w:rsidR="00BC132C" w:rsidRPr="004946F6">
        <w:t xml:space="preserve">suggests that emotional arousal directly modulates the consolidation of memory traces, a process that can be triggered when emotional stimuli are encoded but equally when arousal is experienced </w:t>
      </w:r>
      <w:r w:rsidR="00AB7648">
        <w:t xml:space="preserve">soon </w:t>
      </w:r>
      <w:r w:rsidR="00BC132C" w:rsidRPr="004946F6">
        <w:t>after</w:t>
      </w:r>
      <w:r w:rsidR="00AB7648">
        <w:t>wards</w:t>
      </w:r>
      <w:r w:rsidR="00BC132C" w:rsidRPr="004946F6">
        <w:t xml:space="preserve">. The latter </w:t>
      </w:r>
      <w:r w:rsidR="002A27EE" w:rsidRPr="004946F6">
        <w:t xml:space="preserve">account </w:t>
      </w:r>
      <w:r w:rsidR="00BC132C" w:rsidRPr="004946F6">
        <w:t xml:space="preserve">suggests that the arousal experienced at encoding results in attenuated forgetting because of reduced interference from less-common emotional experiences, without influencing consolidation. GANE </w:t>
      </w:r>
      <w:r w:rsidR="00BC132C" w:rsidRPr="004946F6">
        <w:fldChar w:fldCharType="begin" w:fldLock="1"/>
      </w:r>
      <w:r w:rsidR="008C25E5" w:rsidRPr="004946F6">
        <w:instrText>ADDIN CSL_CITATION { "citationItems" : [ { "id" : "ITEM-1", "itemData" : { "DOI" : "10.1017/S0140525X15000667", "ISBN" : "1469-1825 (Electronic)\\r0140-525X (Linking)", "ISSN" : "0140-525X", "PMID" : "26126507", "abstract" : "Existing brain-based emotion-cognition theories fail to explain arousal's ability to both enhance and impair cognitive processing. In the Glutamate Amplifies Noradrenergic Effects (GANE) model outlined in this paper, we propose that arousal-induced norepinephrine (NE) released from the locus coeruleus (LC) biases perception and memory in favor of salient, high priority representations at the expense of lower priority representations. This increase in gain under phasic arousal occurs via synaptic self-regulation of NE based on glutamate levels. When the LC is phasically active, elevated levels of glutamate at the site of prioritized representations increase local NE release, creating \u201cNE hot spots.\u201d At these local hot spots, glutamate and NE release are mutually enhancing and amplify activation of prioritized representations. This excitatory effect contrasts with widespread NE suppression of weaker representations via lateral and auto-inhibitory processes. On a broader scale, hot spots increase oscillatory synchronization across neural ensembles transmitting high priority information. Furthermore, key brain structures that detect or pre-determine stimulus priority interact with phasic NE release to preferentially route such information through large-scale functional brain networks. A surge of NE before, during or after encoding enhances synaptic plasticity at sites of high glutamate activity, triggering local protein synthesis processes that enhance selective memory consolidation. Together, these noradrenergic mechanisms increase perceptual and memory selectivity under arousal. Beyond explaining discrepancies in the emotion-cognition literature, GANE reconciles and extends previous influential theories of LC neuromodulation by highlighting how NE can produce such different outcomes in processing based on priority.", "author" : [ { "dropping-particle" : "", "family" : "Mather", "given" : "Mara", "non-dropping-particle" : "", "parse-names" : false, "suffix" : "" }, { "dropping-particle" : "", "family" : "Clewett", "given" : "David", "non-dropping-particle" : "", "parse-names" : false, "suffix" : "" }, { "dropping-particle" : "", "family" : "Sakaki", "given" : "Michiko", "non-dropping-particle" : "", "parse-names" : false, "suffix" : "" }, { "dropping-particle" : "", "family" : "Harley", "given" : "Carolyn W", "non-dropping-particle" : "", "parse-names" : false, "suffix" : "" } ], "container-title" : "Behavioral and Brain Sciences", "id" : "ITEM-1", "issue" : "June", "issued" : { "date-parts" : [ [ "2015" ] ] }, "page" : "1-100", "title" : "Norepinephrine ignites local hot spots of neuronal excitation: How arousal amplifies selectivity in perception and memory", "type" : "article-journal" }, "uris" : [ "http://www.mendeley.com/documents/?uuid=ff7fa74a-ac48-4f5c-aa27-01f0e454fffd" ] } ], "mendeley" : { "formattedCitation" : "(Mather, Clewett, Sakaki, &amp; Harley, 2015)", "plainTextFormattedCitation" : "(Mather, Clewett, Sakaki, &amp; Harley, 2015)", "previouslyFormattedCitation" : "(Mather, Clewett, Sakaki, &amp; Harley, 2015)" }, "properties" : { "noteIndex" : 0 }, "schema" : "https://github.com/citation-style-language/schema/raw/master/csl-citation.json" }</w:instrText>
      </w:r>
      <w:r w:rsidR="00BC132C" w:rsidRPr="004946F6">
        <w:fldChar w:fldCharType="separate"/>
      </w:r>
      <w:r w:rsidR="00BC132C" w:rsidRPr="004946F6">
        <w:rPr>
          <w:noProof/>
        </w:rPr>
        <w:t>(Mather, Clewett, Sakaki, &amp; Harley, 2015)</w:t>
      </w:r>
      <w:r w:rsidR="00BC132C" w:rsidRPr="004946F6">
        <w:fldChar w:fldCharType="end"/>
      </w:r>
      <w:r w:rsidR="00BC132C" w:rsidRPr="004946F6">
        <w:t xml:space="preserve"> also proposes a neurobiological mechanism for the effect of arousal and arousal-attention interactions on protein synthesis after encoding is completed.</w:t>
      </w:r>
      <w:r w:rsidR="00EA126F" w:rsidRPr="004946F6">
        <w:t xml:space="preserve"> All of these models fare well in accounting for the </w:t>
      </w:r>
      <w:r w:rsidR="00AB7648">
        <w:t>oft-cited</w:t>
      </w:r>
      <w:r w:rsidR="00EA126F" w:rsidRPr="004946F6">
        <w:t xml:space="preserve"> finding that the effect of emotion on memory is more robust in delayed, compared to immediate, memory tests (reviewed in</w:t>
      </w:r>
      <w:r w:rsidR="006E738D" w:rsidRPr="004946F6">
        <w:t xml:space="preserve"> </w:t>
      </w:r>
      <w:r w:rsidR="00EA126F" w:rsidRPr="004946F6">
        <w:t>Yonelinas &amp; Ritchey, 2015</w:t>
      </w:r>
      <w:r w:rsidR="00AB7648">
        <w:t xml:space="preserve"> and earlier by </w:t>
      </w:r>
      <w:r w:rsidR="00AB7648">
        <w:fldChar w:fldCharType="begin" w:fldLock="1"/>
      </w:r>
      <w:r w:rsidR="001D24FF">
        <w:instrText>ADDIN CSL_CITATION { "citationItems" : [ { "id" : "ITEM-1", "itemData" : { "author" : [ { "dropping-particle" : "", "family" : "Craik", "given" : "F.I.M.", "non-dropping-particle" : "", "parse-names" : false, "suffix" : "" }, { "dropping-particle" : "", "family" : "Blankenstein", "given" : "K. R.", "non-dropping-particle" : "", "parse-names" : false, "suffix" : "" } ], "container-title" : "Research in Psychophysiology", "editor" : [ { "dropping-particle" : "", "family" : "Venables", "given" : "P. H.", "non-dropping-particle" : "", "parse-names" : false, "suffix" : "" }, { "dropping-particle" : "", "family" : "Christie", "given" : "M. J.", "non-dropping-particle" : "", "parse-names" : false, "suffix" : "" } ], "id" : "ITEM-1", "issued" : { "date-parts" : [ [ "1975" ] ] }, "page" : "388-417", "publisher" : "Wiley", "publisher-place" : "New York", "title" : "Psychophysiology and human memory", "type" : "chapter" }, "uris" : [ "http://www.mendeley.com/documents/?uuid=1408d66c-4cac-4f6a-af79-e139270906d0" ] } ], "mendeley" : { "formattedCitation" : "(Craik &amp; Blankenstein, 1975)", "manualFormatting" : "Craik &amp; Blankenstein, 1975)", "plainTextFormattedCitation" : "(Craik &amp; Blankenstein, 1975)", "previouslyFormattedCitation" : "(Craik &amp; Blankenstein, 1975)" }, "properties" : { "noteIndex" : 0 }, "schema" : "https://github.com/citation-style-language/schema/raw/master/csl-citation.json" }</w:instrText>
      </w:r>
      <w:r w:rsidR="00AB7648">
        <w:fldChar w:fldCharType="separate"/>
      </w:r>
      <w:r w:rsidR="00AB7648" w:rsidRPr="00AB7648">
        <w:rPr>
          <w:noProof/>
        </w:rPr>
        <w:t>Craik &amp; Blankenstein, 1975)</w:t>
      </w:r>
      <w:r w:rsidR="00AB7648">
        <w:fldChar w:fldCharType="end"/>
      </w:r>
      <w:r w:rsidR="00EA126F" w:rsidRPr="004946F6">
        <w:t xml:space="preserve"> and for the effect</w:t>
      </w:r>
      <w:r w:rsidR="00104D5B" w:rsidRPr="004946F6">
        <w:t>s</w:t>
      </w:r>
      <w:r w:rsidR="00EA126F" w:rsidRPr="004946F6">
        <w:t xml:space="preserve"> of stress</w:t>
      </w:r>
      <w:r w:rsidR="00104D5B" w:rsidRPr="004946F6">
        <w:t xml:space="preserve">ors </w:t>
      </w:r>
      <w:r w:rsidR="00FF3139" w:rsidRPr="004946F6">
        <w:t xml:space="preserve">and neuromodulators </w:t>
      </w:r>
      <w:r w:rsidR="00104D5B" w:rsidRPr="004946F6">
        <w:t xml:space="preserve">on memory for pre-stress experiences </w:t>
      </w:r>
      <w:r w:rsidR="00EA126F" w:rsidRPr="004946F6">
        <w:fldChar w:fldCharType="begin" w:fldLock="1"/>
      </w:r>
      <w:r w:rsidR="008C25E5" w:rsidRPr="004946F6">
        <w:instrText>ADDIN CSL_CITATION { "citationItems" : [ { "id" : "ITEM-1", "itemData" : { "DOI" : "10.1037/bul0000100", "ISSN" : "1939-1455", "PMID" : "28368148", "abstract" : "A growing body of research has indicated that acute stress can critically impact memory. However, there are a number of inconsistencies in the literature, and important questions remain regarding the conditions under which stress effects emerge as well as basic questions about how stress impacts different phases of memory. In this meta-analysis, we examined 113 independent studies in humans with 6,216 participants that explored effects of stress on encoding, post-encoding, retrieval, or post-reactivation phases of episodic memory. The results indicated that when stress occurred prior to or during encoding it impaired memory, unless both the delay between the stressor and encoding was very short and the study materials were directly related to the stressor, in which case stress improved encoding. In contrast, post-encoding stress improved memory unless the stressor occurred in a different physical context than the study materials. When stress occurred just prior to or during retrieval, memory was impaired, and these effects were larger for emotionally valenced materials than neutral materials. Although stress consistently increased cortisol, the magnitude of the cortisol response was not related to the effects of stress on memory. Nonetheless, the effects of stress on memory were generally reduced in magnitude for women taking hormonal contraceptives. These analyses indicate that stress disrupts some episodic memory processes while enhancing others, and that the effects of stress are modulated by a number of critical factors. These results provide important constraints on current theories of stress and memory, and point to new questions for future research.", "author" : [ { "dropping-particle" : "", "family" : "Shields", "given" : "Grant S.", "non-dropping-particle" : "", "parse-names" : false, "suffix" : "" }, { "dropping-particle" : "", "family" : "Sazma", "given" : "Matthew A.", "non-dropping-particle" : "", "parse-names" : false, "suffix" : "" }, { "dropping-particle" : "", "family" : "McCullough", "given" : "Andrew M.", "non-dropping-particle" : "", "parse-names" : false, "suffix" : "" }, { "dropping-particle" : "", "family" : "Yonelinas", "given" : "Andrew P.", "non-dropping-particle" : "", "parse-names" : false, "suffix" : "" } ], "container-title" : "Psychological Bulletin", "id" : "ITEM-1", "issue" : "6", "issued" : { "date-parts" : [ [ "2017" ] ] }, "page" : "636-675", "title" : "The effects of acute stress on episodic memory: A meta-analysis and integrative review.", "type" : "article-journal", "volume" : "143" }, "uris" : [ "http://www.mendeley.com/documents/?uuid=1ce2575a-2709-436d-8480-9d898c092ad0", "http://www.mendeley.com/documents/?uuid=0df240a6-7cb8-433a-884b-a372324a8fae" ] } ], "mendeley" : { "formattedCitation" : "(Shields, Sazma, McCullough, &amp; Yonelinas, 2017)", "plainTextFormattedCitation" : "(Shields, Sazma, McCullough, &amp; Yonelinas, 2017)", "previouslyFormattedCitation" : "(Shields, Sazma, McCullough, &amp; Yonelinas, 2017)" }, "properties" : { "noteIndex" : 0 }, "schema" : "https://github.com/citation-style-language/schema/raw/master/csl-citation.json" }</w:instrText>
      </w:r>
      <w:r w:rsidR="00EA126F" w:rsidRPr="004946F6">
        <w:fldChar w:fldCharType="separate"/>
      </w:r>
      <w:r w:rsidR="00EA126F" w:rsidRPr="004946F6">
        <w:rPr>
          <w:noProof/>
        </w:rPr>
        <w:t>(Shields, Sazma, McCullough, &amp; Yonelinas, 2017)</w:t>
      </w:r>
      <w:r w:rsidR="00EA126F" w:rsidRPr="004946F6">
        <w:fldChar w:fldCharType="end"/>
      </w:r>
      <w:r w:rsidR="00EA126F" w:rsidRPr="004946F6">
        <w:t xml:space="preserve">. </w:t>
      </w:r>
    </w:p>
    <w:p w14:paraId="2524FF7B" w14:textId="5260E028" w:rsidR="00D45B62" w:rsidRPr="004946F6" w:rsidRDefault="00BC132C">
      <w:pPr>
        <w:spacing w:line="480" w:lineRule="auto"/>
        <w:jc w:val="both"/>
      </w:pPr>
      <w:r w:rsidRPr="004946F6">
        <w:t>Partly b</w:t>
      </w:r>
      <w:r w:rsidR="00F37512" w:rsidRPr="004946F6">
        <w:t>ecause of the dominance of the modulated-consolidation model</w:t>
      </w:r>
      <w:r w:rsidR="001B7A80" w:rsidRPr="004946F6">
        <w:t xml:space="preserve">, much of the theory-building work on human emotional memory has been </w:t>
      </w:r>
      <w:r w:rsidR="00641529" w:rsidRPr="004946F6">
        <w:t>conducted</w:t>
      </w:r>
      <w:r w:rsidR="001B7A80" w:rsidRPr="004946F6">
        <w:t xml:space="preserve"> at the level of the neurobiological mechanism</w:t>
      </w:r>
      <w:r w:rsidR="004F60F9" w:rsidRPr="004946F6">
        <w:t xml:space="preserve"> </w:t>
      </w:r>
      <w:r w:rsidR="004F60F9" w:rsidRPr="004946F6">
        <w:fldChar w:fldCharType="begin" w:fldLock="1"/>
      </w:r>
      <w:r w:rsidR="008C25E5" w:rsidRPr="004946F6">
        <w:instrText>ADDIN CSL_CITATION { "citationItems" : [ { "id" : "ITEM-1", "itemData" : { "DOI" : "10.1126/science.287.5451.248", "ISSN" : "0036-8075", "PMID" : "10634773", "abstract" : "The memory consolidation hypothesis proposed 100 years ago by M\u00fcller and Pilzecker continues to guide memory research. The hypothesis that new memories consolidate slowly over time has stimulated studies revealing the hormonal and neural influences regulating memory consolidation, as well as molecular and cellular mechanisms. This review examines the progress made over the century in understanding the time-dependent processes that create our lasting memories.", "author" : [ { "dropping-particle" : "", "family" : "McGaugh", "given" : "J L", "non-dropping-particle" : "", "parse-names" : false, "suffix" : "" }, { "dropping-particle" : "", "family" : "M\u00fcller", "given" : "G. E.", "non-dropping-particle" : "", "parse-names" : false, "suffix" : "" }, { "dropping-particle" : "", "family" : "Pilzecker", "given" : "A.", "non-dropping-particle" : "", "parse-names" : false, "suffix" : "" }, { "dropping-particle" : "", "family" : "Glickman", "given" : "S. E.", "non-dropping-particle" : "", "parse-names" : false, "suffix" : "" }, { "dropping-particle" : "", "family" : "Lechner", "given" : "H. A.", "non-dropping-particle" : "", "parse-names" : false, "suffix" : "" }, { "dropping-particle" : "", "family" : "Squire", "given" : "L. R.", "non-dropping-particle" : "", "parse-names" : false, "suffix" : "" }, { "dropping-particle" : "", "family" : "Byrne", "given" : "J. H.", "non-dropping-particle" : "", "parse-names" : false, "suffix" : "" }, { "dropping-particle" : "", "family" : "Polster", "given" : "M. R.", "non-dropping-particle" : "", "parse-names" : false, "suffix" : "" }, { "dropping-particle" : "", "family" : "Nadel", "given" : "L.", "non-dropping-particle" : "", "parse-names" : false, "suffix" : "" }, { "dropping-particle" : "", "family" : "Schacter", "given" : "D. L.", "non-dropping-particle" : "", "parse-names" : false, "suffix" : "" }, { "dropping-particle" : "", "family" : "McGaugh", "given" : "J. L.", "non-dropping-particle" : "", "parse-names" : false, "suffix" : "" }, { "dropping-particle" : "", "family" : "Dudai", "given" : "Y.", "non-dropping-particle" : "", "parse-names" : false, "suffix" : "" }, { "dropping-particle" : "", "family" : "McDougall", "given" : "W.", "non-dropping-particle" : "", "parse-names" : false, "suffix" : "" }, { "dropping-particle" : "", "family" : "Burnham", "given" : "W. H.", "non-dropping-particle" : "", "parse-names" : false, "suffix" : "" }, { "dropping-particle" : "", "family" : "Duncan", "given" : "C. P.", "non-dropping-particle" : "", "parse-names" : false, "suffix" : "" }, { "dropping-particle" : "", "family" : "Gerard", "given" : "R. W.", "non-dropping-particle" : "", "parse-names" : false, "suffix" : "" }, { "dropping-particle" : "", "family" : "Agranoff", "given" : "B. W.", "non-dropping-particle" : "", "parse-names" : false, "suffix" : "" }, { "dropping-particle" : "", "family" : "Davis", "given" : "R. E.", "non-dropping-particle" : "", "parse-names" : false, "suffix" : "" }, { "dropping-particle" : "", "family" : "Brink", "given" : "J. J.", "non-dropping-particle" : "", "parse-names" : false, "suffix" : "" }, { "dropping-particle" : "", "family" : "McGaugh", "given" : "J. L.", "non-dropping-particle" : "", "parse-names" : false, "suffix" : "" }, { "dropping-particle" : "", "family" : "Alloway", "given" : "T. M.", "non-dropping-particle" : "", "parse-names" : false, "suffix" : "" }, { "dropping-particle" : "", "family" : "Routtenberg", "given" : "A.", "non-dropping-particle" : "", "parse-names" : false, "suffix" : "" }, { "dropping-particle" : "", "family" : "Tully", "given" : "T.", "non-dropping-particle" : "", "parse-names" : false, "suffix" : "" }, { "dropping-particle" : "", "family" : "Preat", "given" : "T.", "non-dropping-particle" : "", "parse-names" : false, "suffix" : "" }, { "dropping-particle" : "", "family" : "Boynton", "given" : "S. C.", "non-dropping-particle" : "", "parse-names" : false, "suffix" : "" }, { "dropping-particle" : "Del", "family" : "Vecchio", "given" : "M.", "non-dropping-particle" : "", "parse-names" : false, "suffix" : "" }, { "dropping-particle" : "", "family" : "Menzel", "given" : "R.", "non-dropping-particle" : "", "parse-names" : false, "suffix" : "" }, { "dropping-particle" : "", "family" : "M\u00fcller", "given" : "U.", "non-dropping-particle" : "", "parse-names" : false, "suffix" : "" }, { "dropping-particle" : "", "family" : "M\u00fcller", "given" : "U.", "non-dropping-particle" : "", "parse-names" : false, "suffix" : "" }, { "dropping-particle" : "", "family" : "Sandi", "given" : "C.", "non-dropping-particle" : "", "parse-names" : false, "suffix" : "" }, { "dropping-particle" : "", "family" : "Rose", "given" : "S. P. R.", "non-dropping-particle" : "", "parse-names" : false, "suffix" : "" }, { "dropping-particle" : "", "family" : "Gold", "given" : "P. E.", "non-dropping-particle" : "", "parse-names" : false, "suffix" : "" }, { "dropping-particle" : "van", "family" : "Buskirk", "given" : "R.", "non-dropping-particle" : "", "parse-names" : false, "suffix" : "" }, { "dropping-particle" : "de", "family" : "Kloet", "given" : "E. R.", "non-dropping-particle" : "", "parse-names" : false, "suffix" : "" }, { "dropping-particle" : "", "family" : "___", "given" : ".", "non-dropping-particle" : "", "parse-names" : false, "suffix" : "" }, { "dropping-particle" : "", "family" : "Kock", "given" : "S.", "non-dropping-particle" : "", "parse-names" : false, "suffix" : "" }, { "dropping-particle" : "", "family" : "Schild", "given" : "V.", "non-dropping-particle" : "", "parse-names" : false, "suffix" : "" }, { "dropping-particle" : "", "family" : "Veldhuis", "given" : "H. D.", "non-dropping-particle" : "", "parse-names" : false, "suffix" : "" }, { "dropping-particle" : "", "family" : "Lupien", "given" : "S. J.", "non-dropping-particle" : "", "parse-names" : false, "suffix" : "" }, { "dropping-particle" : "", "family" : "McEwen", "given" : "B. S.", "non-dropping-particle" : "", "parse-names" : false, "suffix" : "" }, { "dropping-particle" : "", "family" : "McGaugh", "given" : "J. L.", "non-dropping-particle" : "", "parse-names" : false, "suffix" : "" }, { "dropping-particle" : "", "family" : "Cahill", "given" : "L.", "non-dropping-particle" : "", "parse-names" : false, "suffix" : "" }, { "dropping-particle" : "", "family" : "Roozendaal", "given" : "B.", "non-dropping-particle" : "", "parse-names" : false, "suffix" : "" }, { "dropping-particle" : "", "family" : "Liang", "given" : "K. C.", "non-dropping-particle" : "", "parse-names" : false, "suffix" : "" }, { "dropping-particle" : "", "family" : "Juler", "given" : "R. G.", "non-dropping-particle" : "", "parse-names" : false, "suffix" : "" }, { "dropping-particle" : "", "family" : "McGaugh", "given" : "J. L.", "non-dropping-particle" : "", "parse-names" : false, "suffix" : "" }, { "dropping-particle" : "", "family" : "Roozendaal", "given" : "B.", "non-dropping-particle" : "", "parse-names" : false, "suffix" : "" }, { "dropping-particle" : "", "family" : "McGaugh", "given" : "J. L.", "non-dropping-particle" : "", "parse-names" : false, "suffix" : "" }, { "dropping-particle" : "", "family" : "Hatfield", "given" : "T.", "non-dropping-particle" : "", "parse-names" : false, "suffix" : "" }, { "dropping-particle" : "", "family" : "McGaugh", "given" : "J. L.", "non-dropping-particle" : "", "parse-names" : false, "suffix" : "" }, { "dropping-particle" : "", "family" : "Ferry", "given" : "B.", "non-dropping-particle" : "", "parse-names" : false, "suffix" : "" }, { "dropping-particle" : "", "family" : "McGaugh", "given" : "J. L.", "non-dropping-particle" : "", "parse-names" : false, "suffix" : "" }, { "dropping-particle" : "", "family" : "Quirarte", "given" : "G. L.", "non-dropping-particle" : "", "parse-names" : false, "suffix" : "" }, { "dropping-particle" : "", "family" : "Roozendaal", "given" : "B.", "non-dropping-particle" : "", "parse-names" : false, "suffix" : "" }, { "dropping-particle" : "", "family" : "McGaugh", "given" : "J. L.", "non-dropping-particle" : "", "parse-names" : false, "suffix" : "" }, { "dropping-particle" : "", "family" : "Galvez", "given" : "R.", "non-dropping-particle" : "", "parse-names" : false, "suffix" : "" }, { "dropping-particle" : "", "family" : "Mesches", "given" : "M.", "non-dropping-particle" : "", "parse-names" : false, "suffix" : "" }, { "dropping-particle" : "", "family" : "McGaugh", "given" : "J. L.", "non-dropping-particle" : "", "parse-names" : false, "suffix" : "" }, { "dropping-particle" : "", "family" : "Quirarte", "given" : "G. L.", "non-dropping-particle" : "", "parse-names" : false, "suffix" : "" }, { "dropping-particle" : "", "family" : "Galvez", "given" : "R.", "non-dropping-particle" : "", "parse-names" : false, "suffix" : "" }, { "dropping-particle" : "", "family" : "Roozendaal", "given" : "B.", "non-dropping-particle" : "", "parse-names" : false, "suffix" : "" }, { "dropping-particle" : "", "family" : "McGaugh", "given" : "J. L.", "non-dropping-particle" : "", "parse-names" : false, "suffix" : "" }, { "dropping-particle" : "", "family" : "Williams", "given" : "C. L.", "non-dropping-particle" : "", "parse-names" : false, "suffix" : "" }, { "dropping-particle" : "", "family" : "Men", "given" : "D.", "non-dropping-particle" : "", "parse-names" : false, "suffix" : "" }, { "dropping-particle" : "", "family" : "Clayton", "given" : "E. C.", "non-dropping-particle" : "", "parse-names" : false, "suffix" : "" }, { "dropping-particle" : "", "family" : "Gold", "given" : "P. E.", "non-dropping-particle" : "", "parse-names" : false, "suffix" : "" }, { "dropping-particle" : "", "family" : "Hatfield", "given" : "T.", "non-dropping-particle" : "", "parse-names" : false, "suffix" : "" }, { "dropping-particle" : "", "family" : "Spanis", "given" : "C.", "non-dropping-particle" : "", "parse-names" : false, "suffix" : "" }, { "dropping-particle" : "", "family" : "McGaugh", "given" : "J. L.", "non-dropping-particle" : "", "parse-names" : false, "suffix" : "" }, { "dropping-particle" : "", "family" : "Packard", "given" : "M. G.", "non-dropping-particle" : "", "parse-names" : false, "suffix" : "" }, { "dropping-particle" : "", "family" : "White", "given" : "N. M.", "non-dropping-particle" : "", "parse-names" : false, "suffix" : "" }, { "dropping-particle" : "", "family" : "Packard", "given" : "M. G.", "non-dropping-particle" : "", "parse-names" : false, "suffix" : "" }, { "dropping-particle" : "", "family" : "Hirsh", "given" : "R.", "non-dropping-particle" : "", "parse-names" : false, "suffix" : "" }, { "dropping-particle" : "", "family" : "White", "given" : "N. M.", "non-dropping-particle" : "", "parse-names" : false, "suffix" : "" }, { "dropping-particle" : "", "family" : "Packard", "given" : "M. G.", "non-dropping-particle" : "", "parse-names" : false, "suffix" : "" }, { "dropping-particle" : "", "family" : "Cahill", "given" : "L.", "non-dropping-particle" : "", "parse-names" : false, "suffix" : "" }, { "dropping-particle" : "", "family" : "McGaugh", "given" : "J. L.", "non-dropping-particle" : "", "parse-names" : false, "suffix" : "" }, { "dropping-particle" : "", "family" : "Packard", "given" : "M. G.", "non-dropping-particle" : "", "parse-names" : false, "suffix" : "" }, { "dropping-particle" : "", "family" : "Teather", "given" : "L.", "non-dropping-particle" : "", "parse-names" : false, "suffix" : "" }, { "dropping-particle" : "", "family" : "Roozendaal", "given" : "B.", "non-dropping-particle" : "", "parse-names" : false, "suffix" : "" }, { "dropping-particle" : "", "family" : "McGaugh", "given" : "J. L.", "non-dropping-particle" : "", "parse-names" : false, "suffix" : "" }, { "dropping-particle" : "", "family" : "Roozendaal", "given" : "B.", "non-dropping-particle" : "", "parse-names" : false, "suffix" : "" }, { "dropping-particle" : "", "family" : "Nguyen", "given" : "B.T.", "non-dropping-particle" : "", "parse-names" : false, "suffix" : "" }, { "dropping-particle" : "", "family" : "Power", "given" : "A.", "non-dropping-particle" : "", "parse-names" : false, "suffix" : "" }, { "dropping-particle" : "", "family" : "McGaugh", "given" : "J. L.", "non-dropping-particle" : "", "parse-names" : false, "suffix" : "" }, { "dropping-particle" : "", "family" : "Ikegaya", "given" : "Y.", "non-dropping-particle" : "", "parse-names" : false, "suffix" : "" }, { "dropping-particle" : "", "family" : "Saito", "given" : "H.", "non-dropping-particle" : "", "parse-names" : false, "suffix" : "" }, { "dropping-particle" : "", "family" : "Abe", "given" : "K.", "non-dropping-particle" : "", "parse-names" : false, "suffix" : "" }, { "dropping-particle" : "", "family" : "___", "given" : ".", "non-dropping-particle" : "", "parse-names" : false, "suffix" : "" }, { "dropping-particle" : "", "family" : "Nakanishi", "given" : "K.", "non-dropping-particle" : "", "parse-names" : false, "suffix" : "" }, { "dropping-particle" : "", "family" : "Bermudez-Rattoni", "given" : "F.", "non-dropping-particle" : "", "parse-names" : false, "suffix" : "" }, { "dropping-particle" : "", "family" : "Introini-Collison", "given" : "I. B.", "non-dropping-particle" : "", "parse-names" : false, "suffix" : "" }, { "dropping-particle" : "", "family" : "McGaugh", "given" : "J. L.", "non-dropping-particle" : "", "parse-names" : false, "suffix" : "" }, { "dropping-particle" : "", "family" : "Escobar", "given" : "M. L.", "non-dropping-particle" : "", "parse-names" : false, "suffix" : "" }, { "dropping-particle" : "", "family" : "Chao", "given" : "V.", "non-dropping-particle" : "", "parse-names" : false, "suffix" : "" }, { "dropping-particle" : "", "family" : "Bermudez-Rattoni", "given" : "F.", "non-dropping-particle" : "", "parse-names" : false, "suffix" : "" }, { "dropping-particle" : "", "family" : "Hueting", "given" : "J. E.", "non-dropping-particle" : "", "parse-names" : false, "suffix" : "" }, { "dropping-particle" : "", "family" : "Cahill", "given" : "L.", "non-dropping-particle" : "", "parse-names" : false, "suffix" : "" }, { "dropping-particle" : "", "family" : "Prins", "given" : "B.", "non-dropping-particle" : "", "parse-names" : false, "suffix" : "" }, { "dropping-particle" : "", "family" : "Weber", "given" : "M.", "non-dropping-particle" : "", "parse-names" : false, "suffix" : "" }, { "dropping-particle" : "", "family" : "McGaugh", "given" : "J. L.", "non-dropping-particle" : "", "parse-names" : false, "suffix" : "" }, { "dropping-particle" : "van", "family" : "Stegeren", "given" : "A. H.", "non-dropping-particle" : "", "parse-names" : false, "suffix" : "" }, { "dropping-particle" : "", "family" : "Everaerd", "given" : "W.", "non-dropping-particle" : "", "parse-names" : false, "suffix" : "" }, { "dropping-particle" : "", "family" : "Cahill", "given" : "L.", "non-dropping-particle" : "", "parse-names" : false, "suffix" : "" }, { "dropping-particle" : "", "family" : "McGaugh", "given" : "J. L.", "non-dropping-particle" : "", "parse-names" : false, "suffix" : "" }, { "dropping-particle" : "", "family" : "Gooren", "given" : "L. J. G.", "non-dropping-particle" : "", "parse-names" : false, "suffix" : "" }, { "dropping-particle" : "", "family" : "Nielson", "given" : "K.", "non-dropping-particle" : "", "parse-names" : false, "suffix" : "" }, { "dropping-particle" : "", "family" : "Jensen", "given" : "R.", "non-dropping-particle" : "", "parse-names" : false, "suffix" : "" }, { "dropping-particle" : "", "family" : "Cahill", "given" : "L.", "non-dropping-particle" : "", "parse-names" : false, "suffix" : "" }, { "dropping-particle" : "", "family" : "Babinsky", "given" : "R.", "non-dropping-particle" : "", "parse-names" : false, "suffix" : "" }, { "dropping-particle" : "", "family" : "Markowitsch", "given" : "H. J.", "non-dropping-particle" : "", "parse-names" : false, "suffix" : "" }, { "dropping-particle" : "", "family" : "McGaugh", "given" : "J. L.", "non-dropping-particle" : "", "parse-names" : false, "suffix" : "" }, { "dropping-particle" : "", "family" : "Adolphs", "given" : "R.", "non-dropping-particle" : "", "parse-names" : false, "suffix" : "" }, { "dropping-particle" : "", "family" : "Cahill", "given" : "L.", "non-dropping-particle" : "", "parse-names" : false, "suffix" : "" }, { "dropping-particle" : "", "family" : "Schul", "given" : "R.", "non-dropping-particle" : "", "parse-names" : false, "suffix" : "" }, { "dropping-particle" : "", "family" : "Babinsky", "given" : "R.", "non-dropping-particle" : "", "parse-names" : false, "suffix" : "" }, { "dropping-particle" : "", "family" : "Hamann", "given" : "S.", "non-dropping-particle" : "", "parse-names" : false, "suffix" : "" }, { "dropping-particle" : "", "family" : "Ely", "given" : "T.", "non-dropping-particle" : "", "parse-names" : false, "suffix" : "" }, { "dropping-particle" : "", "family" : "Grafton", "given" : "S.", "non-dropping-particle" : "", "parse-names" : false, "suffix" : "" }, { "dropping-particle" : "", "family" : "Kilts", "given" : "C.", "non-dropping-particle" : "", "parse-names" : false, "suffix" : "" }, { "dropping-particle" : "", "family" : "Shadmehr", "given" : "R.", "non-dropping-particle" : "", "parse-names" : false, "suffix" : "" }, { "dropping-particle" : "", "family" : "Holcomb", "given" : "H. H.", "non-dropping-particle" : "", "parse-names" : false, "suffix" : "" }, { "dropping-particle" : "", "family" : "Weinberger", "given" : "N. M.", "non-dropping-particle" : "", "parse-names" : false, "suffix" : "" }, { "dropping-particle" : "", "family" : "Bjordahl", "given" : "T. S.", "non-dropping-particle" : "", "parse-names" : false, "suffix" : "" }, { "dropping-particle" : "", "family" : "Dimyan", "given" : "M. A.", "non-dropping-particle" : "", "parse-names" : false, "suffix" : "" }, { "dropping-particle" : "", "family" : "Weinberger", "given" : "N. M.", "non-dropping-particle" : "", "parse-names" : false, "suffix" : "" }, { "dropping-particle" : "V.", "family" : "Galvan", "given" : "V.", "non-dropping-particle" : "", "parse-names" : false, "suffix" : "" }, { "dropping-particle" : "", "family" : "Chen", "given" : "J.", "non-dropping-particle" : "", "parse-names" : false, "suffix" : "" }, { "dropping-particle" : "", "family" : "Weinberger", "given" : "N. M.", "non-dropping-particle" : "", "parse-names" : false, "suffix" : "" }, { "dropping-particle" : "", "family" : "Winocur", "given" : "G.", "non-dropping-particle" : "", "parse-names" : false, "suffix" : "" }, { "dropping-particle" : "", "family" : "Zola-Morgan", "given" : "S.", "non-dropping-particle" : "", "parse-names" : false, "suffix" : "" }, { "dropping-particle" : "", "family" : "Squire", "given" : "L. R.", "non-dropping-particle" : "", "parse-names" : false, "suffix" : "" }, { "dropping-particle" : "", "family" : "Kim", "given" : "J. J.", "non-dropping-particle" : "", "parse-names" : false, "suffix" : "" }, { "dropping-particle" : "", "family" : "Fanselow", "given" : "M. S.", "non-dropping-particle" : "", "parse-names" : false, "suffix" : "" }, { "dropping-particle" : "", "family" : "Cho", "given" : "Y. H.", "non-dropping-particle" : "", "parse-names" : false, "suffix" : "" }, { "dropping-particle" : "", "family" : "Beracochea", "given" : "D.", "non-dropping-particle" : "", "parse-names" : false, "suffix" : "" }, { "dropping-particle" : "", "family" : "Jaffard", "given" : "R.", "non-dropping-particle" : "", "parse-names" : false, "suffix" : "" }, { "dropping-particle" : "", "family" : "Kim", "given" : "J. J.", "non-dropping-particle" : "", "parse-names" : false, "suffix" : "" }, { "dropping-particle" : "", "family" : "Clark", "given" : "R. E.", "non-dropping-particle" : "", "parse-names" : false, "suffix" : "" }, { "dropping-particle" : "", "family" : "Thompson", "given" : "R. F.", "non-dropping-particle" : "", "parse-names" : false, "suffix" : "" }, { "dropping-particle" : "", "family" : "Reidel", "given" : "G.", "non-dropping-particle" : "", "parse-names" : false, "suffix" : "" }, { "dropping-particle" : "", "family" : "Scoville", "given" : "W. B.", "non-dropping-particle" : "", "parse-names" : false, "suffix" : "" }, { "dropping-particle" : "", "family" : "Milner", "given" : "B.", "non-dropping-particle" : "", "parse-names" : false, "suffix" : "" }, { "dropping-particle" : "", "family" : "Squire", "given" : "L. R.", "non-dropping-particle" : "", "parse-names" : false, "suffix" : "" }, { "dropping-particle" : "", "family" : "Alvarez", "given" : "P.", "non-dropping-particle" : "", "parse-names" : false, "suffix" : "" }, { "dropping-particle" : "", "family" : "Tyler", "given" : "T. J.", "non-dropping-particle" : "", "parse-names" : false, "suffix" : "" }, { "dropping-particle" : "", "family" : "DiScenna", "given" : "P.", "non-dropping-particle" : "", "parse-names" : false, "suffix" : "" }, { "dropping-particle" : "", "family" : "Shors", "given" : "T. J.", "non-dropping-particle" : "", "parse-names" : false, "suffix" : "" }, { "dropping-particle" : "", "family" : "Matzel", "given" : "L. D.", "non-dropping-particle" : "", "parse-names" : false, "suffix" : "" }, { "dropping-particle" : "", "family" : "Malenka", "given" : "R. C.", "non-dropping-particle" : "", "parse-names" : false, "suffix" : "" }, { "dropping-particle" : "", "family" : "Nicoll", "given" : "R. A.", "non-dropping-particle" : "", "parse-names" : false, "suffix" : "" }, { "dropping-particle" : "", "family" : "Seidenbacher", "given" : "T.", "non-dropping-particle" : "", "parse-names" : false, "suffix" : "" }, { "dropping-particle" : "", "family" : "Reymann", "given" : "K. G.", "non-dropping-particle" : "", "parse-names" : false, "suffix" : "" }, { "dropping-particle" : "", "family" : "Balschun", "given" : "D.", "non-dropping-particle" : "", "parse-names" : false, "suffix" : "" }, { "dropping-particle" : "", "family" : "Frey", "given" : "U.", "non-dropping-particle" : "", "parse-names" : false, "suffix" : "" }, { "dropping-particle" : "", "family" : "Krug", "given" : "M.", "non-dropping-particle" : "", "parse-names" : false, "suffix" : "" }, { "dropping-particle" : "", "family" : "Reymann", "given" : "K. G.", "non-dropping-particle" : "", "parse-names" : false, "suffix" : "" }, { "dropping-particle" : "", "family" : "Matthies", "given" : "H.", "non-dropping-particle" : "", "parse-names" : false, "suffix" : "" }, { "dropping-particle" : "", "family" : "Barros", "given" : "D. M.", "non-dropping-particle" : "", "parse-names" : false, "suffix" : "" }, { "dropping-particle" : "", "family" : "Sheu", "given" : "S.", "non-dropping-particle" : "", "parse-names" : false, "suffix" : "" }, { "dropping-particle" : "", "family" : "Routtenberg", "given" : "A.", "non-dropping-particle" : "", "parse-names" : false, "suffix" : "" }, { "dropping-particle" : "", "family" : "Huang", "given" : "Y.-Y.", "non-dropping-particle" : "", "parse-names" : false, "suffix" : "" }, { "dropping-particle" : "", "family" : "Colley", "given" : "P. A.", "non-dropping-particle" : "", "parse-names" : false, "suffix" : "" }, { "dropping-particle" : "", "family" : "Routtenberg", "given" : "A.", "non-dropping-particle" : "", "parse-names" : false, "suffix" : "" }, { "dropping-particle" : "", "family" : "Jerusalinsky", "given" : "D.", "non-dropping-particle" : "", "parse-names" : false, "suffix" : "" }, { "dropping-particle" : "", "family" : "Huang", "given" : "Y.-Y.", "non-dropping-particle" : "", "parse-names" : false, "suffix" : "" }, { "dropping-particle" : "", "family" : "Kandel", "given" : "E. R.", "non-dropping-particle" : "", "parse-names" : false, "suffix" : "" }, { "dropping-particle" : "", "family" : "Schafe", "given" : "G. E.", "non-dropping-particle" : "", "parse-names" : false, "suffix" : "" }, { "dropping-particle" : "V.", "family" : "Nadel", "given" : "N.", "non-dropping-particle" : "", "parse-names" : false, "suffix" : "" }, { "dropping-particle" : "", "family" : "Sullivan", "given" : "G. M.", "non-dropping-particle" : "", "parse-names" : false, "suffix" : "" }, { "dropping-particle" : "", "family" : "Harris", "given" : "A.", "non-dropping-particle" : "", "parse-names" : false, "suffix" : "" }, { "dropping-particle" : "", "family" : "LeDoux", "given" : "J. E.", "non-dropping-particle" : "", "parse-names" : false, "suffix" : "" }, { "dropping-particle" : "", "family" : "Guzowski", "given" : "J. F.", "non-dropping-particle" : "", "parse-names" : false, "suffix" : "" }, { "dropping-particle" : "", "family" : "McGaugh", "given" : "J. L.", "non-dropping-particle" : "", "parse-names" : false, "suffix" : "" }, { "dropping-particle" : "", "family" : "Tully", "given" : "T.", "non-dropping-particle" : "", "parse-names" : false, "suffix" : "" }, { "dropping-particle" : "", "family" : "Abel", "given" : "T.", "non-dropping-particle" : "", "parse-names" : false, "suffix" : "" }, { "dropping-particle" : "", "family" : "Martin", "given" : "K. C.", "non-dropping-particle" : "", "parse-names" : false, "suffix" : "" }, { "dropping-particle" : "", "family" : "Bartsch", "given" : "D.", "non-dropping-particle" : "", "parse-names" : false, "suffix" : "" }, { "dropping-particle" : "", "family" : "Kandel", "given" : "E. R.", "non-dropping-particle" : "", "parse-names" : false, "suffix" : "" }, { "dropping-particle" : "", "family" : "Regan", "given" : "M.", "non-dropping-particle" : "", "parse-names" : false, "suffix" : "" }, { "dropping-particle" : "", "family" : "Emptage", "given" : "N. J.", "non-dropping-particle" : "", "parse-names" : false, "suffix" : "" }, { "dropping-particle" : "", "family" : "Carew", "given" : "T. J.", "non-dropping-particle" : "", "parse-names" : false, "suffix" : "" }, { "dropping-particle" : "", "family" : "Mauelshagen", "given" : "J.", "non-dropping-particle" : "", "parse-names" : false, "suffix" : "" }, { "dropping-particle" : "", "family" : "Parker", "given" : "G. R.", "non-dropping-particle" : "", "parse-names" : false, "suffix" : "" }, { "dropping-particle" : "", "family" : "Carew", "given" : "T. J.", "non-dropping-particle" : "", "parse-names" : false, "suffix" : "" }, { "dropping-particle" : "", "family" : "M\u00fcller", "given" : "U.", "non-dropping-particle" : "", "parse-names" : false, "suffix" : "" }, { "dropping-particle" : "", "family" : "Carew", "given" : "T. J.", "non-dropping-particle" : "", "parse-names" : false, "suffix" : "" }, { "dropping-particle" : "", "family" : "Izquierdo", "given" : "I.", "non-dropping-particle" : "", "parse-names" : false, "suffix" : "" }, { "dropping-particle" : "", "family" : "Barros", "given" : "D. M.", "non-dropping-particle" : "", "parse-names" : false, "suffix" : "" }, { "dropping-particle" : "", "family" : "Souza", "given" : "T. Mello e", "non-dropping-particle" : "", "parse-names" : false, "suffix" : "" }, { "dropping-particle" : "de", "family" : "Souza", "given" : "M. M.", "non-dropping-particle" : "", "parse-names" : false, "suffix" : "" }, { "dropping-particle" : "", "family" : "Izquierdo", "given" : "L. A.", "non-dropping-particle" : "", "parse-names" : false, "suffix" : "" } ], "container-title" : "Science (New York, N.Y.)", "id" : "ITEM-1", "issue" : "5451", "issued" : { "date-parts" : [ [ "2000" ] ] }, "page" : "248-51", "title" : "Memory--a century of consolidation.", "type" : "article-journal", "volume" : "287" }, "uris" : [ "http://www.mendeley.com/documents/?uuid=5e5ae989-272c-4b6e-909d-67c3383f278d" ] }, { "id" : "ITEM-2", "itemData" : { "DOI" : "10.1016/S0166-2236(97)01214-9", "ISBN" : "0166-2236", "ISSN" : "01662236", "PMID" : "9683321", "abstract" : "Neuroscience is witnessing growing interest in understanding brain mechanisms of memory formation for emotionally arousing events, a development closely related to renewed interest in the concept of memory consolidation. Extensive research in animals implicates stress hormones and the amygdaloid complex as key, interacting modulators of memory consolidation for emotional events. Considerable evidence suggests that the amygdala is not a site of long-term explicit or declarative memory storage, but serves to influence memory-storage processes in other brain regions, such as the hippocampus, striatum and neocortex. Human-subject studies confirm the prediction of animal work that the amygdala is involved with the formation of enhanced declarative memory for emotionally arousing events.", "author" : [ { "dropping-particle" : "", "family" : "Cahill", "given" : "Larry", "non-dropping-particle" : "", "parse-names" : false, "suffix" : "" }, { "dropping-particle" : "", "family" : "McGaugh", "given" : "James L.", "non-dropping-particle" : "", "parse-names" : false, "suffix" : "" } ], "container-title" : "Trends in Neurosciences", "id" : "ITEM-2", "issue" : "7", "issued" : { "date-parts" : [ [ "1998" ] ] }, "page" : "294-299", "title" : "Mechanisms of emotional arousal and lasting declarative memory", "type" : "article", "volume" : "21" }, "uris" : [ "http://www.mendeley.com/documents/?uuid=76bd1b1a-6d3b-4e83-be24-3894eb26b471" ] }, { "id" : "ITEM-3", "itemData" : { "DOI" : "10.1017/S0140525X15000667", "ISBN" : "1469-1825 (Electronic)\\r0140-525X (Linking)", "ISSN" : "0140-525X", "PMID" : "26126507", "abstract" : "Existing brain-based emotion-cognition theories fail to explain arousal's ability to both enhance and impair cognitive processing. In the Glutamate Amplifies Noradrenergic Effects (GANE) model outlined in this paper, we propose that arousal-induced norepinephrine (NE) released from the locus coeruleus (LC) biases perception and memory in favor of salient, high priority representations at the expense of lower priority representations. This increase in gain under phasic arousal occurs via synaptic self-regulation of NE based on glutamate levels. When the LC is phasically active, elevated levels of glutamate at the site of prioritized representations increase local NE release, creating \u201cNE hot spots.\u201d At these local hot spots, glutamate and NE release are mutually enhancing and amplify activation of prioritized representations. This excitatory effect contrasts with widespread NE suppression of weaker representations via lateral and auto-inhibitory processes. On a broader scale, hot spots increase oscillatory synchronization across neural ensembles transmitting high priority information. Furthermore, key brain structures that detect or pre-determine stimulus priority interact with phasic NE release to preferentially route such information through large-scale functional brain networks. A surge of NE before, during or after encoding enhances synaptic plasticity at sites of high glutamate activity, triggering local protein synthesis processes that enhance selective memory consolidation. Together, these noradrenergic mechanisms increase perceptual and memory selectivity under arousal. Beyond explaining discrepancies in the emotion-cognition literature, GANE reconciles and extends previous influential theories of LC neuromodulation by highlighting how NE can produce such different outcomes in processing based on priority.", "author" : [ { "dropping-particle" : "", "family" : "Mather", "given" : "Mara", "non-dropping-particle" : "", "parse-names" : false, "suffix" : "" }, { "dropping-particle" : "", "family" : "Clewett", "given" : "David", "non-dropping-particle" : "", "parse-names" : false, "suffix" : "" }, { "dropping-particle" : "", "family" : "Sakaki", "given" : "Michiko", "non-dropping-particle" : "", "parse-names" : false, "suffix" : "" }, { "dropping-particle" : "", "family" : "Harley", "given" : "Carolyn W", "non-dropping-particle" : "", "parse-names" : false, "suffix" : "" } ], "container-title" : "Behavioral and Brain Sciences", "id" : "ITEM-3", "issue" : "June", "issued" : { "date-parts" : [ [ "2015" ] ] }, "page" : "1-100", "title" : "Norepinephrine ignites local hot spots of neuronal excitation: How arousal amplifies selectivity in perception and memory", "type" : "article-journal" }, "uris" : [ "http://www.mendeley.com/documents/?uuid=ff7fa74a-ac48-4f5c-aa27-01f0e454fffd" ] } ], "mendeley" : { "formattedCitation" : "(Cahill &amp; McGaugh, 1998; Mather et al., 2015; McGaugh et al., 2000)", "plainTextFormattedCitation" : "(Cahill &amp; McGaugh, 1998; Mather et al., 2015; McGaugh et al., 2000)", "previouslyFormattedCitation" : "(Cahill &amp; McGaugh, 1998; Mather et al., 2015; McGaugh et al., 2000)" }, "properties" : { "noteIndex" : 0 }, "schema" : "https://github.com/citation-style-language/schema/raw/master/csl-citation.json" }</w:instrText>
      </w:r>
      <w:r w:rsidR="004F60F9" w:rsidRPr="004946F6">
        <w:fldChar w:fldCharType="separate"/>
      </w:r>
      <w:r w:rsidR="004F60F9" w:rsidRPr="004946F6">
        <w:rPr>
          <w:noProof/>
        </w:rPr>
        <w:t>(Cahill &amp; McGaugh, 1998; Mather et al., 2015; McGaugh et al., 2000)</w:t>
      </w:r>
      <w:r w:rsidR="004F60F9" w:rsidRPr="004946F6">
        <w:fldChar w:fldCharType="end"/>
      </w:r>
      <w:r w:rsidR="001B7A80" w:rsidRPr="004946F6">
        <w:t>, contributing to a</w:t>
      </w:r>
      <w:r w:rsidR="008179B1" w:rsidRPr="004946F6">
        <w:t>n emphasis</w:t>
      </w:r>
      <w:r w:rsidR="001B7A80" w:rsidRPr="004946F6">
        <w:t xml:space="preserve"> on consolidation processes and testing memory post-consolidation. </w:t>
      </w:r>
      <w:r w:rsidR="00422EBF" w:rsidRPr="004946F6">
        <w:t xml:space="preserve">It remains much less clear how </w:t>
      </w:r>
      <w:r w:rsidR="008179B1" w:rsidRPr="004946F6">
        <w:t>emotional memory enhancement</w:t>
      </w:r>
      <w:r w:rsidR="00422EBF" w:rsidRPr="004946F6">
        <w:t xml:space="preserve"> relate</w:t>
      </w:r>
      <w:r w:rsidR="002A27EE" w:rsidRPr="004946F6">
        <w:t>s</w:t>
      </w:r>
      <w:r w:rsidR="00422EBF" w:rsidRPr="004946F6">
        <w:t xml:space="preserve"> to the processes associated with the cognitive and computational neuroscience of memory. This is because </w:t>
      </w:r>
      <w:r w:rsidR="006C2276" w:rsidRPr="004946F6">
        <w:t xml:space="preserve">factors that have traditionally interested human memory researchers, such as the level of processing at encoding, or the nature of the memory test, </w:t>
      </w:r>
      <w:r w:rsidR="002A27EE" w:rsidRPr="004946F6">
        <w:t xml:space="preserve">are </w:t>
      </w:r>
      <w:r w:rsidR="00FF3139" w:rsidRPr="004946F6">
        <w:t xml:space="preserve">questions at the algorithmic, rather than the implementation level. </w:t>
      </w:r>
      <w:r w:rsidR="00AE295D" w:rsidRPr="004946F6">
        <w:t>Talmi’s multi-factor mediation mode</w:t>
      </w:r>
      <w:r w:rsidR="002A27EE" w:rsidRPr="004946F6">
        <w:t>l</w:t>
      </w:r>
      <w:r w:rsidR="00AE295D" w:rsidRPr="004946F6">
        <w:t xml:space="preserve"> </w:t>
      </w:r>
      <w:r w:rsidR="00AE295D" w:rsidRPr="004946F6">
        <w:fldChar w:fldCharType="begin" w:fldLock="1"/>
      </w:r>
      <w:r w:rsidR="008C25E5" w:rsidRPr="004946F6">
        <w:instrText>ADDIN CSL_CITATION { "citationItems" : [ { "id" : "ITEM-1", "itemData" : { "DOI" : "10.1177/0963721413498893", "ISBN" : "0963-7214", "ISSN" : "0963-7214", "abstract" : "Memory for emotional events is typically more vivid and accurate than memory for neutral ones. The modulation model focuses on the consolidation of memory traces to provide a partial account of enhanced emotional memory. Mediation theory focuses on encoding and retrieval to explain the selective enhancement of memory for emotional aspects of a complex event and why emotional memory also can be enhanced immediately after the experience, before consolidation has occurred. Mediation theory can therefore complement the modulation model, and together they may provide a more comprehensive account of human emotional memory.", "author" : [ { "dropping-particle" : "", "family" : "Talmi", "given" : "Deborah", "non-dropping-particle" : "", "parse-names" : false, "suffix" : "" } ], "container-title" : "Current Directions in Psychological Science", "id" : "ITEM-1", "issue" : "6", "issued" : { "date-parts" : [ [ "2013" ] ] }, "page" : "430-436", "title" : "Enhanced Emotional Memory: Cognitive and Neural Mechanisms", "type" : "article-journal", "volume" : "22" }, "uris" : [ "http://www.mendeley.com/documents/?uuid=02499b9c-cc82-4694-9891-fb87e8f32c4a" ] } ], "mendeley" : { "formattedCitation" : "(Talmi, 2013)", "plainTextFormattedCitation" : "(Talmi, 2013)", "previouslyFormattedCitation" : "(Talmi, 2013)" }, "properties" : { "noteIndex" : 0 }, "schema" : "https://github.com/citation-style-language/schema/raw/master/csl-citation.json" }</w:instrText>
      </w:r>
      <w:r w:rsidR="00AE295D" w:rsidRPr="004946F6">
        <w:fldChar w:fldCharType="separate"/>
      </w:r>
      <w:r w:rsidR="00AE295D" w:rsidRPr="004946F6">
        <w:rPr>
          <w:noProof/>
        </w:rPr>
        <w:t>(Talmi, 2013)</w:t>
      </w:r>
      <w:r w:rsidR="00AE295D" w:rsidRPr="004946F6">
        <w:fldChar w:fldCharType="end"/>
      </w:r>
      <w:r w:rsidR="00BE7A8A" w:rsidRPr="004946F6">
        <w:t xml:space="preserve"> </w:t>
      </w:r>
      <w:r w:rsidR="001A1A62" w:rsidRPr="004946F6">
        <w:t xml:space="preserve">discusses </w:t>
      </w:r>
      <w:r w:rsidR="00BE7A8A" w:rsidRPr="004946F6">
        <w:t xml:space="preserve">a number of </w:t>
      </w:r>
      <w:r w:rsidR="001D24FF">
        <w:t xml:space="preserve">these </w:t>
      </w:r>
      <w:r w:rsidR="00BE7A8A" w:rsidRPr="004946F6">
        <w:t xml:space="preserve">cognitive processes, but </w:t>
      </w:r>
      <w:r w:rsidR="009B68D6" w:rsidRPr="004946F6">
        <w:t xml:space="preserve">like all other existing models of enhanced emotional memory, </w:t>
      </w:r>
      <w:r w:rsidR="00F37512" w:rsidRPr="004946F6">
        <w:t>her</w:t>
      </w:r>
      <w:r w:rsidR="009B68D6" w:rsidRPr="004946F6">
        <w:t xml:space="preserve"> model, too, </w:t>
      </w:r>
      <w:r w:rsidR="00BE7A8A" w:rsidRPr="004946F6">
        <w:t xml:space="preserve">did not yield quantitative predictions. </w:t>
      </w:r>
      <w:r w:rsidR="00FF3139" w:rsidRPr="004946F6">
        <w:t>No existing framework has been implemented quantitatively in a formal model</w:t>
      </w:r>
    </w:p>
    <w:p w14:paraId="1769E59B" w14:textId="0DD56C84" w:rsidR="00BC132C" w:rsidRPr="004946F6" w:rsidRDefault="00BC132C">
      <w:pPr>
        <w:spacing w:line="480" w:lineRule="auto"/>
        <w:jc w:val="both"/>
      </w:pPr>
      <w:r w:rsidRPr="004946F6">
        <w:t xml:space="preserve">The Modulated Consolidation model considers encoding processes </w:t>
      </w:r>
      <w:r w:rsidR="00084B94" w:rsidRPr="004946F6">
        <w:t xml:space="preserve">only </w:t>
      </w:r>
      <w:r w:rsidRPr="004946F6">
        <w:t xml:space="preserve">in the sense that the consolidation of experiences that were arousing during encoding would be modulated </w:t>
      </w:r>
      <w:r w:rsidRPr="004946F6">
        <w:fldChar w:fldCharType="begin" w:fldLock="1"/>
      </w:r>
      <w:r w:rsidR="008C25E5" w:rsidRPr="004946F6">
        <w:instrText>ADDIN CSL_CITATION { "citationItems" : [ { "id" : "ITEM-1", "itemData" : { "DOI" : "10.1101/lm.62403", "ISSN" : "1072-0502", "PMID" : "12888545", "abstract" : "Abundant evidence indicates that endogenous stress hormones such as epinephrine and corticosterone modulate memory consolidation in animals. We recently provided the first demonstration that an endogenous stress hormone (epinephrine) can enhance human memory consolidation. However, these findings also suggested that post-learning stress hormone activation does not uniformly enhance memory for all recently acquired information; rather, that it interacts with the degree of arousal at initial encoding of material in modulating memory for the material. Here we tested this hypothesis by administering cold pressor stress (CPS) or a control procedure to subjects after they viewed slides of varying emotional content, and assessing memory for the slides 1 wk later. CPS, which significantly elevated salivary cortisol levels, enhanced memory for emotionally arousing slides compared with the controls, but did not affect memory for relatively neutral slides. These findings further support the view that post-learning stress hormone-related activity interacts with arousal at initial encoding to modulate memory consolidation.", "author" : [ { "dropping-particle" : "", "family" : "Cahill", "given" : "Larry", "non-dropping-particle" : "", "parse-names" : false, "suffix" : "" }, { "dropping-particle" : "", "family" : "Gorski", "given" : "Lukasz", "non-dropping-particle" : "", "parse-names" : false, "suffix" : "" }, { "dropping-particle" : "", "family" : "Le", "given" : "Kathryn", "non-dropping-particle" : "", "parse-names" : false, "suffix" : "" } ], "container-title" : "Learning &amp; memory (Cold Spring Harbor, N.Y.)", "id" : "ITEM-1", "issue" : "4", "issued" : { "date-parts" : [ [ "2003" ] ] }, "page" : "270-4", "publisher" : "Cold Spring Harbor Laboratory Press", "title" : "Enhanced human memory consolidation with post-learning stress: interaction with the degree of arousal at encoding.", "type" : "article-journal", "volume" : "10" }, "uris" : [ "http://www.mendeley.com/documents/?uuid=2142e512-f245-36b5-80be-15fc50b99093", "http://www.mendeley.com/documents/?uuid=ee90b499-0a68-4c71-b1a2-2fe0aecb277b" ] } ], "mendeley" : { "formattedCitation" : "(Cahill, Gorski, &amp; Le, 2003)", "plainTextFormattedCitation" : "(Cahill, Gorski, &amp; Le, 2003)", "previouslyFormattedCitation" : "(Cahill, Gorski, &amp; Le, 2003)" }, "properties" : { "noteIndex" : 0 }, "schema" : "https://github.com/citation-style-language/schema/raw/master/csl-citation.json" }</w:instrText>
      </w:r>
      <w:r w:rsidRPr="004946F6">
        <w:fldChar w:fldCharType="separate"/>
      </w:r>
      <w:r w:rsidRPr="004946F6">
        <w:rPr>
          <w:noProof/>
        </w:rPr>
        <w:t>(Cahill, Gorski, &amp; Le, 2003)</w:t>
      </w:r>
      <w:r w:rsidRPr="004946F6">
        <w:fldChar w:fldCharType="end"/>
      </w:r>
      <w:r w:rsidR="00EA126F" w:rsidRPr="004946F6">
        <w:t xml:space="preserve">. The only existing model of </w:t>
      </w:r>
      <w:r w:rsidR="00084B94" w:rsidRPr="004946F6">
        <w:t xml:space="preserve">the cognitive processes that underlie </w:t>
      </w:r>
      <w:r w:rsidR="00EA126F" w:rsidRPr="004946F6">
        <w:t xml:space="preserve">emotional memory, Arousal-Biased Competition (ABC) theory </w:t>
      </w:r>
      <w:r w:rsidR="00EA126F" w:rsidRPr="004946F6">
        <w:fldChar w:fldCharType="begin" w:fldLock="1"/>
      </w:r>
      <w:r w:rsidR="008C25E5" w:rsidRPr="004946F6">
        <w:instrText>ADDIN CSL_CITATION { "citationItems" : [ { "id" : "ITEM-1", "itemData" : { "DOI" : "10.1177/1745691611400234", "ISBN" : "1745-6916\\n1745-6924", "ISSN" : "1745-6916", "PMID" : "21660127", "abstract" : "Our everyday surroundings besiege us with information. The battle is for a share of our limited attention and memory, with the brain selecting the winners and discarding the losers. Previous research shows that both bottom-up and top-down factors bias competition in favor of high priority stimuli. We propose that arousal during an event increases this bias both in perception and in long-term memory of the event. Arousal-biased competition theory provides specific predictions about when arousal will enhance memory for events and when it will impair it, which accounts for some puzzling contradictions in the emotional memory literature.", "author" : [ { "dropping-particle" : "", "family" : "Mather", "given" : "Mara", "non-dropping-particle" : "", "parse-names" : false, "suffix" : "" }, { "dropping-particle" : "", "family" : "Sutherland", "given" : "Matthew R", "non-dropping-particle" : "", "parse-names" : false, "suffix" : "" } ], "container-title" : "Perspectives on psychological science : a journal of the Association for Psychological Science", "id" : "ITEM-1", "issue" : "2", "issued" : { "date-parts" : [ [ "2011" ] ] }, "page" : "114-33", "title" : "Arousal-Biased Competition in Perception and Memory.", "type" : "article-journal", "volume" : "6" }, "uris" : [ "http://www.mendeley.com/documents/?uuid=844c474a-a2ec-4ba0-94de-bc3c64374056" ] } ], "mendeley" : { "formattedCitation" : "(Mather &amp; Sutherland, 2011)", "plainTextFormattedCitation" : "(Mather &amp; Sutherland, 2011)", "previouslyFormattedCitation" : "(Mather &amp; Sutherland, 2011)" }, "properties" : { "noteIndex" : 0 }, "schema" : "https://github.com/citation-style-language/schema/raw/master/csl-citation.json" }</w:instrText>
      </w:r>
      <w:r w:rsidR="00EA126F" w:rsidRPr="004946F6">
        <w:fldChar w:fldCharType="separate"/>
      </w:r>
      <w:r w:rsidR="00EA126F" w:rsidRPr="004946F6">
        <w:rPr>
          <w:noProof/>
        </w:rPr>
        <w:t>(Mather &amp; Sutherland, 2011)</w:t>
      </w:r>
      <w:r w:rsidR="00EA126F" w:rsidRPr="004946F6">
        <w:fldChar w:fldCharType="end"/>
      </w:r>
      <w:r w:rsidR="00EA126F" w:rsidRPr="004946F6">
        <w:t>, and its neurobiological sister model, GANE, dissect the influence that arousal has on competitive attention allocation at encoding</w:t>
      </w:r>
      <w:r w:rsidRPr="004946F6">
        <w:t xml:space="preserve">, </w:t>
      </w:r>
      <w:r w:rsidR="00EA126F" w:rsidRPr="004946F6">
        <w:t xml:space="preserve">and offers a rich account for the multiple routes that </w:t>
      </w:r>
      <w:r w:rsidR="001B7AC3" w:rsidRPr="004946F6">
        <w:t>lead to the prioritisation of particular stimuli</w:t>
      </w:r>
      <w:r w:rsidR="00EA126F" w:rsidRPr="004946F6">
        <w:t xml:space="preserve">, and how priority and its downstream memory consequences </w:t>
      </w:r>
      <w:r w:rsidR="002A27EE" w:rsidRPr="004946F6">
        <w:t xml:space="preserve">are </w:t>
      </w:r>
      <w:r w:rsidR="00EA126F" w:rsidRPr="004946F6">
        <w:t xml:space="preserve">influenced by systemic arousal. </w:t>
      </w:r>
      <w:r w:rsidR="001D24FF">
        <w:t xml:space="preserve">These accounts are unique because they can </w:t>
      </w:r>
      <w:r w:rsidR="001B7AC3" w:rsidRPr="004946F6">
        <w:t>account for memory</w:t>
      </w:r>
      <w:r w:rsidR="00B6325F" w:rsidRPr="004946F6">
        <w:t xml:space="preserve"> for emotional experiences</w:t>
      </w:r>
      <w:r w:rsidR="007D5D8C" w:rsidRPr="004946F6">
        <w:t xml:space="preserve"> not only in delayed, but also in immediate tests</w:t>
      </w:r>
      <w:r w:rsidR="00B6325F" w:rsidRPr="004946F6">
        <w:t xml:space="preserve">. </w:t>
      </w:r>
      <w:r w:rsidR="00FF3139" w:rsidRPr="004946F6">
        <w:t xml:space="preserve">This is </w:t>
      </w:r>
      <w:r w:rsidR="001D24FF">
        <w:t>advantageous</w:t>
      </w:r>
      <w:r w:rsidR="00FF3139" w:rsidRPr="004946F6">
        <w:t xml:space="preserve"> because memory for such experience is often enhanced in immediate tests</w:t>
      </w:r>
      <w:r w:rsidR="001D24FF">
        <w:t>,</w:t>
      </w:r>
      <w:r w:rsidR="00BC258E" w:rsidRPr="004946F6">
        <w:t xml:space="preserve"> as measured by</w:t>
      </w:r>
      <w:r w:rsidR="00C0271E" w:rsidRPr="004946F6">
        <w:t xml:space="preserve"> free recall</w:t>
      </w:r>
      <w:r w:rsidR="001D24FF">
        <w:t xml:space="preserve">, cued recall, and recollection </w:t>
      </w:r>
      <w:r w:rsidR="001D24FF">
        <w:fldChar w:fldCharType="begin" w:fldLock="1"/>
      </w:r>
      <w:r w:rsidR="00CD6939">
        <w:instrText>ADDIN CSL_CITATION { "citationItems" : [ { "id" : "ITEM-1", "itemData" : { "DOI" : "10.1037/1528-3542.7.1.89", "ISBN" : "1528-3542 (Print)", "ISSN" : "1528-3542", "PMID" : "17352566", "abstract" : "Examining the positive and negative pictures separately revealed that emotionally enhanced memory (EEM) for positive pictures was mediated by attention, with no significant influence of emotional arousal, whereas the reverse was true of negative pictures. Consistent with this finding, in Experiment 2 EEM for negative pictures was found even when task emphasis was manipulated so that equivalent attention was allocated to negative and neutral pictures. The results show that attention and semantic relatedness contribute to EEM, with the extent varying with emotional valence. Negative emotion can influence memory independently of these 2 factors.", "author" : [ { "dropping-particle" : "", "family" : "Talmi", "given" : "Deborah", "non-dropping-particle" : "", "parse-names" : false, "suffix" : "" }, { "dropping-particle" : "", "family" : "Schimmack", "given" : "Ulrich", "non-dropping-particle" : "", "parse-names" : false, "suffix" : "" }, { "dropping-particle" : "", "family" : "Paterson", "given" : "Theone", "non-dropping-particle" : "", "parse-names" : false, "suffix" : "" }, { "dropping-particle" : "", "family" : "Moscovitch", "given" : "Morris", "non-dropping-particle" : "", "parse-names" : false, "suffix" : "" } ], "container-title" : "Emotion (Washington, D.C.)", "id" : "ITEM-1", "issue" : "1", "issued" : { "date-parts" : [ [ "2007" ] ] }, "page" : "89-102", "title" : "The role of attention and relatedness in emotionally enhanced memory.", "type" : "article-journal", "volume" : "7" }, "uris" : [ "http://www.mendeley.com/documents/?uuid=e7ef3af2-792a-4752-bf01-e0a55c46ec7f" ] }, { "id" : "ITEM-2", "itemData" : { "DOI" : "10.1016/S0896-6273(04)00289-2", "ISBN" : "0896-6273", "ISSN" : "08966273", "PMID" : "15182723", "abstract" : "Emotional events are remembered better than neutral events possibly because the amygdala enhances the function of medial temporal lobe (MTL) memory system (modulation hypothesis). Although this hypothesis has been supported by much animal research, evidence from humans has been scarce and indirect. We investigated this issue using event-related fMRI during encoding of emotional and neutral pictures. Memory performance after scanning showed a retention advantage for emotional pictures. Successful encoding activity in the amygdala and MTL memory structures was greater and more strongly correlated for emotional than for neutral pictures. Moreover, a double dissociation was found along the longitudinal axis of the MTL memory system: activity in anterior regions predicted memory for emotional items, whereas activity in posterior regions predicted memory for neutral items. These results provide direct evidence for the modulation hypothesis in humans and reveal a functional specialization within the MTL regarding the effects of emotion on memory formation.", "author" : [ { "dropping-particle" : "", "family" : "Dolcos", "given" : "Florin", "non-dropping-particle" : "", "parse-names" : false, "suffix" : "" }, { "dropping-particle" : "", "family" : "LaBar", "given" : "Kevin S.", "non-dropping-particle" : "", "parse-names" : false, "suffix" : "" }, { "dropping-particle" : "", "family" : "Cabeza", "given" : "Roberto", "non-dropping-particle" : "", "parse-names" : false, "suffix" : "" } ], "container-title" : "Neuron", "id" : "ITEM-2", "issue" : "5", "issued" : { "date-parts" : [ [ "2004" ] ] }, "page" : "855-863", "title" : "Interaction between the amygdala and the medial temporal lobe memory system predicts better memory for emotional events", "type" : "article-journal", "volume" : "42" }, "uris" : [ "http://www.mendeley.com/documents/?uuid=373c7ce0-132f-4e3c-adbd-668417444e05", "http://www.mendeley.com/documents/?uuid=58f16393-ca15-4ab3-8fc0-be9b8fd4954d" ] }, { "id" : "ITEM-3", "itemData" : { "DOI" : "10.1073/pnas.0306408101", "ISBN" : "0027-8424 (Print)\\r0027-8424 (Linking)", "ISSN" : "0027-8424", "PMID" : "14981255", "abstract" : "Prior investigations have demonstrated that emotional informa- tion is often better remembered than neutral information, but they have not directly contrasted effects attributable to valence and those attributable to arousal. By using functional MRI and behav- ioral studies, we found that distinct cognitive and neural processes contribute to emotional memory enhancement for arousing infor- mation versus valenced, nonarousing information. The former depended on an amygdalar\u2013hippocampal network, whereas the latter was supported by a prefrontal cortex\u2013 hippocampal network implicated in controlled encoding processes. A behavioral compan- ion study, with a divided-attention paradigm, confirmed that memory enhancement for valenced, nonarousing words relied on controlled encoding processes: concurrent task performance re- duced the enhancement effect. Enhancement for arousing words occurred automatically, even when encoding resources were di- verted to the secondary task.", "author" : [ { "dropping-particle" : "", "family" : "Kensinger", "given" : "Elizabeth A.", "non-dropping-particle" : "", "parse-names" : false, "suffix" : "" }, { "dropping-particle" : "", "family" : "Corkin", "given" : "S.", "non-dropping-particle" : "", "parse-names" : false, "suffix" : "" } ], "container-title" : "Proc. Natl. Acad. Sci. USA", "id" : "ITEM-3", "issue" : "Track II", "issued" : { "date-parts" : [ [ "2004" ] ] }, "page" : "3310-3315", "title" : "Two routes to emotional memory: Distinct neural processes for valence and arousal", "type" : "article-journal", "volume" : "101" }, "uris" : [ "http://www.mendeley.com/documents/?uuid=f38340a2-1edc-43df-9c7a-d314f40286ed" ] } ], "mendeley" : { "formattedCitation" : "(Dolcos, LaBar, &amp; Cabeza, 2004; Kensinger &amp; Corkin, 2004; Talmi, Schimmack, Paterson, &amp; Moscovitch, 2007)", "manualFormatting" : "(Dolcos, LaBar, &amp; Cabeza, 2004; Kensinger &amp; Corkin, 2004; Talmi, Schimmack, Paterson, &amp; Moscovitch, 2007; see also Table 1 here)", "plainTextFormattedCitation" : "(Dolcos, LaBar, &amp; Cabeza, 2004; Kensinger &amp; Corkin, 2004; Talmi, Schimmack, Paterson, &amp; Moscovitch, 2007)", "previouslyFormattedCitation" : "(Dolcos, LaBar, &amp; Cabeza, 2004; Kensinger &amp; Corkin, 2004; Talmi, Schimmack, Paterson, &amp; Moscovitch, 2007)" }, "properties" : { "noteIndex" : 0 }, "schema" : "https://github.com/citation-style-language/schema/raw/master/csl-citation.json" }</w:instrText>
      </w:r>
      <w:r w:rsidR="001D24FF">
        <w:fldChar w:fldCharType="separate"/>
      </w:r>
      <w:r w:rsidR="001D24FF" w:rsidRPr="001D24FF">
        <w:rPr>
          <w:noProof/>
        </w:rPr>
        <w:t>(Dolcos, LaBar, &amp; Cabeza, 2004; Kensinger &amp; Corkin, 2004; Talmi, Schimmack, Paterson, &amp; Moscovitch, 2007</w:t>
      </w:r>
      <w:r w:rsidR="001D24FF">
        <w:rPr>
          <w:noProof/>
        </w:rPr>
        <w:t>; see also Table 1 here</w:t>
      </w:r>
      <w:r w:rsidR="001D24FF" w:rsidRPr="001D24FF">
        <w:rPr>
          <w:noProof/>
        </w:rPr>
        <w:t>)</w:t>
      </w:r>
      <w:r w:rsidR="001D24FF">
        <w:fldChar w:fldCharType="end"/>
      </w:r>
      <w:r w:rsidR="001D24FF">
        <w:t>.</w:t>
      </w:r>
      <w:r w:rsidR="00C0271E" w:rsidRPr="004946F6">
        <w:t xml:space="preserve"> </w:t>
      </w:r>
    </w:p>
    <w:p w14:paraId="549A2F91" w14:textId="5E223226" w:rsidR="004E5FB9" w:rsidRPr="004946F6" w:rsidRDefault="00F53ACF">
      <w:pPr>
        <w:spacing w:line="480" w:lineRule="auto"/>
        <w:jc w:val="both"/>
      </w:pPr>
      <w:r w:rsidRPr="004946F6">
        <w:t>Existing</w:t>
      </w:r>
      <w:r w:rsidR="00DF5A87" w:rsidRPr="004946F6">
        <w:t xml:space="preserve"> models </w:t>
      </w:r>
      <w:r w:rsidR="00E457FF" w:rsidRPr="004946F6">
        <w:t>of emotional memory enhancement do not consider</w:t>
      </w:r>
      <w:r w:rsidR="00DF5A87" w:rsidRPr="004946F6">
        <w:t xml:space="preserve"> t</w:t>
      </w:r>
      <w:r w:rsidR="005D4945" w:rsidRPr="004946F6">
        <w:t xml:space="preserve">he </w:t>
      </w:r>
      <w:r w:rsidR="000F669A" w:rsidRPr="004946F6">
        <w:t xml:space="preserve">possibility that emotion could have additional influences during the </w:t>
      </w:r>
      <w:r w:rsidR="005D4945" w:rsidRPr="004946F6">
        <w:t>retrieval stage</w:t>
      </w:r>
      <w:r w:rsidR="00FF3139" w:rsidRPr="004946F6">
        <w:t>. This</w:t>
      </w:r>
      <w:r w:rsidR="00B6325F" w:rsidRPr="004946F6">
        <w:t xml:space="preserve"> limits their ability to relate to some of the age-old themes in the study of human memory</w:t>
      </w:r>
      <w:r w:rsidR="0062733E" w:rsidRPr="004946F6">
        <w:t xml:space="preserve">, such as the nature of the test (recall, </w:t>
      </w:r>
      <w:r w:rsidR="00BC258E" w:rsidRPr="004946F6">
        <w:t>recognition</w:t>
      </w:r>
      <w:r w:rsidR="0062733E" w:rsidRPr="004946F6">
        <w:t>)</w:t>
      </w:r>
      <w:r w:rsidR="005D4DCE" w:rsidRPr="004946F6">
        <w:t xml:space="preserve">, </w:t>
      </w:r>
      <w:r w:rsidR="00BC258E" w:rsidRPr="004946F6">
        <w:t xml:space="preserve">assumed retrieval process (memory search, recollection, familiarity), </w:t>
      </w:r>
      <w:r w:rsidR="0081450C" w:rsidRPr="004946F6">
        <w:t xml:space="preserve">and the context of the test </w:t>
      </w:r>
      <w:r w:rsidR="005D4DCE" w:rsidRPr="004946F6">
        <w:t>(similar or different to the encoding context)</w:t>
      </w:r>
      <w:r w:rsidR="00BF5035" w:rsidRPr="004946F6">
        <w:t xml:space="preserve">. </w:t>
      </w:r>
      <w:r w:rsidR="00BE7A8A" w:rsidRPr="004946F6">
        <w:t>Th</w:t>
      </w:r>
      <w:r w:rsidR="0081450C" w:rsidRPr="004946F6">
        <w:t>e</w:t>
      </w:r>
      <w:r w:rsidR="00BE7A8A" w:rsidRPr="004946F6">
        <w:t xml:space="preserve"> </w:t>
      </w:r>
      <w:r w:rsidR="00E457FF" w:rsidRPr="004946F6">
        <w:t xml:space="preserve">relative </w:t>
      </w:r>
      <w:r w:rsidR="00BE7A8A" w:rsidRPr="004946F6">
        <w:t xml:space="preserve">neglect of </w:t>
      </w:r>
      <w:r w:rsidR="00E457FF" w:rsidRPr="004946F6">
        <w:t xml:space="preserve">retrieval mechanisms </w:t>
      </w:r>
      <w:r w:rsidR="00022209" w:rsidRPr="004946F6">
        <w:t xml:space="preserve">in these frameworks </w:t>
      </w:r>
      <w:r w:rsidR="0081262B" w:rsidRPr="004946F6">
        <w:t xml:space="preserve">is incompatible with </w:t>
      </w:r>
      <w:r w:rsidR="00BE7A8A" w:rsidRPr="004946F6">
        <w:t>the mainstream human memory literature, where the consensus has long been that the conditions of retrieval often determine memory performance</w:t>
      </w:r>
      <w:r w:rsidR="0087075F" w:rsidRPr="004946F6">
        <w:t xml:space="preserve">, </w:t>
      </w:r>
      <w:r w:rsidR="00741A65" w:rsidRPr="004946F6">
        <w:t>as</w:t>
      </w:r>
      <w:r w:rsidR="0087075F" w:rsidRPr="004946F6">
        <w:t xml:space="preserve"> </w:t>
      </w:r>
      <w:r w:rsidR="009C0C87" w:rsidRPr="004946F6">
        <w:t xml:space="preserve">in </w:t>
      </w:r>
      <w:r w:rsidR="00963094" w:rsidRPr="004946F6">
        <w:t>the encoding specificity principle</w:t>
      </w:r>
      <w:r w:rsidR="00831669" w:rsidRPr="004946F6">
        <w:t xml:space="preserve"> </w:t>
      </w:r>
      <w:r w:rsidR="00094075" w:rsidRPr="004946F6">
        <w:fldChar w:fldCharType="begin" w:fldLock="1"/>
      </w:r>
      <w:r w:rsidR="008C25E5" w:rsidRPr="004946F6">
        <w:instrText>ADDIN CSL_CITATION { "citationItems" : [ { "id" : "ITEM-1", "itemData" : { "DOI" : "10.1037/h0020071", "ISBN" : "9781424450404", "ISSN" : "0033-295X", "abstract" : "Recent changes in prctheorclical orientation toward problems of human memory have brought with them a concern with retrieval processes, and a number of early versions of theories of retrieval have been constructed. This paper describes and evaluates explanations offered by these theories to ac- count for the effect of extralist cuing, facilitation of recall of list items by non- list items. Experiments designed to test the currently most popular theory of retrieval, the generation-recognition theory, yielded results incompatible not only with generation-recognition models, but most other theories as well: under certain conditions subjects consistently failed to recognize many recallable list words. Several tentative explanations of this phenomenon of recognition failure were subsumed under the encoding specificity principle according to which the memory trace of an event and hence the properties of effective retrieval cue are determined by the specific encoding operations performed by the system on the input stimuli.", "author" : [ { "dropping-particle" : "", "family" : "Tulving", "given" : "Endel", "non-dropping-particle" : "", "parse-names" : false, "suffix" : "" }, { "dropping-particle" : "", "family" : "Thomson", "given" : "Donald M.", "non-dropping-particle" : "", "parse-names" : false, "suffix" : "" } ], "container-title" : "Psychological Review", "id" : "ITEM-1", "issue" : "5", "issued" : { "date-parts" : [ [ "1973" ] ] }, "page" : "352-373", "title" : "Encoding specificity and retrieval processes in episodic memory.", "type" : "article-journal", "volume" : "80" }, "uris" : [ "http://www.mendeley.com/documents/?uuid=8d18f3ab-bcc1-4350-9cdf-0071fa1f2abe" ] } ], "mendeley" : { "formattedCitation" : "(Tulving &amp; Thomson, 1973)", "plainTextFormattedCitation" : "(Tulving &amp; Thomson, 1973)", "previouslyFormattedCitation" : "(Tulving &amp; Thomson, 1973)" }, "properties" : { "noteIndex" : 0 }, "schema" : "https://github.com/citation-style-language/schema/raw/master/csl-citation.json" }</w:instrText>
      </w:r>
      <w:r w:rsidR="00094075" w:rsidRPr="004946F6">
        <w:fldChar w:fldCharType="separate"/>
      </w:r>
      <w:r w:rsidR="00B511A2" w:rsidRPr="004946F6">
        <w:rPr>
          <w:noProof/>
        </w:rPr>
        <w:t>(Tulving &amp; Thomson, 1973)</w:t>
      </w:r>
      <w:r w:rsidR="00094075" w:rsidRPr="004946F6">
        <w:fldChar w:fldCharType="end"/>
      </w:r>
      <w:r w:rsidR="00FF3139" w:rsidRPr="004946F6">
        <w:t>,</w:t>
      </w:r>
      <w:r w:rsidR="00831669" w:rsidRPr="004946F6">
        <w:t xml:space="preserve"> </w:t>
      </w:r>
      <w:r w:rsidR="0087075F" w:rsidRPr="004946F6">
        <w:t>transfer-appropriate processing</w:t>
      </w:r>
      <w:r w:rsidR="002D3A21" w:rsidRPr="004946F6">
        <w:t xml:space="preserve"> </w:t>
      </w:r>
      <w:r w:rsidR="00094075" w:rsidRPr="004946F6">
        <w:fldChar w:fldCharType="begin" w:fldLock="1"/>
      </w:r>
      <w:r w:rsidR="008C25E5" w:rsidRPr="004946F6">
        <w:instrText>ADDIN CSL_CITATION { "citationItems" : [ { "id" : "ITEM-1", "itemData" : { "DOI" : "10.1037//0278-7393.16.6.978", "ISBN" : "0278-7393", "ISSN" : "0278-7393", "abstract" : "To examine how feature-specific pattern-analyzing processes affect implicit and explicit memory test performance, words were displayed for study and testing in 2 visually distinct formats: upside down vs normal for Exp 1, upside down vs backward for Exp 2, and in Applesoft pudgy vs shadow typeface for Exp 3. Implicit and explicit memory performance were assessed with word identification and recognition tests, respectively. The results showed larger priming effects when the study and test formats were the same rather than different, but only in some experimental conditions. The discussion focuses on how skill and processing strategies contribute to format-specific effects on implicit and explicit memory test performance, and it outlines a theoretical account based on the idea of transfer-appropriate processing. (PsycINFO Database Record (c) 2007 APA, all rights reserved) http://dx.doi.org/10.1037/0278-7393.16.6.978", "author" : [ { "dropping-particle" : "", "family" : "Graf", "given" : "Peter", "non-dropping-particle" : "", "parse-names" : false, "suffix" : "" }, { "dropping-particle" : "", "family" : "Ryan", "given" : "Lee", "non-dropping-particle" : "", "parse-names" : false, "suffix" : "" } ], "container-title" : "Journal of Experimental Psychology: Learning, Memory, and Cognition", "id" : "ITEM-1", "issue" : "6", "issued" : { "date-parts" : [ [ "1990" ] ] }, "page" : "978-992", "title" : "Transfer-appropriate processing for implicit and explicit memory. 1990", "type" : "article-journal", "volume" : "16" }, "uris" : [ "http://www.mendeley.com/documents/?uuid=b94b2d90-7684-4388-b1d6-5284cd5a4e2d" ] } ], "mendeley" : { "formattedCitation" : "(Graf &amp; Ryan, 1990)", "plainTextFormattedCitation" : "(Graf &amp; Ryan, 1990)", "previouslyFormattedCitation" : "(Graf &amp; Ryan, 1990)" }, "properties" : { "noteIndex" : 0 }, "schema" : "https://github.com/citation-style-language/schema/raw/master/csl-citation.json" }</w:instrText>
      </w:r>
      <w:r w:rsidR="00094075" w:rsidRPr="004946F6">
        <w:fldChar w:fldCharType="separate"/>
      </w:r>
      <w:r w:rsidR="00094075" w:rsidRPr="004946F6">
        <w:rPr>
          <w:noProof/>
        </w:rPr>
        <w:t>(Graf &amp; Ryan, 1990)</w:t>
      </w:r>
      <w:r w:rsidR="00094075" w:rsidRPr="004946F6">
        <w:fldChar w:fldCharType="end"/>
      </w:r>
      <w:r w:rsidR="00FF3139" w:rsidRPr="004946F6">
        <w:t xml:space="preserve">, </w:t>
      </w:r>
      <w:r w:rsidR="002A27EE" w:rsidRPr="004946F6">
        <w:t xml:space="preserve">and </w:t>
      </w:r>
      <w:r w:rsidR="00FF3139" w:rsidRPr="004946F6">
        <w:t xml:space="preserve">state-dependent memory </w:t>
      </w:r>
      <w:r w:rsidR="00FF3139" w:rsidRPr="004946F6">
        <w:fldChar w:fldCharType="begin" w:fldLock="1"/>
      </w:r>
      <w:r w:rsidR="008C25E5" w:rsidRPr="004946F6">
        <w:instrText>ADDIN CSL_CITATION { "citationItems" : [ { "id" : "ITEM-1", "itemData" : { "ISSN" : "1069-9384", "PMID" : "11495110", "abstract" : "To address questions about human memory's dependence on the coincidental environmental contexts in which events occur, we review studies of incidental environmental context-dependent memory in humans and report a meta-analysis. Our theoretical approach to the issue stems from Glenberg's (1997) contention that introspective thought (e.g., remembering, conceptualizing) requires cognitive resources normally used to represent the immediate environment. We propose that if tasks encourage processing of noncontextual information (i.e., introspective thought) at input and/or at test, then both learning and memory will be less dependent on the ambient environmental contexts in which those activities occur. The meta-analysis showed that across all studies, environmental context effects were reliable, and furthermore, that the use of noncontextual cues during learning (overshadowing) and at test (outshining), as well as mental reinstatement of appropriate context cues at test, all reduce the effect of environmental manipulations. We conclude that environmental context-dependent memory effects are less likely to occur under conditions in which the immediate environment is likely to be suppressed.", "author" : [ { "dropping-particle" : "", "family" : "Smith", "given" : "S M", "non-dropping-particle" : "", "parse-names" : false, "suffix" : "" }, { "dropping-particle" : "", "family" : "Vela", "given" : "E", "non-dropping-particle" : "", "parse-names" : false, "suffix" : "" } ], "container-title" : "Psychonomic bulletin &amp; review", "id" : "ITEM-1", "issue" : "2", "issued" : { "date-parts" : [ [ "2001", "6" ] ] }, "page" : "203-20", "title" : "Environmental context-dependent memory: a review and meta-analysis.", "type" : "article-journal", "volume" : "8" }, "uris" : [ "http://www.mendeley.com/documents/?uuid=f5cc84c5-aad9-344a-bfc5-a3408dfc1daf" ] } ], "mendeley" : { "formattedCitation" : "(Smith &amp; Vela, 2001)", "plainTextFormattedCitation" : "(Smith &amp; Vela, 2001)", "previouslyFormattedCitation" : "(Smith &amp; Vela, 2001)" }, "properties" : { "noteIndex" : 0 }, "schema" : "https://github.com/citation-style-language/schema/raw/master/csl-citation.json" }</w:instrText>
      </w:r>
      <w:r w:rsidR="00FF3139" w:rsidRPr="004946F6">
        <w:fldChar w:fldCharType="separate"/>
      </w:r>
      <w:r w:rsidR="00FF3139" w:rsidRPr="004946F6">
        <w:rPr>
          <w:noProof/>
        </w:rPr>
        <w:t>(Smith &amp; Vela, 2001)</w:t>
      </w:r>
      <w:r w:rsidR="00FF3139" w:rsidRPr="004946F6">
        <w:fldChar w:fldCharType="end"/>
      </w:r>
      <w:r w:rsidR="00831669" w:rsidRPr="004946F6">
        <w:t xml:space="preserve"> as well as their neural concomitant, </w:t>
      </w:r>
      <w:r w:rsidR="00963094" w:rsidRPr="004946F6">
        <w:t>instantiation</w:t>
      </w:r>
      <w:r w:rsidR="009C0C87" w:rsidRPr="004946F6">
        <w:t xml:space="preserve"> </w:t>
      </w:r>
      <w:r w:rsidR="009E0920" w:rsidRPr="004946F6">
        <w:fldChar w:fldCharType="begin" w:fldLock="1"/>
      </w:r>
      <w:r w:rsidR="008C25E5" w:rsidRPr="004946F6">
        <w:instrText>ADDIN CSL_CITATION { "citationItems" : [ { "id" : "ITEM-1", "itemData" : { "DOI" : "10.1037/a0017937", "ISBN" : "0033-2909\\r1939-1455", "ISSN" : "0033-2909", "PMID" : "20063927", "abstract" : "There is growing evidence that the brain regions involved in encoding an episode are partially reactivated when that episode is later remembered. That is, the process of remembering an episode involves literally returning to the brain state that was present during that episode. This article reviews studies of episodic and associative memory that provide support for the assertion that encoding regions are reactivated during subsequent retrieval. In the first section, studies are reviewed in which neutral stimuli were associated with different modalities of sensory stimuli or different valences of emotional stimuli. When the neutral stimuli were later used as retrieval cues, relevant sensory and emotion processing regions were reactivated. In the second section, studies are reviewed in which participants used different strategies for encoding stimuli. When the stimuli were later retrieved, regions associated with the different encoding strategies were reactivated. Together, these studies demonstrate not only that the encoding experience determines which regions are activated during subsequent retrieval but also that the same regions are activated during encoding and retrieval. In the final section, relevant questions are posed and discussed regarding the reactivation of encoding regions during retrieval.", "author" : [ { "dropping-particle" : "", "family" : "Danker", "given" : "Jared F", "non-dropping-particle" : "", "parse-names" : false, "suffix" : "" }, { "dropping-particle" : "", "family" : "Anderson", "given" : "John R", "non-dropping-particle" : "", "parse-names" : false, "suffix" : "" } ], "container-title" : "Psychological bulletin", "id" : "ITEM-1", "issue" : "1", "issued" : { "date-parts" : [ [ "2010" ] ] }, "page" : "87-102", "title" : "The ghosts of brain states past: remembering reactivates the brain regions engaged during encoding.", "type" : "article-journal", "volume" : "136" }, "uris" : [ "http://www.mendeley.com/documents/?uuid=73c5f5b5-495e-4a0f-9831-2618b33dc443" ] } ], "mendeley" : { "formattedCitation" : "(Danker &amp; Anderson, 2010)", "plainTextFormattedCitation" : "(Danker &amp; Anderson, 2010)", "previouslyFormattedCitation" : "(Danker &amp; Anderson, 2010)" }, "properties" : { "noteIndex" : 0 }, "schema" : "https://github.com/citation-style-language/schema/raw/master/csl-citation.json" }</w:instrText>
      </w:r>
      <w:r w:rsidR="009E0920" w:rsidRPr="004946F6">
        <w:fldChar w:fldCharType="separate"/>
      </w:r>
      <w:r w:rsidR="009E0920" w:rsidRPr="004946F6">
        <w:rPr>
          <w:noProof/>
        </w:rPr>
        <w:t>(Danker &amp; Anderson, 2010)</w:t>
      </w:r>
      <w:r w:rsidR="009E0920" w:rsidRPr="004946F6">
        <w:fldChar w:fldCharType="end"/>
      </w:r>
      <w:r w:rsidR="0087075F" w:rsidRPr="004946F6">
        <w:t xml:space="preserve">. </w:t>
      </w:r>
      <w:r w:rsidR="007D1BDD" w:rsidRPr="004946F6">
        <w:t xml:space="preserve">Specifically in relation to emotion, the literature on mood congruency </w:t>
      </w:r>
      <w:r w:rsidR="009C0C87" w:rsidRPr="004946F6">
        <w:t xml:space="preserve">established </w:t>
      </w:r>
      <w:r w:rsidR="007D1BDD" w:rsidRPr="004946F6">
        <w:t>that the retrieval context matters for emotional memory</w:t>
      </w:r>
      <w:r w:rsidR="009C0C87" w:rsidRPr="004946F6">
        <w:t xml:space="preserve">, </w:t>
      </w:r>
      <w:r w:rsidR="009E0920" w:rsidRPr="004946F6">
        <w:t xml:space="preserve">with </w:t>
      </w:r>
      <w:r w:rsidR="009C0C87" w:rsidRPr="004946F6">
        <w:t xml:space="preserve">memory performance </w:t>
      </w:r>
      <w:r w:rsidR="002A27EE" w:rsidRPr="004946F6">
        <w:t xml:space="preserve">increasing </w:t>
      </w:r>
      <w:r w:rsidR="009C0C87" w:rsidRPr="004946F6">
        <w:t>when the mood at encoding and retrieval</w:t>
      </w:r>
      <w:r w:rsidR="00637457" w:rsidRPr="004946F6">
        <w:t xml:space="preserve"> is consistent</w:t>
      </w:r>
      <w:r w:rsidR="009C0C87" w:rsidRPr="004946F6">
        <w:t xml:space="preserve"> </w:t>
      </w:r>
      <w:r w:rsidR="009C0C87" w:rsidRPr="004946F6">
        <w:fldChar w:fldCharType="begin" w:fldLock="1"/>
      </w:r>
      <w:r w:rsidR="008C25E5" w:rsidRPr="004946F6">
        <w:instrText>ADDIN CSL_CITATION { "citationItems" : [ { "id" : "ITEM-1", "itemData" : { "DOI" : "10.1037/0033-2909.99.2.229", "ISBN" : "0033-2909 (Print)\\n0033-2909 (Linking)", "ISSN" : "0033-2909", "PMID" : "3515383", "abstract" : "Reviews, critically, the empirical literature on the role of depression and elation in biasing mnemonic processing. Two classes of effects\u2014state dependence and mood congruence\u2014are examined. The latter, which involves the enhanced encoding and/or retrieval of material the affective valence of which is congruent with ongoing mood, is the more extensively researched of the two and is thus the focus of much of the review. Although the support for claims of such a phenomenon is impressive in its size, consistency, and diversity, a number of questions remain. These include whether such effects are linked to mood states per se and the possible role that such effects may play in the development of persistent depression.", "author" : [ { "dropping-particle" : "", "family" : "Blaney", "given" : "P H", "non-dropping-particle" : "", "parse-names" : false, "suffix" : "" } ], "container-title" : "Psychological bulletin", "id" : "ITEM-1", "issue" : "2", "issued" : { "date-parts" : [ [ "1986" ] ] }, "page" : "229-246", "title" : "Affect and memory: a review.", "type" : "article-journal", "volume" : "99" }, "uris" : [ "http://www.mendeley.com/documents/?uuid=3ee1fc66-ad5e-4e3c-ab89-846d7d1c3683" ] } ], "mendeley" : { "formattedCitation" : "(Blaney, 1986)", "plainTextFormattedCitation" : "(Blaney, 1986)", "previouslyFormattedCitation" : "(Blaney, 1986)" }, "properties" : { "noteIndex" : 0 }, "schema" : "https://github.com/citation-style-language/schema/raw/master/csl-citation.json" }</w:instrText>
      </w:r>
      <w:r w:rsidR="009C0C87" w:rsidRPr="004946F6">
        <w:fldChar w:fldCharType="separate"/>
      </w:r>
      <w:r w:rsidR="009C0C87" w:rsidRPr="004946F6">
        <w:rPr>
          <w:noProof/>
        </w:rPr>
        <w:t>(Blaney, 1986)</w:t>
      </w:r>
      <w:r w:rsidR="009C0C87" w:rsidRPr="004946F6">
        <w:fldChar w:fldCharType="end"/>
      </w:r>
      <w:r w:rsidR="007D1BDD" w:rsidRPr="004946F6">
        <w:t xml:space="preserve">. </w:t>
      </w:r>
      <w:r w:rsidR="00D45B62" w:rsidRPr="004946F6">
        <w:t>A study where participants encoded and retrieved stimuli with an emotional or a neutral context showed that t</w:t>
      </w:r>
      <w:r w:rsidR="00876985" w:rsidRPr="004946F6">
        <w:t xml:space="preserve">his effect is not due </w:t>
      </w:r>
      <w:r w:rsidR="00022209" w:rsidRPr="004946F6">
        <w:t xml:space="preserve">solely </w:t>
      </w:r>
      <w:r w:rsidR="00876985" w:rsidRPr="004946F6">
        <w:t xml:space="preserve">to an emotional context at encoding or at retrieval, but </w:t>
      </w:r>
      <w:r w:rsidR="00022209" w:rsidRPr="004946F6">
        <w:t xml:space="preserve">to </w:t>
      </w:r>
      <w:r w:rsidR="00876985" w:rsidRPr="004946F6">
        <w:t>the</w:t>
      </w:r>
      <w:r w:rsidR="00022209" w:rsidRPr="004946F6">
        <w:t>ir</w:t>
      </w:r>
      <w:r w:rsidR="00876985" w:rsidRPr="004946F6">
        <w:t xml:space="preserve"> match </w:t>
      </w:r>
      <w:r w:rsidR="00E40116" w:rsidRPr="004946F6">
        <w:fldChar w:fldCharType="begin" w:fldLock="1"/>
      </w:r>
      <w:r w:rsidR="008C25E5" w:rsidRPr="004946F6">
        <w:instrText>ADDIN CSL_CITATION { "citationItems" : [ { "id" : "ITEM-1", "itemData" : { "abstract" : "Although memories are more retrievable if observers\u2019 emotional states are consistent between encoding and retrieval, it is unclear whether the consistency of emotional states increases the likelihood of successful memory retrieval, the precision of retrieved memories, or both. The present study tested visual long-term memory for everyday objects while consistent or inconsistent emotional contexts between encoding and retrieval were induced using background grey-scale images from the International Affective Picture System (IAPS). In the study phase, participants remembered colours of sequentially presented objects in a negative (Experiment 1a) or positive (Experiment 2a) context. In the test phase, participants estimated the colours of previously studied objects in either negative versus neutral (Experiment 1a) or positive versus neutral (Experiment 2a) contexts. Note, IAPS images in the test phase were always visually different from those initially paired with the studied objects. We found that reinstating negative context and positive context at retrieval resulted in better mnemonic precision and a higher probability of successful retrieval, respectively. Critically, these effects could not be attributed to a negative or positive context at retrieval alone (Experiments 1b and 2b). Together, these findings demonstrated dissociable effects of emotion on the quantitative and qualitative aspects of visual long-term memory retrieval.", "author" : [ { "dropping-particle" : "", "family" : "Xie", "given" : "Weizhen", "non-dropping-particle" : "", "parse-names" : false, "suffix" : "" }, { "dropping-particle" : "", "family" : "Zhang", "given" : "Weiwei", "non-dropping-particle" : "", "parse-names" : false, "suffix" : "" } ], "container-title" : "Cognition &amp; Emotion", "id" : "ITEM-1", "issued" : { "date-parts" : [ [ "0" ] ] }, "title" : "Precision, Mood-dependent retrieval in visual long-term memory: dissociable effects on retrieval probability and mnemonic", "type" : "article-journal" }, "uris" : [ "http://www.mendeley.com/documents/?uuid=1c06e0e8-01d9-4c85-b408-18e7d9460f93" ] } ], "mendeley" : { "formattedCitation" : "(Xie &amp; Zhang, n.d.)", "plainTextFormattedCitation" : "(Xie &amp; Zhang, n.d.)", "previouslyFormattedCitation" : "(Xie &amp; Zhang, n.d.)" }, "properties" : { "noteIndex" : 0 }, "schema" : "https://github.com/citation-style-language/schema/raw/master/csl-citation.json" }</w:instrText>
      </w:r>
      <w:r w:rsidR="00E40116" w:rsidRPr="004946F6">
        <w:fldChar w:fldCharType="separate"/>
      </w:r>
      <w:r w:rsidR="00E40116" w:rsidRPr="004946F6">
        <w:rPr>
          <w:noProof/>
        </w:rPr>
        <w:t>(Xie &amp; Zhang, n.d.)</w:t>
      </w:r>
      <w:r w:rsidR="00E40116" w:rsidRPr="004946F6">
        <w:fldChar w:fldCharType="end"/>
      </w:r>
      <w:r w:rsidR="00CC780A" w:rsidRPr="004946F6">
        <w:t xml:space="preserve"> </w:t>
      </w:r>
      <w:r w:rsidR="00084B94" w:rsidRPr="004946F6">
        <w:t xml:space="preserve">Recent results also show that like neutral items </w:t>
      </w:r>
      <w:r w:rsidR="00084B94" w:rsidRPr="004946F6">
        <w:fldChar w:fldCharType="begin" w:fldLock="1"/>
      </w:r>
      <w:r w:rsidR="008C25E5" w:rsidRPr="004946F6">
        <w:instrText>ADDIN CSL_CITATION { "citationItems" : [ { "id" : "ITEM-1", "itemData" : { "DOI" : "10.1038/nature17955", "ISSN" : "1476-4687", "abstract" : "This paper tests and provides support for the emerging hypothesis that two distinct memories formed close in time may be linked, such that recall of one triggers recall of the other. Using a range of techniques including in vivo calcium imaging with miniature head-mounted fluorescent microscopes in freely behaving mice, Alcino Silva and colleagues show that learning-dependent changes in excitability can temporally and contextually link memories formed close in time. Interestingly the overlap between memory encoding ensembles and strengthening of the second memory within short periods of time do not occur in aged animals, which do not exhibit the increased hippocampal excitability necessary for such links to occur.", "author" : [ { "dropping-particle" : "", "family" : "Cai", "given" : "Denise J.", "non-dropping-particle" : "", "parse-names" : false, "suffix" : "" }, { "dropping-particle" : "", "family" : "Aharoni", "given" : "Daniel", "non-dropping-particle" : "", "parse-names" : false, "suffix" : "" }, { "dropping-particle" : "", "family" : "Shuman", "given" : "Tristan", "non-dropping-particle" : "", "parse-names" : false, "suffix" : "" }, { "dropping-particle" : "", "family" : "Shobe", "given" : "Justin", "non-dropping-particle" : "", "parse-names" : false, "suffix" : "" }, { "dropping-particle" : "", "family" : "Biane", "given" : "Jeremy", "non-dropping-particle" : "", "parse-names" : false, "suffix" : "" }, { "dropping-particle" : "", "family" : "Song", "given" : "Weilin", "non-dropping-particle" : "", "parse-names" : false, "suffix" : "" }, { "dropping-particle" : "", "family" : "Wei", "given" : "Brandon", "non-dropping-particle" : "", "parse-names" : false, "suffix" : "" }, { "dropping-particle" : "", "family" : "Veshkini", "given" : "Michael", "non-dropping-particle" : "", "parse-names" : false, "suffix" : "" }, { "dropping-particle" : "", "family" : "La-Vu", "given" : "Mimi", "non-dropping-particle" : "", "parse-names" : false, "suffix" : "" }, { "dropping-particle" : "", "family" : "Lou", "given" : "Jerry", "non-dropping-particle" : "", "parse-names" : false, "suffix" : "" }, { "dropping-particle" : "", "family" : "Flores", "given" : "Sergio E.", "non-dropping-particle" : "", "parse-names" : false, "suffix" : "" }, { "dropping-particle" : "", "family" : "Kim", "given" : "Isaac", "non-dropping-particle" : "", "parse-names" : false, "suffix" : "" }, { "dropping-particle" : "", "family" : "Sano", "given" : "Yoshitake", "non-dropping-particle" : "", "parse-names" : false, "suffix" : "" }, { "dropping-particle" : "", "family" : "Zhou", "given" : "Miou", "non-dropping-particle" : "", "parse-names" : false, "suffix" : "" }, { "dropping-particle" : "", "family" : "Baumgaertel", "given" : "Karsten", "non-dropping-particle" : "", "parse-names" : false, "suffix" : "" }, { "dropping-particle" : "", "family" : "Lavi", "given" : "Ayal", "non-dropping-particle" : "", "parse-names" : false, "suffix" : "" }, { "dropping-particle" : "", "family" : "Kamata", "given" : "Masakazu", "non-dropping-particle" : "", "parse-names" : false, "suffix" : "" }, { "dropping-particle" : "", "family" : "Tuszynski", "given" : "Mark", "non-dropping-particle" : "", "parse-names" : false, "suffix" : "" }, { "dropping-particle" : "", "family" : "Mayford", "given" : "Mark", "non-dropping-particle" : "", "parse-names" : false, "suffix" : "" }, { "dropping-particle" : "", "family" : "Golshani", "given" : "Peyman", "non-dropping-particle" : "", "parse-names" : false, "suffix" : "" }, { "dropping-particle" : "", "family" : "Silva", "given" : "Alcino J.", "non-dropping-particle" : "", "parse-names" : false, "suffix" : "" } ], "container-title" : "Nature 2016 534:7605", "id" : "ITEM-1", "issue" : "7605", "issued" : { "date-parts" : [ [ "2016", "5", "23" ] ] }, "page" : "115", "publisher" : "Nature Publishing Group", "title" : "A shared neural ensemble links distinct contextual memories encoded close in time", "type" : "article-journal", "volume" : "534" }, "uris" : [ "http://www.mendeley.com/documents/?uuid=e1baee10-843b-3afb-8c51-cf14855cc015" ] } ], "mendeley" : { "formattedCitation" : "(Cai et al., 2016)", "plainTextFormattedCitation" : "(Cai et al., 2016)", "previouslyFormattedCitation" : "(Cai et al., 2016)" }, "properties" : { "noteIndex" : 0 }, "schema" : "https://github.com/citation-style-language/schema/raw/master/csl-citation.json" }</w:instrText>
      </w:r>
      <w:r w:rsidR="00084B94" w:rsidRPr="004946F6">
        <w:fldChar w:fldCharType="separate"/>
      </w:r>
      <w:r w:rsidR="008C25E5" w:rsidRPr="004946F6">
        <w:rPr>
          <w:noProof/>
        </w:rPr>
        <w:t>(Cai et al., 2016)</w:t>
      </w:r>
      <w:r w:rsidR="00084B94" w:rsidRPr="004946F6">
        <w:fldChar w:fldCharType="end"/>
      </w:r>
      <w:r w:rsidR="00084B94" w:rsidRPr="004946F6">
        <w:t xml:space="preserve">, emotional items also have access to a drifting neural context </w:t>
      </w:r>
      <w:r w:rsidR="00084B94" w:rsidRPr="004946F6">
        <w:fldChar w:fldCharType="begin" w:fldLock="1"/>
      </w:r>
      <w:r w:rsidR="008C25E5" w:rsidRPr="004946F6">
        <w:instrText>ADDIN CSL_CITATION { "citationItems" : [ { "id" : "ITEM-1", "itemData" : { "DOI" : "10.1126/science.aaf0594", "ISBN" : "9788578110796", "ISSN" : "10959203", "PMID" : "27463673", "abstract" : "Collections of cells called engrams are thought to represent memories. Although there has been progress in identifying and manipulating single engrams, little is known about how multiple engrams interact to influence memory. In lateral amygdala (LA), neurons with increased excitability during training outcompete their neighbors for allocation to an engram. We examined whether competition based on neuronal excitability also governs the interaction between engrams. Mice received two distinct fear conditioning events separated by different intervals. LA neuron excitability was optogenetically manipulated and revealed a transient competitive process that integrates memories for events occurring closely in time (coallocating overlapping populations of neurons to both engrams) and separates memories for events occurring at distal times (disallocating nonoverlapping populations to each engram).", "author" : [ { "dropping-particle" : "", "family" : "Rashid", "given" : "Asim J.", "non-dropping-particle" : "", "parse-names" : false, "suffix" : "" }, { "dropping-particle" : "", "family" : "Yan", "given" : "Chen", "non-dropping-particle" : "", "parse-names" : false, "suffix" : "" }, { "dropping-particle" : "", "family" : "Mercaldo", "given" : "Valentina", "non-dropping-particle" : "", "parse-names" : false, "suffix" : "" }, { "dropping-particle" : "", "family" : "Hsiang", "given" : "Hwa Lin", "non-dropping-particle" : "", "parse-names" : false, "suffix" : "" }, { "dropping-particle" : "", "family" : "Park", "given" : "Sungmo", "non-dropping-particle" : "", "parse-names" : false, "suffix" : "" }, { "dropping-particle" : "", "family" : "Cole", "given" : "Christina J.", "non-dropping-particle" : "", "parse-names" : false, "suffix" : "" }, { "dropping-particle" : "", "family" : "Cristofaro", "given" : "Antonietta", "non-dropping-particle" : "De", "parse-names" : false, "suffix" : "" }, { "dropping-particle" : "", "family" : "Yu", "given" : "Julia", "non-dropping-particle" : "", "parse-names" : false, "suffix" : "" }, { "dropping-particle" : "", "family" : "Ramakrishnan", "given" : "Charu", "non-dropping-particle" : "", "parse-names" : false, "suffix" : "" }, { "dropping-particle" : "", "family" : "Lee", "given" : "Soo Yeun", "non-dropping-particle" : "", "parse-names" : false, "suffix" : "" }, { "dropping-particle" : "", "family" : "Deisseroth", "given" : "Karl", "non-dropping-particle" : "", "parse-names" : false, "suffix" : "" }, { "dropping-particle" : "", "family" : "Frankland", "given" : "Paul W.", "non-dropping-particle" : "", "parse-names" : false, "suffix" : "" }, { "dropping-particle" : "", "family" : "Josselyn", "given" : "Sheena A.", "non-dropping-particle" : "", "parse-names" : false, "suffix" : "" } ], "container-title" : "Science", "id" : "ITEM-1", "issue" : "6297", "issued" : { "date-parts" : [ [ "2016" ] ] }, "page" : "383-387", "title" : "Competition between engrams influences fear memory formation and recall", "type" : "article-journal", "volume" : "353" }, "uris" : [ "http://www.mendeley.com/documents/?uuid=b28b4a3d-c7a7-46cd-86c4-59e13f251bbe", "http://www.mendeley.com/documents/?uuid=c2d2f381-79d8-489a-bcef-0927b46e68cc" ] } ], "mendeley" : { "formattedCitation" : "(Rashid et al., 2016)", "plainTextFormattedCitation" : "(Rashid et al., 2016)", "previouslyFormattedCitation" : "(Rashid et al., 2016)" }, "properties" : { "noteIndex" : 0 }, "schema" : "https://github.com/citation-style-language/schema/raw/master/csl-citation.json" }</w:instrText>
      </w:r>
      <w:r w:rsidR="00084B94" w:rsidRPr="004946F6">
        <w:fldChar w:fldCharType="separate"/>
      </w:r>
      <w:r w:rsidR="00084B94" w:rsidRPr="004946F6">
        <w:rPr>
          <w:noProof/>
        </w:rPr>
        <w:t>(Rashid et al., 2016)</w:t>
      </w:r>
      <w:r w:rsidR="00084B94" w:rsidRPr="004946F6">
        <w:fldChar w:fldCharType="end"/>
      </w:r>
      <w:r w:rsidR="00084B94" w:rsidRPr="004946F6">
        <w:t xml:space="preserve">. Importantly, Rashid et al. showed that retrieving an emotional experience changes the way that a new experience is encoded, such that the two are functionally linked. It is reasonable, therefore, to expect that retrieval processes </w:t>
      </w:r>
      <w:r w:rsidR="001D24FF">
        <w:t xml:space="preserve">contribute to </w:t>
      </w:r>
      <w:r w:rsidR="00084B94" w:rsidRPr="004946F6">
        <w:t>emotional memory.</w:t>
      </w:r>
      <w:r w:rsidR="006E738D" w:rsidRPr="004946F6">
        <w:t xml:space="preserve"> </w:t>
      </w:r>
    </w:p>
    <w:p w14:paraId="3A1FB9B9" w14:textId="77777777" w:rsidR="00F05CE5" w:rsidRDefault="00F05CE5" w:rsidP="00320EE8">
      <w:pPr>
        <w:spacing w:line="480" w:lineRule="auto"/>
        <w:jc w:val="both"/>
        <w:rPr>
          <w:b/>
        </w:rPr>
      </w:pPr>
    </w:p>
    <w:p w14:paraId="5DF7F7A0" w14:textId="77777777" w:rsidR="007D275C" w:rsidRPr="004946F6" w:rsidRDefault="007D275C" w:rsidP="00320EE8">
      <w:pPr>
        <w:spacing w:line="480" w:lineRule="auto"/>
        <w:jc w:val="both"/>
        <w:rPr>
          <w:b/>
        </w:rPr>
      </w:pPr>
    </w:p>
    <w:p w14:paraId="6E24C532" w14:textId="77777777" w:rsidR="00C62971" w:rsidRPr="004946F6" w:rsidRDefault="00C62971" w:rsidP="00320EE8">
      <w:pPr>
        <w:spacing w:line="480" w:lineRule="auto"/>
        <w:jc w:val="both"/>
      </w:pPr>
      <w:r w:rsidRPr="004946F6">
        <w:rPr>
          <w:b/>
        </w:rPr>
        <w:t xml:space="preserve">1.2 The </w:t>
      </w:r>
      <w:r w:rsidRPr="004946F6">
        <w:rPr>
          <w:b/>
          <w:bCs/>
        </w:rPr>
        <w:t>potential of retrieved context models in research of emotional memory</w:t>
      </w:r>
    </w:p>
    <w:p w14:paraId="13AE0AF3" w14:textId="5656C168" w:rsidR="006E0005" w:rsidRPr="004946F6" w:rsidRDefault="00A0115B">
      <w:pPr>
        <w:spacing w:line="480" w:lineRule="auto"/>
        <w:jc w:val="both"/>
      </w:pPr>
      <w:r w:rsidRPr="004946F6">
        <w:t>M</w:t>
      </w:r>
      <w:r w:rsidR="00057F60" w:rsidRPr="004946F6">
        <w:t xml:space="preserve">emory is better when </w:t>
      </w:r>
      <w:r w:rsidR="002010B5" w:rsidRPr="004946F6">
        <w:t xml:space="preserve">context states at encoding and at retrieval are more similar </w:t>
      </w:r>
      <w:r w:rsidR="002010B5" w:rsidRPr="004946F6">
        <w:fldChar w:fldCharType="begin" w:fldLock="1"/>
      </w:r>
      <w:r w:rsidR="008C25E5" w:rsidRPr="004946F6">
        <w:instrText>ADDIN CSL_CITATION { "citationItems" : [ { "id" : "ITEM-1", "itemData" : { "ISSN" : "1069-9384", "PMID" : "11495110", "abstract" : "To address questions about human memory's dependence on the coincidental environmental contexts in which events occur, we review studies of incidental environmental context-dependent memory in humans and report a meta-analysis. Our theoretical approach to the issue stems from Glenberg's (1997) contention that introspective thought (e.g., remembering, conceptualizing) requires cognitive resources normally used to represent the immediate environment. We propose that if tasks encourage processing of noncontextual information (i.e., introspective thought) at input and/or at test, then both learning and memory will be less dependent on the ambient environmental contexts in which those activities occur. The meta-analysis showed that across all studies, environmental context effects were reliable, and furthermore, that the use of noncontextual cues during learning (overshadowing) and at test (outshining), as well as mental reinstatement of appropriate context cues at test, all reduce the effect of environmental manipulations. We conclude that environmental context-dependent memory effects are less likely to occur under conditions in which the immediate environment is likely to be suppressed.", "author" : [ { "dropping-particle" : "", "family" : "Smith", "given" : "S M", "non-dropping-particle" : "", "parse-names" : false, "suffix" : "" }, { "dropping-particle" : "", "family" : "Vela", "given" : "E", "non-dropping-particle" : "", "parse-names" : false, "suffix" : "" } ], "container-title" : "Psychonomic bulletin &amp; review", "id" : "ITEM-1", "issue" : "2", "issued" : { "date-parts" : [ [ "2001", "6" ] ] }, "page" : "203-20", "title" : "Environmental context-dependent memory: a review and meta-analysis.", "type" : "article-journal", "volume" : "8" }, "uris" : [ "http://www.mendeley.com/documents/?uuid=f5cc84c5-aad9-344a-bfc5-a3408dfc1daf" ] }, { "id" : "ITEM-2", "itemData" : { "DOI" : "10.1006", "abstract" : "The principles of recency and contiguity are two cornerstones of the theoretical and empirical analysis of human memory. Recency has been alternatively explained by mechanisms of decay, displacement, and retroac-tive interference. Another account of recency is based on the idea of variable context (Estes, 1955; Mensink &amp; Raaijmakers, 1989). Such notions are typi-cally cast in terms of a randomly fluctuating population of elements reflective of subtle changes in the environment or in the subjects' mental state. This random context view has recently been incorporated into distributed and neural network memory models (Murdock, 1997; Murdock, Smith, &amp; Bai, 2001). Here we propose an alternative model. Rather than being driven by random fluctuations, this formulation, the temporal context model (TCM), uses retrieval of prior contextual states to drive contextual drift. In TCM, retrieved context is an inherently asymmetric retrieval cue. This allows the model to provide a principled explanation of the widespread advantage for forward recalls in free and serial recall. Modeling data from single-trial free recall, we demonstrate that TCM can simultaneously explain recency and contiguity effects across time scales.", "author" : [ { "dropping-particle" : "", "family" : "Howard", "given" : "Marc W", "non-dropping-particle" : "", "parse-names" : false, "suffix" : "" }, { "dropping-particle" : "", "family" : "Kahana", "given" : "Michael J", "non-dropping-particle" : "", "parse-names" : false, "suffix" : "" } ], "container-title" : "Journal of Mathematical Psychology", "id" : "ITEM-2", "issue" : "3", "issued" : { "date-parts" : [ [ "2002" ] ] }, "page" : "269-299", "title" : "A Distributed Representation of Temporal Context", "type" : "article-journal", "volume" : "46" }, "uris" : [ "http://www.mendeley.com/documents/?uuid=2b90dde9-b561-3d12-a949-d37b66d9807d" ] } ], "mendeley" : { "formattedCitation" : "(Howard &amp; Kahana, 2002a; Smith &amp; Vela, 2001)", "plainTextFormattedCitation" : "(Howard &amp; Kahana, 2002a; Smith &amp; Vela, 2001)", "previouslyFormattedCitation" : "(Howard &amp; Kahana, 2002a; Smith &amp; Vela, 2001)" }, "properties" : { "noteIndex" : 0 }, "schema" : "https://github.com/citation-style-language/schema/raw/master/csl-citation.json" }</w:instrText>
      </w:r>
      <w:r w:rsidR="002010B5" w:rsidRPr="004946F6">
        <w:fldChar w:fldCharType="separate"/>
      </w:r>
      <w:r w:rsidRPr="004946F6">
        <w:rPr>
          <w:noProof/>
        </w:rPr>
        <w:t>(Howard &amp; Kahana, 2002a; Smith &amp; Vela, 2001)</w:t>
      </w:r>
      <w:r w:rsidR="002010B5" w:rsidRPr="004946F6">
        <w:fldChar w:fldCharType="end"/>
      </w:r>
      <w:r w:rsidR="00057F60" w:rsidRPr="004946F6">
        <w:t>. Some have attributed the recency effect to such contextual similarity</w:t>
      </w:r>
      <w:r w:rsidR="001A1A62" w:rsidRPr="004946F6">
        <w:t xml:space="preserve"> </w:t>
      </w:r>
      <w:r w:rsidR="001A1A62" w:rsidRPr="004946F6">
        <w:fldChar w:fldCharType="begin" w:fldLock="1"/>
      </w:r>
      <w:r w:rsidR="008C25E5" w:rsidRPr="004946F6">
        <w:instrText>ADDIN CSL_CITATION { "citationItems" : [ { "id" : "ITEM-1", "itemData" : { "DOI" : "10.1006/jmla.1993.1041", "ISBN" : "0749-596X U6 - ctx_ver=Z39.88-2004&amp;ctx_enc=info%3Aofi%2Fenc%3AUTF-8&amp;rfr_id=info:sid/summon.serialssolutions.com&amp;rft_val_fmt=info:ofi/fmt:kev:mtx:journal&amp;rft.genre=article&amp;rft.atitle=Contextual+and+Distinctive+Processes+and+the+Serial+Position+Function&amp;rft.jtitle=Journal+of+Memory+and+Language&amp;rft.au=Neath%2C+I&amp;rft.date=1993-01-01&amp;rft.pub=Elsevier+Inc&amp;rft.issn=0749-596X&amp;rft.volume=32&amp;rft.issue=6&amp;rft.spage=820&amp;rft.epage=840&amp;rft_id=info:doi/10.1006%2Fjmla.1993.1041&amp;rft.externalDocID=doi_10_1006_jml", "ISSN" : "0749596X", "abstract" : "When people recall a series of items, memory for the last few items is enhanced relative to items earlier in the list, a result called the recency effect. When the final item in the list is followed by a period of distracting activity the recency effect is attenuated, but when every item is followed by distracting activity the recency effect returns. The experiments reported replicate the changing-distractor effect - reduced recency when the distractor task following an item differs from the task following the other items - in incidental learning conditions and demonstrate that when a unique distractor task occurs after every item, the recency effect again reemerges, findings problematic for a rehearsal explanation. Rather, the final experiments support a proposed distinction between contextual effects and those due to distinctiveness, with the result that the changing-distractor effect is no longer seen as problematical for theories of serial position effects based on distinctiveness.", "author" : [ { "dropping-particle" : "", "family" : "Neath", "given" : "I.", "non-dropping-particle" : "", "parse-names" : false, "suffix" : "" } ], "container-title" : "Journal of Memory and Language", "id" : "ITEM-1", "issue" : "6", "issued" : { "date-parts" : [ [ "1993" ] ] }, "page" : "820-840", "title" : "Contextual and Distinctive Processes and the Serial Position Function", "type" : "article-journal", "volume" : "32" }, "uris" : [ "http://www.mendeley.com/documents/?uuid=424e92ef-8bac-46a4-bd2d-b096cfc42778" ] }, { "id" : "ITEM-2", "itemData" : { "DOI" : "10.1037/0278-7393.12.1.3", "ISBN" : "0278-7393\\n1939-1285", "ISSN" : "0278-7393", "PMID" : "2949048", "abstract" : "A temporal distinctiveness theory of contextually cued retrieval from memory is presented and applied to recency and modality effects. According to this theory, one part of the mnemonic trace of an item is a representation of the item's time of presentation. Time of presentation may be encoded with a coarse grain (so that it is consistent with a wide range of times) or with a fine grain (so that it is consistent with a narrow range of times). Retrieval proceeds by constructing temporally defined search sets that include representations of items consistent with the temporal bounds of the search set. The temporal width of the search set increases as the retention interval increases. Recency effects arise from retrieval of recently presented items from narrow search sets that include representations of few items; within the context of the search set, these items are distinctive and recalled well. Superiority in recall of recently presented auditory information in comparison with recently presented visual information is attributed to differences in the grain of time of presentation representations for aurally (fine grain) and visually (coarse grain) presented information. Four experiments confirm qualitative and quantitative predictions of the theory, including the prediction of auditory superiority at the beginning of the list when the initial items are temporally distinct.", "author" : [ { "dropping-particle" : "", "family" : "Glenberg", "given" : "A M", "non-dropping-particle" : "", "parse-names" : false, "suffix" : "" }, { "dropping-particle" : "", "family" : "Swanson", "given" : "N G", "non-dropping-particle" : "", "parse-names" : false, "suffix" : "" } ], "container-title" : "Journal of Experimental Psychology: Learning, Memory, and Cognition", "id" : "ITEM-2", "issue" : "1", "issued" : { "date-parts" : [ [ "1986" ] ] }, "page" : "3-15", "title" : "A temporal distinctiveness theory of recency and modality effects.", "type" : "article-journal", "volume" : "12" }, "uris" : [ "http://www.mendeley.com/documents/?uuid=a536a609-d62a-43d4-be71-241e9b78461a" ] } ], "mendeley" : { "formattedCitation" : "(Glenberg &amp; Swanson, 1986; Neath, 1993)", "plainTextFormattedCitation" : "(Glenberg &amp; Swanson, 1986; Neath, 1993)", "previouslyFormattedCitation" : "(Glenberg &amp; Swanson, 1986; Neath, 1993)" }, "properties" : { "noteIndex" : 0 }, "schema" : "https://github.com/citation-style-language/schema/raw/master/csl-citation.json" }</w:instrText>
      </w:r>
      <w:r w:rsidR="001A1A62" w:rsidRPr="004946F6">
        <w:fldChar w:fldCharType="separate"/>
      </w:r>
      <w:r w:rsidR="00983A5F" w:rsidRPr="004946F6">
        <w:rPr>
          <w:noProof/>
        </w:rPr>
        <w:t>(Glenberg &amp; Swanson, 1986; Neath, 1993)</w:t>
      </w:r>
      <w:r w:rsidR="001A1A62" w:rsidRPr="004946F6">
        <w:fldChar w:fldCharType="end"/>
      </w:r>
      <w:r w:rsidR="00BB2BF1" w:rsidRPr="004946F6">
        <w:t xml:space="preserve">. </w:t>
      </w:r>
      <w:r w:rsidR="0081450C" w:rsidRPr="004946F6">
        <w:t>The term</w:t>
      </w:r>
      <w:r w:rsidR="005D4945" w:rsidRPr="004946F6">
        <w:t xml:space="preserve"> “brain state” </w:t>
      </w:r>
      <w:r w:rsidR="0081450C" w:rsidRPr="004946F6">
        <w:t xml:space="preserve">has been </w:t>
      </w:r>
      <w:r w:rsidR="005D4945" w:rsidRPr="004946F6">
        <w:t xml:space="preserve">employed </w:t>
      </w:r>
      <w:r w:rsidR="0081450C" w:rsidRPr="004946F6">
        <w:t>recent</w:t>
      </w:r>
      <w:r w:rsidR="005D4945" w:rsidRPr="004946F6">
        <w:t xml:space="preserve">ly </w:t>
      </w:r>
      <w:r w:rsidR="0081450C" w:rsidRPr="004946F6">
        <w:fldChar w:fldCharType="begin" w:fldLock="1"/>
      </w:r>
      <w:r w:rsidR="008C25E5" w:rsidRPr="004946F6">
        <w:instrText>ADDIN CSL_CITATION { "citationItems" : [ { "id" : "ITEM-1", "itemData" : { "author" : [ { "dropping-particle" : "", "family" : "Tambini", "given" : "A.", "non-dropping-particle" : "", "parse-names" : false, "suffix" : "" }, { "dropping-particle" : "", "family" : "Rimmele", "given" : "U.", "non-dropping-particle" : "", "parse-names" : false, "suffix" : "" }, { "dropping-particle" : "", "family" : "Phelps", "given" : "E.A.", "non-dropping-particle" : "", "parse-names" : false, "suffix" : "" }, { "dropping-particle" : "", "family" : "Davachi", "given" : "L.", "non-dropping-particle" : "", "parse-names" : false, "suffix" : "" } ], "container-title" : "Nature Neuroscience, 1-8.", "id" : "ITEM-1", "issue" : "8", "issued" : { "date-parts" : [ [ "2017" ] ] }, "title" : "Emotional brain states carry over and enhance future memory formation", "type" : "article-journal", "volume" : "1" }, "uris" : [ "http://www.mendeley.com/documents/?uuid=b2d45184-e6d5-4914-bf22-c78afc5b254d" ] }, { "id" : "ITEM-2", "itemData" : { "DOI" : "10.1016/j.neuron.2017.03.028", "ISSN" : "08966273", "PMID" : "28595052", "abstract" : "A general theory of brain function has to be able to explain local and non-local network computations over space and time. We propose a new framework to capture the key principles of how local activity influences global computation, i.e., describing the propagation of information and thus the broadness of communication driven by local activity. More specifically, we consider the diversity in space (nodes or brain regions) over time using the concept of intrinsic ignition, which are naturally occurring intrinsic perturbations reflecting the capability of a given brain area to propagate neuronal activity to other regions in a given brain state. Characterizing the profile of intrinsic ignition for a given brain state provides insight into the precise nature of hierarchical information processing. Combining this data-driven method with a causal whole-brain computational model can provide novel insights into the imbalance of brain states found in neuropsychiatric disorders.", "author" : [ { "dropping-particle" : "", "family" : "Deco", "given" : "Gustavo", "non-dropping-particle" : "", "parse-names" : false, "suffix" : "" }, { "dropping-particle" : "", "family" : "Kringelbach", "given" : "Morten L.", "non-dropping-particle" : "", "parse-names" : false, "suffix" : "" } ], "container-title" : "Neuron", "id" : "ITEM-2", "issue" : "5", "issued" : { "date-parts" : [ [ "2017", "6", "7" ] ] }, "page" : "961-968", "title" : "Hierarchy of Information Processing in the Brain: A Novel \u2018Intrinsic Ignition\u2019 Framework", "type" : "article-journal", "volume" : "94" }, "uris" : [ "http://www.mendeley.com/documents/?uuid=a8d9713d-7c2d-375b-a675-58920882a0c9" ] }, { "id" : "ITEM-3", "itemData" : { "DOI" : "10.1016/j.neuron.2007.08.017", "ISSN" : "0896-6273", "PMID" : "17988635", "abstract" : "The hippocampus is thought to contribute to episodic memory in part by binding stimuli to their spatiotemporal context. The present study examined how hippocampal neuronal populations encode spatial and temporal context as rats performed a task in which they were required to remember the order of trial-unique sequences of odors. The results suggest that a gradual change in the pattern of hippocampal activity served as a temporal context for odor-sampling events and was important for successful subsequent memory of the order of those odors.", "author" : [ { "dropping-particle" : "", "family" : "Manns", "given" : "Joseph R", "non-dropping-particle" : "", "parse-names" : false, "suffix" : "" }, { "dropping-particle" : "", "family" : "Howard", "given" : "Marc W", "non-dropping-particle" : "", "parse-names" : false, "suffix" : "" }, { "dropping-particle" : "", "family" : "Eichenbaum", "given" : "Howard", "non-dropping-particle" : "", "parse-names" : false, "suffix" : "" } ], "container-title" : "Neuron", "id" : "ITEM-3", "issue" : "3", "issued" : { "date-parts" : [ [ "2007", "11", "8" ] ] }, "page" : "530-40", "publisher" : "NIH Public Access", "title" : "Gradual changes in hippocampal activity support remembering the order of events.", "type" : "article-journal", "volume" : "56" }, "uris" : [ "http://www.mendeley.com/documents/?uuid=55c049c3-210f-3452-ab52-5dda5770d0b0" ] } ], "mendeley" : { "formattedCitation" : "(Deco &amp; Kringelbach, 2017; Manns et al., 2007; Tambini, Rimmele, Phelps, &amp; Davachi, 2017)", "plainTextFormattedCitation" : "(Deco &amp; Kringelbach, 2017; Manns et al., 2007; Tambini, Rimmele, Phelps, &amp; Davachi, 2017)", "previouslyFormattedCitation" : "(Deco &amp; Kringelbach, 2017; Manns et al., 2007; Tambini, Rimmele, Phelps, &amp; Davachi, 2017)" }, "properties" : { "noteIndex" : 0 }, "schema" : "https://github.com/citation-style-language/schema/raw/master/csl-citation.json" }</w:instrText>
      </w:r>
      <w:r w:rsidR="0081450C" w:rsidRPr="004946F6">
        <w:fldChar w:fldCharType="separate"/>
      </w:r>
      <w:r w:rsidR="008C25E5" w:rsidRPr="004946F6">
        <w:rPr>
          <w:noProof/>
        </w:rPr>
        <w:t>(Deco &amp; Kringelbach, 2017; Manns et al., 2007; Tambini, Rimmele, Phelps, &amp; Davachi, 2017)</w:t>
      </w:r>
      <w:r w:rsidR="0081450C" w:rsidRPr="004946F6">
        <w:fldChar w:fldCharType="end"/>
      </w:r>
      <w:r w:rsidR="0081450C" w:rsidRPr="004946F6">
        <w:t xml:space="preserve"> </w:t>
      </w:r>
      <w:r w:rsidR="005D4945" w:rsidRPr="004946F6">
        <w:t>to describe mental context that evolves and changes gradually with time</w:t>
      </w:r>
      <w:r w:rsidR="006F0059" w:rsidRPr="004946F6">
        <w:t xml:space="preserve"> </w:t>
      </w:r>
      <w:r w:rsidR="006F0059" w:rsidRPr="004946F6">
        <w:fldChar w:fldCharType="begin" w:fldLock="1"/>
      </w:r>
      <w:r w:rsidR="008C25E5" w:rsidRPr="004946F6">
        <w:instrText>ADDIN CSL_CITATION { "citationItems" : [ { "id" : "ITEM-1", "itemData" : { "DOI" : "10.1016/S0079-7421(08)60515-0", "ISBN" : "9780125433013", "ISSN" : "00797421", "abstract" : "This chapter presents a hypothesis concerning the formal structure of a memory trace. It seems reasonable to tie the memory trace of an event to the variables operating in the perception of that event. If it is supposed that the person does not store the literal input stimulus, but rather some encoded representation of it, then the representation stored is either the primary code by which the event is recognized or a secondary code that labels the primary code. In either event, the representation stored is sufficient to the degree that when it is fed into a motor\u2013output system, salient features of the original input event can be reconstructed and output. It is supposed that what is stored in memory is the primary code, the secondary code, or both. That is, a memory trace is represented as an ordered list of attributes with their corresponding values. There are two ways to represent information redundancy in an individual memory trace. One representation of redundancy supposes that more information components are encoded and stored in the memory trace than are minimally required to select the initiating event from its appropriate ensemble. This is called the excess components idea. The other idea is to represent redundancy in terms of intercorrelations among the component values of a trace. This is called the intercorrelation idea.", "author" : [ { "dropping-particle" : "", "family" : "Bower", "given" : "Gordon H", "non-dropping-particle" : "", "parse-names" : false, "suffix" : "" } ], "container-title" : "Psychology of Learning and Motivation - Advances in Research and Theory", "id" : "ITEM-1", "issue" : "C", "issued" : { "date-parts" : [ [ "1967" ] ] }, "page" : "229-325", "title" : "A Multicomponent Theory of The Memory Trace", "type" : "article-journal", "volume" : "1" }, "uris" : [ "http://www.mendeley.com/documents/?uuid=3cbc0bd4-8411-4f36-b6d5-177b8d001d96" ] }, { "id" : "ITEM-2", "itemData" : { "DOI" : "10.1037/h0046888", "ISBN" : "0033-295X", "ISSN" : "0033-295X", "PMID" : "13254976", "abstract" : "An analysis of the distributional problem in learning reveals that the variables of stimulus fluctuation and interpolated learning are most ubiquitous in influence. A mathematical model developed around the concept of stimulus fluctuation allows for an account of a wide variety of experimental findings without resort to any sort of neo-Pavlovian conceptions of inhibitory potential. 25 references. (PsycINFO Database Record (c) 2006 APA, all rights reserved)", "author" : [ { "dropping-particle" : "", "family" : "Estes", "given" : "W. K.", "non-dropping-particle" : "", "parse-names" : false, "suffix" : "" } ], "container-title" : "Psychological Review", "id" : "ITEM-2", "issue" : "5", "issued" : { "date-parts" : [ [ "1955" ] ] }, "page" : "369-377", "title" : "Statistical theory of distributional phenomena in learning", "type" : "article-journal", "volume" : "62" }, "uris" : [ "http://www.mendeley.com/documents/?uuid=71e05f16-e070-411a-a073-2562ab824572" ] } ], "mendeley" : { "formattedCitation" : "(Bower, 1967; Estes, 1955)", "plainTextFormattedCitation" : "(Bower, 1967; Estes, 1955)", "previouslyFormattedCitation" : "(Bower, 1967; Estes, 1955)" }, "properties" : { "noteIndex" : 0 }, "schema" : "https://github.com/citation-style-language/schema/raw/master/csl-citation.json" }</w:instrText>
      </w:r>
      <w:r w:rsidR="006F0059" w:rsidRPr="004946F6">
        <w:fldChar w:fldCharType="separate"/>
      </w:r>
      <w:r w:rsidR="007A0732" w:rsidRPr="004946F6">
        <w:rPr>
          <w:noProof/>
        </w:rPr>
        <w:t>(Bower, 1967; Estes, 1955)</w:t>
      </w:r>
      <w:r w:rsidR="006F0059" w:rsidRPr="004946F6">
        <w:fldChar w:fldCharType="end"/>
      </w:r>
      <w:r w:rsidR="005D4945" w:rsidRPr="004946F6">
        <w:t xml:space="preserve">. </w:t>
      </w:r>
      <w:r w:rsidR="00BB2BF1" w:rsidRPr="004946F6">
        <w:t xml:space="preserve">By moving from random fluctuations </w:t>
      </w:r>
      <w:r w:rsidR="00C97D08" w:rsidRPr="004946F6">
        <w:t xml:space="preserve">in mental context </w:t>
      </w:r>
      <w:r w:rsidR="00BB2BF1" w:rsidRPr="004946F6">
        <w:t xml:space="preserve">to </w:t>
      </w:r>
      <w:r w:rsidR="00637457" w:rsidRPr="004946F6">
        <w:t>context</w:t>
      </w:r>
      <w:r w:rsidR="003D3737" w:rsidRPr="004946F6">
        <w:t xml:space="preserve"> changes</w:t>
      </w:r>
      <w:r w:rsidR="000B28EF">
        <w:t xml:space="preserve"> that are</w:t>
      </w:r>
      <w:r w:rsidR="003D3737" w:rsidRPr="004946F6">
        <w:t xml:space="preserve"> </w:t>
      </w:r>
      <w:r w:rsidR="000B28EF">
        <w:t xml:space="preserve">due to </w:t>
      </w:r>
      <w:r w:rsidR="00637457" w:rsidRPr="004946F6">
        <w:t>experiencing individual episodes or experimental stimuli</w:t>
      </w:r>
      <w:r w:rsidR="00BB2BF1" w:rsidRPr="004946F6">
        <w:t xml:space="preserve">, </w:t>
      </w:r>
      <w:r w:rsidR="00CE4DBC" w:rsidRPr="004946F6">
        <w:t>temporal context models have had much success in accounting for free recall dynamics</w:t>
      </w:r>
      <w:r w:rsidR="0081450C" w:rsidRPr="004946F6">
        <w:t>, including recency effects</w:t>
      </w:r>
      <w:r w:rsidR="00CE4DBC" w:rsidRPr="004946F6">
        <w:t xml:space="preserve"> </w:t>
      </w:r>
      <w:r w:rsidR="00CE4DBC" w:rsidRPr="004946F6">
        <w:fldChar w:fldCharType="begin" w:fldLock="1"/>
      </w:r>
      <w:r w:rsidR="008C25E5" w:rsidRPr="004946F6">
        <w:instrText>ADDIN CSL_CITATION { "citationItems" : [ { "id" : "ITEM-1", "itemData" : { "DOI" : "10.1006", "abstract" : "The principles of recency and contiguity are two cornerstones of the theoretical and empirical analysis of human memory. Recency has been alternatively explained by mechanisms of decay, displacement, and retroac-tive interference. Another account of recency is based on the idea of variable context (Estes, 1955; Mensink &amp; Raaijmakers, 1989). Such notions are typi-cally cast in terms of a randomly fluctuating population of elements reflective of subtle changes in the environment or in the subjects' mental state. This random context view has recently been incorporated into distributed and neural network memory models (Murdock, 1997; Murdock, Smith, &amp; Bai, 2001). Here we propose an alternative model. Rather than being driven by random fluctuations, this formulation, the temporal context model (TCM), uses retrieval of prior contextual states to drive contextual drift. In TCM, retrieved context is an inherently asymmetric retrieval cue. This allows the model to provide a principled explanation of the widespread advantage for forward recalls in free and serial recall. Modeling data from single-trial free recall, we demonstrate that TCM can simultaneously explain recency and contiguity effects across time scales.", "author" : [ { "dropping-particle" : "", "family" : "Howard", "given" : "Marc W", "non-dropping-particle" : "", "parse-names" : false, "suffix" : "" }, { "dropping-particle" : "", "family" : "Kahana", "given" : "Michael J", "non-dropping-particle" : "", "parse-names" : false, "suffix" : "" } ], "container-title" : "Journal of Mathematical Psychology", "id" : "ITEM-1", "issue" : "3", "issued" : { "date-parts" : [ [ "2002" ] ] }, "page" : "269-299", "title" : "A Distributed Representation of Temporal Context", "type" : "article-journal", "volume" : "46" }, "uris" : [ "http://www.mendeley.com/documents/?uuid=2b90dde9-b561-3d12-a949-d37b66d9807d" ] }, { "id" : "ITEM-2", "itemData" : { "DOI" : "10.1037/a0013396.A", "author" : [ { "dropping-particle" : "", "family" : "Sederberg", "given" : "P B", "non-dropping-particle" : "", "parse-names" : false, "suffix" : "" }, { "dropping-particle" : "", "family" : "Howard", "given" : "M W", "non-dropping-particle" : "", "parse-names" : false, "suffix" : "" }, { "dropping-particle" : "", "family" : "Kahana", "given" : "M J", "non-dropping-particle" : "", "parse-names" : false, "suffix" : "" } ], "id" : "ITEM-2", "issue" : "4", "issued" : { "date-parts" : [ [ "2008" ] ] }, "page" : "893-912", "title" : "A context-based theory of recency and contiguity in free recall", "type" : "article-journal", "volume" : "115" }, "uris" : [ "http://www.mendeley.com/documents/?uuid=20c66708-35d7-45d1-988a-40c72b11bc77" ] } ], "mendeley" : { "formattedCitation" : "(Howard &amp; Kahana, 2002a; Sederberg et al., 2008)", "plainTextFormattedCitation" : "(Howard &amp; Kahana, 2002a; Sederberg et al., 2008)", "previouslyFormattedCitation" : "(Howard &amp; Kahana, 2002a; Sederberg et al., 2008)" }, "properties" : { "noteIndex" : 0 }, "schema" : "https://github.com/citation-style-language/schema/raw/master/csl-citation.json" }</w:instrText>
      </w:r>
      <w:r w:rsidR="00CE4DBC" w:rsidRPr="004946F6">
        <w:fldChar w:fldCharType="separate"/>
      </w:r>
      <w:r w:rsidR="00040A43" w:rsidRPr="004946F6">
        <w:rPr>
          <w:noProof/>
        </w:rPr>
        <w:t>(Howard &amp; Kahana, 2002a; Sederberg et al., 2008)</w:t>
      </w:r>
      <w:r w:rsidR="00CE4DBC" w:rsidRPr="004946F6">
        <w:fldChar w:fldCharType="end"/>
      </w:r>
      <w:r w:rsidR="006E0005" w:rsidRPr="004946F6">
        <w:t>. F</w:t>
      </w:r>
      <w:r w:rsidR="00C97D08" w:rsidRPr="004946F6">
        <w:t>amously,</w:t>
      </w:r>
      <w:r w:rsidR="00BB2BF1" w:rsidRPr="004946F6">
        <w:t xml:space="preserve"> the</w:t>
      </w:r>
      <w:r w:rsidR="0081450C" w:rsidRPr="004946F6">
        <w:t>se models successfully account for</w:t>
      </w:r>
      <w:r w:rsidR="00CA1FF2" w:rsidRPr="004946F6">
        <w:t xml:space="preserve"> </w:t>
      </w:r>
      <w:r w:rsidR="000B28EF">
        <w:t xml:space="preserve">the </w:t>
      </w:r>
      <w:r w:rsidR="00CA1FF2" w:rsidRPr="004946F6">
        <w:t>contiguity effect</w:t>
      </w:r>
      <w:r w:rsidR="00637457" w:rsidRPr="004946F6">
        <w:t xml:space="preserve"> - </w:t>
      </w:r>
      <w:r w:rsidR="00CA1FF2" w:rsidRPr="004946F6">
        <w:t xml:space="preserve">the </w:t>
      </w:r>
      <w:r w:rsidR="00BB2BF1" w:rsidRPr="004946F6">
        <w:t>propensity to recall contiguously items that have been encoded close in time to each other</w:t>
      </w:r>
      <w:r w:rsidR="00CE4DBC" w:rsidRPr="004946F6">
        <w:t>. The contiguity effect</w:t>
      </w:r>
      <w:r w:rsidR="00256C19" w:rsidRPr="004946F6">
        <w:t xml:space="preserve"> </w:t>
      </w:r>
      <w:r w:rsidR="006E0005" w:rsidRPr="004946F6">
        <w:t xml:space="preserve">is important because it contributes to our understanding of how memories are associated, and </w:t>
      </w:r>
      <w:r w:rsidR="0081450C" w:rsidRPr="004946F6">
        <w:t xml:space="preserve">because </w:t>
      </w:r>
      <w:r w:rsidR="006E0005" w:rsidRPr="004946F6">
        <w:t xml:space="preserve">it </w:t>
      </w:r>
      <w:r w:rsidR="00256C19" w:rsidRPr="004946F6">
        <w:t xml:space="preserve">correlates with memory success </w:t>
      </w:r>
      <w:r w:rsidR="00256C19" w:rsidRPr="004946F6">
        <w:fldChar w:fldCharType="begin" w:fldLock="1"/>
      </w:r>
      <w:r w:rsidR="008C25E5" w:rsidRPr="004946F6">
        <w:instrText>ADDIN CSL_CITATION { "citationItems" : [ { "id" : "ITEM-1", "itemData" : { "DOI" : "10.3758/MC.38.6.689", "ISBN" : "1532-5946 (Electronic)\\r0090-502X (Linking)", "ISSN" : "0090-502X", "PMID" : "20852233", "abstract" : "One way to study the associative processes at work during episodic memory is to examine the order of participant responses, which reveal the strong tendency to transition between temporally contiguous or semantically proximal items on the study list. Here, we assessed the correlation between participants' recall performance and their use of semantic and temporal associations to guide retrieval across nine delayed free recall studies. The size of the participants' temporal contiguity effects predicted their recall performance. When interpreted in terms of two models of episodic memory, these results suggest that participants who more effectively form and retrieve associations between items that occur nearby in time perform better on episodic recall tasks. Sample code may be downloaded as a supplement for this article from http://mc.psychonomic-journals.org/content/supplemental.", "author" : [ { "dropping-particle" : "", "family" : "Sederberg", "given" : "P B", "non-dropping-particle" : "", "parse-names" : false, "suffix" : "" }, { "dropping-particle" : "", "family" : "Miller", "given" : "J F", "non-dropping-particle" : "", "parse-names" : false, "suffix" : "" }, { "dropping-particle" : "", "family" : "Howard", "given" : "M W", "non-dropping-particle" : "", "parse-names" : false, "suffix" : "" }, { "dropping-particle" : "", "family" : "Kahana", "given" : "M J", "non-dropping-particle" : "", "parse-names" : false, "suffix" : "" } ], "container-title" : "Memory &amp; Cognition", "id" : "ITEM-1", "issue" : "6", "issued" : { "date-parts" : [ [ "2010" ] ] }, "page" : "689-699", "title" : "The temporal contiguity effect predicts episodic memory performance", "type" : "article-journal", "volume" : "38" }, "uris" : [ "http://www.mendeley.com/documents/?uuid=e71d906a-13d4-4e78-8b08-62608dcfe2df" ] } ], "mendeley" : { "formattedCitation" : "(Sederberg, Miller, Howard, &amp; Kahana, 2010)", "plainTextFormattedCitation" : "(Sederberg, Miller, Howard, &amp; Kahana, 2010)", "previouslyFormattedCitation" : "(Sederberg, Miller, Howard, &amp; Kahana, 2010)" }, "properties" : { "noteIndex" : 0 }, "schema" : "https://github.com/citation-style-language/schema/raw/master/csl-citation.json" }</w:instrText>
      </w:r>
      <w:r w:rsidR="00256C19" w:rsidRPr="004946F6">
        <w:fldChar w:fldCharType="separate"/>
      </w:r>
      <w:r w:rsidR="00256C19" w:rsidRPr="004946F6">
        <w:rPr>
          <w:noProof/>
        </w:rPr>
        <w:t>(Sederberg, Miller, Howard, &amp; Kahana, 2010)</w:t>
      </w:r>
      <w:r w:rsidR="00256C19" w:rsidRPr="004946F6">
        <w:fldChar w:fldCharType="end"/>
      </w:r>
      <w:r w:rsidR="00BB2BF1" w:rsidRPr="004946F6">
        <w:t>.</w:t>
      </w:r>
      <w:r w:rsidR="00D05684" w:rsidRPr="004946F6">
        <w:rPr>
          <w:lang w:bidi="he-IL"/>
        </w:rPr>
        <w:t xml:space="preserve"> </w:t>
      </w:r>
      <w:r w:rsidR="00CC780A" w:rsidRPr="004946F6">
        <w:rPr>
          <w:lang w:bidi="he-IL"/>
        </w:rPr>
        <w:t xml:space="preserve">While </w:t>
      </w:r>
      <w:r w:rsidR="00CC780A" w:rsidRPr="004946F6">
        <w:t>the temporal context model</w:t>
      </w:r>
      <w:r w:rsidR="00E0690C" w:rsidRPr="004946F6">
        <w:t xml:space="preserve"> </w:t>
      </w:r>
      <w:r w:rsidR="00CC780A" w:rsidRPr="004946F6">
        <w:t>based memory solely off of temporal associations</w:t>
      </w:r>
      <w:r w:rsidR="0081450C" w:rsidRPr="004946F6">
        <w:t xml:space="preserve"> </w:t>
      </w:r>
      <w:r w:rsidR="0081450C" w:rsidRPr="004946F6">
        <w:fldChar w:fldCharType="begin" w:fldLock="1"/>
      </w:r>
      <w:r w:rsidR="008C25E5" w:rsidRPr="004946F6">
        <w:instrText>ADDIN CSL_CITATION { "citationItems" : [ { "id" : "ITEM-1", "itemData" : { "DOI" : "10.1006", "abstract" : "The principles of recency and contiguity are two cornerstones of the theoretical and empirical analysis of human memory. Recency has been alternatively explained by mechanisms of decay, displacement, and retroac-tive interference. Another account of recency is based on the idea of variable context (Estes, 1955; Mensink &amp; Raaijmakers, 1989). Such notions are typi-cally cast in terms of a randomly fluctuating population of elements reflective of subtle changes in the environment or in the subjects' mental state. This random context view has recently been incorporated into distributed and neural network memory models (Murdock, 1997; Murdock, Smith, &amp; Bai, 2001). Here we propose an alternative model. Rather than being driven by random fluctuations, this formulation, the temporal context model (TCM), uses retrieval of prior contextual states to drive contextual drift. In TCM, retrieved context is an inherently asymmetric retrieval cue. This allows the model to provide a principled explanation of the widespread advantage for forward recalls in free and serial recall. Modeling data from single-trial free recall, we demonstrate that TCM can simultaneously explain recency and contiguity effects across time scales.", "author" : [ { "dropping-particle" : "", "family" : "Howard", "given" : "Marc W", "non-dropping-particle" : "", "parse-names" : false, "suffix" : "" }, { "dropping-particle" : "", "family" : "Kahana", "given" : "Michael J", "non-dropping-particle" : "", "parse-names" : false, "suffix" : "" } ], "container-title" : "Journal of Mathematical Psychology", "id" : "ITEM-1", "issue" : "3", "issued" : { "date-parts" : [ [ "2002" ] ] }, "page" : "269-299", "title" : "A Distributed Representation of Temporal Context", "type" : "article-journal", "volume" : "46" }, "uris" : [ "http://www.mendeley.com/documents/?uuid=2b90dde9-b561-3d12-a949-d37b66d9807d" ] } ], "mendeley" : { "formattedCitation" : "(Howard &amp; Kahana, 2002a)", "plainTextFormattedCitation" : "(Howard &amp; Kahana, 2002a)", "previouslyFormattedCitation" : "(Howard &amp; Kahana, 2002a)" }, "properties" : { "noteIndex" : 0 }, "schema" : "https://github.com/citation-style-language/schema/raw/master/csl-citation.json" }</w:instrText>
      </w:r>
      <w:r w:rsidR="0081450C" w:rsidRPr="004946F6">
        <w:fldChar w:fldCharType="separate"/>
      </w:r>
      <w:r w:rsidR="0081450C" w:rsidRPr="004946F6">
        <w:rPr>
          <w:noProof/>
        </w:rPr>
        <w:t>(Howard &amp; Kahana, 2002a)</w:t>
      </w:r>
      <w:r w:rsidR="0081450C" w:rsidRPr="004946F6">
        <w:fldChar w:fldCharType="end"/>
      </w:r>
      <w:r w:rsidR="00CC780A" w:rsidRPr="004946F6">
        <w:t xml:space="preserve">, </w:t>
      </w:r>
      <w:r w:rsidR="00C97D08" w:rsidRPr="004946F6">
        <w:t xml:space="preserve">it has been clear for some time that semantic associations also contribute to retrieval success </w:t>
      </w:r>
      <w:r w:rsidR="00C97D08" w:rsidRPr="004946F6">
        <w:fldChar w:fldCharType="begin" w:fldLock="1"/>
      </w:r>
      <w:r w:rsidR="008C25E5" w:rsidRPr="004946F6">
        <w:instrText>ADDIN CSL_CITATION { "citationItems" : [ { "id" : "ITEM-1", "itemData" : { "DOI" : "10.1006", "abstract" : "Free recall illustrates the spontaneous organization of memory. This organization comes in two forms, the tem-poral organization of the list and the semantic relations among list items. Using estimates of semantic similarity provided by latent semantic analysis (LSA; Landauer &amp; Dumais, 1997), we simultaneously assessed the effects of temporal and semantic proximity on output order in delayed and continuous-distractor free recall of random word lists. These analyses revealed that subtle variations in semantic similarity have large effects on recall transi-tions in delayed free recall. Further, these effects decrease as the duration of the interitem distractor (IPI) was in-creased from 2\u201316 s. In contrast, the effect of temporal proximity on recall transitions did not change with in-creasing IPI. This dissociation in the effects of interitem distraction on semantic and temporal similarity effects presents a new challenge for models of free recall and episodic memory retrieval.", "author" : [ { "dropping-particle" : "", "family" : "Howard", "given" : "Marc W", "non-dropping-particle" : "", "parse-names" : false, "suffix" : "" }, { "dropping-particle" : "", "family" : "Kahana", "given" : "Michael J", "non-dropping-particle" : "", "parse-names" : false, "suffix" : "" } ], "container-title" : "Journal of Memory and Language", "id" : "ITEM-1", "issued" : { "date-parts" : [ [ "2002" ] ] }, "page" : "85-98", "publisher" : "Rohrer &amp; Wixted", "title" : "When Does Semantic Similarity Help Episodic Retrieval? Recent years have seen a resurgence of in- terest in the dynamics of retrieval in free recall", "type" : "article-journal", "volume" : "46" }, "uris" : [ "http://www.mendeley.com/documents/?uuid=d7992fe8-a5e6-3fed-963d-f91e4b7219b1" ] } ], "mendeley" : { "formattedCitation" : "(Howard &amp; Kahana, 2002b)", "plainTextFormattedCitation" : "(Howard &amp; Kahana, 2002b)", "previouslyFormattedCitation" : "(Howard &amp; Kahana, 2002b)" }, "properties" : { "noteIndex" : 0 }, "schema" : "https://github.com/citation-style-language/schema/raw/master/csl-citation.json" }</w:instrText>
      </w:r>
      <w:r w:rsidR="00C97D08" w:rsidRPr="004946F6">
        <w:fldChar w:fldCharType="separate"/>
      </w:r>
      <w:r w:rsidR="00040A43" w:rsidRPr="004946F6">
        <w:rPr>
          <w:noProof/>
        </w:rPr>
        <w:t>(Howard &amp; Kahana, 2002b)</w:t>
      </w:r>
      <w:r w:rsidR="00C97D08" w:rsidRPr="004946F6">
        <w:fldChar w:fldCharType="end"/>
      </w:r>
      <w:r w:rsidR="000B28EF">
        <w:t>, and one of its updated versions,</w:t>
      </w:r>
      <w:r w:rsidR="00C97D08" w:rsidRPr="004946F6">
        <w:t xml:space="preserve"> </w:t>
      </w:r>
      <w:r w:rsidR="003D3737" w:rsidRPr="004946F6">
        <w:t xml:space="preserve">CMR </w:t>
      </w:r>
      <w:r w:rsidR="001313B1" w:rsidRPr="004946F6">
        <w:fldChar w:fldCharType="begin" w:fldLock="1"/>
      </w:r>
      <w:r w:rsidR="008C25E5" w:rsidRPr="004946F6">
        <w:instrText>ADDIN CSL_CITATION { "citationItems" : [ { "id" : "ITEM-1", "itemData" : { "DOI" : "10.1037/a0014420.A", "author" : [ { "dropping-particle" : "", "family" : "Polyn", "given" : "Sean M", "non-dropping-particle" : "", "parse-names" : false, "suffix" : "" }, { "dropping-particle" : "", "family" : "Norman", "given" : "Kenneth A", "non-dropping-particle" : "", "parse-names" : false, "suffix" : "" }, { "dropping-particle" : "", "family" : "Kahana", "given" : "Michael J", "non-dropping-particle" : "", "parse-names" : false, "suffix" : "" } ], "id" : "ITEM-1", "issue" : "1", "issued" : { "date-parts" : [ [ "2009" ] ] }, "page" : "129-156", "title" : "A context maintenance and retrieval model of organizational processes in free recall", "type" : "article-journal", "volume" : "116" }, "uris" : [ "http://www.mendeley.com/documents/?uuid=332b768b-157f-44b6-b42c-04445440d695" ] } ], "mendeley" : { "formattedCitation" : "(Polyn et al., 2009)", "plainTextFormattedCitation" : "(Polyn et al., 2009)", "previouslyFormattedCitation" : "(Polyn et al., 2009)" }, "properties" : { "noteIndex" : 0 }, "schema" : "https://github.com/citation-style-language/schema/raw/master/csl-citation.json" }</w:instrText>
      </w:r>
      <w:r w:rsidR="001313B1" w:rsidRPr="004946F6">
        <w:fldChar w:fldCharType="separate"/>
      </w:r>
      <w:r w:rsidR="001A1A62" w:rsidRPr="004946F6">
        <w:rPr>
          <w:noProof/>
        </w:rPr>
        <w:t>(Polyn et al., 2009)</w:t>
      </w:r>
      <w:r w:rsidR="001313B1" w:rsidRPr="004946F6">
        <w:fldChar w:fldCharType="end"/>
      </w:r>
      <w:r w:rsidR="000B28EF">
        <w:t>,</w:t>
      </w:r>
      <w:r w:rsidR="001313B1" w:rsidRPr="004946F6">
        <w:t xml:space="preserve"> </w:t>
      </w:r>
      <w:r w:rsidR="00C97D08" w:rsidRPr="004946F6">
        <w:t xml:space="preserve">formally </w:t>
      </w:r>
      <w:r w:rsidR="00A738E6" w:rsidRPr="004946F6">
        <w:t>include</w:t>
      </w:r>
      <w:r w:rsidR="00CD7994" w:rsidRPr="004946F6">
        <w:t>d</w:t>
      </w:r>
      <w:r w:rsidR="001313B1" w:rsidRPr="004946F6">
        <w:t xml:space="preserve"> </w:t>
      </w:r>
      <w:r w:rsidR="00C97D08" w:rsidRPr="004946F6">
        <w:t xml:space="preserve">non-temporal </w:t>
      </w:r>
      <w:r w:rsidR="006B08FC" w:rsidRPr="004946F6">
        <w:t xml:space="preserve">dimensions of </w:t>
      </w:r>
      <w:r w:rsidR="002E0D58" w:rsidRPr="004946F6">
        <w:t>context</w:t>
      </w:r>
      <w:r w:rsidR="001313B1" w:rsidRPr="004946F6">
        <w:t xml:space="preserve">. </w:t>
      </w:r>
    </w:p>
    <w:p w14:paraId="16E6C274" w14:textId="4794668B" w:rsidR="009C08A6" w:rsidRPr="004946F6" w:rsidRDefault="00CE4DBC">
      <w:pPr>
        <w:spacing w:line="480" w:lineRule="auto"/>
        <w:jc w:val="both"/>
      </w:pPr>
      <w:r w:rsidRPr="004946F6">
        <w:t xml:space="preserve">CMR is a computational model that makes predictions about memory dynamics in free recall and recognition. Built on the notion that the content of a memory is intimately tied to its associated </w:t>
      </w:r>
      <w:r w:rsidR="00F30D24" w:rsidRPr="004946F6">
        <w:t xml:space="preserve">(internal) </w:t>
      </w:r>
      <w:r w:rsidRPr="004946F6">
        <w:t xml:space="preserve">context, CMR assumes that each presented item is associated with a context state, and that </w:t>
      </w:r>
      <w:r w:rsidR="00F30D24" w:rsidRPr="004946F6">
        <w:t>the brain’s maintained</w:t>
      </w:r>
      <w:r w:rsidRPr="004946F6">
        <w:t xml:space="preserve"> state of context is updated by each presented or retrieved item. In this way, context changes slowly over time, as a recency-weighted sum of prior context states. During memory retrieval, the current context state is used to cue recall or recognition. </w:t>
      </w:r>
      <w:r w:rsidR="006C0E9D" w:rsidRPr="004946F6">
        <w:t>CMR includes two dimensions of items’ non-temporal context</w:t>
      </w:r>
      <w:r w:rsidR="00A73FD8" w:rsidRPr="004946F6">
        <w:t>, which are known to contribute to recall dynamics</w:t>
      </w:r>
      <w:r w:rsidR="006C0E9D" w:rsidRPr="004946F6">
        <w:t xml:space="preserve">. </w:t>
      </w:r>
      <w:r w:rsidR="00876985" w:rsidRPr="004946F6">
        <w:t xml:space="preserve">Semantic </w:t>
      </w:r>
      <w:r w:rsidR="002E0D58" w:rsidRPr="004946F6">
        <w:t>context</w:t>
      </w:r>
      <w:r w:rsidR="00876985" w:rsidRPr="004946F6">
        <w:t xml:space="preserve"> refer</w:t>
      </w:r>
      <w:r w:rsidR="002E0D58" w:rsidRPr="004946F6">
        <w:t>s</w:t>
      </w:r>
      <w:r w:rsidR="00876985" w:rsidRPr="004946F6">
        <w:t xml:space="preserve"> to the pre-experimental associations between studied items. Source context refers to </w:t>
      </w:r>
      <w:r w:rsidR="006B08FC" w:rsidRPr="004946F6">
        <w:t xml:space="preserve">experimental associations between studied items, resulting from </w:t>
      </w:r>
      <w:r w:rsidR="00876985" w:rsidRPr="004946F6">
        <w:t>specific encoding operations performed during the study of some items but not others</w:t>
      </w:r>
      <w:r w:rsidR="006B08FC" w:rsidRPr="004946F6">
        <w:t>. I</w:t>
      </w:r>
      <w:r w:rsidR="007168D0" w:rsidRPr="004946F6">
        <w:t xml:space="preserve">n Polyn’s et al.’s first simulation this referred to </w:t>
      </w:r>
      <w:r w:rsidR="000B28EF">
        <w:t>the orienting task (size or animacy judgments)</w:t>
      </w:r>
      <w:r w:rsidR="00876985" w:rsidRPr="004946F6">
        <w:t xml:space="preserve">. </w:t>
      </w:r>
      <w:r w:rsidR="007168D0" w:rsidRPr="004946F6">
        <w:t xml:space="preserve">CMR also assumed that a switch between these two source contexts </w:t>
      </w:r>
      <w:r w:rsidR="00F2040E" w:rsidRPr="004946F6">
        <w:t>disrupt</w:t>
      </w:r>
      <w:r w:rsidR="006B08FC" w:rsidRPr="004946F6">
        <w:t>s</w:t>
      </w:r>
      <w:r w:rsidR="007168D0" w:rsidRPr="004946F6">
        <w:t xml:space="preserve"> the temporal context</w:t>
      </w:r>
      <w:r w:rsidR="00A73FD8" w:rsidRPr="004946F6">
        <w:t>, such that the temporal context states between two items separated by a task switch were less similar</w:t>
      </w:r>
      <w:r w:rsidR="00057F60" w:rsidRPr="004946F6">
        <w:t xml:space="preserve">. </w:t>
      </w:r>
      <w:r w:rsidR="00876985" w:rsidRPr="004946F6">
        <w:t xml:space="preserve">The model was supported by evidence of </w:t>
      </w:r>
      <w:r w:rsidR="009C08A6" w:rsidRPr="004946F6">
        <w:t xml:space="preserve">clustering around the </w:t>
      </w:r>
      <w:r w:rsidR="00876985" w:rsidRPr="004946F6">
        <w:t xml:space="preserve">source </w:t>
      </w:r>
      <w:r w:rsidR="006C2276" w:rsidRPr="004946F6">
        <w:t xml:space="preserve">context, </w:t>
      </w:r>
      <w:r w:rsidR="00876985" w:rsidRPr="004946F6">
        <w:t xml:space="preserve">concomitant with </w:t>
      </w:r>
      <w:r w:rsidR="009C08A6" w:rsidRPr="004946F6">
        <w:t xml:space="preserve">reduced reliance on temporal context </w:t>
      </w:r>
      <w:r w:rsidR="00F93EDA" w:rsidRPr="004946F6">
        <w:fldChar w:fldCharType="begin" w:fldLock="1"/>
      </w:r>
      <w:r w:rsidR="008C25E5" w:rsidRPr="004946F6">
        <w:instrText>ADDIN CSL_CITATION { "citationItems" : [ { "id" : "ITEM-1", "itemData" : { "DOI" : "10.1037/a0014420.A", "author" : [ { "dropping-particle" : "", "family" : "Polyn", "given" : "Sean M", "non-dropping-particle" : "", "parse-names" : false, "suffix" : "" }, { "dropping-particle" : "", "family" : "Norman", "given" : "Kenneth A", "non-dropping-particle" : "", "parse-names" : false, "suffix" : "" }, { "dropping-particle" : "", "family" : "Kahana", "given" : "Michael J", "non-dropping-particle" : "", "parse-names" : false, "suffix" : "" } ], "id" : "ITEM-1", "issue" : "1", "issued" : { "date-parts" : [ [ "2009" ] ] }, "page" : "129-156", "title" : "A context maintenance and retrieval model of organizational processes in free recall", "type" : "article-journal", "volume" : "116" }, "uris" : [ "http://www.mendeley.com/documents/?uuid=332b768b-157f-44b6-b42c-04445440d695" ] }, { "id" : "ITEM-2", "itemData" : { "DOI" : "10.1016/j.pestbp.2011.02.012.Investigations", "ISBN" : "8585348585", "ISSN" : "15378276", "PMID" : "1000000221", "abstract" : "In recalling a set of previously experienced events, people exhibit striking effects of recency, contiguity, and similarity: Recent items tend to be recalled best and first, and items that were studied in neighboring positions or that are similar to one another in some other way tend to evoke one another during recall. Effects of recency and contiguity have most often been investigated in tasks that require people to recall random word lists. Similarity effects have most often been studied in tasks that require people to recall categorized word lists. Here we examine recency and contiguity effects in lists composed of items drawn from 3 distinct taxonomic categories and in which items from a given category are temporally separated from one another by items from other categories, all of which are tested for recall. We find evidence for long-term recency and for longrange contiguity, bolstering support for temporally sensitive models of memory and highlighting the importance of understanding the interaction between temporal and semantic information during memory search.", "author" : [ { "dropping-particle" : "", "family" : "Polyn", "given" : "Sean M", "non-dropping-particle" : "", "parse-names" : false, "suffix" : "" }, { "dropping-particle" : "", "family" : "Erlikhman", "given" : "", "non-dropping-particle" : "", "parse-names" : false, "suffix" : "" }, { "dropping-particle" : "", "family" : "Kahana", "given" : "MJ", "non-dropping-particle" : "", "parse-names" : false, "suffix" : "" } ], "id" : "ITEM-2", "issue" : "3", "issued" : { "date-parts" : [ [ "2011" ] ] }, "page" : "766-775", "title" : "Semantic Cuing and the Scale Insensitivity of Recency and Contiguity", "type" : "article-journal", "volume" : "37" }, "uris" : [ "http://www.mendeley.com/documents/?uuid=d9bb04dd-4e71-419a-8b56-516efbd69df5" ] } ], "mendeley" : { "formattedCitation" : "(Polyn, Erlikhman, &amp; Kahana, 2011; Polyn et al., 2009)", "plainTextFormattedCitation" : "(Polyn, Erlikhman, &amp; Kahana, 2011; Polyn et al., 2009)", "previouslyFormattedCitation" : "(Polyn, Erlikhman, &amp; Kahana, 2011; Polyn et al., 2009)" }, "properties" : { "noteIndex" : 0 }, "schema" : "https://github.com/citation-style-language/schema/raw/master/csl-citation.json" }</w:instrText>
      </w:r>
      <w:r w:rsidR="00F93EDA" w:rsidRPr="004946F6">
        <w:fldChar w:fldCharType="separate"/>
      </w:r>
      <w:r w:rsidR="002E6A4D" w:rsidRPr="004946F6">
        <w:rPr>
          <w:noProof/>
        </w:rPr>
        <w:t>(Polyn, Erlikhman, &amp; Kahana, 2011; Polyn et al., 2009)</w:t>
      </w:r>
      <w:r w:rsidR="00F93EDA" w:rsidRPr="004946F6">
        <w:fldChar w:fldCharType="end"/>
      </w:r>
      <w:r w:rsidR="009C08A6" w:rsidRPr="004946F6">
        <w:t xml:space="preserve">. </w:t>
      </w:r>
      <w:r w:rsidR="00057F60" w:rsidRPr="004946F6">
        <w:t xml:space="preserve">Because similarity between the study and test contexts on any dimension can help retrieve a studied item, this generalisation enables CMR to explain the increased tendency to recall contiguously items that are similar to each other </w:t>
      </w:r>
      <w:r w:rsidR="00D66FAA">
        <w:t>but were encoded far apart</w:t>
      </w:r>
      <w:r w:rsidR="00057F60" w:rsidRPr="004946F6">
        <w:t>.</w:t>
      </w:r>
    </w:p>
    <w:p w14:paraId="2DBE9C21" w14:textId="511F5CC7" w:rsidR="00D45B62" w:rsidRPr="004946F6" w:rsidRDefault="00637457">
      <w:pPr>
        <w:spacing w:line="480" w:lineRule="auto"/>
        <w:jc w:val="both"/>
      </w:pPr>
      <w:r w:rsidRPr="004946F6">
        <w:t xml:space="preserve">The fact that </w:t>
      </w:r>
      <w:r w:rsidR="00870B67" w:rsidRPr="004946F6">
        <w:t xml:space="preserve">CMR </w:t>
      </w:r>
      <w:r w:rsidR="00006971" w:rsidRPr="004946F6">
        <w:t>consider</w:t>
      </w:r>
      <w:r w:rsidRPr="004946F6">
        <w:t>s</w:t>
      </w:r>
      <w:r w:rsidR="00006971" w:rsidRPr="004946F6">
        <w:t xml:space="preserve"> the memory consequences of the similarity between encoded experiences</w:t>
      </w:r>
      <w:r w:rsidR="003D3737" w:rsidRPr="004946F6">
        <w:t xml:space="preserve"> beyond temporal context alone</w:t>
      </w:r>
      <w:r w:rsidR="0093085E" w:rsidRPr="004946F6">
        <w:t xml:space="preserve"> is important for the purpose of accounting for </w:t>
      </w:r>
      <w:r w:rsidR="005D4945" w:rsidRPr="004946F6">
        <w:t>the effects of emotion on memory</w:t>
      </w:r>
      <w:r w:rsidR="0093085E" w:rsidRPr="004946F6">
        <w:t xml:space="preserve">. </w:t>
      </w:r>
      <w:r w:rsidR="006B08FC" w:rsidRPr="004946F6">
        <w:t>I</w:t>
      </w:r>
      <w:r w:rsidR="007F525F" w:rsidRPr="004946F6">
        <w:t xml:space="preserve">f emotional items </w:t>
      </w:r>
      <w:r w:rsidR="006B08FC" w:rsidRPr="004946F6">
        <w:t xml:space="preserve">are represented as having </w:t>
      </w:r>
      <w:r w:rsidR="007F525F" w:rsidRPr="004946F6">
        <w:t>a higher degree of similarity to one another</w:t>
      </w:r>
      <w:r w:rsidR="005B7560" w:rsidRPr="004946F6">
        <w:t xml:space="preserve"> on an ‘emotional context’ dimension</w:t>
      </w:r>
      <w:r w:rsidR="007F525F" w:rsidRPr="004946F6">
        <w:t xml:space="preserve">, CMR </w:t>
      </w:r>
      <w:r w:rsidR="006B08FC" w:rsidRPr="004946F6">
        <w:t>sh</w:t>
      </w:r>
      <w:r w:rsidR="007F525F" w:rsidRPr="004946F6">
        <w:t>ould predict that participants will cluster their recall around the dimension of emotional</w:t>
      </w:r>
      <w:r w:rsidR="00E0690C" w:rsidRPr="004946F6">
        <w:t>ity</w:t>
      </w:r>
      <w:r w:rsidR="005D4945" w:rsidRPr="004946F6">
        <w:t>.</w:t>
      </w:r>
      <w:r w:rsidR="00AB1E2B" w:rsidRPr="00AB1E2B">
        <w:t xml:space="preserve"> </w:t>
      </w:r>
      <w:r w:rsidR="00AB1E2B" w:rsidRPr="004946F6">
        <w:t xml:space="preserve">There is, in fact, empirical evidence for emotional clustering of free recall. In one study participants encoded three pure lists of emotional, random-neutral and related-neutral items, and received a single, surprise final free recall test after all three lists were encoded </w:t>
      </w:r>
      <w:r w:rsidR="00AB1E2B" w:rsidRPr="004946F6">
        <w:fldChar w:fldCharType="begin" w:fldLock="1"/>
      </w:r>
      <w:r w:rsidR="00AB1E2B" w:rsidRPr="004946F6">
        <w:instrText>ADDIN CSL_CITATION { "citationItems" : [ { "id" : "ITEM-1", "itemData" : { "DOI" : "10.1016/j.jml.2007.01.002", "ISBN" : "0749-596X", "ISSN" : "0749596X", "abstract" : "Emotional events are more organized and distinctive than neutral events. We asked whether organization and distinctiveness can account for emotionally-enhanced memory. To examine organization, we compared memory for arousing, negatively-valenced pictures, and inter-related neutral pictures. To examine distinctiveness, we manipulated list composition, and compared mixed lists, which contained emotional and neutral items, to pure lists, which contained only items of a single type and removed the relative-distinctiveness advantage of emotional items. We show that emotional memory is enhanced in immediate memory tests as long as either organization or distinctiveness is allowed to play a role. When these effects are removed, in the comparison of emotional and related neutral items in pure lists, the emotional memory advantage is eliminated. Examining the contribution of mediating cognitive factors at a behavioral and neural level is crucial if we are to understand how emotion influences memory. ?? 2007 Elsevier Inc. All rights reserved.", "author" : [ { "dropping-particle" : "", "family" : "Talmi", "given" : "Deborah", "non-dropping-particle" : "", "parse-names" : false, "suffix" : "" }, { "dropping-particle" : "", "family" : "Luk", "given" : "Betty T C", "non-dropping-particle" : "", "parse-names" : false, "suffix" : "" }, { "dropping-particle" : "", "family" : "McGarry", "given" : "Lucy M.", "non-dropping-particle" : "", "parse-names" : false, "suffix" : "" }, { "dropping-particle" : "", "family" : "Moscovitch", "given" : "Morris", "non-dropping-particle" : "", "parse-names" : false, "suffix" : "" } ], "container-title" : "Journal of Memory and Language", "id" : "ITEM-1", "issue" : "4", "issued" : { "date-parts" : [ [ "2007" ] ] }, "page" : "555-574", "title" : "The contribution of relatedness and distinctiveness to emotionally-enhanced memory", "type" : "article-journal", "volume" : "56" }, "uris" : [ "http://www.mendeley.com/documents/?uuid=9a6a0a7b-63c2-4a1c-b0eb-8121f6c33e18" ] } ], "mendeley" : { "formattedCitation" : "(Talmi, Luk, McGarry, &amp; Moscovitch, 2007)", "plainTextFormattedCitation" : "(Talmi, Luk, McGarry, &amp; Moscovitch, 2007)", "previouslyFormattedCitation" : "(Talmi, Luk, McGarry, &amp; Moscovitch, 2007)" }, "properties" : { "noteIndex" : 0 }, "schema" : "https://github.com/citation-style-language/schema/raw/master/csl-citation.json" }</w:instrText>
      </w:r>
      <w:r w:rsidR="00AB1E2B" w:rsidRPr="004946F6">
        <w:fldChar w:fldCharType="separate"/>
      </w:r>
      <w:r w:rsidR="00AB1E2B" w:rsidRPr="004946F6">
        <w:rPr>
          <w:noProof/>
        </w:rPr>
        <w:t>(Talmi, Luk, McGarry, &amp; Moscovitch, 2007)</w:t>
      </w:r>
      <w:r w:rsidR="00AB1E2B" w:rsidRPr="004946F6">
        <w:fldChar w:fldCharType="end"/>
      </w:r>
      <w:r w:rsidR="00AB1E2B" w:rsidRPr="004946F6">
        <w:t xml:space="preserve">. </w:t>
      </w:r>
      <w:r w:rsidR="00AB1E2B">
        <w:t xml:space="preserve">There was evidence for clustering around list type, and also evidence that such clustering had mnemonic consequences. </w:t>
      </w:r>
      <w:r w:rsidR="00D66FAA">
        <w:t>I</w:t>
      </w:r>
      <w:r w:rsidR="00AB1E2B" w:rsidRPr="004946F6">
        <w:t>n that study, temporal and emotional context effects were confounded because the three item categories were studied in three separate lists</w:t>
      </w:r>
      <w:r w:rsidR="00AB1E2B">
        <w:t xml:space="preserve">. </w:t>
      </w:r>
      <w:r w:rsidR="009C08A6" w:rsidRPr="004946F6">
        <w:t xml:space="preserve"> </w:t>
      </w:r>
      <w:r w:rsidR="00AB1E2B">
        <w:t xml:space="preserve">Further research showed that </w:t>
      </w:r>
      <w:r w:rsidR="00150825" w:rsidRPr="004946F6">
        <w:t xml:space="preserve">emotional clustering appears also </w:t>
      </w:r>
      <w:r w:rsidR="009C08A6" w:rsidRPr="004946F6">
        <w:t xml:space="preserve">in free recall of mixed lists that contain both emotional and neutral </w:t>
      </w:r>
      <w:r w:rsidR="00150825" w:rsidRPr="004946F6">
        <w:t>items</w:t>
      </w:r>
      <w:r w:rsidR="009C08A6" w:rsidRPr="004946F6">
        <w:t xml:space="preserve">. </w:t>
      </w:r>
      <w:r w:rsidR="00102145" w:rsidRPr="004946F6">
        <w:t xml:space="preserve">For example, </w:t>
      </w:r>
      <w:r w:rsidR="00BE6D34" w:rsidRPr="004946F6">
        <w:t xml:space="preserve">Barnacle et al. </w:t>
      </w:r>
      <w:r w:rsidR="002E6A4D" w:rsidRPr="004946F6">
        <w:fldChar w:fldCharType="begin" w:fldLock="1"/>
      </w:r>
      <w:r w:rsidR="008C25E5" w:rsidRPr="004946F6">
        <w:instrText>ADDIN CSL_CITATION { "citationItems" : [ { "id" : "ITEM-1", "itemData" : { "DOI" : "10.1016/j.neuropsychologia.2016.06.023", "ISSN" : "00283932", "author" : [ { "dropping-particle" : "", "family" : "Barnacle", "given" : "Gemma E", "non-dropping-particle" : "", "parse-names" : false, "suffix" : "" }, { "dropping-particle" : "", "family" : "Montaldi", "given" : "Daniela", "non-dropping-particle" : "", "parse-names" : false, "suffix" : "" }, { "dropping-particle" : "", "family" : "Talmi", "given" : "Deborah", "non-dropping-particle" : "", "parse-names" : false, "suffix" : "" }, { "dropping-particle" : "", "family" : "Sommer", "given" : "Tobias", "non-dropping-particle" : "", "parse-names" : false, "suffix" : "" } ], "container-title" : "Neuropsychologia", "id" : "ITEM-1", "issued" : { "date-parts" : [ [ "2016" ] ] }, "page" : "125-135", "publisher" : "Elsevier", "title" : "The list-composition effect in memory for emotional and neutral pictures: Differential contribution of ventral and dorsal attention networks to successful encoding", "type" : "article-journal", "volume" : "90" }, "uris" : [ "http://www.mendeley.com/documents/?uuid=06606f95-aff3-469c-a366-c90f8d2ca662" ] } ], "mendeley" : { "formattedCitation" : "(Barnacle, Montaldi, Talmi, &amp; Sommer, 2016)", "plainTextFormattedCitation" : "(Barnacle, Montaldi, Talmi, &amp; Sommer, 2016)", "previouslyFormattedCitation" : "(Barnacle, Montaldi, Talmi, &amp; Sommer, 2016)" }, "properties" : { "noteIndex" : 0 }, "schema" : "https://github.com/citation-style-language/schema/raw/master/csl-citation.json" }</w:instrText>
      </w:r>
      <w:r w:rsidR="002E6A4D" w:rsidRPr="004946F6">
        <w:fldChar w:fldCharType="separate"/>
      </w:r>
      <w:r w:rsidR="006F002F" w:rsidRPr="004946F6">
        <w:rPr>
          <w:noProof/>
        </w:rPr>
        <w:t>(Barnacle, Montaldi, Talmi, &amp; Sommer, 2016)</w:t>
      </w:r>
      <w:r w:rsidR="002E6A4D" w:rsidRPr="004946F6">
        <w:fldChar w:fldCharType="end"/>
      </w:r>
      <w:r w:rsidR="00BE6D34" w:rsidRPr="004946F6">
        <w:t xml:space="preserve"> presented participants with mixed lists of emotional and</w:t>
      </w:r>
      <w:r w:rsidR="00102145" w:rsidRPr="004946F6">
        <w:t xml:space="preserve"> neutral pictures which were equally</w:t>
      </w:r>
      <w:r w:rsidR="00BE6D34" w:rsidRPr="004946F6">
        <w:t xml:space="preserve"> semantically</w:t>
      </w:r>
      <w:r w:rsidR="00DF49D0" w:rsidRPr="004946F6">
        <w:t xml:space="preserve"> </w:t>
      </w:r>
      <w:r w:rsidR="00BE6D34" w:rsidRPr="004946F6">
        <w:t xml:space="preserve">related, and found clustering around the emotional/neutral category; the degree of clustering predicted memory performance. </w:t>
      </w:r>
      <w:r w:rsidR="009C08A6" w:rsidRPr="004946F6">
        <w:t xml:space="preserve">Long and colleagues </w:t>
      </w:r>
      <w:r w:rsidR="009C08A6" w:rsidRPr="004946F6">
        <w:fldChar w:fldCharType="begin" w:fldLock="1"/>
      </w:r>
      <w:r w:rsidR="008C25E5" w:rsidRPr="004946F6">
        <w:instrText>ADDIN CSL_CITATION { "citationItems" : [ { "id" : "ITEM-1", "itemData" : { "DOI" : "10.3758/s13423-014-0791-2", "ISSN" : "1069-9384", "PMID" : "25604771", "abstract" : "Memory is often better for emotional rather than neutral stimuli. The benefit for emotional items could be the result of an associative mechanism whereby items are associated to a slowly updating context. Through this process, emotional features are integrated with context during study, and are reactivated during test. The presence of emotion in context would both provide a stronger retrieval cue, enhancing memory of emotional items, as well as lead to emotional clustering, whereby emotionally similar items are recalled consecutively. To measure whether associative mechanisms can explain the enhancement for emotional items, we conducted a free recall study in which most items were emotionally neutral to minimize effects of mood induction and to more closely reflect naturalistic settings. We found that emotional items were significantly more likely to be recalled than neutral items and that participants were more likely to transition between emotional items rather than between emotional and neutral items. Together, these results suggest that contextual encoding and retrieval mechanisms may drive the benefit for emotional items both within and outside the laboratory. \u00a9 2015, Psychonomic Society, Inc.", "author" : [ { "dropping-particle" : "", "family" : "Long", "given" : "N M", "non-dropping-particle" : "", "parse-names" : false, "suffix" : "" }, { "dropping-particle" : "", "family" : "Danoff", "given" : "M S", "non-dropping-particle" : "", "parse-names" : false, "suffix" : "" }, { "dropping-particle" : "", "family" : "Kahana", "given" : "M J", "non-dropping-particle" : "", "parse-names" : false, "suffix" : "" } ], "container-title" : "Psychonomic Bulletin and Review", "id" : "ITEM-1", "issue" : "5", "issued" : { "date-parts" : [ [ "2015" ] ] }, "page" : "1328-1333", "title" : "Recall dynamics reveal the retrieval of emotional context", "type" : "article-journal", "volume" : "22" }, "uris" : [ "http://www.mendeley.com/documents/?uuid=e177819e-d1c8-4aa7-a12a-8b6c6fd6ed02" ] } ], "mendeley" : { "formattedCitation" : "(Long, Danoff, &amp; Kahana, 2015)", "plainTextFormattedCitation" : "(Long, Danoff, &amp; Kahana, 2015)", "previouslyFormattedCitation" : "(Long, Danoff, &amp; Kahana, 2015)" }, "properties" : { "noteIndex" : 0 }, "schema" : "https://github.com/citation-style-language/schema/raw/master/csl-citation.json" }</w:instrText>
      </w:r>
      <w:r w:rsidR="009C08A6" w:rsidRPr="004946F6">
        <w:fldChar w:fldCharType="separate"/>
      </w:r>
      <w:r w:rsidR="00600DE7" w:rsidRPr="004946F6">
        <w:rPr>
          <w:noProof/>
        </w:rPr>
        <w:t>(Long, Danoff, &amp; Kahana, 2015)</w:t>
      </w:r>
      <w:r w:rsidR="009C08A6" w:rsidRPr="004946F6">
        <w:fldChar w:fldCharType="end"/>
      </w:r>
      <w:r w:rsidR="009C08A6" w:rsidRPr="004946F6">
        <w:t xml:space="preserve"> presented participants with mixed lists of words, some of which were </w:t>
      </w:r>
      <w:r w:rsidR="00BE6D34" w:rsidRPr="004946F6">
        <w:t>negative and some positive</w:t>
      </w:r>
      <w:r w:rsidR="009C08A6" w:rsidRPr="004946F6">
        <w:t xml:space="preserve">, and found that participants tended to retrieve positive items after other positive items, and similarly for negative and neutral items. </w:t>
      </w:r>
      <w:r w:rsidR="005B7560" w:rsidRPr="004946F6">
        <w:t xml:space="preserve">Emotional clustering was observed even when pre-experimental semantic associations between words (obtained through latent semantic analysis scores) were taken into account. </w:t>
      </w:r>
      <w:r w:rsidR="00150825" w:rsidRPr="004946F6">
        <w:t>In another study</w:t>
      </w:r>
      <w:r w:rsidR="005B7560" w:rsidRPr="004946F6">
        <w:t>,</w:t>
      </w:r>
      <w:r w:rsidR="00150825" w:rsidRPr="004946F6">
        <w:t xml:space="preserve"> </w:t>
      </w:r>
      <w:r w:rsidR="009C08A6" w:rsidRPr="004946F6">
        <w:t xml:space="preserve">the transition probability from pleasant items to pleasant items, and from unpleasant items to other unpleasant items, was higher than the transition from neutral to neutral items </w:t>
      </w:r>
      <w:r w:rsidR="009C08A6" w:rsidRPr="004946F6">
        <w:fldChar w:fldCharType="begin" w:fldLock="1"/>
      </w:r>
      <w:r w:rsidR="008C25E5" w:rsidRPr="004946F6">
        <w:instrText>ADDIN CSL_CITATION { "citationItems" : [ { "id" : "ITEM-1", "itemData" : { "DOI" : "10.3758/s13421-011-0125-9", "ISSN" : "0090-502X", "PMID" : "21713561", "abstract" : "Typically, research has shown that emotional words are remembered better than neutral words; however, most studies have reported only the mean proportion of correctly recalled words. The present study looked at various dependent measures used by search models to determine whether emotion can influence the search process as well. The results from Experiment 2 showed that when emotionality was made salient, participants were able to utilize emotional associations, in addition to temporal associations, to cue retrieval of additional emotional words during subsequent sampling but relied mainly on temporal context when the emotional information was not made salient (Experiment 1). Additionally, both experiments showed that emotional words were more likely to be output earlier in the recall sequence, which would suggest that emotion also serves to boost relative strength during initial sampling. Overall, the results suggest that emotion contributes to enhanced memory dynamically by influencing the probability of sampling an item during the search process--specifically, by boosting relative strength and strengthening interitem associations.", "author" : [ { "dropping-particle" : "", "family" : "Siddiqui", "given" : "Aisha P.", "non-dropping-particle" : "", "parse-names" : false, "suffix" : "" }, { "dropping-particle" : "", "family" : "Unsworth", "given" : "Nash", "non-dropping-particle" : "", "parse-names" : false, "suffix" : "" } ], "container-title" : "Memory &amp; Cognition", "id" : "ITEM-1", "issue" : "8", "issued" : { "date-parts" : [ [ "2011" ] ] }, "page" : "1387-1400", "title" : "Investigating the role of emotion during the search process in free recall", "type" : "article-journal", "volume" : "39" }, "uris" : [ "http://www.mendeley.com/documents/?uuid=dc9e2aa0-20dc-4caf-87f8-b86b098f9811" ] } ], "mendeley" : { "formattedCitation" : "(Siddiqui &amp; Unsworth, 2011)", "plainTextFormattedCitation" : "(Siddiqui &amp; Unsworth, 2011)", "previouslyFormattedCitation" : "(Siddiqui &amp; Unsworth, 2011)" }, "properties" : { "noteIndex" : 0 }, "schema" : "https://github.com/citation-style-language/schema/raw/master/csl-citation.json" }</w:instrText>
      </w:r>
      <w:r w:rsidR="009C08A6" w:rsidRPr="004946F6">
        <w:fldChar w:fldCharType="separate"/>
      </w:r>
      <w:r w:rsidR="009C08A6" w:rsidRPr="004946F6">
        <w:rPr>
          <w:noProof/>
        </w:rPr>
        <w:t>(Siddiqui &amp; Unsworth, 2011)</w:t>
      </w:r>
      <w:r w:rsidR="009C08A6" w:rsidRPr="004946F6">
        <w:fldChar w:fldCharType="end"/>
      </w:r>
      <w:r w:rsidR="009C08A6" w:rsidRPr="004946F6">
        <w:t xml:space="preserve">. </w:t>
      </w:r>
      <w:r w:rsidR="00F67FB6" w:rsidRPr="004946F6">
        <w:t xml:space="preserve">These findings suggest that participants retrieve the </w:t>
      </w:r>
      <w:r w:rsidR="005B7560" w:rsidRPr="004946F6">
        <w:t>emotional context of recalled items</w:t>
      </w:r>
      <w:r w:rsidR="00F67FB6" w:rsidRPr="004946F6">
        <w:t xml:space="preserve">, which updates the </w:t>
      </w:r>
      <w:r w:rsidR="005B7560" w:rsidRPr="004946F6">
        <w:t xml:space="preserve">test </w:t>
      </w:r>
      <w:r w:rsidR="00F67FB6" w:rsidRPr="004946F6">
        <w:t xml:space="preserve">context and becomes part of the next retrieval cue. </w:t>
      </w:r>
    </w:p>
    <w:p w14:paraId="04787C7A" w14:textId="77777777" w:rsidR="00CE4DBC" w:rsidRPr="004946F6" w:rsidRDefault="00CE4DBC" w:rsidP="00B703F5">
      <w:pPr>
        <w:spacing w:line="480" w:lineRule="auto"/>
        <w:jc w:val="both"/>
      </w:pPr>
    </w:p>
    <w:p w14:paraId="1D4C09AC" w14:textId="77777777" w:rsidR="00BD7220" w:rsidRPr="004946F6" w:rsidRDefault="0020321A" w:rsidP="007F6F4E">
      <w:pPr>
        <w:rPr>
          <w:b/>
          <w:bCs/>
        </w:rPr>
      </w:pPr>
      <w:r w:rsidRPr="004946F6">
        <w:rPr>
          <w:b/>
          <w:bCs/>
        </w:rPr>
        <w:t>1.3</w:t>
      </w:r>
      <w:r w:rsidR="00F05CE5" w:rsidRPr="004946F6">
        <w:rPr>
          <w:b/>
          <w:bCs/>
        </w:rPr>
        <w:t xml:space="preserve">. </w:t>
      </w:r>
      <w:r w:rsidR="006F2377" w:rsidRPr="004946F6">
        <w:rPr>
          <w:b/>
          <w:bCs/>
        </w:rPr>
        <w:t xml:space="preserve">The emotional </w:t>
      </w:r>
      <w:r w:rsidR="00BD7220" w:rsidRPr="004946F6">
        <w:rPr>
          <w:b/>
          <w:bCs/>
        </w:rPr>
        <w:t>Context-Maintenance and Retrieval (</w:t>
      </w:r>
      <w:r w:rsidR="006F2377" w:rsidRPr="004946F6">
        <w:rPr>
          <w:b/>
          <w:bCs/>
        </w:rPr>
        <w:t>e</w:t>
      </w:r>
      <w:r w:rsidR="00BD7220" w:rsidRPr="004946F6">
        <w:rPr>
          <w:b/>
          <w:bCs/>
        </w:rPr>
        <w:t>CMR) model</w:t>
      </w:r>
    </w:p>
    <w:p w14:paraId="091BCB8D" w14:textId="63988E99" w:rsidR="004D097C" w:rsidRPr="004946F6" w:rsidRDefault="0053382A">
      <w:pPr>
        <w:spacing w:line="480" w:lineRule="auto"/>
        <w:jc w:val="both"/>
      </w:pPr>
      <w:r w:rsidRPr="004946F6">
        <w:t>Here we generalize the CMR framework to examine hypotheses regarding the emotional modulation of memory. We take advantage of CMR’s representations along multiple stimulus dimensions to incorporate emotionality of presented items.</w:t>
      </w:r>
      <w:r w:rsidR="00DA4048" w:rsidRPr="004946F6">
        <w:t xml:space="preserve"> </w:t>
      </w:r>
      <w:r w:rsidR="00553593" w:rsidRPr="004946F6">
        <w:t>In this section</w:t>
      </w:r>
      <w:r w:rsidR="00F30D24" w:rsidRPr="004946F6">
        <w:t>,</w:t>
      </w:r>
      <w:r w:rsidR="00553593" w:rsidRPr="004946F6">
        <w:t xml:space="preserve"> we consider </w:t>
      </w:r>
      <w:r w:rsidR="00BC560C" w:rsidRPr="004946F6">
        <w:t xml:space="preserve">systematically which aspect of </w:t>
      </w:r>
      <w:r w:rsidR="00553593" w:rsidRPr="004946F6">
        <w:t xml:space="preserve">CMR </w:t>
      </w:r>
      <w:r w:rsidR="00BC560C" w:rsidRPr="004946F6">
        <w:t xml:space="preserve">may be </w:t>
      </w:r>
      <w:r w:rsidR="00553593" w:rsidRPr="004946F6">
        <w:t>influence</w:t>
      </w:r>
      <w:r w:rsidR="00BC560C" w:rsidRPr="004946F6">
        <w:t xml:space="preserve">d by emotion. </w:t>
      </w:r>
      <w:r w:rsidR="00785AEC">
        <w:t>O</w:t>
      </w:r>
      <w:r w:rsidR="00DA4048" w:rsidRPr="004946F6">
        <w:t xml:space="preserve">ur extended model, </w:t>
      </w:r>
      <w:r w:rsidR="00BC560C" w:rsidRPr="004946F6">
        <w:t>eCMR</w:t>
      </w:r>
      <w:r w:rsidR="00AD7566" w:rsidRPr="004946F6">
        <w:t xml:space="preserve">, </w:t>
      </w:r>
      <w:r w:rsidR="00CB15E1" w:rsidRPr="004946F6">
        <w:t xml:space="preserve">is </w:t>
      </w:r>
      <w:r w:rsidR="00AD7566" w:rsidRPr="004946F6">
        <w:t>described formally in section 2.2</w:t>
      </w:r>
      <w:r w:rsidR="00B50478" w:rsidRPr="004946F6">
        <w:t xml:space="preserve"> and schematically in </w:t>
      </w:r>
      <w:r w:rsidR="00B50478" w:rsidRPr="004946F6">
        <w:fldChar w:fldCharType="begin"/>
      </w:r>
      <w:r w:rsidR="00B50478" w:rsidRPr="004946F6">
        <w:instrText xml:space="preserve"> REF Figure2 \h  \* MERGEFORMAT </w:instrText>
      </w:r>
      <w:r w:rsidR="00B50478" w:rsidRPr="004946F6">
        <w:fldChar w:fldCharType="separate"/>
      </w:r>
      <w:r w:rsidR="00B50478" w:rsidRPr="004946F6">
        <w:rPr>
          <w:b/>
          <w:bCs/>
        </w:rPr>
        <w:t>FIGURE 2</w:t>
      </w:r>
      <w:r w:rsidR="00B50478" w:rsidRPr="004946F6">
        <w:fldChar w:fldCharType="end"/>
      </w:r>
      <w:r w:rsidR="00BC560C" w:rsidRPr="004946F6">
        <w:t xml:space="preserve">. </w:t>
      </w:r>
      <w:r w:rsidR="00C663EC">
        <w:t xml:space="preserve">For expository purposes, we introduce the two changes we propose as nested model variants. </w:t>
      </w:r>
      <w:r w:rsidR="00A55435" w:rsidRPr="004946F6">
        <w:t xml:space="preserve">The </w:t>
      </w:r>
      <w:r w:rsidR="00142F7E" w:rsidRPr="004946F6">
        <w:rPr>
          <w:i/>
          <w:iCs/>
        </w:rPr>
        <w:t>category</w:t>
      </w:r>
      <w:r w:rsidR="00C507F3">
        <w:rPr>
          <w:i/>
          <w:iCs/>
        </w:rPr>
        <w:t>-only</w:t>
      </w:r>
      <w:r w:rsidR="00A55435" w:rsidRPr="004946F6">
        <w:rPr>
          <w:i/>
          <w:iCs/>
        </w:rPr>
        <w:t xml:space="preserve"> </w:t>
      </w:r>
      <w:r w:rsidR="00EF47AE" w:rsidRPr="004946F6">
        <w:rPr>
          <w:i/>
          <w:iCs/>
        </w:rPr>
        <w:t>variant</w:t>
      </w:r>
      <w:r w:rsidR="00CB15E1" w:rsidRPr="004946F6">
        <w:t xml:space="preserve"> </w:t>
      </w:r>
      <w:r w:rsidR="00A55435" w:rsidRPr="004946F6">
        <w:t>represents certain items as belonging to an emotional category, and others as belonging to a</w:t>
      </w:r>
      <w:r w:rsidR="00142F7E" w:rsidRPr="004946F6">
        <w:t xml:space="preserve"> neutral</w:t>
      </w:r>
      <w:r w:rsidR="00A55435" w:rsidRPr="004946F6">
        <w:t xml:space="preserve"> category. </w:t>
      </w:r>
      <w:r w:rsidR="00C663EC">
        <w:t xml:space="preserve">The </w:t>
      </w:r>
      <w:r w:rsidR="00EF3AB9" w:rsidRPr="004946F6">
        <w:rPr>
          <w:i/>
          <w:iCs/>
        </w:rPr>
        <w:t xml:space="preserve">attention-category </w:t>
      </w:r>
      <w:r w:rsidR="00EF3AB9" w:rsidRPr="004946F6">
        <w:t>variant</w:t>
      </w:r>
      <w:r w:rsidR="00C663EC">
        <w:t xml:space="preserve"> </w:t>
      </w:r>
      <w:r w:rsidR="00360674">
        <w:t xml:space="preserve">(depicted in Figure 2) </w:t>
      </w:r>
      <w:r w:rsidR="00C663EC">
        <w:t xml:space="preserve">adds a modulatory effect of </w:t>
      </w:r>
      <w:r w:rsidR="00EB10A9" w:rsidRPr="004946F6">
        <w:t xml:space="preserve">emotional arousal </w:t>
      </w:r>
      <w:r w:rsidR="00C663EC">
        <w:t>on simulated</w:t>
      </w:r>
      <w:r w:rsidR="00A55435" w:rsidRPr="004946F6">
        <w:t xml:space="preserve"> attention. </w:t>
      </w:r>
      <w:r w:rsidR="00C663EC">
        <w:t xml:space="preserve">We show that </w:t>
      </w:r>
      <w:r w:rsidR="005D09FA" w:rsidRPr="004946F6">
        <w:t>the attention-category variant</w:t>
      </w:r>
      <w:r w:rsidR="00C663EC">
        <w:t xml:space="preserve">, where emotion is operationalised in the model through two different mechanisms, is better than </w:t>
      </w:r>
      <w:r w:rsidR="005D09FA" w:rsidRPr="004946F6">
        <w:t>able to capture a number of key emotional memory phenomena.</w:t>
      </w:r>
      <w:r w:rsidR="00236C21" w:rsidRPr="004946F6">
        <w:t xml:space="preserve"> </w:t>
      </w:r>
    </w:p>
    <w:tbl>
      <w:tblPr>
        <w:tblStyle w:val="TableGrid"/>
        <w:tblW w:w="1105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058"/>
      </w:tblGrid>
      <w:tr w:rsidR="00C81AE6" w:rsidRPr="004946F6" w14:paraId="1E5897A8" w14:textId="77777777" w:rsidTr="0003785C">
        <w:tc>
          <w:tcPr>
            <w:tcW w:w="11058" w:type="dxa"/>
          </w:tcPr>
          <w:p w14:paraId="0A5C9F51" w14:textId="29C5CE4E" w:rsidR="00C81AE6" w:rsidRPr="004946F6" w:rsidRDefault="008F38C1">
            <w:pPr>
              <w:spacing w:line="480" w:lineRule="auto"/>
              <w:jc w:val="both"/>
            </w:pPr>
            <w:r>
              <w:object w:dxaOrig="14535" w:dyaOrig="7245" w14:anchorId="6D77D63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88pt;height:243pt" o:ole="">
                  <v:imagedata r:id="rId16" o:title=""/>
                </v:shape>
                <o:OLEObject Type="Embed" ProgID="PBrush" ShapeID="_x0000_i1025" DrawAspect="Content" ObjectID="_1595006587" r:id="rId17"/>
              </w:object>
            </w:r>
          </w:p>
        </w:tc>
      </w:tr>
      <w:tr w:rsidR="00C81AE6" w:rsidRPr="004946F6" w14:paraId="7D1D8586" w14:textId="77777777" w:rsidTr="0003785C">
        <w:tc>
          <w:tcPr>
            <w:tcW w:w="11058" w:type="dxa"/>
          </w:tcPr>
          <w:p w14:paraId="19976EE1" w14:textId="430BD16B" w:rsidR="00BA678F" w:rsidRDefault="00C81AE6" w:rsidP="00BA678F">
            <w:pPr>
              <w:pStyle w:val="Default"/>
            </w:pPr>
            <w:bookmarkStart w:id="3" w:name="Figure2"/>
            <w:r w:rsidRPr="004946F6">
              <w:rPr>
                <w:b/>
                <w:bCs/>
              </w:rPr>
              <w:t>FIGURE 2</w:t>
            </w:r>
            <w:bookmarkEnd w:id="3"/>
            <w:r w:rsidRPr="004946F6">
              <w:rPr>
                <w:b/>
                <w:bCs/>
              </w:rPr>
              <w:t xml:space="preserve">: A schematic </w:t>
            </w:r>
            <w:r w:rsidR="00B50478" w:rsidRPr="004946F6">
              <w:rPr>
                <w:b/>
                <w:bCs/>
              </w:rPr>
              <w:t xml:space="preserve">of </w:t>
            </w:r>
            <w:r w:rsidR="00BA678F">
              <w:rPr>
                <w:b/>
                <w:bCs/>
              </w:rPr>
              <w:t xml:space="preserve">the encoding of two </w:t>
            </w:r>
            <w:r w:rsidR="00B50478" w:rsidRPr="004946F6">
              <w:rPr>
                <w:b/>
                <w:bCs/>
              </w:rPr>
              <w:t>item</w:t>
            </w:r>
            <w:r w:rsidR="00BA678F">
              <w:rPr>
                <w:b/>
                <w:bCs/>
              </w:rPr>
              <w:t>s</w:t>
            </w:r>
            <w:r w:rsidR="00B50478" w:rsidRPr="004946F6">
              <w:rPr>
                <w:b/>
                <w:bCs/>
              </w:rPr>
              <w:t xml:space="preserve"> in</w:t>
            </w:r>
            <w:r w:rsidR="004F6ED7" w:rsidRPr="004946F6">
              <w:rPr>
                <w:b/>
                <w:bCs/>
              </w:rPr>
              <w:t xml:space="preserve"> </w:t>
            </w:r>
            <w:r w:rsidRPr="004946F6">
              <w:rPr>
                <w:b/>
                <w:bCs/>
              </w:rPr>
              <w:t>eCMR</w:t>
            </w:r>
            <w:r w:rsidR="004F6ED7" w:rsidRPr="004946F6">
              <w:rPr>
                <w:b/>
                <w:bCs/>
              </w:rPr>
              <w:t>.</w:t>
            </w:r>
            <w:r w:rsidR="00BA678F">
              <w:t xml:space="preserve"> </w:t>
            </w:r>
          </w:p>
          <w:p w14:paraId="47BEC878" w14:textId="068132D6" w:rsidR="00C81AE6" w:rsidRPr="004946F6" w:rsidRDefault="00BA678F" w:rsidP="0003785C">
            <w:pPr>
              <w:spacing w:line="480" w:lineRule="auto"/>
            </w:pPr>
            <w:r>
              <w:rPr>
                <w:b/>
                <w:bCs/>
              </w:rPr>
              <w:t>Left.</w:t>
            </w:r>
            <w:r w:rsidR="00A5284E" w:rsidRPr="0003785C">
              <w:t xml:space="preserve"> </w:t>
            </w:r>
            <w:r w:rsidR="00A5284E">
              <w:t>A</w:t>
            </w:r>
            <w:r>
              <w:t xml:space="preserve"> new item</w:t>
            </w:r>
            <w:r w:rsidR="00A5284E">
              <w:t>, bird,</w:t>
            </w:r>
            <w:r>
              <w:t xml:space="preserve"> is encoded in the feature layer</w:t>
            </w:r>
            <w:r w:rsidR="00A5284E">
              <w:t xml:space="preserve">, with a </w:t>
            </w:r>
            <w:r>
              <w:t xml:space="preserve">temporal feature </w:t>
            </w:r>
            <w:r w:rsidR="00A5284E">
              <w:t xml:space="preserve">reflecting its second position in the list, </w:t>
            </w:r>
            <w:r>
              <w:t>and the emotional feature ‘neutral’. It is associated with the context layer, where it dominates the temporal and emotional context sub-regions over the previous item (</w:t>
            </w:r>
            <w:r w:rsidR="00B572DB">
              <w:t>fork</w:t>
            </w:r>
            <w:r>
              <w:t xml:space="preserve">, also neutral). </w:t>
            </w:r>
            <w:r>
              <w:rPr>
                <w:b/>
                <w:bCs/>
              </w:rPr>
              <w:t xml:space="preserve">Right. </w:t>
            </w:r>
            <w:r>
              <w:t xml:space="preserve">A third item is encoded into the feature layer, with </w:t>
            </w:r>
            <w:r w:rsidR="00A5284E">
              <w:t xml:space="preserve">a </w:t>
            </w:r>
            <w:r>
              <w:t xml:space="preserve">temporal feature </w:t>
            </w:r>
            <w:r w:rsidR="00A5284E">
              <w:t xml:space="preserve">reflecting its third position in the list, </w:t>
            </w:r>
            <w:r>
              <w:t xml:space="preserve">and </w:t>
            </w:r>
            <w:r w:rsidR="00A5284E">
              <w:t xml:space="preserve">the </w:t>
            </w:r>
            <w:r>
              <w:t>emotional feature ‘arousing’. These update the context layer, dominating over the previous item. The context resembles the most recently-encoding item and facilitates the recall of th</w:t>
            </w:r>
            <w:r w:rsidR="00A5284E">
              <w:t>e spider over the bird.</w:t>
            </w:r>
            <w:r w:rsidR="008F38C1">
              <w:t xml:space="preserve"> The thicker arrow from the context to the item layer represents the stronger association between these layers when the item has an emotional value</w:t>
            </w:r>
            <w:r w:rsidR="00360674">
              <w:t xml:space="preserve"> in the attention-category variant of eCMR</w:t>
            </w:r>
            <w:r w:rsidR="008F38C1">
              <w:t xml:space="preserve">. </w:t>
            </w:r>
          </w:p>
        </w:tc>
      </w:tr>
    </w:tbl>
    <w:p w14:paraId="70984F07" w14:textId="77777777" w:rsidR="00C81AE6" w:rsidRPr="004946F6" w:rsidRDefault="00C81AE6">
      <w:pPr>
        <w:spacing w:line="480" w:lineRule="auto"/>
        <w:jc w:val="both"/>
      </w:pPr>
    </w:p>
    <w:p w14:paraId="1E1CA85F" w14:textId="0F7CD9B3" w:rsidR="00970E56" w:rsidRPr="004946F6" w:rsidRDefault="007624E5" w:rsidP="00AF6131">
      <w:pPr>
        <w:spacing w:line="480" w:lineRule="auto"/>
        <w:jc w:val="both"/>
        <w:rPr>
          <w:b/>
          <w:bCs/>
          <w:i/>
          <w:iCs/>
        </w:rPr>
      </w:pPr>
      <w:r w:rsidRPr="004946F6">
        <w:rPr>
          <w:b/>
          <w:bCs/>
          <w:i/>
          <w:iCs/>
        </w:rPr>
        <w:t>1</w:t>
      </w:r>
      <w:r w:rsidR="00CE4DBC" w:rsidRPr="004946F6">
        <w:rPr>
          <w:b/>
          <w:bCs/>
          <w:i/>
          <w:iCs/>
        </w:rPr>
        <w:t>.3.1</w:t>
      </w:r>
      <w:r w:rsidR="00970E56" w:rsidRPr="004946F6">
        <w:rPr>
          <w:b/>
          <w:bCs/>
          <w:i/>
          <w:iCs/>
        </w:rPr>
        <w:t xml:space="preserve"> </w:t>
      </w:r>
      <w:r w:rsidR="00004CA6" w:rsidRPr="004946F6">
        <w:rPr>
          <w:b/>
          <w:bCs/>
          <w:i/>
          <w:iCs/>
        </w:rPr>
        <w:t xml:space="preserve">The </w:t>
      </w:r>
      <w:r w:rsidR="00EF47AE" w:rsidRPr="004946F6">
        <w:rPr>
          <w:b/>
          <w:bCs/>
          <w:i/>
          <w:iCs/>
        </w:rPr>
        <w:t>category</w:t>
      </w:r>
      <w:r w:rsidR="00C507F3">
        <w:rPr>
          <w:b/>
          <w:bCs/>
          <w:i/>
          <w:iCs/>
        </w:rPr>
        <w:t>-only</w:t>
      </w:r>
      <w:r w:rsidR="00004CA6" w:rsidRPr="004946F6">
        <w:rPr>
          <w:b/>
          <w:bCs/>
          <w:i/>
          <w:iCs/>
        </w:rPr>
        <w:t xml:space="preserve"> variant of eCMR</w:t>
      </w:r>
    </w:p>
    <w:p w14:paraId="398C5880" w14:textId="697DD7BA" w:rsidR="0095475D" w:rsidRPr="004946F6" w:rsidRDefault="00360674">
      <w:pPr>
        <w:spacing w:line="480" w:lineRule="auto"/>
        <w:jc w:val="both"/>
      </w:pPr>
      <w:r>
        <w:t xml:space="preserve">This variant introduces the way emotion is built into the structure of eCMR as a source context. </w:t>
      </w:r>
      <w:r w:rsidR="0095475D" w:rsidRPr="004946F6">
        <w:t xml:space="preserve">In CMR (Polyn et al., 2009) each item is represented with three types of features: item, semantic, and source. The item features are typically uniquely set for each item. Semantic features of the items are incorporated into the association matrix between temporal context and item features, under the assumption that semantically related items co-occur in similar contexts over time </w:t>
      </w:r>
      <w:r w:rsidR="00FB757C" w:rsidRPr="004946F6">
        <w:fldChar w:fldCharType="begin" w:fldLock="1"/>
      </w:r>
      <w:r w:rsidR="008C25E5" w:rsidRPr="004946F6">
        <w:instrText>ADDIN CSL_CITATION { "citationItems" : [ { "id" : "ITEM-1", "itemData" : { "ISBN" : "160560352X", "ISSN" : "1049-5258", "PMID" : "19079779", "abstract" : "Semantic memory refers to our knowledge of facts and relationships between concepts. A successful semantic memory depends on inferring relationships between items that are not explicitly taught. Recent mathematical modeling of episodic memory argues that episodic recall relies on retrieval of a gradually-changing representation of temporal context. We show that retrieved context enables the development of a global memory space that reflects relationships between all items that have been previously learned. When newly-learned information is integrated into this structure, it is placed in some relationship to all other items, even if that relationship has not been explicitly learned. We demonstrate this effect for global semantic structures shaped topologically as a ring, and as a two-dimensional sheet. We also examined the utility of this learning algorithm for learning a more realistic semantic space by training it on a large pool of synonym pairs. Retrieved context enabled the model to \"infer\" relationships between synonym pairs that had not yet been presented.", "author" : [ { "dropping-particle" : "", "family" : "Rao", "given" : "Vinayak a", "non-dropping-particle" : "", "parse-names" : false, "suffix" : "" }, { "dropping-particle" : "", "family" : "Howard", "given" : "Marc W", "non-dropping-particle" : "", "parse-names" : false, "suffix" : "" } ], "container-title" : "Advances in neural information processing systems", "id" : "ITEM-1", "issued" : { "date-parts" : [ [ "2008" ] ] }, "page" : "1193-1200", "title" : "Retrieved context and the discovery of semantic structure.", "type" : "article-journal", "volume" : "20" }, "uris" : [ "http://www.mendeley.com/documents/?uuid=227835fa-c911-4dbd-9f5c-5b4165e4f193" ] } ], "mendeley" : { "formattedCitation" : "(Rao &amp; Howard, 2008)", "plainTextFormattedCitation" : "(Rao &amp; Howard, 2008)", "previouslyFormattedCitation" : "(Rao &amp; Howard, 2008)" }, "properties" : { "noteIndex" : 0 }, "schema" : "https://github.com/citation-style-language/schema/raw/master/csl-citation.json" }</w:instrText>
      </w:r>
      <w:r w:rsidR="00FB757C" w:rsidRPr="004946F6">
        <w:fldChar w:fldCharType="separate"/>
      </w:r>
      <w:r w:rsidR="00FB757C" w:rsidRPr="004946F6">
        <w:rPr>
          <w:noProof/>
        </w:rPr>
        <w:t>(Rao &amp; Howard, 2008)</w:t>
      </w:r>
      <w:r w:rsidR="00FB757C" w:rsidRPr="004946F6">
        <w:fldChar w:fldCharType="end"/>
      </w:r>
      <w:r w:rsidR="0095475D" w:rsidRPr="004946F6">
        <w:t>. Each item also has a ‘source’ feature corresponding to aspects of the stimulus that are common to many items in the study set</w:t>
      </w:r>
      <w:r w:rsidR="00D66FAA">
        <w:t xml:space="preserve">, such as </w:t>
      </w:r>
      <w:r w:rsidR="0095475D" w:rsidRPr="004946F6">
        <w:t>the orienting task that was associated with each item during encoding</w:t>
      </w:r>
      <w:r w:rsidR="00D66FAA">
        <w:t xml:space="preserve">. </w:t>
      </w:r>
      <w:r w:rsidR="0095475D" w:rsidRPr="004946F6">
        <w:t>Polyn and colleagues recognized that source features could be internal – unique operations that participants may engage in during the encoding of certain stimulus types. When items are encoded their temporal and source contexts are updated, resulting in increased similarity between the</w:t>
      </w:r>
      <w:r w:rsidR="00D66FAA">
        <w:t>m</w:t>
      </w:r>
      <w:r w:rsidR="0095475D" w:rsidRPr="004946F6">
        <w:t>. When a particular item is recalled, it promote</w:t>
      </w:r>
      <w:r w:rsidR="00D66FAA">
        <w:t>s</w:t>
      </w:r>
      <w:r w:rsidR="0095475D" w:rsidRPr="004946F6">
        <w:t xml:space="preserve"> the recall of items with similar semantic, temporal, and source context dimensions.</w:t>
      </w:r>
    </w:p>
    <w:p w14:paraId="18A9EED3" w14:textId="2CBAC5B8" w:rsidR="00F569C6" w:rsidRPr="004946F6" w:rsidRDefault="007F300E">
      <w:pPr>
        <w:spacing w:line="480" w:lineRule="auto"/>
        <w:jc w:val="both"/>
      </w:pPr>
      <w:r w:rsidRPr="004946F6">
        <w:t>Consider the emotional items that are prevalent in emotional memory experiments</w:t>
      </w:r>
      <w:r w:rsidR="00F0278E" w:rsidRPr="004946F6">
        <w:t xml:space="preserve">, such as </w:t>
      </w:r>
      <w:r w:rsidRPr="004946F6">
        <w:t xml:space="preserve">a picture depicting a </w:t>
      </w:r>
      <w:r w:rsidR="00574452" w:rsidRPr="004946F6">
        <w:t>car</w:t>
      </w:r>
      <w:r w:rsidRPr="004946F6">
        <w:t xml:space="preserve"> crash (</w:t>
      </w:r>
      <w:r w:rsidR="00574452" w:rsidRPr="004946F6">
        <w:fldChar w:fldCharType="begin"/>
      </w:r>
      <w:r w:rsidR="00574452" w:rsidRPr="004946F6">
        <w:instrText xml:space="preserve"> REF Figure1 \h </w:instrText>
      </w:r>
      <w:r w:rsidR="007A07D9" w:rsidRPr="004946F6">
        <w:instrText xml:space="preserve"> \* MERGEFORMAT </w:instrText>
      </w:r>
      <w:r w:rsidR="00574452" w:rsidRPr="004946F6">
        <w:fldChar w:fldCharType="separate"/>
      </w:r>
      <w:r w:rsidR="00574452" w:rsidRPr="004946F6">
        <w:rPr>
          <w:b/>
          <w:bCs/>
        </w:rPr>
        <w:t>FIGURE 1</w:t>
      </w:r>
      <w:r w:rsidR="00574452" w:rsidRPr="004946F6">
        <w:fldChar w:fldCharType="end"/>
      </w:r>
      <w:r w:rsidRPr="004946F6">
        <w:t xml:space="preserve">). </w:t>
      </w:r>
      <w:r w:rsidR="004C3E9A" w:rsidRPr="004946F6">
        <w:t>In t</w:t>
      </w:r>
      <w:r w:rsidRPr="004946F6">
        <w:t xml:space="preserve">he </w:t>
      </w:r>
      <w:r w:rsidR="00073FC0" w:rsidRPr="004946F6">
        <w:rPr>
          <w:i/>
          <w:iCs/>
        </w:rPr>
        <w:t>category</w:t>
      </w:r>
      <w:r w:rsidR="00C507F3">
        <w:rPr>
          <w:i/>
          <w:iCs/>
        </w:rPr>
        <w:t>-only</w:t>
      </w:r>
      <w:r w:rsidRPr="004946F6">
        <w:rPr>
          <w:i/>
          <w:iCs/>
        </w:rPr>
        <w:t xml:space="preserve"> variant</w:t>
      </w:r>
      <w:r w:rsidRPr="004946F6">
        <w:t xml:space="preserve"> </w:t>
      </w:r>
      <w:r w:rsidR="00073FC0" w:rsidRPr="004946F6">
        <w:t xml:space="preserve">of eCMR </w:t>
      </w:r>
      <w:r w:rsidRPr="004946F6">
        <w:t xml:space="preserve">the ‘source’ item feature </w:t>
      </w:r>
      <w:r w:rsidR="004C3E9A" w:rsidRPr="004946F6">
        <w:t>implements its emotionality, such that it defines</w:t>
      </w:r>
      <w:r w:rsidRPr="004946F6">
        <w:t xml:space="preserve"> </w:t>
      </w:r>
      <w:r w:rsidR="004C3E9A" w:rsidRPr="004946F6">
        <w:t xml:space="preserve">certain </w:t>
      </w:r>
      <w:r w:rsidRPr="004946F6">
        <w:t>items as ‘emotional’ and others as ‘neutral’</w:t>
      </w:r>
      <w:r w:rsidR="00D66FAA">
        <w:t>. G</w:t>
      </w:r>
      <w:r w:rsidRPr="004946F6">
        <w:t>raded coding is entirely feasible but for the purpose of the simulations we present here</w:t>
      </w:r>
      <w:r w:rsidR="00BD1B51" w:rsidRPr="004946F6">
        <w:t>, we defined items in a binary way as ‘emotional’ or ‘neutral’</w:t>
      </w:r>
      <w:r w:rsidRPr="004946F6">
        <w:t xml:space="preserve">. </w:t>
      </w:r>
      <w:r w:rsidR="005D3063" w:rsidRPr="004946F6">
        <w:t>J</w:t>
      </w:r>
      <w:r w:rsidR="00CC6669" w:rsidRPr="004946F6">
        <w:t>ust as in CMR</w:t>
      </w:r>
      <w:r w:rsidR="00871417" w:rsidRPr="004946F6">
        <w:t>,</w:t>
      </w:r>
      <w:r w:rsidR="00CC6669" w:rsidRPr="004946F6">
        <w:t xml:space="preserve"> </w:t>
      </w:r>
      <w:r w:rsidR="00D675B2" w:rsidRPr="004946F6">
        <w:t xml:space="preserve">where </w:t>
      </w:r>
      <w:r w:rsidR="00CC6669" w:rsidRPr="004946F6">
        <w:t>items that share source context promote each other’s recall, in eCMR items that share emotional context will also promote each other’s recall.</w:t>
      </w:r>
      <w:r w:rsidR="006E738D" w:rsidRPr="004946F6">
        <w:t xml:space="preserve"> </w:t>
      </w:r>
    </w:p>
    <w:p w14:paraId="4A3BDCF5" w14:textId="4AF1E82D" w:rsidR="005D5C1C" w:rsidRPr="004946F6" w:rsidRDefault="007F300E">
      <w:pPr>
        <w:spacing w:line="480" w:lineRule="auto"/>
        <w:jc w:val="both"/>
      </w:pPr>
      <w:r w:rsidRPr="004946F6">
        <w:t xml:space="preserve">The temporal </w:t>
      </w:r>
      <w:r w:rsidR="007566EC" w:rsidRPr="004946F6">
        <w:t xml:space="preserve">and semantic </w:t>
      </w:r>
      <w:r w:rsidRPr="004946F6">
        <w:t xml:space="preserve">features are represented in exactly the same way in eCMR as in CMR, but the </w:t>
      </w:r>
      <w:r w:rsidR="0047238B" w:rsidRPr="004946F6">
        <w:t xml:space="preserve">strength of </w:t>
      </w:r>
      <w:r w:rsidRPr="004946F6">
        <w:t xml:space="preserve">semantic </w:t>
      </w:r>
      <w:r w:rsidR="0047238B" w:rsidRPr="004946F6">
        <w:t>associations operationalise both the semantic similarity between items, based on their shared conceptual and thematic relationship, and the</w:t>
      </w:r>
      <w:r w:rsidR="003F1559" w:rsidRPr="004946F6">
        <w:t>ir</w:t>
      </w:r>
      <w:r w:rsidR="0047238B" w:rsidRPr="004946F6">
        <w:t xml:space="preserve"> emotional similarity. </w:t>
      </w:r>
      <w:r w:rsidR="00BC403A" w:rsidRPr="004946F6">
        <w:t xml:space="preserve">By definition, emotional stimuli belong to the same conceptual category (e.g. ‘negative experiences’). </w:t>
      </w:r>
      <w:r w:rsidR="00D66FAA">
        <w:t>E</w:t>
      </w:r>
      <w:r w:rsidRPr="004946F6">
        <w:t xml:space="preserve">motional stimuli are </w:t>
      </w:r>
      <w:r w:rsidR="00B220C1" w:rsidRPr="004946F6">
        <w:t xml:space="preserve">often </w:t>
      </w:r>
      <w:r w:rsidR="00D66FAA">
        <w:t xml:space="preserve">also </w:t>
      </w:r>
      <w:r w:rsidR="00B220C1" w:rsidRPr="004946F6">
        <w:t>thematically similar</w:t>
      </w:r>
      <w:r w:rsidRPr="004946F6">
        <w:t xml:space="preserve">; for example, the words ‘bomb’ and ‘starvation’ </w:t>
      </w:r>
      <w:r w:rsidR="00BC403A" w:rsidRPr="004946F6">
        <w:t xml:space="preserve">will co-occur </w:t>
      </w:r>
      <w:r w:rsidRPr="004946F6">
        <w:t xml:space="preserve">within a story of war. </w:t>
      </w:r>
      <w:r w:rsidR="00B220C1" w:rsidRPr="004946F6">
        <w:t xml:space="preserve">Other factors that may increase the thematic </w:t>
      </w:r>
      <w:r w:rsidR="00BC403A" w:rsidRPr="004946F6">
        <w:t xml:space="preserve">similarity between </w:t>
      </w:r>
      <w:r w:rsidR="00B220C1" w:rsidRPr="004946F6">
        <w:t xml:space="preserve">emotional </w:t>
      </w:r>
      <w:r w:rsidR="00BC403A" w:rsidRPr="004946F6">
        <w:t>items</w:t>
      </w:r>
      <w:r w:rsidR="00B220C1" w:rsidRPr="004946F6">
        <w:t xml:space="preserve"> is that </w:t>
      </w:r>
      <w:r w:rsidR="00BC403A" w:rsidRPr="004946F6">
        <w:t xml:space="preserve">they </w:t>
      </w:r>
      <w:r w:rsidRPr="004946F6">
        <w:t xml:space="preserve">may be construed as socially more ‘distant’ </w:t>
      </w:r>
      <w:r w:rsidRPr="004946F6">
        <w:fldChar w:fldCharType="begin" w:fldLock="1"/>
      </w:r>
      <w:r w:rsidR="008C25E5" w:rsidRPr="004946F6">
        <w:instrText>ADDIN CSL_CITATION { "citationItems" : [ { "id" : "ITEM-1", "itemData" : { "DOI" : "10.1037/0033-295X.110.3.403", "ISBN" : "0033-295X", "ISSN" : "1939-1471", "PMID" : "12885109", "abstract" : "Construal level theory proposes that temporal distance changes people\u2019s responses to future events by changing the way people mentally represent those events. The greater the temporal distance, the more likely are events to be represented in terms of a few abstract features that convey the perceived essence of the events (high-level construals) rather than in terms of more concrete and incidental details of the events (low-level construals). The informational and evaluative implications of high-level construals, compared with those of low-level construals, should therefore have more impact on responses to distant-future events than near-future events. This article explores the implications of construal level theory for temporal changes in evaluation, prediction, and choice. The authors suggest that construal level underlies a broad range of evaluative and behavioral consequences of psychological distance from events.", "author" : [ { "dropping-particle" : "", "family" : "Trope", "given" : "Y", "non-dropping-particle" : "", "parse-names" : false, "suffix" : "" }, { "dropping-particle" : "", "family" : "Liberman", "given" : "N", "non-dropping-particle" : "", "parse-names" : false, "suffix" : "" } ], "container-title" : "Psychological Review", "id" : "ITEM-1", "issue" : "3", "issued" : { "date-parts" : [ [ "2003" ] ] }, "page" : "403-421", "title" : "Temporal Construal", "type" : "article-journal", "volume" : "110" }, "uris" : [ "http://www.mendeley.com/documents/?uuid=46f18ac8-b1b5-4285-b97b-06113a0faff5" ] } ], "mendeley" : { "formattedCitation" : "(Trope &amp; Liberman, 2003)", "plainTextFormattedCitation" : "(Trope &amp; Liberman, 2003)", "previouslyFormattedCitation" : "(Trope &amp; Liberman, 2003)" }, "properties" : { "noteIndex" : 0 }, "schema" : "https://github.com/citation-style-language/schema/raw/master/csl-citation.json" }</w:instrText>
      </w:r>
      <w:r w:rsidRPr="004946F6">
        <w:fldChar w:fldCharType="separate"/>
      </w:r>
      <w:r w:rsidRPr="004946F6">
        <w:rPr>
          <w:noProof/>
        </w:rPr>
        <w:t>(Trope &amp; Liberman, 2003)</w:t>
      </w:r>
      <w:r w:rsidRPr="004946F6">
        <w:fldChar w:fldCharType="end"/>
      </w:r>
      <w:r w:rsidR="00B220C1" w:rsidRPr="004946F6">
        <w:t xml:space="preserve">, </w:t>
      </w:r>
      <w:r w:rsidR="00BC403A" w:rsidRPr="004946F6">
        <w:t>or</w:t>
      </w:r>
      <w:r w:rsidRPr="004946F6">
        <w:t xml:space="preserve"> share affordances</w:t>
      </w:r>
      <w:r w:rsidR="00BC403A" w:rsidRPr="004946F6">
        <w:t xml:space="preserve"> (</w:t>
      </w:r>
      <w:r w:rsidR="00BC403A" w:rsidRPr="004946F6">
        <w:rPr>
          <w:noProof/>
        </w:rPr>
        <w:t>Greene, Baldassano, Esteva, Beck, &amp; Fei-Fei, 2016)</w:t>
      </w:r>
      <w:r w:rsidR="00BC403A" w:rsidRPr="004946F6">
        <w:t xml:space="preserve">. </w:t>
      </w:r>
      <w:r w:rsidRPr="004946F6">
        <w:t xml:space="preserve">Emotional stimuli </w:t>
      </w:r>
      <w:r w:rsidR="00B220C1" w:rsidRPr="004946F6">
        <w:t xml:space="preserve">may </w:t>
      </w:r>
      <w:r w:rsidRPr="004946F6">
        <w:t xml:space="preserve">also </w:t>
      </w:r>
      <w:r w:rsidR="00B220C1" w:rsidRPr="004946F6">
        <w:t xml:space="preserve">be </w:t>
      </w:r>
      <w:r w:rsidRPr="004946F6">
        <w:t xml:space="preserve">similar because </w:t>
      </w:r>
      <w:r w:rsidR="00BC403A" w:rsidRPr="004946F6">
        <w:t xml:space="preserve">they trigger the same </w:t>
      </w:r>
      <w:r w:rsidRPr="004946F6">
        <w:t xml:space="preserve">feelings, embodied in a myriad of peripheral physiological processes </w:t>
      </w:r>
      <w:r w:rsidRPr="004946F6">
        <w:fldChar w:fldCharType="begin" w:fldLock="1"/>
      </w:r>
      <w:r w:rsidR="008C25E5" w:rsidRPr="004946F6">
        <w:instrText>ADDIN CSL_CITATION { "citationItems" : [ { "id" : "ITEM-1", "itemData" : { "author" : [ { "dropping-particle" : "", "family" : "Bradley", "given" : "Margaret M.", "non-dropping-particle" : "", "parse-names" : false, "suffix" : "" }, { "dropping-particle" : "", "family" : "Lang", "given" : "Peter J.", "non-dropping-particle" : "", "parse-names" : false, "suffix" : "" }, { "dropping-particle" : "", "family" : "Cuthbert", "given" : "B. N.", "non-dropping-particle" : "", "parse-names" : false, "suffix" : "" } ], "container-title" : "Behavioural Neuroscience", "id" : "ITEM-1", "issue" : "6", "issued" : { "date-parts" : [ [ "1993" ] ] }, "page" : "970-980", "title" : "Emotion, Novelty, and the Startle Reflex: Habituation in Humans", "type" : "article-journal", "volume" : "107" }, "uris" : [ "http://www.mendeley.com/documents/?uuid=f21bfc24-c8fb-48f9-8250-86ff4c4afca9" ] } ], "mendeley" : { "formattedCitation" : "(M. M. Bradley, Lang, &amp; Cuthbert, 1993)", "manualFormatting" : "(Bradley, Lang, &amp; Cuthbert, 1993)", "plainTextFormattedCitation" : "(M. M. Bradley, Lang, &amp; Cuthbert, 1993)", "previouslyFormattedCitation" : "(M. M. Bradley, Lang, &amp; Cuthbert, 1993)" }, "properties" : { "noteIndex" : 0 }, "schema" : "https://github.com/citation-style-language/schema/raw/master/csl-citation.json" }</w:instrText>
      </w:r>
      <w:r w:rsidRPr="004946F6">
        <w:fldChar w:fldCharType="separate"/>
      </w:r>
      <w:r w:rsidRPr="004946F6">
        <w:rPr>
          <w:noProof/>
        </w:rPr>
        <w:t>(Bradley, Lang, &amp; Cuthbert, 1993)</w:t>
      </w:r>
      <w:r w:rsidRPr="004946F6">
        <w:fldChar w:fldCharType="end"/>
      </w:r>
      <w:r w:rsidR="007A50C0" w:rsidRPr="004946F6">
        <w:t xml:space="preserve">. </w:t>
      </w:r>
      <w:r w:rsidR="007566EC" w:rsidRPr="004946F6">
        <w:t xml:space="preserve">The </w:t>
      </w:r>
      <w:r w:rsidR="00410F6F">
        <w:t xml:space="preserve">documented </w:t>
      </w:r>
      <w:r w:rsidR="007566EC" w:rsidRPr="004946F6">
        <w:t xml:space="preserve">increased similarity between emotional stimuli </w:t>
      </w:r>
      <w:r w:rsidR="00410F6F">
        <w:t xml:space="preserve">compared to randomly-selected neutral ones </w:t>
      </w:r>
      <w:r w:rsidR="007566EC" w:rsidRPr="004946F6">
        <w:t xml:space="preserve">has </w:t>
      </w:r>
      <w:r w:rsidR="00F569C6" w:rsidRPr="004946F6">
        <w:t>memory consequences</w:t>
      </w:r>
      <w:r w:rsidR="007566EC" w:rsidRPr="004946F6">
        <w:t xml:space="preserve">, </w:t>
      </w:r>
      <w:r w:rsidR="00B220C1" w:rsidRPr="004946F6">
        <w:t>explaining</w:t>
      </w:r>
      <w:r w:rsidR="00F569C6" w:rsidRPr="004946F6">
        <w:t xml:space="preserve"> part of the </w:t>
      </w:r>
      <w:r w:rsidR="007566EC" w:rsidRPr="004946F6">
        <w:t xml:space="preserve">recall advantage of emotional items </w:t>
      </w:r>
      <w:r w:rsidR="00F569C6" w:rsidRPr="004946F6">
        <w:fldChar w:fldCharType="begin" w:fldLock="1"/>
      </w:r>
      <w:r w:rsidR="008C25E5" w:rsidRPr="004946F6">
        <w:instrText>ADDIN CSL_CITATION { "citationItems" : [ { "id" : "ITEM-1", "itemData" : { "DOI" : "10.3758/BF03195864", "ISBN" : "0090-502X", "ISSN" : "0090-502X", "PMID" : "15552351", "abstract" : "Memory for emotional items is often better than memory for neutral items. In three experiments, we examined whether this typical finding is due to the higher semantic relatedness inherent to emotional items, a confound in previous studies. We also controlled for other possible confounding variables, such as imagery. In Experiments 1 and 2, participants encoded lists of emotional and categorized neutral words equivalent in semantic relatedness, as well as lists of random neutral words with lower semantic relatedness. In Experiment 3, the lists were mixed, containing words from all the conditions. Surprise free recall was tested after a 40- to 55-min retention interval. Free recall of emotional words was better than that of random neutral words, replicating the classic effect. Importantly, categorized words were recalled better than random neutral words, and not worse than emotional words. These results emphasize the important role of semantic relatedness in the classic effect and suggest that organizational processes operate alongside arousal-related ones to enhance memory for emotional material.", "author" : [ { "dropping-particle" : "", "family" : "Talmi", "given" : "Deborah", "non-dropping-particle" : "", "parse-names" : false, "suffix" : "" }, { "dropping-particle" : "", "family" : "Moscovitch", "given" : "Morris", "non-dropping-particle" : "", "parse-names" : false, "suffix" : "" } ], "container-title" : "Memory &amp; cognition", "id" : "ITEM-1", "issue" : "5", "issued" : { "date-parts" : [ [ "2004" ] ] }, "page" : "742-751", "title" : "Can semantic relatedness explain the enhancement of memory for emotional words?", "type" : "article-journal", "volume" : "32" }, "uris" : [ "http://www.mendeley.com/documents/?uuid=88c4bcd6-e969-4855-8742-18230ec41a9b" ] }, { "id" : "ITEM-2", "itemData" : { "DOI" : "10.1016/j.jml.2007.01.002", "ISBN" : "0749-596X", "ISSN" : "0749596X", "abstract" : "Emotional events are more organized and distinctive than neutral events. We asked whether organization and distinctiveness can account for emotionally-enhanced memory. To examine organization, we compared memory for arousing, negatively-valenced pictures, and inter-related neutral pictures. To examine distinctiveness, we manipulated list composition, and compared mixed lists, which contained emotional and neutral items, to pure lists, which contained only items of a single type and removed the relative-distinctiveness advantage of emotional items. We show that emotional memory is enhanced in immediate memory tests as long as either organization or distinctiveness is allowed to play a role. When these effects are removed, in the comparison of emotional and related neutral items in pure lists, the emotional memory advantage is eliminated. Examining the contribution of mediating cognitive factors at a behavioral and neural level is crucial if we are to understand how emotion influences memory. ?? 2007 Elsevier Inc. All rights reserved.", "author" : [ { "dropping-particle" : "", "family" : "Talmi", "given" : "Deborah", "non-dropping-particle" : "", "parse-names" : false, "suffix" : "" }, { "dropping-particle" : "", "family" : "Luk", "given" : "Betty T C", "non-dropping-particle" : "", "parse-names" : false, "suffix" : "" }, { "dropping-particle" : "", "family" : "McGarry", "given" : "Lucy M.", "non-dropping-particle" : "", "parse-names" : false, "suffix" : "" }, { "dropping-particle" : "", "family" : "Moscovitch", "given" : "Morris", "non-dropping-particle" : "", "parse-names" : false, "suffix" : "" } ], "container-title" : "Journal of Memory and Language", "id" : "ITEM-2", "issue" : "4", "issued" : { "date-parts" : [ [ "2007" ] ] }, "page" : "555-574", "title" : "The contribution of relatedness and distinctiveness to emotionally-enhanced memory", "type" : "article-journal", "volume" : "56" }, "uris" : [ "http://www.mendeley.com/documents/?uuid=9a6a0a7b-63c2-4a1c-b0eb-8121f6c33e18" ] } ], "mendeley" : { "formattedCitation" : "(Talmi, Luk, et al., 2007; Talmi &amp; Moscovitch, 2004)", "plainTextFormattedCitation" : "(Talmi, Luk, et al., 2007; Talmi &amp; Moscovitch, 2004)", "previouslyFormattedCitation" : "(Talmi, Luk, et al., 2007; Talmi &amp; Moscovitch, 2004)" }, "properties" : { "noteIndex" : 0 }, "schema" : "https://github.com/citation-style-language/schema/raw/master/csl-citation.json" }</w:instrText>
      </w:r>
      <w:r w:rsidR="00F569C6" w:rsidRPr="004946F6">
        <w:fldChar w:fldCharType="separate"/>
      </w:r>
      <w:r w:rsidR="00F569C6" w:rsidRPr="004946F6">
        <w:rPr>
          <w:noProof/>
        </w:rPr>
        <w:t>(Talmi, Luk, et al., 2007; Talmi &amp; Moscovitch, 2004)</w:t>
      </w:r>
      <w:r w:rsidR="00F569C6" w:rsidRPr="004946F6">
        <w:fldChar w:fldCharType="end"/>
      </w:r>
      <w:r w:rsidR="008A51F1" w:rsidRPr="004946F6">
        <w:t xml:space="preserve">. It is important to note that </w:t>
      </w:r>
      <w:r w:rsidR="00F569C6" w:rsidRPr="004946F6">
        <w:t>some experiments go to great lengths to equate the pre-</w:t>
      </w:r>
      <w:r w:rsidR="00B01DAC" w:rsidRPr="004946F6">
        <w:t>experimental</w:t>
      </w:r>
      <w:r w:rsidR="00F569C6" w:rsidRPr="004946F6">
        <w:t xml:space="preserve"> similarity of emotional and neutral stimuli </w:t>
      </w:r>
      <w:r w:rsidR="00F569C6" w:rsidRPr="004946F6">
        <w:fldChar w:fldCharType="begin" w:fldLock="1"/>
      </w:r>
      <w:r w:rsidR="008C25E5" w:rsidRPr="004946F6">
        <w:instrText>ADDIN CSL_CITATION { "citationItems" : [ { "id" : "ITEM-1", "itemData" : { "DOI" : "10.3758/BF03192924", "ISBN" : "0090-502X (Print)\\r0090-502X (Linking)", "ISSN" : "0090-502X", "PMID" : "18265607", "abstract" : "A color-naming task was followed by incidental free recall to investigate how emotional words affect attention and memory. We compared taboo, nonthreatening negative-affect, and neutral words across three experiments. As compared with neutral words, taboo words led to longer color-naming times and better memory in both within- and between-subjects designs. Color naming of negative-emotion nontaboo words was slower than color naming of neutral words only during block presentation and at relatively short interstimulus intervals (ISIs). The nontaboo emotion words were remembered better than neutral words following blocked and random presentation and at both long and short ISIs, but only in mixed-list designs. Our results support multifactor theories of the effects of emotion on attention and memory. As compared with neutral words, threatening stimuli received increased attention, poststimulus elaboration, and benefit from item distinctiveness, whereas nonthreatening emotional stimuli benefited only from increased item distinctiveness.", "author" : [ { "dropping-particle" : "", "family" : "Schmidt", "given" : "Stephen R", "non-dropping-particle" : "", "parse-names" : false, "suffix" : "" }, { "dropping-particle" : "", "family" : "Saari", "given" : "Bonnie", "non-dropping-particle" : "", "parse-names" : false, "suffix" : "" } ], "container-title" : "Memory &amp; cognition", "id" : "ITEM-1", "issue" : "8", "issued" : { "date-parts" : [ [ "2007" ] ] }, "page" : "1905-1916", "title" : "The emotional memory effect: differential processing or item distinctiveness?", "type" : "article-journal", "volume" : "35" }, "uris" : [ "http://www.mendeley.com/documents/?uuid=0dc0debd-e10c-42d7-88a7-30b34c86049d" ] }, { "id" : "ITEM-2", "itemData" : { "DOI" : "10.1101/lm.995108.4", "author" : [ { "dropping-particle" : "", "family" : "Sommer", "given" : "Tobias", "non-dropping-particle" : "", "parse-names" : false, "suffix" : "" }, { "dropping-particle" : "", "family" : "Gl\u00e4scher", "given" : "Jan", "non-dropping-particle" : "", "parse-names" : false, "suffix" : "" }, { "dropping-particle" : "", "family" : "Moritz", "given" : "Steffen", "non-dropping-particle" : "", "parse-names" : false, "suffix" : "" }, { "dropping-particle" : "", "family" : "B\u00fcchel", "given" : "Christian", "non-dropping-particle" : "", "parse-names" : false, "suffix" : "" } ], "id" : "ITEM-2", "issued" : { "date-parts" : [ [ "2008" ] ] }, "page" : "569-573", "title" : "Emotional enhancement effect of memory : Removing the influence of cognitive factors", "type" : "article-journal" }, "uris" : [ "http://www.mendeley.com/documents/?uuid=ee58f5ab-7c20-43fa-b72c-6883f9dc730d" ] }, { "id" : "ITEM-3", "itemData" : { "DOI" : "10.1177/1754073908100436", "ISSN" : "1754-0739", "PMID" : "19655033", "abstract" : "In my original review (this issue), I proposed that to understand the effects of emotion on memory accuracy, we must look beyond effects of arousal and consider the contribution of valence. In discussing this proposal, the commentators raise a number of excellent points that hone in on the question of when valence does (and does not) account for emotion's effects on memory accuracy. Though future research will be required to resolve this issue more fully, in this brief response, I address some of the concerns outlined by the commentators and suggest a few steps that may help to elucidate the dimensions that should be incorporated in models of emotional memory.", "author" : [ { "dropping-particle" : "", "family" : "Kensinger", "given" : "Elizabeth A", "non-dropping-particle" : "", "parse-names" : false, "suffix" : "" } ], "container-title" : "Emotion review : journal of the International Society for Research on Emotion", "id" : "ITEM-3", "issue" : "2", "issued" : { "date-parts" : [ [ "2009" ] ] }, "page" : "120-121", "publisher" : "NIH Public Access", "title" : "What factors need to be considered to understand emotional memories?", "type" : "article-journal", "volume" : "1" }, "uris" : [ "http://www.mendeley.com/documents/?uuid=40f1d78d-94dc-3753-95c8-978a950aef25" ] } ], "mendeley" : { "formattedCitation" : "(Kensinger, 2009b; Schmidt &amp; Saari, 2007; Sommer, Gl\u00e4scher, Moritz, &amp; B\u00fcchel, 2008)", "plainTextFormattedCitation" : "(Kensinger, 2009b; Schmidt &amp; Saari, 2007; Sommer, Gl\u00e4scher, Moritz, &amp; B\u00fcchel, 2008)", "previouslyFormattedCitation" : "(Kensinger, 2009b; Schmidt &amp; Saari, 2007; Sommer, Gl\u00e4scher, Moritz, &amp; B\u00fcchel, 2008)" }, "properties" : { "noteIndex" : 0 }, "schema" : "https://github.com/citation-style-language/schema/raw/master/csl-citation.json" }</w:instrText>
      </w:r>
      <w:r w:rsidR="00F569C6" w:rsidRPr="004946F6">
        <w:fldChar w:fldCharType="separate"/>
      </w:r>
      <w:r w:rsidR="00B43157" w:rsidRPr="004946F6">
        <w:rPr>
          <w:noProof/>
        </w:rPr>
        <w:t>(Kensinger, 2009b; Schmidt &amp; Saari, 2007; Sommer, Gläscher, Moritz, &amp; Büchel, 2008)</w:t>
      </w:r>
      <w:r w:rsidR="00F569C6" w:rsidRPr="004946F6">
        <w:fldChar w:fldCharType="end"/>
      </w:r>
      <w:r w:rsidR="008A51F1" w:rsidRPr="004946F6">
        <w:t>, including the key experiment we simulate in section 2 (Talmi et al., 2007). However, e</w:t>
      </w:r>
      <w:r w:rsidR="00A844A6" w:rsidRPr="004946F6">
        <w:t>ven when pre-experimental similarity is controlled</w:t>
      </w:r>
      <w:r w:rsidR="00410F6F">
        <w:t>,</w:t>
      </w:r>
      <w:r w:rsidR="00A844A6" w:rsidRPr="004946F6">
        <w:t xml:space="preserve"> emotional items will still end up more similar to each other in eCMR because </w:t>
      </w:r>
      <w:r w:rsidR="00BA36F9" w:rsidRPr="004946F6">
        <w:t xml:space="preserve">during encoding </w:t>
      </w:r>
      <w:r w:rsidR="00A844A6" w:rsidRPr="004946F6">
        <w:t>they will be bound to a shared emotional context.</w:t>
      </w:r>
    </w:p>
    <w:p w14:paraId="759887B4" w14:textId="3D64EA9A" w:rsidR="00AC4E7B" w:rsidRPr="004946F6" w:rsidRDefault="00EF5E2B">
      <w:pPr>
        <w:spacing w:line="480" w:lineRule="auto"/>
        <w:jc w:val="both"/>
      </w:pPr>
      <w:r w:rsidRPr="004946F6">
        <w:t xml:space="preserve">Lastly, a critical </w:t>
      </w:r>
      <w:r w:rsidR="00AC4E7B" w:rsidRPr="004946F6">
        <w:t xml:space="preserve">aspect of </w:t>
      </w:r>
      <w:r w:rsidR="005D5C1C" w:rsidRPr="004946F6">
        <w:t>CMR</w:t>
      </w:r>
      <w:r w:rsidR="00AC4E7B" w:rsidRPr="004946F6">
        <w:t xml:space="preserve"> is the assumption </w:t>
      </w:r>
      <w:r w:rsidR="005D5C1C" w:rsidRPr="004946F6">
        <w:t xml:space="preserve">that the temporal context </w:t>
      </w:r>
      <w:r w:rsidR="00F2040E" w:rsidRPr="004946F6">
        <w:t>is disrupted</w:t>
      </w:r>
      <w:r w:rsidR="005D5C1C" w:rsidRPr="004946F6">
        <w:t xml:space="preserve"> whenever the orienting task </w:t>
      </w:r>
      <w:r w:rsidR="002B0F07" w:rsidRPr="004946F6">
        <w:t xml:space="preserve">changes </w:t>
      </w:r>
      <w:r w:rsidR="005D5C1C" w:rsidRPr="004946F6">
        <w:t xml:space="preserve">during encoding </w:t>
      </w:r>
      <w:r w:rsidR="005D5C1C" w:rsidRPr="004946F6">
        <w:fldChar w:fldCharType="begin" w:fldLock="1"/>
      </w:r>
      <w:r w:rsidR="008C25E5" w:rsidRPr="004946F6">
        <w:instrText>ADDIN CSL_CITATION { "citationItems" : [ { "id" : "ITEM-1", "itemData" : { "DOI" : "10.1037/a0014420.A", "author" : [ { "dropping-particle" : "", "family" : "Polyn", "given" : "Sean M", "non-dropping-particle" : "", "parse-names" : false, "suffix" : "" }, { "dropping-particle" : "", "family" : "Norman", "given" : "Kenneth A", "non-dropping-particle" : "", "parse-names" : false, "suffix" : "" }, { "dropping-particle" : "", "family" : "Kahana", "given" : "Michael J", "non-dropping-particle" : "", "parse-names" : false, "suffix" : "" } ], "id" : "ITEM-1", "issue" : "1", "issued" : { "date-parts" : [ [ "2009" ] ] }, "page" : "129-156", "title" : "A context maintenance and retrieval model of organizational processes in free recall", "type" : "article-journal", "volume" : "116" }, "uris" : [ "http://www.mendeley.com/documents/?uuid=332b768b-157f-44b6-b42c-04445440d695" ] } ], "mendeley" : { "formattedCitation" : "(Polyn et al., 2009)", "plainTextFormattedCitation" : "(Polyn et al., 2009)", "previouslyFormattedCitation" : "(Polyn et al., 2009)" }, "properties" : { "noteIndex" : 0 }, "schema" : "https://github.com/citation-style-language/schema/raw/master/csl-citation.json" }</w:instrText>
      </w:r>
      <w:r w:rsidR="005D5C1C" w:rsidRPr="004946F6">
        <w:fldChar w:fldCharType="separate"/>
      </w:r>
      <w:r w:rsidR="005D5C1C" w:rsidRPr="004946F6">
        <w:rPr>
          <w:noProof/>
        </w:rPr>
        <w:t>(Polyn et al., 2009)</w:t>
      </w:r>
      <w:r w:rsidR="005D5C1C" w:rsidRPr="004946F6">
        <w:fldChar w:fldCharType="end"/>
      </w:r>
      <w:r w:rsidR="005D5C1C" w:rsidRPr="004946F6">
        <w:t xml:space="preserve">. While the task Polyn and colleagues used is akin to task-switching paradigms, mixed lists of emotional and neutral items </w:t>
      </w:r>
      <w:r w:rsidR="00CD7994" w:rsidRPr="004946F6">
        <w:t xml:space="preserve">may </w:t>
      </w:r>
      <w:r w:rsidR="005D5C1C" w:rsidRPr="004946F6">
        <w:t xml:space="preserve">more closely resemble cue-shift paradigms, where the task remains the same, but </w:t>
      </w:r>
      <w:r w:rsidR="00D10E0D" w:rsidRPr="004946F6">
        <w:t xml:space="preserve">the </w:t>
      </w:r>
      <w:r w:rsidR="005D5C1C" w:rsidRPr="004946F6">
        <w:t>cue</w:t>
      </w:r>
      <w:r w:rsidR="00D10E0D" w:rsidRPr="004946F6">
        <w:t xml:space="preserve"> that lets participants know which task to execute varies. Just as </w:t>
      </w:r>
      <w:r w:rsidRPr="004946F6">
        <w:t>an animacy-judgment task could be cued by both a circle and a square</w:t>
      </w:r>
      <w:r w:rsidR="00D10E0D" w:rsidRPr="004946F6">
        <w:t>, the operations that emotional items trigger are cued by items with different content</w:t>
      </w:r>
      <w:r w:rsidR="005D5C1C" w:rsidRPr="004946F6">
        <w:t xml:space="preserve">. Importantly, both task-switches and cue-switches slow reaction times in the post-shift trials </w:t>
      </w:r>
      <w:r w:rsidR="005D5C1C" w:rsidRPr="004946F6">
        <w:fldChar w:fldCharType="begin" w:fldLock="1"/>
      </w:r>
      <w:r w:rsidR="008C25E5" w:rsidRPr="004946F6">
        <w:instrText>ADDIN CSL_CITATION { "citationItems" : [ { "id" : "ITEM-1", "itemData" : { "abstract" : "Explicitly cued task switching with multiple cues per task permits three types of transitions: cue repetitions (cue and task repeat), task repetitions (cue changes but task repeats), and task alternations (cue and task change). The difference between task alternations and task repetitions can be inter- preted as a switch cost, but its magnitude varies substantially across experiments. We investigated how switch cost is affected by transition frequency (how often subjects repeat and switch tasks) with an ex- periment in which each transition had a frequency of .70 in separate sessions. Switch cost was smallest when task alternations were frequent and largest when task repetitions were frequent. Mathematical modeling of the data indicated that the different \u201cswitch costs\u201d reflected priming of cue encoding for frequent transitions. Interpretations of our findings based on automatic priming from memory retrieval of past transitions and strategic priming from transition expectancies are discussed.", "author" : [ { "dropping-particle" : "", "family" : "Schneider", "given" : "D W", "non-dropping-particle" : "", "parse-names" : false, "suffix" : "" }, { "dropping-particle" : "", "family" : "Logan", "given" : "G D", "non-dropping-particle" : "", "parse-names" : false, "suffix" : "" } ], "container-title" : "Psychonomic Bulletin &amp; Review", "id" : "ITEM-1", "issue" : "1", "issued" : { "date-parts" : [ [ "2006" ] ] }, "page" : "145-151", "title" : "Priming cue encoding by manipulating transition frequency in explicitly cued task switching", "type" : "article-journal", "volume" : "13" }, "uris" : [ "http://www.mendeley.com/documents/?uuid=6b8a7f23-9bcf-3305-aaa4-162f1a6b171d" ] } ], "mendeley" : { "formattedCitation" : "(Schneider &amp; Logan, 2006)", "plainTextFormattedCitation" : "(Schneider &amp; Logan, 2006)", "previouslyFormattedCitation" : "(Schneider &amp; Logan, 2006)" }, "properties" : { "noteIndex" : 0 }, "schema" : "https://github.com/citation-style-language/schema/raw/master/csl-citation.json" }</w:instrText>
      </w:r>
      <w:r w:rsidR="005D5C1C" w:rsidRPr="004946F6">
        <w:fldChar w:fldCharType="separate"/>
      </w:r>
      <w:r w:rsidR="005D5C1C" w:rsidRPr="004946F6">
        <w:rPr>
          <w:noProof/>
        </w:rPr>
        <w:t>(Schneider &amp; Logan, 2006)</w:t>
      </w:r>
      <w:r w:rsidR="005D5C1C" w:rsidRPr="004946F6">
        <w:fldChar w:fldCharType="end"/>
      </w:r>
      <w:r w:rsidR="005D5C1C" w:rsidRPr="004946F6">
        <w:t xml:space="preserve">, a result that may indicate that both type of switches </w:t>
      </w:r>
      <w:r w:rsidR="00AC4E7B" w:rsidRPr="004946F6">
        <w:t>c</w:t>
      </w:r>
      <w:r w:rsidR="005D5C1C" w:rsidRPr="004946F6">
        <w:t xml:space="preserve">ould be modelled as </w:t>
      </w:r>
      <w:r w:rsidR="00F2040E" w:rsidRPr="004946F6">
        <w:t>disrupting</w:t>
      </w:r>
      <w:r w:rsidR="005D5C1C" w:rsidRPr="004946F6">
        <w:t xml:space="preserve"> the temporal context.</w:t>
      </w:r>
      <w:r w:rsidR="006F2EF8" w:rsidRPr="004946F6">
        <w:t xml:space="preserve"> </w:t>
      </w:r>
      <w:r w:rsidR="00CD7994" w:rsidRPr="004946F6">
        <w:t xml:space="preserve">As we will see, how much the </w:t>
      </w:r>
      <w:r w:rsidR="006F2EF8" w:rsidRPr="004946F6">
        <w:t xml:space="preserve">temporal context </w:t>
      </w:r>
      <w:r w:rsidR="00F2040E" w:rsidRPr="004946F6">
        <w:t>is disrupted</w:t>
      </w:r>
      <w:r w:rsidR="006F2EF8" w:rsidRPr="004946F6">
        <w:t xml:space="preserve"> when emotional and neutral items alternate</w:t>
      </w:r>
      <w:r w:rsidR="00CD7994" w:rsidRPr="004946F6">
        <w:t xml:space="preserve"> substantially influence</w:t>
      </w:r>
      <w:r w:rsidR="004C3E9A" w:rsidRPr="004946F6">
        <w:t>s</w:t>
      </w:r>
      <w:r w:rsidR="00CD7994" w:rsidRPr="004946F6">
        <w:t xml:space="preserve"> </w:t>
      </w:r>
      <w:r w:rsidR="00410F6F">
        <w:t>eCMR’s</w:t>
      </w:r>
      <w:r w:rsidR="00CD7994" w:rsidRPr="004946F6">
        <w:t xml:space="preserve"> </w:t>
      </w:r>
      <w:r w:rsidR="002B0F07" w:rsidRPr="004946F6">
        <w:t>prediction</w:t>
      </w:r>
      <w:r w:rsidR="00CD7994" w:rsidRPr="004946F6">
        <w:t>s</w:t>
      </w:r>
      <w:r w:rsidR="002361B3" w:rsidRPr="004946F6">
        <w:t>.</w:t>
      </w:r>
      <w:r w:rsidR="00CD7994" w:rsidRPr="004946F6">
        <w:t xml:space="preserve"> I</w:t>
      </w:r>
      <w:r w:rsidR="006F2EF8" w:rsidRPr="004946F6">
        <w:t xml:space="preserve">n keeping with CMR, </w:t>
      </w:r>
      <w:r w:rsidR="00CD7994" w:rsidRPr="004946F6">
        <w:t xml:space="preserve">in section 2 we assume that such disruption occurs, </w:t>
      </w:r>
      <w:r w:rsidR="00D10E0D" w:rsidRPr="004946F6">
        <w:t>albeit</w:t>
      </w:r>
      <w:r w:rsidR="00CD7994" w:rsidRPr="004946F6">
        <w:t xml:space="preserve"> subtl</w:t>
      </w:r>
      <w:r w:rsidR="00D10E0D" w:rsidRPr="004946F6">
        <w:t>y, while in section 5 we examined the impact of a substantial disruption</w:t>
      </w:r>
      <w:r w:rsidR="008D11B0" w:rsidRPr="004946F6">
        <w:t xml:space="preserve">. </w:t>
      </w:r>
      <w:r w:rsidR="00B01DAC" w:rsidRPr="004946F6">
        <w:t>In summary</w:t>
      </w:r>
      <w:r w:rsidR="00AC4E7B" w:rsidRPr="004946F6">
        <w:t xml:space="preserve">, the </w:t>
      </w:r>
      <w:r w:rsidR="00EF47AE" w:rsidRPr="004946F6">
        <w:rPr>
          <w:i/>
          <w:iCs/>
        </w:rPr>
        <w:t>category</w:t>
      </w:r>
      <w:r w:rsidR="00C507F3">
        <w:rPr>
          <w:i/>
          <w:iCs/>
        </w:rPr>
        <w:t>-only</w:t>
      </w:r>
      <w:r w:rsidR="00AC4E7B" w:rsidRPr="004946F6">
        <w:rPr>
          <w:i/>
          <w:iCs/>
        </w:rPr>
        <w:t xml:space="preserve"> variant</w:t>
      </w:r>
      <w:r w:rsidR="00AC4E7B" w:rsidRPr="004946F6">
        <w:t xml:space="preserve"> of eCMR </w:t>
      </w:r>
      <w:r w:rsidR="00B42D93" w:rsidRPr="004946F6">
        <w:t xml:space="preserve">in Simulation 1 </w:t>
      </w:r>
      <w:r w:rsidR="00AC4E7B" w:rsidRPr="004946F6">
        <w:t>is very similar to CMR but uses emotionality as an internal source feature of items</w:t>
      </w:r>
      <w:r w:rsidR="00CD7994" w:rsidRPr="004946F6">
        <w:t xml:space="preserve"> and a low</w:t>
      </w:r>
      <w:r w:rsidR="002361B3" w:rsidRPr="004946F6">
        <w:t>er</w:t>
      </w:r>
      <w:r w:rsidR="00CD7994" w:rsidRPr="004946F6">
        <w:t xml:space="preserve"> level of temporal context disruption </w:t>
      </w:r>
      <w:r w:rsidR="002361B3" w:rsidRPr="004946F6">
        <w:t>with a change in task</w:t>
      </w:r>
      <w:r w:rsidR="00AC4E7B" w:rsidRPr="004946F6">
        <w:t xml:space="preserve">. </w:t>
      </w:r>
    </w:p>
    <w:p w14:paraId="779B0963" w14:textId="77777777" w:rsidR="0020321A" w:rsidRPr="004946F6" w:rsidRDefault="0020321A" w:rsidP="009F2C49">
      <w:pPr>
        <w:spacing w:line="480" w:lineRule="auto"/>
        <w:jc w:val="both"/>
      </w:pPr>
    </w:p>
    <w:p w14:paraId="11C404B1" w14:textId="77777777" w:rsidR="005D5C1C" w:rsidRPr="004946F6" w:rsidRDefault="005D5C1C" w:rsidP="00AF6131">
      <w:pPr>
        <w:spacing w:line="480" w:lineRule="auto"/>
        <w:jc w:val="both"/>
        <w:rPr>
          <w:b/>
          <w:bCs/>
          <w:i/>
          <w:iCs/>
        </w:rPr>
      </w:pPr>
      <w:r w:rsidRPr="004946F6">
        <w:rPr>
          <w:b/>
          <w:bCs/>
          <w:i/>
          <w:iCs/>
        </w:rPr>
        <w:t>1</w:t>
      </w:r>
      <w:r w:rsidR="006F2EF8" w:rsidRPr="004946F6">
        <w:rPr>
          <w:b/>
          <w:bCs/>
          <w:i/>
          <w:iCs/>
        </w:rPr>
        <w:t>.3.2</w:t>
      </w:r>
      <w:r w:rsidRPr="004946F6">
        <w:rPr>
          <w:b/>
          <w:bCs/>
          <w:i/>
          <w:iCs/>
        </w:rPr>
        <w:t xml:space="preserve"> The attention</w:t>
      </w:r>
      <w:r w:rsidR="00CF0361" w:rsidRPr="004946F6">
        <w:rPr>
          <w:b/>
          <w:bCs/>
          <w:i/>
          <w:iCs/>
        </w:rPr>
        <w:t>-</w:t>
      </w:r>
      <w:r w:rsidR="004F6ADB" w:rsidRPr="004946F6">
        <w:rPr>
          <w:b/>
          <w:bCs/>
          <w:i/>
          <w:iCs/>
        </w:rPr>
        <w:t>category</w:t>
      </w:r>
      <w:r w:rsidRPr="004946F6">
        <w:rPr>
          <w:b/>
          <w:bCs/>
          <w:i/>
          <w:iCs/>
        </w:rPr>
        <w:t xml:space="preserve"> variant of eCMR</w:t>
      </w:r>
    </w:p>
    <w:p w14:paraId="27F4B92B" w14:textId="01322262" w:rsidR="00FD1FDF" w:rsidRPr="004946F6" w:rsidRDefault="00360674">
      <w:pPr>
        <w:spacing w:line="480" w:lineRule="auto"/>
        <w:jc w:val="both"/>
      </w:pPr>
      <w:r>
        <w:t>This variant subsumes the category-only variant but allows emotion to mod</w:t>
      </w:r>
      <w:r w:rsidR="00410F6F">
        <w:t>ulate attention during encoding</w:t>
      </w:r>
      <w:r>
        <w:t>.</w:t>
      </w:r>
      <w:r w:rsidR="00410F6F">
        <w:t xml:space="preserve"> E</w:t>
      </w:r>
      <w:r w:rsidR="0061474C" w:rsidRPr="004946F6">
        <w:t>motional</w:t>
      </w:r>
      <w:r w:rsidR="002361B3" w:rsidRPr="004946F6">
        <w:t>ly-arous</w:t>
      </w:r>
      <w:r w:rsidR="00410F6F">
        <w:t>al</w:t>
      </w:r>
      <w:r w:rsidR="001C67F8" w:rsidRPr="004946F6">
        <w:t xml:space="preserve"> </w:t>
      </w:r>
      <w:r w:rsidR="00666752" w:rsidRPr="004946F6">
        <w:t xml:space="preserve">enhances </w:t>
      </w:r>
      <w:r w:rsidR="00747C0E" w:rsidRPr="004946F6">
        <w:t>attentional</w:t>
      </w:r>
      <w:r w:rsidR="00292E92" w:rsidRPr="004946F6">
        <w:t xml:space="preserve"> sel</w:t>
      </w:r>
      <w:r w:rsidR="000E6277" w:rsidRPr="004946F6">
        <w:t>ection</w:t>
      </w:r>
      <w:r w:rsidR="00292E92" w:rsidRPr="004946F6">
        <w:t>,</w:t>
      </w:r>
      <w:r w:rsidR="001C67F8" w:rsidRPr="004946F6">
        <w:t xml:space="preserve"> </w:t>
      </w:r>
      <w:r w:rsidR="000E6277" w:rsidRPr="004946F6">
        <w:t>modulation and vigilance</w:t>
      </w:r>
      <w:r w:rsidR="001C67F8" w:rsidRPr="004946F6">
        <w:t xml:space="preserve"> </w:t>
      </w:r>
      <w:r w:rsidR="00307976" w:rsidRPr="004946F6">
        <w:fldChar w:fldCharType="begin" w:fldLock="1"/>
      </w:r>
      <w:r w:rsidR="008C25E5" w:rsidRPr="004946F6">
        <w:instrText>ADDIN CSL_CITATION { "citationItems" : [ { "id" : "ITEM-1", "itemData" : { "DOI" : "10.1146/annurev.psych.093008.100427", "ISBN" : "1545-2085 (Electronic)\\n0066-4308 (Linking)", "ISSN" : "1545-2085", "PMID" : "19575619", "abstract" : "Attention is a core property of all perceptual and cognitive operations. Given limited capacity to process competing options, attentional mechanisms select, modulate, and sustain focus on information most relevant for behavior. A significant problem, however, is that attention is so ubiquitous that it is unwieldy to study. We propose a taxonomy based on the types of information that attention operates over\u2014the targets of attention. At the broadest level, the taxonomy distinguishes between external attention and internal attention. External attention refers to the selection and modulation of sensory information. External attention selects locations in space, points in time, or modality-specific input. Such perceptual attention can also select features defined across any of these dimensions, or object representations that integrate over space, time, and modality. Internal attention refers to the selection, modulation, and maintenance of internally generated information, such as task rules, responses, long-t...", "author" : [ { "dropping-particle" : "", "family" : "Golomb", "given" : "Julie", "non-dropping-particle" : "", "parse-names" : false, "suffix" : "" }, { "dropping-particle" : "", "family" : "Turk-Browne", "given" : "Nicholas B", "non-dropping-particle" : "", "parse-names" : false, "suffix" : "" }, { "dropping-particle" : "", "family" : "Chun", "given" : "M", "non-dropping-particle" : "", "parse-names" : false, "suffix" : "" } ], "container-title" : "Dx.Doi.Org.Proxy.Lib.Ohio-State.Edu", "id" : "ITEM-1", "issue" : "1", "issued" : { "date-parts" : [ [ "2010" ] ] }, "page" : "73-101", "title" : "A Taxonomy of External and Internal Attention", "type" : "article-journal", "volume" : "62" }, "uris" : [ "http://www.mendeley.com/documents/?uuid=80cc69a3-d9e3-4e33-a9eb-b12424f722a5" ] } ], "mendeley" : { "formattedCitation" : "(Golomb, Turk-Browne, &amp; Chun, 2010)", "plainTextFormattedCitation" : "(Golomb, Turk-Browne, &amp; Chun, 2010)", "previouslyFormattedCitation" : "(Golomb, Turk-Browne, &amp; Chun, 2010)" }, "properties" : { "noteIndex" : 0 }, "schema" : "https://github.com/citation-style-language/schema/raw/master/csl-citation.json" }</w:instrText>
      </w:r>
      <w:r w:rsidR="00307976" w:rsidRPr="004946F6">
        <w:fldChar w:fldCharType="separate"/>
      </w:r>
      <w:r w:rsidR="00EF5E2B" w:rsidRPr="004946F6">
        <w:rPr>
          <w:noProof/>
        </w:rPr>
        <w:t>(Golomb, Turk-Browne, &amp; Chun, 2010)</w:t>
      </w:r>
      <w:r w:rsidR="00307976" w:rsidRPr="004946F6">
        <w:fldChar w:fldCharType="end"/>
      </w:r>
      <w:r w:rsidR="00307976" w:rsidRPr="004946F6">
        <w:t xml:space="preserve">. </w:t>
      </w:r>
      <w:r w:rsidR="00B1655D" w:rsidRPr="004946F6">
        <w:t xml:space="preserve">For example, </w:t>
      </w:r>
      <w:r w:rsidR="00B01DAC" w:rsidRPr="004946F6">
        <w:t xml:space="preserve">autonomic arousal or </w:t>
      </w:r>
      <w:r w:rsidR="00B1655D" w:rsidRPr="004946F6">
        <w:t xml:space="preserve">visual attention to objects that have been previously presented on emotional backgrounds is enhanced even when those emotional backgrounds are no longer there </w:t>
      </w:r>
      <w:r w:rsidR="00B1655D" w:rsidRPr="004946F6">
        <w:fldChar w:fldCharType="begin" w:fldLock="1"/>
      </w:r>
      <w:r w:rsidR="008C25E5" w:rsidRPr="004946F6">
        <w:instrText>ADDIN CSL_CITATION { "citationItems" : [ { "id" : "ITEM-1", "itemData" : { "DOI" : "10.1111/ejn.13319", "ISSN" : "14609568", "PMID" : "27337689", "abstract" : "The ability to associate neutral stimuli with motivationally relevant outcomes is an important survival strategy. In this study, we used event-related potentials (ERPs) to investigate brain dynamics of associative emotional learning when participants were confronted with multiple heterogeneous information. Participants viewed 144 different objects in the context of 144 different emotional and neutral background scenes. During each trial, neutral objects were shown in isolation and then paired with the background scene. All pairings were presented twice to compare ERPs in response to neutral objects before and after single association. After single pairing, neutral objects previously encoded in the context of emotional scenes evoked a larger P100 over occipital electrodes compared to objects that were previously paired with neutral scenes. Likewise, larger late positive potentials (LPPs) were observed over parieto-occipital electrodes (450-750 ms) for objects previously associated with emotional relative to neutral contexts. The LPP - but not P100 - enhancement was also related to subjective object/context binding. Taken together, our ERP data provide evidence for fast emotional associative learning, as reflected by heightened perceptual and sustained elaborative processing for neutral information previously encountered in emotional contexts. These findings could assist in understanding binding mechanisms in stress and anxiety, as well as in addiction and eating-related disorders.", "author" : [ { "dropping-particle" : "", "family" : "Ventura-Bort", "given" : "C", "non-dropping-particle" : "", "parse-names" : false, "suffix" : "" }, { "dropping-particle" : "", "family" : "Low", "given" : "A", "non-dropping-particle" : "", "parse-names" : false, "suffix" : "" }, { "dropping-particle" : "", "family" : "Wendt", "given" : "J", "non-dropping-particle" : "", "parse-names" : false, "suffix" : "" }, { "dropping-particle" : "", "family" : "Dolcos", "given" : "F", "non-dropping-particle" : "", "parse-names" : false, "suffix" : "" }, { "dropping-particle" : "", "family" : "Hamm", "given" : "A O.", "non-dropping-particle" : "", "parse-names" : false, "suffix" : "" }, { "dropping-particle" : "", "family" : "Weymar", "given" : "M", "non-dropping-particle" : "", "parse-names" : false, "suffix" : "" } ], "container-title" : "European Journal of Neuroscience", "id" : "ITEM-1", "issue" : "5", "issued" : { "date-parts" : [ [ "2016" ] ] }, "page" : "2176-2183", "title" : "When neutral turns significant: brain dynamics of rapidly formed associations between neutral stimuli and emotional contexts", "type" : "article-journal", "volume" : "44" }, "uris" : [ "http://www.mendeley.com/documents/?uuid=0031a554-7c3c-4656-b1fb-90a62306782e" ] } ], "mendeley" : { "formattedCitation" : "(Ventura-Bort et al., 2016)", "plainTextFormattedCitation" : "(Ventura-Bort et al., 2016)", "previouslyFormattedCitation" : "(Ventura-Bort et al., 2016)" }, "properties" : { "noteIndex" : 0 }, "schema" : "https://github.com/citation-style-language/schema/raw/master/csl-citation.json" }</w:instrText>
      </w:r>
      <w:r w:rsidR="00B1655D" w:rsidRPr="004946F6">
        <w:fldChar w:fldCharType="separate"/>
      </w:r>
      <w:r w:rsidR="00B1655D" w:rsidRPr="004946F6">
        <w:rPr>
          <w:noProof/>
        </w:rPr>
        <w:t>(Ventura-Bort et al., 2016)</w:t>
      </w:r>
      <w:r w:rsidR="00B1655D" w:rsidRPr="004946F6">
        <w:fldChar w:fldCharType="end"/>
      </w:r>
      <w:r w:rsidR="00B1655D" w:rsidRPr="004946F6">
        <w:t xml:space="preserve">. </w:t>
      </w:r>
      <w:r w:rsidR="003806B9" w:rsidRPr="004946F6">
        <w:t>A</w:t>
      </w:r>
      <w:r w:rsidR="00B1655D" w:rsidRPr="004946F6">
        <w:t>llocation of attention to emotional stimuli</w:t>
      </w:r>
      <w:r w:rsidR="003806B9" w:rsidRPr="004946F6">
        <w:t xml:space="preserve"> is driven by the amygdala and results in enhanced sensory processing downstream,</w:t>
      </w:r>
      <w:r w:rsidR="00B1655D" w:rsidRPr="004946F6">
        <w:t xml:space="preserve"> </w:t>
      </w:r>
      <w:r w:rsidR="003806B9" w:rsidRPr="004946F6">
        <w:t xml:space="preserve">a mechanism which is </w:t>
      </w:r>
      <w:r w:rsidR="00FD1FDF" w:rsidRPr="004946F6">
        <w:t xml:space="preserve">distinct from </w:t>
      </w:r>
      <w:r w:rsidR="00F43EE8" w:rsidRPr="004946F6">
        <w:t>(direct)</w:t>
      </w:r>
      <w:r w:rsidR="00FD1FDF" w:rsidRPr="004946F6">
        <w:t xml:space="preserve"> stimulus-driven </w:t>
      </w:r>
      <w:r w:rsidR="00F43EE8" w:rsidRPr="004946F6">
        <w:t xml:space="preserve">effects </w:t>
      </w:r>
      <w:r w:rsidR="00FD1FDF" w:rsidRPr="004946F6">
        <w:t xml:space="preserve">or strategic top-down effects </w:t>
      </w:r>
      <w:r w:rsidR="00FD1FDF" w:rsidRPr="004946F6">
        <w:fldChar w:fldCharType="begin" w:fldLock="1"/>
      </w:r>
      <w:r w:rsidR="008C25E5" w:rsidRPr="004946F6">
        <w:instrText>ADDIN CSL_CITATION { "citationItems" : [ { "id" : "ITEM-1", "itemData" : { "DOI" : "10.1016/j.biopsycho.2012.02.007", "ISBN" : "0301-0511", "ISSN" : "03010511", "PMID" : "22373657", "abstract" : "The rapid and efficient selection of emotionally salient or goal-relevant stimuli in the environment is crucial for flexible and adaptive behaviors. Converging data from neuroscience and psychology have accrued during the last decade to identify brain systems involved in emotion processing, selective attention, and their interaction, which together act to extract the emotional or motivational value of sensory events and respond appropriately. An important hub in these systems is the amygdala, which may not only monitor the emotional value of stimuli, but also readily project to several other areas and send feedback to sensory pathways (including striate and extrastriate visual cortex). This system generates saliency signals that modulate perceptual, motor, as well as memory processes, and thus in turn regulate behavior appropriately. Here, we review our current views on the function and properties of these brain systems, with an emphasis on their involvement in the rapid and/or preferential processing of threat-relevant stimuli. We suggest that emotion signals may enhance processing efficiency and competitive strength of emotionally significant events through gain control mechanisms similar to those of other (e.g. endogenous) attentional systems, but mediated by distinct neural mechanisms in amygdala and interconnected prefrontal areas. Alterations in these brain mechanisms might be associated with psychopathological conditions, such as anxiety or phobia. We conclude that attention selection and awareness are determined by multiple attention gain control systems that may operate in parallel and use different sensory cues but act on a common perceptual pathway. ?? 2012 Elsevier B.V.", "author" : [ { "dropping-particle" : "", "family" : "Pourtois", "given" : "Gilles", "non-dropping-particle" : "", "parse-names" : false, "suffix" : "" }, { "dropping-particle" : "", "family" : "Schettino", "given" : "Antonio", "non-dropping-particle" : "", "parse-names" : false, "suffix" : "" }, { "dropping-particle" : "", "family" : "Vuilleumier", "given" : "Patrik", "non-dropping-particle" : "", "parse-names" : false, "suffix" : "" } ], "container-title" : "Biological Psychology", "id" : "ITEM-1", "issue" : "3", "issued" : { "date-parts" : [ [ "2013" ] ] }, "page" : "492-512", "title" : "Brain mechanisms for emotional influences on perception and attention: What is magic and what is not", "type" : "article", "volume" : "92" }, "uris" : [ "http://www.mendeley.com/documents/?uuid=5c8e27ac-8fbb-4186-8a73-bf6394acc8bb" ] } ], "mendeley" : { "formattedCitation" : "(Pourtois, Schettino, &amp; Vuilleumier, 2013)", "plainTextFormattedCitation" : "(Pourtois, Schettino, &amp; Vuilleumier, 2013)", "previouslyFormattedCitation" : "(Pourtois, Schettino, &amp; Vuilleumier, 2013)" }, "properties" : { "noteIndex" : 0 }, "schema" : "https://github.com/citation-style-language/schema/raw/master/csl-citation.json" }</w:instrText>
      </w:r>
      <w:r w:rsidR="00FD1FDF" w:rsidRPr="004946F6">
        <w:fldChar w:fldCharType="separate"/>
      </w:r>
      <w:r w:rsidR="00EF5E2B" w:rsidRPr="004946F6">
        <w:rPr>
          <w:noProof/>
        </w:rPr>
        <w:t>(Pourtois, Schettino, &amp; Vuilleumier, 2013)</w:t>
      </w:r>
      <w:r w:rsidR="00FD1FDF" w:rsidRPr="004946F6">
        <w:fldChar w:fldCharType="end"/>
      </w:r>
      <w:r w:rsidR="00FD1FDF" w:rsidRPr="004946F6">
        <w:t xml:space="preserve">. The </w:t>
      </w:r>
      <w:r w:rsidR="00B1655D" w:rsidRPr="004946F6">
        <w:t xml:space="preserve">mechanism involves </w:t>
      </w:r>
      <w:r w:rsidR="00FD1FDF" w:rsidRPr="004946F6">
        <w:t>amygdala</w:t>
      </w:r>
      <w:r w:rsidR="00B1655D" w:rsidRPr="004946F6">
        <w:t xml:space="preserve">-dependent </w:t>
      </w:r>
      <w:r w:rsidR="00FD1FDF" w:rsidRPr="004946F6">
        <w:t>activat</w:t>
      </w:r>
      <w:r w:rsidR="00B1655D" w:rsidRPr="004946F6">
        <w:t>ion of</w:t>
      </w:r>
      <w:r w:rsidR="00FD1FDF" w:rsidRPr="004946F6">
        <w:t xml:space="preserve"> the </w:t>
      </w:r>
      <w:r w:rsidR="00666752" w:rsidRPr="004946F6">
        <w:t>locus co</w:t>
      </w:r>
      <w:r w:rsidR="00B85C6C" w:rsidRPr="004946F6">
        <w:t>e</w:t>
      </w:r>
      <w:r w:rsidR="00666752" w:rsidRPr="004946F6">
        <w:t>r</w:t>
      </w:r>
      <w:r w:rsidR="00B85C6C" w:rsidRPr="004946F6">
        <w:t>u</w:t>
      </w:r>
      <w:r w:rsidR="00666752" w:rsidRPr="004946F6">
        <w:t>leus</w:t>
      </w:r>
      <w:r w:rsidR="00FD1FDF" w:rsidRPr="004946F6">
        <w:t xml:space="preserve">, where noradrenergic neurons increase the neural gain </w:t>
      </w:r>
      <w:r w:rsidR="00666752" w:rsidRPr="004946F6">
        <w:t>throughout the brain</w:t>
      </w:r>
      <w:r w:rsidR="00FD1FDF" w:rsidRPr="004946F6">
        <w:t xml:space="preserve"> through their wide-ranging projections </w:t>
      </w:r>
      <w:r w:rsidR="00C610D6" w:rsidRPr="004946F6">
        <w:fldChar w:fldCharType="begin" w:fldLock="1"/>
      </w:r>
      <w:r w:rsidR="008C25E5" w:rsidRPr="004946F6">
        <w:instrText>ADDIN CSL_CITATION { "citationItems" : [ { "id" : "ITEM-1", "itemData" : { "DOI" : "10.1017/S0140525X15000667", "ISBN" : "1469-1825 (Electronic)\\r0140-525X (Linking)", "ISSN" : "0140-525X", "PMID" : "26126507", "abstract" : "Existing brain-based emotion-cognition theories fail to explain arousal's ability to both enhance and impair cognitive processing. In the Glutamate Amplifies Noradrenergic Effects (GANE) model outlined in this paper, we propose that arousal-induced norepinephrine (NE) released from the locus coeruleus (LC) biases perception and memory in favor of salient, high priority representations at the expense of lower priority representations. This increase in gain under phasic arousal occurs via synaptic self-regulation of NE based on glutamate levels. When the LC is phasically active, elevated levels of glutamate at the site of prioritized representations increase local NE release, creating \u201cNE hot spots.\u201d At these local hot spots, glutamate and NE release are mutually enhancing and amplify activation of prioritized representations. This excitatory effect contrasts with widespread NE suppression of weaker representations via lateral and auto-inhibitory processes. On a broader scale, hot spots increase oscillatory synchronization across neural ensembles transmitting high priority information. Furthermore, key brain structures that detect or pre-determine stimulus priority interact with phasic NE release to preferentially route such information through large-scale functional brain networks. A surge of NE before, during or after encoding enhances synaptic plasticity at sites of high glutamate activity, triggering local protein synthesis processes that enhance selective memory consolidation. Together, these noradrenergic mechanisms increase perceptual and memory selectivity under arousal. Beyond explaining discrepancies in the emotion-cognition literature, GANE reconciles and extends previous influential theories of LC neuromodulation by highlighting how NE can produce such different outcomes in processing based on priority.", "author" : [ { "dropping-particle" : "", "family" : "Mather", "given" : "Mara", "non-dropping-particle" : "", "parse-names" : false, "suffix" : "" }, { "dropping-particle" : "", "family" : "Clewett", "given" : "David", "non-dropping-particle" : "", "parse-names" : false, "suffix" : "" }, { "dropping-particle" : "", "family" : "Sakaki", "given" : "Michiko", "non-dropping-particle" : "", "parse-names" : false, "suffix" : "" }, { "dropping-particle" : "", "family" : "Harley", "given" : "Carolyn W", "non-dropping-particle" : "", "parse-names" : false, "suffix" : "" } ], "container-title" : "Behavioral and Brain Sciences", "id" : "ITEM-1", "issue" : "June", "issued" : { "date-parts" : [ [ "2015" ] ] }, "page" : "1-100", "title" : "Norepinephrine ignites local hot spots of neuronal excitation: How arousal amplifies selectivity in perception and memory", "type" : "article-journal" }, "uris" : [ "http://www.mendeley.com/documents/?uuid=ff7fa74a-ac48-4f5c-aa27-01f0e454fffd" ] } ], "mendeley" : { "formattedCitation" : "(Mather et al., 2015)", "plainTextFormattedCitation" : "(Mather et al., 2015)", "previouslyFormattedCitation" : "(Mather et al., 2015)" }, "properties" : { "noteIndex" : 0 }, "schema" : "https://github.com/citation-style-language/schema/raw/master/csl-citation.json" }</w:instrText>
      </w:r>
      <w:r w:rsidR="00C610D6" w:rsidRPr="004946F6">
        <w:fldChar w:fldCharType="separate"/>
      </w:r>
      <w:r w:rsidR="00022209" w:rsidRPr="004946F6">
        <w:rPr>
          <w:noProof/>
        </w:rPr>
        <w:t>(Mather et al., 2015)</w:t>
      </w:r>
      <w:r w:rsidR="00C610D6" w:rsidRPr="004946F6">
        <w:fldChar w:fldCharType="end"/>
      </w:r>
      <w:r w:rsidR="00FD1FDF" w:rsidRPr="004946F6">
        <w:t>.</w:t>
      </w:r>
      <w:r w:rsidR="00666752" w:rsidRPr="004946F6">
        <w:t xml:space="preserve"> </w:t>
      </w:r>
      <w:r w:rsidR="002361B3" w:rsidRPr="004946F6">
        <w:t>B</w:t>
      </w:r>
      <w:r w:rsidR="00C62F1A" w:rsidRPr="004946F6">
        <w:t xml:space="preserve">ased on </w:t>
      </w:r>
      <w:r w:rsidR="00CD10C2" w:rsidRPr="004946F6">
        <w:t>the consensus in the literature</w:t>
      </w:r>
      <w:r w:rsidR="002361B3" w:rsidRPr="004946F6">
        <w:t xml:space="preserve"> eCMR assumes</w:t>
      </w:r>
      <w:r w:rsidR="007F419B" w:rsidRPr="004946F6">
        <w:t xml:space="preserve"> that stimuli </w:t>
      </w:r>
      <w:r w:rsidR="002361B3" w:rsidRPr="004946F6">
        <w:t>with an</w:t>
      </w:r>
      <w:r w:rsidR="007512FD" w:rsidRPr="004946F6">
        <w:t xml:space="preserve"> ‘emotional’ item feature </w:t>
      </w:r>
      <w:r w:rsidR="007F419B" w:rsidRPr="004946F6">
        <w:t>attract attention preferentially</w:t>
      </w:r>
      <w:r w:rsidR="003806B9" w:rsidRPr="004946F6">
        <w:t xml:space="preserve">, </w:t>
      </w:r>
      <w:r w:rsidR="002361B3" w:rsidRPr="004946F6">
        <w:t xml:space="preserve">although of course, </w:t>
      </w:r>
      <w:r w:rsidR="003806B9" w:rsidRPr="004946F6">
        <w:t>in reality there is variability in the degree of attention allocated to specific emotional stimuli</w:t>
      </w:r>
      <w:r w:rsidR="007F419B" w:rsidRPr="004946F6">
        <w:t xml:space="preserve">. </w:t>
      </w:r>
    </w:p>
    <w:p w14:paraId="60D18F2F" w14:textId="5F2E2A57" w:rsidR="004C3E9A" w:rsidRPr="004946F6" w:rsidRDefault="00EF5E2B">
      <w:pPr>
        <w:spacing w:line="480" w:lineRule="auto"/>
        <w:jc w:val="both"/>
        <w:rPr>
          <w:b/>
          <w:bCs/>
        </w:rPr>
      </w:pPr>
      <w:r w:rsidRPr="004946F6">
        <w:t xml:space="preserve">In retrieved context models such as CMR, CMR2 and TCM-A </w:t>
      </w:r>
      <w:r w:rsidRPr="004946F6">
        <w:fldChar w:fldCharType="begin" w:fldLock="1"/>
      </w:r>
      <w:r w:rsidR="008C25E5" w:rsidRPr="004946F6">
        <w:instrText>ADDIN CSL_CITATION { "citationItems" : [ { "id" : "ITEM-1", "itemData" : { "DOI" : "10.1037/a0039036", "ISSN" : "0033295X", "PMID" : "25844876", "abstract" : "The human memory system is remarkable in its capacity to focus its search on items learned in a given context. This capacity can be so precise that many leading models of human memory assume that only those items learned in the context of a recently studied list compete for recall. We sought to extend the explanatory scope of these models to include not only intralist phenomena, such as primacy and recency effects, but also interlist phenomena such as proactive and retroactive interference. Building on retrieved temporal context models of memory search (e.g., Polyn, Norman, &amp; Kahana, 2009), we present a substantially revised theory in which memory accumulates across multiple experimental lists, and temporal context is used both to focus retrieval on a target list, and to censor retrieved information when its match to the current context indicates that it was learned in a nontarget list. We show how the resulting model can simultaneously account for a wide range of intralist and interlist phenomena, including the pattern of prior-list intrusions observed in free recall, build-up of and release from proactive interference, and the ability to selectively target retrieval of items on specific prior lists (Jang &amp; Huber, 2008; Shiffrin, 1970). In a new experiment, we verify that subjects\u2019 error monitoring processes are consistent with those predicted by the model.", "author" : [ { "dropping-particle" : "", "family" : "Lohnas", "given" : "Lynn J", "non-dropping-particle" : "", "parse-names" : false, "suffix" : "" }, { "dropping-particle" : "", "family" : "Polyn", "given" : "Sean M", "non-dropping-particle" : "", "parse-names" : false, "suffix" : "" }, { "dropping-particle" : "", "family" : "Kahana", "given" : "Michael Jacob", "non-dropping-particle" : "", "parse-names" : false, "suffix" : "" } ], "container-title" : "Psychological Review", "id" : "ITEM-1", "issue" : "2", "issued" : { "date-parts" : [ [ "2015" ] ] }, "page" : "337-363", "title" : "Expanding the Scope of Memory Search: Modeling Intralist and Interlist Effects in Free Recall", "type" : "article-journal", "volume" : "122" }, "uris" : [ "http://www.mendeley.com/documents/?uuid=e1456abe-962f-46fa-9814-1941586b7e2b" ] }, { "id" : "ITEM-2", "itemData" : { "DOI" : "10.1037/a0014420.A", "author" : [ { "dropping-particle" : "", "family" : "Polyn", "given" : "Sean M", "non-dropping-particle" : "", "parse-names" : false, "suffix" : "" }, { "dropping-particle" : "", "family" : "Norman", "given" : "Kenneth A", "non-dropping-particle" : "", "parse-names" : false, "suffix" : "" }, { "dropping-particle" : "", "family" : "Kahana", "given" : "Michael J", "non-dropping-particle" : "", "parse-names" : false, "suffix" : "" } ], "id" : "ITEM-2", "issue" : "1", "issued" : { "date-parts" : [ [ "2009" ] ] }, "page" : "129-156", "title" : "A context maintenance and retrieval model of organizational processes in free recall", "type" : "article-journal", "volume" : "116" }, "uris" : [ "http://www.mendeley.com/documents/?uuid=332b768b-157f-44b6-b42c-04445440d695" ] }, { "id" : "ITEM-3", "itemData" : { "DOI" : "10.1037/a0013396.A", "author" : [ { "dropping-particle" : "", "family" : "Sederberg", "given" : "P B", "non-dropping-particle" : "", "parse-names" : false, "suffix" : "" }, { "dropping-particle" : "", "family" : "Howard", "given" : "M W", "non-dropping-particle" : "", "parse-names" : false, "suffix" : "" }, { "dropping-particle" : "", "family" : "Kahana", "given" : "M J", "non-dropping-particle" : "", "parse-names" : false, "suffix" : "" } ], "id" : "ITEM-3", "issue" : "4", "issued" : { "date-parts" : [ [ "2008" ] ] }, "page" : "893-912", "title" : "A context-based theory of recency and contiguity in free recall", "type" : "article-journal", "volume" : "115" }, "uris" : [ "http://www.mendeley.com/documents/?uuid=20c66708-35d7-45d1-988a-40c72b11bc77" ] } ], "mendeley" : { "formattedCitation" : "(Lohnas et al., 2015; Polyn et al., 2009; Sederberg et al., 2008)", "plainTextFormattedCitation" : "(Lohnas et al., 2015; Polyn et al., 2009; Sederberg et al., 2008)", "previouslyFormattedCitation" : "(Lohnas et al., 2015; Polyn et al., 2009; Sederberg et al., 2008)" }, "properties" : { "noteIndex" : 0 }, "schema" : "https://github.com/citation-style-language/schema/raw/master/csl-citation.json" }</w:instrText>
      </w:r>
      <w:r w:rsidRPr="004946F6">
        <w:fldChar w:fldCharType="separate"/>
      </w:r>
      <w:r w:rsidR="00A670A8" w:rsidRPr="004946F6">
        <w:rPr>
          <w:noProof/>
        </w:rPr>
        <w:t>(Lohnas et al., 2015; Polyn et al., 2009; Sederberg et al., 2008)</w:t>
      </w:r>
      <w:r w:rsidRPr="004946F6">
        <w:fldChar w:fldCharType="end"/>
      </w:r>
      <w:r w:rsidRPr="004946F6">
        <w:t xml:space="preserve">, increased attention to early stimuli in the study list has been implemented by strengthening the associations between items and their </w:t>
      </w:r>
      <w:r w:rsidR="004C3E9A" w:rsidRPr="004946F6">
        <w:t xml:space="preserve">temporal </w:t>
      </w:r>
      <w:r w:rsidRPr="004946F6">
        <w:t xml:space="preserve">contexts. </w:t>
      </w:r>
      <w:r w:rsidR="00A962C9" w:rsidRPr="004946F6">
        <w:t xml:space="preserve">This is </w:t>
      </w:r>
      <w:r w:rsidR="00F0649A" w:rsidRPr="004946F6">
        <w:t xml:space="preserve">accomplished by </w:t>
      </w:r>
      <w:r w:rsidR="00A962C9" w:rsidRPr="004946F6">
        <w:t xml:space="preserve">modulating the step-size or learning rate parameter on encoding these items, itself a standard mechanism to capture competitive attentional effects in associative learning theories more generally </w:t>
      </w:r>
      <w:r w:rsidR="00A962C9" w:rsidRPr="004946F6">
        <w:fldChar w:fldCharType="begin" w:fldLock="1"/>
      </w:r>
      <w:r w:rsidR="008C25E5" w:rsidRPr="004946F6">
        <w:instrText>ADDIN CSL_CITATION { "citationItems" : [ { "id" : "ITEM-1", "itemData" : { "DOI" : "10.1038/81504", "ISBN" : "1097-6256", "ISSN" : "1097-6256", "PMID" : "11127841", "abstract" : "Selective attention involves the differential processing of different stimuli, and has widespread psychological and neural consequences. Although computational modeling should offer a powerful way of linking observable phenomena at different levels, most work has focused on the relatively narrow issue of constraints on processing resources. By contrast, we consider statistical and informational aspects of selective attention, divorced from resource constraints, which are evident in animal conditioning experiments involving uncertain predictions and unreliable stimuli. Neuromodulatory systems and limbic structures are known to underlie attentional effects in such tasks.", "author" : [ { "dropping-particle" : "", "family" : "Dayan", "given" : "P", "non-dropping-particle" : "", "parse-names" : false, "suffix" : "" }, { "dropping-particle" : "", "family" : "Kakade", "given" : "S", "non-dropping-particle" : "", "parse-names" : false, "suffix" : "" }, { "dropping-particle" : "", "family" : "Montague", "given" : "P R", "non-dropping-particle" : "", "parse-names" : false, "suffix" : "" } ], "container-title" : "Nature Neuroscience", "id" : "ITEM-1", "issue" : "Supp", "issued" : { "date-parts" : [ [ "2000" ] ] }, "page" : "1218-1223", "title" : "Learning and selective attention.", "type" : "article-journal", "volume" : "3 Suppl" }, "uris" : [ "http://www.mendeley.com/documents/?uuid=4ca85fb9-4c59-48ba-a72d-8dc82234078b" ] }, { "id" : "ITEM-2", "itemData" : { "DOI" : "10.1037/0033-295X.87.6.532", "ISBN" : "1939-1471 (Electronic); 0033-295X (Print)", "ISSN" : "0033-295X", "PMID" : "7443916", "abstract" : "Several formal models of excitatory classical conditioning are reviewed. It is suggested that a central problem for all of them is the explanation of cases in which learning does not occur in spite of the fact that the conditioned stimulus is a signal for the reinforcer. We propose a new model that deals with this problem by specifying that certain procedures cause a conditioned stimulus (CS) to lose effectiveness; in particular, we argue that a CS will lose associ-ability when its consequences are accurately predicted. In contrast to other current models, the effectiveness of the reinforcer remains constant throughout conditioning. The second part of the article presents a reformulation of the nature of the learning produced by inhibitory-conditioning procedures and a discussion of the way in which such learning can be accommodated within the model outlined for excitatory learning.", "author" : [ { "dropping-particle" : "", "family" : "Pearce", "given" : "John M", "non-dropping-particle" : "", "parse-names" : false, "suffix" : "" }, { "dropping-particle" : "", "family" : "Hall", "given" : "Geoffrey", "non-dropping-particle" : "", "parse-names" : false, "suffix" : "" } ], "container-title" : "Psychological Review", "id" : "ITEM-2", "issue" : "6", "issued" : { "date-parts" : [ [ "1980" ] ] }, "page" : "532-552", "title" : "A model for Pavlovian learning: Variations in the effectiveness of conditioned but not of unconditioned stimuli.", "type" : "article-journal", "volume" : "87" }, "uris" : [ "http://www.mendeley.com/documents/?uuid=d3cd2199-aa0f-440e-b7e4-7e141b1a893a" ] } ], "mendeley" : { "formattedCitation" : "(Dayan, Kakade, &amp; Montague, 2000; Pearce &amp; Hall, 1980)", "plainTextFormattedCitation" : "(Dayan, Kakade, &amp; Montague, 2000; Pearce &amp; Hall, 1980)", "previouslyFormattedCitation" : "(Dayan, Kakade, &amp; Montague, 2000; Pearce &amp; Hall, 1980)" }, "properties" : { "noteIndex" : 0 }, "schema" : "https://github.com/citation-style-language/schema/raw/master/csl-citation.json" }</w:instrText>
      </w:r>
      <w:r w:rsidR="00A962C9" w:rsidRPr="004946F6">
        <w:fldChar w:fldCharType="separate"/>
      </w:r>
      <w:r w:rsidR="00A962C9" w:rsidRPr="004946F6">
        <w:rPr>
          <w:noProof/>
        </w:rPr>
        <w:t>(Dayan, Kakade, &amp; Montague, 2000; Pearce &amp; Hall, 1980)</w:t>
      </w:r>
      <w:r w:rsidR="00A962C9" w:rsidRPr="004946F6">
        <w:fldChar w:fldCharType="end"/>
      </w:r>
      <w:r w:rsidR="00A962C9" w:rsidRPr="004946F6">
        <w:t xml:space="preserve">. </w:t>
      </w:r>
      <w:r w:rsidR="00410F6F">
        <w:t>Empirically, a</w:t>
      </w:r>
      <w:r w:rsidR="00BE3468" w:rsidRPr="004946F6">
        <w:t xml:space="preserve">ttention at encoding </w:t>
      </w:r>
      <w:r w:rsidR="0063352C" w:rsidRPr="004946F6">
        <w:t>improves</w:t>
      </w:r>
      <w:r w:rsidR="00BE3468" w:rsidRPr="004946F6">
        <w:t xml:space="preserve"> recall</w:t>
      </w:r>
      <w:r w:rsidR="0063352C" w:rsidRPr="004946F6">
        <w:t xml:space="preserve">; for example, </w:t>
      </w:r>
      <w:r w:rsidR="00BE3468" w:rsidRPr="004946F6">
        <w:t xml:space="preserve">late positive potential at study, an ERP sensitive to stimulus-driven attention, </w:t>
      </w:r>
      <w:r w:rsidR="0063352C" w:rsidRPr="004946F6">
        <w:t xml:space="preserve">covaries with </w:t>
      </w:r>
      <w:r w:rsidR="00BE3468" w:rsidRPr="004946F6">
        <w:t xml:space="preserve">memory success </w:t>
      </w:r>
      <w:r w:rsidR="00BE3468" w:rsidRPr="004946F6">
        <w:fldChar w:fldCharType="begin" w:fldLock="1"/>
      </w:r>
      <w:r w:rsidR="008C25E5" w:rsidRPr="004946F6">
        <w:instrText>ADDIN CSL_CITATION { "citationItems" : [ { "id" : "ITEM-1", "itemData" : { "DOI" : "10.1007/s00221-014-4002-1", "author" : [ { "dropping-particle" : "", "family" : "Chen", "given" : "Yvonne Y.", "non-dropping-particle" : "", "parse-names" : false, "suffix" : "" }, { "dropping-particle" : "", "family" : "Lithgow", "given" : "Kirstie", "non-dropping-particle" : "", "parse-names" : false, "suffix" : "" }, { "dropping-particle" : "", "family" : "Hemmerich", "given" : "Jumjury A.", "non-dropping-particle" : "", "parse-names" : false, "suffix" : "" }, { "dropping-particle" : "", "family" : "Caplan", "given" : "Jeremy B.", "non-dropping-particle" : "", "parse-names" : false, "suffix" : "" } ], "container-title" : "Experimental Brain Research", "id" : "ITEM-1", "issue" : "10", "issued" : { "date-parts" : [ [ "2014", "10", "15" ] ] }, "page" : "3175-3190", "publisher" : "Springer Berlin Heidelberg", "title" : "Is what goes in what comes out? Encoding and retrieval event-related potentials together determine memory outcome", "type" : "article-journal", "volume" : "232" }, "uris" : [ "http://www.mendeley.com/documents/?uuid=a65ed483-2ef7-31f0-b2e9-b5f12eb3a6fc" ] } ], "mendeley" : { "formattedCitation" : "(Chen, Lithgow, Hemmerich, &amp; Caplan, 2014)", "plainTextFormattedCitation" : "(Chen, Lithgow, Hemmerich, &amp; Caplan, 2014)", "previouslyFormattedCitation" : "(Chen, Lithgow, Hemmerich, &amp; Caplan, 2014)" }, "properties" : { "noteIndex" : 0 }, "schema" : "https://github.com/citation-style-language/schema/raw/master/csl-citation.json" }</w:instrText>
      </w:r>
      <w:r w:rsidR="00BE3468" w:rsidRPr="004946F6">
        <w:fldChar w:fldCharType="separate"/>
      </w:r>
      <w:r w:rsidR="00BE3468" w:rsidRPr="004946F6">
        <w:rPr>
          <w:noProof/>
        </w:rPr>
        <w:t>(Chen, Lithgow, Hemmerich, &amp; Caplan, 2014)</w:t>
      </w:r>
      <w:r w:rsidR="00BE3468" w:rsidRPr="004946F6">
        <w:fldChar w:fldCharType="end"/>
      </w:r>
      <w:r w:rsidR="00BE3468" w:rsidRPr="004946F6">
        <w:t>.</w:t>
      </w:r>
      <w:r w:rsidR="0063352C" w:rsidRPr="004946F6">
        <w:t xml:space="preserve"> In retrieved context models the tighter binding of items to their context likewise increases the competitiveness of items during retrieval. </w:t>
      </w:r>
    </w:p>
    <w:p w14:paraId="7270694E" w14:textId="091B35EF" w:rsidR="006F2EF8" w:rsidRPr="004946F6" w:rsidRDefault="007512FD">
      <w:pPr>
        <w:spacing w:line="480" w:lineRule="auto"/>
        <w:jc w:val="both"/>
      </w:pPr>
      <w:r w:rsidRPr="004946F6">
        <w:t>Th</w:t>
      </w:r>
      <w:r w:rsidR="00ED6844" w:rsidRPr="004946F6">
        <w:t>e</w:t>
      </w:r>
      <w:r w:rsidRPr="004946F6">
        <w:t xml:space="preserve"> </w:t>
      </w:r>
      <w:r w:rsidR="004C3E9A" w:rsidRPr="004946F6">
        <w:t xml:space="preserve">implementation </w:t>
      </w:r>
      <w:r w:rsidR="00ED6844" w:rsidRPr="004946F6">
        <w:t xml:space="preserve">of attention in eCMR as increased strength of item-context associations </w:t>
      </w:r>
      <w:r w:rsidR="00410F6F">
        <w:t xml:space="preserve">corresponds to </w:t>
      </w:r>
      <w:r w:rsidRPr="004946F6">
        <w:t xml:space="preserve">evidence that </w:t>
      </w:r>
      <w:r w:rsidR="009B65DB" w:rsidRPr="004946F6">
        <w:t xml:space="preserve">emotional stimuli </w:t>
      </w:r>
      <w:r w:rsidR="002229EE" w:rsidRPr="004946F6">
        <w:t xml:space="preserve">are more tightly associated to </w:t>
      </w:r>
      <w:r w:rsidR="005D6C42" w:rsidRPr="004946F6">
        <w:t xml:space="preserve">their </w:t>
      </w:r>
      <w:r w:rsidR="009B65DB" w:rsidRPr="004946F6">
        <w:t xml:space="preserve">context. </w:t>
      </w:r>
      <w:r w:rsidR="004C3E9A" w:rsidRPr="004946F6">
        <w:t xml:space="preserve">According </w:t>
      </w:r>
      <w:r w:rsidR="003806B9" w:rsidRPr="004946F6">
        <w:t>to t</w:t>
      </w:r>
      <w:r w:rsidR="00E8478D" w:rsidRPr="004946F6">
        <w:t xml:space="preserve">he </w:t>
      </w:r>
      <w:r w:rsidR="0049616A" w:rsidRPr="004946F6">
        <w:t>priority-</w:t>
      </w:r>
      <w:r w:rsidR="00E8478D" w:rsidRPr="004946F6">
        <w:t xml:space="preserve">binding hypothesis (MacKay et al., 2004) emotional items are bound more strongly to their presentation context than neutral items. </w:t>
      </w:r>
      <w:r w:rsidR="00666752" w:rsidRPr="004946F6">
        <w:t xml:space="preserve">This </w:t>
      </w:r>
      <w:r w:rsidR="003806B9" w:rsidRPr="004946F6">
        <w:t xml:space="preserve">assertion </w:t>
      </w:r>
      <w:r w:rsidR="00666752" w:rsidRPr="004946F6">
        <w:t xml:space="preserve">is evident in that </w:t>
      </w:r>
      <w:r w:rsidR="00E8478D" w:rsidRPr="004946F6">
        <w:t xml:space="preserve">emotional items escape the attentional blink more readily </w:t>
      </w:r>
      <w:r w:rsidR="002B71C7" w:rsidRPr="004946F6">
        <w:t xml:space="preserve">– namely, they are more likely to be reported when presented in a rapid serial visual stream close to a target stimulus – </w:t>
      </w:r>
      <w:r w:rsidR="00E8478D" w:rsidRPr="004946F6">
        <w:t>because they are bound better to the</w:t>
      </w:r>
      <w:r w:rsidR="00666752" w:rsidRPr="004946F6">
        <w:t>ir encoding</w:t>
      </w:r>
      <w:r w:rsidR="00E8478D" w:rsidRPr="004946F6">
        <w:t xml:space="preserve"> context </w:t>
      </w:r>
      <w:r w:rsidR="00E8478D" w:rsidRPr="004946F6">
        <w:fldChar w:fldCharType="begin" w:fldLock="1"/>
      </w:r>
      <w:r w:rsidR="008C25E5" w:rsidRPr="004946F6">
        <w:instrText>ADDIN CSL_CITATION { "citationItems" : [ { "id" : "ITEM-1", "itemData" : { "DOI" : "10.1080/02724980443000728", "ISBN" : "0272-4987", "ISSN" : "0272-4987", "PMID" : "16365952", "abstract" : "This study reports effects of meaning and emotion (taboo vs. neutral words) on an illusory word (IW) phenomenon linked to orthographic repetition blindness (RB). Participants immediately recalled rapid serial visual presentation (RSVP) lists consisting of two critical words (C1 and C2) containing shared letters, followed by a word fragment: for example, lake (C1) brake (C2) ush (fragment). For neutral critical words, participants often recalled C1, but not C2 or the fragment, reporting instead a nonoccurring or illusory word: here, brush (a blend of C2 and the fragment). Forward RB (defined as reduced report of orthographically similar C2s) was more common for neutral than for taboo C2s, and taboo IWs were reported significantly more often than were neutral IWs. Moreover, when both C2 and the potential IW were taboo, a new phenomenon emerged: Participants reliably reported both the IW and the intact C2. These and other results supported a binding theory of the IW phenomenon and orthographic RB.", "author" : [ { "dropping-particle" : "", "family" : "Mackay", "given" : "Donald G", "non-dropping-particle" : "", "parse-names" : false, "suffix" : "" }, { "dropping-particle" : "", "family" : "Hadley", "given" : "Christopher B", "non-dropping-particle" : "", "parse-names" : false, "suffix" : "" }, { "dropping-particle" : "", "family" : "Schwartz", "given" : "Joel H", "non-dropping-particle" : "", "parse-names" : false, "suffix" : "" } ], "container-title" : "The Quarterly journal of experimental psychology. A, Human experimental psychology", "id" : "ITEM-1", "issue" : "8", "issued" : { "date-parts" : [ [ "2005" ] ] }, "page" : "1514-1533", "title" : "Relations between emotion, illusory word perception, and orthographic repetition blindness: tests of binding theory.", "type" : "article-journal", "volume" : "58" }, "uris" : [ "http://www.mendeley.com/documents/?uuid=e80feb30-dd54-44f1-a83b-88360a33cfa4" ] }, { "id" : "ITEM-2", "itemData" : { "DOI" : "10.1037/0096-3445.134.2.258", "ISBN" : "0096-3445", "ISSN" : "0096-3445", "PMID" : "15869349", "abstract" : "Identification of a 1st target stimulus in a rapid serial visual presentation sequence leads to transient impairment in report for a 2nd target; this is known as the attentional blink (AB). This AB impairment was substantially alleviated for emotionally significant target words. AB sparing was not attributable to a variety of nonaffective stimulus factors that could result in augmented distinctiveness. Arousal value, not the valence of stimulus events, was found to be responsible for AB sparing. These results suggest that arousal is associated with decreased attentional prerequisites for awareness, enabling emotional significance to shape perceptual experience.", "author" : [ { "dropping-particle" : "", "family" : "Anderson", "given" : "Adam K", "non-dropping-particle" : "", "parse-names" : false, "suffix" : "" } ], "container-title" : "Journal of experimental psychology. General", "id" : "ITEM-2", "issue" : "2", "issued" : { "date-parts" : [ [ "2005" ] ] }, "page" : "258-281", "title" : "Affective influences on the attentional dynamics supporting awareness.", "type" : "article-journal", "volume" : "134" }, "uris" : [ "http://www.mendeley.com/documents/?uuid=38979baf-c8df-41c4-b24b-af6cdc48aa2b" ] } ], "mendeley" : { "formattedCitation" : "(Anderson, 2005; Mackay, Hadley, &amp; Schwartz, 2005)", "manualFormatting" : "(Anderson, 2005; Mackay, Hadley, &amp; Schwartz, 2005)", "plainTextFormattedCitation" : "(Anderson, 2005; Mackay, Hadley, &amp; Schwartz, 2005)", "previouslyFormattedCitation" : "(Anderson, 2005; Mackay, Hadley, &amp; Schwartz, 2005)" }, "properties" : { "noteIndex" : 0 }, "schema" : "https://github.com/citation-style-language/schema/raw/master/csl-citation.json" }</w:instrText>
      </w:r>
      <w:r w:rsidR="00E8478D" w:rsidRPr="004946F6">
        <w:fldChar w:fldCharType="separate"/>
      </w:r>
      <w:r w:rsidR="000E0D5A" w:rsidRPr="004946F6">
        <w:rPr>
          <w:noProof/>
        </w:rPr>
        <w:t>(Anderson, 2005; Mackay, Hadley, &amp; Schwartz, 2005)</w:t>
      </w:r>
      <w:r w:rsidR="00E8478D" w:rsidRPr="004946F6">
        <w:fldChar w:fldCharType="end"/>
      </w:r>
      <w:r w:rsidR="00E8478D" w:rsidRPr="004946F6">
        <w:t xml:space="preserve">. </w:t>
      </w:r>
      <w:r w:rsidR="00ED6844" w:rsidRPr="004946F6">
        <w:t>Similarly, in</w:t>
      </w:r>
      <w:r w:rsidR="003806B9" w:rsidRPr="004946F6">
        <w:t xml:space="preserve"> the object-based framework a</w:t>
      </w:r>
      <w:r w:rsidR="009B65DB" w:rsidRPr="004946F6">
        <w:t>ttention is</w:t>
      </w:r>
      <w:r w:rsidR="00307976" w:rsidRPr="004946F6">
        <w:t xml:space="preserve"> allocated preferentially to features perceived as belonging to the same emotional object</w:t>
      </w:r>
      <w:r w:rsidR="00AD0A94" w:rsidRPr="004946F6">
        <w:t xml:space="preserve">, </w:t>
      </w:r>
      <w:r w:rsidR="0055712B" w:rsidRPr="004946F6">
        <w:t xml:space="preserve">driving </w:t>
      </w:r>
      <w:r w:rsidR="00AD0A94" w:rsidRPr="004946F6">
        <w:t>increas</w:t>
      </w:r>
      <w:r w:rsidR="0055712B" w:rsidRPr="004946F6">
        <w:t xml:space="preserve">ed binding of emotional </w:t>
      </w:r>
      <w:r w:rsidR="00AD0A94" w:rsidRPr="004946F6">
        <w:t>object features</w:t>
      </w:r>
      <w:r w:rsidR="00307976" w:rsidRPr="004946F6">
        <w:t xml:space="preserve"> </w:t>
      </w:r>
      <w:r w:rsidR="00307976" w:rsidRPr="004946F6">
        <w:fldChar w:fldCharType="begin" w:fldLock="1"/>
      </w:r>
      <w:r w:rsidR="008C25E5" w:rsidRPr="004946F6">
        <w:instrText>ADDIN CSL_CITATION { "citationItems" : [ { "id" : "ITEM-1", "itemData" : { "DOI" : "10.1111/j.1745-6916.2007.00028.x", "ISBN" : "1745-6924\\n1745-6916", "ISSN" : "17456924", "PMID" : "26151918", "abstract" : "Binding various features of an event together and maintaining these connections in memory is an es- sential component of episodic memories. Previous theories make contradictory predictions about the effects of emo- tional arousal on memory binding. In this article, I review evidence for both arousal-impaired and arousal-enhanced memory binding and explain these contradictory findings using an object-based framework. According to this framework, emotionally arousing objects attract attention that enhances binding of their constituent features. In contrast, the emotional arousal associated with one object either impairs or has no effect on the associations between that object and other distinct objects or background con- textual information. After initial encoding, the attention- grabbing nature of emotionally arousing objects can lead to interference in working memory, making it more diffi- cult to maintain other bound representations. These con- trasting effects of arousal on memory binding should help predict which aspects of emotional memories are likely to be accurate and which aspects are likely to be misre- membered.", "author" : [ { "dropping-particle" : "", "family" : "Mather", "given" : "Mara", "non-dropping-particle" : "", "parse-names" : false, "suffix" : "" } ], "container-title" : "Perspectives on Psychological Science", "id" : "ITEM-1", "issue" : "1", "issued" : { "date-parts" : [ [ "2007" ] ] }, "page" : "33-52", "title" : "Emotional Arousal and Memory Binding: An Object-Based Framework", "type" : "article-journal", "volume" : "2" }, "uris" : [ "http://www.mendeley.com/documents/?uuid=17231a6e-2c6e-4139-846a-9c9810087e46" ] } ], "mendeley" : { "formattedCitation" : "(Mather, 2007)", "plainTextFormattedCitation" : "(Mather, 2007)", "previouslyFormattedCitation" : "(Mather, 2007)" }, "properties" : { "noteIndex" : 0 }, "schema" : "https://github.com/citation-style-language/schema/raw/master/csl-citation.json" }</w:instrText>
      </w:r>
      <w:r w:rsidR="00307976" w:rsidRPr="004946F6">
        <w:fldChar w:fldCharType="separate"/>
      </w:r>
      <w:r w:rsidR="00307976" w:rsidRPr="004946F6">
        <w:rPr>
          <w:noProof/>
        </w:rPr>
        <w:t>(Mather, 2007)</w:t>
      </w:r>
      <w:r w:rsidR="00307976" w:rsidRPr="004946F6">
        <w:fldChar w:fldCharType="end"/>
      </w:r>
      <w:r w:rsidR="0055712B" w:rsidRPr="004946F6">
        <w:t xml:space="preserve">. </w:t>
      </w:r>
      <w:r w:rsidR="00ED6844" w:rsidRPr="004946F6">
        <w:t xml:space="preserve">The object-based framework </w:t>
      </w:r>
      <w:r w:rsidR="0055712B" w:rsidRPr="004946F6">
        <w:t xml:space="preserve">is supported by evidence for </w:t>
      </w:r>
      <w:r w:rsidR="00B61D43" w:rsidRPr="004946F6">
        <w:t xml:space="preserve">increased memory for the source of within-object </w:t>
      </w:r>
      <w:r w:rsidR="00E8478D" w:rsidRPr="004946F6">
        <w:t xml:space="preserve">features, such as the font colour and screen location of taboo words </w:t>
      </w:r>
      <w:r w:rsidR="00E8478D" w:rsidRPr="004946F6">
        <w:fldChar w:fldCharType="begin" w:fldLock="1"/>
      </w:r>
      <w:r w:rsidR="008C25E5" w:rsidRPr="004946F6">
        <w:instrText>ADDIN CSL_CITATION { "citationItems" : [ { "id" : "ITEM-1", "itemData" : { "DOI" : "10.1111/j.0956-7976.2005.00776.x", "ISBN" : "0956-7976", "ISSN" : "09567976", "PMID" : "15660848", "abstract" : "This study tested the binding hypothesis: that emotional reactions trigger binding mechanisms that link an emotional event to salient contextual features such as event location, a frequently recalled aspect of naturally occurring flash-bulb memories. Our emotional events were taboo words in a Stroop color-naming task, and event location was manipulated by presenting the words in different task-irrelevant screen locations. Seventy-two participants named the font color of taboo and neutral words, with instructions to ignore word meaning; in one condition, several words were location consistent (i.e., always occupied the same screen location), whereas in another condition, several colors were location consistent. Then, in a surprise recognition memory test, participants recalled the locations of location-consistent words or colors. Although attention enhanced overall location memory for colors (the attended dimension during color naming), emotion (taboo vs. neutral words) enhanced location memory for words but not colors. These results support the binding hypothesis but contradict the hypothesis that emotional events induce image-like memories more often than non-emotional events.", "author" : [ { "dropping-particle" : "", "family" : "MacKay", "given" : "Donald G.", "non-dropping-particle" : "", "parse-names" : false, "suffix" : "" }, { "dropping-particle" : "V.", "family" : "Ahmetzanov", "given" : "Marat", "non-dropping-particle" : "", "parse-names" : false, "suffix" : "" } ], "container-title" : "Psychological Science", "id" : "ITEM-1", "issue" : "1", "issued" : { "date-parts" : [ [ "2005" ] ] }, "page" : "25-32", "title" : "Emotion, memory, and attention in the taboo stroop paradigm an experimental analogue of flashbulb memories", "type" : "article-journal", "volume" : "16" }, "uris" : [ "http://www.mendeley.com/documents/?uuid=0b5f6cec-16b8-4e58-bdbe-8558cad8cbb3" ] } ], "mendeley" : { "formattedCitation" : "(MacKay &amp; Ahmetzanov, 2005)", "plainTextFormattedCitation" : "(MacKay &amp; Ahmetzanov, 2005)", "previouslyFormattedCitation" : "(MacKay &amp; Ahmetzanov, 2005)" }, "properties" : { "noteIndex" : 0 }, "schema" : "https://github.com/citation-style-language/schema/raw/master/csl-citation.json" }</w:instrText>
      </w:r>
      <w:r w:rsidR="00E8478D" w:rsidRPr="004946F6">
        <w:fldChar w:fldCharType="separate"/>
      </w:r>
      <w:r w:rsidR="00E8478D" w:rsidRPr="004946F6">
        <w:rPr>
          <w:noProof/>
        </w:rPr>
        <w:t>(MacKay &amp; Ahmetzanov, 2005)</w:t>
      </w:r>
      <w:r w:rsidR="00E8478D" w:rsidRPr="004946F6">
        <w:fldChar w:fldCharType="end"/>
      </w:r>
      <w:r w:rsidR="00AD0A94" w:rsidRPr="004946F6">
        <w:t>.</w:t>
      </w:r>
      <w:r w:rsidR="00CD0962" w:rsidRPr="004946F6">
        <w:t xml:space="preserve"> </w:t>
      </w:r>
      <w:r w:rsidR="00B01DAC" w:rsidRPr="004946F6">
        <w:t>In summary</w:t>
      </w:r>
      <w:r w:rsidRPr="004946F6">
        <w:t xml:space="preserve">, </w:t>
      </w:r>
      <w:r w:rsidR="006F2EF8" w:rsidRPr="004946F6">
        <w:t>th</w:t>
      </w:r>
      <w:r w:rsidR="00CF0361" w:rsidRPr="004946F6">
        <w:t xml:space="preserve">e </w:t>
      </w:r>
      <w:r w:rsidR="00CF0361" w:rsidRPr="004946F6">
        <w:rPr>
          <w:i/>
          <w:iCs/>
        </w:rPr>
        <w:t>attention-</w:t>
      </w:r>
      <w:r w:rsidR="005D09FA" w:rsidRPr="004946F6">
        <w:rPr>
          <w:i/>
          <w:iCs/>
        </w:rPr>
        <w:t>category</w:t>
      </w:r>
      <w:r w:rsidR="00CF0361" w:rsidRPr="004946F6">
        <w:t xml:space="preserve"> </w:t>
      </w:r>
      <w:r w:rsidR="006F2EF8" w:rsidRPr="004946F6">
        <w:t>variant of eCMR</w:t>
      </w:r>
      <w:r w:rsidR="00CF0361" w:rsidRPr="004946F6">
        <w:t xml:space="preserve"> in Simulation 2</w:t>
      </w:r>
      <w:r w:rsidR="006F2EF8" w:rsidRPr="004946F6">
        <w:t xml:space="preserve"> encapsulates the </w:t>
      </w:r>
      <w:r w:rsidR="00073FC0" w:rsidRPr="004946F6">
        <w:rPr>
          <w:i/>
          <w:iCs/>
        </w:rPr>
        <w:t>category</w:t>
      </w:r>
      <w:r w:rsidR="00C507F3">
        <w:rPr>
          <w:i/>
          <w:iCs/>
        </w:rPr>
        <w:t>-only</w:t>
      </w:r>
      <w:r w:rsidR="00073FC0" w:rsidRPr="004946F6">
        <w:rPr>
          <w:i/>
          <w:iCs/>
        </w:rPr>
        <w:t xml:space="preserve"> </w:t>
      </w:r>
      <w:r w:rsidR="006F2EF8" w:rsidRPr="004946F6">
        <w:rPr>
          <w:i/>
          <w:iCs/>
        </w:rPr>
        <w:t>variant</w:t>
      </w:r>
      <w:r w:rsidR="006F2EF8" w:rsidRPr="004946F6">
        <w:t xml:space="preserve"> but also </w:t>
      </w:r>
      <w:r w:rsidR="009C0EEA" w:rsidRPr="004946F6">
        <w:t xml:space="preserve">makes one additional </w:t>
      </w:r>
      <w:r w:rsidR="006F2EF8" w:rsidRPr="004946F6">
        <w:t>assum</w:t>
      </w:r>
      <w:r w:rsidR="009C0EEA" w:rsidRPr="004946F6">
        <w:t xml:space="preserve">ption - </w:t>
      </w:r>
      <w:r w:rsidR="006F2EF8" w:rsidRPr="004946F6">
        <w:t xml:space="preserve">that </w:t>
      </w:r>
      <w:r w:rsidR="00CF0361" w:rsidRPr="004946F6">
        <w:t xml:space="preserve">emotional </w:t>
      </w:r>
      <w:r w:rsidR="006F2EF8" w:rsidRPr="004946F6">
        <w:t xml:space="preserve">items attract more attention, </w:t>
      </w:r>
      <w:r w:rsidR="009C0EEA" w:rsidRPr="004946F6">
        <w:t>operationalised</w:t>
      </w:r>
      <w:r w:rsidR="005D09FA" w:rsidRPr="004946F6">
        <w:t xml:space="preserve"> as</w:t>
      </w:r>
      <w:r w:rsidR="00CF0361" w:rsidRPr="004946F6">
        <w:t xml:space="preserve"> </w:t>
      </w:r>
      <w:r w:rsidRPr="004946F6">
        <w:t>increase</w:t>
      </w:r>
      <w:r w:rsidR="00CF0361" w:rsidRPr="004946F6">
        <w:t>d</w:t>
      </w:r>
      <w:r w:rsidR="006F2EF8" w:rsidRPr="004946F6">
        <w:t xml:space="preserve"> strength of their</w:t>
      </w:r>
      <w:r w:rsidRPr="004946F6">
        <w:t xml:space="preserve"> binding to the</w:t>
      </w:r>
      <w:r w:rsidR="009C0EEA" w:rsidRPr="004946F6">
        <w:t>ir encoding</w:t>
      </w:r>
      <w:r w:rsidRPr="004946F6">
        <w:t xml:space="preserve"> context.</w:t>
      </w:r>
      <w:r w:rsidR="006E738D" w:rsidRPr="004946F6">
        <w:t xml:space="preserve"> </w:t>
      </w:r>
      <w:r w:rsidR="009C0EEA" w:rsidRPr="004946F6">
        <w:t>After we present the model formally we discuss the different ways that increased binding to the context could be implemented</w:t>
      </w:r>
      <w:r w:rsidR="00ED6844" w:rsidRPr="004946F6">
        <w:t>.</w:t>
      </w:r>
    </w:p>
    <w:p w14:paraId="739359D5" w14:textId="450AB3E5" w:rsidR="00ED6844" w:rsidRPr="004946F6" w:rsidRDefault="0055712B">
      <w:pPr>
        <w:spacing w:line="480" w:lineRule="auto"/>
        <w:jc w:val="both"/>
      </w:pPr>
      <w:r w:rsidRPr="004946F6">
        <w:t xml:space="preserve">To preview how this eCMR variant works, </w:t>
      </w:r>
      <w:r w:rsidR="00410F6F">
        <w:t xml:space="preserve">consider </w:t>
      </w:r>
      <w:r w:rsidRPr="004946F6">
        <w:t xml:space="preserve">that emotional stimuli are attended preferentially when they are presented. Therefore, they are more strongly bound to their context at </w:t>
      </w:r>
      <w:r w:rsidR="00BE3468" w:rsidRPr="004946F6">
        <w:t>encoding, compared to</w:t>
      </w:r>
      <w:r w:rsidRPr="004946F6">
        <w:t xml:space="preserve"> neutral items</w:t>
      </w:r>
      <w:r w:rsidR="00ED6844" w:rsidRPr="004946F6">
        <w:t xml:space="preserve">, and </w:t>
      </w:r>
      <w:r w:rsidR="00BE3468" w:rsidRPr="004946F6">
        <w:t xml:space="preserve">– when the model simulates recall of mixed lists – they </w:t>
      </w:r>
      <w:r w:rsidR="0063352C" w:rsidRPr="004946F6">
        <w:t>are more strongly associated to</w:t>
      </w:r>
      <w:r w:rsidRPr="004946F6">
        <w:t xml:space="preserve"> the context at the beginning of the memory test, increasing the likelihood that recall would begin with an emotional, rather than a neutral item. </w:t>
      </w:r>
      <w:r w:rsidR="00BE3468" w:rsidRPr="004946F6">
        <w:t xml:space="preserve">Encoding </w:t>
      </w:r>
      <w:r w:rsidRPr="004946F6">
        <w:t>emotional items render</w:t>
      </w:r>
      <w:r w:rsidR="00BE3468" w:rsidRPr="004946F6">
        <w:t>s</w:t>
      </w:r>
      <w:r w:rsidRPr="004946F6">
        <w:t xml:space="preserve"> the </w:t>
      </w:r>
      <w:r w:rsidR="0063352C" w:rsidRPr="004946F6">
        <w:t>source</w:t>
      </w:r>
      <w:r w:rsidRPr="004946F6">
        <w:t xml:space="preserve"> context of an immediate test more emotional than </w:t>
      </w:r>
      <w:r w:rsidR="00BE3468" w:rsidRPr="004946F6">
        <w:t>it would be after the encoding of neutral items</w:t>
      </w:r>
      <w:r w:rsidR="009C0EEA" w:rsidRPr="004946F6">
        <w:t>; t</w:t>
      </w:r>
      <w:r w:rsidR="00BE3468" w:rsidRPr="004946F6">
        <w:t>he number of emotional items in the list, particularly at the late serial positions, will influence the emotionality of the test context</w:t>
      </w:r>
      <w:r w:rsidR="009C0EEA" w:rsidRPr="004946F6">
        <w:t>. An emotional context will facilitate recall of emotional items. Likewise, r</w:t>
      </w:r>
      <w:r w:rsidRPr="004946F6">
        <w:t>ecalling an emotional item promotes the recall of another emotional item</w:t>
      </w:r>
      <w:r w:rsidR="009C0EEA" w:rsidRPr="004946F6">
        <w:t xml:space="preserve">, both </w:t>
      </w:r>
      <w:r w:rsidRPr="004946F6">
        <w:t xml:space="preserve">because </w:t>
      </w:r>
      <w:r w:rsidR="009C0EEA" w:rsidRPr="004946F6">
        <w:t>they share their source</w:t>
      </w:r>
      <w:r w:rsidRPr="004946F6">
        <w:t xml:space="preserve"> context, and because </w:t>
      </w:r>
      <w:r w:rsidR="009C0EEA" w:rsidRPr="004946F6">
        <w:t xml:space="preserve">during encoding, the switch to an emotional source </w:t>
      </w:r>
      <w:r w:rsidRPr="004946F6">
        <w:t>disrupt</w:t>
      </w:r>
      <w:r w:rsidR="009C0EEA" w:rsidRPr="004946F6">
        <w:t>ed</w:t>
      </w:r>
      <w:r w:rsidRPr="004946F6">
        <w:t xml:space="preserve"> the temporal context, reducing the likelihood that previously- or subsequently-encoded neutral items would be retrieved on the basis of temporal contiguity. </w:t>
      </w:r>
      <w:r w:rsidR="00483D10" w:rsidRPr="004946F6">
        <w:t>Although many of the experiments simulated here control for semantic relatedness</w:t>
      </w:r>
      <w:r w:rsidRPr="004946F6">
        <w:t xml:space="preserve">, another reason that emotional items promote each other’s recall is that they are often also more closely related to each other semantically than other items. Each recall of an emotional item additionally updates the temporal context, moving it yet further away from the temporal context that pertained during the encoding of neutral items, and therefore further hindering their recall. </w:t>
      </w:r>
      <w:r w:rsidR="00227CDD" w:rsidRPr="004946F6">
        <w:t>This variant of eCMR thus describes emotional memory enhancement as multiply determined, in keeping with the multiple factors previously posited to contribute to this effect (Talmi, 2013).</w:t>
      </w:r>
    </w:p>
    <w:p w14:paraId="4A0CB762" w14:textId="77777777" w:rsidR="009B65DB" w:rsidRPr="004946F6" w:rsidRDefault="009B65DB" w:rsidP="00B703F5">
      <w:pPr>
        <w:spacing w:line="480" w:lineRule="auto"/>
        <w:jc w:val="both"/>
      </w:pPr>
    </w:p>
    <w:p w14:paraId="64E3FF1E" w14:textId="77777777" w:rsidR="00B1655D" w:rsidRPr="004946F6" w:rsidRDefault="00B1655D" w:rsidP="00B703F5">
      <w:pPr>
        <w:spacing w:line="480" w:lineRule="auto"/>
        <w:jc w:val="both"/>
        <w:rPr>
          <w:b/>
          <w:bCs/>
        </w:rPr>
      </w:pPr>
      <w:r w:rsidRPr="004946F6">
        <w:rPr>
          <w:b/>
          <w:bCs/>
        </w:rPr>
        <w:t xml:space="preserve">1.4 Overview of aims and objectives. </w:t>
      </w:r>
    </w:p>
    <w:p w14:paraId="19BF1DE8" w14:textId="46A420B9" w:rsidR="001111B0" w:rsidRPr="004946F6" w:rsidRDefault="00B1655D">
      <w:pPr>
        <w:spacing w:line="480" w:lineRule="auto"/>
      </w:pPr>
      <w:r w:rsidRPr="004946F6">
        <w:t xml:space="preserve">Thus far we have delineated, in broad terms, the limitation of previous models of </w:t>
      </w:r>
      <w:r w:rsidR="00BB081D" w:rsidRPr="004946F6">
        <w:t>emotion-enhanced memory</w:t>
      </w:r>
      <w:r w:rsidRPr="004946F6">
        <w:t xml:space="preserve"> and the promise of an extension of CMR</w:t>
      </w:r>
      <w:r w:rsidR="00DF49D0" w:rsidRPr="004946F6">
        <w:t xml:space="preserve"> – </w:t>
      </w:r>
      <w:r w:rsidRPr="004946F6">
        <w:t>eCMR</w:t>
      </w:r>
      <w:r w:rsidR="00DF49D0" w:rsidRPr="004946F6">
        <w:t xml:space="preserve"> </w:t>
      </w:r>
      <w:r w:rsidR="00123C8A" w:rsidRPr="004946F6">
        <w:t>–</w:t>
      </w:r>
      <w:r w:rsidR="00DF49D0" w:rsidRPr="004946F6">
        <w:t xml:space="preserve"> </w:t>
      </w:r>
      <w:r w:rsidRPr="004946F6">
        <w:t xml:space="preserve">to </w:t>
      </w:r>
      <w:r w:rsidR="00B819FF" w:rsidRPr="004946F6">
        <w:t>account for critical</w:t>
      </w:r>
      <w:r w:rsidRPr="004946F6">
        <w:t xml:space="preserve"> effects of emotion on episodic memory. </w:t>
      </w:r>
      <w:r w:rsidR="001111B0" w:rsidRPr="004946F6">
        <w:t xml:space="preserve">Our overall aim in this paper is to illustrate how this </w:t>
      </w:r>
      <w:r w:rsidR="00F64311" w:rsidRPr="004946F6">
        <w:t>can</w:t>
      </w:r>
      <w:r w:rsidR="0020491E" w:rsidRPr="004946F6">
        <w:t xml:space="preserve"> be achieved on a qualitative level </w:t>
      </w:r>
      <w:r w:rsidR="00176497" w:rsidRPr="004946F6">
        <w:t>for</w:t>
      </w:r>
      <w:r w:rsidR="006B1852" w:rsidRPr="004946F6">
        <w:t xml:space="preserve"> all </w:t>
      </w:r>
      <w:r w:rsidR="0020491E" w:rsidRPr="004946F6">
        <w:t>effects, rather than fit the nuances of any particular data set</w:t>
      </w:r>
      <w:r w:rsidR="001111B0" w:rsidRPr="004946F6">
        <w:t>.</w:t>
      </w:r>
      <w:r w:rsidR="006E738D" w:rsidRPr="004946F6">
        <w:t xml:space="preserve"> </w:t>
      </w:r>
      <w:r w:rsidR="001F5B9A" w:rsidRPr="004946F6">
        <w:t xml:space="preserve">We chose this approach </w:t>
      </w:r>
      <w:r w:rsidR="00227CDD" w:rsidRPr="004946F6">
        <w:t>because</w:t>
      </w:r>
      <w:r w:rsidR="007A1D71" w:rsidRPr="004946F6">
        <w:t xml:space="preserve"> </w:t>
      </w:r>
      <w:r w:rsidR="004E4F59" w:rsidRPr="004946F6">
        <w:t xml:space="preserve">a more precise fit would most likely require a rigorous parameter search for each data set. </w:t>
      </w:r>
      <w:r w:rsidR="00F64311" w:rsidRPr="004946F6">
        <w:t>With</w:t>
      </w:r>
      <w:r w:rsidR="004E4F59" w:rsidRPr="004946F6">
        <w:t xml:space="preserve"> different parameter values for each data set, </w:t>
      </w:r>
      <w:r w:rsidR="007824E2" w:rsidRPr="004946F6">
        <w:t xml:space="preserve">this </w:t>
      </w:r>
      <w:r w:rsidR="004E4F59" w:rsidRPr="004946F6">
        <w:t>might obfuscate whether the model can only capture each of the effects within restricted ranges of specific parameter values</w:t>
      </w:r>
      <w:r w:rsidR="003C1EDC" w:rsidRPr="004946F6">
        <w:t>, or can capture all effects simultaneously</w:t>
      </w:r>
      <w:r w:rsidR="004E4F59" w:rsidRPr="004946F6">
        <w:t xml:space="preserve">. </w:t>
      </w:r>
      <w:r w:rsidR="00227CDD" w:rsidRPr="004946F6">
        <w:t>B</w:t>
      </w:r>
      <w:r w:rsidR="001F5B9A" w:rsidRPr="004946F6">
        <w:t xml:space="preserve">y </w:t>
      </w:r>
      <w:r w:rsidR="004E4F59" w:rsidRPr="004946F6">
        <w:t>comparing model predictions on a qualitative level</w:t>
      </w:r>
      <w:r w:rsidR="00227CDD" w:rsidRPr="004946F6">
        <w:t xml:space="preserve"> we could </w:t>
      </w:r>
      <w:r w:rsidR="00551520" w:rsidRPr="004946F6">
        <w:t xml:space="preserve">keep constant </w:t>
      </w:r>
      <w:r w:rsidR="00227CDD" w:rsidRPr="004946F6">
        <w:t xml:space="preserve">more </w:t>
      </w:r>
      <w:r w:rsidR="00551520" w:rsidRPr="004946F6">
        <w:t xml:space="preserve">model parameter values. </w:t>
      </w:r>
      <w:r w:rsidR="00227CDD" w:rsidRPr="004946F6">
        <w:t>In fact, w</w:t>
      </w:r>
      <w:r w:rsidR="006F48C6" w:rsidRPr="004946F6">
        <w:t>e</w:t>
      </w:r>
      <w:r w:rsidR="002F2536" w:rsidRPr="004946F6">
        <w:t xml:space="preserve"> </w:t>
      </w:r>
      <w:r w:rsidR="00551520" w:rsidRPr="004946F6">
        <w:t>set as many parameters possible based on a previous algorithm</w:t>
      </w:r>
      <w:r w:rsidR="00483D10" w:rsidRPr="004946F6">
        <w:t>ic</w:t>
      </w:r>
      <w:r w:rsidR="00551520" w:rsidRPr="004946F6">
        <w:t xml:space="preserve"> search for best-fit parameters in free recall (</w:t>
      </w:r>
      <w:r w:rsidR="002F2536" w:rsidRPr="004946F6">
        <w:t>Polyn et al. 2009</w:t>
      </w:r>
      <w:r w:rsidR="00551520" w:rsidRPr="004946F6">
        <w:t xml:space="preserve">). For other parameters with changed values, we nonetheless kept </w:t>
      </w:r>
      <w:r w:rsidR="00227CDD" w:rsidRPr="004946F6">
        <w:t>most</w:t>
      </w:r>
      <w:r w:rsidR="00551520" w:rsidRPr="004946F6">
        <w:t xml:space="preserve"> values constant across simulations</w:t>
      </w:r>
      <w:r w:rsidR="00227CDD" w:rsidRPr="004946F6">
        <w:t xml:space="preserve">. Within each section parameter values only change to </w:t>
      </w:r>
      <w:r w:rsidR="00C7754C" w:rsidRPr="004946F6">
        <w:t xml:space="preserve">simulate </w:t>
      </w:r>
      <w:r w:rsidR="007B526D" w:rsidRPr="004946F6">
        <w:t xml:space="preserve">the study-test retention interval </w:t>
      </w:r>
      <w:r w:rsidR="00C7754C" w:rsidRPr="004946F6">
        <w:t xml:space="preserve">and the increased surprise occasioned by the presentation of an oddball in the list </w:t>
      </w:r>
      <w:r w:rsidR="00456069" w:rsidRPr="004946F6">
        <w:t xml:space="preserve">(Tables </w:t>
      </w:r>
      <w:r w:rsidR="008E60BA" w:rsidRPr="004946F6">
        <w:t>1-</w:t>
      </w:r>
      <w:r w:rsidR="00456069" w:rsidRPr="004946F6">
        <w:t>2</w:t>
      </w:r>
      <w:r w:rsidR="002F2536" w:rsidRPr="004946F6">
        <w:t>).</w:t>
      </w:r>
      <w:r w:rsidR="006E738D" w:rsidRPr="004946F6">
        <w:t xml:space="preserve"> </w:t>
      </w:r>
      <w:r w:rsidR="00227CDD" w:rsidRPr="004946F6">
        <w:t xml:space="preserve">Across sections we </w:t>
      </w:r>
      <w:r w:rsidR="007B526D" w:rsidRPr="004946F6">
        <w:t xml:space="preserve">only </w:t>
      </w:r>
      <w:r w:rsidR="00227CDD" w:rsidRPr="004946F6">
        <w:t xml:space="preserve">varied the relative reliance on semantic associations, because section 2 used more cohesive </w:t>
      </w:r>
      <w:r w:rsidR="002908A0">
        <w:t>stimuli</w:t>
      </w:r>
      <w:r w:rsidR="00227CDD" w:rsidRPr="004946F6">
        <w:t>.</w:t>
      </w:r>
      <w:r w:rsidR="00456069" w:rsidRPr="004946F6">
        <w:t xml:space="preserve"> </w:t>
      </w:r>
    </w:p>
    <w:p w14:paraId="07079CFF" w14:textId="0D45D56A" w:rsidR="0065575E" w:rsidRPr="004946F6" w:rsidRDefault="00B1655D">
      <w:pPr>
        <w:spacing w:line="480" w:lineRule="auto"/>
      </w:pPr>
      <w:r w:rsidRPr="004946F6">
        <w:t xml:space="preserve">In section 2 </w:t>
      </w:r>
      <w:r w:rsidR="00D2434F" w:rsidRPr="004946F6">
        <w:t xml:space="preserve">we use </w:t>
      </w:r>
      <w:r w:rsidR="0065575E" w:rsidRPr="004946F6">
        <w:t xml:space="preserve">the </w:t>
      </w:r>
      <w:r w:rsidR="0065575E" w:rsidRPr="004946F6">
        <w:rPr>
          <w:i/>
          <w:iCs/>
        </w:rPr>
        <w:t>category-only</w:t>
      </w:r>
      <w:r w:rsidR="0065575E" w:rsidRPr="004946F6">
        <w:t xml:space="preserve"> and </w:t>
      </w:r>
      <w:r w:rsidR="0065575E" w:rsidRPr="004946F6">
        <w:rPr>
          <w:i/>
          <w:iCs/>
        </w:rPr>
        <w:t>attention-category</w:t>
      </w:r>
      <w:r w:rsidR="0065575E" w:rsidRPr="004946F6">
        <w:t xml:space="preserve"> </w:t>
      </w:r>
      <w:r w:rsidR="00D2434F" w:rsidRPr="004946F6">
        <w:t xml:space="preserve">variants </w:t>
      </w:r>
      <w:r w:rsidR="0065575E" w:rsidRPr="004946F6">
        <w:t xml:space="preserve">of eCMR </w:t>
      </w:r>
      <w:r w:rsidR="00D2434F" w:rsidRPr="004946F6">
        <w:t xml:space="preserve">to simulate </w:t>
      </w:r>
      <w:r w:rsidRPr="004946F6">
        <w:t>the emotional list composition effect</w:t>
      </w:r>
      <w:r w:rsidR="00DB12C5" w:rsidRPr="004946F6">
        <w:t>: the advantage of emotional over neutral items in the recall of mixed lists, and their diminished advantage in the recall of pure lists. While this is a relatively simple effect, described by four data points that correspond to average free recall</w:t>
      </w:r>
      <w:r w:rsidRPr="004946F6">
        <w:t xml:space="preserve">, </w:t>
      </w:r>
      <w:r w:rsidR="00DB12C5" w:rsidRPr="004946F6">
        <w:t>it</w:t>
      </w:r>
      <w:r w:rsidRPr="004946F6">
        <w:t xml:space="preserve"> </w:t>
      </w:r>
      <w:r w:rsidR="0065575E" w:rsidRPr="004946F6">
        <w:t xml:space="preserve">has so far evaded explanation </w:t>
      </w:r>
      <w:r w:rsidRPr="004946F6">
        <w:t xml:space="preserve">by existing models of emotional memory. </w:t>
      </w:r>
      <w:r w:rsidR="00D2434F" w:rsidRPr="004946F6">
        <w:t xml:space="preserve">We show that </w:t>
      </w:r>
      <w:r w:rsidR="0045664D" w:rsidRPr="004946F6">
        <w:t xml:space="preserve">the </w:t>
      </w:r>
      <w:r w:rsidR="0045664D" w:rsidRPr="004946F6">
        <w:rPr>
          <w:i/>
          <w:iCs/>
        </w:rPr>
        <w:t>attention-category</w:t>
      </w:r>
      <w:r w:rsidR="0045664D" w:rsidRPr="004946F6">
        <w:t xml:space="preserve"> variant </w:t>
      </w:r>
      <w:r w:rsidR="00D2434F" w:rsidRPr="004946F6">
        <w:t>capture</w:t>
      </w:r>
      <w:r w:rsidR="0045664D" w:rsidRPr="004946F6">
        <w:t>s</w:t>
      </w:r>
      <w:r w:rsidR="00D2434F" w:rsidRPr="004946F6">
        <w:t xml:space="preserve"> this effect qualitatively, </w:t>
      </w:r>
      <w:r w:rsidR="009B0A6E" w:rsidRPr="004946F6">
        <w:t>while</w:t>
      </w:r>
      <w:r w:rsidR="00D2434F" w:rsidRPr="004946F6">
        <w:t xml:space="preserve"> the </w:t>
      </w:r>
      <w:r w:rsidR="00D2434F" w:rsidRPr="004946F6">
        <w:rPr>
          <w:i/>
          <w:iCs/>
        </w:rPr>
        <w:t>category</w:t>
      </w:r>
      <w:r w:rsidR="0065575E" w:rsidRPr="004946F6">
        <w:rPr>
          <w:i/>
          <w:iCs/>
        </w:rPr>
        <w:t xml:space="preserve">-only </w:t>
      </w:r>
      <w:r w:rsidR="00D2434F" w:rsidRPr="004946F6">
        <w:t xml:space="preserve">variant failed to do so. </w:t>
      </w:r>
      <w:r w:rsidR="0065575E" w:rsidRPr="004946F6">
        <w:t xml:space="preserve">By </w:t>
      </w:r>
      <w:r w:rsidRPr="004946F6">
        <w:t>prob</w:t>
      </w:r>
      <w:r w:rsidR="0065575E" w:rsidRPr="004946F6">
        <w:t>ing</w:t>
      </w:r>
      <w:r w:rsidRPr="004946F6">
        <w:t xml:space="preserve"> the retrieval dynamics in eCMR </w:t>
      </w:r>
      <w:r w:rsidR="0065575E" w:rsidRPr="004946F6">
        <w:t xml:space="preserve">we show how the model helps reveal </w:t>
      </w:r>
      <w:r w:rsidRPr="004946F6">
        <w:t xml:space="preserve">the multiple mechanisms that give rise to this effect and render it so robust. In section </w:t>
      </w:r>
      <w:r w:rsidR="0093180A" w:rsidRPr="004946F6">
        <w:t>3</w:t>
      </w:r>
      <w:r w:rsidRPr="004946F6">
        <w:t xml:space="preserve"> we </w:t>
      </w:r>
      <w:r w:rsidR="0065575E" w:rsidRPr="004946F6">
        <w:t xml:space="preserve">use the </w:t>
      </w:r>
      <w:r w:rsidR="0065575E" w:rsidRPr="004946F6">
        <w:rPr>
          <w:i/>
          <w:iCs/>
        </w:rPr>
        <w:t>attention-category</w:t>
      </w:r>
      <w:r w:rsidR="0065575E" w:rsidRPr="004946F6">
        <w:t xml:space="preserve"> variant of eCMR to compare immediate and delayed </w:t>
      </w:r>
      <w:r w:rsidR="0093180A" w:rsidRPr="004946F6">
        <w:t xml:space="preserve">recall of mixed lists, where the </w:t>
      </w:r>
      <w:r w:rsidRPr="004946F6">
        <w:t xml:space="preserve">pattern of results </w:t>
      </w:r>
      <w:r w:rsidR="0093180A" w:rsidRPr="004946F6">
        <w:t xml:space="preserve">reported in the literature on delayed emotional memory </w:t>
      </w:r>
      <w:r w:rsidRPr="004946F6">
        <w:t xml:space="preserve">is less familiar in the literature of memory modelling. </w:t>
      </w:r>
      <w:r w:rsidR="00C7754C" w:rsidRPr="004946F6">
        <w:t xml:space="preserve">In Section </w:t>
      </w:r>
      <w:r w:rsidR="00BE58D4">
        <w:t>4</w:t>
      </w:r>
      <w:r w:rsidR="00C7754C" w:rsidRPr="004946F6">
        <w:t xml:space="preserve"> we </w:t>
      </w:r>
      <w:r w:rsidR="0093180A" w:rsidRPr="004946F6">
        <w:t xml:space="preserve">examine </w:t>
      </w:r>
      <w:r w:rsidR="00C7754C" w:rsidRPr="004946F6">
        <w:t xml:space="preserve">a particularly challenging effect for eCMR, </w:t>
      </w:r>
      <w:r w:rsidR="0093180A" w:rsidRPr="004946F6">
        <w:t>the emotional oddball effect</w:t>
      </w:r>
      <w:r w:rsidR="00C7754C" w:rsidRPr="004946F6">
        <w:t>. The attention-category variant of</w:t>
      </w:r>
      <w:r w:rsidR="0093180A" w:rsidRPr="004946F6">
        <w:t xml:space="preserve"> eCMR can</w:t>
      </w:r>
      <w:r w:rsidR="00C7754C" w:rsidRPr="004946F6">
        <w:t xml:space="preserve"> capture the effect </w:t>
      </w:r>
      <w:r w:rsidR="007B526D" w:rsidRPr="004946F6">
        <w:t xml:space="preserve">by </w:t>
      </w:r>
      <w:r w:rsidR="00C7754C" w:rsidRPr="004946F6">
        <w:t xml:space="preserve">assuming that </w:t>
      </w:r>
      <w:r w:rsidR="007B526D" w:rsidRPr="004946F6">
        <w:t xml:space="preserve">more attention is allocated to </w:t>
      </w:r>
      <w:r w:rsidR="00C7754C" w:rsidRPr="004946F6">
        <w:t xml:space="preserve">the oddball </w:t>
      </w:r>
      <w:r w:rsidR="007B526D" w:rsidRPr="004946F6">
        <w:t>and that it d</w:t>
      </w:r>
      <w:r w:rsidR="00C7754C" w:rsidRPr="004946F6">
        <w:t>isrupts the temporal context of encoding</w:t>
      </w:r>
      <w:r w:rsidR="007B526D" w:rsidRPr="004946F6">
        <w:t xml:space="preserve"> more than a similar emotional item in mixed lists</w:t>
      </w:r>
      <w:r w:rsidR="00C7754C" w:rsidRPr="004946F6">
        <w:t xml:space="preserve">, </w:t>
      </w:r>
      <w:r w:rsidR="007B526D" w:rsidRPr="004946F6">
        <w:t>where such items are more frequent. W</w:t>
      </w:r>
      <w:r w:rsidR="00C7754C" w:rsidRPr="004946F6">
        <w:t>ith th</w:t>
      </w:r>
      <w:r w:rsidR="007B526D" w:rsidRPr="004946F6">
        <w:t>ese</w:t>
      </w:r>
      <w:r w:rsidR="00C7754C" w:rsidRPr="004946F6">
        <w:t xml:space="preserve"> assumption</w:t>
      </w:r>
      <w:r w:rsidR="007B526D" w:rsidRPr="004946F6">
        <w:t>s</w:t>
      </w:r>
      <w:r w:rsidR="00C7754C" w:rsidRPr="004946F6">
        <w:t xml:space="preserve"> in place </w:t>
      </w:r>
      <w:r w:rsidR="007B526D" w:rsidRPr="004946F6">
        <w:t>eCMR</w:t>
      </w:r>
      <w:r w:rsidR="0093180A" w:rsidRPr="004946F6">
        <w:t xml:space="preserve"> capture</w:t>
      </w:r>
      <w:r w:rsidR="00C7754C" w:rsidRPr="004946F6">
        <w:t>s</w:t>
      </w:r>
      <w:r w:rsidR="0093180A" w:rsidRPr="004946F6">
        <w:t xml:space="preserve"> </w:t>
      </w:r>
      <w:r w:rsidR="00C7754C" w:rsidRPr="004946F6">
        <w:t xml:space="preserve">key empirical results. </w:t>
      </w:r>
    </w:p>
    <w:p w14:paraId="1A7FBAB1" w14:textId="4202A455" w:rsidR="00BE58D4" w:rsidRDefault="00BE58D4">
      <w:pPr>
        <w:rPr>
          <w:b/>
          <w:bCs/>
        </w:rPr>
      </w:pPr>
      <w:bookmarkStart w:id="4" w:name="Table1"/>
    </w:p>
    <w:p w14:paraId="19D15C06" w14:textId="29CC37A7" w:rsidR="00DD38D8" w:rsidRPr="004946F6" w:rsidRDefault="00DD38D8" w:rsidP="00DD38D8">
      <w:pPr>
        <w:rPr>
          <w:b/>
          <w:bCs/>
        </w:rPr>
      </w:pPr>
      <w:r w:rsidRPr="004946F6">
        <w:rPr>
          <w:b/>
          <w:bCs/>
        </w:rPr>
        <w:t>TABLE 1</w:t>
      </w:r>
      <w:bookmarkEnd w:id="4"/>
      <w:r w:rsidRPr="004946F6">
        <w:rPr>
          <w:b/>
          <w:bCs/>
        </w:rPr>
        <w:t xml:space="preserve">. Variable parameter values in Simulations 1-5. </w:t>
      </w:r>
    </w:p>
    <w:p w14:paraId="4D6D54E5" w14:textId="77777777" w:rsidR="0065575E" w:rsidRPr="004946F6" w:rsidRDefault="0065575E" w:rsidP="0065575E">
      <w:pPr>
        <w:rPr>
          <w:b/>
          <w:bCs/>
        </w:rPr>
      </w:pPr>
    </w:p>
    <w:tbl>
      <w:tblPr>
        <w:tblStyle w:val="TableGrid"/>
        <w:tblW w:w="9924" w:type="dxa"/>
        <w:tblLayout w:type="fixed"/>
        <w:tblLook w:val="04A0" w:firstRow="1" w:lastRow="0" w:firstColumn="1" w:lastColumn="0" w:noHBand="0" w:noVBand="1"/>
      </w:tblPr>
      <w:tblGrid>
        <w:gridCol w:w="1530"/>
        <w:gridCol w:w="855"/>
        <w:gridCol w:w="926"/>
        <w:gridCol w:w="926"/>
        <w:gridCol w:w="926"/>
        <w:gridCol w:w="713"/>
        <w:gridCol w:w="713"/>
        <w:gridCol w:w="713"/>
        <w:gridCol w:w="926"/>
        <w:gridCol w:w="845"/>
        <w:gridCol w:w="851"/>
      </w:tblGrid>
      <w:tr w:rsidR="00DD38D8" w:rsidRPr="004946F6" w14:paraId="6D91B929" w14:textId="77777777" w:rsidTr="00F147A9">
        <w:tc>
          <w:tcPr>
            <w:tcW w:w="1530" w:type="dxa"/>
          </w:tcPr>
          <w:p w14:paraId="765EBD57" w14:textId="28D0ED70" w:rsidR="00DD38D8" w:rsidRPr="004946F6" w:rsidRDefault="00DD38D8" w:rsidP="00EA0B44">
            <w:pPr>
              <w:rPr>
                <w:i/>
                <w:iCs/>
                <w:sz w:val="28"/>
                <w:szCs w:val="28"/>
              </w:rPr>
            </w:pPr>
            <w:r w:rsidRPr="004946F6">
              <w:rPr>
                <w:sz w:val="28"/>
                <w:szCs w:val="28"/>
              </w:rPr>
              <w:t>Parameter</w:t>
            </w:r>
          </w:p>
        </w:tc>
        <w:tc>
          <w:tcPr>
            <w:tcW w:w="855" w:type="dxa"/>
          </w:tcPr>
          <w:p w14:paraId="2B929EE1" w14:textId="77777777" w:rsidR="00DD38D8" w:rsidRPr="004946F6" w:rsidRDefault="00DD38D8" w:rsidP="00EA0B44">
            <w:pPr>
              <w:rPr>
                <w:i/>
                <w:iCs/>
                <w:sz w:val="28"/>
                <w:szCs w:val="28"/>
              </w:rPr>
            </w:pPr>
            <w:r w:rsidRPr="004946F6">
              <w:rPr>
                <w:i/>
                <w:iCs/>
                <w:sz w:val="28"/>
                <w:szCs w:val="28"/>
              </w:rPr>
              <w:t>Polyn et al. 2009</w:t>
            </w:r>
          </w:p>
        </w:tc>
        <w:tc>
          <w:tcPr>
            <w:tcW w:w="926" w:type="dxa"/>
          </w:tcPr>
          <w:p w14:paraId="32E5E359" w14:textId="77777777" w:rsidR="00DD38D8" w:rsidRPr="004946F6" w:rsidRDefault="00DD38D8" w:rsidP="00EA0B44">
            <w:pPr>
              <w:rPr>
                <w:i/>
                <w:iCs/>
                <w:sz w:val="28"/>
                <w:szCs w:val="28"/>
              </w:rPr>
            </w:pPr>
            <w:r w:rsidRPr="004946F6">
              <w:rPr>
                <w:i/>
                <w:iCs/>
                <w:sz w:val="28"/>
                <w:szCs w:val="28"/>
              </w:rPr>
              <w:t>1</w:t>
            </w:r>
          </w:p>
        </w:tc>
        <w:tc>
          <w:tcPr>
            <w:tcW w:w="926" w:type="dxa"/>
          </w:tcPr>
          <w:p w14:paraId="384F9D5B" w14:textId="77777777" w:rsidR="00DD38D8" w:rsidRPr="004946F6" w:rsidRDefault="00DD38D8" w:rsidP="00EA0B44">
            <w:pPr>
              <w:rPr>
                <w:i/>
                <w:iCs/>
                <w:sz w:val="28"/>
                <w:szCs w:val="28"/>
              </w:rPr>
            </w:pPr>
            <w:r w:rsidRPr="004946F6">
              <w:rPr>
                <w:i/>
                <w:iCs/>
                <w:sz w:val="28"/>
                <w:szCs w:val="28"/>
              </w:rPr>
              <w:t>2</w:t>
            </w:r>
          </w:p>
        </w:tc>
        <w:tc>
          <w:tcPr>
            <w:tcW w:w="926" w:type="dxa"/>
          </w:tcPr>
          <w:p w14:paraId="61548599" w14:textId="77777777" w:rsidR="00DD38D8" w:rsidRPr="004946F6" w:rsidRDefault="00DD38D8" w:rsidP="00EA0B44">
            <w:pPr>
              <w:rPr>
                <w:i/>
                <w:iCs/>
                <w:sz w:val="28"/>
                <w:szCs w:val="28"/>
              </w:rPr>
            </w:pPr>
            <w:r w:rsidRPr="004946F6">
              <w:rPr>
                <w:i/>
                <w:iCs/>
                <w:sz w:val="28"/>
                <w:szCs w:val="28"/>
              </w:rPr>
              <w:t>2R</w:t>
            </w:r>
          </w:p>
        </w:tc>
        <w:tc>
          <w:tcPr>
            <w:tcW w:w="713" w:type="dxa"/>
          </w:tcPr>
          <w:p w14:paraId="746B72B2" w14:textId="77777777" w:rsidR="00DD38D8" w:rsidRPr="004946F6" w:rsidRDefault="00DD38D8" w:rsidP="00EA0B44">
            <w:pPr>
              <w:rPr>
                <w:i/>
                <w:iCs/>
                <w:sz w:val="28"/>
                <w:szCs w:val="28"/>
              </w:rPr>
            </w:pPr>
            <w:r w:rsidRPr="004946F6">
              <w:rPr>
                <w:i/>
                <w:iCs/>
                <w:sz w:val="28"/>
                <w:szCs w:val="28"/>
              </w:rPr>
              <w:t>2O</w:t>
            </w:r>
          </w:p>
          <w:p w14:paraId="216160D7" w14:textId="77777777" w:rsidR="00DD38D8" w:rsidRPr="004946F6" w:rsidRDefault="00DD38D8" w:rsidP="00EA0B44">
            <w:pPr>
              <w:rPr>
                <w:i/>
                <w:iCs/>
                <w:sz w:val="28"/>
                <w:szCs w:val="28"/>
              </w:rPr>
            </w:pPr>
            <w:r w:rsidRPr="004946F6">
              <w:rPr>
                <w:i/>
                <w:iCs/>
                <w:sz w:val="28"/>
                <w:szCs w:val="28"/>
              </w:rPr>
              <w:t>2E</w:t>
            </w:r>
          </w:p>
          <w:p w14:paraId="2F55C15C" w14:textId="6E6A3D88" w:rsidR="00DD38D8" w:rsidRPr="004946F6" w:rsidRDefault="00DD38D8" w:rsidP="00EA0B44">
            <w:pPr>
              <w:rPr>
                <w:i/>
                <w:iCs/>
                <w:sz w:val="28"/>
                <w:szCs w:val="28"/>
              </w:rPr>
            </w:pPr>
            <w:r w:rsidRPr="004946F6">
              <w:rPr>
                <w:i/>
                <w:iCs/>
                <w:sz w:val="28"/>
                <w:szCs w:val="28"/>
              </w:rPr>
              <w:t>2N</w:t>
            </w:r>
          </w:p>
        </w:tc>
        <w:tc>
          <w:tcPr>
            <w:tcW w:w="713" w:type="dxa"/>
          </w:tcPr>
          <w:p w14:paraId="6494A0C7" w14:textId="6F1E2CAC" w:rsidR="00DD38D8" w:rsidRPr="004946F6" w:rsidRDefault="00DD38D8" w:rsidP="00EA0B44">
            <w:pPr>
              <w:rPr>
                <w:i/>
                <w:iCs/>
                <w:sz w:val="28"/>
                <w:szCs w:val="28"/>
              </w:rPr>
            </w:pPr>
            <w:r w:rsidRPr="004946F6">
              <w:rPr>
                <w:i/>
                <w:iCs/>
                <w:sz w:val="28"/>
                <w:szCs w:val="28"/>
              </w:rPr>
              <w:t>3</w:t>
            </w:r>
          </w:p>
        </w:tc>
        <w:tc>
          <w:tcPr>
            <w:tcW w:w="713" w:type="dxa"/>
          </w:tcPr>
          <w:p w14:paraId="5FFF0E80" w14:textId="38D5290D" w:rsidR="00DD38D8" w:rsidRPr="004946F6" w:rsidRDefault="00DD38D8" w:rsidP="00EA0B44">
            <w:pPr>
              <w:rPr>
                <w:i/>
                <w:iCs/>
                <w:sz w:val="28"/>
                <w:szCs w:val="28"/>
              </w:rPr>
            </w:pPr>
            <w:r w:rsidRPr="004946F6">
              <w:rPr>
                <w:i/>
                <w:iCs/>
                <w:sz w:val="28"/>
                <w:szCs w:val="28"/>
              </w:rPr>
              <w:t>3D</w:t>
            </w:r>
          </w:p>
        </w:tc>
        <w:tc>
          <w:tcPr>
            <w:tcW w:w="926" w:type="dxa"/>
          </w:tcPr>
          <w:p w14:paraId="3D71E300" w14:textId="7231A5CB" w:rsidR="00DD38D8" w:rsidRPr="004946F6" w:rsidRDefault="00DD38D8" w:rsidP="00EA0B44">
            <w:pPr>
              <w:rPr>
                <w:i/>
                <w:iCs/>
                <w:sz w:val="28"/>
                <w:szCs w:val="28"/>
              </w:rPr>
            </w:pPr>
            <w:r w:rsidRPr="004946F6">
              <w:rPr>
                <w:i/>
                <w:iCs/>
                <w:sz w:val="28"/>
                <w:szCs w:val="28"/>
              </w:rPr>
              <w:t>4</w:t>
            </w:r>
          </w:p>
        </w:tc>
        <w:tc>
          <w:tcPr>
            <w:tcW w:w="845" w:type="dxa"/>
          </w:tcPr>
          <w:p w14:paraId="6842D919" w14:textId="0D723440" w:rsidR="00DD38D8" w:rsidRPr="004946F6" w:rsidDel="00A876C5" w:rsidRDefault="00DD38D8" w:rsidP="001D4259">
            <w:pPr>
              <w:rPr>
                <w:i/>
                <w:iCs/>
                <w:sz w:val="28"/>
                <w:szCs w:val="28"/>
              </w:rPr>
            </w:pPr>
            <w:r w:rsidRPr="004946F6">
              <w:rPr>
                <w:i/>
                <w:iCs/>
                <w:sz w:val="28"/>
                <w:szCs w:val="28"/>
              </w:rPr>
              <w:t>4A</w:t>
            </w:r>
          </w:p>
        </w:tc>
        <w:tc>
          <w:tcPr>
            <w:tcW w:w="851" w:type="dxa"/>
          </w:tcPr>
          <w:p w14:paraId="047AF787" w14:textId="75B26137" w:rsidR="00DD38D8" w:rsidRPr="004946F6" w:rsidRDefault="00DD38D8">
            <w:pPr>
              <w:rPr>
                <w:i/>
                <w:iCs/>
                <w:sz w:val="28"/>
                <w:szCs w:val="28"/>
              </w:rPr>
            </w:pPr>
            <w:r w:rsidRPr="004946F6">
              <w:rPr>
                <w:i/>
                <w:iCs/>
                <w:sz w:val="28"/>
                <w:szCs w:val="28"/>
              </w:rPr>
              <w:t>4AD</w:t>
            </w:r>
          </w:p>
        </w:tc>
      </w:tr>
      <w:tr w:rsidR="009C42DD" w:rsidRPr="004946F6" w14:paraId="5FC2F938" w14:textId="77777777" w:rsidTr="00F147A9">
        <w:tc>
          <w:tcPr>
            <w:tcW w:w="1530" w:type="dxa"/>
          </w:tcPr>
          <w:p w14:paraId="0A79505C" w14:textId="6461B51B" w:rsidR="009C42DD" w:rsidRPr="004946F6" w:rsidRDefault="00FF6050" w:rsidP="00EA0B44">
            <w:pPr>
              <w:rPr>
                <w:i/>
                <w:iCs/>
                <w:sz w:val="28"/>
                <w:szCs w:val="28"/>
              </w:rPr>
            </w:pPr>
            <m:oMathPara>
              <m:oMath>
                <m:sSubSup>
                  <m:sSubSupPr>
                    <m:ctrlPr>
                      <w:rPr>
                        <w:rFonts w:ascii="Cambria Math" w:hAnsi="Cambria Math"/>
                      </w:rPr>
                    </m:ctrlPr>
                  </m:sSubSupPr>
                  <m:e>
                    <m:r>
                      <m:rPr>
                        <m:sty m:val="p"/>
                      </m:rPr>
                      <w:rPr>
                        <w:rFonts w:ascii="Cambria Math" w:hAnsi="Cambria Math" w:hint="eastAsia"/>
                      </w:rPr>
                      <m:t>β</m:t>
                    </m:r>
                  </m:e>
                  <m:sub>
                    <m:r>
                      <w:rPr>
                        <w:rFonts w:ascii="Cambria Math" w:hAnsi="Cambria Math"/>
                      </w:rPr>
                      <m:t>rec</m:t>
                    </m:r>
                  </m:sub>
                  <m:sup>
                    <m:r>
                      <w:rPr>
                        <w:rFonts w:ascii="Cambria Math" w:hAnsi="Cambria Math"/>
                      </w:rPr>
                      <m:t>temp</m:t>
                    </m:r>
                  </m:sup>
                </m:sSubSup>
              </m:oMath>
            </m:oMathPara>
          </w:p>
        </w:tc>
        <w:tc>
          <w:tcPr>
            <w:tcW w:w="855" w:type="dxa"/>
          </w:tcPr>
          <w:p w14:paraId="6B0C93A4" w14:textId="77777777" w:rsidR="009C42DD" w:rsidRPr="004946F6" w:rsidRDefault="009C42DD" w:rsidP="00EA0B44">
            <w:pPr>
              <w:rPr>
                <w:i/>
                <w:iCs/>
                <w:sz w:val="28"/>
                <w:szCs w:val="28"/>
              </w:rPr>
            </w:pPr>
            <w:r w:rsidRPr="004946F6">
              <w:rPr>
                <w:i/>
                <w:iCs/>
                <w:sz w:val="28"/>
                <w:szCs w:val="28"/>
              </w:rPr>
              <w:t>.51</w:t>
            </w:r>
          </w:p>
        </w:tc>
        <w:tc>
          <w:tcPr>
            <w:tcW w:w="926" w:type="dxa"/>
          </w:tcPr>
          <w:p w14:paraId="5C88D996" w14:textId="77777777" w:rsidR="009C42DD" w:rsidRPr="004946F6" w:rsidRDefault="009C42DD" w:rsidP="00EA0B44">
            <w:pPr>
              <w:rPr>
                <w:i/>
                <w:iCs/>
                <w:sz w:val="28"/>
                <w:szCs w:val="28"/>
              </w:rPr>
            </w:pPr>
            <w:r w:rsidRPr="004946F6">
              <w:rPr>
                <w:i/>
                <w:iCs/>
                <w:sz w:val="28"/>
                <w:szCs w:val="28"/>
              </w:rPr>
              <w:t>.51</w:t>
            </w:r>
          </w:p>
        </w:tc>
        <w:tc>
          <w:tcPr>
            <w:tcW w:w="926" w:type="dxa"/>
          </w:tcPr>
          <w:p w14:paraId="091035A0" w14:textId="77777777" w:rsidR="009C42DD" w:rsidRPr="004946F6" w:rsidRDefault="009C42DD" w:rsidP="00EA0B44">
            <w:pPr>
              <w:rPr>
                <w:i/>
                <w:iCs/>
                <w:sz w:val="28"/>
                <w:szCs w:val="28"/>
              </w:rPr>
            </w:pPr>
            <w:r w:rsidRPr="004946F6">
              <w:rPr>
                <w:i/>
                <w:iCs/>
                <w:sz w:val="28"/>
                <w:szCs w:val="28"/>
              </w:rPr>
              <w:t>.51</w:t>
            </w:r>
          </w:p>
        </w:tc>
        <w:tc>
          <w:tcPr>
            <w:tcW w:w="926" w:type="dxa"/>
          </w:tcPr>
          <w:p w14:paraId="4DE5DE57" w14:textId="77777777" w:rsidR="009C42DD" w:rsidRPr="004946F6" w:rsidRDefault="009C42DD" w:rsidP="00EA0B44">
            <w:pPr>
              <w:rPr>
                <w:i/>
                <w:iCs/>
                <w:sz w:val="28"/>
                <w:szCs w:val="28"/>
              </w:rPr>
            </w:pPr>
            <w:r w:rsidRPr="004946F6">
              <w:rPr>
                <w:i/>
                <w:iCs/>
                <w:sz w:val="28"/>
                <w:szCs w:val="28"/>
              </w:rPr>
              <w:t>0</w:t>
            </w:r>
          </w:p>
        </w:tc>
        <w:tc>
          <w:tcPr>
            <w:tcW w:w="713" w:type="dxa"/>
          </w:tcPr>
          <w:p w14:paraId="6179D3FE" w14:textId="407D6E75" w:rsidR="009C42DD" w:rsidRPr="004946F6" w:rsidRDefault="009C42DD" w:rsidP="00EA0B44">
            <w:pPr>
              <w:rPr>
                <w:i/>
                <w:iCs/>
                <w:sz w:val="28"/>
                <w:szCs w:val="28"/>
              </w:rPr>
            </w:pPr>
            <w:r w:rsidRPr="004946F6">
              <w:rPr>
                <w:i/>
                <w:iCs/>
                <w:sz w:val="28"/>
                <w:szCs w:val="28"/>
              </w:rPr>
              <w:t>.51</w:t>
            </w:r>
          </w:p>
        </w:tc>
        <w:tc>
          <w:tcPr>
            <w:tcW w:w="713" w:type="dxa"/>
          </w:tcPr>
          <w:p w14:paraId="627E9F6D" w14:textId="6FE0AF8C" w:rsidR="009C42DD" w:rsidRPr="004946F6" w:rsidRDefault="009C42DD" w:rsidP="00EA0B44">
            <w:pPr>
              <w:rPr>
                <w:i/>
                <w:iCs/>
                <w:sz w:val="28"/>
                <w:szCs w:val="28"/>
              </w:rPr>
            </w:pPr>
            <w:r w:rsidRPr="004946F6">
              <w:rPr>
                <w:i/>
                <w:iCs/>
                <w:sz w:val="28"/>
                <w:szCs w:val="28"/>
              </w:rPr>
              <w:t>.51</w:t>
            </w:r>
          </w:p>
        </w:tc>
        <w:tc>
          <w:tcPr>
            <w:tcW w:w="713" w:type="dxa"/>
          </w:tcPr>
          <w:p w14:paraId="5A16ACA4" w14:textId="34E8CFF4" w:rsidR="009C42DD" w:rsidRPr="004946F6" w:rsidRDefault="009C42DD" w:rsidP="00EA0B44">
            <w:pPr>
              <w:rPr>
                <w:i/>
                <w:iCs/>
                <w:sz w:val="28"/>
                <w:szCs w:val="28"/>
              </w:rPr>
            </w:pPr>
            <w:r w:rsidRPr="004946F6">
              <w:rPr>
                <w:i/>
                <w:iCs/>
                <w:sz w:val="28"/>
                <w:szCs w:val="28"/>
              </w:rPr>
              <w:t>0.4</w:t>
            </w:r>
          </w:p>
        </w:tc>
        <w:tc>
          <w:tcPr>
            <w:tcW w:w="926" w:type="dxa"/>
          </w:tcPr>
          <w:p w14:paraId="2DF5815B" w14:textId="56DC3CD5" w:rsidR="009C42DD" w:rsidRPr="004946F6" w:rsidRDefault="009C42DD" w:rsidP="00EA0B44">
            <w:pPr>
              <w:rPr>
                <w:i/>
                <w:iCs/>
                <w:sz w:val="28"/>
                <w:szCs w:val="28"/>
              </w:rPr>
            </w:pPr>
            <w:r w:rsidRPr="004946F6">
              <w:rPr>
                <w:i/>
                <w:iCs/>
                <w:sz w:val="28"/>
                <w:szCs w:val="28"/>
              </w:rPr>
              <w:t>.51</w:t>
            </w:r>
          </w:p>
        </w:tc>
        <w:tc>
          <w:tcPr>
            <w:tcW w:w="845" w:type="dxa"/>
          </w:tcPr>
          <w:p w14:paraId="05CED905" w14:textId="70DAA00D" w:rsidR="009C42DD" w:rsidRPr="004946F6" w:rsidDel="00965DC8" w:rsidRDefault="009C42DD" w:rsidP="00EA0B44">
            <w:pPr>
              <w:rPr>
                <w:i/>
                <w:iCs/>
                <w:sz w:val="28"/>
                <w:szCs w:val="28"/>
              </w:rPr>
            </w:pPr>
            <w:r w:rsidRPr="004946F6">
              <w:rPr>
                <w:i/>
                <w:iCs/>
                <w:sz w:val="28"/>
                <w:szCs w:val="28"/>
              </w:rPr>
              <w:t>.51</w:t>
            </w:r>
          </w:p>
        </w:tc>
        <w:tc>
          <w:tcPr>
            <w:tcW w:w="851" w:type="dxa"/>
          </w:tcPr>
          <w:p w14:paraId="728F93C4" w14:textId="57488094" w:rsidR="009C42DD" w:rsidRPr="004946F6" w:rsidRDefault="009C42DD" w:rsidP="00EA0B44">
            <w:pPr>
              <w:rPr>
                <w:i/>
                <w:iCs/>
                <w:sz w:val="28"/>
                <w:szCs w:val="28"/>
              </w:rPr>
            </w:pPr>
            <w:r w:rsidRPr="004946F6">
              <w:rPr>
                <w:i/>
                <w:iCs/>
                <w:sz w:val="28"/>
                <w:szCs w:val="28"/>
              </w:rPr>
              <w:t>.51</w:t>
            </w:r>
          </w:p>
        </w:tc>
      </w:tr>
      <w:tr w:rsidR="009C42DD" w:rsidRPr="004946F6" w14:paraId="3C272804" w14:textId="77777777" w:rsidTr="00F147A9">
        <w:tc>
          <w:tcPr>
            <w:tcW w:w="1530" w:type="dxa"/>
          </w:tcPr>
          <w:p w14:paraId="55DFD294" w14:textId="136DB1AA" w:rsidR="009C42DD" w:rsidRPr="004946F6" w:rsidRDefault="00FF6050" w:rsidP="00EA0B44">
            <w:pPr>
              <w:rPr>
                <w:i/>
                <w:iCs/>
                <w:sz w:val="28"/>
                <w:szCs w:val="28"/>
              </w:rPr>
            </w:pPr>
            <m:oMathPara>
              <m:oMath>
                <m:sSubSup>
                  <m:sSubSupPr>
                    <m:ctrlPr>
                      <w:rPr>
                        <w:rFonts w:ascii="Cambria Math" w:hAnsi="Cambria Math"/>
                      </w:rPr>
                    </m:ctrlPr>
                  </m:sSubSupPr>
                  <m:e>
                    <m:r>
                      <m:rPr>
                        <m:sty m:val="p"/>
                      </m:rPr>
                      <w:rPr>
                        <w:rFonts w:ascii="Cambria Math" w:hAnsi="Cambria Math" w:hint="eastAsia"/>
                      </w:rPr>
                      <m:t>β</m:t>
                    </m:r>
                  </m:e>
                  <m:sub>
                    <m:r>
                      <w:rPr>
                        <w:rFonts w:ascii="Cambria Math" w:hAnsi="Cambria Math"/>
                      </w:rPr>
                      <m:t>rec</m:t>
                    </m:r>
                  </m:sub>
                  <m:sup>
                    <m:r>
                      <w:rPr>
                        <w:rFonts w:ascii="Cambria Math" w:hAnsi="Cambria Math"/>
                      </w:rPr>
                      <m:t>emot</m:t>
                    </m:r>
                  </m:sup>
                </m:sSubSup>
              </m:oMath>
            </m:oMathPara>
          </w:p>
        </w:tc>
        <w:tc>
          <w:tcPr>
            <w:tcW w:w="855" w:type="dxa"/>
          </w:tcPr>
          <w:p w14:paraId="069E4D90" w14:textId="77777777" w:rsidR="009C42DD" w:rsidRPr="004946F6" w:rsidRDefault="009C42DD" w:rsidP="00EA0B44">
            <w:pPr>
              <w:rPr>
                <w:i/>
                <w:iCs/>
                <w:sz w:val="28"/>
                <w:szCs w:val="28"/>
              </w:rPr>
            </w:pPr>
            <w:r w:rsidRPr="004946F6">
              <w:rPr>
                <w:i/>
                <w:iCs/>
                <w:sz w:val="28"/>
                <w:szCs w:val="28"/>
              </w:rPr>
              <w:t>.588</w:t>
            </w:r>
          </w:p>
        </w:tc>
        <w:tc>
          <w:tcPr>
            <w:tcW w:w="926" w:type="dxa"/>
          </w:tcPr>
          <w:p w14:paraId="02123FF8" w14:textId="77777777" w:rsidR="009C42DD" w:rsidRPr="004946F6" w:rsidRDefault="009C42DD" w:rsidP="00EA0B44">
            <w:pPr>
              <w:rPr>
                <w:i/>
                <w:iCs/>
                <w:sz w:val="28"/>
                <w:szCs w:val="28"/>
              </w:rPr>
            </w:pPr>
            <w:r w:rsidRPr="004946F6">
              <w:rPr>
                <w:i/>
                <w:iCs/>
                <w:sz w:val="28"/>
                <w:szCs w:val="28"/>
              </w:rPr>
              <w:t>.588</w:t>
            </w:r>
          </w:p>
        </w:tc>
        <w:tc>
          <w:tcPr>
            <w:tcW w:w="926" w:type="dxa"/>
          </w:tcPr>
          <w:p w14:paraId="112CB87B" w14:textId="77777777" w:rsidR="009C42DD" w:rsidRPr="004946F6" w:rsidRDefault="009C42DD" w:rsidP="00EA0B44">
            <w:pPr>
              <w:rPr>
                <w:i/>
                <w:iCs/>
                <w:sz w:val="28"/>
                <w:szCs w:val="28"/>
              </w:rPr>
            </w:pPr>
            <w:r w:rsidRPr="004946F6">
              <w:rPr>
                <w:i/>
                <w:iCs/>
                <w:sz w:val="28"/>
                <w:szCs w:val="28"/>
              </w:rPr>
              <w:t>.588</w:t>
            </w:r>
          </w:p>
        </w:tc>
        <w:tc>
          <w:tcPr>
            <w:tcW w:w="926" w:type="dxa"/>
          </w:tcPr>
          <w:p w14:paraId="7BAE00AD" w14:textId="77777777" w:rsidR="009C42DD" w:rsidRPr="004946F6" w:rsidRDefault="009C42DD" w:rsidP="00EA0B44">
            <w:pPr>
              <w:rPr>
                <w:i/>
                <w:iCs/>
                <w:sz w:val="28"/>
                <w:szCs w:val="28"/>
              </w:rPr>
            </w:pPr>
            <w:r w:rsidRPr="004946F6">
              <w:rPr>
                <w:i/>
                <w:iCs/>
                <w:sz w:val="28"/>
                <w:szCs w:val="28"/>
              </w:rPr>
              <w:t>0</w:t>
            </w:r>
          </w:p>
        </w:tc>
        <w:tc>
          <w:tcPr>
            <w:tcW w:w="713" w:type="dxa"/>
          </w:tcPr>
          <w:p w14:paraId="739CC17A" w14:textId="27035306" w:rsidR="009C42DD" w:rsidRPr="004946F6" w:rsidRDefault="009C42DD" w:rsidP="00EA0B44">
            <w:pPr>
              <w:rPr>
                <w:i/>
                <w:iCs/>
                <w:sz w:val="28"/>
                <w:szCs w:val="28"/>
              </w:rPr>
            </w:pPr>
            <w:r w:rsidRPr="004946F6">
              <w:rPr>
                <w:i/>
                <w:iCs/>
                <w:sz w:val="28"/>
                <w:szCs w:val="28"/>
              </w:rPr>
              <w:t>.588</w:t>
            </w:r>
          </w:p>
        </w:tc>
        <w:tc>
          <w:tcPr>
            <w:tcW w:w="713" w:type="dxa"/>
          </w:tcPr>
          <w:p w14:paraId="3E6DC29B" w14:textId="19BB6E97" w:rsidR="009C42DD" w:rsidRPr="004946F6" w:rsidRDefault="009C42DD" w:rsidP="00EA0B44">
            <w:pPr>
              <w:rPr>
                <w:i/>
                <w:iCs/>
                <w:sz w:val="28"/>
                <w:szCs w:val="28"/>
              </w:rPr>
            </w:pPr>
            <w:r w:rsidRPr="004946F6">
              <w:rPr>
                <w:i/>
                <w:iCs/>
                <w:sz w:val="28"/>
                <w:szCs w:val="28"/>
              </w:rPr>
              <w:t>.588</w:t>
            </w:r>
          </w:p>
        </w:tc>
        <w:tc>
          <w:tcPr>
            <w:tcW w:w="713" w:type="dxa"/>
          </w:tcPr>
          <w:p w14:paraId="54364DD3" w14:textId="2EB705FF" w:rsidR="009C42DD" w:rsidRPr="004946F6" w:rsidRDefault="009C42DD" w:rsidP="00EA0B44">
            <w:pPr>
              <w:rPr>
                <w:i/>
                <w:iCs/>
                <w:sz w:val="28"/>
                <w:szCs w:val="28"/>
              </w:rPr>
            </w:pPr>
            <w:r w:rsidRPr="004946F6">
              <w:rPr>
                <w:i/>
                <w:iCs/>
                <w:sz w:val="28"/>
                <w:szCs w:val="28"/>
              </w:rPr>
              <w:t>.588</w:t>
            </w:r>
          </w:p>
        </w:tc>
        <w:tc>
          <w:tcPr>
            <w:tcW w:w="926" w:type="dxa"/>
          </w:tcPr>
          <w:p w14:paraId="7FD16885" w14:textId="32E9F3AF" w:rsidR="009C42DD" w:rsidRPr="004946F6" w:rsidRDefault="009C42DD" w:rsidP="00EA0B44">
            <w:pPr>
              <w:rPr>
                <w:i/>
                <w:iCs/>
                <w:sz w:val="28"/>
                <w:szCs w:val="28"/>
              </w:rPr>
            </w:pPr>
            <w:r w:rsidRPr="004946F6">
              <w:rPr>
                <w:i/>
                <w:iCs/>
                <w:sz w:val="28"/>
                <w:szCs w:val="28"/>
              </w:rPr>
              <w:t>.588</w:t>
            </w:r>
          </w:p>
        </w:tc>
        <w:tc>
          <w:tcPr>
            <w:tcW w:w="845" w:type="dxa"/>
          </w:tcPr>
          <w:p w14:paraId="1BD80957" w14:textId="0E3B14E0" w:rsidR="009C42DD" w:rsidRPr="004946F6" w:rsidDel="00965DC8" w:rsidRDefault="009C42DD" w:rsidP="00EA0B44">
            <w:pPr>
              <w:rPr>
                <w:i/>
                <w:iCs/>
                <w:sz w:val="28"/>
                <w:szCs w:val="28"/>
              </w:rPr>
            </w:pPr>
            <w:r w:rsidRPr="004946F6">
              <w:rPr>
                <w:i/>
                <w:iCs/>
                <w:sz w:val="28"/>
                <w:szCs w:val="28"/>
              </w:rPr>
              <w:t>.588</w:t>
            </w:r>
          </w:p>
        </w:tc>
        <w:tc>
          <w:tcPr>
            <w:tcW w:w="851" w:type="dxa"/>
          </w:tcPr>
          <w:p w14:paraId="650E4FF6" w14:textId="13798283" w:rsidR="009C42DD" w:rsidRPr="004946F6" w:rsidRDefault="009C42DD" w:rsidP="00EA0B44">
            <w:pPr>
              <w:rPr>
                <w:i/>
                <w:iCs/>
                <w:sz w:val="28"/>
                <w:szCs w:val="28"/>
              </w:rPr>
            </w:pPr>
            <w:r w:rsidRPr="004946F6">
              <w:rPr>
                <w:i/>
                <w:iCs/>
                <w:sz w:val="28"/>
                <w:szCs w:val="28"/>
              </w:rPr>
              <w:t>.588</w:t>
            </w:r>
          </w:p>
        </w:tc>
      </w:tr>
      <w:tr w:rsidR="009C42DD" w:rsidRPr="004946F6" w14:paraId="1C80F521" w14:textId="77777777" w:rsidTr="00F147A9">
        <w:tc>
          <w:tcPr>
            <w:tcW w:w="1530" w:type="dxa"/>
          </w:tcPr>
          <w:p w14:paraId="4536E410" w14:textId="72458CF6" w:rsidR="009C42DD" w:rsidRPr="004946F6" w:rsidRDefault="00FF6050" w:rsidP="00EA0B44">
            <w:pPr>
              <w:rPr>
                <w:i/>
                <w:iCs/>
                <w:sz w:val="28"/>
                <w:szCs w:val="28"/>
              </w:rPr>
            </w:pPr>
            <m:oMathPara>
              <m:oMath>
                <m:sSubSup>
                  <m:sSubSupPr>
                    <m:ctrlPr>
                      <w:rPr>
                        <w:rFonts w:ascii="Cambria Math" w:hAnsi="Cambria Math"/>
                        <w:i/>
                      </w:rPr>
                    </m:ctrlPr>
                  </m:sSubSupPr>
                  <m:e>
                    <m:r>
                      <w:rPr>
                        <w:rFonts w:ascii="Cambria Math" w:hAnsi="Cambria Math"/>
                      </w:rPr>
                      <m:t>L</m:t>
                    </m:r>
                  </m:e>
                  <m:sub>
                    <m:r>
                      <w:rPr>
                        <w:rFonts w:ascii="Cambria Math" w:hAnsi="Cambria Math"/>
                      </w:rPr>
                      <m:t>tw</m:t>
                    </m:r>
                  </m:sub>
                  <m:sup>
                    <m:r>
                      <w:rPr>
                        <w:rFonts w:ascii="Cambria Math" w:hAnsi="Cambria Math"/>
                      </w:rPr>
                      <m:t>CF</m:t>
                    </m:r>
                  </m:sup>
                </m:sSubSup>
              </m:oMath>
            </m:oMathPara>
          </w:p>
        </w:tc>
        <w:tc>
          <w:tcPr>
            <w:tcW w:w="855" w:type="dxa"/>
          </w:tcPr>
          <w:p w14:paraId="65D82602" w14:textId="77777777" w:rsidR="009C42DD" w:rsidRPr="004946F6" w:rsidRDefault="009C42DD" w:rsidP="00EA0B44">
            <w:pPr>
              <w:rPr>
                <w:i/>
                <w:iCs/>
                <w:sz w:val="28"/>
                <w:szCs w:val="28"/>
              </w:rPr>
            </w:pPr>
            <w:r w:rsidRPr="004946F6">
              <w:rPr>
                <w:i/>
                <w:iCs/>
                <w:sz w:val="28"/>
                <w:szCs w:val="28"/>
              </w:rPr>
              <w:t>1</w:t>
            </w:r>
          </w:p>
        </w:tc>
        <w:tc>
          <w:tcPr>
            <w:tcW w:w="926" w:type="dxa"/>
          </w:tcPr>
          <w:p w14:paraId="3036FFA8" w14:textId="77777777" w:rsidR="009C42DD" w:rsidRPr="004946F6" w:rsidRDefault="009C42DD" w:rsidP="00EA0B44">
            <w:pPr>
              <w:rPr>
                <w:i/>
                <w:iCs/>
                <w:sz w:val="28"/>
                <w:szCs w:val="28"/>
              </w:rPr>
            </w:pPr>
            <w:r w:rsidRPr="004946F6">
              <w:rPr>
                <w:i/>
                <w:iCs/>
                <w:sz w:val="28"/>
                <w:szCs w:val="28"/>
              </w:rPr>
              <w:t>.3</w:t>
            </w:r>
          </w:p>
        </w:tc>
        <w:tc>
          <w:tcPr>
            <w:tcW w:w="926" w:type="dxa"/>
          </w:tcPr>
          <w:p w14:paraId="48FA9D35" w14:textId="77777777" w:rsidR="009C42DD" w:rsidRPr="004946F6" w:rsidRDefault="009C42DD" w:rsidP="00EA0B44">
            <w:pPr>
              <w:rPr>
                <w:i/>
                <w:iCs/>
                <w:sz w:val="28"/>
                <w:szCs w:val="28"/>
              </w:rPr>
            </w:pPr>
            <w:r w:rsidRPr="004946F6">
              <w:rPr>
                <w:i/>
                <w:iCs/>
                <w:sz w:val="28"/>
                <w:szCs w:val="28"/>
              </w:rPr>
              <w:t>.3</w:t>
            </w:r>
          </w:p>
        </w:tc>
        <w:tc>
          <w:tcPr>
            <w:tcW w:w="926" w:type="dxa"/>
          </w:tcPr>
          <w:p w14:paraId="516DD78A" w14:textId="77777777" w:rsidR="009C42DD" w:rsidRPr="004946F6" w:rsidRDefault="009C42DD" w:rsidP="00EA0B44">
            <w:pPr>
              <w:rPr>
                <w:i/>
                <w:iCs/>
                <w:sz w:val="28"/>
                <w:szCs w:val="28"/>
              </w:rPr>
            </w:pPr>
            <w:r w:rsidRPr="004946F6">
              <w:rPr>
                <w:i/>
                <w:iCs/>
                <w:sz w:val="28"/>
                <w:szCs w:val="28"/>
              </w:rPr>
              <w:t>.3</w:t>
            </w:r>
          </w:p>
        </w:tc>
        <w:tc>
          <w:tcPr>
            <w:tcW w:w="713" w:type="dxa"/>
          </w:tcPr>
          <w:p w14:paraId="19685B4F" w14:textId="4594E2D3" w:rsidR="009C42DD" w:rsidRPr="004946F6" w:rsidRDefault="009C42DD" w:rsidP="00EA0B44">
            <w:pPr>
              <w:rPr>
                <w:i/>
                <w:iCs/>
                <w:sz w:val="28"/>
                <w:szCs w:val="28"/>
              </w:rPr>
            </w:pPr>
            <w:r w:rsidRPr="004946F6">
              <w:rPr>
                <w:i/>
                <w:iCs/>
                <w:sz w:val="28"/>
                <w:szCs w:val="28"/>
              </w:rPr>
              <w:t>.3</w:t>
            </w:r>
          </w:p>
        </w:tc>
        <w:tc>
          <w:tcPr>
            <w:tcW w:w="713" w:type="dxa"/>
          </w:tcPr>
          <w:p w14:paraId="1C453CB6" w14:textId="468E55DF" w:rsidR="009C42DD" w:rsidRPr="004946F6" w:rsidRDefault="009C42DD" w:rsidP="00EA0B44">
            <w:pPr>
              <w:rPr>
                <w:i/>
                <w:iCs/>
                <w:sz w:val="28"/>
                <w:szCs w:val="28"/>
              </w:rPr>
            </w:pPr>
            <w:r w:rsidRPr="004946F6">
              <w:rPr>
                <w:i/>
                <w:iCs/>
                <w:sz w:val="28"/>
                <w:szCs w:val="28"/>
              </w:rPr>
              <w:t>1</w:t>
            </w:r>
          </w:p>
        </w:tc>
        <w:tc>
          <w:tcPr>
            <w:tcW w:w="713" w:type="dxa"/>
          </w:tcPr>
          <w:p w14:paraId="3E224E78" w14:textId="543A5290" w:rsidR="009C42DD" w:rsidRPr="004946F6" w:rsidRDefault="009C42DD" w:rsidP="00EA0B44">
            <w:pPr>
              <w:rPr>
                <w:i/>
                <w:iCs/>
                <w:sz w:val="28"/>
                <w:szCs w:val="28"/>
              </w:rPr>
            </w:pPr>
            <w:r w:rsidRPr="004946F6">
              <w:rPr>
                <w:i/>
                <w:iCs/>
                <w:sz w:val="28"/>
                <w:szCs w:val="28"/>
              </w:rPr>
              <w:t>.2</w:t>
            </w:r>
          </w:p>
        </w:tc>
        <w:tc>
          <w:tcPr>
            <w:tcW w:w="926" w:type="dxa"/>
          </w:tcPr>
          <w:p w14:paraId="4B3DB123" w14:textId="37909FC7" w:rsidR="009C42DD" w:rsidRPr="004946F6" w:rsidRDefault="009C42DD" w:rsidP="00EA0B44">
            <w:pPr>
              <w:rPr>
                <w:i/>
                <w:iCs/>
                <w:sz w:val="28"/>
                <w:szCs w:val="28"/>
              </w:rPr>
            </w:pPr>
            <w:r w:rsidRPr="004946F6">
              <w:rPr>
                <w:i/>
                <w:iCs/>
                <w:sz w:val="28"/>
                <w:szCs w:val="28"/>
              </w:rPr>
              <w:t>.5</w:t>
            </w:r>
          </w:p>
        </w:tc>
        <w:tc>
          <w:tcPr>
            <w:tcW w:w="845" w:type="dxa"/>
          </w:tcPr>
          <w:p w14:paraId="5BD2023A" w14:textId="0B9C9C7C" w:rsidR="009C42DD" w:rsidRPr="004946F6" w:rsidDel="007425DA" w:rsidRDefault="009C42DD" w:rsidP="00EA0B44">
            <w:pPr>
              <w:rPr>
                <w:i/>
                <w:iCs/>
                <w:sz w:val="28"/>
                <w:szCs w:val="28"/>
              </w:rPr>
            </w:pPr>
            <w:r w:rsidRPr="004946F6">
              <w:rPr>
                <w:i/>
                <w:iCs/>
                <w:sz w:val="28"/>
                <w:szCs w:val="28"/>
              </w:rPr>
              <w:t>.5</w:t>
            </w:r>
          </w:p>
        </w:tc>
        <w:tc>
          <w:tcPr>
            <w:tcW w:w="851" w:type="dxa"/>
          </w:tcPr>
          <w:p w14:paraId="4D5F15E6" w14:textId="424E5402" w:rsidR="009C42DD" w:rsidRPr="004946F6" w:rsidRDefault="009C42DD" w:rsidP="00EA0B44">
            <w:pPr>
              <w:rPr>
                <w:i/>
                <w:iCs/>
                <w:sz w:val="28"/>
                <w:szCs w:val="28"/>
              </w:rPr>
            </w:pPr>
            <w:r w:rsidRPr="004946F6">
              <w:rPr>
                <w:i/>
                <w:iCs/>
                <w:sz w:val="28"/>
                <w:szCs w:val="28"/>
              </w:rPr>
              <w:t>.5</w:t>
            </w:r>
          </w:p>
        </w:tc>
      </w:tr>
      <w:tr w:rsidR="009C42DD" w:rsidRPr="004946F6" w14:paraId="22C5C9A5" w14:textId="77777777" w:rsidTr="00F147A9">
        <w:tc>
          <w:tcPr>
            <w:tcW w:w="1530" w:type="dxa"/>
          </w:tcPr>
          <w:p w14:paraId="1A48A26C" w14:textId="713DC122" w:rsidR="009C42DD" w:rsidRPr="004946F6" w:rsidRDefault="00FF6050" w:rsidP="00EA0B44">
            <w:pPr>
              <w:rPr>
                <w:i/>
                <w:iCs/>
                <w:sz w:val="28"/>
                <w:szCs w:val="28"/>
              </w:rPr>
            </w:pPr>
            <m:oMathPara>
              <m:oMath>
                <m:sSubSup>
                  <m:sSubSupPr>
                    <m:ctrlPr>
                      <w:rPr>
                        <w:rFonts w:ascii="Cambria Math" w:hAnsi="Cambria Math"/>
                        <w:i/>
                      </w:rPr>
                    </m:ctrlPr>
                  </m:sSubSupPr>
                  <m:e>
                    <m:r>
                      <w:rPr>
                        <w:rFonts w:ascii="Cambria Math" w:hAnsi="Cambria Math"/>
                      </w:rPr>
                      <m:t>L</m:t>
                    </m:r>
                  </m:e>
                  <m:sub>
                    <m:r>
                      <w:rPr>
                        <w:rFonts w:ascii="Cambria Math" w:hAnsi="Cambria Math"/>
                      </w:rPr>
                      <m:t>wt</m:t>
                    </m:r>
                  </m:sub>
                  <m:sup>
                    <m:r>
                      <w:rPr>
                        <w:rFonts w:ascii="Cambria Math" w:hAnsi="Cambria Math"/>
                      </w:rPr>
                      <m:t>FC</m:t>
                    </m:r>
                  </m:sup>
                </m:sSubSup>
              </m:oMath>
            </m:oMathPara>
          </w:p>
        </w:tc>
        <w:tc>
          <w:tcPr>
            <w:tcW w:w="855" w:type="dxa"/>
          </w:tcPr>
          <w:p w14:paraId="6F8BBBE2" w14:textId="51F9ABD7" w:rsidR="009C42DD" w:rsidRPr="004946F6" w:rsidRDefault="009C42DD" w:rsidP="0039796E">
            <w:pPr>
              <w:rPr>
                <w:rFonts w:ascii="Courier New" w:hAnsi="Courier New" w:cs="Courier New"/>
                <w:sz w:val="24"/>
                <w:szCs w:val="24"/>
                <w:lang w:bidi="he-IL"/>
              </w:rPr>
            </w:pPr>
            <w:r w:rsidRPr="004946F6">
              <w:rPr>
                <w:i/>
                <w:iCs/>
                <w:sz w:val="28"/>
                <w:szCs w:val="28"/>
              </w:rPr>
              <w:t>.898</w:t>
            </w:r>
          </w:p>
        </w:tc>
        <w:tc>
          <w:tcPr>
            <w:tcW w:w="926" w:type="dxa"/>
          </w:tcPr>
          <w:p w14:paraId="5EB3C536" w14:textId="72422C25" w:rsidR="009C42DD" w:rsidRPr="004946F6" w:rsidRDefault="009C42DD" w:rsidP="00EA0B44">
            <w:pPr>
              <w:rPr>
                <w:i/>
                <w:iCs/>
                <w:sz w:val="28"/>
                <w:szCs w:val="28"/>
              </w:rPr>
            </w:pPr>
            <w:r w:rsidRPr="004946F6">
              <w:rPr>
                <w:i/>
                <w:iCs/>
                <w:sz w:val="28"/>
                <w:szCs w:val="28"/>
              </w:rPr>
              <w:t>.898</w:t>
            </w:r>
          </w:p>
        </w:tc>
        <w:tc>
          <w:tcPr>
            <w:tcW w:w="926" w:type="dxa"/>
          </w:tcPr>
          <w:p w14:paraId="31A1890D" w14:textId="6FA48DDC" w:rsidR="009C42DD" w:rsidRPr="004946F6" w:rsidRDefault="009C42DD" w:rsidP="00EA0B44">
            <w:pPr>
              <w:rPr>
                <w:i/>
                <w:iCs/>
                <w:sz w:val="28"/>
                <w:szCs w:val="28"/>
              </w:rPr>
            </w:pPr>
            <w:r w:rsidRPr="004946F6">
              <w:rPr>
                <w:i/>
                <w:iCs/>
                <w:sz w:val="28"/>
                <w:szCs w:val="28"/>
              </w:rPr>
              <w:t>.898</w:t>
            </w:r>
          </w:p>
        </w:tc>
        <w:tc>
          <w:tcPr>
            <w:tcW w:w="926" w:type="dxa"/>
          </w:tcPr>
          <w:p w14:paraId="1D1388CC" w14:textId="16E32BE2" w:rsidR="009C42DD" w:rsidRPr="004946F6" w:rsidRDefault="009C42DD" w:rsidP="00EA0B44">
            <w:pPr>
              <w:rPr>
                <w:i/>
                <w:iCs/>
                <w:sz w:val="28"/>
                <w:szCs w:val="28"/>
              </w:rPr>
            </w:pPr>
            <w:r w:rsidRPr="004946F6">
              <w:rPr>
                <w:i/>
                <w:iCs/>
                <w:sz w:val="28"/>
                <w:szCs w:val="28"/>
              </w:rPr>
              <w:t>.898</w:t>
            </w:r>
          </w:p>
        </w:tc>
        <w:tc>
          <w:tcPr>
            <w:tcW w:w="713" w:type="dxa"/>
          </w:tcPr>
          <w:p w14:paraId="7CD9EB06" w14:textId="6BD3045F" w:rsidR="009C42DD" w:rsidRPr="004946F6" w:rsidRDefault="009C42DD" w:rsidP="00EA0B44">
            <w:pPr>
              <w:rPr>
                <w:i/>
                <w:iCs/>
                <w:sz w:val="28"/>
                <w:szCs w:val="28"/>
              </w:rPr>
            </w:pPr>
            <w:r w:rsidRPr="004946F6">
              <w:rPr>
                <w:i/>
                <w:iCs/>
                <w:sz w:val="28"/>
                <w:szCs w:val="28"/>
              </w:rPr>
              <w:t>.898</w:t>
            </w:r>
          </w:p>
        </w:tc>
        <w:tc>
          <w:tcPr>
            <w:tcW w:w="713" w:type="dxa"/>
          </w:tcPr>
          <w:p w14:paraId="7F26DD45" w14:textId="378B05B1" w:rsidR="009C42DD" w:rsidRPr="004946F6" w:rsidRDefault="009C42DD" w:rsidP="00EA0B44">
            <w:pPr>
              <w:rPr>
                <w:i/>
                <w:iCs/>
                <w:sz w:val="28"/>
                <w:szCs w:val="28"/>
              </w:rPr>
            </w:pPr>
            <w:r w:rsidRPr="004946F6">
              <w:rPr>
                <w:i/>
                <w:iCs/>
                <w:sz w:val="28"/>
                <w:szCs w:val="28"/>
              </w:rPr>
              <w:t>.898</w:t>
            </w:r>
          </w:p>
        </w:tc>
        <w:tc>
          <w:tcPr>
            <w:tcW w:w="713" w:type="dxa"/>
          </w:tcPr>
          <w:p w14:paraId="57C76F3F" w14:textId="7D886570" w:rsidR="009C42DD" w:rsidRPr="004946F6" w:rsidRDefault="009C42DD" w:rsidP="0003022F">
            <w:pPr>
              <w:rPr>
                <w:i/>
                <w:iCs/>
                <w:sz w:val="28"/>
                <w:szCs w:val="28"/>
              </w:rPr>
            </w:pPr>
            <w:r w:rsidRPr="004946F6">
              <w:rPr>
                <w:i/>
                <w:iCs/>
                <w:sz w:val="28"/>
                <w:szCs w:val="28"/>
              </w:rPr>
              <w:t>.</w:t>
            </w:r>
            <w:r w:rsidR="003121FB" w:rsidRPr="004946F6">
              <w:rPr>
                <w:i/>
                <w:iCs/>
                <w:sz w:val="28"/>
                <w:szCs w:val="28"/>
              </w:rPr>
              <w:t>3</w:t>
            </w:r>
            <w:r w:rsidR="0003022F" w:rsidRPr="004946F6">
              <w:rPr>
                <w:i/>
                <w:iCs/>
                <w:sz w:val="28"/>
                <w:szCs w:val="28"/>
              </w:rPr>
              <w:t>3</w:t>
            </w:r>
            <w:r w:rsidR="003121FB" w:rsidRPr="004946F6">
              <w:rPr>
                <w:i/>
                <w:iCs/>
                <w:sz w:val="28"/>
                <w:szCs w:val="28"/>
              </w:rPr>
              <w:t>4</w:t>
            </w:r>
          </w:p>
        </w:tc>
        <w:tc>
          <w:tcPr>
            <w:tcW w:w="926" w:type="dxa"/>
          </w:tcPr>
          <w:p w14:paraId="2F5CA717" w14:textId="2417336D" w:rsidR="009C42DD" w:rsidRPr="004946F6" w:rsidRDefault="009C42DD" w:rsidP="00EA0B44">
            <w:pPr>
              <w:rPr>
                <w:i/>
                <w:iCs/>
                <w:sz w:val="28"/>
                <w:szCs w:val="28"/>
              </w:rPr>
            </w:pPr>
            <w:r w:rsidRPr="004946F6">
              <w:rPr>
                <w:i/>
                <w:iCs/>
                <w:sz w:val="28"/>
                <w:szCs w:val="28"/>
              </w:rPr>
              <w:t>.898</w:t>
            </w:r>
          </w:p>
        </w:tc>
        <w:tc>
          <w:tcPr>
            <w:tcW w:w="845" w:type="dxa"/>
          </w:tcPr>
          <w:p w14:paraId="4535B7D1" w14:textId="122C02FD" w:rsidR="009C42DD" w:rsidRPr="004946F6" w:rsidDel="0049517A" w:rsidRDefault="009C42DD" w:rsidP="00EA0B44">
            <w:pPr>
              <w:rPr>
                <w:i/>
                <w:iCs/>
                <w:sz w:val="28"/>
                <w:szCs w:val="28"/>
              </w:rPr>
            </w:pPr>
            <w:r w:rsidRPr="004946F6">
              <w:rPr>
                <w:i/>
                <w:iCs/>
                <w:sz w:val="28"/>
                <w:szCs w:val="28"/>
              </w:rPr>
              <w:t>.898</w:t>
            </w:r>
          </w:p>
        </w:tc>
        <w:tc>
          <w:tcPr>
            <w:tcW w:w="851" w:type="dxa"/>
          </w:tcPr>
          <w:p w14:paraId="08556D3E" w14:textId="291CAA86" w:rsidR="009C42DD" w:rsidRPr="004946F6" w:rsidRDefault="009C42DD" w:rsidP="00EA0B44">
            <w:pPr>
              <w:rPr>
                <w:i/>
                <w:iCs/>
                <w:sz w:val="28"/>
                <w:szCs w:val="28"/>
              </w:rPr>
            </w:pPr>
            <w:r w:rsidRPr="004946F6">
              <w:rPr>
                <w:i/>
                <w:iCs/>
                <w:sz w:val="28"/>
                <w:szCs w:val="28"/>
              </w:rPr>
              <w:t>.898</w:t>
            </w:r>
          </w:p>
        </w:tc>
      </w:tr>
      <w:tr w:rsidR="009C42DD" w:rsidRPr="004946F6" w14:paraId="4B7C3348" w14:textId="77777777" w:rsidTr="00F147A9">
        <w:tc>
          <w:tcPr>
            <w:tcW w:w="1530" w:type="dxa"/>
          </w:tcPr>
          <w:p w14:paraId="18D5745E" w14:textId="1A1CDB03" w:rsidR="009C42DD" w:rsidRPr="004946F6" w:rsidRDefault="009C42DD" w:rsidP="00EA0B44">
            <w:pPr>
              <w:rPr>
                <w:i/>
                <w:iCs/>
              </w:rPr>
            </w:pPr>
            <m:oMathPara>
              <m:oMath>
                <m:r>
                  <w:rPr>
                    <w:rFonts w:ascii="Cambria Math" w:hAnsi="Cambria Math"/>
                  </w:rPr>
                  <m:t>d</m:t>
                </m:r>
              </m:oMath>
            </m:oMathPara>
          </w:p>
        </w:tc>
        <w:tc>
          <w:tcPr>
            <w:tcW w:w="855" w:type="dxa"/>
          </w:tcPr>
          <w:p w14:paraId="4FDE012E" w14:textId="77777777" w:rsidR="009C42DD" w:rsidRPr="004946F6" w:rsidRDefault="009C42DD" w:rsidP="00EA0B44">
            <w:pPr>
              <w:rPr>
                <w:i/>
                <w:iCs/>
                <w:sz w:val="28"/>
                <w:szCs w:val="28"/>
              </w:rPr>
            </w:pPr>
            <w:r w:rsidRPr="004946F6">
              <w:rPr>
                <w:i/>
                <w:iCs/>
                <w:sz w:val="28"/>
                <w:szCs w:val="28"/>
              </w:rPr>
              <w:t>.776</w:t>
            </w:r>
          </w:p>
        </w:tc>
        <w:tc>
          <w:tcPr>
            <w:tcW w:w="926" w:type="dxa"/>
          </w:tcPr>
          <w:p w14:paraId="12E0230C" w14:textId="4BC6ACEC" w:rsidR="009C42DD" w:rsidRPr="004946F6" w:rsidRDefault="009C42DD" w:rsidP="00EA0B44">
            <w:pPr>
              <w:rPr>
                <w:i/>
                <w:iCs/>
                <w:sz w:val="28"/>
                <w:szCs w:val="28"/>
              </w:rPr>
            </w:pPr>
            <w:r w:rsidRPr="004946F6">
              <w:rPr>
                <w:i/>
                <w:iCs/>
                <w:sz w:val="28"/>
                <w:szCs w:val="28"/>
              </w:rPr>
              <w:t>.3</w:t>
            </w:r>
          </w:p>
        </w:tc>
        <w:tc>
          <w:tcPr>
            <w:tcW w:w="926" w:type="dxa"/>
          </w:tcPr>
          <w:p w14:paraId="3BAD34F6" w14:textId="1FE4B633" w:rsidR="009C42DD" w:rsidRPr="004946F6" w:rsidRDefault="009C42DD" w:rsidP="00EA0B44">
            <w:pPr>
              <w:rPr>
                <w:i/>
                <w:iCs/>
                <w:sz w:val="28"/>
                <w:szCs w:val="28"/>
              </w:rPr>
            </w:pPr>
            <w:r w:rsidRPr="004946F6">
              <w:rPr>
                <w:i/>
                <w:iCs/>
                <w:sz w:val="28"/>
                <w:szCs w:val="28"/>
              </w:rPr>
              <w:t>.3</w:t>
            </w:r>
          </w:p>
        </w:tc>
        <w:tc>
          <w:tcPr>
            <w:tcW w:w="926" w:type="dxa"/>
          </w:tcPr>
          <w:p w14:paraId="7ED5A4A5" w14:textId="242E7B8D" w:rsidR="009C42DD" w:rsidRPr="004946F6" w:rsidRDefault="009C42DD" w:rsidP="00847C07">
            <w:pPr>
              <w:rPr>
                <w:i/>
                <w:iCs/>
                <w:sz w:val="28"/>
                <w:szCs w:val="28"/>
              </w:rPr>
            </w:pPr>
            <w:r w:rsidRPr="004946F6">
              <w:rPr>
                <w:i/>
                <w:iCs/>
                <w:sz w:val="28"/>
                <w:szCs w:val="28"/>
              </w:rPr>
              <w:t>.3</w:t>
            </w:r>
          </w:p>
        </w:tc>
        <w:tc>
          <w:tcPr>
            <w:tcW w:w="713" w:type="dxa"/>
          </w:tcPr>
          <w:p w14:paraId="3A6C5A3C" w14:textId="3CA076EC" w:rsidR="009C42DD" w:rsidRPr="004946F6" w:rsidRDefault="009C42DD" w:rsidP="00EA0B44">
            <w:pPr>
              <w:rPr>
                <w:i/>
                <w:iCs/>
                <w:sz w:val="28"/>
                <w:szCs w:val="28"/>
              </w:rPr>
            </w:pPr>
            <w:r w:rsidRPr="004946F6">
              <w:rPr>
                <w:i/>
                <w:iCs/>
                <w:sz w:val="28"/>
                <w:szCs w:val="28"/>
              </w:rPr>
              <w:t>.3</w:t>
            </w:r>
          </w:p>
        </w:tc>
        <w:tc>
          <w:tcPr>
            <w:tcW w:w="713" w:type="dxa"/>
          </w:tcPr>
          <w:p w14:paraId="52BDED86" w14:textId="6E3F2487" w:rsidR="009C42DD" w:rsidRPr="004946F6" w:rsidRDefault="009C42DD" w:rsidP="00EA0B44">
            <w:pPr>
              <w:rPr>
                <w:i/>
                <w:iCs/>
                <w:sz w:val="28"/>
                <w:szCs w:val="28"/>
              </w:rPr>
            </w:pPr>
            <w:r w:rsidRPr="004946F6">
              <w:rPr>
                <w:i/>
                <w:iCs/>
                <w:sz w:val="28"/>
                <w:szCs w:val="28"/>
              </w:rPr>
              <w:t>.3</w:t>
            </w:r>
          </w:p>
        </w:tc>
        <w:tc>
          <w:tcPr>
            <w:tcW w:w="713" w:type="dxa"/>
          </w:tcPr>
          <w:p w14:paraId="3A0BE2A6" w14:textId="79ECF500" w:rsidR="009C42DD" w:rsidRPr="004946F6" w:rsidRDefault="009C42DD" w:rsidP="00EA0B44">
            <w:pPr>
              <w:rPr>
                <w:i/>
                <w:iCs/>
                <w:sz w:val="28"/>
                <w:szCs w:val="28"/>
              </w:rPr>
            </w:pPr>
            <w:r w:rsidRPr="004946F6">
              <w:rPr>
                <w:i/>
                <w:iCs/>
                <w:sz w:val="28"/>
                <w:szCs w:val="28"/>
              </w:rPr>
              <w:t>.3</w:t>
            </w:r>
          </w:p>
        </w:tc>
        <w:tc>
          <w:tcPr>
            <w:tcW w:w="926" w:type="dxa"/>
          </w:tcPr>
          <w:p w14:paraId="5A745876" w14:textId="26468C78" w:rsidR="009C42DD" w:rsidRPr="004946F6" w:rsidRDefault="009C42DD" w:rsidP="00EA0B44">
            <w:pPr>
              <w:rPr>
                <w:i/>
                <w:iCs/>
                <w:sz w:val="28"/>
                <w:szCs w:val="28"/>
              </w:rPr>
            </w:pPr>
            <w:r w:rsidRPr="004946F6">
              <w:rPr>
                <w:i/>
                <w:iCs/>
                <w:sz w:val="28"/>
                <w:szCs w:val="28"/>
              </w:rPr>
              <w:t>.3</w:t>
            </w:r>
          </w:p>
        </w:tc>
        <w:tc>
          <w:tcPr>
            <w:tcW w:w="845" w:type="dxa"/>
          </w:tcPr>
          <w:p w14:paraId="12217065" w14:textId="3D7B5164" w:rsidR="009C42DD" w:rsidRPr="004946F6" w:rsidDel="00965DC8" w:rsidRDefault="009C42DD" w:rsidP="00EA0B44">
            <w:pPr>
              <w:rPr>
                <w:i/>
                <w:iCs/>
                <w:sz w:val="28"/>
                <w:szCs w:val="28"/>
              </w:rPr>
            </w:pPr>
            <w:r w:rsidRPr="004946F6">
              <w:rPr>
                <w:i/>
                <w:iCs/>
                <w:sz w:val="28"/>
                <w:szCs w:val="28"/>
              </w:rPr>
              <w:t>.3</w:t>
            </w:r>
          </w:p>
        </w:tc>
        <w:tc>
          <w:tcPr>
            <w:tcW w:w="851" w:type="dxa"/>
          </w:tcPr>
          <w:p w14:paraId="0F89D3E3" w14:textId="7B878C91" w:rsidR="009C42DD" w:rsidRPr="004946F6" w:rsidRDefault="009C42DD" w:rsidP="003E3333">
            <w:pPr>
              <w:rPr>
                <w:i/>
                <w:iCs/>
                <w:sz w:val="28"/>
                <w:szCs w:val="28"/>
              </w:rPr>
            </w:pPr>
            <w:r w:rsidRPr="004946F6">
              <w:rPr>
                <w:i/>
                <w:iCs/>
                <w:sz w:val="28"/>
                <w:szCs w:val="28"/>
              </w:rPr>
              <w:t>.776</w:t>
            </w:r>
          </w:p>
        </w:tc>
      </w:tr>
      <w:tr w:rsidR="009C42DD" w:rsidRPr="004946F6" w14:paraId="05F617AA" w14:textId="77777777" w:rsidTr="00F147A9">
        <w:tc>
          <w:tcPr>
            <w:tcW w:w="1530" w:type="dxa"/>
          </w:tcPr>
          <w:p w14:paraId="58B565CC" w14:textId="335B7867" w:rsidR="009C42DD" w:rsidRPr="004946F6" w:rsidRDefault="00FF6050" w:rsidP="002E5A4B">
            <w:pPr>
              <w:rPr>
                <w:i/>
                <w:iCs/>
                <w:sz w:val="28"/>
                <w:szCs w:val="28"/>
              </w:rPr>
            </w:pPr>
            <m:oMathPara>
              <m:oMath>
                <m:sSub>
                  <m:sSubPr>
                    <m:ctrlPr>
                      <w:rPr>
                        <w:rFonts w:ascii="Cambria Math" w:hAnsi="Cambria Math" w:cs="Times"/>
                        <w:i/>
                      </w:rPr>
                    </m:ctrlPr>
                  </m:sSubPr>
                  <m:e>
                    <m:r>
                      <m:rPr>
                        <m:sty m:val="p"/>
                      </m:rPr>
                      <w:rPr>
                        <w:rFonts w:ascii="Cambria Math" w:hAnsi="Cambria Math" w:hint="eastAsia"/>
                      </w:rPr>
                      <m:t>β</m:t>
                    </m:r>
                  </m:e>
                  <m:sub>
                    <m:r>
                      <w:rPr>
                        <w:rFonts w:ascii="Cambria Math" w:hAnsi="Cambria Math" w:cs="Times"/>
                      </w:rPr>
                      <m:t>dist</m:t>
                    </m:r>
                  </m:sub>
                </m:sSub>
              </m:oMath>
            </m:oMathPara>
          </w:p>
        </w:tc>
        <w:tc>
          <w:tcPr>
            <w:tcW w:w="855" w:type="dxa"/>
          </w:tcPr>
          <w:p w14:paraId="420F2BC9" w14:textId="77777777" w:rsidR="009C42DD" w:rsidRPr="004946F6" w:rsidRDefault="009C42DD" w:rsidP="00EA0B44">
            <w:pPr>
              <w:rPr>
                <w:i/>
                <w:iCs/>
                <w:sz w:val="28"/>
                <w:szCs w:val="28"/>
              </w:rPr>
            </w:pPr>
            <w:r w:rsidRPr="004946F6">
              <w:rPr>
                <w:i/>
                <w:iCs/>
                <w:sz w:val="28"/>
                <w:szCs w:val="28"/>
              </w:rPr>
              <w:t>--</w:t>
            </w:r>
          </w:p>
        </w:tc>
        <w:tc>
          <w:tcPr>
            <w:tcW w:w="926" w:type="dxa"/>
          </w:tcPr>
          <w:p w14:paraId="5B0F8E57" w14:textId="77777777" w:rsidR="009C42DD" w:rsidRPr="004946F6" w:rsidRDefault="009C42DD" w:rsidP="00EA0B44">
            <w:pPr>
              <w:rPr>
                <w:i/>
                <w:iCs/>
                <w:sz w:val="28"/>
                <w:szCs w:val="28"/>
              </w:rPr>
            </w:pPr>
            <w:r w:rsidRPr="004946F6">
              <w:rPr>
                <w:i/>
                <w:iCs/>
                <w:sz w:val="28"/>
                <w:szCs w:val="28"/>
              </w:rPr>
              <w:t>.976</w:t>
            </w:r>
          </w:p>
        </w:tc>
        <w:tc>
          <w:tcPr>
            <w:tcW w:w="926" w:type="dxa"/>
          </w:tcPr>
          <w:p w14:paraId="7ED49504" w14:textId="77777777" w:rsidR="009C42DD" w:rsidRPr="004946F6" w:rsidRDefault="009C42DD" w:rsidP="00EA0B44">
            <w:pPr>
              <w:rPr>
                <w:i/>
                <w:iCs/>
                <w:sz w:val="28"/>
                <w:szCs w:val="28"/>
              </w:rPr>
            </w:pPr>
            <w:r w:rsidRPr="004946F6">
              <w:rPr>
                <w:i/>
                <w:iCs/>
                <w:sz w:val="28"/>
                <w:szCs w:val="28"/>
              </w:rPr>
              <w:t>.976</w:t>
            </w:r>
          </w:p>
        </w:tc>
        <w:tc>
          <w:tcPr>
            <w:tcW w:w="926" w:type="dxa"/>
          </w:tcPr>
          <w:p w14:paraId="3C65AC7F" w14:textId="77777777" w:rsidR="009C42DD" w:rsidRPr="004946F6" w:rsidRDefault="009C42DD" w:rsidP="00EA0B44">
            <w:pPr>
              <w:rPr>
                <w:i/>
                <w:iCs/>
                <w:sz w:val="28"/>
                <w:szCs w:val="28"/>
              </w:rPr>
            </w:pPr>
            <w:r w:rsidRPr="004946F6">
              <w:rPr>
                <w:i/>
                <w:iCs/>
                <w:sz w:val="28"/>
                <w:szCs w:val="28"/>
              </w:rPr>
              <w:t>.976</w:t>
            </w:r>
          </w:p>
        </w:tc>
        <w:tc>
          <w:tcPr>
            <w:tcW w:w="713" w:type="dxa"/>
          </w:tcPr>
          <w:p w14:paraId="348E57DC" w14:textId="72FF1B6A" w:rsidR="009C42DD" w:rsidRPr="004946F6" w:rsidRDefault="009C42DD" w:rsidP="00EA0B44">
            <w:pPr>
              <w:rPr>
                <w:i/>
                <w:iCs/>
                <w:sz w:val="28"/>
                <w:szCs w:val="28"/>
              </w:rPr>
            </w:pPr>
            <w:r w:rsidRPr="004946F6">
              <w:rPr>
                <w:i/>
                <w:iCs/>
                <w:sz w:val="28"/>
                <w:szCs w:val="28"/>
              </w:rPr>
              <w:t>.976</w:t>
            </w:r>
          </w:p>
        </w:tc>
        <w:tc>
          <w:tcPr>
            <w:tcW w:w="713" w:type="dxa"/>
          </w:tcPr>
          <w:p w14:paraId="5B4CAD72" w14:textId="1CFE567D" w:rsidR="009C42DD" w:rsidRPr="004946F6" w:rsidRDefault="009C42DD" w:rsidP="00EA0B44">
            <w:pPr>
              <w:rPr>
                <w:i/>
                <w:iCs/>
                <w:sz w:val="28"/>
                <w:szCs w:val="28"/>
              </w:rPr>
            </w:pPr>
            <w:r w:rsidRPr="004946F6">
              <w:rPr>
                <w:i/>
                <w:iCs/>
                <w:sz w:val="28"/>
                <w:szCs w:val="28"/>
              </w:rPr>
              <w:t>0</w:t>
            </w:r>
          </w:p>
        </w:tc>
        <w:tc>
          <w:tcPr>
            <w:tcW w:w="713" w:type="dxa"/>
          </w:tcPr>
          <w:p w14:paraId="0866430F" w14:textId="02943A43" w:rsidR="009C42DD" w:rsidRPr="004946F6" w:rsidRDefault="009C42DD" w:rsidP="0039796E">
            <w:pPr>
              <w:rPr>
                <w:i/>
                <w:iCs/>
                <w:sz w:val="28"/>
                <w:szCs w:val="28"/>
              </w:rPr>
            </w:pPr>
            <w:r w:rsidRPr="004946F6">
              <w:rPr>
                <w:i/>
                <w:iCs/>
                <w:sz w:val="28"/>
                <w:szCs w:val="28"/>
              </w:rPr>
              <w:t>.776</w:t>
            </w:r>
          </w:p>
        </w:tc>
        <w:tc>
          <w:tcPr>
            <w:tcW w:w="926" w:type="dxa"/>
          </w:tcPr>
          <w:p w14:paraId="61BC4930" w14:textId="7502D304" w:rsidR="009C42DD" w:rsidRPr="004946F6" w:rsidRDefault="009C42DD" w:rsidP="00EA0B44">
            <w:pPr>
              <w:rPr>
                <w:i/>
                <w:iCs/>
                <w:sz w:val="28"/>
                <w:szCs w:val="28"/>
              </w:rPr>
            </w:pPr>
            <w:r w:rsidRPr="004946F6">
              <w:rPr>
                <w:i/>
                <w:iCs/>
                <w:sz w:val="28"/>
                <w:szCs w:val="28"/>
              </w:rPr>
              <w:t>.976</w:t>
            </w:r>
          </w:p>
        </w:tc>
        <w:tc>
          <w:tcPr>
            <w:tcW w:w="845" w:type="dxa"/>
          </w:tcPr>
          <w:p w14:paraId="11A5B424" w14:textId="3EEE4CFC" w:rsidR="009C42DD" w:rsidRPr="004946F6" w:rsidDel="00965DC8" w:rsidRDefault="009C42DD" w:rsidP="00EA0B44">
            <w:pPr>
              <w:rPr>
                <w:i/>
                <w:iCs/>
                <w:sz w:val="28"/>
                <w:szCs w:val="28"/>
              </w:rPr>
            </w:pPr>
            <w:r w:rsidRPr="004946F6">
              <w:rPr>
                <w:i/>
                <w:iCs/>
                <w:sz w:val="28"/>
                <w:szCs w:val="28"/>
              </w:rPr>
              <w:t>.976</w:t>
            </w:r>
          </w:p>
        </w:tc>
        <w:tc>
          <w:tcPr>
            <w:tcW w:w="851" w:type="dxa"/>
          </w:tcPr>
          <w:p w14:paraId="22A74F5A" w14:textId="1A2880A1" w:rsidR="009C42DD" w:rsidRPr="004946F6" w:rsidRDefault="009C42DD" w:rsidP="00EA0B44">
            <w:pPr>
              <w:rPr>
                <w:i/>
                <w:iCs/>
                <w:sz w:val="28"/>
                <w:szCs w:val="28"/>
              </w:rPr>
            </w:pPr>
            <w:r w:rsidRPr="004946F6">
              <w:rPr>
                <w:i/>
                <w:iCs/>
                <w:sz w:val="28"/>
                <w:szCs w:val="28"/>
              </w:rPr>
              <w:t>.976</w:t>
            </w:r>
          </w:p>
        </w:tc>
      </w:tr>
      <w:tr w:rsidR="009C42DD" w:rsidRPr="004946F6" w14:paraId="5515E665" w14:textId="77777777" w:rsidTr="00F147A9">
        <w:tc>
          <w:tcPr>
            <w:tcW w:w="1530" w:type="dxa"/>
          </w:tcPr>
          <w:p w14:paraId="5EE380A0" w14:textId="0A180D17" w:rsidR="009C42DD" w:rsidRPr="004946F6" w:rsidRDefault="00FF6050" w:rsidP="002C6B20">
            <w:pPr>
              <w:rPr>
                <w:i/>
                <w:iCs/>
                <w:sz w:val="28"/>
                <w:szCs w:val="28"/>
              </w:rPr>
            </w:pPr>
            <m:oMathPara>
              <m:oMath>
                <m:sSub>
                  <m:sSubPr>
                    <m:ctrlPr>
                      <w:rPr>
                        <w:rFonts w:ascii="Cambria Math" w:hAnsi="Cambria Math" w:cs="Times"/>
                        <w:i/>
                      </w:rPr>
                    </m:ctrlPr>
                  </m:sSubPr>
                  <m:e>
                    <m:r>
                      <m:rPr>
                        <m:sty m:val="p"/>
                      </m:rPr>
                      <w:rPr>
                        <w:rFonts w:ascii="Cambria Math" w:hAnsi="Cambria Math" w:cs="Times"/>
                      </w:rPr>
                      <m:t>ϕ</m:t>
                    </m:r>
                  </m:e>
                  <m:sub>
                    <m:r>
                      <w:rPr>
                        <w:rFonts w:ascii="Cambria Math" w:hAnsi="Cambria Math" w:cs="Times"/>
                      </w:rPr>
                      <m:t>emot</m:t>
                    </m:r>
                  </m:sub>
                </m:sSub>
              </m:oMath>
            </m:oMathPara>
          </w:p>
        </w:tc>
        <w:tc>
          <w:tcPr>
            <w:tcW w:w="855" w:type="dxa"/>
          </w:tcPr>
          <w:p w14:paraId="58CA57DC" w14:textId="77777777" w:rsidR="009C42DD" w:rsidRPr="004946F6" w:rsidRDefault="009C42DD" w:rsidP="002C6B20">
            <w:pPr>
              <w:rPr>
                <w:i/>
                <w:iCs/>
                <w:sz w:val="28"/>
                <w:szCs w:val="28"/>
              </w:rPr>
            </w:pPr>
            <w:r w:rsidRPr="004946F6">
              <w:rPr>
                <w:i/>
                <w:iCs/>
                <w:sz w:val="28"/>
                <w:szCs w:val="28"/>
              </w:rPr>
              <w:t>--</w:t>
            </w:r>
          </w:p>
        </w:tc>
        <w:tc>
          <w:tcPr>
            <w:tcW w:w="926" w:type="dxa"/>
          </w:tcPr>
          <w:p w14:paraId="659975AD" w14:textId="77777777" w:rsidR="009C42DD" w:rsidRPr="004946F6" w:rsidRDefault="009C42DD" w:rsidP="002C6B20">
            <w:pPr>
              <w:rPr>
                <w:i/>
                <w:iCs/>
                <w:sz w:val="28"/>
                <w:szCs w:val="28"/>
              </w:rPr>
            </w:pPr>
            <w:r w:rsidRPr="004946F6">
              <w:rPr>
                <w:i/>
                <w:iCs/>
                <w:sz w:val="28"/>
                <w:szCs w:val="28"/>
              </w:rPr>
              <w:t>1</w:t>
            </w:r>
          </w:p>
        </w:tc>
        <w:tc>
          <w:tcPr>
            <w:tcW w:w="926" w:type="dxa"/>
          </w:tcPr>
          <w:p w14:paraId="4B44571F" w14:textId="77777777" w:rsidR="009C42DD" w:rsidRPr="004946F6" w:rsidRDefault="009C42DD" w:rsidP="002C6B20">
            <w:pPr>
              <w:rPr>
                <w:i/>
                <w:iCs/>
                <w:sz w:val="28"/>
                <w:szCs w:val="28"/>
              </w:rPr>
            </w:pPr>
            <w:r w:rsidRPr="004946F6">
              <w:rPr>
                <w:i/>
                <w:iCs/>
                <w:sz w:val="28"/>
                <w:szCs w:val="28"/>
              </w:rPr>
              <w:t>1.25</w:t>
            </w:r>
          </w:p>
        </w:tc>
        <w:tc>
          <w:tcPr>
            <w:tcW w:w="926" w:type="dxa"/>
          </w:tcPr>
          <w:p w14:paraId="17CF21F9" w14:textId="77777777" w:rsidR="009C42DD" w:rsidRPr="004946F6" w:rsidRDefault="009C42DD" w:rsidP="002C6B20">
            <w:pPr>
              <w:rPr>
                <w:i/>
                <w:iCs/>
                <w:sz w:val="28"/>
                <w:szCs w:val="28"/>
              </w:rPr>
            </w:pPr>
            <w:r w:rsidRPr="004946F6">
              <w:rPr>
                <w:i/>
                <w:iCs/>
                <w:sz w:val="28"/>
                <w:szCs w:val="28"/>
              </w:rPr>
              <w:t>1.25</w:t>
            </w:r>
          </w:p>
        </w:tc>
        <w:tc>
          <w:tcPr>
            <w:tcW w:w="713" w:type="dxa"/>
          </w:tcPr>
          <w:p w14:paraId="0ACF66A5" w14:textId="3FCBAFFD" w:rsidR="009C42DD" w:rsidRPr="004946F6" w:rsidRDefault="009C42DD" w:rsidP="002C6B20">
            <w:pPr>
              <w:rPr>
                <w:i/>
                <w:iCs/>
                <w:sz w:val="28"/>
                <w:szCs w:val="28"/>
              </w:rPr>
            </w:pPr>
            <w:r w:rsidRPr="004946F6">
              <w:rPr>
                <w:i/>
                <w:iCs/>
                <w:sz w:val="28"/>
                <w:szCs w:val="28"/>
              </w:rPr>
              <w:t>1</w:t>
            </w:r>
          </w:p>
        </w:tc>
        <w:tc>
          <w:tcPr>
            <w:tcW w:w="713" w:type="dxa"/>
          </w:tcPr>
          <w:p w14:paraId="44885558" w14:textId="6448BFEA" w:rsidR="009C42DD" w:rsidRPr="004946F6" w:rsidRDefault="009C42DD" w:rsidP="002C6B20">
            <w:pPr>
              <w:rPr>
                <w:i/>
                <w:iCs/>
                <w:sz w:val="28"/>
                <w:szCs w:val="28"/>
              </w:rPr>
            </w:pPr>
            <w:r w:rsidRPr="004946F6">
              <w:rPr>
                <w:i/>
                <w:iCs/>
                <w:sz w:val="28"/>
                <w:szCs w:val="28"/>
              </w:rPr>
              <w:t>1.25</w:t>
            </w:r>
          </w:p>
        </w:tc>
        <w:tc>
          <w:tcPr>
            <w:tcW w:w="713" w:type="dxa"/>
          </w:tcPr>
          <w:p w14:paraId="3A017527" w14:textId="27A6C961" w:rsidR="009C42DD" w:rsidRPr="004946F6" w:rsidRDefault="009C42DD" w:rsidP="002C6B20">
            <w:pPr>
              <w:rPr>
                <w:i/>
                <w:iCs/>
                <w:sz w:val="28"/>
                <w:szCs w:val="28"/>
              </w:rPr>
            </w:pPr>
            <w:r w:rsidRPr="004946F6">
              <w:rPr>
                <w:i/>
                <w:iCs/>
                <w:sz w:val="28"/>
                <w:szCs w:val="28"/>
              </w:rPr>
              <w:t>1.25</w:t>
            </w:r>
          </w:p>
        </w:tc>
        <w:tc>
          <w:tcPr>
            <w:tcW w:w="926" w:type="dxa"/>
          </w:tcPr>
          <w:p w14:paraId="5C21780E" w14:textId="56273AA3" w:rsidR="009C42DD" w:rsidRPr="004946F6" w:rsidRDefault="009C42DD" w:rsidP="002C6B20">
            <w:pPr>
              <w:rPr>
                <w:i/>
                <w:iCs/>
                <w:sz w:val="28"/>
                <w:szCs w:val="28"/>
              </w:rPr>
            </w:pPr>
            <w:r w:rsidRPr="004946F6">
              <w:rPr>
                <w:i/>
                <w:iCs/>
                <w:sz w:val="28"/>
                <w:szCs w:val="28"/>
              </w:rPr>
              <w:t>1.25</w:t>
            </w:r>
          </w:p>
        </w:tc>
        <w:tc>
          <w:tcPr>
            <w:tcW w:w="845" w:type="dxa"/>
          </w:tcPr>
          <w:p w14:paraId="1F488DFB" w14:textId="2129EAB6" w:rsidR="009C42DD" w:rsidRPr="004946F6" w:rsidDel="00965DC8" w:rsidRDefault="009C42DD" w:rsidP="003E3333">
            <w:pPr>
              <w:rPr>
                <w:i/>
                <w:iCs/>
                <w:sz w:val="28"/>
                <w:szCs w:val="28"/>
              </w:rPr>
            </w:pPr>
            <w:r w:rsidRPr="004946F6">
              <w:rPr>
                <w:i/>
                <w:iCs/>
                <w:sz w:val="28"/>
                <w:szCs w:val="28"/>
              </w:rPr>
              <w:t>3</w:t>
            </w:r>
          </w:p>
        </w:tc>
        <w:tc>
          <w:tcPr>
            <w:tcW w:w="851" w:type="dxa"/>
          </w:tcPr>
          <w:p w14:paraId="3C15F003" w14:textId="5E454701" w:rsidR="009C42DD" w:rsidRPr="004946F6" w:rsidRDefault="009C42DD" w:rsidP="001D4259">
            <w:pPr>
              <w:rPr>
                <w:i/>
                <w:iCs/>
                <w:sz w:val="28"/>
                <w:szCs w:val="28"/>
              </w:rPr>
            </w:pPr>
            <w:r w:rsidRPr="004946F6">
              <w:rPr>
                <w:i/>
                <w:iCs/>
                <w:sz w:val="28"/>
                <w:szCs w:val="28"/>
              </w:rPr>
              <w:t>3</w:t>
            </w:r>
          </w:p>
        </w:tc>
      </w:tr>
      <w:tr w:rsidR="009C42DD" w:rsidRPr="004946F6" w14:paraId="012DC960" w14:textId="77777777" w:rsidTr="00F147A9">
        <w:tc>
          <w:tcPr>
            <w:tcW w:w="1530" w:type="dxa"/>
          </w:tcPr>
          <w:p w14:paraId="59624B8E" w14:textId="57BAECFE" w:rsidR="009C42DD" w:rsidRPr="004946F6" w:rsidRDefault="00FF6050" w:rsidP="002E5A4B">
            <w:pPr>
              <w:rPr>
                <w:rFonts w:ascii="Calibri" w:eastAsia="Calibri" w:hAnsi="Calibri" w:cs="Arial"/>
                <w:sz w:val="28"/>
                <w:szCs w:val="28"/>
              </w:rPr>
            </w:pPr>
            <m:oMathPara>
              <m:oMath>
                <m:sSub>
                  <m:sSubPr>
                    <m:ctrlPr>
                      <w:rPr>
                        <w:rFonts w:ascii="Cambria Math" w:hAnsi="Cambria Math" w:cs="Times"/>
                        <w:i/>
                      </w:rPr>
                    </m:ctrlPr>
                  </m:sSubPr>
                  <m:e>
                    <m:r>
                      <m:rPr>
                        <m:sty m:val="p"/>
                      </m:rPr>
                      <w:rPr>
                        <w:rFonts w:ascii="Cambria Math" w:hAnsi="Cambria Math" w:hint="eastAsia"/>
                      </w:rPr>
                      <m:t>β</m:t>
                    </m:r>
                  </m:e>
                  <m:sub>
                    <m:r>
                      <w:rPr>
                        <w:rFonts w:ascii="Cambria Math" w:hAnsi="Cambria Math" w:cs="Times"/>
                      </w:rPr>
                      <m:t>emot</m:t>
                    </m:r>
                  </m:sub>
                </m:sSub>
              </m:oMath>
            </m:oMathPara>
          </w:p>
        </w:tc>
        <w:tc>
          <w:tcPr>
            <w:tcW w:w="855" w:type="dxa"/>
          </w:tcPr>
          <w:p w14:paraId="2AF973D5" w14:textId="0C457F17" w:rsidR="009C42DD" w:rsidRPr="004946F6" w:rsidRDefault="009C42DD" w:rsidP="00EA0B44">
            <w:pPr>
              <w:rPr>
                <w:i/>
                <w:iCs/>
                <w:sz w:val="28"/>
                <w:szCs w:val="28"/>
              </w:rPr>
            </w:pPr>
            <w:r w:rsidRPr="004946F6">
              <w:rPr>
                <w:i/>
                <w:iCs/>
                <w:sz w:val="28"/>
                <w:szCs w:val="28"/>
              </w:rPr>
              <w:t>--</w:t>
            </w:r>
          </w:p>
        </w:tc>
        <w:tc>
          <w:tcPr>
            <w:tcW w:w="926" w:type="dxa"/>
          </w:tcPr>
          <w:p w14:paraId="3EDD85C6" w14:textId="5D5EAC75" w:rsidR="009C42DD" w:rsidRPr="004946F6" w:rsidRDefault="009C42DD" w:rsidP="00EA0B44">
            <w:pPr>
              <w:rPr>
                <w:i/>
                <w:iCs/>
                <w:sz w:val="28"/>
                <w:szCs w:val="28"/>
              </w:rPr>
            </w:pPr>
            <w:r w:rsidRPr="004946F6">
              <w:rPr>
                <w:i/>
                <w:iCs/>
                <w:sz w:val="28"/>
                <w:szCs w:val="28"/>
              </w:rPr>
              <w:t>--</w:t>
            </w:r>
          </w:p>
        </w:tc>
        <w:tc>
          <w:tcPr>
            <w:tcW w:w="926" w:type="dxa"/>
          </w:tcPr>
          <w:p w14:paraId="5361DD23" w14:textId="7B8C20C2" w:rsidR="009C42DD" w:rsidRPr="004946F6" w:rsidRDefault="009C42DD" w:rsidP="00EA0B44">
            <w:pPr>
              <w:rPr>
                <w:i/>
                <w:iCs/>
                <w:sz w:val="28"/>
                <w:szCs w:val="28"/>
              </w:rPr>
            </w:pPr>
            <w:r w:rsidRPr="004946F6">
              <w:rPr>
                <w:i/>
                <w:iCs/>
                <w:sz w:val="28"/>
                <w:szCs w:val="28"/>
              </w:rPr>
              <w:t>--</w:t>
            </w:r>
          </w:p>
        </w:tc>
        <w:tc>
          <w:tcPr>
            <w:tcW w:w="926" w:type="dxa"/>
          </w:tcPr>
          <w:p w14:paraId="6C6D6A3E" w14:textId="43B890E0" w:rsidR="009C42DD" w:rsidRPr="004946F6" w:rsidRDefault="009C42DD" w:rsidP="00EA0B44">
            <w:pPr>
              <w:rPr>
                <w:i/>
                <w:iCs/>
                <w:sz w:val="28"/>
                <w:szCs w:val="28"/>
              </w:rPr>
            </w:pPr>
            <w:r w:rsidRPr="004946F6">
              <w:rPr>
                <w:i/>
                <w:iCs/>
                <w:sz w:val="28"/>
                <w:szCs w:val="28"/>
              </w:rPr>
              <w:t>--</w:t>
            </w:r>
          </w:p>
        </w:tc>
        <w:tc>
          <w:tcPr>
            <w:tcW w:w="713" w:type="dxa"/>
          </w:tcPr>
          <w:p w14:paraId="3B956335" w14:textId="27749419" w:rsidR="009C42DD" w:rsidRPr="004946F6" w:rsidRDefault="009C42DD" w:rsidP="00EA0B44">
            <w:pPr>
              <w:rPr>
                <w:i/>
                <w:iCs/>
                <w:sz w:val="28"/>
                <w:szCs w:val="28"/>
              </w:rPr>
            </w:pPr>
            <w:r w:rsidRPr="004946F6">
              <w:rPr>
                <w:i/>
                <w:iCs/>
                <w:sz w:val="28"/>
                <w:szCs w:val="28"/>
              </w:rPr>
              <w:t>.976</w:t>
            </w:r>
          </w:p>
        </w:tc>
        <w:tc>
          <w:tcPr>
            <w:tcW w:w="713" w:type="dxa"/>
          </w:tcPr>
          <w:p w14:paraId="33ED9FEA" w14:textId="55F77149" w:rsidR="009C42DD" w:rsidRPr="004946F6" w:rsidRDefault="009C42DD" w:rsidP="00EA0B44">
            <w:pPr>
              <w:rPr>
                <w:i/>
                <w:iCs/>
                <w:sz w:val="28"/>
                <w:szCs w:val="28"/>
              </w:rPr>
            </w:pPr>
            <w:r w:rsidRPr="004946F6">
              <w:rPr>
                <w:i/>
                <w:iCs/>
                <w:sz w:val="28"/>
                <w:szCs w:val="28"/>
              </w:rPr>
              <w:t>--</w:t>
            </w:r>
          </w:p>
        </w:tc>
        <w:tc>
          <w:tcPr>
            <w:tcW w:w="713" w:type="dxa"/>
          </w:tcPr>
          <w:p w14:paraId="2039EBDE" w14:textId="3D3EF945" w:rsidR="009C42DD" w:rsidRPr="004946F6" w:rsidRDefault="009C42DD" w:rsidP="00EA0B44">
            <w:pPr>
              <w:rPr>
                <w:i/>
                <w:iCs/>
                <w:sz w:val="28"/>
                <w:szCs w:val="28"/>
              </w:rPr>
            </w:pPr>
            <w:r w:rsidRPr="004946F6">
              <w:rPr>
                <w:i/>
                <w:iCs/>
                <w:sz w:val="28"/>
                <w:szCs w:val="28"/>
              </w:rPr>
              <w:t>--</w:t>
            </w:r>
          </w:p>
        </w:tc>
        <w:tc>
          <w:tcPr>
            <w:tcW w:w="926" w:type="dxa"/>
          </w:tcPr>
          <w:p w14:paraId="7182AC6E" w14:textId="64F82F42" w:rsidR="009C42DD" w:rsidRPr="004946F6" w:rsidRDefault="009C42DD" w:rsidP="00EA0B44">
            <w:pPr>
              <w:rPr>
                <w:i/>
                <w:iCs/>
                <w:sz w:val="28"/>
                <w:szCs w:val="28"/>
              </w:rPr>
            </w:pPr>
            <w:r w:rsidRPr="004946F6">
              <w:rPr>
                <w:i/>
                <w:iCs/>
                <w:sz w:val="28"/>
                <w:szCs w:val="28"/>
              </w:rPr>
              <w:t>--</w:t>
            </w:r>
          </w:p>
        </w:tc>
        <w:tc>
          <w:tcPr>
            <w:tcW w:w="845" w:type="dxa"/>
          </w:tcPr>
          <w:p w14:paraId="4B1CFEDF" w14:textId="089B3851" w:rsidR="009C42DD" w:rsidRPr="004946F6" w:rsidDel="00965DC8" w:rsidRDefault="009C42DD" w:rsidP="00EA0B44">
            <w:pPr>
              <w:rPr>
                <w:i/>
                <w:iCs/>
                <w:sz w:val="28"/>
                <w:szCs w:val="28"/>
              </w:rPr>
            </w:pPr>
            <w:r w:rsidRPr="004946F6">
              <w:rPr>
                <w:i/>
                <w:iCs/>
                <w:sz w:val="28"/>
                <w:szCs w:val="28"/>
              </w:rPr>
              <w:t>--</w:t>
            </w:r>
          </w:p>
        </w:tc>
        <w:tc>
          <w:tcPr>
            <w:tcW w:w="851" w:type="dxa"/>
          </w:tcPr>
          <w:p w14:paraId="3DF4E0FA" w14:textId="22C1E9C6" w:rsidR="009C42DD" w:rsidRPr="004946F6" w:rsidRDefault="009C42DD" w:rsidP="00EA0B44">
            <w:pPr>
              <w:rPr>
                <w:i/>
                <w:iCs/>
                <w:sz w:val="28"/>
                <w:szCs w:val="28"/>
              </w:rPr>
            </w:pPr>
          </w:p>
        </w:tc>
      </w:tr>
    </w:tbl>
    <w:p w14:paraId="4CF685C3" w14:textId="77777777" w:rsidR="0065575E" w:rsidRPr="004946F6" w:rsidRDefault="0065575E" w:rsidP="0065575E">
      <w:pPr>
        <w:rPr>
          <w:i/>
          <w:iCs/>
        </w:rPr>
      </w:pPr>
    </w:p>
    <w:p w14:paraId="28765BBD" w14:textId="73A98339" w:rsidR="0065575E" w:rsidRPr="004946F6" w:rsidRDefault="0065575E" w:rsidP="0063352C">
      <w:pPr>
        <w:rPr>
          <w:i/>
          <w:iCs/>
        </w:rPr>
      </w:pPr>
      <w:r w:rsidRPr="004946F6">
        <w:rPr>
          <w:i/>
          <w:iCs/>
        </w:rPr>
        <w:t xml:space="preserve">Note: </w:t>
      </w:r>
      <w:r w:rsidRPr="004946F6">
        <w:t xml:space="preserve">Only parameter values that varied across the simulations in this manuscript are listed here; see Table 2 for fixed parameter values. </w:t>
      </w:r>
      <w:r w:rsidR="0063352C" w:rsidRPr="004946F6">
        <w:t>Superscripts to L: CF = context to item; FC: item to context; Subscripts to L: tw = temporal context to item; wt = item to temporal context. emot = emotional, rec = recall, dist</w:t>
      </w:r>
      <w:r w:rsidR="006E738D" w:rsidRPr="004946F6">
        <w:t xml:space="preserve"> </w:t>
      </w:r>
      <w:r w:rsidR="0063352C" w:rsidRPr="004946F6">
        <w:t>= distractor.</w:t>
      </w:r>
    </w:p>
    <w:p w14:paraId="5FAA2997" w14:textId="77777777" w:rsidR="0065575E" w:rsidRPr="004946F6" w:rsidRDefault="0065575E" w:rsidP="0065575E">
      <w:pPr>
        <w:rPr>
          <w:b/>
          <w:bCs/>
        </w:rPr>
      </w:pPr>
    </w:p>
    <w:p w14:paraId="7472B990" w14:textId="77777777" w:rsidR="00DD38D8" w:rsidRPr="004946F6" w:rsidRDefault="00DD38D8" w:rsidP="0065575E">
      <w:pPr>
        <w:rPr>
          <w:b/>
          <w:bCs/>
        </w:rPr>
      </w:pPr>
    </w:p>
    <w:p w14:paraId="5AE85D91" w14:textId="72D5D72C" w:rsidR="0065575E" w:rsidRPr="004946F6" w:rsidRDefault="0065575E" w:rsidP="0065575E">
      <w:pPr>
        <w:rPr>
          <w:i/>
          <w:iCs/>
        </w:rPr>
      </w:pPr>
      <w:r w:rsidRPr="004946F6">
        <w:rPr>
          <w:b/>
          <w:bCs/>
        </w:rPr>
        <w:t xml:space="preserve">TABLE 2. Fixed parameter values in simulations. </w:t>
      </w:r>
    </w:p>
    <w:tbl>
      <w:tblPr>
        <w:tblStyle w:val="TableGrid"/>
        <w:tblW w:w="0" w:type="auto"/>
        <w:tblLook w:val="04A0" w:firstRow="1" w:lastRow="0" w:firstColumn="1" w:lastColumn="0" w:noHBand="0" w:noVBand="1"/>
      </w:tblPr>
      <w:tblGrid>
        <w:gridCol w:w="1164"/>
        <w:gridCol w:w="945"/>
        <w:gridCol w:w="943"/>
        <w:gridCol w:w="899"/>
        <w:gridCol w:w="847"/>
        <w:gridCol w:w="852"/>
        <w:gridCol w:w="844"/>
        <w:gridCol w:w="886"/>
        <w:gridCol w:w="893"/>
        <w:gridCol w:w="850"/>
        <w:gridCol w:w="850"/>
      </w:tblGrid>
      <w:tr w:rsidR="00FF6050" w14:paraId="30CA1C3B" w14:textId="77777777" w:rsidTr="00FF6050">
        <w:tc>
          <w:tcPr>
            <w:tcW w:w="1164" w:type="dxa"/>
          </w:tcPr>
          <w:p w14:paraId="2FD30622" w14:textId="173029DA" w:rsidR="0003785C" w:rsidRDefault="0003785C" w:rsidP="00AE588A">
            <w:pPr>
              <w:spacing w:line="480" w:lineRule="auto"/>
              <w:rPr>
                <w:rFonts w:ascii="Calibri" w:eastAsia="Calibri" w:hAnsi="Calibri" w:cs="Arial"/>
              </w:rPr>
            </w:pPr>
            <w:r>
              <w:rPr>
                <w:rFonts w:ascii="Calibri" w:eastAsia="Calibri" w:hAnsi="Calibri" w:cs="Arial"/>
              </w:rPr>
              <w:t>Parameter</w:t>
            </w:r>
          </w:p>
        </w:tc>
        <w:tc>
          <w:tcPr>
            <w:tcW w:w="945" w:type="dxa"/>
          </w:tcPr>
          <w:p w14:paraId="608E0403" w14:textId="48563F9B" w:rsidR="0003785C" w:rsidRDefault="0003785C" w:rsidP="00AE588A">
            <w:pPr>
              <w:spacing w:line="480" w:lineRule="auto"/>
              <w:rPr>
                <w:b/>
                <w:bCs/>
              </w:rPr>
            </w:pPr>
            <m:oMathPara>
              <m:oMath>
                <m:sSubSup>
                  <m:sSubSupPr>
                    <m:ctrlPr>
                      <w:rPr>
                        <w:rFonts w:ascii="Cambria Math" w:hAnsi="Cambria Math"/>
                      </w:rPr>
                    </m:ctrlPr>
                  </m:sSubSupPr>
                  <m:e>
                    <m:r>
                      <m:rPr>
                        <m:sty m:val="b"/>
                      </m:rPr>
                      <w:rPr>
                        <w:rFonts w:ascii="Cambria Math" w:hAnsi="Cambria Math" w:hint="eastAsia"/>
                      </w:rPr>
                      <m:t>β</m:t>
                    </m:r>
                  </m:e>
                  <m:sub>
                    <m:r>
                      <m:rPr>
                        <m:sty m:val="bi"/>
                      </m:rPr>
                      <w:rPr>
                        <w:rFonts w:ascii="Cambria Math" w:hAnsi="Cambria Math"/>
                      </w:rPr>
                      <m:t>enc</m:t>
                    </m:r>
                  </m:sub>
                  <m:sup>
                    <m:r>
                      <m:rPr>
                        <m:sty m:val="bi"/>
                      </m:rPr>
                      <w:rPr>
                        <w:rFonts w:ascii="Cambria Math" w:hAnsi="Cambria Math"/>
                      </w:rPr>
                      <m:t>temp</m:t>
                    </m:r>
                  </m:sup>
                </m:sSubSup>
              </m:oMath>
            </m:oMathPara>
          </w:p>
        </w:tc>
        <w:tc>
          <w:tcPr>
            <w:tcW w:w="943" w:type="dxa"/>
          </w:tcPr>
          <w:p w14:paraId="433CC905" w14:textId="0B6DA7D2" w:rsidR="0003785C" w:rsidRDefault="0003785C" w:rsidP="00AE588A">
            <w:pPr>
              <w:spacing w:line="480" w:lineRule="auto"/>
              <w:rPr>
                <w:b/>
                <w:bCs/>
              </w:rPr>
            </w:pPr>
            <m:oMathPara>
              <m:oMath>
                <m:sSubSup>
                  <m:sSubSupPr>
                    <m:ctrlPr>
                      <w:rPr>
                        <w:rFonts w:ascii="Cambria Math" w:hAnsi="Cambria Math"/>
                        <w:b/>
                        <w:bCs/>
                      </w:rPr>
                    </m:ctrlPr>
                  </m:sSubSupPr>
                  <m:e>
                    <m:r>
                      <m:rPr>
                        <m:sty m:val="b"/>
                      </m:rPr>
                      <w:rPr>
                        <w:rFonts w:ascii="Cambria Math" w:hAnsi="Cambria Math" w:hint="eastAsia"/>
                      </w:rPr>
                      <m:t>β</m:t>
                    </m:r>
                  </m:e>
                  <m:sub>
                    <m:r>
                      <m:rPr>
                        <m:sty m:val="bi"/>
                      </m:rPr>
                      <w:rPr>
                        <w:rFonts w:ascii="Cambria Math" w:hAnsi="Cambria Math"/>
                      </w:rPr>
                      <m:t>enc</m:t>
                    </m:r>
                  </m:sub>
                  <m:sup>
                    <m:r>
                      <m:rPr>
                        <m:sty m:val="bi"/>
                      </m:rPr>
                      <w:rPr>
                        <w:rFonts w:ascii="Cambria Math" w:hAnsi="Cambria Math"/>
                      </w:rPr>
                      <m:t>emot</m:t>
                    </m:r>
                  </m:sup>
                </m:sSubSup>
              </m:oMath>
            </m:oMathPara>
          </w:p>
        </w:tc>
        <w:tc>
          <w:tcPr>
            <w:tcW w:w="899" w:type="dxa"/>
          </w:tcPr>
          <w:p w14:paraId="0DF8AE2B" w14:textId="20CEB4FE" w:rsidR="0003785C" w:rsidRDefault="0003785C" w:rsidP="00AE588A">
            <w:pPr>
              <w:spacing w:line="480" w:lineRule="auto"/>
              <w:rPr>
                <w:b/>
                <w:bCs/>
              </w:rPr>
            </w:pPr>
            <m:oMathPara>
              <m:oMath>
                <m:sSup>
                  <m:sSupPr>
                    <m:ctrlPr>
                      <w:rPr>
                        <w:rFonts w:ascii="Cambria Math" w:hAnsi="Cambria Math" w:cs="Times"/>
                      </w:rPr>
                    </m:ctrlPr>
                  </m:sSupPr>
                  <m:e>
                    <m:r>
                      <m:rPr>
                        <m:sty m:val="bi"/>
                      </m:rPr>
                      <w:rPr>
                        <w:rFonts w:ascii="Cambria Math" w:hAnsi="Cambria Math" w:cs="Times"/>
                      </w:rPr>
                      <m:t>γ</m:t>
                    </m:r>
                  </m:e>
                  <m:sup>
                    <m:r>
                      <m:rPr>
                        <m:sty m:val="bi"/>
                      </m:rPr>
                      <w:rPr>
                        <w:rFonts w:ascii="Cambria Math" w:hAnsi="Cambria Math" w:cs="Times"/>
                      </w:rPr>
                      <m:t>FC</m:t>
                    </m:r>
                  </m:sup>
                </m:sSup>
              </m:oMath>
            </m:oMathPara>
          </w:p>
        </w:tc>
        <w:tc>
          <w:tcPr>
            <w:tcW w:w="847" w:type="dxa"/>
          </w:tcPr>
          <w:p w14:paraId="183E69EF" w14:textId="1E0DA8EE" w:rsidR="0003785C" w:rsidRDefault="0003785C" w:rsidP="00AE588A">
            <w:pPr>
              <w:spacing w:line="480" w:lineRule="auto"/>
              <w:rPr>
                <w:b/>
                <w:bCs/>
              </w:rPr>
            </w:pPr>
            <m:oMathPara>
              <m:oMath>
                <m:r>
                  <m:rPr>
                    <m:sty m:val="bi"/>
                  </m:rPr>
                  <w:rPr>
                    <w:rFonts w:ascii="Cambria Math" w:hAnsi="Cambria Math"/>
                  </w:rPr>
                  <m:t>s</m:t>
                </m:r>
              </m:oMath>
            </m:oMathPara>
          </w:p>
        </w:tc>
        <w:tc>
          <w:tcPr>
            <w:tcW w:w="852" w:type="dxa"/>
          </w:tcPr>
          <w:p w14:paraId="2D72C626" w14:textId="567DB236" w:rsidR="0003785C" w:rsidRDefault="0003785C" w:rsidP="00AE588A">
            <w:pPr>
              <w:spacing w:line="480" w:lineRule="auto"/>
              <w:rPr>
                <w:b/>
                <w:bCs/>
              </w:rPr>
            </w:pPr>
            <w:r w:rsidRPr="004946F6">
              <w:rPr>
                <w:rFonts w:ascii="Symbol" w:hAnsi="Symbol"/>
              </w:rPr>
              <w:t></w:t>
            </w:r>
          </w:p>
        </w:tc>
        <w:tc>
          <w:tcPr>
            <w:tcW w:w="844" w:type="dxa"/>
          </w:tcPr>
          <w:p w14:paraId="27286EDB" w14:textId="26424FD0" w:rsidR="0003785C" w:rsidRDefault="0003785C" w:rsidP="00AE588A">
            <w:pPr>
              <w:spacing w:line="480" w:lineRule="auto"/>
              <w:rPr>
                <w:b/>
                <w:bCs/>
              </w:rPr>
            </w:pPr>
            <w:r w:rsidRPr="004946F6">
              <w:rPr>
                <w:rFonts w:ascii="Symbol" w:hAnsi="Symbol"/>
              </w:rPr>
              <w:t></w:t>
            </w:r>
          </w:p>
        </w:tc>
        <w:tc>
          <w:tcPr>
            <w:tcW w:w="886" w:type="dxa"/>
          </w:tcPr>
          <w:p w14:paraId="5531933C" w14:textId="306E4149" w:rsidR="0003785C" w:rsidRDefault="0003785C" w:rsidP="00AE588A">
            <w:pPr>
              <w:spacing w:line="480" w:lineRule="auto"/>
              <w:rPr>
                <w:b/>
                <w:bCs/>
              </w:rPr>
            </w:pPr>
            <m:oMathPara>
              <m:oMath>
                <m:r>
                  <m:rPr>
                    <m:sty m:val="b"/>
                  </m:rPr>
                  <w:rPr>
                    <w:rFonts w:ascii="Cambria Math" w:hAnsi="Cambria Math"/>
                  </w:rPr>
                  <m:t>ϕ</m:t>
                </m:r>
                <m:r>
                  <m:rPr>
                    <m:sty m:val="bi"/>
                  </m:rPr>
                  <w:rPr>
                    <w:rFonts w:ascii="Cambria Math" w:hAnsi="Cambria Math" w:cs="Times"/>
                    <w:position w:val="-6"/>
                  </w:rPr>
                  <m:t>s</m:t>
                </m:r>
              </m:oMath>
            </m:oMathPara>
          </w:p>
        </w:tc>
        <w:tc>
          <w:tcPr>
            <w:tcW w:w="893" w:type="dxa"/>
          </w:tcPr>
          <w:p w14:paraId="69EA502B" w14:textId="334361F9" w:rsidR="0003785C" w:rsidRDefault="0003785C" w:rsidP="00AE588A">
            <w:pPr>
              <w:spacing w:line="480" w:lineRule="auto"/>
              <w:rPr>
                <w:b/>
                <w:bCs/>
              </w:rPr>
            </w:pPr>
            <m:oMathPara>
              <m:oMath>
                <m:r>
                  <m:rPr>
                    <m:sty m:val="b"/>
                  </m:rPr>
                  <w:rPr>
                    <w:rFonts w:ascii="Cambria Math" w:hAnsi="Cambria Math"/>
                  </w:rPr>
                  <m:t>ϕ</m:t>
                </m:r>
                <m:r>
                  <m:rPr>
                    <m:sty m:val="bi"/>
                  </m:rPr>
                  <w:rPr>
                    <w:rFonts w:ascii="Cambria Math" w:hAnsi="Cambria Math" w:cs="Times"/>
                    <w:position w:val="-6"/>
                  </w:rPr>
                  <m:t>d</m:t>
                </m:r>
              </m:oMath>
            </m:oMathPara>
          </w:p>
        </w:tc>
        <w:tc>
          <w:tcPr>
            <w:tcW w:w="850" w:type="dxa"/>
          </w:tcPr>
          <w:p w14:paraId="5D12669F" w14:textId="6CEFBADA" w:rsidR="0003785C" w:rsidRDefault="0003785C" w:rsidP="00AE588A">
            <w:pPr>
              <w:spacing w:line="480" w:lineRule="auto"/>
              <w:rPr>
                <w:b/>
                <w:bCs/>
              </w:rPr>
            </w:pPr>
            <w:r w:rsidRPr="004946F6">
              <w:rPr>
                <w:rFonts w:ascii="Symbol" w:hAnsi="Symbol"/>
              </w:rPr>
              <w:t></w:t>
            </w:r>
          </w:p>
        </w:tc>
        <w:tc>
          <w:tcPr>
            <w:tcW w:w="850" w:type="dxa"/>
          </w:tcPr>
          <w:p w14:paraId="25F7DC45" w14:textId="33049C1B" w:rsidR="0003785C" w:rsidRDefault="0003785C" w:rsidP="00AE588A">
            <w:pPr>
              <w:spacing w:line="480" w:lineRule="auto"/>
              <w:rPr>
                <w:b/>
                <w:bCs/>
              </w:rPr>
            </w:pPr>
            <w:r w:rsidRPr="004946F6">
              <w:rPr>
                <w:rFonts w:ascii="Symbol" w:hAnsi="Symbol"/>
              </w:rPr>
              <w:t></w:t>
            </w:r>
          </w:p>
        </w:tc>
      </w:tr>
      <w:tr w:rsidR="00FF6050" w14:paraId="30907CE6" w14:textId="77777777" w:rsidTr="00FF6050">
        <w:tc>
          <w:tcPr>
            <w:tcW w:w="1164" w:type="dxa"/>
          </w:tcPr>
          <w:p w14:paraId="6D4C61D7" w14:textId="3DECA0F5" w:rsidR="0003785C" w:rsidRDefault="0003785C" w:rsidP="00AE588A">
            <w:pPr>
              <w:spacing w:line="480" w:lineRule="auto"/>
              <w:rPr>
                <w:b/>
                <w:bCs/>
              </w:rPr>
            </w:pPr>
            <w:r>
              <w:rPr>
                <w:rFonts w:ascii="Calibri" w:eastAsia="Calibri" w:hAnsi="Calibri" w:cs="Arial"/>
              </w:rPr>
              <w:t>Value</w:t>
            </w:r>
          </w:p>
        </w:tc>
        <w:tc>
          <w:tcPr>
            <w:tcW w:w="945" w:type="dxa"/>
          </w:tcPr>
          <w:p w14:paraId="54A9E31E" w14:textId="21FDC5D4" w:rsidR="0003785C" w:rsidRDefault="0003785C" w:rsidP="00AE588A">
            <w:pPr>
              <w:spacing w:line="480" w:lineRule="auto"/>
              <w:rPr>
                <w:b/>
                <w:bCs/>
              </w:rPr>
            </w:pPr>
            <w:r w:rsidRPr="004946F6">
              <w:t>0.4</w:t>
            </w:r>
          </w:p>
        </w:tc>
        <w:tc>
          <w:tcPr>
            <w:tcW w:w="943" w:type="dxa"/>
          </w:tcPr>
          <w:p w14:paraId="147ACE04" w14:textId="2146091C" w:rsidR="0003785C" w:rsidRDefault="0003785C" w:rsidP="00AE588A">
            <w:pPr>
              <w:spacing w:line="480" w:lineRule="auto"/>
              <w:rPr>
                <w:b/>
                <w:bCs/>
              </w:rPr>
            </w:pPr>
            <w:r w:rsidRPr="004946F6">
              <w:t>0.588*</w:t>
            </w:r>
          </w:p>
        </w:tc>
        <w:tc>
          <w:tcPr>
            <w:tcW w:w="899" w:type="dxa"/>
          </w:tcPr>
          <w:p w14:paraId="463E3A4E" w14:textId="11A024CB" w:rsidR="0003785C" w:rsidRDefault="0003785C" w:rsidP="00AE588A">
            <w:pPr>
              <w:spacing w:line="480" w:lineRule="auto"/>
              <w:rPr>
                <w:b/>
                <w:bCs/>
              </w:rPr>
            </w:pPr>
            <w:r w:rsidRPr="004946F6">
              <w:t>0.898*</w:t>
            </w:r>
          </w:p>
        </w:tc>
        <w:tc>
          <w:tcPr>
            <w:tcW w:w="847" w:type="dxa"/>
          </w:tcPr>
          <w:p w14:paraId="5C4FADC8" w14:textId="6D895DC2" w:rsidR="0003785C" w:rsidRDefault="0003785C" w:rsidP="00AE588A">
            <w:pPr>
              <w:spacing w:line="480" w:lineRule="auto"/>
              <w:rPr>
                <w:b/>
                <w:bCs/>
              </w:rPr>
            </w:pPr>
            <w:r w:rsidRPr="004946F6">
              <w:t>2.780*</w:t>
            </w:r>
          </w:p>
        </w:tc>
        <w:tc>
          <w:tcPr>
            <w:tcW w:w="852" w:type="dxa"/>
          </w:tcPr>
          <w:p w14:paraId="77CABDA0" w14:textId="23DD307E" w:rsidR="0003785C" w:rsidRDefault="0003785C" w:rsidP="00AE588A">
            <w:pPr>
              <w:spacing w:line="480" w:lineRule="auto"/>
              <w:rPr>
                <w:b/>
                <w:bCs/>
              </w:rPr>
            </w:pPr>
            <w:r w:rsidRPr="004946F6">
              <w:t>0.159*</w:t>
            </w:r>
          </w:p>
        </w:tc>
        <w:tc>
          <w:tcPr>
            <w:tcW w:w="844" w:type="dxa"/>
          </w:tcPr>
          <w:p w14:paraId="37D99983" w14:textId="0C3D294D" w:rsidR="0003785C" w:rsidRDefault="0003785C" w:rsidP="00AE588A">
            <w:pPr>
              <w:spacing w:line="480" w:lineRule="auto"/>
              <w:rPr>
                <w:b/>
                <w:bCs/>
              </w:rPr>
            </w:pPr>
            <w:r w:rsidRPr="004946F6">
              <w:t>0.174*</w:t>
            </w:r>
          </w:p>
        </w:tc>
        <w:tc>
          <w:tcPr>
            <w:tcW w:w="886" w:type="dxa"/>
          </w:tcPr>
          <w:p w14:paraId="31E31021" w14:textId="25485D45" w:rsidR="0003785C" w:rsidRDefault="0003785C" w:rsidP="00AE588A">
            <w:pPr>
              <w:spacing w:line="480" w:lineRule="auto"/>
              <w:rPr>
                <w:b/>
                <w:bCs/>
              </w:rPr>
            </w:pPr>
            <w:r w:rsidRPr="004946F6">
              <w:t>1.070*</w:t>
            </w:r>
          </w:p>
        </w:tc>
        <w:tc>
          <w:tcPr>
            <w:tcW w:w="893" w:type="dxa"/>
          </w:tcPr>
          <w:p w14:paraId="6EEE9E26" w14:textId="5165062F" w:rsidR="0003785C" w:rsidRDefault="0003785C" w:rsidP="00AE588A">
            <w:pPr>
              <w:spacing w:line="480" w:lineRule="auto"/>
              <w:rPr>
                <w:b/>
                <w:bCs/>
              </w:rPr>
            </w:pPr>
            <w:r w:rsidRPr="004946F6">
              <w:t>0.981*</w:t>
            </w:r>
          </w:p>
        </w:tc>
        <w:tc>
          <w:tcPr>
            <w:tcW w:w="850" w:type="dxa"/>
          </w:tcPr>
          <w:p w14:paraId="533601AD" w14:textId="0812AF89" w:rsidR="0003785C" w:rsidRDefault="0003785C" w:rsidP="00AE588A">
            <w:pPr>
              <w:spacing w:line="480" w:lineRule="auto"/>
              <w:rPr>
                <w:b/>
                <w:bCs/>
              </w:rPr>
            </w:pPr>
            <w:r w:rsidRPr="004946F6">
              <w:t>0.11</w:t>
            </w:r>
          </w:p>
        </w:tc>
        <w:tc>
          <w:tcPr>
            <w:tcW w:w="850" w:type="dxa"/>
          </w:tcPr>
          <w:p w14:paraId="59EB3D03" w14:textId="7CBB7470" w:rsidR="0003785C" w:rsidRDefault="0003785C" w:rsidP="00AE588A">
            <w:pPr>
              <w:spacing w:line="480" w:lineRule="auto"/>
              <w:rPr>
                <w:b/>
                <w:bCs/>
              </w:rPr>
            </w:pPr>
            <w:r w:rsidRPr="004946F6">
              <w:t>0.45</w:t>
            </w:r>
          </w:p>
        </w:tc>
      </w:tr>
    </w:tbl>
    <w:p w14:paraId="045FB0B7" w14:textId="3E0BE259" w:rsidR="00A80526" w:rsidRPr="004946F6" w:rsidRDefault="0003785C" w:rsidP="00AE588A">
      <w:pPr>
        <w:spacing w:line="480" w:lineRule="auto"/>
        <w:rPr>
          <w:b/>
          <w:bCs/>
        </w:rPr>
      </w:pPr>
      <w:r w:rsidRPr="004946F6">
        <w:rPr>
          <w:i/>
          <w:iCs/>
        </w:rPr>
        <w:t>Note:</w:t>
      </w:r>
      <w:r w:rsidRPr="004946F6">
        <w:t xml:space="preserve"> *Values were inherited from Polyn et al. 2009.</w:t>
      </w:r>
    </w:p>
    <w:p w14:paraId="598B721D" w14:textId="68E0E41B" w:rsidR="00A031E8" w:rsidRPr="004946F6" w:rsidRDefault="00A031E8">
      <w:pPr>
        <w:rPr>
          <w:b/>
          <w:bCs/>
        </w:rPr>
      </w:pPr>
      <w:bookmarkStart w:id="5" w:name="section2"/>
      <w:r w:rsidRPr="004946F6">
        <w:rPr>
          <w:b/>
          <w:bCs/>
        </w:rPr>
        <w:br w:type="page"/>
      </w:r>
    </w:p>
    <w:p w14:paraId="7D125B68" w14:textId="553125FE" w:rsidR="005A0C9C" w:rsidRPr="004946F6" w:rsidRDefault="006F2EF8" w:rsidP="00AE588A">
      <w:pPr>
        <w:spacing w:line="480" w:lineRule="auto"/>
        <w:jc w:val="center"/>
        <w:rPr>
          <w:b/>
          <w:bCs/>
        </w:rPr>
      </w:pPr>
      <w:r w:rsidRPr="004946F6">
        <w:rPr>
          <w:b/>
          <w:bCs/>
        </w:rPr>
        <w:t>2</w:t>
      </w:r>
      <w:r w:rsidR="005358D1" w:rsidRPr="004946F6">
        <w:rPr>
          <w:b/>
          <w:bCs/>
        </w:rPr>
        <w:t xml:space="preserve">. </w:t>
      </w:r>
      <w:r w:rsidR="006C5653" w:rsidRPr="004946F6">
        <w:rPr>
          <w:b/>
          <w:bCs/>
        </w:rPr>
        <w:t>eCMR captures t</w:t>
      </w:r>
      <w:r w:rsidR="00E42983" w:rsidRPr="004946F6">
        <w:rPr>
          <w:b/>
          <w:bCs/>
        </w:rPr>
        <w:t>he</w:t>
      </w:r>
      <w:r w:rsidR="00820CBD" w:rsidRPr="004946F6">
        <w:rPr>
          <w:b/>
          <w:bCs/>
        </w:rPr>
        <w:t xml:space="preserve"> emotional </w:t>
      </w:r>
      <w:r w:rsidR="005358D1" w:rsidRPr="004946F6">
        <w:rPr>
          <w:b/>
          <w:bCs/>
        </w:rPr>
        <w:t>list composition effect</w:t>
      </w:r>
    </w:p>
    <w:p w14:paraId="498D5E89" w14:textId="77777777" w:rsidR="00A80526" w:rsidRPr="004946F6" w:rsidRDefault="00A80526" w:rsidP="00AE588A">
      <w:pPr>
        <w:spacing w:line="480" w:lineRule="auto"/>
        <w:jc w:val="center"/>
        <w:rPr>
          <w:b/>
          <w:bCs/>
        </w:rPr>
      </w:pPr>
    </w:p>
    <w:bookmarkEnd w:id="5"/>
    <w:p w14:paraId="4449AAC1" w14:textId="45387311" w:rsidR="00DA31C0" w:rsidRPr="004946F6" w:rsidRDefault="00320EE8">
      <w:pPr>
        <w:spacing w:line="480" w:lineRule="auto"/>
        <w:jc w:val="both"/>
      </w:pPr>
      <w:r w:rsidRPr="004946F6">
        <w:t>The list</w:t>
      </w:r>
      <w:r w:rsidR="0038388A">
        <w:t>-</w:t>
      </w:r>
      <w:r w:rsidRPr="004946F6">
        <w:t xml:space="preserve">composition effect is an umbrella term that refers to an interaction between </w:t>
      </w:r>
      <w:r w:rsidR="0038388A">
        <w:t xml:space="preserve">the way to-be-remembered </w:t>
      </w:r>
      <w:r w:rsidRPr="004946F6">
        <w:t>item</w:t>
      </w:r>
      <w:r w:rsidR="0038388A">
        <w:t>s</w:t>
      </w:r>
      <w:r w:rsidRPr="004946F6">
        <w:t xml:space="preserve"> </w:t>
      </w:r>
      <w:r w:rsidR="0038388A">
        <w:t xml:space="preserve">are processed during encoding </w:t>
      </w:r>
      <w:r w:rsidRPr="004946F6">
        <w:t xml:space="preserve">and the global composition of the encoding list </w:t>
      </w:r>
      <w:r w:rsidRPr="004946F6">
        <w:fldChar w:fldCharType="begin" w:fldLock="1"/>
      </w:r>
      <w:r w:rsidR="008C25E5" w:rsidRPr="004946F6">
        <w:instrText>ADDIN CSL_CITATION { "citationItems" : [ { "id" : "ITEM-1", "itemData" : { "DOI" : "10.3758/PBR.15.2.237", "ISBN" : "1069-9384", "ISSN" : "1069-9384", "PMID" : "18488637", "abstract" : "In mixed lists, stable free recall advantages are observed for encoding conditions that are unusual, bizarre, or attract extensive individual item elaboration relative to more common encoding conditions; but this recall advantage is often eliminated or reversed in pure lists. We attempt to explain this ubiquitous memory puzzle with an item-order account that assumes that (1) free recall of unrelated lists depends on order and item information; (2) unusual items attract greater individual item-processing but disrupt order encoding regardless of list composition; and (3) list composition determines differences in order encoding across unusual and common items. We show that the item-order account provides a unifying explanation of five memory phenomena for which the requisite data exist. The account also successfully anticipates pure-list reversals, in which the standard mixed-list recall pattern is obtained in pure, structured lists, a finding that competing accounts cannot handle. Extending the item-order account to other \"established\" recall phenomena may prove fruitful.", "author" : [ { "dropping-particle" : "", "family" : "McDaniel", "given" : "Mark A.", "non-dropping-particle" : "", "parse-names" : false, "suffix" : "" }, { "dropping-particle" : "", "family" : "Bugg", "given" : "Julie M.", "non-dropping-particle" : "", "parse-names" : false, "suffix" : "" } ], "container-title" : "Psychonomic Bulletin &amp; Review", "id" : "ITEM-1", "issue" : "2", "issued" : { "date-parts" : [ [ "2008" ] ] }, "page" : "237-255", "title" : "Instability in memory phenomena: A common puzzle and a unifying explanation", "type" : "article-journal", "volume" : "15" }, "uris" : [ "http://www.mendeley.com/documents/?uuid=9d9a4071-4b55-43cb-a5b2-872f30dd9e8c" ] } ], "mendeley" : { "formattedCitation" : "(McDaniel &amp; Bugg, 2008)", "plainTextFormattedCitation" : "(McDaniel &amp; Bugg, 2008)", "previouslyFormattedCitation" : "(McDaniel &amp; Bugg, 2008)" }, "properties" : { "noteIndex" : 0 }, "schema" : "https://github.com/citation-style-language/schema/raw/master/csl-citation.json" }</w:instrText>
      </w:r>
      <w:r w:rsidRPr="004946F6">
        <w:fldChar w:fldCharType="separate"/>
      </w:r>
      <w:r w:rsidRPr="004946F6">
        <w:rPr>
          <w:noProof/>
        </w:rPr>
        <w:t>(McDaniel &amp; Bugg, 2008)</w:t>
      </w:r>
      <w:r w:rsidRPr="004946F6">
        <w:fldChar w:fldCharType="end"/>
      </w:r>
      <w:r w:rsidRPr="004946F6">
        <w:t xml:space="preserve">. This manipulation could be executed by selecting </w:t>
      </w:r>
      <w:r w:rsidR="002D025B" w:rsidRPr="004946F6">
        <w:t xml:space="preserve">atypical </w:t>
      </w:r>
      <w:r w:rsidRPr="004946F6">
        <w:t xml:space="preserve">items </w:t>
      </w:r>
      <w:r w:rsidR="0038388A">
        <w:t xml:space="preserve">with unique attributes </w:t>
      </w:r>
      <w:r w:rsidRPr="004946F6">
        <w:t>that attract special encoding processes, for example those that are unusual, complex, or bizarre; or it could be due to experimental instructions to process a subset of items in a</w:t>
      </w:r>
      <w:r w:rsidR="0038388A">
        <w:t>n atypical</w:t>
      </w:r>
      <w:r w:rsidRPr="004946F6">
        <w:t xml:space="preserve"> way, for example by enacting or generating a subset of items while others are silently read. </w:t>
      </w:r>
      <w:r w:rsidR="0038388A">
        <w:t>In tests of free recall, atypical</w:t>
      </w:r>
      <w:r w:rsidRPr="004946F6">
        <w:t xml:space="preserve"> items are re</w:t>
      </w:r>
      <w:r w:rsidR="000B782D" w:rsidRPr="004946F6">
        <w:t>called</w:t>
      </w:r>
      <w:r w:rsidRPr="004946F6">
        <w:t xml:space="preserve"> better when they are encoded in the same list as the ‘standard’ items, but their advantage is minimised or even eliminated when each item type is encoded separately, in a pure list </w:t>
      </w:r>
      <w:r w:rsidRPr="004946F6">
        <w:fldChar w:fldCharType="begin" w:fldLock="1"/>
      </w:r>
      <w:r w:rsidR="008C25E5" w:rsidRPr="004946F6">
        <w:instrText>ADDIN CSL_CITATION { "citationItems" : [ { "id" : "ITEM-1", "itemData" : { "DOI" : "10.3758/PBR.15.2.237", "ISBN" : "1069-9384", "ISSN" : "1069-9384", "PMID" : "18488637", "abstract" : "In mixed lists, stable free recall advantages are observed for encoding conditions that are unusual, bizarre, or attract extensive individual item elaboration relative to more common encoding conditions; but this recall advantage is often eliminated or reversed in pure lists. We attempt to explain this ubiquitous memory puzzle with an item-order account that assumes that (1) free recall of unrelated lists depends on order and item information; (2) unusual items attract greater individual item-processing but disrupt order encoding regardless of list composition; and (3) list composition determines differences in order encoding across unusual and common items. We show that the item-order account provides a unifying explanation of five memory phenomena for which the requisite data exist. The account also successfully anticipates pure-list reversals, in which the standard mixed-list recall pattern is obtained in pure, structured lists, a finding that competing accounts cannot handle. Extending the item-order account to other \"established\" recall phenomena may prove fruitful.", "author" : [ { "dropping-particle" : "", "family" : "McDaniel", "given" : "Mark A.", "non-dropping-particle" : "", "parse-names" : false, "suffix" : "" }, { "dropping-particle" : "", "family" : "Bugg", "given" : "Julie M.", "non-dropping-particle" : "", "parse-names" : false, "suffix" : "" } ], "container-title" : "Psychonomic Bulletin &amp; Review", "id" : "ITEM-1", "issue" : "2", "issued" : { "date-parts" : [ [ "2008" ] ] }, "page" : "237-255", "title" : "Instability in memory phenomena: A common puzzle and a unifying explanation", "type" : "article-journal", "volume" : "15" }, "uris" : [ "http://www.mendeley.com/documents/?uuid=9d9a4071-4b55-43cb-a5b2-872f30dd9e8c" ] } ], "mendeley" : { "formattedCitation" : "(McDaniel &amp; Bugg, 2008)", "plainTextFormattedCitation" : "(McDaniel &amp; Bugg, 2008)", "previouslyFormattedCitation" : "(McDaniel &amp; Bugg, 2008)" }, "properties" : { "noteIndex" : 0 }, "schema" : "https://github.com/citation-style-language/schema/raw/master/csl-citation.json" }</w:instrText>
      </w:r>
      <w:r w:rsidRPr="004946F6">
        <w:fldChar w:fldCharType="separate"/>
      </w:r>
      <w:r w:rsidRPr="004946F6">
        <w:rPr>
          <w:noProof/>
        </w:rPr>
        <w:t>(McDaniel &amp; Bugg, 2008)</w:t>
      </w:r>
      <w:r w:rsidRPr="004946F6">
        <w:fldChar w:fldCharType="end"/>
      </w:r>
      <w:r w:rsidRPr="004946F6">
        <w:t xml:space="preserve">. </w:t>
      </w:r>
      <w:r w:rsidR="0038388A">
        <w:t>I</w:t>
      </w:r>
      <w:r w:rsidR="0064447D" w:rsidRPr="004946F6">
        <w:t xml:space="preserve">n recognition memory tests memory for </w:t>
      </w:r>
      <w:r w:rsidR="0038388A">
        <w:t>atypical</w:t>
      </w:r>
      <w:r w:rsidR="0064447D" w:rsidRPr="004946F6">
        <w:t xml:space="preserve"> items is better than memory for standard items </w:t>
      </w:r>
      <w:r w:rsidR="0064447D" w:rsidRPr="004946F6">
        <w:fldChar w:fldCharType="begin" w:fldLock="1"/>
      </w:r>
      <w:r w:rsidR="008C25E5" w:rsidRPr="004946F6">
        <w:instrText>ADDIN CSL_CITATION { "citationItems" : [ { "id" : "ITEM-1", "itemData" : { "DOI" : "10.3758/PBR.15.2.237", "ISBN" : "1069-9384", "ISSN" : "1069-9384", "PMID" : "18488637", "abstract" : "In mixed lists, stable free recall advantages are observed for encoding conditions that are unusual, bizarre, or attract extensive individual item elaboration relative to more common encoding conditions; but this recall advantage is often eliminated or reversed in pure lists. We attempt to explain this ubiquitous memory puzzle with an item-order account that assumes that (1) free recall of unrelated lists depends on order and item information; (2) unusual items attract greater individual item-processing but disrupt order encoding regardless of list composition; and (3) list composition determines differences in order encoding across unusual and common items. We show that the item-order account provides a unifying explanation of five memory phenomena for which the requisite data exist. The account also successfully anticipates pure-list reversals, in which the standard mixed-list recall pattern is obtained in pure, structured lists, a finding that competing accounts cannot handle. Extending the item-order account to other \"established\" recall phenomena may prove fruitful.", "author" : [ { "dropping-particle" : "", "family" : "McDaniel", "given" : "Mark A.", "non-dropping-particle" : "", "parse-names" : false, "suffix" : "" }, { "dropping-particle" : "", "family" : "Bugg", "given" : "Julie M.", "non-dropping-particle" : "", "parse-names" : false, "suffix" : "" } ], "container-title" : "Psychonomic Bulletin &amp; Review", "id" : "ITEM-1", "issue" : "2", "issued" : { "date-parts" : [ [ "2008" ] ] }, "page" : "237-255", "title" : "Instability in memory phenomena: A common puzzle and a unifying explanation", "type" : "article-journal", "volume" : "15" }, "uris" : [ "http://www.mendeley.com/documents/?uuid=9d9a4071-4b55-43cb-a5b2-872f30dd9e8c" ] } ], "mendeley" : { "formattedCitation" : "(McDaniel &amp; Bugg, 2008)", "plainTextFormattedCitation" : "(McDaniel &amp; Bugg, 2008)", "previouslyFormattedCitation" : "(McDaniel &amp; Bugg, 2008)" }, "properties" : { "noteIndex" : 0 }, "schema" : "https://github.com/citation-style-language/schema/raw/master/csl-citation.json" }</w:instrText>
      </w:r>
      <w:r w:rsidR="0064447D" w:rsidRPr="004946F6">
        <w:fldChar w:fldCharType="separate"/>
      </w:r>
      <w:r w:rsidR="0064447D" w:rsidRPr="004946F6">
        <w:rPr>
          <w:noProof/>
        </w:rPr>
        <w:t>(McDaniel &amp; Bugg, 2008)</w:t>
      </w:r>
      <w:r w:rsidR="0064447D" w:rsidRPr="004946F6">
        <w:fldChar w:fldCharType="end"/>
      </w:r>
      <w:r w:rsidR="0064447D" w:rsidRPr="004946F6">
        <w:t>.</w:t>
      </w:r>
    </w:p>
    <w:p w14:paraId="59287F42" w14:textId="528E6561" w:rsidR="00320EE8" w:rsidRPr="004946F6" w:rsidRDefault="00320EE8">
      <w:pPr>
        <w:spacing w:line="480" w:lineRule="auto"/>
        <w:jc w:val="both"/>
      </w:pPr>
      <w:r w:rsidRPr="004946F6">
        <w:t>The list composition effect is related to the list</w:t>
      </w:r>
      <w:r w:rsidR="005247F5" w:rsidRPr="004946F6">
        <w:t>-</w:t>
      </w:r>
      <w:r w:rsidRPr="004946F6">
        <w:t xml:space="preserve">strength effect </w:t>
      </w:r>
      <w:r w:rsidRPr="004946F6">
        <w:fldChar w:fldCharType="begin" w:fldLock="1"/>
      </w:r>
      <w:r w:rsidR="008C25E5" w:rsidRPr="004946F6">
        <w:instrText>ADDIN CSL_CITATION { "citationItems" : [ { "id" : "ITEM-1", "itemData" : { "author" : [ { "dropping-particle" : "", "family" : "Ratcliff", "given" : "R.", "non-dropping-particle" : "", "parse-names" : false, "suffix" : "" }, { "dropping-particle" : "", "family" : "Clark", "given" : "S. E.", "non-dropping-particle" : "", "parse-names" : false, "suffix" : "" }, { "dropping-particle" : "", "family" : "Shiffrin", "given" : "R. M.", "non-dropping-particle" : "", "parse-names" : false, "suffix" : "" } ], "container-title" : "Journal of Experimental Psychology: Learning, Memory, and Cognition", "id" : "ITEM-1", "issued" : { "date-parts" : [ [ "1990" ] ] }, "page" : "163\u2013178", "title" : "List-strength effect: I. Data and discussion", "type" : "article-journal", "volume" : "16" }, "uris" : [ "http://www.mendeley.com/documents/?uuid=8cbf68cb-bac8-4fc1-abb6-00365b2779b4" ] } ], "mendeley" : { "formattedCitation" : "(Ratcliff, Clark, &amp; Shiffrin, 1990)", "plainTextFormattedCitation" : "(Ratcliff, Clark, &amp; Shiffrin, 1990)", "previouslyFormattedCitation" : "(Ratcliff, Clark, &amp; Shiffrin, 1990)" }, "properties" : { "noteIndex" : 0 }, "schema" : "https://github.com/citation-style-language/schema/raw/master/csl-citation.json" }</w:instrText>
      </w:r>
      <w:r w:rsidRPr="004946F6">
        <w:fldChar w:fldCharType="separate"/>
      </w:r>
      <w:r w:rsidRPr="004946F6">
        <w:rPr>
          <w:noProof/>
        </w:rPr>
        <w:t>(Ratcliff, Clark, &amp; Shiffrin, 1990)</w:t>
      </w:r>
      <w:r w:rsidRPr="004946F6">
        <w:fldChar w:fldCharType="end"/>
      </w:r>
      <w:r w:rsidR="000F29A6" w:rsidRPr="004946F6">
        <w:t xml:space="preserve"> – the finding that </w:t>
      </w:r>
      <w:r w:rsidRPr="004946F6">
        <w:t>spaced repetition of some of the items</w:t>
      </w:r>
      <w:r w:rsidR="000F29A6" w:rsidRPr="004946F6">
        <w:t xml:space="preserve"> gives them a larger </w:t>
      </w:r>
      <w:r w:rsidR="0038388A" w:rsidRPr="004946F6">
        <w:t>free</w:t>
      </w:r>
      <w:r w:rsidR="0038388A">
        <w:t>-</w:t>
      </w:r>
      <w:r w:rsidR="0038388A" w:rsidRPr="004946F6">
        <w:t xml:space="preserve">recall </w:t>
      </w:r>
      <w:r w:rsidR="000F29A6" w:rsidRPr="004946F6">
        <w:t>advantage</w:t>
      </w:r>
      <w:r w:rsidR="005247F5" w:rsidRPr="004946F6">
        <w:t xml:space="preserve"> </w:t>
      </w:r>
      <w:r w:rsidR="000F29A6" w:rsidRPr="004946F6">
        <w:t>when they are presented in a mixed list with non-repeated items, compared to a situation where repeated and non-repeated items are presented in pure lists</w:t>
      </w:r>
      <w:r w:rsidR="00132524" w:rsidRPr="004946F6">
        <w:t xml:space="preserve">. </w:t>
      </w:r>
      <w:r w:rsidR="007663C2">
        <w:t>Spaced</w:t>
      </w:r>
      <w:r w:rsidR="00132524" w:rsidRPr="004946F6">
        <w:t xml:space="preserve"> repetition is </w:t>
      </w:r>
      <w:r w:rsidR="0038388A">
        <w:t>thought</w:t>
      </w:r>
      <w:r w:rsidR="00132524" w:rsidRPr="004946F6">
        <w:t xml:space="preserve"> to ‘str</w:t>
      </w:r>
      <w:r w:rsidR="007663C2">
        <w:t>engthen</w:t>
      </w:r>
      <w:r w:rsidR="00132524" w:rsidRPr="004946F6">
        <w:t>’</w:t>
      </w:r>
      <w:r w:rsidR="007663C2">
        <w:t xml:space="preserve"> the items</w:t>
      </w:r>
      <w:r w:rsidR="00132524" w:rsidRPr="004946F6">
        <w:t>, and is therefore akin to the</w:t>
      </w:r>
      <w:r w:rsidR="0038388A">
        <w:t xml:space="preserve"> manipulations mentioned above that render </w:t>
      </w:r>
      <w:r w:rsidR="007663C2">
        <w:t>them</w:t>
      </w:r>
      <w:r w:rsidR="0038388A">
        <w:t xml:space="preserve"> ‘atypical’. </w:t>
      </w:r>
      <w:r w:rsidR="007663C2">
        <w:t>T</w:t>
      </w:r>
      <w:r w:rsidR="007663C2" w:rsidRPr="004946F6">
        <w:t xml:space="preserve">he effects resemble each other also in that the list-strength effect also disappears in recognition memory tests </w:t>
      </w:r>
      <w:r w:rsidR="007663C2" w:rsidRPr="004946F6">
        <w:fldChar w:fldCharType="begin" w:fldLock="1"/>
      </w:r>
      <w:r w:rsidR="007663C2" w:rsidRPr="004946F6">
        <w:instrText>ADDIN CSL_CITATION { "citationItems" : [ { "id" : "ITEM-1", "itemData" : { "DOI" : "10.3758/BF03209391", "ISSN" : "1069-9384", "PMID" : "21331823", "abstract" : "A new model of recognition memory is reported. This model is placed within, and introduces, a more elaborate theory that is being developed to predict the phenomena of explicit and implicit, and episodic and generic, memory. The recognition model is applied to basic findings, including phenomena that pose problems for extant models: the list-strength effect (e.g., Ratcliff, Clark, &amp; Shiffrin, 1990), the mirror effect (e.g., Glanzer &amp; Adams, 1990), and the normal-ROC slope effect (e.g., Ratcliff, McKoon, &amp; Tindall, 1994). The model assumes storage of separate episodic images for different words, each image consisting of a vector of feature values. Each image is an incomplete and error prone copy of the studied vector. For the simplest case, it is possible to calculate the probability that a test item is \"old,\" and it is assumed that a default \"old\" response is given if this probability is greater than .5. It is demonstrated that this model and its more complete and realistic versions produce excellent qualitative predictions.", "author" : [ { "dropping-particle" : "", "family" : "Shiffrin", "given" : "Richard M.", "non-dropping-particle" : "", "parse-names" : false, "suffix" : "" }, { "dropping-particle" : "", "family" : "Steyvers", "given" : "Mark", "non-dropping-particle" : "", "parse-names" : false, "suffix" : "" } ], "container-title" : "Psychonomic Bulletin &amp; Review", "id" : "ITEM-1", "issue" : "2", "issued" : { "date-parts" : [ [ "1997", "6" ] ] }, "page" : "145-166", "title" : "A model for recognition memory: REM\u2014retrieving effectively from memory", "type" : "article-journal", "volume" : "4" }, "uris" : [ "http://www.mendeley.com/documents/?uuid=d5c56f3f-a9c6-3b99-83f0-5a32ef55a037" ] } ], "mendeley" : { "formattedCitation" : "(Shiffrin &amp; Steyvers, 1997)", "plainTextFormattedCitation" : "(Shiffrin &amp; Steyvers, 1997)", "previouslyFormattedCitation" : "(Shiffrin &amp; Steyvers, 1997)" }, "properties" : { "noteIndex" : 0 }, "schema" : "https://github.com/citation-style-language/schema/raw/master/csl-citation.json" }</w:instrText>
      </w:r>
      <w:r w:rsidR="007663C2" w:rsidRPr="004946F6">
        <w:fldChar w:fldCharType="separate"/>
      </w:r>
      <w:r w:rsidR="007663C2" w:rsidRPr="004946F6">
        <w:rPr>
          <w:noProof/>
        </w:rPr>
        <w:t>(Shiffrin &amp; Steyvers, 1997)</w:t>
      </w:r>
      <w:r w:rsidR="007663C2" w:rsidRPr="004946F6">
        <w:fldChar w:fldCharType="end"/>
      </w:r>
      <w:r w:rsidR="007663C2" w:rsidRPr="004946F6">
        <w:t>.</w:t>
      </w:r>
      <w:r w:rsidR="007663C2">
        <w:t xml:space="preserve"> </w:t>
      </w:r>
      <w:r w:rsidR="0038388A">
        <w:t>Yet</w:t>
      </w:r>
      <w:r w:rsidR="00132524" w:rsidRPr="004946F6">
        <w:t xml:space="preserve"> t</w:t>
      </w:r>
      <w:r w:rsidRPr="004946F6">
        <w:t>he effects of spaced repetition may not be the same as the effect of unusualness</w:t>
      </w:r>
      <w:r w:rsidR="00132524" w:rsidRPr="004946F6">
        <w:t xml:space="preserve">. </w:t>
      </w:r>
      <w:r w:rsidR="007663C2">
        <w:t xml:space="preserve">Atypical items are thought to be recalled better in mixed lists because </w:t>
      </w:r>
      <w:r w:rsidRPr="004946F6">
        <w:t>the</w:t>
      </w:r>
      <w:r w:rsidR="007663C2">
        <w:t>y</w:t>
      </w:r>
      <w:r w:rsidRPr="004946F6">
        <w:t xml:space="preserve"> </w:t>
      </w:r>
      <w:r w:rsidR="007663C2">
        <w:t xml:space="preserve">are better attended </w:t>
      </w:r>
      <w:r w:rsidRPr="004946F6">
        <w:t>and elaborat</w:t>
      </w:r>
      <w:r w:rsidR="007663C2">
        <w:t>ed</w:t>
      </w:r>
      <w:r w:rsidRPr="004946F6">
        <w:t xml:space="preserve"> </w:t>
      </w:r>
      <w:r w:rsidRPr="004946F6">
        <w:fldChar w:fldCharType="begin" w:fldLock="1"/>
      </w:r>
      <w:r w:rsidR="008C25E5" w:rsidRPr="004946F6">
        <w:instrText>ADDIN CSL_CITATION { "citationItems" : [ { "id" : "ITEM-1", "itemData" : { "DOI" : "10.3758/PBR.15.2.237", "ISBN" : "1069-9384", "ISSN" : "1069-9384", "PMID" : "18488637", "abstract" : "In mixed lists, stable free recall advantages are observed for encoding conditions that are unusual, bizarre, or attract extensive individual item elaboration relative to more common encoding conditions; but this recall advantage is often eliminated or reversed in pure lists. We attempt to explain this ubiquitous memory puzzle with an item-order account that assumes that (1) free recall of unrelated lists depends on order and item information; (2) unusual items attract greater individual item-processing but disrupt order encoding regardless of list composition; and (3) list composition determines differences in order encoding across unusual and common items. We show that the item-order account provides a unifying explanation of five memory phenomena for which the requisite data exist. The account also successfully anticipates pure-list reversals, in which the standard mixed-list recall pattern is obtained in pure, structured lists, a finding that competing accounts cannot handle. Extending the item-order account to other \"established\" recall phenomena may prove fruitful.", "author" : [ { "dropping-particle" : "", "family" : "McDaniel", "given" : "Mark A.", "non-dropping-particle" : "", "parse-names" : false, "suffix" : "" }, { "dropping-particle" : "", "family" : "Bugg", "given" : "Julie M.", "non-dropping-particle" : "", "parse-names" : false, "suffix" : "" } ], "container-title" : "Psychonomic Bulletin &amp; Review", "id" : "ITEM-1", "issue" : "2", "issued" : { "date-parts" : [ [ "2008" ] ] }, "page" : "237-255", "title" : "Instability in memory phenomena: A common puzzle and a unifying explanation", "type" : "article-journal", "volume" : "15" }, "uris" : [ "http://www.mendeley.com/documents/?uuid=9d9a4071-4b55-43cb-a5b2-872f30dd9e8c" ] } ], "mendeley" : { "formattedCitation" : "(McDaniel &amp; Bugg, 2008)", "plainTextFormattedCitation" : "(McDaniel &amp; Bugg, 2008)", "previouslyFormattedCitation" : "(McDaniel &amp; Bugg, 2008)" }, "properties" : { "noteIndex" : 0 }, "schema" : "https://github.com/citation-style-language/schema/raw/master/csl-citation.json" }</w:instrText>
      </w:r>
      <w:r w:rsidRPr="004946F6">
        <w:fldChar w:fldCharType="separate"/>
      </w:r>
      <w:r w:rsidRPr="004946F6">
        <w:rPr>
          <w:noProof/>
        </w:rPr>
        <w:t>(McDaniel &amp; Bugg, 2008)</w:t>
      </w:r>
      <w:r w:rsidRPr="004946F6">
        <w:fldChar w:fldCharType="end"/>
      </w:r>
      <w:r w:rsidRPr="004946F6">
        <w:t xml:space="preserve">, </w:t>
      </w:r>
      <w:r w:rsidR="007663C2">
        <w:t xml:space="preserve">while </w:t>
      </w:r>
      <w:r w:rsidRPr="004946F6">
        <w:t>longer or deeper processing of standard items does not give rise to the list</w:t>
      </w:r>
      <w:r w:rsidR="007663C2">
        <w:t>-</w:t>
      </w:r>
      <w:r w:rsidRPr="004946F6">
        <w:t xml:space="preserve">strength effect </w:t>
      </w:r>
      <w:r w:rsidRPr="004946F6">
        <w:fldChar w:fldCharType="begin" w:fldLock="1"/>
      </w:r>
      <w:r w:rsidR="008C25E5" w:rsidRPr="004946F6">
        <w:instrText>ADDIN CSL_CITATION { "citationItems" : [ { "id" : "ITEM-1", "itemData" : { "DOI" : "10.1037/0278-7393.31.2.322", "ISBN" : "0278-7393", "ISSN" : "0278-7393", "PMID" : "15755248", "abstract" : "In 3 experiments motivated by the implicit memory literature, the authors investigated the effects of different strengthening operations on the list strength effect (LSE) for explicit free recall, an effect posited by R. M. Shiffrin, R. Ratcliff, and S. E. Clark (1990) to be due to context cuing. According to the one-shot hypothesis, a fixed amount of context is stored when an item is studied for at least 1 or 2 s. Beyond the initial context storage, increases in study time or different orienting tasks do not influence the amount of context that is stored, and thus only spaced repetitions should produce a positive LSE. Consistent with prior findings, spaced repetitions always produced a positive LSE, but increases in depth of processing, study time, and massed repetitions did not. A model implements the one-shot hypothesis, and a role for context storage as a link between episodic and semantic memory is discussed.", "author" : [ { "dropping-particle" : "", "family" : "Malmberg", "given" : "Kenneth J.", "non-dropping-particle" : "", "parse-names" : false, "suffix" : "" }, { "dropping-particle" : "", "family" : "Shiffrin", "given" : "Richard M.", "non-dropping-particle" : "", "parse-names" : false, "suffix" : "" } ], "container-title" : "Journal of Experimental Psychology: Learning, Memory, and Cognition", "id" : "ITEM-1", "issue" : "2", "issued" : { "date-parts" : [ [ "2005" ] ] }, "page" : "322-336", "title" : "The \"One-Shot\" Hypothesis for Context Storage.", "type" : "article-journal", "volume" : "31" }, "uris" : [ "http://www.mendeley.com/documents/?uuid=68ca7147-d0e4-4340-ba0a-484801544643" ] } ], "mendeley" : { "formattedCitation" : "(Malmberg &amp; Shiffrin, 2005)", "plainTextFormattedCitation" : "(Malmberg &amp; Shiffrin, 2005)", "previouslyFormattedCitation" : "(Malmberg &amp; Shiffrin, 2005)" }, "properties" : { "noteIndex" : 0 }, "schema" : "https://github.com/citation-style-language/schema/raw/master/csl-citation.json" }</w:instrText>
      </w:r>
      <w:r w:rsidRPr="004946F6">
        <w:fldChar w:fldCharType="separate"/>
      </w:r>
      <w:r w:rsidRPr="004946F6">
        <w:rPr>
          <w:noProof/>
        </w:rPr>
        <w:t>(Malmberg &amp; Shiffrin, 2005)</w:t>
      </w:r>
      <w:r w:rsidRPr="004946F6">
        <w:fldChar w:fldCharType="end"/>
      </w:r>
      <w:r w:rsidRPr="004946F6">
        <w:t>.</w:t>
      </w:r>
      <w:r w:rsidR="005516D2" w:rsidRPr="004946F6">
        <w:t xml:space="preserve"> </w:t>
      </w:r>
    </w:p>
    <w:p w14:paraId="01A6FC52" w14:textId="135C22BC" w:rsidR="002A2C0C" w:rsidRPr="004946F6" w:rsidRDefault="00320EE8">
      <w:pPr>
        <w:spacing w:line="480" w:lineRule="auto"/>
        <w:jc w:val="both"/>
      </w:pPr>
      <w:r w:rsidRPr="004946F6">
        <w:t>Because emotional stimuli have unique attributes and attract unique processing operations</w:t>
      </w:r>
      <w:r w:rsidR="00AF52DE" w:rsidRPr="004946F6">
        <w:t>,</w:t>
      </w:r>
      <w:r w:rsidRPr="004946F6">
        <w:t xml:space="preserve"> it is </w:t>
      </w:r>
      <w:r w:rsidR="0064447D" w:rsidRPr="004946F6">
        <w:t>u</w:t>
      </w:r>
      <w:r w:rsidRPr="004946F6">
        <w:t xml:space="preserve">nsurprising that emotion </w:t>
      </w:r>
      <w:r w:rsidR="007663C2">
        <w:t>yields</w:t>
      </w:r>
      <w:r w:rsidRPr="004946F6">
        <w:t xml:space="preserve"> a</w:t>
      </w:r>
      <w:r w:rsidR="00B6326D" w:rsidRPr="004946F6">
        <w:t xml:space="preserve">n </w:t>
      </w:r>
      <w:r w:rsidR="00B6326D" w:rsidRPr="0003785C">
        <w:rPr>
          <w:i/>
          <w:iCs/>
        </w:rPr>
        <w:t>emotional</w:t>
      </w:r>
      <w:r w:rsidRPr="004946F6">
        <w:t xml:space="preserve"> list</w:t>
      </w:r>
      <w:r w:rsidR="007663C2">
        <w:t>-</w:t>
      </w:r>
      <w:r w:rsidRPr="004946F6">
        <w:t>composition effect</w:t>
      </w:r>
      <w:r w:rsidR="00D63A69" w:rsidRPr="004946F6">
        <w:t xml:space="preserve"> in free recall</w:t>
      </w:r>
      <w:r w:rsidRPr="004946F6">
        <w:t xml:space="preserve">. </w:t>
      </w:r>
      <w:r w:rsidR="007663C2">
        <w:t xml:space="preserve">Recalling </w:t>
      </w:r>
      <w:r w:rsidR="007663C2">
        <w:rPr>
          <w:lang w:bidi="he-IL"/>
        </w:rPr>
        <w:t>m</w:t>
      </w:r>
      <w:r w:rsidR="009E6BF4" w:rsidRPr="004946F6">
        <w:rPr>
          <w:lang w:bidi="he-IL"/>
        </w:rPr>
        <w:t>ixed lists operationalise</w:t>
      </w:r>
      <w:r w:rsidR="007663C2">
        <w:rPr>
          <w:lang w:bidi="he-IL"/>
        </w:rPr>
        <w:t>s</w:t>
      </w:r>
      <w:r w:rsidR="009E6BF4" w:rsidRPr="004946F6">
        <w:rPr>
          <w:lang w:bidi="he-IL"/>
        </w:rPr>
        <w:t xml:space="preserve"> </w:t>
      </w:r>
      <w:r w:rsidR="00DE5B55" w:rsidRPr="004946F6">
        <w:rPr>
          <w:lang w:bidi="he-IL"/>
        </w:rPr>
        <w:t xml:space="preserve">telling a friend about </w:t>
      </w:r>
      <w:r w:rsidR="007663C2">
        <w:rPr>
          <w:lang w:bidi="he-IL"/>
        </w:rPr>
        <w:t xml:space="preserve">a day </w:t>
      </w:r>
      <w:r w:rsidR="00D71C9F" w:rsidRPr="004946F6">
        <w:rPr>
          <w:lang w:bidi="he-IL"/>
        </w:rPr>
        <w:t xml:space="preserve">that </w:t>
      </w:r>
      <w:r w:rsidR="00092239" w:rsidRPr="004946F6">
        <w:rPr>
          <w:lang w:bidi="he-IL"/>
        </w:rPr>
        <w:t>include</w:t>
      </w:r>
      <w:r w:rsidR="007663C2">
        <w:rPr>
          <w:lang w:bidi="he-IL"/>
        </w:rPr>
        <w:t>d</w:t>
      </w:r>
      <w:r w:rsidR="00092239" w:rsidRPr="004946F6">
        <w:rPr>
          <w:lang w:bidi="he-IL"/>
        </w:rPr>
        <w:t xml:space="preserve"> some </w:t>
      </w:r>
      <w:r w:rsidR="00D71C9F" w:rsidRPr="004946F6">
        <w:rPr>
          <w:lang w:bidi="he-IL"/>
        </w:rPr>
        <w:t>emotionally</w:t>
      </w:r>
      <w:r w:rsidR="007663C2">
        <w:rPr>
          <w:lang w:bidi="he-IL"/>
        </w:rPr>
        <w:t>-</w:t>
      </w:r>
      <w:r w:rsidR="00D71C9F" w:rsidRPr="004946F6">
        <w:rPr>
          <w:lang w:bidi="he-IL"/>
        </w:rPr>
        <w:t xml:space="preserve">arousing </w:t>
      </w:r>
      <w:r w:rsidR="00092239" w:rsidRPr="004946F6">
        <w:rPr>
          <w:lang w:bidi="he-IL"/>
        </w:rPr>
        <w:t>aspects</w:t>
      </w:r>
      <w:r w:rsidR="00132524" w:rsidRPr="004946F6">
        <w:rPr>
          <w:lang w:bidi="he-IL"/>
        </w:rPr>
        <w:t xml:space="preserve">: </w:t>
      </w:r>
      <w:r w:rsidR="007663C2">
        <w:rPr>
          <w:lang w:bidi="he-IL"/>
        </w:rPr>
        <w:t xml:space="preserve">monthly targets were tabulated, </w:t>
      </w:r>
      <w:r w:rsidR="0019088E">
        <w:rPr>
          <w:lang w:bidi="he-IL"/>
        </w:rPr>
        <w:t>the lunch was terrible</w:t>
      </w:r>
      <w:r w:rsidR="00092239" w:rsidRPr="004946F6">
        <w:rPr>
          <w:lang w:bidi="he-IL"/>
        </w:rPr>
        <w:t xml:space="preserve">, </w:t>
      </w:r>
      <w:r w:rsidR="007663C2">
        <w:rPr>
          <w:lang w:bidi="he-IL"/>
        </w:rPr>
        <w:t>budget meetings were held</w:t>
      </w:r>
      <w:r w:rsidR="0019088E">
        <w:rPr>
          <w:lang w:bidi="he-IL"/>
        </w:rPr>
        <w:t>, a close colleague announced they were leaving</w:t>
      </w:r>
      <w:r w:rsidR="00132524" w:rsidRPr="004946F6">
        <w:rPr>
          <w:lang w:bidi="he-IL"/>
        </w:rPr>
        <w:t xml:space="preserve">. </w:t>
      </w:r>
      <w:r w:rsidR="007663C2">
        <w:rPr>
          <w:lang w:bidi="he-IL"/>
        </w:rPr>
        <w:t>Recalling p</w:t>
      </w:r>
      <w:r w:rsidR="00132524" w:rsidRPr="004946F6">
        <w:rPr>
          <w:lang w:bidi="he-IL"/>
        </w:rPr>
        <w:t xml:space="preserve">ure </w:t>
      </w:r>
      <w:r w:rsidR="00092239" w:rsidRPr="004946F6">
        <w:rPr>
          <w:lang w:bidi="he-IL"/>
        </w:rPr>
        <w:t xml:space="preserve">lists operationalise </w:t>
      </w:r>
      <w:r w:rsidR="00DE5B55" w:rsidRPr="004946F6">
        <w:rPr>
          <w:lang w:bidi="he-IL"/>
        </w:rPr>
        <w:t xml:space="preserve">telling </w:t>
      </w:r>
      <w:r w:rsidR="00132524" w:rsidRPr="004946F6">
        <w:rPr>
          <w:lang w:bidi="he-IL"/>
        </w:rPr>
        <w:t>someone</w:t>
      </w:r>
      <w:r w:rsidR="00DE5B55" w:rsidRPr="004946F6">
        <w:rPr>
          <w:lang w:bidi="he-IL"/>
        </w:rPr>
        <w:t xml:space="preserve"> about </w:t>
      </w:r>
      <w:r w:rsidR="00132524" w:rsidRPr="004946F6">
        <w:rPr>
          <w:lang w:bidi="he-IL"/>
        </w:rPr>
        <w:t xml:space="preserve">a </w:t>
      </w:r>
      <w:r w:rsidR="00DE5B55" w:rsidRPr="004946F6">
        <w:rPr>
          <w:lang w:bidi="he-IL"/>
        </w:rPr>
        <w:t>more difficult day, with many</w:t>
      </w:r>
      <w:r w:rsidR="00092239" w:rsidRPr="004946F6">
        <w:rPr>
          <w:lang w:bidi="he-IL"/>
        </w:rPr>
        <w:t xml:space="preserve"> emotionally arousing aspects</w:t>
      </w:r>
      <w:r w:rsidR="00132524" w:rsidRPr="004946F6">
        <w:rPr>
          <w:lang w:bidi="he-IL"/>
        </w:rPr>
        <w:t xml:space="preserve">: </w:t>
      </w:r>
      <w:r w:rsidR="00092239" w:rsidRPr="004946F6">
        <w:rPr>
          <w:lang w:bidi="he-IL"/>
        </w:rPr>
        <w:t xml:space="preserve">a child </w:t>
      </w:r>
      <w:r w:rsidR="0019088E">
        <w:rPr>
          <w:lang w:bidi="he-IL"/>
        </w:rPr>
        <w:t>banged their knee</w:t>
      </w:r>
      <w:r w:rsidR="00092239" w:rsidRPr="004946F6">
        <w:rPr>
          <w:lang w:bidi="he-IL"/>
        </w:rPr>
        <w:t>, we</w:t>
      </w:r>
      <w:r w:rsidR="00132524" w:rsidRPr="004946F6">
        <w:rPr>
          <w:lang w:bidi="he-IL"/>
        </w:rPr>
        <w:t xml:space="preserve"> got a ticket while rushing to </w:t>
      </w:r>
      <w:r w:rsidR="00092239" w:rsidRPr="004946F6">
        <w:rPr>
          <w:lang w:bidi="he-IL"/>
        </w:rPr>
        <w:t xml:space="preserve">school, and </w:t>
      </w:r>
      <w:r w:rsidR="0019088E">
        <w:rPr>
          <w:lang w:bidi="he-IL"/>
        </w:rPr>
        <w:t>had a migraine the rest of the day</w:t>
      </w:r>
      <w:r w:rsidR="00D71C9F" w:rsidRPr="004946F6">
        <w:rPr>
          <w:lang w:bidi="he-IL"/>
        </w:rPr>
        <w:t>.</w:t>
      </w:r>
      <w:r w:rsidR="00092239" w:rsidRPr="004946F6">
        <w:rPr>
          <w:lang w:bidi="he-IL"/>
        </w:rPr>
        <w:t xml:space="preserve"> </w:t>
      </w:r>
      <w:r w:rsidR="000F29A6" w:rsidRPr="004946F6">
        <w:t>W</w:t>
      </w:r>
      <w:r w:rsidRPr="004946F6">
        <w:t xml:space="preserve">hile </w:t>
      </w:r>
      <w:r w:rsidR="00BB081D" w:rsidRPr="004946F6">
        <w:t xml:space="preserve">the </w:t>
      </w:r>
      <w:r w:rsidR="0019088E">
        <w:t xml:space="preserve">emotional stimuli are </w:t>
      </w:r>
      <w:r w:rsidR="00D63A69" w:rsidRPr="004946F6">
        <w:t>recall</w:t>
      </w:r>
      <w:r w:rsidR="0019088E">
        <w:t>ed robustly more than neutral ones when encoded</w:t>
      </w:r>
      <w:r w:rsidRPr="004946F6">
        <w:t xml:space="preserve"> in mixed lists, </w:t>
      </w:r>
      <w:r w:rsidR="0019088E">
        <w:t xml:space="preserve">this memory advantage </w:t>
      </w:r>
      <w:r w:rsidRPr="004946F6">
        <w:t xml:space="preserve">is </w:t>
      </w:r>
      <w:r w:rsidR="000F29A6" w:rsidRPr="004946F6">
        <w:t xml:space="preserve">smaller, and sometimes </w:t>
      </w:r>
      <w:r w:rsidRPr="004946F6">
        <w:t>eradicated</w:t>
      </w:r>
      <w:r w:rsidR="000F29A6" w:rsidRPr="004946F6">
        <w:t>,</w:t>
      </w:r>
      <w:r w:rsidRPr="004946F6">
        <w:t xml:space="preserve"> in pure lists</w:t>
      </w:r>
      <w:r w:rsidR="002A2C0C" w:rsidRPr="004946F6">
        <w:rPr>
          <w:lang w:bidi="he-IL"/>
        </w:rPr>
        <w:t xml:space="preserve">. Table </w:t>
      </w:r>
      <w:r w:rsidR="008E60BA" w:rsidRPr="004946F6">
        <w:rPr>
          <w:lang w:bidi="he-IL"/>
        </w:rPr>
        <w:t>3</w:t>
      </w:r>
      <w:r w:rsidR="002A2C0C" w:rsidRPr="004946F6">
        <w:rPr>
          <w:lang w:bidi="he-IL"/>
        </w:rPr>
        <w:t xml:space="preserve"> lists </w:t>
      </w:r>
      <w:r w:rsidR="00BD38EB" w:rsidRPr="004946F6">
        <w:rPr>
          <w:lang w:bidi="he-IL"/>
        </w:rPr>
        <w:t>some</w:t>
      </w:r>
      <w:r w:rsidR="002A2C0C" w:rsidRPr="004946F6">
        <w:rPr>
          <w:lang w:bidi="he-IL"/>
        </w:rPr>
        <w:t xml:space="preserve"> demonstrations of that effect in the literature; note that the</w:t>
      </w:r>
      <w:r w:rsidR="002A2C0C" w:rsidRPr="004946F6">
        <w:t xml:space="preserve"> pattern is clearest w</w:t>
      </w:r>
      <w:r w:rsidR="002A2C0C" w:rsidRPr="004946F6">
        <w:rPr>
          <w:lang w:bidi="he-IL"/>
        </w:rPr>
        <w:t>hen emotional stimuli are highly arousing (i.e. pictures o</w:t>
      </w:r>
      <w:r w:rsidR="00132524" w:rsidRPr="004946F6">
        <w:rPr>
          <w:lang w:bidi="he-IL"/>
        </w:rPr>
        <w:t>r</w:t>
      </w:r>
      <w:r w:rsidR="002A2C0C" w:rsidRPr="004946F6">
        <w:rPr>
          <w:lang w:bidi="he-IL"/>
        </w:rPr>
        <w:t xml:space="preserve"> taboo words), and when the semantic </w:t>
      </w:r>
      <w:r w:rsidR="00F05626" w:rsidRPr="004946F6">
        <w:rPr>
          <w:lang w:bidi="he-IL"/>
        </w:rPr>
        <w:t>relatedness</w:t>
      </w:r>
      <w:r w:rsidR="002A2C0C" w:rsidRPr="004946F6">
        <w:rPr>
          <w:lang w:bidi="he-IL"/>
        </w:rPr>
        <w:t xml:space="preserve"> of stimuli is equated</w:t>
      </w:r>
      <w:r w:rsidR="00165672" w:rsidRPr="004946F6">
        <w:rPr>
          <w:lang w:bidi="he-IL"/>
        </w:rPr>
        <w:t xml:space="preserve">. </w:t>
      </w:r>
      <w:r w:rsidR="0019088E">
        <w:rPr>
          <w:lang w:bidi="he-IL"/>
        </w:rPr>
        <w:t>T</w:t>
      </w:r>
      <w:r w:rsidR="00165672" w:rsidRPr="004946F6">
        <w:rPr>
          <w:lang w:bidi="he-IL"/>
        </w:rPr>
        <w:t>he influence of the retrieval test on th</w:t>
      </w:r>
      <w:r w:rsidR="0019088E">
        <w:rPr>
          <w:lang w:bidi="he-IL"/>
        </w:rPr>
        <w:t>e emotional list-composition</w:t>
      </w:r>
      <w:r w:rsidR="00165672" w:rsidRPr="004946F6">
        <w:rPr>
          <w:lang w:bidi="he-IL"/>
        </w:rPr>
        <w:t xml:space="preserve"> effect should be studied further. </w:t>
      </w:r>
    </w:p>
    <w:p w14:paraId="3038C891" w14:textId="77777777" w:rsidR="00EA0B44" w:rsidRPr="004946F6" w:rsidRDefault="00EA0B44" w:rsidP="008E60BA">
      <w:pPr>
        <w:rPr>
          <w:b/>
          <w:bCs/>
          <w:i/>
          <w:iCs/>
        </w:rPr>
      </w:pPr>
    </w:p>
    <w:p w14:paraId="3DB62BD9" w14:textId="021B8A78" w:rsidR="00BD38EB" w:rsidRPr="004946F6" w:rsidRDefault="00BD38EB" w:rsidP="008E60BA">
      <w:pPr>
        <w:rPr>
          <w:b/>
          <w:bCs/>
          <w:i/>
          <w:iCs/>
        </w:rPr>
      </w:pPr>
      <w:r w:rsidRPr="004946F6">
        <w:rPr>
          <w:b/>
          <w:bCs/>
          <w:i/>
          <w:iCs/>
        </w:rPr>
        <w:t xml:space="preserve">TABLE </w:t>
      </w:r>
      <w:r w:rsidR="008E60BA" w:rsidRPr="004946F6">
        <w:rPr>
          <w:b/>
          <w:bCs/>
          <w:i/>
          <w:iCs/>
        </w:rPr>
        <w:t>3</w:t>
      </w:r>
      <w:r w:rsidRPr="004946F6">
        <w:rPr>
          <w:b/>
          <w:bCs/>
          <w:i/>
          <w:iCs/>
        </w:rPr>
        <w:t xml:space="preserve">. The emotional list composition effect. </w:t>
      </w:r>
    </w:p>
    <w:tbl>
      <w:tblPr>
        <w:tblStyle w:val="TableGrid"/>
        <w:tblW w:w="9039" w:type="dxa"/>
        <w:tblLayout w:type="fixed"/>
        <w:tblLook w:val="04A0" w:firstRow="1" w:lastRow="0" w:firstColumn="1" w:lastColumn="0" w:noHBand="0" w:noVBand="1"/>
      </w:tblPr>
      <w:tblGrid>
        <w:gridCol w:w="4219"/>
        <w:gridCol w:w="1205"/>
        <w:gridCol w:w="1205"/>
        <w:gridCol w:w="1205"/>
        <w:gridCol w:w="1205"/>
      </w:tblGrid>
      <w:tr w:rsidR="00BD38EB" w:rsidRPr="004946F6" w14:paraId="33058492" w14:textId="77777777" w:rsidTr="00AE588A">
        <w:tc>
          <w:tcPr>
            <w:tcW w:w="4219" w:type="dxa"/>
            <w:vMerge w:val="restart"/>
            <w:tcBorders>
              <w:top w:val="nil"/>
              <w:left w:val="nil"/>
              <w:bottom w:val="nil"/>
              <w:right w:val="nil"/>
            </w:tcBorders>
            <w:shd w:val="clear" w:color="auto" w:fill="auto"/>
          </w:tcPr>
          <w:p w14:paraId="10BCEDA4" w14:textId="77777777" w:rsidR="00BD38EB" w:rsidRPr="004946F6" w:rsidRDefault="00BD38EB" w:rsidP="00F31B5E">
            <w:pPr>
              <w:rPr>
                <w:i/>
                <w:iCs/>
                <w:color w:val="000000"/>
              </w:rPr>
            </w:pPr>
          </w:p>
        </w:tc>
        <w:tc>
          <w:tcPr>
            <w:tcW w:w="2410" w:type="dxa"/>
            <w:gridSpan w:val="2"/>
            <w:tcBorders>
              <w:top w:val="nil"/>
              <w:left w:val="nil"/>
              <w:bottom w:val="nil"/>
              <w:right w:val="nil"/>
            </w:tcBorders>
            <w:shd w:val="clear" w:color="auto" w:fill="auto"/>
          </w:tcPr>
          <w:p w14:paraId="3AF55CD5" w14:textId="77777777" w:rsidR="00BD38EB" w:rsidRPr="004946F6" w:rsidRDefault="00BD38EB" w:rsidP="00F31B5E">
            <w:pPr>
              <w:rPr>
                <w:i/>
                <w:iCs/>
                <w:color w:val="000000"/>
              </w:rPr>
            </w:pPr>
            <w:r w:rsidRPr="004946F6">
              <w:rPr>
                <w:i/>
                <w:iCs/>
                <w:color w:val="000000"/>
              </w:rPr>
              <w:t>Mixed</w:t>
            </w:r>
          </w:p>
        </w:tc>
        <w:tc>
          <w:tcPr>
            <w:tcW w:w="2410" w:type="dxa"/>
            <w:gridSpan w:val="2"/>
            <w:tcBorders>
              <w:top w:val="nil"/>
              <w:left w:val="nil"/>
              <w:bottom w:val="nil"/>
              <w:right w:val="nil"/>
            </w:tcBorders>
            <w:shd w:val="clear" w:color="auto" w:fill="auto"/>
          </w:tcPr>
          <w:p w14:paraId="71F73051" w14:textId="77777777" w:rsidR="00BD38EB" w:rsidRPr="004946F6" w:rsidRDefault="00BD38EB" w:rsidP="00F31B5E">
            <w:pPr>
              <w:rPr>
                <w:i/>
                <w:iCs/>
                <w:color w:val="000000"/>
              </w:rPr>
            </w:pPr>
            <w:r w:rsidRPr="004946F6">
              <w:rPr>
                <w:i/>
                <w:iCs/>
                <w:color w:val="000000"/>
              </w:rPr>
              <w:t>Pure</w:t>
            </w:r>
          </w:p>
        </w:tc>
      </w:tr>
      <w:tr w:rsidR="00BD38EB" w:rsidRPr="004946F6" w14:paraId="22108A25" w14:textId="77777777" w:rsidTr="00AE588A">
        <w:tc>
          <w:tcPr>
            <w:tcW w:w="4219" w:type="dxa"/>
            <w:vMerge/>
            <w:tcBorders>
              <w:top w:val="nil"/>
              <w:left w:val="nil"/>
              <w:bottom w:val="single" w:sz="4" w:space="0" w:color="auto"/>
              <w:right w:val="nil"/>
            </w:tcBorders>
            <w:shd w:val="clear" w:color="auto" w:fill="auto"/>
          </w:tcPr>
          <w:p w14:paraId="75BB934D" w14:textId="77777777" w:rsidR="00BD38EB" w:rsidRPr="004946F6" w:rsidRDefault="00BD38EB" w:rsidP="00F31B5E">
            <w:pPr>
              <w:rPr>
                <w:i/>
                <w:iCs/>
                <w:color w:val="000000"/>
              </w:rPr>
            </w:pPr>
          </w:p>
        </w:tc>
        <w:tc>
          <w:tcPr>
            <w:tcW w:w="1205" w:type="dxa"/>
            <w:tcBorders>
              <w:top w:val="nil"/>
              <w:left w:val="nil"/>
              <w:bottom w:val="single" w:sz="4" w:space="0" w:color="auto"/>
              <w:right w:val="nil"/>
            </w:tcBorders>
            <w:shd w:val="clear" w:color="auto" w:fill="auto"/>
          </w:tcPr>
          <w:p w14:paraId="380EEF01" w14:textId="77777777" w:rsidR="00BD38EB" w:rsidRPr="004946F6" w:rsidRDefault="00BD38EB" w:rsidP="00F31B5E">
            <w:pPr>
              <w:rPr>
                <w:i/>
                <w:iCs/>
                <w:color w:val="000000"/>
              </w:rPr>
            </w:pPr>
            <w:r w:rsidRPr="004946F6">
              <w:rPr>
                <w:i/>
                <w:iCs/>
                <w:color w:val="000000"/>
              </w:rPr>
              <w:t>Emotional</w:t>
            </w:r>
          </w:p>
        </w:tc>
        <w:tc>
          <w:tcPr>
            <w:tcW w:w="1205" w:type="dxa"/>
            <w:tcBorders>
              <w:top w:val="nil"/>
              <w:left w:val="nil"/>
              <w:bottom w:val="single" w:sz="4" w:space="0" w:color="auto"/>
              <w:right w:val="nil"/>
            </w:tcBorders>
            <w:shd w:val="clear" w:color="auto" w:fill="auto"/>
          </w:tcPr>
          <w:p w14:paraId="2FF3C0EC" w14:textId="77777777" w:rsidR="00BD38EB" w:rsidRPr="004946F6" w:rsidRDefault="00BD38EB" w:rsidP="00F31B5E">
            <w:pPr>
              <w:rPr>
                <w:i/>
                <w:iCs/>
                <w:color w:val="000000"/>
              </w:rPr>
            </w:pPr>
            <w:r w:rsidRPr="004946F6">
              <w:rPr>
                <w:i/>
                <w:iCs/>
                <w:color w:val="000000"/>
              </w:rPr>
              <w:t>Neutral</w:t>
            </w:r>
          </w:p>
        </w:tc>
        <w:tc>
          <w:tcPr>
            <w:tcW w:w="1205" w:type="dxa"/>
            <w:tcBorders>
              <w:top w:val="nil"/>
              <w:left w:val="nil"/>
              <w:bottom w:val="single" w:sz="4" w:space="0" w:color="auto"/>
              <w:right w:val="nil"/>
            </w:tcBorders>
            <w:shd w:val="clear" w:color="auto" w:fill="auto"/>
          </w:tcPr>
          <w:p w14:paraId="353CE31E" w14:textId="77777777" w:rsidR="00BD38EB" w:rsidRPr="004946F6" w:rsidRDefault="00BD38EB" w:rsidP="00F31B5E">
            <w:pPr>
              <w:rPr>
                <w:i/>
                <w:iCs/>
                <w:color w:val="000000"/>
              </w:rPr>
            </w:pPr>
            <w:r w:rsidRPr="004946F6">
              <w:rPr>
                <w:i/>
                <w:iCs/>
                <w:color w:val="000000"/>
              </w:rPr>
              <w:t>Emotional</w:t>
            </w:r>
          </w:p>
        </w:tc>
        <w:tc>
          <w:tcPr>
            <w:tcW w:w="1205" w:type="dxa"/>
            <w:tcBorders>
              <w:top w:val="nil"/>
              <w:left w:val="nil"/>
              <w:bottom w:val="single" w:sz="4" w:space="0" w:color="auto"/>
              <w:right w:val="nil"/>
            </w:tcBorders>
            <w:shd w:val="clear" w:color="auto" w:fill="auto"/>
          </w:tcPr>
          <w:p w14:paraId="7BE1D760" w14:textId="77777777" w:rsidR="00BD38EB" w:rsidRPr="004946F6" w:rsidRDefault="00BD38EB" w:rsidP="00F31B5E">
            <w:pPr>
              <w:rPr>
                <w:i/>
                <w:iCs/>
                <w:color w:val="000000"/>
              </w:rPr>
            </w:pPr>
            <w:r w:rsidRPr="004946F6">
              <w:rPr>
                <w:i/>
                <w:iCs/>
                <w:color w:val="000000"/>
              </w:rPr>
              <w:t>Neutral</w:t>
            </w:r>
          </w:p>
        </w:tc>
      </w:tr>
      <w:tr w:rsidR="0019088E" w:rsidRPr="004946F6" w14:paraId="40B94272" w14:textId="77777777" w:rsidTr="00AE588A">
        <w:tc>
          <w:tcPr>
            <w:tcW w:w="4219" w:type="dxa"/>
            <w:tcBorders>
              <w:top w:val="single" w:sz="4" w:space="0" w:color="auto"/>
              <w:left w:val="nil"/>
              <w:bottom w:val="single" w:sz="4" w:space="0" w:color="auto"/>
              <w:right w:val="nil"/>
            </w:tcBorders>
          </w:tcPr>
          <w:p w14:paraId="0E6A97F2" w14:textId="77777777" w:rsidR="0019088E" w:rsidRPr="004946F6" w:rsidRDefault="0019088E" w:rsidP="00F31B5E">
            <w:pPr>
              <w:rPr>
                <w:b/>
                <w:bCs/>
                <w:i/>
                <w:iCs/>
                <w:color w:val="000000"/>
              </w:rPr>
            </w:pPr>
            <w:r w:rsidRPr="004946F6">
              <w:rPr>
                <w:b/>
                <w:bCs/>
                <w:i/>
                <w:iCs/>
                <w:color w:val="000000"/>
              </w:rPr>
              <w:fldChar w:fldCharType="begin" w:fldLock="1"/>
            </w:r>
            <w:r w:rsidRPr="004946F6">
              <w:rPr>
                <w:b/>
                <w:bCs/>
                <w:i/>
                <w:iCs/>
                <w:color w:val="000000"/>
              </w:rPr>
              <w:instrText>ADDIN CSL_CITATION { "citationItems" : [ { "id" : "ITEM-1", "itemData" : { "DOI" : "10.1016/j.neuropsychologia.2016.06.023", "ISSN" : "00283932", "author" : [ { "dropping-particle" : "", "family" : "Barnacle", "given" : "Gemma E", "non-dropping-particle" : "", "parse-names" : false, "suffix" : "" }, { "dropping-particle" : "", "family" : "Montaldi", "given" : "Daniela", "non-dropping-particle" : "", "parse-names" : false, "suffix" : "" }, { "dropping-particle" : "", "family" : "Talmi", "given" : "Deborah", "non-dropping-particle" : "", "parse-names" : false, "suffix" : "" }, { "dropping-particle" : "", "family" : "Sommer", "given" : "Tobias", "non-dropping-particle" : "", "parse-names" : false, "suffix" : "" } ], "container-title" : "Neuropsychologia", "id" : "ITEM-1", "issued" : { "date-parts" : [ [ "2016" ] ] }, "page" : "125-135", "publisher" : "Elsevier", "title" : "The list-composition effect in memory for emotional and neutral pictures: Differential contribution of ventral and dorsal attention networks to successful encoding", "type" : "article-journal", "volume" : "90" }, "uris" : [ "http://www.mendeley.com/documents/?uuid=06606f95-aff3-469c-a366-c90f8d2ca662" ] } ], "mendeley" : { "formattedCitation" : "(Barnacle et al., 2016)", "plainTextFormattedCitation" : "(Barnacle et al., 2016)", "previouslyFormattedCitation" : "(Barnacle et al., 2016)" }, "properties" : { "noteIndex" : 0 }, "schema" : "https://github.com/citation-style-language/schema/raw/master/csl-citation.json" }</w:instrText>
            </w:r>
            <w:r w:rsidRPr="004946F6">
              <w:rPr>
                <w:b/>
                <w:bCs/>
                <w:i/>
                <w:iCs/>
                <w:color w:val="000000"/>
              </w:rPr>
              <w:fldChar w:fldCharType="separate"/>
            </w:r>
            <w:r w:rsidRPr="004946F6">
              <w:rPr>
                <w:bCs/>
                <w:iCs/>
                <w:noProof/>
                <w:color w:val="000000"/>
              </w:rPr>
              <w:t>(Barnacle et al., 2016)</w:t>
            </w:r>
            <w:r w:rsidRPr="004946F6">
              <w:rPr>
                <w:b/>
                <w:bCs/>
                <w:i/>
                <w:iCs/>
                <w:color w:val="000000"/>
              </w:rPr>
              <w:fldChar w:fldCharType="end"/>
            </w:r>
            <w:r w:rsidRPr="004946F6">
              <w:rPr>
                <w:i/>
                <w:iCs/>
                <w:vertAlign w:val="superscript"/>
              </w:rPr>
              <w:t>R</w:t>
            </w:r>
          </w:p>
        </w:tc>
        <w:tc>
          <w:tcPr>
            <w:tcW w:w="1205" w:type="dxa"/>
            <w:tcBorders>
              <w:top w:val="single" w:sz="4" w:space="0" w:color="auto"/>
              <w:left w:val="nil"/>
              <w:bottom w:val="single" w:sz="4" w:space="0" w:color="auto"/>
              <w:right w:val="nil"/>
            </w:tcBorders>
          </w:tcPr>
          <w:p w14:paraId="2A53D6AA" w14:textId="77777777" w:rsidR="0019088E" w:rsidRPr="004946F6" w:rsidRDefault="0019088E" w:rsidP="00F31B5E">
            <w:pPr>
              <w:jc w:val="right"/>
              <w:rPr>
                <w:i/>
                <w:iCs/>
                <w:color w:val="000000"/>
              </w:rPr>
            </w:pPr>
            <w:r w:rsidRPr="004946F6">
              <w:rPr>
                <w:i/>
                <w:iCs/>
                <w:color w:val="000000"/>
              </w:rPr>
              <w:t>59</w:t>
            </w:r>
          </w:p>
        </w:tc>
        <w:tc>
          <w:tcPr>
            <w:tcW w:w="1205" w:type="dxa"/>
            <w:tcBorders>
              <w:top w:val="single" w:sz="4" w:space="0" w:color="auto"/>
              <w:left w:val="nil"/>
              <w:bottom w:val="single" w:sz="4" w:space="0" w:color="auto"/>
              <w:right w:val="nil"/>
            </w:tcBorders>
          </w:tcPr>
          <w:p w14:paraId="6D5EF0A0" w14:textId="77777777" w:rsidR="0019088E" w:rsidRPr="004946F6" w:rsidRDefault="0019088E" w:rsidP="00F31B5E">
            <w:pPr>
              <w:jc w:val="right"/>
              <w:rPr>
                <w:i/>
                <w:iCs/>
                <w:color w:val="000000"/>
              </w:rPr>
            </w:pPr>
            <w:r w:rsidRPr="004946F6">
              <w:rPr>
                <w:i/>
                <w:iCs/>
                <w:color w:val="000000"/>
              </w:rPr>
              <w:t>58</w:t>
            </w:r>
          </w:p>
        </w:tc>
        <w:tc>
          <w:tcPr>
            <w:tcW w:w="1205" w:type="dxa"/>
            <w:tcBorders>
              <w:top w:val="single" w:sz="4" w:space="0" w:color="auto"/>
              <w:left w:val="nil"/>
              <w:bottom w:val="single" w:sz="4" w:space="0" w:color="auto"/>
              <w:right w:val="nil"/>
            </w:tcBorders>
          </w:tcPr>
          <w:p w14:paraId="6E422528" w14:textId="77777777" w:rsidR="0019088E" w:rsidRPr="004946F6" w:rsidRDefault="0019088E" w:rsidP="00F31B5E">
            <w:pPr>
              <w:jc w:val="right"/>
              <w:rPr>
                <w:i/>
                <w:iCs/>
                <w:color w:val="000000"/>
              </w:rPr>
            </w:pPr>
            <w:r w:rsidRPr="004946F6">
              <w:rPr>
                <w:i/>
                <w:iCs/>
                <w:color w:val="000000"/>
              </w:rPr>
              <w:t>64</w:t>
            </w:r>
          </w:p>
        </w:tc>
        <w:tc>
          <w:tcPr>
            <w:tcW w:w="1205" w:type="dxa"/>
            <w:tcBorders>
              <w:top w:val="single" w:sz="4" w:space="0" w:color="auto"/>
              <w:left w:val="nil"/>
              <w:bottom w:val="single" w:sz="4" w:space="0" w:color="auto"/>
              <w:right w:val="nil"/>
            </w:tcBorders>
          </w:tcPr>
          <w:p w14:paraId="7A98531C" w14:textId="77777777" w:rsidR="0019088E" w:rsidRPr="004946F6" w:rsidRDefault="0019088E" w:rsidP="00F31B5E">
            <w:pPr>
              <w:jc w:val="right"/>
              <w:rPr>
                <w:i/>
                <w:iCs/>
                <w:color w:val="000000"/>
              </w:rPr>
            </w:pPr>
            <w:r w:rsidRPr="004946F6">
              <w:rPr>
                <w:i/>
                <w:iCs/>
                <w:color w:val="000000"/>
              </w:rPr>
              <w:t>48</w:t>
            </w:r>
          </w:p>
        </w:tc>
      </w:tr>
      <w:tr w:rsidR="0019088E" w:rsidRPr="004946F6" w14:paraId="2F035657" w14:textId="77777777" w:rsidTr="00AE588A">
        <w:tc>
          <w:tcPr>
            <w:tcW w:w="4219" w:type="dxa"/>
            <w:tcBorders>
              <w:top w:val="single" w:sz="4" w:space="0" w:color="auto"/>
              <w:left w:val="nil"/>
              <w:bottom w:val="single" w:sz="4" w:space="0" w:color="auto"/>
              <w:right w:val="nil"/>
            </w:tcBorders>
          </w:tcPr>
          <w:p w14:paraId="1E36F133" w14:textId="77777777" w:rsidR="0019088E" w:rsidRPr="004946F6" w:rsidRDefault="0019088E" w:rsidP="00F31B5E">
            <w:pPr>
              <w:rPr>
                <w:b/>
                <w:bCs/>
                <w:i/>
                <w:iCs/>
                <w:color w:val="000000"/>
              </w:rPr>
            </w:pPr>
            <w:r w:rsidRPr="004946F6">
              <w:rPr>
                <w:b/>
                <w:bCs/>
                <w:i/>
                <w:iCs/>
                <w:color w:val="000000"/>
              </w:rPr>
              <w:fldChar w:fldCharType="begin" w:fldLock="1"/>
            </w:r>
            <w:r w:rsidRPr="004946F6">
              <w:rPr>
                <w:b/>
                <w:bCs/>
                <w:i/>
                <w:iCs/>
                <w:color w:val="000000"/>
              </w:rPr>
              <w:instrText>ADDIN CSL_CITATION { "citationItems" : [ { "id" : "ITEM-1", "itemData" : { "author" : [ { "dropping-particle" : "", "family" : "Barnacle", "given" : "Gemma E", "non-dropping-particle" : "", "parse-names" : false, "suffix" : "" } ], "id" : "ITEM-1", "issued" : { "date-parts" : [ [ "2015" ] ] }, "publisher" : "University of Manchester", "title" : "Understanding Emotional Memory: Cognitive Factors", "type" : "thesis" }, "uris" : [ "http://www.mendeley.com/documents/?uuid=2a91a12c-5133-360a-8c6c-76d1e4679492" ] } ], "mendeley" : { "formattedCitation" : "(Barnacle, 2015)", "plainTextFormattedCitation" : "(Barnacle, 2015)", "previouslyFormattedCitation" : "(Barnacle, 2015)" }, "properties" : { "noteIndex" : 0 }, "schema" : "https://github.com/citation-style-language/schema/raw/master/csl-citation.json" }</w:instrText>
            </w:r>
            <w:r w:rsidRPr="004946F6">
              <w:rPr>
                <w:b/>
                <w:bCs/>
                <w:i/>
                <w:iCs/>
                <w:color w:val="000000"/>
              </w:rPr>
              <w:fldChar w:fldCharType="separate"/>
            </w:r>
            <w:r w:rsidRPr="004946F6">
              <w:rPr>
                <w:bCs/>
                <w:iCs/>
                <w:noProof/>
                <w:color w:val="000000"/>
              </w:rPr>
              <w:t>(Barnacle, 2015)</w:t>
            </w:r>
            <w:r w:rsidRPr="004946F6">
              <w:rPr>
                <w:b/>
                <w:bCs/>
                <w:i/>
                <w:iCs/>
                <w:color w:val="000000"/>
              </w:rPr>
              <w:fldChar w:fldCharType="end"/>
            </w:r>
            <w:r w:rsidRPr="004946F6">
              <w:rPr>
                <w:b/>
                <w:bCs/>
                <w:i/>
                <w:iCs/>
                <w:color w:val="000000"/>
              </w:rPr>
              <w:t>(Chapter 6)</w:t>
            </w:r>
            <w:r w:rsidRPr="004946F6">
              <w:rPr>
                <w:i/>
                <w:iCs/>
                <w:vertAlign w:val="superscript"/>
              </w:rPr>
              <w:t xml:space="preserve"> R</w:t>
            </w:r>
          </w:p>
        </w:tc>
        <w:tc>
          <w:tcPr>
            <w:tcW w:w="1205" w:type="dxa"/>
            <w:tcBorders>
              <w:top w:val="single" w:sz="4" w:space="0" w:color="auto"/>
              <w:left w:val="nil"/>
              <w:bottom w:val="single" w:sz="4" w:space="0" w:color="auto"/>
              <w:right w:val="nil"/>
            </w:tcBorders>
          </w:tcPr>
          <w:p w14:paraId="3CCFE694" w14:textId="77777777" w:rsidR="0019088E" w:rsidRPr="004946F6" w:rsidRDefault="0019088E" w:rsidP="00F31B5E">
            <w:pPr>
              <w:jc w:val="right"/>
              <w:rPr>
                <w:i/>
                <w:iCs/>
                <w:color w:val="000000"/>
              </w:rPr>
            </w:pPr>
            <w:r w:rsidRPr="004946F6">
              <w:rPr>
                <w:i/>
                <w:iCs/>
                <w:color w:val="000000"/>
              </w:rPr>
              <w:t>61</w:t>
            </w:r>
          </w:p>
        </w:tc>
        <w:tc>
          <w:tcPr>
            <w:tcW w:w="1205" w:type="dxa"/>
            <w:tcBorders>
              <w:top w:val="single" w:sz="4" w:space="0" w:color="auto"/>
              <w:left w:val="nil"/>
              <w:bottom w:val="single" w:sz="4" w:space="0" w:color="auto"/>
              <w:right w:val="nil"/>
            </w:tcBorders>
          </w:tcPr>
          <w:p w14:paraId="0ECD8653" w14:textId="77777777" w:rsidR="0019088E" w:rsidRPr="004946F6" w:rsidRDefault="0019088E" w:rsidP="00F31B5E">
            <w:pPr>
              <w:jc w:val="right"/>
              <w:rPr>
                <w:i/>
                <w:iCs/>
                <w:color w:val="000000"/>
              </w:rPr>
            </w:pPr>
            <w:r w:rsidRPr="004946F6">
              <w:rPr>
                <w:i/>
                <w:iCs/>
                <w:color w:val="000000"/>
              </w:rPr>
              <w:t>48</w:t>
            </w:r>
          </w:p>
        </w:tc>
        <w:tc>
          <w:tcPr>
            <w:tcW w:w="1205" w:type="dxa"/>
            <w:tcBorders>
              <w:top w:val="single" w:sz="4" w:space="0" w:color="auto"/>
              <w:left w:val="nil"/>
              <w:bottom w:val="single" w:sz="4" w:space="0" w:color="auto"/>
              <w:right w:val="nil"/>
            </w:tcBorders>
          </w:tcPr>
          <w:p w14:paraId="7DA6C75C" w14:textId="77777777" w:rsidR="0019088E" w:rsidRPr="004946F6" w:rsidRDefault="0019088E" w:rsidP="00F31B5E">
            <w:pPr>
              <w:jc w:val="right"/>
              <w:rPr>
                <w:i/>
                <w:iCs/>
                <w:color w:val="000000"/>
              </w:rPr>
            </w:pPr>
            <w:r w:rsidRPr="004946F6">
              <w:rPr>
                <w:i/>
                <w:iCs/>
                <w:color w:val="000000"/>
              </w:rPr>
              <w:t>53</w:t>
            </w:r>
          </w:p>
        </w:tc>
        <w:tc>
          <w:tcPr>
            <w:tcW w:w="1205" w:type="dxa"/>
            <w:tcBorders>
              <w:top w:val="single" w:sz="4" w:space="0" w:color="auto"/>
              <w:left w:val="nil"/>
              <w:bottom w:val="single" w:sz="4" w:space="0" w:color="auto"/>
              <w:right w:val="nil"/>
            </w:tcBorders>
          </w:tcPr>
          <w:p w14:paraId="023B10E2" w14:textId="77777777" w:rsidR="0019088E" w:rsidRPr="004946F6" w:rsidRDefault="0019088E" w:rsidP="00F31B5E">
            <w:pPr>
              <w:jc w:val="right"/>
              <w:rPr>
                <w:i/>
                <w:iCs/>
                <w:color w:val="000000"/>
              </w:rPr>
            </w:pPr>
            <w:r w:rsidRPr="004946F6">
              <w:rPr>
                <w:i/>
                <w:iCs/>
                <w:color w:val="000000"/>
              </w:rPr>
              <w:t>56</w:t>
            </w:r>
          </w:p>
        </w:tc>
      </w:tr>
      <w:tr w:rsidR="0019088E" w:rsidRPr="004946F6" w14:paraId="790D7ECF" w14:textId="77777777" w:rsidTr="00AE588A">
        <w:tc>
          <w:tcPr>
            <w:tcW w:w="4219" w:type="dxa"/>
            <w:tcBorders>
              <w:top w:val="single" w:sz="4" w:space="0" w:color="auto"/>
              <w:left w:val="nil"/>
              <w:bottom w:val="single" w:sz="4" w:space="0" w:color="auto"/>
              <w:right w:val="nil"/>
            </w:tcBorders>
          </w:tcPr>
          <w:p w14:paraId="2E140FD7" w14:textId="77777777" w:rsidR="0019088E" w:rsidRPr="004946F6" w:rsidRDefault="0019088E" w:rsidP="00F31B5E">
            <w:pPr>
              <w:rPr>
                <w:b/>
                <w:bCs/>
                <w:i/>
                <w:iCs/>
                <w:color w:val="000000"/>
              </w:rPr>
            </w:pPr>
            <w:r w:rsidRPr="004946F6">
              <w:rPr>
                <w:b/>
                <w:bCs/>
                <w:i/>
                <w:iCs/>
                <w:color w:val="000000"/>
              </w:rPr>
              <w:fldChar w:fldCharType="begin" w:fldLock="1"/>
            </w:r>
            <w:r w:rsidRPr="004946F6">
              <w:rPr>
                <w:b/>
                <w:bCs/>
                <w:i/>
                <w:iCs/>
                <w:color w:val="000000"/>
              </w:rPr>
              <w:instrText>ADDIN CSL_CITATION { "citationItems" : [ { "id" : "ITEM-1", "itemData" : { "DOI" : "10.1111/psyp.13014", "ISSN" : "00485772", "author" : [ { "dropping-particle" : "", "family" : "Barnacle", "given" : "Gemma E.", "non-dropping-particle" : "", "parse-names" : false, "suffix" : "" }, { "dropping-particle" : "", "family" : "Tsivilis", "given" : "Dimitris", "non-dropping-particle" : "", "parse-names" : false, "suffix" : "" }, { "dropping-particle" : "", "family" : "Schaefer", "given" : "Alexandre", "non-dropping-particle" : "", "parse-names" : false, "suffix" : "" }, { "dropping-particle" : "", "family" : "Talmi", "given" : "Deborah", "non-dropping-particle" : "", "parse-names" : false, "suffix" : "" } ], "id" : "ITEM-1", "issue" : "0161", "issued" : { "date-parts" : [ [ "2017" ] ] }, "page" : "1-35", "title" : "1 Local context influences memory for emotional stimuli but not electrophysiological markers of emotion-dependent attention Gemma E. Barnacle", "type" : "article-journal" }, "uris" : [ "http://www.mendeley.com/documents/?uuid=e1b8ea2c-930a-44a5-9b28-1ad221f15cb2" ] } ], "mendeley" : { "formattedCitation" : "(Barnacle, Tsivilis, Schaefer, &amp; Talmi, 2017)", "plainTextFormattedCitation" : "(Barnacle, Tsivilis, Schaefer, &amp; Talmi, 2017)", "previouslyFormattedCitation" : "(Barnacle, Tsivilis, Schaefer, &amp; Talmi, 2017)" }, "properties" : { "noteIndex" : 0 }, "schema" : "https://github.com/citation-style-language/schema/raw/master/csl-citation.json" }</w:instrText>
            </w:r>
            <w:r w:rsidRPr="004946F6">
              <w:rPr>
                <w:b/>
                <w:bCs/>
                <w:i/>
                <w:iCs/>
                <w:color w:val="000000"/>
              </w:rPr>
              <w:fldChar w:fldCharType="separate"/>
            </w:r>
            <w:r w:rsidRPr="004946F6">
              <w:rPr>
                <w:bCs/>
                <w:iCs/>
                <w:noProof/>
                <w:color w:val="000000"/>
              </w:rPr>
              <w:t>(Barnacle, Tsivilis, Schaefer, &amp; Talmi, 2017)</w:t>
            </w:r>
            <w:r w:rsidRPr="004946F6">
              <w:rPr>
                <w:b/>
                <w:bCs/>
                <w:i/>
                <w:iCs/>
                <w:color w:val="000000"/>
              </w:rPr>
              <w:fldChar w:fldCharType="end"/>
            </w:r>
            <w:r w:rsidRPr="004946F6">
              <w:rPr>
                <w:i/>
                <w:iCs/>
                <w:vertAlign w:val="superscript"/>
              </w:rPr>
              <w:t>R</w:t>
            </w:r>
          </w:p>
        </w:tc>
        <w:tc>
          <w:tcPr>
            <w:tcW w:w="1205" w:type="dxa"/>
            <w:tcBorders>
              <w:top w:val="single" w:sz="4" w:space="0" w:color="auto"/>
              <w:left w:val="nil"/>
              <w:bottom w:val="single" w:sz="4" w:space="0" w:color="auto"/>
              <w:right w:val="nil"/>
            </w:tcBorders>
          </w:tcPr>
          <w:p w14:paraId="52B0797B" w14:textId="77777777" w:rsidR="0019088E" w:rsidRPr="004946F6" w:rsidRDefault="0019088E" w:rsidP="00F31B5E">
            <w:pPr>
              <w:jc w:val="right"/>
              <w:rPr>
                <w:i/>
                <w:iCs/>
                <w:color w:val="000000"/>
              </w:rPr>
            </w:pPr>
            <w:r w:rsidRPr="004946F6">
              <w:rPr>
                <w:i/>
                <w:iCs/>
                <w:color w:val="000000"/>
              </w:rPr>
              <w:t>63</w:t>
            </w:r>
          </w:p>
        </w:tc>
        <w:tc>
          <w:tcPr>
            <w:tcW w:w="1205" w:type="dxa"/>
            <w:tcBorders>
              <w:top w:val="single" w:sz="4" w:space="0" w:color="auto"/>
              <w:left w:val="nil"/>
              <w:bottom w:val="single" w:sz="4" w:space="0" w:color="auto"/>
              <w:right w:val="nil"/>
            </w:tcBorders>
          </w:tcPr>
          <w:p w14:paraId="57313D5F" w14:textId="77777777" w:rsidR="0019088E" w:rsidRPr="004946F6" w:rsidRDefault="0019088E" w:rsidP="00F31B5E">
            <w:pPr>
              <w:jc w:val="right"/>
              <w:rPr>
                <w:i/>
                <w:iCs/>
                <w:color w:val="000000"/>
              </w:rPr>
            </w:pPr>
            <w:r w:rsidRPr="004946F6">
              <w:rPr>
                <w:i/>
                <w:iCs/>
                <w:color w:val="000000"/>
              </w:rPr>
              <w:t>41</w:t>
            </w:r>
          </w:p>
        </w:tc>
        <w:tc>
          <w:tcPr>
            <w:tcW w:w="1205" w:type="dxa"/>
            <w:tcBorders>
              <w:top w:val="single" w:sz="4" w:space="0" w:color="auto"/>
              <w:left w:val="nil"/>
              <w:bottom w:val="single" w:sz="4" w:space="0" w:color="auto"/>
              <w:right w:val="nil"/>
            </w:tcBorders>
          </w:tcPr>
          <w:p w14:paraId="170C4F9D" w14:textId="77777777" w:rsidR="0019088E" w:rsidRPr="004946F6" w:rsidRDefault="0019088E" w:rsidP="00F31B5E">
            <w:pPr>
              <w:jc w:val="right"/>
              <w:rPr>
                <w:i/>
                <w:iCs/>
                <w:color w:val="000000"/>
              </w:rPr>
            </w:pPr>
            <w:r w:rsidRPr="004946F6">
              <w:rPr>
                <w:i/>
                <w:iCs/>
                <w:color w:val="000000"/>
              </w:rPr>
              <w:t>57</w:t>
            </w:r>
          </w:p>
        </w:tc>
        <w:tc>
          <w:tcPr>
            <w:tcW w:w="1205" w:type="dxa"/>
            <w:tcBorders>
              <w:top w:val="single" w:sz="4" w:space="0" w:color="auto"/>
              <w:left w:val="nil"/>
              <w:bottom w:val="single" w:sz="4" w:space="0" w:color="auto"/>
              <w:right w:val="nil"/>
            </w:tcBorders>
          </w:tcPr>
          <w:p w14:paraId="4E56F54E" w14:textId="77777777" w:rsidR="0019088E" w:rsidRPr="004946F6" w:rsidRDefault="0019088E" w:rsidP="00F31B5E">
            <w:pPr>
              <w:jc w:val="right"/>
              <w:rPr>
                <w:i/>
                <w:iCs/>
                <w:color w:val="000000"/>
              </w:rPr>
            </w:pPr>
            <w:r w:rsidRPr="004946F6">
              <w:rPr>
                <w:i/>
                <w:iCs/>
                <w:color w:val="000000"/>
              </w:rPr>
              <w:t>53</w:t>
            </w:r>
          </w:p>
        </w:tc>
      </w:tr>
      <w:tr w:rsidR="0019088E" w:rsidRPr="004946F6" w14:paraId="5BDF0D65" w14:textId="77777777" w:rsidTr="00AE588A">
        <w:tc>
          <w:tcPr>
            <w:tcW w:w="4219" w:type="dxa"/>
            <w:tcBorders>
              <w:top w:val="single" w:sz="4" w:space="0" w:color="auto"/>
              <w:left w:val="nil"/>
              <w:bottom w:val="single" w:sz="4" w:space="0" w:color="auto"/>
              <w:right w:val="nil"/>
            </w:tcBorders>
            <w:shd w:val="clear" w:color="auto" w:fill="auto"/>
          </w:tcPr>
          <w:p w14:paraId="15C6C45C" w14:textId="77777777" w:rsidR="0019088E" w:rsidRPr="004946F6" w:rsidRDefault="0019088E" w:rsidP="00F31B5E">
            <w:pPr>
              <w:rPr>
                <w:b/>
                <w:bCs/>
                <w:i/>
                <w:iCs/>
                <w:color w:val="000000"/>
              </w:rPr>
            </w:pPr>
            <w:r w:rsidRPr="004946F6">
              <w:rPr>
                <w:b/>
                <w:bCs/>
                <w:i/>
                <w:iCs/>
                <w:color w:val="000000"/>
              </w:rPr>
              <w:fldChar w:fldCharType="begin" w:fldLock="1"/>
            </w:r>
            <w:r w:rsidRPr="004946F6">
              <w:rPr>
                <w:b/>
                <w:bCs/>
                <w:i/>
                <w:iCs/>
                <w:color w:val="000000"/>
              </w:rPr>
              <w:instrText>ADDIN CSL_CITATION { "citationItems" : [ { "id" : "ITEM-1", "itemData" : { "DOI" : "10.1080/095414400750050222", "ISBN" : "0954144007", "ISSN" : "09541446", "PMID" : "1003124", "abstract" : "Two experiments investigated the effects of emotional stimuli on recollective experience in recognition memory. In Experiment 1, words judged to evoke a positive emotional response (e.g., warmth, freedom) or a negative emotional response (e.g., mucus, corpse) were associated with more \u201cremember\u201d responses than emotionally neutral words (e.g., crate, border) when presented in mixed lists. This effect was stronger with negative words than with positive words. In Experiment 2 the effects of emotional stimuli were eliminated when participants studied pure lists of either all emotional or all neutral words. These findings are discussed in relation to Rajaram's (1996) distinctiveness account of recollective experience.", "author" : [ { "dropping-particle" : "", "family" : "Dewhurst", "given" : "Stephen A.", "non-dropping-particle" : "", "parse-names" : false, "suffix" : "" }, { "dropping-particle" : "", "family" : "Parry", "given" : "Lisa A.", "non-dropping-particle" : "", "parse-names" : false, "suffix" : "" } ], "container-title" : "European Journal of Cognitive Psychology", "id" : "ITEM-1", "issue" : "4", "issued" : { "date-parts" : [ [ "2000" ] ] }, "page" : "541-551", "title" : "Emotionality, distinctiveness, and recollective experience", "type" : "article-journal", "volume" : "12" }, "uris" : [ "http://www.mendeley.com/documents/?uuid=1704636b-ba41-4c89-81dd-0395579698e8" ] } ], "mendeley" : { "formattedCitation" : "(Dewhurst &amp; Parry, 2000)", "plainTextFormattedCitation" : "(Dewhurst &amp; Parry, 2000)", "previouslyFormattedCitation" : "(Dewhurst &amp; Parry, 2000)" }, "properties" : { "noteIndex" : 0 }, "schema" : "https://github.com/citation-style-language/schema/raw/master/csl-citation.json" }</w:instrText>
            </w:r>
            <w:r w:rsidRPr="004946F6">
              <w:rPr>
                <w:b/>
                <w:bCs/>
                <w:i/>
                <w:iCs/>
                <w:color w:val="000000"/>
              </w:rPr>
              <w:fldChar w:fldCharType="separate"/>
            </w:r>
            <w:r w:rsidRPr="004946F6">
              <w:rPr>
                <w:bCs/>
                <w:iCs/>
                <w:noProof/>
                <w:color w:val="000000"/>
              </w:rPr>
              <w:t>(Dewhurst &amp; Parry, 2000)</w:t>
            </w:r>
            <w:r w:rsidRPr="004946F6">
              <w:rPr>
                <w:b/>
                <w:bCs/>
                <w:i/>
                <w:iCs/>
                <w:color w:val="000000"/>
              </w:rPr>
              <w:fldChar w:fldCharType="end"/>
            </w:r>
            <w:r w:rsidRPr="004946F6">
              <w:rPr>
                <w:b/>
                <w:bCs/>
                <w:i/>
                <w:iCs/>
                <w:color w:val="000000"/>
              </w:rPr>
              <w:t xml:space="preserve">(Exp 1 and 2) </w:t>
            </w:r>
            <w:r w:rsidRPr="004946F6">
              <w:rPr>
                <w:b/>
                <w:bCs/>
                <w:i/>
                <w:iCs/>
                <w:color w:val="000000"/>
                <w:vertAlign w:val="superscript"/>
              </w:rPr>
              <w:t>ac</w:t>
            </w:r>
          </w:p>
        </w:tc>
        <w:tc>
          <w:tcPr>
            <w:tcW w:w="1205" w:type="dxa"/>
            <w:tcBorders>
              <w:top w:val="single" w:sz="4" w:space="0" w:color="auto"/>
              <w:left w:val="nil"/>
              <w:bottom w:val="single" w:sz="4" w:space="0" w:color="auto"/>
              <w:right w:val="nil"/>
            </w:tcBorders>
            <w:shd w:val="clear" w:color="auto" w:fill="auto"/>
          </w:tcPr>
          <w:p w14:paraId="0567CC53" w14:textId="77777777" w:rsidR="0019088E" w:rsidRPr="004946F6" w:rsidRDefault="0019088E" w:rsidP="00F31B5E">
            <w:pPr>
              <w:jc w:val="right"/>
              <w:rPr>
                <w:i/>
                <w:iCs/>
                <w:color w:val="000000"/>
              </w:rPr>
            </w:pPr>
            <w:r w:rsidRPr="004946F6">
              <w:rPr>
                <w:i/>
                <w:iCs/>
                <w:color w:val="000000"/>
              </w:rPr>
              <w:t>49</w:t>
            </w:r>
          </w:p>
        </w:tc>
        <w:tc>
          <w:tcPr>
            <w:tcW w:w="1205" w:type="dxa"/>
            <w:tcBorders>
              <w:top w:val="single" w:sz="4" w:space="0" w:color="auto"/>
              <w:left w:val="nil"/>
              <w:bottom w:val="single" w:sz="4" w:space="0" w:color="auto"/>
              <w:right w:val="nil"/>
            </w:tcBorders>
            <w:shd w:val="clear" w:color="auto" w:fill="auto"/>
          </w:tcPr>
          <w:p w14:paraId="7A1649E4" w14:textId="77777777" w:rsidR="0019088E" w:rsidRPr="004946F6" w:rsidRDefault="0019088E" w:rsidP="00F31B5E">
            <w:pPr>
              <w:jc w:val="right"/>
              <w:rPr>
                <w:i/>
                <w:iCs/>
                <w:color w:val="000000"/>
              </w:rPr>
            </w:pPr>
            <w:r w:rsidRPr="004946F6">
              <w:rPr>
                <w:i/>
                <w:iCs/>
                <w:color w:val="000000"/>
              </w:rPr>
              <w:t>48</w:t>
            </w:r>
          </w:p>
        </w:tc>
        <w:tc>
          <w:tcPr>
            <w:tcW w:w="1205" w:type="dxa"/>
            <w:tcBorders>
              <w:top w:val="single" w:sz="4" w:space="0" w:color="auto"/>
              <w:left w:val="nil"/>
              <w:bottom w:val="single" w:sz="4" w:space="0" w:color="auto"/>
              <w:right w:val="nil"/>
            </w:tcBorders>
            <w:shd w:val="clear" w:color="auto" w:fill="auto"/>
          </w:tcPr>
          <w:p w14:paraId="441DA371" w14:textId="77777777" w:rsidR="0019088E" w:rsidRPr="004946F6" w:rsidRDefault="0019088E" w:rsidP="00F31B5E">
            <w:pPr>
              <w:jc w:val="right"/>
              <w:rPr>
                <w:i/>
                <w:iCs/>
                <w:color w:val="000000"/>
              </w:rPr>
            </w:pPr>
            <w:r w:rsidRPr="004946F6">
              <w:rPr>
                <w:i/>
                <w:iCs/>
                <w:color w:val="000000"/>
              </w:rPr>
              <w:t>55</w:t>
            </w:r>
          </w:p>
        </w:tc>
        <w:tc>
          <w:tcPr>
            <w:tcW w:w="1205" w:type="dxa"/>
            <w:tcBorders>
              <w:top w:val="single" w:sz="4" w:space="0" w:color="auto"/>
              <w:left w:val="nil"/>
              <w:bottom w:val="single" w:sz="4" w:space="0" w:color="auto"/>
              <w:right w:val="nil"/>
            </w:tcBorders>
            <w:shd w:val="clear" w:color="auto" w:fill="auto"/>
          </w:tcPr>
          <w:p w14:paraId="40140A61" w14:textId="77777777" w:rsidR="0019088E" w:rsidRPr="004946F6" w:rsidRDefault="0019088E" w:rsidP="00F31B5E">
            <w:pPr>
              <w:jc w:val="right"/>
              <w:rPr>
                <w:i/>
                <w:iCs/>
                <w:color w:val="000000"/>
              </w:rPr>
            </w:pPr>
            <w:r w:rsidRPr="004946F6">
              <w:rPr>
                <w:i/>
                <w:iCs/>
                <w:color w:val="000000"/>
              </w:rPr>
              <w:t>35</w:t>
            </w:r>
          </w:p>
        </w:tc>
      </w:tr>
      <w:tr w:rsidR="0019088E" w:rsidRPr="004946F6" w14:paraId="4A1E1858" w14:textId="77777777" w:rsidTr="00AE588A">
        <w:tc>
          <w:tcPr>
            <w:tcW w:w="4219" w:type="dxa"/>
            <w:tcBorders>
              <w:top w:val="single" w:sz="4" w:space="0" w:color="auto"/>
              <w:left w:val="nil"/>
              <w:bottom w:val="single" w:sz="4" w:space="0" w:color="auto"/>
              <w:right w:val="nil"/>
            </w:tcBorders>
          </w:tcPr>
          <w:p w14:paraId="1711B396" w14:textId="77777777" w:rsidR="0019088E" w:rsidRPr="004946F6" w:rsidRDefault="0019088E" w:rsidP="00F31B5E">
            <w:pPr>
              <w:rPr>
                <w:b/>
                <w:bCs/>
                <w:i/>
                <w:iCs/>
                <w:color w:val="000000"/>
              </w:rPr>
            </w:pPr>
            <w:r w:rsidRPr="004946F6">
              <w:rPr>
                <w:b/>
                <w:bCs/>
                <w:i/>
                <w:iCs/>
                <w:color w:val="000000"/>
              </w:rPr>
              <w:fldChar w:fldCharType="begin" w:fldLock="1"/>
            </w:r>
            <w:r w:rsidRPr="004946F6">
              <w:rPr>
                <w:b/>
                <w:bCs/>
                <w:i/>
                <w:iCs/>
                <w:color w:val="000000"/>
              </w:rPr>
              <w:instrText>ADDIN CSL_CITATION { "citationItems" : [ { "id" : "ITEM-1", "itemData" : { "DOI" : "10.1037/0278-7393.32.1.79", "ISBN" : "0278-7393", "ISSN" : "0278-7393", "PMID" : "16478342", "abstract" : "People recall taboo words better than neutral words in many experimental contexts. The present rapid serial visual presentation (RSVP) experiments demonstrated this taboo-superiority effect for immediate recall of mixed lists containing taboo and neutral words matched for familiarity, length, and category coherence. Under binding theory (MacKay et al., 2004), taboo superiority reflects an interference effect: Because the emotional reaction system prioritizes binding mechanisms for linking the source of an emotion to its context, taboo words capture the mechanisms for encoding list context in mixed lists, impairing the encoding of adjacent neutral words when RSVP rates are sufficiently rapid. However, for pure or unmixed lists, binding theory predicted no better recall of taboo-only than of neutral-only lists at fast or slow rates. Present results supported this prediction, suggesting that taboo superiority in immediate recall reflects context-specific binding processes, rather than context-free arousal effects, or emotion-linked differences in rehearsal, processing time, output interference, time-based decay, or guessing biases.", "author" : [ { "dropping-particle" : "", "family" : "Hadley", "given" : "Christopher B", "non-dropping-particle" : "", "parse-names" : false, "suffix" : "" }, { "dropping-particle" : "", "family" : "MacKay", "given" : "Donald G", "non-dropping-particle" : "", "parse-names" : false, "suffix" : "" } ], "container-title" : "Journal of Experimental Psychology: Learning, Memory, and Cognition", "id" : "ITEM-1", "issue" : "1", "issued" : { "date-parts" : [ [ "2006" ] ] }, "page" : "79-88", "title" : "Does emotion help or hinder immediate memory? Arousal versus priority-binding mechanisms.", "type" : "article-journal", "volume" : "32" }, "uris" : [ "http://www.mendeley.com/documents/?uuid=c199cda2-d224-4e03-8392-8c9c5f89ca2c" ] } ], "mendeley" : { "formattedCitation" : "(Hadley &amp; MacKay, 2006)", "plainTextFormattedCitation" : "(Hadley &amp; MacKay, 2006)", "previouslyFormattedCitation" : "(Hadley &amp; MacKay, 2006)" }, "properties" : { "noteIndex" : 0 }, "schema" : "https://github.com/citation-style-language/schema/raw/master/csl-citation.json" }</w:instrText>
            </w:r>
            <w:r w:rsidRPr="004946F6">
              <w:rPr>
                <w:b/>
                <w:bCs/>
                <w:i/>
                <w:iCs/>
                <w:color w:val="000000"/>
              </w:rPr>
              <w:fldChar w:fldCharType="separate"/>
            </w:r>
            <w:r w:rsidRPr="004946F6">
              <w:rPr>
                <w:bCs/>
                <w:iCs/>
                <w:noProof/>
                <w:color w:val="000000"/>
              </w:rPr>
              <w:t>(Hadley &amp; MacKay, 2006)</w:t>
            </w:r>
            <w:r w:rsidRPr="004946F6">
              <w:rPr>
                <w:b/>
                <w:bCs/>
                <w:i/>
                <w:iCs/>
                <w:color w:val="000000"/>
              </w:rPr>
              <w:fldChar w:fldCharType="end"/>
            </w:r>
            <w:r w:rsidRPr="004946F6">
              <w:rPr>
                <w:b/>
                <w:bCs/>
                <w:i/>
                <w:iCs/>
                <w:color w:val="000000"/>
              </w:rPr>
              <w:t xml:space="preserve">(Exp 2) </w:t>
            </w:r>
            <w:r w:rsidRPr="004946F6">
              <w:rPr>
                <w:b/>
                <w:bCs/>
                <w:i/>
                <w:iCs/>
                <w:color w:val="000000"/>
                <w:vertAlign w:val="superscript"/>
              </w:rPr>
              <w:t>b</w:t>
            </w:r>
          </w:p>
        </w:tc>
        <w:tc>
          <w:tcPr>
            <w:tcW w:w="1205" w:type="dxa"/>
            <w:tcBorders>
              <w:top w:val="single" w:sz="4" w:space="0" w:color="auto"/>
              <w:left w:val="nil"/>
              <w:bottom w:val="single" w:sz="4" w:space="0" w:color="auto"/>
              <w:right w:val="nil"/>
            </w:tcBorders>
          </w:tcPr>
          <w:p w14:paraId="1D233771" w14:textId="77777777" w:rsidR="0019088E" w:rsidRPr="004946F6" w:rsidRDefault="0019088E" w:rsidP="00F31B5E">
            <w:pPr>
              <w:jc w:val="right"/>
              <w:rPr>
                <w:i/>
                <w:iCs/>
                <w:color w:val="000000"/>
              </w:rPr>
            </w:pPr>
            <w:r w:rsidRPr="004946F6">
              <w:rPr>
                <w:i/>
                <w:iCs/>
                <w:color w:val="000000"/>
              </w:rPr>
              <w:t>45</w:t>
            </w:r>
          </w:p>
        </w:tc>
        <w:tc>
          <w:tcPr>
            <w:tcW w:w="1205" w:type="dxa"/>
            <w:tcBorders>
              <w:top w:val="single" w:sz="4" w:space="0" w:color="auto"/>
              <w:left w:val="nil"/>
              <w:bottom w:val="single" w:sz="4" w:space="0" w:color="auto"/>
              <w:right w:val="nil"/>
            </w:tcBorders>
          </w:tcPr>
          <w:p w14:paraId="6B12BB7F" w14:textId="77777777" w:rsidR="0019088E" w:rsidRPr="004946F6" w:rsidRDefault="0019088E" w:rsidP="00F31B5E">
            <w:pPr>
              <w:jc w:val="right"/>
              <w:rPr>
                <w:i/>
                <w:iCs/>
                <w:color w:val="000000"/>
              </w:rPr>
            </w:pPr>
            <w:r w:rsidRPr="004946F6">
              <w:rPr>
                <w:i/>
                <w:iCs/>
                <w:color w:val="000000"/>
              </w:rPr>
              <w:t>36</w:t>
            </w:r>
          </w:p>
        </w:tc>
        <w:tc>
          <w:tcPr>
            <w:tcW w:w="1205" w:type="dxa"/>
            <w:tcBorders>
              <w:top w:val="single" w:sz="4" w:space="0" w:color="auto"/>
              <w:left w:val="nil"/>
              <w:bottom w:val="single" w:sz="4" w:space="0" w:color="auto"/>
              <w:right w:val="nil"/>
            </w:tcBorders>
          </w:tcPr>
          <w:p w14:paraId="48AFE1FC" w14:textId="77777777" w:rsidR="0019088E" w:rsidRPr="004946F6" w:rsidRDefault="0019088E" w:rsidP="00F31B5E">
            <w:pPr>
              <w:jc w:val="right"/>
              <w:rPr>
                <w:i/>
                <w:iCs/>
                <w:color w:val="000000"/>
              </w:rPr>
            </w:pPr>
            <w:r w:rsidRPr="004946F6">
              <w:rPr>
                <w:i/>
                <w:iCs/>
                <w:color w:val="000000"/>
              </w:rPr>
              <w:t>44</w:t>
            </w:r>
          </w:p>
        </w:tc>
        <w:tc>
          <w:tcPr>
            <w:tcW w:w="1205" w:type="dxa"/>
            <w:tcBorders>
              <w:top w:val="single" w:sz="4" w:space="0" w:color="auto"/>
              <w:left w:val="nil"/>
              <w:bottom w:val="single" w:sz="4" w:space="0" w:color="auto"/>
              <w:right w:val="nil"/>
            </w:tcBorders>
          </w:tcPr>
          <w:p w14:paraId="1E7D5B23" w14:textId="77777777" w:rsidR="0019088E" w:rsidRPr="004946F6" w:rsidRDefault="0019088E" w:rsidP="00F31B5E">
            <w:pPr>
              <w:jc w:val="right"/>
              <w:rPr>
                <w:i/>
                <w:iCs/>
                <w:color w:val="000000"/>
              </w:rPr>
            </w:pPr>
            <w:r w:rsidRPr="004946F6">
              <w:rPr>
                <w:i/>
                <w:iCs/>
                <w:color w:val="000000"/>
              </w:rPr>
              <w:t>45</w:t>
            </w:r>
          </w:p>
        </w:tc>
      </w:tr>
      <w:tr w:rsidR="0019088E" w:rsidRPr="004946F6" w14:paraId="0439E5C3" w14:textId="77777777" w:rsidTr="00AE588A">
        <w:tc>
          <w:tcPr>
            <w:tcW w:w="4219" w:type="dxa"/>
            <w:tcBorders>
              <w:top w:val="single" w:sz="4" w:space="0" w:color="auto"/>
              <w:left w:val="nil"/>
              <w:bottom w:val="single" w:sz="4" w:space="0" w:color="auto"/>
              <w:right w:val="nil"/>
            </w:tcBorders>
          </w:tcPr>
          <w:p w14:paraId="7F98BE82" w14:textId="77777777" w:rsidR="0019088E" w:rsidRPr="004946F6" w:rsidRDefault="0019088E" w:rsidP="00FD7542">
            <w:pPr>
              <w:rPr>
                <w:b/>
                <w:bCs/>
                <w:i/>
                <w:iCs/>
                <w:color w:val="000000"/>
              </w:rPr>
            </w:pPr>
            <w:r w:rsidRPr="004946F6">
              <w:rPr>
                <w:b/>
                <w:bCs/>
                <w:i/>
                <w:iCs/>
                <w:color w:val="000000"/>
              </w:rPr>
              <w:fldChar w:fldCharType="begin" w:fldLock="1"/>
            </w:r>
            <w:r w:rsidRPr="004946F6">
              <w:rPr>
                <w:b/>
                <w:bCs/>
                <w:i/>
                <w:iCs/>
                <w:color w:val="000000"/>
              </w:rPr>
              <w:instrText>ADDIN CSL_CITATION { "citationItems" : [ { "id" : "ITEM-1", "itemData" : { "DOI" : "10.1101/lm.995108.4", "author" : [ { "dropping-particle" : "", "family" : "Sommer", "given" : "Tobias", "non-dropping-particle" : "", "parse-names" : false, "suffix" : "" }, { "dropping-particle" : "", "family" : "Gl\u00e4scher", "given" : "Jan", "non-dropping-particle" : "", "parse-names" : false, "suffix" : "" }, { "dropping-particle" : "", "family" : "Moritz", "given" : "Steffen", "non-dropping-particle" : "", "parse-names" : false, "suffix" : "" }, { "dropping-particle" : "", "family" : "B\u00fcchel", "given" : "Christian", "non-dropping-particle" : "", "parse-names" : false, "suffix" : "" } ], "id" : "ITEM-1", "issued" : { "date-parts" : [ [ "2008" ] ] }, "page" : "569-573", "title" : "Emotional enhancement effect of memory : Removing the influence of cognitive factors", "type" : "article-journal" }, "uris" : [ "http://www.mendeley.com/documents/?uuid=ee58f5ab-7c20-43fa-b72c-6883f9dc730d" ] } ], "mendeley" : { "formattedCitation" : "(Sommer et al., 2008)", "plainTextFormattedCitation" : "(Sommer et al., 2008)", "previouslyFormattedCitation" : "(Sommer et al., 2008)" }, "properties" : { "noteIndex" : 0 }, "schema" : "https://github.com/citation-style-language/schema/raw/master/csl-citation.json" }</w:instrText>
            </w:r>
            <w:r w:rsidRPr="004946F6">
              <w:rPr>
                <w:b/>
                <w:bCs/>
                <w:i/>
                <w:iCs/>
                <w:color w:val="000000"/>
              </w:rPr>
              <w:fldChar w:fldCharType="separate"/>
            </w:r>
            <w:r w:rsidRPr="004946F6">
              <w:rPr>
                <w:bCs/>
                <w:iCs/>
                <w:noProof/>
                <w:color w:val="000000"/>
              </w:rPr>
              <w:t>(Sommer et al., 2008)</w:t>
            </w:r>
            <w:r w:rsidRPr="004946F6">
              <w:rPr>
                <w:b/>
                <w:bCs/>
                <w:i/>
                <w:iCs/>
                <w:color w:val="000000"/>
              </w:rPr>
              <w:fldChar w:fldCharType="end"/>
            </w:r>
            <w:r w:rsidRPr="004946F6">
              <w:rPr>
                <w:i/>
                <w:iCs/>
                <w:color w:val="000000"/>
                <w:vertAlign w:val="superscript"/>
              </w:rPr>
              <w:t>P</w:t>
            </w:r>
          </w:p>
        </w:tc>
        <w:tc>
          <w:tcPr>
            <w:tcW w:w="1205" w:type="dxa"/>
            <w:tcBorders>
              <w:top w:val="single" w:sz="4" w:space="0" w:color="auto"/>
              <w:left w:val="nil"/>
              <w:bottom w:val="single" w:sz="4" w:space="0" w:color="auto"/>
              <w:right w:val="nil"/>
            </w:tcBorders>
          </w:tcPr>
          <w:p w14:paraId="21D17990" w14:textId="77777777" w:rsidR="0019088E" w:rsidRPr="004946F6" w:rsidRDefault="0019088E" w:rsidP="00F31B5E">
            <w:pPr>
              <w:rPr>
                <w:i/>
                <w:iCs/>
                <w:color w:val="000000"/>
              </w:rPr>
            </w:pPr>
          </w:p>
        </w:tc>
        <w:tc>
          <w:tcPr>
            <w:tcW w:w="1205" w:type="dxa"/>
            <w:tcBorders>
              <w:top w:val="single" w:sz="4" w:space="0" w:color="auto"/>
              <w:left w:val="nil"/>
              <w:bottom w:val="single" w:sz="4" w:space="0" w:color="auto"/>
              <w:right w:val="nil"/>
            </w:tcBorders>
          </w:tcPr>
          <w:p w14:paraId="7C315835" w14:textId="77777777" w:rsidR="0019088E" w:rsidRPr="004946F6" w:rsidRDefault="0019088E" w:rsidP="00F31B5E">
            <w:pPr>
              <w:rPr>
                <w:i/>
                <w:iCs/>
                <w:color w:val="000000"/>
              </w:rPr>
            </w:pPr>
          </w:p>
        </w:tc>
        <w:tc>
          <w:tcPr>
            <w:tcW w:w="1205" w:type="dxa"/>
            <w:tcBorders>
              <w:top w:val="single" w:sz="4" w:space="0" w:color="auto"/>
              <w:left w:val="nil"/>
              <w:bottom w:val="single" w:sz="4" w:space="0" w:color="auto"/>
              <w:right w:val="nil"/>
            </w:tcBorders>
          </w:tcPr>
          <w:p w14:paraId="0C11F3BA" w14:textId="77777777" w:rsidR="0019088E" w:rsidRPr="004946F6" w:rsidRDefault="0019088E" w:rsidP="00F31B5E">
            <w:pPr>
              <w:jc w:val="right"/>
              <w:rPr>
                <w:i/>
                <w:iCs/>
                <w:color w:val="000000"/>
              </w:rPr>
            </w:pPr>
            <w:r w:rsidRPr="004946F6">
              <w:rPr>
                <w:i/>
                <w:iCs/>
                <w:color w:val="000000"/>
              </w:rPr>
              <w:t>42</w:t>
            </w:r>
          </w:p>
        </w:tc>
        <w:tc>
          <w:tcPr>
            <w:tcW w:w="1205" w:type="dxa"/>
            <w:tcBorders>
              <w:top w:val="single" w:sz="4" w:space="0" w:color="auto"/>
              <w:left w:val="nil"/>
              <w:bottom w:val="single" w:sz="4" w:space="0" w:color="auto"/>
              <w:right w:val="nil"/>
            </w:tcBorders>
          </w:tcPr>
          <w:p w14:paraId="27BFCD76" w14:textId="77777777" w:rsidR="0019088E" w:rsidRPr="004946F6" w:rsidRDefault="0019088E" w:rsidP="00F31B5E">
            <w:pPr>
              <w:jc w:val="right"/>
              <w:rPr>
                <w:i/>
                <w:iCs/>
                <w:color w:val="000000"/>
              </w:rPr>
            </w:pPr>
            <w:r w:rsidRPr="004946F6">
              <w:t>43</w:t>
            </w:r>
          </w:p>
        </w:tc>
      </w:tr>
      <w:tr w:rsidR="0019088E" w:rsidRPr="004946F6" w14:paraId="00AD4950" w14:textId="77777777" w:rsidTr="00AE588A">
        <w:tc>
          <w:tcPr>
            <w:tcW w:w="4219" w:type="dxa"/>
            <w:tcBorders>
              <w:top w:val="single" w:sz="4" w:space="0" w:color="auto"/>
              <w:left w:val="nil"/>
              <w:bottom w:val="single" w:sz="4" w:space="0" w:color="auto"/>
              <w:right w:val="nil"/>
            </w:tcBorders>
          </w:tcPr>
          <w:p w14:paraId="3C301EAA" w14:textId="77777777" w:rsidR="0019088E" w:rsidRPr="004946F6" w:rsidRDefault="0019088E" w:rsidP="00F31B5E">
            <w:pPr>
              <w:rPr>
                <w:b/>
                <w:bCs/>
                <w:i/>
                <w:iCs/>
                <w:color w:val="000000"/>
              </w:rPr>
            </w:pPr>
            <w:r w:rsidRPr="004946F6">
              <w:rPr>
                <w:b/>
                <w:bCs/>
                <w:i/>
                <w:iCs/>
                <w:color w:val="000000"/>
              </w:rPr>
              <w:fldChar w:fldCharType="begin" w:fldLock="1"/>
            </w:r>
            <w:r w:rsidRPr="004946F6">
              <w:rPr>
                <w:b/>
                <w:bCs/>
                <w:i/>
                <w:iCs/>
                <w:color w:val="000000"/>
              </w:rPr>
              <w:instrText>ADDIN CSL_CITATION { "citationItems" : [ { "id" : "ITEM-1", "itemData" : { "DOI" : "10.1016/j.jml.2011.07.009", "ISBN" : "0749-596X", "ISSN" : "0749596X", "abstract" : "Memory for emotional events is usually very good even when tested shortly after study, before it is altered by the influence of emotional arousal on consolidation. Immediate emotion-enhanced memory may stem from the influence of emotion on cognitive processes at encoding and retrieval. Our goal was to test which cognitive factors are necessary and sufficient to account for EEM, with a specific focus on clarifying the contribution of attention to this effect. In two experiments, participants encoded negative-arousing and neutral pictures. In Experiment 1, under divided-attention conditions, negative pictures were better attended and recalled even when they were matched with neutral pictures on semantic relatedness and distinctiveness, and attention at encoding predicted subsequent emotion-enhanced memory. The memory advantage for emotional stimuli was only abolished when attention to emotional and neutral stimuli was also matched, under full-attention in Experiment 1 and under divided-attention in Experiment 2. Emotional memory enhancement was larger in Experiment 1 when the control of organization and distinctiveness was relaxed. These findings suggest that attention, organization and distinctiveness provide a necessary and sufficient account for immediate emotion-enhanced free recall memory. \u00a9 2011 Elsevier Inc.", "author" : [ { "dropping-particle" : "", "family" : "Talmi", "given" : "Deborah", "non-dropping-particle" : "", "parse-names" : false, "suffix" : "" }, { "dropping-particle" : "", "family" : "McGarry", "given" : "Lucy M.", "non-dropping-particle" : "", "parse-names" : false, "suffix" : "" } ], "container-title" : "Journal of Memory and Language", "id" : "ITEM-1", "issue" : "1", "issued" : { "date-parts" : [ [ "2012" ] ] }, "page" : "93-108", "publisher" : "Elsevier Inc.", "title" : "Accounting for immediate emotional memory enhancement", "type" : "article-journal", "volume" : "66" }, "uris" : [ "http://www.mendeley.com/documents/?uuid=97f0e13d-8640-4b52-b53c-49419fe1f6a8" ] } ], "mendeley" : { "formattedCitation" : "(Talmi &amp; McGarry, 2012)", "plainTextFormattedCitation" : "(Talmi &amp; McGarry, 2012)", "previouslyFormattedCitation" : "(Talmi &amp; McGarry, 2012)" }, "properties" : { "noteIndex" : 0 }, "schema" : "https://github.com/citation-style-language/schema/raw/master/csl-citation.json" }</w:instrText>
            </w:r>
            <w:r w:rsidRPr="004946F6">
              <w:rPr>
                <w:b/>
                <w:bCs/>
                <w:i/>
                <w:iCs/>
                <w:color w:val="000000"/>
              </w:rPr>
              <w:fldChar w:fldCharType="separate"/>
            </w:r>
            <w:r w:rsidRPr="004946F6">
              <w:rPr>
                <w:bCs/>
                <w:iCs/>
                <w:noProof/>
                <w:color w:val="000000"/>
              </w:rPr>
              <w:t>(Talmi &amp; McGarry, 2012)</w:t>
            </w:r>
            <w:r w:rsidRPr="004946F6">
              <w:rPr>
                <w:b/>
                <w:bCs/>
                <w:i/>
                <w:iCs/>
                <w:color w:val="000000"/>
              </w:rPr>
              <w:fldChar w:fldCharType="end"/>
            </w:r>
            <w:r w:rsidRPr="004946F6">
              <w:rPr>
                <w:b/>
                <w:bCs/>
                <w:i/>
                <w:iCs/>
                <w:color w:val="000000"/>
              </w:rPr>
              <w:t xml:space="preserve">(Exp1) </w:t>
            </w:r>
            <w:r w:rsidRPr="004946F6">
              <w:rPr>
                <w:i/>
                <w:iCs/>
                <w:vertAlign w:val="superscript"/>
              </w:rPr>
              <w:t>R</w:t>
            </w:r>
          </w:p>
        </w:tc>
        <w:tc>
          <w:tcPr>
            <w:tcW w:w="1205" w:type="dxa"/>
            <w:tcBorders>
              <w:top w:val="single" w:sz="4" w:space="0" w:color="auto"/>
              <w:left w:val="nil"/>
              <w:bottom w:val="single" w:sz="4" w:space="0" w:color="auto"/>
              <w:right w:val="nil"/>
            </w:tcBorders>
          </w:tcPr>
          <w:p w14:paraId="1D153BC6" w14:textId="77777777" w:rsidR="0019088E" w:rsidRPr="004946F6" w:rsidRDefault="0019088E" w:rsidP="00F31B5E">
            <w:pPr>
              <w:jc w:val="right"/>
              <w:rPr>
                <w:i/>
                <w:iCs/>
                <w:color w:val="000000"/>
              </w:rPr>
            </w:pPr>
            <w:r w:rsidRPr="004946F6">
              <w:rPr>
                <w:i/>
                <w:iCs/>
                <w:color w:val="000000"/>
              </w:rPr>
              <w:t>56</w:t>
            </w:r>
          </w:p>
        </w:tc>
        <w:tc>
          <w:tcPr>
            <w:tcW w:w="1205" w:type="dxa"/>
            <w:tcBorders>
              <w:top w:val="single" w:sz="4" w:space="0" w:color="auto"/>
              <w:left w:val="nil"/>
              <w:bottom w:val="single" w:sz="4" w:space="0" w:color="auto"/>
              <w:right w:val="nil"/>
            </w:tcBorders>
          </w:tcPr>
          <w:p w14:paraId="52A2D081" w14:textId="77777777" w:rsidR="0019088E" w:rsidRPr="004946F6" w:rsidRDefault="0019088E" w:rsidP="00F31B5E">
            <w:pPr>
              <w:jc w:val="right"/>
              <w:rPr>
                <w:i/>
                <w:iCs/>
                <w:color w:val="000000"/>
              </w:rPr>
            </w:pPr>
            <w:r w:rsidRPr="004946F6">
              <w:rPr>
                <w:i/>
                <w:iCs/>
                <w:color w:val="000000"/>
              </w:rPr>
              <w:t>31</w:t>
            </w:r>
          </w:p>
        </w:tc>
        <w:tc>
          <w:tcPr>
            <w:tcW w:w="1205" w:type="dxa"/>
            <w:tcBorders>
              <w:top w:val="single" w:sz="4" w:space="0" w:color="auto"/>
              <w:left w:val="nil"/>
              <w:bottom w:val="single" w:sz="4" w:space="0" w:color="auto"/>
              <w:right w:val="nil"/>
            </w:tcBorders>
          </w:tcPr>
          <w:p w14:paraId="4B25B9D5" w14:textId="77777777" w:rsidR="0019088E" w:rsidRPr="004946F6" w:rsidRDefault="0019088E" w:rsidP="00F31B5E">
            <w:pPr>
              <w:jc w:val="right"/>
              <w:rPr>
                <w:i/>
                <w:iCs/>
                <w:color w:val="000000"/>
              </w:rPr>
            </w:pPr>
            <w:r w:rsidRPr="004946F6">
              <w:rPr>
                <w:i/>
                <w:iCs/>
                <w:color w:val="000000"/>
              </w:rPr>
              <w:t>56</w:t>
            </w:r>
          </w:p>
        </w:tc>
        <w:tc>
          <w:tcPr>
            <w:tcW w:w="1205" w:type="dxa"/>
            <w:tcBorders>
              <w:top w:val="single" w:sz="4" w:space="0" w:color="auto"/>
              <w:left w:val="nil"/>
              <w:bottom w:val="single" w:sz="4" w:space="0" w:color="auto"/>
              <w:right w:val="nil"/>
            </w:tcBorders>
          </w:tcPr>
          <w:p w14:paraId="0156F979" w14:textId="77777777" w:rsidR="0019088E" w:rsidRPr="004946F6" w:rsidRDefault="0019088E" w:rsidP="00F31B5E">
            <w:pPr>
              <w:jc w:val="right"/>
              <w:rPr>
                <w:i/>
                <w:iCs/>
                <w:color w:val="000000"/>
              </w:rPr>
            </w:pPr>
            <w:r w:rsidRPr="004946F6">
              <w:rPr>
                <w:i/>
                <w:iCs/>
                <w:color w:val="000000"/>
              </w:rPr>
              <w:t>42</w:t>
            </w:r>
          </w:p>
        </w:tc>
      </w:tr>
      <w:tr w:rsidR="0019088E" w:rsidRPr="004946F6" w14:paraId="779A2FA8" w14:textId="77777777" w:rsidTr="00AE588A">
        <w:tc>
          <w:tcPr>
            <w:tcW w:w="4219" w:type="dxa"/>
            <w:tcBorders>
              <w:top w:val="single" w:sz="4" w:space="0" w:color="auto"/>
              <w:left w:val="nil"/>
              <w:bottom w:val="single" w:sz="4" w:space="0" w:color="auto"/>
              <w:right w:val="nil"/>
            </w:tcBorders>
          </w:tcPr>
          <w:p w14:paraId="12E237F1" w14:textId="77777777" w:rsidR="0019088E" w:rsidRPr="004946F6" w:rsidRDefault="0019088E" w:rsidP="00F31B5E">
            <w:pPr>
              <w:rPr>
                <w:b/>
                <w:bCs/>
                <w:i/>
                <w:iCs/>
                <w:color w:val="000000"/>
              </w:rPr>
            </w:pPr>
            <w:r w:rsidRPr="004946F6">
              <w:rPr>
                <w:b/>
                <w:bCs/>
                <w:i/>
                <w:iCs/>
                <w:color w:val="000000"/>
              </w:rPr>
              <w:fldChar w:fldCharType="begin" w:fldLock="1"/>
            </w:r>
            <w:r w:rsidRPr="004946F6">
              <w:rPr>
                <w:b/>
                <w:bCs/>
                <w:i/>
                <w:iCs/>
                <w:color w:val="000000"/>
              </w:rPr>
              <w:instrText>ADDIN CSL_CITATION { "citationItems" : [ { "id" : "ITEM-1", "itemData" : { "DOI" : "10.3758/BF03195864", "ISBN" : "0090-502X", "ISSN" : "0090-502X", "PMID" : "15552351", "abstract" : "Memory for emotional items is often better than memory for neutral items. In three experiments, we examined whether this typical finding is due to the higher semantic relatedness inherent to emotional items, a confound in previous studies. We also controlled for other possible confounding variables, such as imagery. In Experiments 1 and 2, participants encoded lists of emotional and categorized neutral words equivalent in semantic relatedness, as well as lists of random neutral words with lower semantic relatedness. In Experiment 3, the lists were mixed, containing words from all the conditions. Surprise free recall was tested after a 40- to 55-min retention interval. Free recall of emotional words was better than that of random neutral words, replicating the classic effect. Importantly, categorized words were recalled better than random neutral words, and not worse than emotional words. These results emphasize the important role of semantic relatedness in the classic effect and suggest that organizational processes operate alongside arousal-related ones to enhance memory for emotional material.", "author" : [ { "dropping-particle" : "", "family" : "Talmi", "given" : "Deborah", "non-dropping-particle" : "", "parse-names" : false, "suffix" : "" }, { "dropping-particle" : "", "family" : "Moscovitch", "given" : "Morris", "non-dropping-particle" : "", "parse-names" : false, "suffix" : "" } ], "container-title" : "Memory &amp; cognition", "id" : "ITEM-1", "issue" : "5", "issued" : { "date-parts" : [ [ "2004" ] ] }, "page" : "742-751", "title" : "Can semantic relatedness explain the enhancement of memory for emotional words?", "type" : "article-journal", "volume" : "32" }, "uris" : [ "http://www.mendeley.com/documents/?uuid=88c4bcd6-e969-4855-8742-18230ec41a9b" ] } ], "mendeley" : { "formattedCitation" : "(Talmi &amp; Moscovitch, 2004)", "plainTextFormattedCitation" : "(Talmi &amp; Moscovitch, 2004)", "previouslyFormattedCitation" : "(Talmi &amp; Moscovitch, 2004)" }, "properties" : { "noteIndex" : 0 }, "schema" : "https://github.com/citation-style-language/schema/raw/master/csl-citation.json" }</w:instrText>
            </w:r>
            <w:r w:rsidRPr="004946F6">
              <w:rPr>
                <w:b/>
                <w:bCs/>
                <w:i/>
                <w:iCs/>
                <w:color w:val="000000"/>
              </w:rPr>
              <w:fldChar w:fldCharType="separate"/>
            </w:r>
            <w:r w:rsidRPr="004946F6">
              <w:rPr>
                <w:bCs/>
                <w:iCs/>
                <w:noProof/>
                <w:color w:val="000000"/>
              </w:rPr>
              <w:t>(Talmi &amp; Moscovitch, 2004)</w:t>
            </w:r>
            <w:r w:rsidRPr="004946F6">
              <w:rPr>
                <w:b/>
                <w:bCs/>
                <w:i/>
                <w:iCs/>
                <w:color w:val="000000"/>
              </w:rPr>
              <w:fldChar w:fldCharType="end"/>
            </w:r>
            <w:r w:rsidRPr="004946F6">
              <w:rPr>
                <w:b/>
                <w:bCs/>
                <w:i/>
                <w:iCs/>
                <w:color w:val="000000"/>
              </w:rPr>
              <w:t xml:space="preserve">(Exp 2B and 3) </w:t>
            </w:r>
            <w:r w:rsidRPr="004946F6">
              <w:rPr>
                <w:i/>
                <w:iCs/>
                <w:vertAlign w:val="superscript"/>
              </w:rPr>
              <w:t>R</w:t>
            </w:r>
          </w:p>
        </w:tc>
        <w:tc>
          <w:tcPr>
            <w:tcW w:w="1205" w:type="dxa"/>
            <w:tcBorders>
              <w:top w:val="single" w:sz="4" w:space="0" w:color="auto"/>
              <w:left w:val="nil"/>
              <w:bottom w:val="single" w:sz="4" w:space="0" w:color="auto"/>
              <w:right w:val="nil"/>
            </w:tcBorders>
          </w:tcPr>
          <w:p w14:paraId="0B88C82B" w14:textId="77777777" w:rsidR="0019088E" w:rsidRPr="004946F6" w:rsidRDefault="0019088E" w:rsidP="00F31B5E">
            <w:pPr>
              <w:jc w:val="right"/>
              <w:rPr>
                <w:i/>
                <w:iCs/>
                <w:color w:val="000000"/>
              </w:rPr>
            </w:pPr>
            <w:r w:rsidRPr="004946F6">
              <w:rPr>
                <w:i/>
                <w:iCs/>
                <w:color w:val="000000"/>
              </w:rPr>
              <w:t>27</w:t>
            </w:r>
          </w:p>
        </w:tc>
        <w:tc>
          <w:tcPr>
            <w:tcW w:w="1205" w:type="dxa"/>
            <w:tcBorders>
              <w:top w:val="single" w:sz="4" w:space="0" w:color="auto"/>
              <w:left w:val="nil"/>
              <w:bottom w:val="single" w:sz="4" w:space="0" w:color="auto"/>
              <w:right w:val="nil"/>
            </w:tcBorders>
          </w:tcPr>
          <w:p w14:paraId="1973D9E0" w14:textId="77777777" w:rsidR="0019088E" w:rsidRPr="004946F6" w:rsidRDefault="0019088E" w:rsidP="00F31B5E">
            <w:pPr>
              <w:jc w:val="right"/>
              <w:rPr>
                <w:i/>
                <w:iCs/>
                <w:color w:val="000000"/>
              </w:rPr>
            </w:pPr>
            <w:r w:rsidRPr="004946F6">
              <w:rPr>
                <w:i/>
                <w:iCs/>
                <w:color w:val="000000"/>
              </w:rPr>
              <w:t>33</w:t>
            </w:r>
          </w:p>
        </w:tc>
        <w:tc>
          <w:tcPr>
            <w:tcW w:w="1205" w:type="dxa"/>
            <w:tcBorders>
              <w:top w:val="single" w:sz="4" w:space="0" w:color="auto"/>
              <w:left w:val="nil"/>
              <w:bottom w:val="single" w:sz="4" w:space="0" w:color="auto"/>
              <w:right w:val="nil"/>
            </w:tcBorders>
          </w:tcPr>
          <w:p w14:paraId="0C7A23B5" w14:textId="77777777" w:rsidR="0019088E" w:rsidRPr="004946F6" w:rsidRDefault="0019088E" w:rsidP="00F31B5E">
            <w:pPr>
              <w:jc w:val="right"/>
              <w:rPr>
                <w:i/>
                <w:iCs/>
                <w:color w:val="000000"/>
              </w:rPr>
            </w:pPr>
            <w:r w:rsidRPr="004946F6">
              <w:rPr>
                <w:i/>
                <w:iCs/>
                <w:color w:val="000000"/>
              </w:rPr>
              <w:t>22</w:t>
            </w:r>
          </w:p>
        </w:tc>
        <w:tc>
          <w:tcPr>
            <w:tcW w:w="1205" w:type="dxa"/>
            <w:tcBorders>
              <w:top w:val="single" w:sz="4" w:space="0" w:color="auto"/>
              <w:left w:val="nil"/>
              <w:bottom w:val="single" w:sz="4" w:space="0" w:color="auto"/>
              <w:right w:val="nil"/>
            </w:tcBorders>
          </w:tcPr>
          <w:p w14:paraId="44B890DC" w14:textId="77777777" w:rsidR="0019088E" w:rsidRPr="004946F6" w:rsidRDefault="0019088E" w:rsidP="00F31B5E">
            <w:pPr>
              <w:jc w:val="right"/>
              <w:rPr>
                <w:i/>
                <w:iCs/>
                <w:color w:val="000000"/>
              </w:rPr>
            </w:pPr>
            <w:r w:rsidRPr="004946F6">
              <w:rPr>
                <w:i/>
                <w:iCs/>
                <w:color w:val="000000"/>
              </w:rPr>
              <w:t>36</w:t>
            </w:r>
          </w:p>
        </w:tc>
      </w:tr>
      <w:tr w:rsidR="0019088E" w:rsidRPr="004946F6" w14:paraId="48ECDC7D" w14:textId="77777777" w:rsidTr="00AE588A">
        <w:tc>
          <w:tcPr>
            <w:tcW w:w="4219" w:type="dxa"/>
            <w:tcBorders>
              <w:top w:val="single" w:sz="4" w:space="0" w:color="auto"/>
              <w:left w:val="nil"/>
              <w:bottom w:val="single" w:sz="4" w:space="0" w:color="auto"/>
              <w:right w:val="nil"/>
            </w:tcBorders>
          </w:tcPr>
          <w:p w14:paraId="71233F8E" w14:textId="77777777" w:rsidR="0019088E" w:rsidRPr="004946F6" w:rsidRDefault="0019088E" w:rsidP="00F31B5E">
            <w:pPr>
              <w:rPr>
                <w:b/>
                <w:bCs/>
                <w:i/>
                <w:iCs/>
                <w:color w:val="000000"/>
              </w:rPr>
            </w:pPr>
            <w:r w:rsidRPr="004946F6">
              <w:rPr>
                <w:bCs/>
                <w:iCs/>
                <w:noProof/>
                <w:color w:val="000000"/>
              </w:rPr>
              <w:t>(Talmi, Luk, et al., 2007</w:t>
            </w:r>
            <w:r w:rsidRPr="004946F6" w:rsidDel="00EA0B44">
              <w:rPr>
                <w:b/>
                <w:bCs/>
                <w:i/>
                <w:iCs/>
                <w:color w:val="000000"/>
              </w:rPr>
              <w:t xml:space="preserve"> </w:t>
            </w:r>
            <w:r w:rsidRPr="004946F6">
              <w:rPr>
                <w:b/>
                <w:bCs/>
                <w:i/>
                <w:iCs/>
                <w:color w:val="000000"/>
              </w:rPr>
              <w:t>(Exp 2A and 2B)</w:t>
            </w:r>
            <w:r w:rsidRPr="004946F6">
              <w:rPr>
                <w:i/>
                <w:iCs/>
                <w:vertAlign w:val="superscript"/>
              </w:rPr>
              <w:t xml:space="preserve"> R</w:t>
            </w:r>
          </w:p>
        </w:tc>
        <w:tc>
          <w:tcPr>
            <w:tcW w:w="1205" w:type="dxa"/>
            <w:tcBorders>
              <w:top w:val="single" w:sz="4" w:space="0" w:color="auto"/>
              <w:left w:val="nil"/>
              <w:bottom w:val="single" w:sz="4" w:space="0" w:color="auto"/>
              <w:right w:val="nil"/>
            </w:tcBorders>
          </w:tcPr>
          <w:p w14:paraId="704A30A1" w14:textId="77777777" w:rsidR="0019088E" w:rsidRPr="004946F6" w:rsidRDefault="0019088E" w:rsidP="00F31B5E">
            <w:pPr>
              <w:jc w:val="right"/>
              <w:rPr>
                <w:i/>
                <w:iCs/>
                <w:color w:val="000000"/>
              </w:rPr>
            </w:pPr>
            <w:r w:rsidRPr="004946F6">
              <w:rPr>
                <w:i/>
                <w:iCs/>
                <w:color w:val="000000"/>
              </w:rPr>
              <w:t>58</w:t>
            </w:r>
          </w:p>
        </w:tc>
        <w:tc>
          <w:tcPr>
            <w:tcW w:w="1205" w:type="dxa"/>
            <w:tcBorders>
              <w:top w:val="single" w:sz="4" w:space="0" w:color="auto"/>
              <w:left w:val="nil"/>
              <w:bottom w:val="single" w:sz="4" w:space="0" w:color="auto"/>
              <w:right w:val="nil"/>
            </w:tcBorders>
          </w:tcPr>
          <w:p w14:paraId="69388F0A" w14:textId="77777777" w:rsidR="0019088E" w:rsidRPr="004946F6" w:rsidRDefault="0019088E" w:rsidP="00F31B5E">
            <w:pPr>
              <w:jc w:val="right"/>
              <w:rPr>
                <w:i/>
                <w:iCs/>
                <w:color w:val="000000"/>
              </w:rPr>
            </w:pPr>
            <w:r w:rsidRPr="004946F6">
              <w:rPr>
                <w:i/>
                <w:iCs/>
                <w:color w:val="000000"/>
              </w:rPr>
              <w:t>47</w:t>
            </w:r>
          </w:p>
        </w:tc>
        <w:tc>
          <w:tcPr>
            <w:tcW w:w="1205" w:type="dxa"/>
            <w:tcBorders>
              <w:top w:val="single" w:sz="4" w:space="0" w:color="auto"/>
              <w:left w:val="nil"/>
              <w:bottom w:val="single" w:sz="4" w:space="0" w:color="auto"/>
              <w:right w:val="nil"/>
            </w:tcBorders>
          </w:tcPr>
          <w:p w14:paraId="39D46AE5" w14:textId="77777777" w:rsidR="0019088E" w:rsidRPr="004946F6" w:rsidRDefault="0019088E" w:rsidP="00F31B5E">
            <w:pPr>
              <w:jc w:val="right"/>
              <w:rPr>
                <w:i/>
                <w:iCs/>
                <w:color w:val="000000"/>
              </w:rPr>
            </w:pPr>
            <w:r w:rsidRPr="004946F6">
              <w:rPr>
                <w:i/>
                <w:iCs/>
                <w:color w:val="000000"/>
              </w:rPr>
              <w:t>57</w:t>
            </w:r>
          </w:p>
        </w:tc>
        <w:tc>
          <w:tcPr>
            <w:tcW w:w="1205" w:type="dxa"/>
            <w:tcBorders>
              <w:top w:val="single" w:sz="4" w:space="0" w:color="auto"/>
              <w:left w:val="nil"/>
              <w:bottom w:val="single" w:sz="4" w:space="0" w:color="auto"/>
              <w:right w:val="nil"/>
            </w:tcBorders>
          </w:tcPr>
          <w:p w14:paraId="25159B20" w14:textId="77777777" w:rsidR="0019088E" w:rsidRPr="004946F6" w:rsidRDefault="0019088E" w:rsidP="00F31B5E">
            <w:pPr>
              <w:jc w:val="right"/>
              <w:rPr>
                <w:i/>
                <w:iCs/>
                <w:color w:val="000000"/>
              </w:rPr>
            </w:pPr>
            <w:r w:rsidRPr="004946F6">
              <w:rPr>
                <w:i/>
                <w:iCs/>
                <w:color w:val="000000"/>
              </w:rPr>
              <w:t>56</w:t>
            </w:r>
          </w:p>
        </w:tc>
      </w:tr>
      <w:tr w:rsidR="0019088E" w:rsidRPr="004946F6" w14:paraId="4D7A6671" w14:textId="77777777" w:rsidTr="00EA0B44">
        <w:tc>
          <w:tcPr>
            <w:tcW w:w="4219" w:type="dxa"/>
            <w:tcBorders>
              <w:top w:val="single" w:sz="4" w:space="0" w:color="auto"/>
              <w:left w:val="nil"/>
              <w:bottom w:val="single" w:sz="4" w:space="0" w:color="auto"/>
              <w:right w:val="nil"/>
            </w:tcBorders>
          </w:tcPr>
          <w:p w14:paraId="41D37449" w14:textId="77777777" w:rsidR="0019088E" w:rsidRPr="004946F6" w:rsidRDefault="0019088E" w:rsidP="00EA0B44">
            <w:pPr>
              <w:rPr>
                <w:b/>
                <w:bCs/>
                <w:i/>
                <w:iCs/>
                <w:color w:val="000000"/>
              </w:rPr>
            </w:pPr>
            <w:r w:rsidRPr="004946F6">
              <w:rPr>
                <w:bCs/>
                <w:iCs/>
                <w:noProof/>
                <w:color w:val="000000"/>
              </w:rPr>
              <w:t>(Talmi, Luk, et al., 2007</w:t>
            </w:r>
            <w:r w:rsidRPr="004946F6" w:rsidDel="00EA0B44">
              <w:rPr>
                <w:b/>
                <w:bCs/>
                <w:i/>
                <w:iCs/>
                <w:color w:val="000000"/>
              </w:rPr>
              <w:t xml:space="preserve"> </w:t>
            </w:r>
            <w:r w:rsidRPr="004946F6">
              <w:rPr>
                <w:b/>
                <w:bCs/>
                <w:i/>
                <w:iCs/>
                <w:color w:val="000000"/>
              </w:rPr>
              <w:t>(Exp 4)</w:t>
            </w:r>
            <w:r w:rsidRPr="004946F6">
              <w:rPr>
                <w:i/>
                <w:iCs/>
                <w:vertAlign w:val="superscript"/>
              </w:rPr>
              <w:t xml:space="preserve"> R</w:t>
            </w:r>
          </w:p>
        </w:tc>
        <w:tc>
          <w:tcPr>
            <w:tcW w:w="1205" w:type="dxa"/>
            <w:tcBorders>
              <w:top w:val="single" w:sz="4" w:space="0" w:color="auto"/>
              <w:left w:val="nil"/>
              <w:bottom w:val="single" w:sz="4" w:space="0" w:color="auto"/>
              <w:right w:val="nil"/>
            </w:tcBorders>
          </w:tcPr>
          <w:p w14:paraId="6820FC4B" w14:textId="77777777" w:rsidR="0019088E" w:rsidRPr="004946F6" w:rsidRDefault="0019088E" w:rsidP="00EA0B44">
            <w:pPr>
              <w:rPr>
                <w:i/>
                <w:iCs/>
                <w:color w:val="000000"/>
              </w:rPr>
            </w:pPr>
          </w:p>
        </w:tc>
        <w:tc>
          <w:tcPr>
            <w:tcW w:w="1205" w:type="dxa"/>
            <w:tcBorders>
              <w:top w:val="single" w:sz="4" w:space="0" w:color="auto"/>
              <w:left w:val="nil"/>
              <w:bottom w:val="single" w:sz="4" w:space="0" w:color="auto"/>
              <w:right w:val="nil"/>
            </w:tcBorders>
          </w:tcPr>
          <w:p w14:paraId="547BB90A" w14:textId="77777777" w:rsidR="0019088E" w:rsidRPr="004946F6" w:rsidRDefault="0019088E" w:rsidP="00EA0B44">
            <w:pPr>
              <w:rPr>
                <w:i/>
                <w:iCs/>
                <w:color w:val="000000"/>
              </w:rPr>
            </w:pPr>
          </w:p>
        </w:tc>
        <w:tc>
          <w:tcPr>
            <w:tcW w:w="1205" w:type="dxa"/>
            <w:tcBorders>
              <w:top w:val="single" w:sz="4" w:space="0" w:color="auto"/>
              <w:left w:val="nil"/>
              <w:bottom w:val="single" w:sz="4" w:space="0" w:color="auto"/>
              <w:right w:val="nil"/>
            </w:tcBorders>
          </w:tcPr>
          <w:p w14:paraId="29768EC6" w14:textId="77777777" w:rsidR="0019088E" w:rsidRPr="004946F6" w:rsidRDefault="0019088E" w:rsidP="00EA0B44">
            <w:pPr>
              <w:jc w:val="right"/>
              <w:rPr>
                <w:i/>
                <w:iCs/>
                <w:color w:val="000000"/>
              </w:rPr>
            </w:pPr>
            <w:r w:rsidRPr="004946F6">
              <w:rPr>
                <w:i/>
                <w:iCs/>
                <w:color w:val="000000"/>
              </w:rPr>
              <w:t>61</w:t>
            </w:r>
          </w:p>
        </w:tc>
        <w:tc>
          <w:tcPr>
            <w:tcW w:w="1205" w:type="dxa"/>
            <w:tcBorders>
              <w:top w:val="single" w:sz="4" w:space="0" w:color="auto"/>
              <w:left w:val="nil"/>
              <w:bottom w:val="single" w:sz="4" w:space="0" w:color="auto"/>
              <w:right w:val="nil"/>
            </w:tcBorders>
          </w:tcPr>
          <w:p w14:paraId="4450091D" w14:textId="77777777" w:rsidR="0019088E" w:rsidRPr="004946F6" w:rsidRDefault="0019088E" w:rsidP="00EA0B44">
            <w:pPr>
              <w:jc w:val="right"/>
              <w:rPr>
                <w:i/>
                <w:iCs/>
                <w:color w:val="000000"/>
              </w:rPr>
            </w:pPr>
            <w:r w:rsidRPr="004946F6">
              <w:rPr>
                <w:i/>
                <w:iCs/>
                <w:color w:val="000000"/>
              </w:rPr>
              <w:t>67</w:t>
            </w:r>
          </w:p>
        </w:tc>
      </w:tr>
      <w:tr w:rsidR="0019088E" w:rsidRPr="004946F6" w14:paraId="1DA16962" w14:textId="77777777" w:rsidTr="00AE588A">
        <w:tc>
          <w:tcPr>
            <w:tcW w:w="4219" w:type="dxa"/>
            <w:tcBorders>
              <w:top w:val="single" w:sz="4" w:space="0" w:color="auto"/>
              <w:left w:val="nil"/>
              <w:bottom w:val="single" w:sz="4" w:space="0" w:color="auto"/>
              <w:right w:val="nil"/>
            </w:tcBorders>
          </w:tcPr>
          <w:p w14:paraId="6BB8CCC6" w14:textId="77777777" w:rsidR="0019088E" w:rsidRPr="004946F6" w:rsidRDefault="0019088E" w:rsidP="00EA0B44">
            <w:pPr>
              <w:rPr>
                <w:b/>
                <w:bCs/>
                <w:i/>
                <w:iCs/>
                <w:color w:val="000000"/>
              </w:rPr>
            </w:pPr>
            <w:r w:rsidRPr="004946F6">
              <w:rPr>
                <w:b/>
                <w:bCs/>
                <w:i/>
                <w:iCs/>
                <w:color w:val="000000"/>
              </w:rPr>
              <w:fldChar w:fldCharType="begin" w:fldLock="1"/>
            </w:r>
            <w:r w:rsidRPr="004946F6">
              <w:rPr>
                <w:b/>
                <w:bCs/>
                <w:i/>
                <w:iCs/>
                <w:color w:val="000000"/>
              </w:rPr>
              <w:instrText>ADDIN CSL_CITATION { "citationItems" : [ { "id" : "ITEM-1", "itemData" : { "DOI" : "10.1016/j.jml.2007.01.002", "ISBN" : "0749-596X", "ISSN" : "0749596X", "abstract" : "Emotional events are more organized and distinctive than neutral events. We asked whether organization and distinctiveness can account for emotionally-enhanced memory. To examine organization, we compared memory for arousing, negatively-valenced pictures, and inter-related neutral pictures. To examine distinctiveness, we manipulated list composition, and compared mixed lists, which contained emotional and neutral items, to pure lists, which contained only items of a single type and removed the relative-distinctiveness advantage of emotional items. We show that emotional memory is enhanced in immediate memory tests as long as either organization or distinctiveness is allowed to play a role. When these effects are removed, in the comparison of emotional and related neutral items in pure lists, the emotional memory advantage is eliminated. Examining the contribution of mediating cognitive factors at a behavioral and neural level is crucial if we are to understand how emotion influences memory. ?? 2007 Elsevier Inc. All rights reserved.", "author" : [ { "dropping-particle" : "", "family" : "Talmi", "given" : "Deborah", "non-dropping-particle" : "", "parse-names" : false, "suffix" : "" }, { "dropping-particle" : "", "family" : "Luk", "given" : "Betty T C", "non-dropping-particle" : "", "parse-names" : false, "suffix" : "" }, { "dropping-particle" : "", "family" : "McGarry", "given" : "Lucy M.", "non-dropping-particle" : "", "parse-names" : false, "suffix" : "" }, { "dropping-particle" : "", "family" : "Moscovitch", "given" : "Morris", "non-dropping-particle" : "", "parse-names" : false, "suffix" : "" } ], "container-title" : "Journal of Memory and Language", "id" : "ITEM-1", "issue" : "4", "issued" : { "date-parts" : [ [ "2007" ] ] }, "page" : "555-574", "title" : "The contribution of relatedness and distinctiveness to emotionally-enhanced memory", "type" : "article-journal", "volume" : "56" }, "uris" : [ "http://www.mendeley.com/documents/?uuid=9a6a0a7b-63c2-4a1c-b0eb-8121f6c33e18" ] } ], "mendeley" : { "formattedCitation" : "(Talmi, Luk, et al., 2007)", "plainTextFormattedCitation" : "(Talmi, Luk, et al., 2007)", "previouslyFormattedCitation" : "(Talmi, Luk, et al., 2007)" }, "properties" : { "noteIndex" : 0 }, "schema" : "https://github.com/citation-style-language/schema/raw/master/csl-citation.json" }</w:instrText>
            </w:r>
            <w:r w:rsidRPr="004946F6">
              <w:rPr>
                <w:b/>
                <w:bCs/>
                <w:i/>
                <w:iCs/>
                <w:color w:val="000000"/>
              </w:rPr>
              <w:fldChar w:fldCharType="separate"/>
            </w:r>
            <w:r w:rsidRPr="004946F6">
              <w:rPr>
                <w:bCs/>
                <w:iCs/>
                <w:noProof/>
                <w:color w:val="000000"/>
              </w:rPr>
              <w:t>(Talmi, Luk, et al., 2007)</w:t>
            </w:r>
            <w:r w:rsidRPr="004946F6">
              <w:rPr>
                <w:b/>
                <w:bCs/>
                <w:i/>
                <w:iCs/>
                <w:color w:val="000000"/>
              </w:rPr>
              <w:fldChar w:fldCharType="end"/>
            </w:r>
            <w:r w:rsidRPr="004946F6">
              <w:rPr>
                <w:b/>
                <w:bCs/>
                <w:i/>
                <w:iCs/>
                <w:color w:val="000000"/>
              </w:rPr>
              <w:t xml:space="preserve">(Exp 1) </w:t>
            </w:r>
          </w:p>
        </w:tc>
        <w:tc>
          <w:tcPr>
            <w:tcW w:w="1205" w:type="dxa"/>
            <w:tcBorders>
              <w:top w:val="single" w:sz="4" w:space="0" w:color="auto"/>
              <w:left w:val="nil"/>
              <w:bottom w:val="single" w:sz="4" w:space="0" w:color="auto"/>
              <w:right w:val="nil"/>
            </w:tcBorders>
          </w:tcPr>
          <w:p w14:paraId="2B94ABF6" w14:textId="77777777" w:rsidR="0019088E" w:rsidRPr="004946F6" w:rsidRDefault="0019088E" w:rsidP="00F31B5E">
            <w:pPr>
              <w:jc w:val="right"/>
              <w:rPr>
                <w:i/>
                <w:iCs/>
                <w:color w:val="000000"/>
              </w:rPr>
            </w:pPr>
            <w:r w:rsidRPr="004946F6">
              <w:rPr>
                <w:i/>
                <w:iCs/>
                <w:color w:val="000000"/>
              </w:rPr>
              <w:t>72</w:t>
            </w:r>
          </w:p>
        </w:tc>
        <w:tc>
          <w:tcPr>
            <w:tcW w:w="1205" w:type="dxa"/>
            <w:tcBorders>
              <w:top w:val="single" w:sz="4" w:space="0" w:color="auto"/>
              <w:left w:val="nil"/>
              <w:bottom w:val="single" w:sz="4" w:space="0" w:color="auto"/>
              <w:right w:val="nil"/>
            </w:tcBorders>
          </w:tcPr>
          <w:p w14:paraId="0195C2BB" w14:textId="77777777" w:rsidR="0019088E" w:rsidRPr="004946F6" w:rsidRDefault="0019088E" w:rsidP="00F31B5E">
            <w:pPr>
              <w:jc w:val="right"/>
              <w:rPr>
                <w:i/>
                <w:iCs/>
                <w:color w:val="000000"/>
              </w:rPr>
            </w:pPr>
            <w:r w:rsidRPr="004946F6">
              <w:rPr>
                <w:i/>
                <w:iCs/>
                <w:color w:val="000000"/>
              </w:rPr>
              <w:t>57</w:t>
            </w:r>
          </w:p>
        </w:tc>
        <w:tc>
          <w:tcPr>
            <w:tcW w:w="1205" w:type="dxa"/>
            <w:tcBorders>
              <w:top w:val="single" w:sz="4" w:space="0" w:color="auto"/>
              <w:left w:val="nil"/>
              <w:bottom w:val="single" w:sz="4" w:space="0" w:color="auto"/>
              <w:right w:val="nil"/>
            </w:tcBorders>
          </w:tcPr>
          <w:p w14:paraId="695C228C" w14:textId="77777777" w:rsidR="0019088E" w:rsidRPr="004946F6" w:rsidRDefault="0019088E" w:rsidP="00F31B5E">
            <w:pPr>
              <w:jc w:val="right"/>
              <w:rPr>
                <w:i/>
                <w:iCs/>
                <w:color w:val="000000"/>
              </w:rPr>
            </w:pPr>
            <w:r w:rsidRPr="004946F6">
              <w:rPr>
                <w:i/>
                <w:iCs/>
                <w:color w:val="000000"/>
              </w:rPr>
              <w:t>71</w:t>
            </w:r>
          </w:p>
        </w:tc>
        <w:tc>
          <w:tcPr>
            <w:tcW w:w="1205" w:type="dxa"/>
            <w:tcBorders>
              <w:top w:val="single" w:sz="4" w:space="0" w:color="auto"/>
              <w:left w:val="nil"/>
              <w:bottom w:val="single" w:sz="4" w:space="0" w:color="auto"/>
              <w:right w:val="nil"/>
            </w:tcBorders>
          </w:tcPr>
          <w:p w14:paraId="0EA651EB" w14:textId="77777777" w:rsidR="0019088E" w:rsidRPr="004946F6" w:rsidRDefault="0019088E" w:rsidP="00F31B5E">
            <w:pPr>
              <w:jc w:val="right"/>
              <w:rPr>
                <w:i/>
                <w:iCs/>
                <w:color w:val="000000"/>
              </w:rPr>
            </w:pPr>
            <w:r w:rsidRPr="004946F6">
              <w:rPr>
                <w:i/>
                <w:iCs/>
                <w:color w:val="000000"/>
              </w:rPr>
              <w:t>66</w:t>
            </w:r>
          </w:p>
        </w:tc>
      </w:tr>
      <w:tr w:rsidR="0019088E" w:rsidRPr="004946F6" w14:paraId="38A99095" w14:textId="77777777" w:rsidTr="00AE588A">
        <w:tc>
          <w:tcPr>
            <w:tcW w:w="4219" w:type="dxa"/>
            <w:tcBorders>
              <w:top w:val="single" w:sz="4" w:space="0" w:color="auto"/>
              <w:left w:val="nil"/>
              <w:bottom w:val="single" w:sz="4" w:space="0" w:color="auto"/>
              <w:right w:val="nil"/>
            </w:tcBorders>
          </w:tcPr>
          <w:p w14:paraId="5454933E" w14:textId="77777777" w:rsidR="0019088E" w:rsidRPr="004946F6" w:rsidRDefault="0019088E" w:rsidP="00F31B5E">
            <w:pPr>
              <w:rPr>
                <w:b/>
                <w:bCs/>
                <w:i/>
                <w:iCs/>
                <w:color w:val="000000"/>
              </w:rPr>
            </w:pPr>
            <w:r w:rsidRPr="004946F6">
              <w:rPr>
                <w:b/>
                <w:bCs/>
                <w:i/>
                <w:iCs/>
                <w:color w:val="000000"/>
              </w:rPr>
              <w:fldChar w:fldCharType="begin" w:fldLock="1"/>
            </w:r>
            <w:r w:rsidRPr="004946F6">
              <w:rPr>
                <w:b/>
                <w:bCs/>
                <w:i/>
                <w:iCs/>
                <w:color w:val="000000"/>
              </w:rPr>
              <w:instrText>ADDIN CSL_CITATION { "citationItems" : [ { "id" : "ITEM-1", "itemData" : { "DOI" : "10.1111/psyp.12211", "ISBN" : "1469-8986", "ISSN" : "14698986", "PMID" : "24673606", "abstract" : "In this study, we report evidence that neural activity reflecting the encoding of emotionally neutral information in memory is reduced when neutral and emotional stimuli are intermixed during encoding. Specifically, participants studied emotional and neutral pictures organized in mixed lists (in which emotional and neutral pictures were intermixed) or in pure lists (only-neutral or only-emotional pictures) and performed a recall test. To estimate encoding efficiency, we used the Dm effect, measured with event-related potentials. Recall for neutral items was lower in mixed compared to pure lists and posterior Dm activity for neutral items was reduced in mixed lists, whereas it remained robust in pure lists. These findings might be caused by an asymmetrical competition for attentional and working memory resources between emotional and neutral information, which could be a major determinant of emotional memory effects.", "author" : [ { "dropping-particle" : "", "family" : "Watts", "given" : "Sarah", "non-dropping-particle" : "", "parse-names" : false, "suffix" : "" }, { "dropping-particle" : "", "family" : "Buratto", "given" : "Luciano G", "non-dropping-particle" : "", "parse-names" : false, "suffix" : "" }, { "dropping-particle" : "V", "family" : "Brotherhood", "given" : "Emilie", "non-dropping-particle" : "", "parse-names" : false, "suffix" : "" }, { "dropping-particle" : "", "family" : "Barnacle", "given" : "Gemma E", "non-dropping-particle" : "", "parse-names" : false, "suffix" : "" }, { "dropping-particle" : "", "family" : "Schaefer", "given" : "Alexandre", "non-dropping-particle" : "", "parse-names" : false, "suffix" : "" } ], "container-title" : "Psychophysiology", "id" : "ITEM-1", "issue" : "7", "issued" : { "date-parts" : [ [ "2014" ] ] }, "page" : "673-684", "title" : "The neural fate of neutral information in emotion-enhanced memory", "type" : "article-journal", "volume" : "51" }, "uris" : [ "http://www.mendeley.com/documents/?uuid=4455ff35-4298-4977-9ded-ccd5615a5a17" ] } ], "mendeley" : { "formattedCitation" : "(Watts, Buratto, Brotherhood, Barnacle, &amp; Schaefer, 2014)", "plainTextFormattedCitation" : "(Watts, Buratto, Brotherhood, Barnacle, &amp; Schaefer, 2014)", "previouslyFormattedCitation" : "(Watts, Buratto, Brotherhood, Barnacle, &amp; Schaefer, 2014)" }, "properties" : { "noteIndex" : 0 }, "schema" : "https://github.com/citation-style-language/schema/raw/master/csl-citation.json" }</w:instrText>
            </w:r>
            <w:r w:rsidRPr="004946F6">
              <w:rPr>
                <w:b/>
                <w:bCs/>
                <w:i/>
                <w:iCs/>
                <w:color w:val="000000"/>
              </w:rPr>
              <w:fldChar w:fldCharType="separate"/>
            </w:r>
            <w:r w:rsidRPr="004946F6">
              <w:rPr>
                <w:bCs/>
                <w:iCs/>
                <w:noProof/>
                <w:color w:val="000000"/>
              </w:rPr>
              <w:t>(Watts, Buratto, Brotherhood, Barnacle, &amp; Schaefer, 2014)</w:t>
            </w:r>
            <w:r w:rsidRPr="004946F6">
              <w:rPr>
                <w:b/>
                <w:bCs/>
                <w:i/>
                <w:iCs/>
                <w:color w:val="000000"/>
              </w:rPr>
              <w:fldChar w:fldCharType="end"/>
            </w:r>
          </w:p>
        </w:tc>
        <w:tc>
          <w:tcPr>
            <w:tcW w:w="1205" w:type="dxa"/>
            <w:tcBorders>
              <w:top w:val="single" w:sz="4" w:space="0" w:color="auto"/>
              <w:left w:val="nil"/>
              <w:bottom w:val="single" w:sz="4" w:space="0" w:color="auto"/>
              <w:right w:val="nil"/>
            </w:tcBorders>
          </w:tcPr>
          <w:p w14:paraId="4BA185AB" w14:textId="77777777" w:rsidR="0019088E" w:rsidRPr="004946F6" w:rsidRDefault="0019088E" w:rsidP="00F31B5E">
            <w:pPr>
              <w:jc w:val="right"/>
              <w:rPr>
                <w:i/>
                <w:iCs/>
                <w:color w:val="000000"/>
              </w:rPr>
            </w:pPr>
            <w:r w:rsidRPr="004946F6">
              <w:rPr>
                <w:i/>
                <w:iCs/>
                <w:color w:val="000000"/>
              </w:rPr>
              <w:t>37</w:t>
            </w:r>
          </w:p>
        </w:tc>
        <w:tc>
          <w:tcPr>
            <w:tcW w:w="1205" w:type="dxa"/>
            <w:tcBorders>
              <w:top w:val="single" w:sz="4" w:space="0" w:color="auto"/>
              <w:left w:val="nil"/>
              <w:bottom w:val="single" w:sz="4" w:space="0" w:color="auto"/>
              <w:right w:val="nil"/>
            </w:tcBorders>
          </w:tcPr>
          <w:p w14:paraId="0E91CA4A" w14:textId="77777777" w:rsidR="0019088E" w:rsidRPr="004946F6" w:rsidRDefault="0019088E" w:rsidP="00F31B5E">
            <w:pPr>
              <w:jc w:val="right"/>
              <w:rPr>
                <w:i/>
                <w:iCs/>
                <w:color w:val="000000"/>
              </w:rPr>
            </w:pPr>
            <w:r w:rsidRPr="004946F6">
              <w:rPr>
                <w:i/>
                <w:iCs/>
                <w:color w:val="000000"/>
              </w:rPr>
              <w:t>25</w:t>
            </w:r>
          </w:p>
        </w:tc>
        <w:tc>
          <w:tcPr>
            <w:tcW w:w="1205" w:type="dxa"/>
            <w:tcBorders>
              <w:top w:val="single" w:sz="4" w:space="0" w:color="auto"/>
              <w:left w:val="nil"/>
              <w:bottom w:val="single" w:sz="4" w:space="0" w:color="auto"/>
              <w:right w:val="nil"/>
            </w:tcBorders>
          </w:tcPr>
          <w:p w14:paraId="0A0A3235" w14:textId="77777777" w:rsidR="0019088E" w:rsidRPr="004946F6" w:rsidRDefault="0019088E" w:rsidP="00F31B5E">
            <w:pPr>
              <w:jc w:val="right"/>
              <w:rPr>
                <w:i/>
                <w:iCs/>
                <w:color w:val="000000"/>
              </w:rPr>
            </w:pPr>
            <w:r w:rsidRPr="004946F6">
              <w:rPr>
                <w:i/>
                <w:iCs/>
                <w:color w:val="000000"/>
              </w:rPr>
              <w:t>35</w:t>
            </w:r>
          </w:p>
        </w:tc>
        <w:tc>
          <w:tcPr>
            <w:tcW w:w="1205" w:type="dxa"/>
            <w:tcBorders>
              <w:top w:val="single" w:sz="4" w:space="0" w:color="auto"/>
              <w:left w:val="nil"/>
              <w:bottom w:val="single" w:sz="4" w:space="0" w:color="auto"/>
              <w:right w:val="nil"/>
            </w:tcBorders>
          </w:tcPr>
          <w:p w14:paraId="4434CD02" w14:textId="77777777" w:rsidR="0019088E" w:rsidRPr="004946F6" w:rsidRDefault="0019088E" w:rsidP="00F31B5E">
            <w:pPr>
              <w:jc w:val="right"/>
              <w:rPr>
                <w:i/>
                <w:iCs/>
                <w:color w:val="000000"/>
              </w:rPr>
            </w:pPr>
            <w:r w:rsidRPr="004946F6">
              <w:rPr>
                <w:i/>
                <w:iCs/>
                <w:color w:val="000000"/>
              </w:rPr>
              <w:t>30</w:t>
            </w:r>
          </w:p>
        </w:tc>
      </w:tr>
    </w:tbl>
    <w:p w14:paraId="6815F3FA" w14:textId="50AD4C34" w:rsidR="00BD38EB" w:rsidRPr="004946F6" w:rsidRDefault="00BD38EB" w:rsidP="003508C0">
      <w:pPr>
        <w:spacing w:line="480" w:lineRule="auto"/>
        <w:jc w:val="both"/>
      </w:pPr>
      <w:r w:rsidRPr="004946F6">
        <w:rPr>
          <w:i/>
          <w:iCs/>
        </w:rPr>
        <w:t xml:space="preserve">Note. Other than when indicated, all data refers to </w:t>
      </w:r>
      <w:r w:rsidR="003508C0">
        <w:rPr>
          <w:i/>
          <w:iCs/>
        </w:rPr>
        <w:t xml:space="preserve">percentage recall in </w:t>
      </w:r>
      <w:r w:rsidRPr="004946F6">
        <w:rPr>
          <w:i/>
          <w:iCs/>
        </w:rPr>
        <w:t xml:space="preserve">free recall tests </w:t>
      </w:r>
      <w:r w:rsidR="003508C0">
        <w:rPr>
          <w:i/>
          <w:iCs/>
        </w:rPr>
        <w:t xml:space="preserve">that </w:t>
      </w:r>
      <w:r w:rsidRPr="004946F6">
        <w:rPr>
          <w:i/>
          <w:iCs/>
        </w:rPr>
        <w:t>us</w:t>
      </w:r>
      <w:r w:rsidR="003508C0">
        <w:rPr>
          <w:i/>
          <w:iCs/>
        </w:rPr>
        <w:t>ed</w:t>
      </w:r>
      <w:r w:rsidRPr="004946F6">
        <w:rPr>
          <w:i/>
          <w:iCs/>
        </w:rPr>
        <w:t xml:space="preserve"> picture stimuli. Data in the table was extracted from the figures when the averages were not reported in the text. </w:t>
      </w:r>
      <w:r w:rsidRPr="004946F6">
        <w:rPr>
          <w:i/>
          <w:iCs/>
          <w:vertAlign w:val="superscript"/>
        </w:rPr>
        <w:t xml:space="preserve">a </w:t>
      </w:r>
      <w:r w:rsidRPr="004946F6">
        <w:rPr>
          <w:i/>
          <w:iCs/>
        </w:rPr>
        <w:t xml:space="preserve">Emotional word stimuli. </w:t>
      </w:r>
      <w:r w:rsidRPr="004946F6">
        <w:rPr>
          <w:i/>
          <w:iCs/>
          <w:vertAlign w:val="superscript"/>
        </w:rPr>
        <w:t>b</w:t>
      </w:r>
      <w:r w:rsidRPr="004946F6">
        <w:rPr>
          <w:i/>
          <w:iCs/>
        </w:rPr>
        <w:t xml:space="preserve"> taboo word stimuli. </w:t>
      </w:r>
      <w:r w:rsidRPr="004946F6">
        <w:rPr>
          <w:i/>
          <w:iCs/>
          <w:vertAlign w:val="superscript"/>
        </w:rPr>
        <w:t xml:space="preserve">c </w:t>
      </w:r>
      <w:r w:rsidRPr="004946F6">
        <w:rPr>
          <w:i/>
          <w:iCs/>
        </w:rPr>
        <w:t xml:space="preserve">Corrected “Remember” responses. </w:t>
      </w:r>
      <w:r w:rsidRPr="004946F6">
        <w:rPr>
          <w:i/>
          <w:iCs/>
          <w:vertAlign w:val="superscript"/>
        </w:rPr>
        <w:t>R</w:t>
      </w:r>
      <w:r w:rsidRPr="004946F6">
        <w:rPr>
          <w:i/>
          <w:iCs/>
        </w:rPr>
        <w:t xml:space="preserve"> stimuli were controlled for semantic relatedness.</w:t>
      </w:r>
      <w:r w:rsidR="00D33DD3" w:rsidRPr="004946F6">
        <w:rPr>
          <w:i/>
          <w:iCs/>
          <w:color w:val="000000"/>
          <w:vertAlign w:val="superscript"/>
        </w:rPr>
        <w:t xml:space="preserve"> P</w:t>
      </w:r>
      <w:r w:rsidR="00D33DD3" w:rsidRPr="004946F6">
        <w:t xml:space="preserve">Arousing and non-arousing items, data kindly provided by the author. </w:t>
      </w:r>
    </w:p>
    <w:p w14:paraId="0F597637" w14:textId="77777777" w:rsidR="002229EE" w:rsidRPr="004946F6" w:rsidRDefault="002229EE" w:rsidP="00AA03AC">
      <w:pPr>
        <w:spacing w:line="480" w:lineRule="auto"/>
        <w:jc w:val="both"/>
      </w:pPr>
    </w:p>
    <w:p w14:paraId="2D3DA021" w14:textId="445921E7" w:rsidR="00ED1C16" w:rsidRPr="004946F6" w:rsidRDefault="003B3F4A">
      <w:pPr>
        <w:spacing w:line="480" w:lineRule="auto"/>
        <w:jc w:val="both"/>
      </w:pPr>
      <w:r w:rsidRPr="004946F6">
        <w:t>The emotional list</w:t>
      </w:r>
      <w:r w:rsidR="0019088E">
        <w:t>-</w:t>
      </w:r>
      <w:r w:rsidRPr="004946F6">
        <w:t>composition effect is outside the scope of the modulated</w:t>
      </w:r>
      <w:r w:rsidR="0019088E">
        <w:t>-</w:t>
      </w:r>
      <w:r w:rsidRPr="004946F6">
        <w:t xml:space="preserve">consolidation model and the emotional binding account, because it is obtained in immediate memory tests. It is also difficult to account for the effect using GANE or ABC theory because </w:t>
      </w:r>
      <w:r w:rsidR="0081616D" w:rsidRPr="004946F6">
        <w:t xml:space="preserve">of evidence that </w:t>
      </w:r>
      <w:r w:rsidRPr="004946F6">
        <w:t>emotional items receive extra attention in both mixed and pure lists</w:t>
      </w:r>
      <w:r w:rsidR="00B43157" w:rsidRPr="004946F6">
        <w:t xml:space="preserve"> </w:t>
      </w:r>
      <w:r w:rsidR="00B43157" w:rsidRPr="004946F6">
        <w:fldChar w:fldCharType="begin" w:fldLock="1"/>
      </w:r>
      <w:r w:rsidR="008C25E5" w:rsidRPr="004946F6">
        <w:instrText>ADDIN CSL_CITATION { "citationItems" : [ { "id" : "ITEM-1", "itemData" : { "abstract" : "The time scale of the effects of emotional arousal on neutral information processing is crucial for the predictions of the glutamate amplifies noradrenergic effects (GANE) model. GANE suggests that when emotional and neutral stimuli are presented in a sequence, neutral information processing will change. We review the literature on event-related potentials, including our own data set, to test this prediction.", "author" : [ { "dropping-particle" : "", "family" : "Barnacle", "given" : "Gemma E.", "non-dropping-particle" : "", "parse-names" : false, "suffix" : "" }, { "dropping-particle" : "", "family" : "Talmi", "given" : "Deborah", "non-dropping-particle" : "", "parse-names" : false, "suffix" : "" } ], "container-title" : "Behavioural Brain Research", "id" : "ITEM-1", "issued" : { "date-parts" : [ [ "2016" ] ] }, "page" : "e225", "title" : "Emotionally arousing context modulates the ERP correlates of neutral picture processing: An ERP test of the 'Glutamate Amplifies Noradrenergic Effects (GANE)' model. Commentary proposal on Mather et al.", "type" : "article-journal", "volume" : "39" }, "uris" : [ "http://www.mendeley.com/documents/?uuid=3beda3f0-c9e7-4d5b-b555-dc379faab970" ] } ], "mendeley" : { "formattedCitation" : "(Barnacle &amp; Talmi, 2016)", "plainTextFormattedCitation" : "(Barnacle &amp; Talmi, 2016)", "previouslyFormattedCitation" : "(Barnacle &amp; Talmi, 2016)" }, "properties" : { "noteIndex" : 0 }, "schema" : "https://github.com/citation-style-language/schema/raw/master/csl-citation.json" }</w:instrText>
      </w:r>
      <w:r w:rsidR="00B43157" w:rsidRPr="004946F6">
        <w:fldChar w:fldCharType="separate"/>
      </w:r>
      <w:r w:rsidR="006F002F" w:rsidRPr="004946F6">
        <w:rPr>
          <w:noProof/>
        </w:rPr>
        <w:t>(Barnacle &amp; Talmi, 2016)</w:t>
      </w:r>
      <w:r w:rsidR="00B43157" w:rsidRPr="004946F6">
        <w:fldChar w:fldCharType="end"/>
      </w:r>
      <w:r w:rsidR="0081616D" w:rsidRPr="004946F6">
        <w:t xml:space="preserve">. For example, when </w:t>
      </w:r>
      <w:r w:rsidR="00363B67" w:rsidRPr="004946F6">
        <w:t xml:space="preserve">participants viewed stimuli </w:t>
      </w:r>
      <w:r w:rsidR="0081616D" w:rsidRPr="004946F6">
        <w:t xml:space="preserve">under divided attention </w:t>
      </w:r>
      <w:r w:rsidR="00AA03AC" w:rsidRPr="004946F6">
        <w:t xml:space="preserve">their </w:t>
      </w:r>
      <w:r w:rsidR="0081616D" w:rsidRPr="004946F6">
        <w:t xml:space="preserve">performance on the concurrent auditory choice reaction time task was </w:t>
      </w:r>
      <w:r w:rsidR="00AA03AC" w:rsidRPr="004946F6">
        <w:t>poorer</w:t>
      </w:r>
      <w:r w:rsidR="0081616D" w:rsidRPr="004946F6">
        <w:t xml:space="preserve"> when </w:t>
      </w:r>
      <w:r w:rsidR="0019088E">
        <w:t>stimuli were</w:t>
      </w:r>
      <w:r w:rsidR="0081616D" w:rsidRPr="004946F6">
        <w:t xml:space="preserve"> emotional in both pure and mixed lists </w:t>
      </w:r>
      <w:r w:rsidR="00DB2C0A" w:rsidRPr="004946F6">
        <w:fldChar w:fldCharType="begin" w:fldLock="1"/>
      </w:r>
      <w:r w:rsidR="008C25E5" w:rsidRPr="004946F6">
        <w:instrText>ADDIN CSL_CITATION { "citationItems" : [ { "id" : "ITEM-1", "itemData" : { "DOI" : "10.1016/j.jml.2011.07.009", "ISBN" : "0749-596X", "ISSN" : "0749596X", "abstract" : "Memory for emotional events is usually very good even when tested shortly after study, before it is altered by the influence of emotional arousal on consolidation. Immediate emotion-enhanced memory may stem from the influence of emotion on cognitive processes at encoding and retrieval. Our goal was to test which cognitive factors are necessary and sufficient to account for EEM, with a specific focus on clarifying the contribution of attention to this effect. In two experiments, participants encoded negative-arousing and neutral pictures. In Experiment 1, under divided-attention conditions, negative pictures were better attended and recalled even when they were matched with neutral pictures on semantic relatedness and distinctiveness, and attention at encoding predicted subsequent emotion-enhanced memory. The memory advantage for emotional stimuli was only abolished when attention to emotional and neutral stimuli was also matched, under full-attention in Experiment 1 and under divided-attention in Experiment 2. Emotional memory enhancement was larger in Experiment 1 when the control of organization and distinctiveness was relaxed. These findings suggest that attention, organization and distinctiveness provide a necessary and sufficient account for immediate emotion-enhanced free recall memory. \u00a9 2011 Elsevier Inc.", "author" : [ { "dropping-particle" : "", "family" : "Talmi", "given" : "Deborah", "non-dropping-particle" : "", "parse-names" : false, "suffix" : "" }, { "dropping-particle" : "", "family" : "McGarry", "given" : "Lucy M.", "non-dropping-particle" : "", "parse-names" : false, "suffix" : "" } ], "container-title" : "Journal of Memory and Language", "id" : "ITEM-1", "issue" : "1", "issued" : { "date-parts" : [ [ "2012" ] ] }, "page" : "93-108", "publisher" : "Elsevier Inc.", "title" : "Accounting for immediate emotional memory enhancement", "type" : "article-journal", "volume" : "66" }, "uris" : [ "http://www.mendeley.com/documents/?uuid=97f0e13d-8640-4b52-b53c-49419fe1f6a8" ] } ], "mendeley" : { "formattedCitation" : "(Talmi &amp; McGarry, 2012)", "plainTextFormattedCitation" : "(Talmi &amp; McGarry, 2012)", "previouslyFormattedCitation" : "(Talmi &amp; McGarry, 2012)" }, "properties" : { "noteIndex" : 0 }, "schema" : "https://github.com/citation-style-language/schema/raw/master/csl-citation.json" }</w:instrText>
      </w:r>
      <w:r w:rsidR="00DB2C0A" w:rsidRPr="004946F6">
        <w:fldChar w:fldCharType="separate"/>
      </w:r>
      <w:r w:rsidR="00DB2C0A" w:rsidRPr="004946F6">
        <w:rPr>
          <w:noProof/>
        </w:rPr>
        <w:t>(Talmi &amp; McGarry, 2012)</w:t>
      </w:r>
      <w:r w:rsidR="00DB2C0A" w:rsidRPr="004946F6">
        <w:fldChar w:fldCharType="end"/>
      </w:r>
      <w:r w:rsidR="0081616D" w:rsidRPr="004946F6">
        <w:t xml:space="preserve">. In another study EEG was recorded </w:t>
      </w:r>
      <w:r w:rsidR="0019088E">
        <w:t xml:space="preserve">during </w:t>
      </w:r>
      <w:r w:rsidR="0081616D" w:rsidRPr="004946F6">
        <w:t>encod</w:t>
      </w:r>
      <w:r w:rsidR="0019088E">
        <w:t>ing</w:t>
      </w:r>
      <w:r w:rsidR="0081616D" w:rsidRPr="004946F6">
        <w:t>. Electrophysiological markers of attention and working memory were increased when participants viewed emotional</w:t>
      </w:r>
      <w:r w:rsidR="0019088E">
        <w:t xml:space="preserve"> stimuli</w:t>
      </w:r>
      <w:r w:rsidR="00AA03AC" w:rsidRPr="004946F6">
        <w:t xml:space="preserve"> in both pure and mixed lists</w:t>
      </w:r>
      <w:r w:rsidR="0081616D" w:rsidRPr="004946F6">
        <w:t xml:space="preserve"> </w:t>
      </w:r>
      <w:r w:rsidR="005D34EB" w:rsidRPr="004946F6">
        <w:fldChar w:fldCharType="begin" w:fldLock="1"/>
      </w:r>
      <w:r w:rsidR="008C25E5" w:rsidRPr="004946F6">
        <w:instrText>ADDIN CSL_CITATION { "citationItems" : [ { "id" : "ITEM-1", "itemData" : { "DOI" : "10.1111/psyp.13014", "ISSN" : "00485772", "author" : [ { "dropping-particle" : "", "family" : "Barnacle", "given" : "Gemma E", "non-dropping-particle" : "", "parse-names" : false, "suffix" : "" }, { "dropping-particle" : "", "family" : "Tsivilis", "given" : "Dimitris", "non-dropping-particle" : "", "parse-names" : false, "suffix" : "" }, { "dropping-particle" : "", "family" : "Schaefer", "given" : "Alexandre", "non-dropping-particle" : "", "parse-names" : false, "suffix" : "" }, { "dropping-particle" : "", "family" : "Talmi", "given" : "Deborah", "non-dropping-particle" : "", "parse-names" : false, "suffix" : "" } ], "container-title" : "Psychophysiology", "id" : "ITEM-1", "issue" : "0161", "issued" : { "date-parts" : [ [ "2018" ] ] }, "page" : "1-35", "title" : "Local context influences memory for emotional stimuli but not electrophysiological markers of emotion-dependent attention.", "type" : "article-journal" }, "uris" : [ "http://www.mendeley.com/documents/?uuid=cb6744e5-43fc-4a9e-8dc9-c2e92972a1a6", "http://www.mendeley.com/documents/?uuid=e1b8ea2c-930a-44a5-9b28-1ad221f15cb2" ] } ], "mendeley" : { "formattedCitation" : "(Barnacle, Tsivilis, Schaefer, &amp; Talmi, 2018)", "plainTextFormattedCitation" : "(Barnacle, Tsivilis, Schaefer, &amp; Talmi, 2018)", "previouslyFormattedCitation" : "(Barnacle, Tsivilis, Schaefer, &amp; Talmi, 2018)" }, "properties" : { "noteIndex" : 0 }, "schema" : "https://github.com/citation-style-language/schema/raw/master/csl-citation.json" }</w:instrText>
      </w:r>
      <w:r w:rsidR="005D34EB" w:rsidRPr="004946F6">
        <w:fldChar w:fldCharType="separate"/>
      </w:r>
      <w:r w:rsidR="006F002F" w:rsidRPr="004946F6">
        <w:rPr>
          <w:noProof/>
        </w:rPr>
        <w:t>(Barnacle, Tsivilis, Schaefer, &amp; Talmi, 2018)</w:t>
      </w:r>
      <w:r w:rsidR="005D34EB" w:rsidRPr="004946F6">
        <w:fldChar w:fldCharType="end"/>
      </w:r>
      <w:r w:rsidR="0081616D" w:rsidRPr="004946F6">
        <w:t xml:space="preserve">. </w:t>
      </w:r>
      <w:r w:rsidR="0092153A" w:rsidRPr="004946F6">
        <w:t>In these studies list composition did not modulate attention t</w:t>
      </w:r>
      <w:r w:rsidR="00AA03AC" w:rsidRPr="004946F6">
        <w:t>owards</w:t>
      </w:r>
      <w:r w:rsidR="0092153A" w:rsidRPr="004946F6">
        <w:t xml:space="preserve"> emotional stimuli</w:t>
      </w:r>
      <w:r w:rsidR="00AA03AC" w:rsidRPr="004946F6">
        <w:t>.</w:t>
      </w:r>
      <w:r w:rsidR="006E738D" w:rsidRPr="004946F6">
        <w:t xml:space="preserve"> </w:t>
      </w:r>
      <w:r w:rsidR="00AA03AC" w:rsidRPr="004946F6">
        <w:t>I</w:t>
      </w:r>
      <w:r w:rsidR="005D34EB" w:rsidRPr="004946F6">
        <w:t xml:space="preserve">ndeed, this appears to be a common feature across list composition manipulations </w:t>
      </w:r>
      <w:r w:rsidR="005D34EB" w:rsidRPr="004946F6">
        <w:fldChar w:fldCharType="begin" w:fldLock="1"/>
      </w:r>
      <w:r w:rsidR="008C25E5" w:rsidRPr="004946F6">
        <w:instrText>ADDIN CSL_CITATION { "citationItems" : [ { "id" : "ITEM-1", "itemData" : { "DOI" : "10.3758/PBR.15.2.237", "ISBN" : "1069-9384", "ISSN" : "1069-9384", "PMID" : "18488637", "abstract" : "In mixed lists, stable free recall advantages are observed for encoding conditions that are unusual, bizarre, or attract extensive individual item elaboration relative to more common encoding conditions; but this recall advantage is often eliminated or reversed in pure lists. We attempt to explain this ubiquitous memory puzzle with an item-order account that assumes that (1) free recall of unrelated lists depends on order and item information; (2) unusual items attract greater individual item-processing but disrupt order encoding regardless of list composition; and (3) list composition determines differences in order encoding across unusual and common items. We show that the item-order account provides a unifying explanation of five memory phenomena for which the requisite data exist. The account also successfully anticipates pure-list reversals, in which the standard mixed-list recall pattern is obtained in pure, structured lists, a finding that competing accounts cannot handle. Extending the item-order account to other \"established\" recall phenomena may prove fruitful.", "author" : [ { "dropping-particle" : "", "family" : "McDaniel", "given" : "Mark A.", "non-dropping-particle" : "", "parse-names" : false, "suffix" : "" }, { "dropping-particle" : "", "family" : "Bugg", "given" : "Julie M.", "non-dropping-particle" : "", "parse-names" : false, "suffix" : "" } ], "container-title" : "Psychonomic Bulletin &amp; Review", "id" : "ITEM-1", "issue" : "2", "issued" : { "date-parts" : [ [ "2008" ] ] }, "page" : "237-255", "title" : "Instability in memory phenomena: A common puzzle and a unifying explanation", "type" : "article-journal", "volume" : "15" }, "uris" : [ "http://www.mendeley.com/documents/?uuid=9d9a4071-4b55-43cb-a5b2-872f30dd9e8c" ] } ], "mendeley" : { "formattedCitation" : "(McDaniel &amp; Bugg, 2008)", "manualFormatting" : "(reviewed in McDaniel &amp; Bugg, 2008)", "plainTextFormattedCitation" : "(McDaniel &amp; Bugg, 2008)", "previouslyFormattedCitation" : "(McDaniel &amp; Bugg, 2008)" }, "properties" : { "noteIndex" : 0 }, "schema" : "https://github.com/citation-style-language/schema/raw/master/csl-citation.json" }</w:instrText>
      </w:r>
      <w:r w:rsidR="005D34EB" w:rsidRPr="004946F6">
        <w:fldChar w:fldCharType="separate"/>
      </w:r>
      <w:r w:rsidR="005D34EB" w:rsidRPr="004946F6">
        <w:rPr>
          <w:noProof/>
        </w:rPr>
        <w:t>(</w:t>
      </w:r>
      <w:r w:rsidR="005516D2" w:rsidRPr="004946F6">
        <w:rPr>
          <w:noProof/>
        </w:rPr>
        <w:t>revi</w:t>
      </w:r>
      <w:r w:rsidR="00363B67" w:rsidRPr="004946F6">
        <w:rPr>
          <w:noProof/>
        </w:rPr>
        <w:t>e</w:t>
      </w:r>
      <w:r w:rsidR="005516D2" w:rsidRPr="004946F6">
        <w:rPr>
          <w:noProof/>
        </w:rPr>
        <w:t xml:space="preserve">wed in </w:t>
      </w:r>
      <w:r w:rsidR="005D34EB" w:rsidRPr="004946F6">
        <w:rPr>
          <w:noProof/>
        </w:rPr>
        <w:t>McDaniel &amp; Bugg, 2008)</w:t>
      </w:r>
      <w:r w:rsidR="005D34EB" w:rsidRPr="004946F6">
        <w:fldChar w:fldCharType="end"/>
      </w:r>
      <w:r w:rsidR="005D34EB" w:rsidRPr="004946F6">
        <w:t xml:space="preserve">. </w:t>
      </w:r>
      <w:r w:rsidR="0092153A" w:rsidRPr="004946F6">
        <w:t xml:space="preserve">Furthermore, in a study where we scanned participants with fMRI during encoding in the emotional list-composition paradigm we found no evidence for reduced attention to neutral stimuli or increased attention to emotional stimuli in mixed, compared to pure lists </w:t>
      </w:r>
      <w:r w:rsidR="0092153A" w:rsidRPr="004946F6">
        <w:fldChar w:fldCharType="begin" w:fldLock="1"/>
      </w:r>
      <w:r w:rsidR="008C25E5" w:rsidRPr="004946F6">
        <w:instrText>ADDIN CSL_CITATION { "citationItems" : [ { "id" : "ITEM-1", "itemData" : { "DOI" : "10.1016/j.neuropsychologia.2016.06.023", "ISSN" : "00283932", "author" : [ { "dropping-particle" : "", "family" : "Barnacle", "given" : "Gemma E", "non-dropping-particle" : "", "parse-names" : false, "suffix" : "" }, { "dropping-particle" : "", "family" : "Montaldi", "given" : "Daniela", "non-dropping-particle" : "", "parse-names" : false, "suffix" : "" }, { "dropping-particle" : "", "family" : "Talmi", "given" : "Deborah", "non-dropping-particle" : "", "parse-names" : false, "suffix" : "" }, { "dropping-particle" : "", "family" : "Sommer", "given" : "Tobias", "non-dropping-particle" : "", "parse-names" : false, "suffix" : "" } ], "container-title" : "Neuropsychologia", "id" : "ITEM-1", "issued" : { "date-parts" : [ [ "2016" ] ] }, "page" : "125-135", "publisher" : "Elsevier", "title" : "The list-composition effect in memory for emotional and neutral pictures: Differential contribution of ventral and dorsal attention networks to successful encoding", "type" : "article-journal", "volume" : "90" }, "uris" : [ "http://www.mendeley.com/documents/?uuid=06606f95-aff3-469c-a366-c90f8d2ca662" ] } ], "mendeley" : { "formattedCitation" : "(Barnacle et al., 2016)", "manualFormatting" : "(Barnacle et al., 2016)", "plainTextFormattedCitation" : "(Barnacle et al., 2016)", "previouslyFormattedCitation" : "(Barnacle et al., 2016)" }, "properties" : { "noteIndex" : 0 }, "schema" : "https://github.com/citation-style-language/schema/raw/master/csl-citation.json" }</w:instrText>
      </w:r>
      <w:r w:rsidR="0092153A" w:rsidRPr="004946F6">
        <w:fldChar w:fldCharType="separate"/>
      </w:r>
      <w:r w:rsidR="00AA03AC" w:rsidRPr="004946F6">
        <w:rPr>
          <w:noProof/>
        </w:rPr>
        <w:t>(Barnacle et al., 2016)</w:t>
      </w:r>
      <w:r w:rsidR="0092153A" w:rsidRPr="004946F6">
        <w:fldChar w:fldCharType="end"/>
      </w:r>
      <w:r w:rsidR="0092153A" w:rsidRPr="004946F6">
        <w:t xml:space="preserve">. </w:t>
      </w:r>
      <w:r w:rsidR="00AA03AC" w:rsidRPr="004946F6">
        <w:t xml:space="preserve">These empirical findings motivated us to assume, in Simulations 1-2, that increases in attention to emotional compared to neutral items were equivalent in magnitude across pure and mixed lists. </w:t>
      </w:r>
      <w:r w:rsidR="007E36CD" w:rsidRPr="004946F6">
        <w:t>Taken together, b</w:t>
      </w:r>
      <w:r w:rsidR="00191369" w:rsidRPr="004946F6">
        <w:t xml:space="preserve">ecause emotional stimuli are </w:t>
      </w:r>
      <w:r w:rsidR="0019088E">
        <w:t xml:space="preserve">atypical, and because they are attended and </w:t>
      </w:r>
      <w:r w:rsidR="00191369" w:rsidRPr="004946F6">
        <w:t xml:space="preserve">elaborated </w:t>
      </w:r>
      <w:r w:rsidR="0019088E">
        <w:t xml:space="preserve">more </w:t>
      </w:r>
      <w:r w:rsidR="00191369" w:rsidRPr="004946F6">
        <w:t>than neutral stimuli</w:t>
      </w:r>
      <w:r w:rsidR="0019088E">
        <w:t>;</w:t>
      </w:r>
      <w:r w:rsidR="007E36CD" w:rsidRPr="004946F6">
        <w:t xml:space="preserve"> and because </w:t>
      </w:r>
      <w:r w:rsidR="0019088E">
        <w:t xml:space="preserve">atypical </w:t>
      </w:r>
      <w:r w:rsidR="007E36CD" w:rsidRPr="004946F6">
        <w:t>stimuli produce list</w:t>
      </w:r>
      <w:r w:rsidR="0019088E">
        <w:t>-</w:t>
      </w:r>
      <w:r w:rsidR="007E36CD" w:rsidRPr="004946F6">
        <w:t xml:space="preserve">composition effects even when they are not emotional, all </w:t>
      </w:r>
      <w:r w:rsidR="00191369" w:rsidRPr="004946F6">
        <w:t>list composition effect</w:t>
      </w:r>
      <w:r w:rsidR="00483D10" w:rsidRPr="004946F6">
        <w:t>s</w:t>
      </w:r>
      <w:r w:rsidR="00191369" w:rsidRPr="004946F6">
        <w:t xml:space="preserve"> </w:t>
      </w:r>
      <w:r w:rsidR="007E36CD" w:rsidRPr="004946F6">
        <w:t xml:space="preserve">may share some of their mechanisms. </w:t>
      </w:r>
      <w:r w:rsidR="00191369" w:rsidRPr="004946F6">
        <w:t xml:space="preserve">By contrast, </w:t>
      </w:r>
      <w:r w:rsidR="007E36CD" w:rsidRPr="004946F6">
        <w:t>the emotional list</w:t>
      </w:r>
      <w:r w:rsidR="0019088E">
        <w:t>-</w:t>
      </w:r>
      <w:r w:rsidR="007E36CD" w:rsidRPr="004946F6">
        <w:t xml:space="preserve">composition effect </w:t>
      </w:r>
      <w:r w:rsidR="00191369" w:rsidRPr="004946F6">
        <w:t xml:space="preserve">is probably less related to the list-strength effect, which </w:t>
      </w:r>
      <w:r w:rsidR="007E36CD" w:rsidRPr="004946F6">
        <w:t xml:space="preserve">depends on spaced repetition but </w:t>
      </w:r>
      <w:r w:rsidR="00191369" w:rsidRPr="004946F6">
        <w:t>is unaffected by elaboration.</w:t>
      </w:r>
    </w:p>
    <w:p w14:paraId="75542335" w14:textId="34803443" w:rsidR="008A707D" w:rsidRPr="004946F6" w:rsidRDefault="00ED1C16">
      <w:pPr>
        <w:spacing w:line="480" w:lineRule="auto"/>
        <w:jc w:val="both"/>
      </w:pPr>
      <w:r w:rsidRPr="004946F6">
        <w:t xml:space="preserve">Below </w:t>
      </w:r>
      <w:r w:rsidR="008A707D" w:rsidRPr="004946F6">
        <w:t xml:space="preserve">we </w:t>
      </w:r>
      <w:r w:rsidRPr="004946F6">
        <w:t>describe</w:t>
      </w:r>
      <w:r w:rsidR="001C78B8" w:rsidRPr="004946F6">
        <w:t xml:space="preserve"> </w:t>
      </w:r>
      <w:r w:rsidR="0045664D" w:rsidRPr="004946F6">
        <w:t xml:space="preserve">two </w:t>
      </w:r>
      <w:r w:rsidR="001C78B8" w:rsidRPr="004946F6">
        <w:t>ways of operationalising the impact of emotion on CMR</w:t>
      </w:r>
      <w:r w:rsidR="008A707D" w:rsidRPr="004946F6">
        <w:t xml:space="preserve"> based on the considerations discussed </w:t>
      </w:r>
      <w:r w:rsidR="0019088E">
        <w:t>thus far</w:t>
      </w:r>
      <w:r w:rsidR="001C78B8" w:rsidRPr="004946F6">
        <w:t xml:space="preserve">. </w:t>
      </w:r>
      <w:r w:rsidR="008A707D" w:rsidRPr="004946F6">
        <w:t>The test for each model variant is its ability to mimic qualitatively the empirical pattern of results depicted in</w:t>
      </w:r>
      <w:r w:rsidR="00236C21" w:rsidRPr="004946F6">
        <w:t xml:space="preserve"> </w:t>
      </w:r>
      <w:r w:rsidR="00CE1300" w:rsidRPr="004946F6">
        <w:fldChar w:fldCharType="begin"/>
      </w:r>
      <w:r w:rsidR="00CE1300" w:rsidRPr="004946F6">
        <w:instrText xml:space="preserve"> REF Figure3 \h </w:instrText>
      </w:r>
      <w:r w:rsidR="00AC0EC8" w:rsidRPr="004946F6">
        <w:instrText xml:space="preserve"> \* MERGEFORMAT </w:instrText>
      </w:r>
      <w:r w:rsidR="00CE1300" w:rsidRPr="004946F6">
        <w:fldChar w:fldCharType="separate"/>
      </w:r>
      <w:r w:rsidR="00CE1300" w:rsidRPr="004946F6">
        <w:rPr>
          <w:b/>
          <w:bCs/>
          <w:i/>
          <w:iCs/>
        </w:rPr>
        <w:t>Figure 3</w:t>
      </w:r>
      <w:r w:rsidR="00CE1300" w:rsidRPr="004946F6">
        <w:fldChar w:fldCharType="end"/>
      </w:r>
      <w:r w:rsidR="008A707D" w:rsidRPr="004946F6">
        <w:t xml:space="preserve">, rather than reproduce the numbers themselves. </w:t>
      </w:r>
      <w:r w:rsidR="00235E4A" w:rsidRPr="004946F6">
        <w:t xml:space="preserve">Specifically, we were looking to capture the interaction between emotion and list composition, where emotion enhances recall in mixed but not pure lists. </w:t>
      </w:r>
      <w:r w:rsidRPr="004946F6">
        <w:t xml:space="preserve">After we describe the simulations of </w:t>
      </w:r>
      <w:r w:rsidR="008A707D" w:rsidRPr="004946F6">
        <w:t>average recall</w:t>
      </w:r>
      <w:r w:rsidRPr="004946F6">
        <w:t xml:space="preserve"> we</w:t>
      </w:r>
      <w:r w:rsidR="008A707D" w:rsidRPr="004946F6">
        <w:t xml:space="preserve"> describe </w:t>
      </w:r>
      <w:r w:rsidR="006F378E">
        <w:t xml:space="preserve">recall </w:t>
      </w:r>
      <w:r w:rsidR="008A707D" w:rsidRPr="004946F6">
        <w:t>dynamics</w:t>
      </w:r>
      <w:r w:rsidR="001C78B8" w:rsidRPr="004946F6">
        <w:t xml:space="preserve">, </w:t>
      </w:r>
      <w:r w:rsidR="0054028F" w:rsidRPr="004946F6">
        <w:t>and then</w:t>
      </w:r>
      <w:r w:rsidR="001C78B8" w:rsidRPr="004946F6">
        <w:t xml:space="preserve"> additional empirical data that supports the conclusion that the emotional list composition effect </w:t>
      </w:r>
      <w:r w:rsidR="002D19F3" w:rsidRPr="004946F6">
        <w:t xml:space="preserve">depends on </w:t>
      </w:r>
      <w:r w:rsidR="006D230C" w:rsidRPr="004946F6">
        <w:t xml:space="preserve">multiple </w:t>
      </w:r>
      <w:r w:rsidR="002D19F3" w:rsidRPr="004946F6">
        <w:t>aspect</w:t>
      </w:r>
      <w:r w:rsidR="006D230C" w:rsidRPr="004946F6">
        <w:t>s</w:t>
      </w:r>
      <w:r w:rsidR="002D19F3" w:rsidRPr="004946F6">
        <w:t xml:space="preserve"> of </w:t>
      </w:r>
      <w:r w:rsidR="006D230C" w:rsidRPr="004946F6">
        <w:t xml:space="preserve">encoding and </w:t>
      </w:r>
      <w:r w:rsidR="002D19F3" w:rsidRPr="004946F6">
        <w:t>retrieval dynamics</w:t>
      </w:r>
      <w:r w:rsidR="008A707D" w:rsidRPr="004946F6">
        <w:t>.</w:t>
      </w:r>
    </w:p>
    <w:p w14:paraId="66412F71" w14:textId="255A35E4" w:rsidR="0081616D" w:rsidRPr="004946F6" w:rsidRDefault="008A707D" w:rsidP="00C00A77">
      <w:pPr>
        <w:spacing w:line="480" w:lineRule="auto"/>
        <w:jc w:val="both"/>
        <w:rPr>
          <w:b/>
          <w:bCs/>
        </w:rPr>
      </w:pPr>
      <w:r w:rsidRPr="004946F6">
        <w:rPr>
          <w:b/>
          <w:bCs/>
        </w:rPr>
        <w:t>2</w:t>
      </w:r>
      <w:r w:rsidR="0081616D" w:rsidRPr="004946F6">
        <w:rPr>
          <w:b/>
          <w:bCs/>
        </w:rPr>
        <w:t>.</w:t>
      </w:r>
      <w:r w:rsidR="001C78B8" w:rsidRPr="004946F6">
        <w:rPr>
          <w:b/>
          <w:bCs/>
        </w:rPr>
        <w:t>1</w:t>
      </w:r>
      <w:r w:rsidR="0081616D" w:rsidRPr="004946F6">
        <w:rPr>
          <w:b/>
          <w:bCs/>
        </w:rPr>
        <w:t xml:space="preserve"> </w:t>
      </w:r>
      <w:r w:rsidR="00C00A77" w:rsidRPr="004946F6">
        <w:rPr>
          <w:b/>
          <w:bCs/>
        </w:rPr>
        <w:t>A description of the e</w:t>
      </w:r>
      <w:r w:rsidR="00832FB8" w:rsidRPr="004946F6">
        <w:rPr>
          <w:b/>
          <w:bCs/>
        </w:rPr>
        <w:t>mpirical</w:t>
      </w:r>
      <w:r w:rsidR="007D3FE6" w:rsidRPr="004946F6">
        <w:rPr>
          <w:b/>
          <w:bCs/>
        </w:rPr>
        <w:t xml:space="preserve"> </w:t>
      </w:r>
      <w:r w:rsidR="00832FB8" w:rsidRPr="004946F6">
        <w:rPr>
          <w:b/>
          <w:bCs/>
        </w:rPr>
        <w:t>data</w:t>
      </w:r>
      <w:r w:rsidR="00C00A77" w:rsidRPr="004946F6">
        <w:rPr>
          <w:b/>
          <w:bCs/>
        </w:rPr>
        <w:t xml:space="preserve"> from Talmi et al., 2007</w:t>
      </w:r>
    </w:p>
    <w:p w14:paraId="6DC5E0C2" w14:textId="52357F63" w:rsidR="00D240E6" w:rsidRPr="004946F6" w:rsidRDefault="0081616D" w:rsidP="00040F02">
      <w:pPr>
        <w:spacing w:line="480" w:lineRule="auto"/>
        <w:jc w:val="both"/>
      </w:pPr>
      <w:r w:rsidRPr="004946F6">
        <w:t>W</w:t>
      </w:r>
      <w:r w:rsidR="005B57C7" w:rsidRPr="004946F6">
        <w:t>e simulated the average recall data from the emotional and related-neu</w:t>
      </w:r>
      <w:r w:rsidR="00CB1578" w:rsidRPr="004946F6">
        <w:t>t</w:t>
      </w:r>
      <w:r w:rsidR="005B57C7" w:rsidRPr="004946F6">
        <w:t xml:space="preserve">ral conditions in Talmi et al., 2007, Experiment 2. </w:t>
      </w:r>
      <w:r w:rsidR="00F83338" w:rsidRPr="004946F6">
        <w:t xml:space="preserve">Details of the methods of that experiment are presented in </w:t>
      </w:r>
      <w:r w:rsidR="005625B9" w:rsidRPr="004946F6">
        <w:fldChar w:fldCharType="begin"/>
      </w:r>
      <w:r w:rsidR="005625B9" w:rsidRPr="004946F6">
        <w:instrText xml:space="preserve"> REF Appendix1 \h </w:instrText>
      </w:r>
      <w:r w:rsidR="00AC0EC8" w:rsidRPr="004946F6">
        <w:instrText xml:space="preserve"> \* MERGEFORMAT </w:instrText>
      </w:r>
      <w:r w:rsidR="005625B9" w:rsidRPr="004946F6">
        <w:fldChar w:fldCharType="separate"/>
      </w:r>
      <w:r w:rsidR="005625B9" w:rsidRPr="004946F6">
        <w:rPr>
          <w:b/>
          <w:bCs/>
          <w:caps/>
          <w:noProof/>
          <w:lang w:eastAsia="en-GB" w:bidi="he-IL"/>
        </w:rPr>
        <w:t>Appendix 1</w:t>
      </w:r>
      <w:r w:rsidR="005625B9" w:rsidRPr="004946F6">
        <w:fldChar w:fldCharType="end"/>
      </w:r>
      <w:r w:rsidR="00F83338" w:rsidRPr="004946F6">
        <w:t xml:space="preserve">. </w:t>
      </w:r>
      <w:r w:rsidR="00666A78" w:rsidRPr="004946F6">
        <w:t xml:space="preserve">The semantic coherence of the stimuli used in that experiment was matched </w:t>
      </w:r>
      <w:r w:rsidR="00F83338" w:rsidRPr="004946F6">
        <w:t xml:space="preserve">by selecting neutral items that depicted domestic scenes, and </w:t>
      </w:r>
      <w:r w:rsidR="00040F02" w:rsidRPr="004946F6">
        <w:t xml:space="preserve">selecting emotional and neutral stimuli </w:t>
      </w:r>
      <w:r w:rsidR="00F83338" w:rsidRPr="004946F6">
        <w:t>match</w:t>
      </w:r>
      <w:r w:rsidR="00040F02" w:rsidRPr="004946F6">
        <w:t>ed on</w:t>
      </w:r>
      <w:r w:rsidR="00F83338" w:rsidRPr="004946F6">
        <w:t xml:space="preserve"> their </w:t>
      </w:r>
      <w:r w:rsidR="00040F02" w:rsidRPr="004946F6">
        <w:t>average inter-</w:t>
      </w:r>
      <w:r w:rsidR="00F83338" w:rsidRPr="004946F6">
        <w:t>relatedness</w:t>
      </w:r>
      <w:r w:rsidR="00040F02" w:rsidRPr="004946F6">
        <w:t xml:space="preserve"> based on a separate rating study</w:t>
      </w:r>
      <w:r w:rsidR="00666A78" w:rsidRPr="004946F6">
        <w:t xml:space="preserve">. </w:t>
      </w:r>
    </w:p>
    <w:p w14:paraId="5B4C6318" w14:textId="08C0B3CB" w:rsidR="00FC35C8" w:rsidRPr="004946F6" w:rsidRDefault="003F350C">
      <w:pPr>
        <w:spacing w:line="480" w:lineRule="auto"/>
        <w:jc w:val="both"/>
      </w:pPr>
      <w:r w:rsidRPr="004946F6">
        <w:t xml:space="preserve">The results of this experiment, which are depicted in </w:t>
      </w:r>
      <w:r w:rsidR="00CE1300" w:rsidRPr="004946F6">
        <w:fldChar w:fldCharType="begin"/>
      </w:r>
      <w:r w:rsidR="00CE1300" w:rsidRPr="004946F6">
        <w:instrText xml:space="preserve"> REF Figure3 \h </w:instrText>
      </w:r>
      <w:r w:rsidR="00AC0EC8" w:rsidRPr="004946F6">
        <w:instrText xml:space="preserve"> \* MERGEFORMAT </w:instrText>
      </w:r>
      <w:r w:rsidR="00CE1300" w:rsidRPr="004946F6">
        <w:fldChar w:fldCharType="separate"/>
      </w:r>
      <w:r w:rsidR="00CE1300" w:rsidRPr="004946F6">
        <w:rPr>
          <w:b/>
          <w:bCs/>
          <w:i/>
          <w:iCs/>
        </w:rPr>
        <w:t>Figure 3</w:t>
      </w:r>
      <w:r w:rsidR="00CE1300" w:rsidRPr="004946F6">
        <w:fldChar w:fldCharType="end"/>
      </w:r>
      <w:r w:rsidRPr="004946F6">
        <w:t xml:space="preserve">, produced the pattern we refer to in this paper as the emotional list-composition effect. Emotional stimuli were recalled better than neutral </w:t>
      </w:r>
      <w:r w:rsidR="00040F02" w:rsidRPr="004946F6">
        <w:t>ones</w:t>
      </w:r>
      <w:r w:rsidRPr="004946F6">
        <w:t xml:space="preserve"> in the mixed list condition, but their advantage was diminished, and here non-significant, in the pure</w:t>
      </w:r>
      <w:r w:rsidR="00AF11F2">
        <w:t>-</w:t>
      </w:r>
      <w:r w:rsidRPr="004946F6">
        <w:t>list condition. The pure</w:t>
      </w:r>
      <w:r w:rsidR="00AF11F2">
        <w:t>-</w:t>
      </w:r>
      <w:r w:rsidRPr="004946F6">
        <w:t>list condition</w:t>
      </w:r>
      <w:r w:rsidR="00D80158" w:rsidRPr="004946F6">
        <w:t>, which is rarely employed in research on emotional memory,</w:t>
      </w:r>
      <w:r w:rsidRPr="004946F6">
        <w:t xml:space="preserve"> </w:t>
      </w:r>
      <w:r w:rsidR="00D80158" w:rsidRPr="004946F6">
        <w:t>offers</w:t>
      </w:r>
      <w:r w:rsidRPr="004946F6">
        <w:t xml:space="preserve"> a unique insight about the mixed-list results. </w:t>
      </w:r>
      <w:r w:rsidR="00AF11F2">
        <w:t>Essentially</w:t>
      </w:r>
      <w:r w:rsidR="00982C7D" w:rsidRPr="004946F6">
        <w:t xml:space="preserve">, the pure list condition could be considered a control condition, against which the mixed list condition </w:t>
      </w:r>
      <w:r w:rsidR="00D80158" w:rsidRPr="004946F6">
        <w:t>c</w:t>
      </w:r>
      <w:r w:rsidR="00982C7D" w:rsidRPr="004946F6">
        <w:t>ould be interpreted. Described in this way</w:t>
      </w:r>
      <w:r w:rsidRPr="004946F6">
        <w:t xml:space="preserve">, the </w:t>
      </w:r>
      <w:r w:rsidR="00D80158" w:rsidRPr="004946F6">
        <w:t xml:space="preserve">data suggest that the </w:t>
      </w:r>
      <w:r w:rsidRPr="004946F6">
        <w:t>emotional</w:t>
      </w:r>
      <w:r w:rsidR="00AF11F2">
        <w:t>-</w:t>
      </w:r>
      <w:r w:rsidRPr="004946F6">
        <w:t>memory advantage in mixed lists stem</w:t>
      </w:r>
      <w:r w:rsidR="00D80158" w:rsidRPr="004946F6">
        <w:t>s</w:t>
      </w:r>
      <w:r w:rsidRPr="004946F6">
        <w:t xml:space="preserve"> entirely from a decrease in memory for neutral items in the </w:t>
      </w:r>
      <w:r w:rsidR="00982C7D" w:rsidRPr="004946F6">
        <w:t>mixed-</w:t>
      </w:r>
      <w:r w:rsidRPr="004946F6">
        <w:t xml:space="preserve">list </w:t>
      </w:r>
      <w:r w:rsidR="00AF11F2">
        <w:t xml:space="preserve">condition, </w:t>
      </w:r>
      <w:r w:rsidR="00982C7D" w:rsidRPr="004946F6">
        <w:t xml:space="preserve">compared to the pure-list </w:t>
      </w:r>
      <w:r w:rsidRPr="004946F6">
        <w:t>condition</w:t>
      </w:r>
      <w:r w:rsidR="00AF11F2">
        <w:t>,</w:t>
      </w:r>
      <w:r w:rsidR="00982C7D" w:rsidRPr="004946F6">
        <w:t xml:space="preserve"> rather than from an increase in memory for emotional items in </w:t>
      </w:r>
      <w:r w:rsidR="00AF11F2">
        <w:t>mixed lists</w:t>
      </w:r>
      <w:r w:rsidRPr="004946F6">
        <w:t xml:space="preserve">. </w:t>
      </w:r>
      <w:r w:rsidR="00AF11F2">
        <w:t>Compared to pure lists, a</w:t>
      </w:r>
      <w:r w:rsidRPr="004946F6">
        <w:t xml:space="preserve">cross experiments we </w:t>
      </w:r>
      <w:r w:rsidR="00AF11F2">
        <w:t xml:space="preserve">consistently </w:t>
      </w:r>
      <w:r w:rsidRPr="004946F6">
        <w:t xml:space="preserve">find a decrease in memory for neutral items presented in mixed lists, </w:t>
      </w:r>
      <w:r w:rsidR="00AF11F2">
        <w:t xml:space="preserve">but </w:t>
      </w:r>
      <w:r w:rsidRPr="004946F6">
        <w:t>memory for emotional items in mixed lists</w:t>
      </w:r>
      <w:r w:rsidR="00AF11F2">
        <w:t xml:space="preserve"> is only increased some of the time, </w:t>
      </w:r>
      <w:r w:rsidR="002D02C7">
        <w:t xml:space="preserve">as in the </w:t>
      </w:r>
      <w:r w:rsidR="002D02C7" w:rsidRPr="004946F6">
        <w:t>second experiment</w:t>
      </w:r>
      <w:r w:rsidR="002D02C7">
        <w:t xml:space="preserve"> in</w:t>
      </w:r>
      <w:r w:rsidR="002D02C7" w:rsidRPr="004946F6">
        <w:t xml:space="preserve"> </w:t>
      </w:r>
      <w:r w:rsidR="002D02C7" w:rsidRPr="004946F6">
        <w:fldChar w:fldCharType="begin"/>
      </w:r>
      <w:r w:rsidR="002D02C7" w:rsidRPr="004946F6">
        <w:instrText xml:space="preserve"> REF Figure3 \h  \* MERGEFORMAT </w:instrText>
      </w:r>
      <w:r w:rsidR="002D02C7" w:rsidRPr="004946F6">
        <w:fldChar w:fldCharType="separate"/>
      </w:r>
      <w:r w:rsidR="002D02C7" w:rsidRPr="004946F6">
        <w:rPr>
          <w:b/>
          <w:bCs/>
          <w:i/>
          <w:iCs/>
        </w:rPr>
        <w:t>Figure 3</w:t>
      </w:r>
      <w:r w:rsidR="002D02C7" w:rsidRPr="004946F6">
        <w:fldChar w:fldCharType="end"/>
      </w:r>
      <w:r w:rsidR="002D02C7">
        <w:t xml:space="preserve"> </w:t>
      </w:r>
      <w:r w:rsidR="002D02C7" w:rsidRPr="004946F6">
        <w:fldChar w:fldCharType="begin" w:fldLock="1"/>
      </w:r>
      <w:r w:rsidR="002D02C7" w:rsidRPr="004946F6">
        <w:instrText>ADDIN CSL_CITATION { "citationItems" : [ { "id" : "ITEM-1", "itemData" : { "DOI" : "10.1111/psyp.13014", "ISSN" : "00485772", "author" : [ { "dropping-particle" : "", "family" : "Barnacle", "given" : "Gemma E", "non-dropping-particle" : "", "parse-names" : false, "suffix" : "" }, { "dropping-particle" : "", "family" : "Tsivilis", "given" : "Dimitris", "non-dropping-particle" : "", "parse-names" : false, "suffix" : "" }, { "dropping-particle" : "", "family" : "Schaefer", "given" : "Alexandre", "non-dropping-particle" : "", "parse-names" : false, "suffix" : "" }, { "dropping-particle" : "", "family" : "Talmi", "given" : "Deborah", "non-dropping-particle" : "", "parse-names" : false, "suffix" : "" } ], "container-title" : "Psychophysiology", "id" : "ITEM-1", "issue" : "0161", "issued" : { "date-parts" : [ [ "2018" ] ] }, "page" : "1-35", "title" : "Local context influences memory for emotional stimuli but not electrophysiological markers of emotion-dependent attention.", "type" : "article-journal" }, "uris" : [ "http://www.mendeley.com/documents/?uuid=cb6744e5-43fc-4a9e-8dc9-c2e92972a1a6" ] } ], "mendeley" : { "formattedCitation" : "(Barnacle et al., 2018)", "plainTextFormattedCitation" : "(Barnacle et al., 2018)", "previouslyFormattedCitation" : "(Barnacle et al., 2018)" }, "properties" : { "noteIndex" : 0 }, "schema" : "https://github.com/citation-style-language/schema/raw/master/csl-citation.json" }</w:instrText>
      </w:r>
      <w:r w:rsidR="002D02C7" w:rsidRPr="004946F6">
        <w:fldChar w:fldCharType="separate"/>
      </w:r>
      <w:r w:rsidR="002D02C7" w:rsidRPr="004946F6">
        <w:rPr>
          <w:noProof/>
        </w:rPr>
        <w:t>(Barnacle et al., 2018)</w:t>
      </w:r>
      <w:r w:rsidR="002D02C7" w:rsidRPr="004946F6">
        <w:fldChar w:fldCharType="end"/>
      </w:r>
      <w:r w:rsidR="002D02C7">
        <w:t>, a</w:t>
      </w:r>
      <w:r w:rsidR="00AF11F2">
        <w:t xml:space="preserve"> variability that </w:t>
      </w:r>
      <w:r w:rsidR="002E6FE8" w:rsidRPr="004946F6">
        <w:t>await</w:t>
      </w:r>
      <w:r w:rsidR="00AF11F2">
        <w:t>s</w:t>
      </w:r>
      <w:r w:rsidR="002E6FE8" w:rsidRPr="004946F6">
        <w:t xml:space="preserve"> further research. </w:t>
      </w:r>
    </w:p>
    <w:p w14:paraId="3BD04C58" w14:textId="0CB738D1" w:rsidR="0063352C" w:rsidRPr="004946F6" w:rsidRDefault="002E5A4B">
      <w:pPr>
        <w:spacing w:line="480" w:lineRule="auto"/>
        <w:jc w:val="both"/>
      </w:pPr>
      <w:r w:rsidRPr="004946F6">
        <w:t xml:space="preserve">To fully understand the interaction between attention to emotion at encoding and the retrieval machinery of eCMR we analysed the types of transitions the model made between successive recalls in the empirical data. </w:t>
      </w:r>
      <w:r w:rsidR="00020944" w:rsidRPr="004946F6">
        <w:t xml:space="preserve">Power was slightly higher in Barnacle et al.’s </w:t>
      </w:r>
      <w:r w:rsidR="00B05D3C">
        <w:t xml:space="preserve">(2018) </w:t>
      </w:r>
      <w:r w:rsidR="00020944" w:rsidRPr="004946F6">
        <w:t>study because there were four lists in each condition there compared to one</w:t>
      </w:r>
      <w:r w:rsidR="0063352C" w:rsidRPr="004946F6">
        <w:t xml:space="preserve"> list</w:t>
      </w:r>
      <w:r w:rsidR="00020944" w:rsidRPr="004946F6">
        <w:t xml:space="preserve"> in Talmi et al.</w:t>
      </w:r>
      <w:r w:rsidR="00B05D3C">
        <w:t xml:space="preserve">’s(2007) </w:t>
      </w:r>
      <w:r w:rsidR="00020944" w:rsidRPr="004946F6">
        <w:t xml:space="preserve">study. First, we examined the proportion of transitions made based on temporal associations in pure lists, and how those were affected by category membership (emotional/neutral). </w:t>
      </w:r>
      <w:r w:rsidR="00726679" w:rsidRPr="004946F6">
        <w:fldChar w:fldCharType="begin"/>
      </w:r>
      <w:r w:rsidR="00726679" w:rsidRPr="004946F6">
        <w:instrText xml:space="preserve"> REF Figure3 \h  \* MERGEFORMAT </w:instrText>
      </w:r>
      <w:r w:rsidR="00726679" w:rsidRPr="004946F6">
        <w:fldChar w:fldCharType="separate"/>
      </w:r>
      <w:r w:rsidR="00726679" w:rsidRPr="004946F6">
        <w:rPr>
          <w:b/>
          <w:bCs/>
          <w:i/>
          <w:iCs/>
        </w:rPr>
        <w:t>Figure 3</w:t>
      </w:r>
      <w:r w:rsidR="00726679" w:rsidRPr="004946F6">
        <w:fldChar w:fldCharType="end"/>
      </w:r>
      <w:r w:rsidR="00726679" w:rsidRPr="004946F6">
        <w:t xml:space="preserve"> depicts contiguity effects in the recall of pure lists</w:t>
      </w:r>
      <w:r w:rsidR="00020944" w:rsidRPr="004946F6">
        <w:t xml:space="preserve">, plotting </w:t>
      </w:r>
      <w:r w:rsidR="00FD7542" w:rsidRPr="004946F6">
        <w:t xml:space="preserve">the probability of recalling each item as a function of the lag from the currently-recalled item at lag=0 </w:t>
      </w:r>
      <w:r w:rsidR="00FD7542" w:rsidRPr="004946F6">
        <w:fldChar w:fldCharType="begin" w:fldLock="1"/>
      </w:r>
      <w:r w:rsidR="008C25E5" w:rsidRPr="004946F6">
        <w:instrText>ADDIN CSL_CITATION { "citationItems" : [ { "id" : "ITEM-1", "itemData" : { "DOI" : "10.1037/0278-7393.25.4.923", "ISBN" : "0278-7393 (Print)\\r0278-7393 (Linking)", "ISSN" : "0278-7393", "PMID" : "10439501", "abstract" : "In immediate free recall, words recalled successively tend to come from nearby serial positions. M. J. Kahana (1996) documented this effect and showed that this tendency, which the authors refer to as the lag recency effect, is well described by a variant of the search of associative memory (SAM) model (J. G. W. Raaijmakers &amp; R. M. Shiffrin, 1980, 1981). In 2 experiments, participants performed immediate, delayed, and continuous distractor free recall under conditions designed to minimize rehearsal. The lag recency effect, previously observed in immediate free recall, was also observed in delayed and continuous distractor free recall. Although two-store memory models, such as SAM, readily account for the end-of-list recency effect in immediate free recall, and its attenuation in delayed free recall, these models fail to account for the long-term recency effect. By means of analytic simulations, the authors show that both the end of list recency effect and the lag recency effect, across all distractor conditions, can be explained by a single-store model in which context, retrieved with each recalled item, serves as a cue for subsequent recalls.", "author" : [ { "dropping-particle" : "", "family" : "Howard", "given" : "Marc W", "non-dropping-particle" : "", "parse-names" : false, "suffix" : "" }, { "dropping-particle" : "", "family" : "Kahana", "given" : "M J", "non-dropping-particle" : "", "parse-names" : false, "suffix" : "" } ], "container-title" : "Journal of experimental psychology. Learning, memory, and cognition", "id" : "ITEM-1", "issue" : "4", "issued" : { "date-parts" : [ [ "1999" ] ] }, "page" : "923-941", "title" : "Contextual variability and serial position effects in free recall.", "type" : "article-journal", "volume" : "25" }, "uris" : [ "http://www.mendeley.com/documents/?uuid=931cfa87-db28-4551-8688-696dcd462ba2" ] } ], "mendeley" : { "formattedCitation" : "(Howard &amp; Kahana, 1999)", "plainTextFormattedCitation" : "(Howard &amp; Kahana, 1999)", "previouslyFormattedCitation" : "(Howard &amp; Kahana, 1999)" }, "properties" : { "noteIndex" : 0 }, "schema" : "https://github.com/citation-style-language/schema/raw/master/csl-citation.json" }</w:instrText>
      </w:r>
      <w:r w:rsidR="00FD7542" w:rsidRPr="004946F6">
        <w:fldChar w:fldCharType="separate"/>
      </w:r>
      <w:r w:rsidR="00FD7542" w:rsidRPr="004946F6">
        <w:rPr>
          <w:noProof/>
        </w:rPr>
        <w:t>(Howard &amp; Kahana, 1999)</w:t>
      </w:r>
      <w:r w:rsidR="00FD7542" w:rsidRPr="004946F6">
        <w:fldChar w:fldCharType="end"/>
      </w:r>
      <w:r w:rsidR="00FD7542" w:rsidRPr="004946F6">
        <w:t>.</w:t>
      </w:r>
      <w:r w:rsidR="006E738D" w:rsidRPr="004946F6">
        <w:t xml:space="preserve"> </w:t>
      </w:r>
      <w:r w:rsidR="00A529E1" w:rsidRPr="004946F6">
        <w:t xml:space="preserve">It is clear that these curves are </w:t>
      </w:r>
      <w:r w:rsidR="00D33DD3" w:rsidRPr="004946F6">
        <w:t xml:space="preserve">very </w:t>
      </w:r>
      <w:r w:rsidR="00A529E1" w:rsidRPr="004946F6">
        <w:t>noisy</w:t>
      </w:r>
      <w:r w:rsidR="00D33DD3" w:rsidRPr="004946F6">
        <w:t xml:space="preserve">; </w:t>
      </w:r>
      <w:r w:rsidR="00235E4A" w:rsidRPr="004946F6">
        <w:t xml:space="preserve">the number of lists they are based on is very small </w:t>
      </w:r>
      <w:r w:rsidR="00D33DD3" w:rsidRPr="004946F6">
        <w:t xml:space="preserve">compared to other studies of recall dynamics in the literature. </w:t>
      </w:r>
      <w:r w:rsidR="009F7703">
        <w:t xml:space="preserve">The plots suggest that the empirical lag-CRP curves have shallow slopes, indicative of limited reliance on temporal clustering; and an apparent trend for increased recall of emotional items at lag+1. </w:t>
      </w:r>
      <w:r w:rsidR="00020944" w:rsidRPr="004946F6">
        <w:t xml:space="preserve">To increase power we collapsed the across serial positions and computed temporal clustering scores </w:t>
      </w:r>
      <w:r w:rsidR="00020944" w:rsidRPr="004946F6">
        <w:fldChar w:fldCharType="begin" w:fldLock="1"/>
      </w:r>
      <w:r w:rsidR="008C25E5" w:rsidRPr="004946F6">
        <w:instrText>ADDIN CSL_CITATION { "citationItems" : [ { "id" : "ITEM-1", "itemData" : { "DOI" : "10.1037/a0014420.A", "author" : [ { "dropping-particle" : "", "family" : "Polyn", "given" : "Sean M", "non-dropping-particle" : "", "parse-names" : false, "suffix" : "" }, { "dropping-particle" : "", "family" : "Norman", "given" : "Kenneth A", "non-dropping-particle" : "", "parse-names" : false, "suffix" : "" }, { "dropping-particle" : "", "family" : "Kahana", "given" : "Michael J", "non-dropping-particle" : "", "parse-names" : false, "suffix" : "" } ], "id" : "ITEM-1", "issue" : "1", "issued" : { "date-parts" : [ [ "2009" ] ] }, "page" : "129-156", "title" : "A context maintenance and retrieval model of organizational processes in free recall", "type" : "article-journal", "volume" : "116" }, "uris" : [ "http://www.mendeley.com/documents/?uuid=332b768b-157f-44b6-b42c-04445440d695" ] }, { "id" : "ITEM-2", "itemData" : { "DOI" : "10.1016/j.pestbp.2011.02.012.Investigations", "ISBN" : "8585348585", "ISSN" : "15378276", "PMID" : "1000000221", "abstract" : "In recalling a set of previously experienced events, people exhibit striking effects of recency, contiguity, and similarity: Recent items tend to be recalled best and first, and items that were studied in neighboring positions or that are similar to one another in some other way tend to evoke one another during recall. Effects of recency and contiguity have most often been investigated in tasks that require people to recall random word lists. Similarity effects have most often been studied in tasks that require people to recall categorized word lists. Here we examine recency and contiguity effects in lists composed of items drawn from 3 distinct taxonomic categories and in which items from a given category are temporally separated from one another by items from other categories, all of which are tested for recall. We find evidence for long-term recency and for longrange contiguity, bolstering support for temporally sensitive models of memory and highlighting the importance of understanding the interaction between temporal and semantic information during memory search.", "author" : [ { "dropping-particle" : "", "family" : "Polyn", "given" : "Sean M", "non-dropping-particle" : "", "parse-names" : false, "suffix" : "" }, { "dropping-particle" : "", "family" : "Erlikhman", "given" : "", "non-dropping-particle" : "", "parse-names" : false, "suffix" : "" }, { "dropping-particle" : "", "family" : "Kahana", "given" : "MJ", "non-dropping-particle" : "", "parse-names" : false, "suffix" : "" } ], "id" : "ITEM-2", "issue" : "3", "issued" : { "date-parts" : [ [ "2011" ] ] }, "page" : "766-775", "title" : "Semantic Cuing and the Scale Insensitivity of Recency and Contiguity", "type" : "article-journal", "volume" : "37" }, "uris" : [ "http://www.mendeley.com/documents/?uuid=d9bb04dd-4e71-419a-8b56-516efbd69df5" ] } ], "mendeley" : { "formattedCitation" : "(Polyn et al., 2011, 2009)", "plainTextFormattedCitation" : "(Polyn et al., 2011, 2009)", "previouslyFormattedCitation" : "(Polyn et al., 2011, 2009)" }, "properties" : { "noteIndex" : 0 }, "schema" : "https://github.com/citation-style-language/schema/raw/master/csl-citation.json" }</w:instrText>
      </w:r>
      <w:r w:rsidR="00020944" w:rsidRPr="004946F6">
        <w:fldChar w:fldCharType="separate"/>
      </w:r>
      <w:r w:rsidR="00AB1F46" w:rsidRPr="004946F6">
        <w:rPr>
          <w:noProof/>
        </w:rPr>
        <w:t>(Polyn et al., 2011, 2009)</w:t>
      </w:r>
      <w:r w:rsidR="00020944" w:rsidRPr="004946F6">
        <w:fldChar w:fldCharType="end"/>
      </w:r>
      <w:r w:rsidR="00020944" w:rsidRPr="004946F6">
        <w:t>. For each recall transition, we considered the absolute lag of that transition against the distribution of absolute lags from not-yet-recalled items, assigning it a score from 0 to 1, where 1 reflects that the transition was the smallest absolute lag possible. Thus, overall higher temporal clustering scores reflect recall organisation with greater influence from temporal associations, and 0.5 the baseline level expected by chance</w:t>
      </w:r>
      <w:r w:rsidR="00C5362C" w:rsidRPr="004946F6">
        <w:t xml:space="preserve"> (</w:t>
      </w:r>
      <w:r w:rsidR="00C5362C" w:rsidRPr="004946F6">
        <w:fldChar w:fldCharType="begin"/>
      </w:r>
      <w:r w:rsidR="00C5362C" w:rsidRPr="004946F6">
        <w:instrText xml:space="preserve"> REF Table4 \h </w:instrText>
      </w:r>
      <w:r w:rsidR="008523C1" w:rsidRPr="004946F6">
        <w:instrText xml:space="preserve"> \* MERGEFORMAT </w:instrText>
      </w:r>
      <w:r w:rsidR="00C5362C" w:rsidRPr="004946F6">
        <w:fldChar w:fldCharType="separate"/>
      </w:r>
      <w:r w:rsidR="00C5362C" w:rsidRPr="004946F6">
        <w:rPr>
          <w:b/>
          <w:bCs/>
        </w:rPr>
        <w:t>TABLE 4</w:t>
      </w:r>
      <w:r w:rsidR="00C5362C" w:rsidRPr="004946F6">
        <w:fldChar w:fldCharType="end"/>
      </w:r>
      <w:r w:rsidR="00C5362C" w:rsidRPr="004946F6">
        <w:t>)</w:t>
      </w:r>
      <w:r w:rsidR="00020944" w:rsidRPr="004946F6">
        <w:t xml:space="preserve">. Temporal clustering was </w:t>
      </w:r>
      <w:r w:rsidR="008C41DF" w:rsidRPr="004946F6">
        <w:t xml:space="preserve">greater than chance </w:t>
      </w:r>
      <w:r w:rsidR="002A368A" w:rsidRPr="004946F6">
        <w:t xml:space="preserve">in the more powerful </w:t>
      </w:r>
      <w:r w:rsidR="00812828" w:rsidRPr="004946F6">
        <w:t>Barnacle et al.</w:t>
      </w:r>
      <w:r w:rsidR="002A368A" w:rsidRPr="004946F6">
        <w:t xml:space="preserve"> dataset (</w:t>
      </w:r>
      <w:r w:rsidR="00812828" w:rsidRPr="004946F6">
        <w:t>emotional lists:</w:t>
      </w:r>
      <w:r w:rsidR="00F5681A" w:rsidRPr="004946F6">
        <w:t xml:space="preserve"> </w:t>
      </w:r>
      <w:r w:rsidR="00812828" w:rsidRPr="004946F6">
        <w:rPr>
          <w:i/>
          <w:iCs/>
        </w:rPr>
        <w:t>t</w:t>
      </w:r>
      <w:r w:rsidR="00A87D24" w:rsidRPr="004946F6">
        <w:t>(24)</w:t>
      </w:r>
      <w:r w:rsidR="00812828" w:rsidRPr="004946F6">
        <w:t xml:space="preserve">=3.27, p&lt;0.01; neutral lists: </w:t>
      </w:r>
      <w:r w:rsidR="00812828" w:rsidRPr="004946F6">
        <w:rPr>
          <w:i/>
          <w:iCs/>
        </w:rPr>
        <w:t>t</w:t>
      </w:r>
      <w:r w:rsidR="00A87D24" w:rsidRPr="004946F6">
        <w:t>(24)</w:t>
      </w:r>
      <w:r w:rsidR="00812828" w:rsidRPr="004946F6">
        <w:t>=2.15, p&lt;0.05</w:t>
      </w:r>
      <w:r w:rsidR="008C41DF" w:rsidRPr="004946F6">
        <w:t>)</w:t>
      </w:r>
      <w:r w:rsidR="002A368A" w:rsidRPr="004946F6">
        <w:t xml:space="preserve"> but not in the Talmi et al. dataset (</w:t>
      </w:r>
      <w:r w:rsidR="00C5362C" w:rsidRPr="004946F6">
        <w:t>e</w:t>
      </w:r>
      <w:r w:rsidR="002A368A" w:rsidRPr="004946F6">
        <w:t xml:space="preserve">motional lists: </w:t>
      </w:r>
      <w:r w:rsidR="002A368A" w:rsidRPr="004946F6">
        <w:rPr>
          <w:i/>
          <w:iCs/>
        </w:rPr>
        <w:t>t</w:t>
      </w:r>
      <w:r w:rsidR="002A368A" w:rsidRPr="004946F6">
        <w:t xml:space="preserve">(23)=1.11, p=.27; neutral lists: </w:t>
      </w:r>
      <w:r w:rsidR="002A368A" w:rsidRPr="004946F6">
        <w:rPr>
          <w:i/>
          <w:iCs/>
        </w:rPr>
        <w:t>t</w:t>
      </w:r>
      <w:r w:rsidR="002A368A" w:rsidRPr="004946F6">
        <w:t>(23)=1.91, p=.06)</w:t>
      </w:r>
      <w:r w:rsidR="00020944" w:rsidRPr="004946F6">
        <w:t xml:space="preserve">. </w:t>
      </w:r>
      <w:r w:rsidR="002A368A" w:rsidRPr="004946F6">
        <w:t>In neither was there a</w:t>
      </w:r>
      <w:r w:rsidR="00020944" w:rsidRPr="004946F6">
        <w:t xml:space="preserve"> significant </w:t>
      </w:r>
      <w:r w:rsidR="00A529E1" w:rsidRPr="004946F6">
        <w:t>difference between conditions</w:t>
      </w:r>
      <w:r w:rsidR="008C41DF" w:rsidRPr="004946F6">
        <w:t xml:space="preserve"> (Talmi et al.</w:t>
      </w:r>
      <w:r w:rsidR="00812828" w:rsidRPr="004946F6">
        <w:t xml:space="preserve"> t&lt;1</w:t>
      </w:r>
      <w:r w:rsidR="008C41DF" w:rsidRPr="004946F6">
        <w:t xml:space="preserve">, </w:t>
      </w:r>
      <w:r w:rsidR="00812828" w:rsidRPr="004946F6">
        <w:t xml:space="preserve">Barnacle et al., </w:t>
      </w:r>
      <w:r w:rsidR="008C41DF" w:rsidRPr="004946F6">
        <w:t>t&lt;1)</w:t>
      </w:r>
      <w:r w:rsidR="00A529E1" w:rsidRPr="004946F6">
        <w:t xml:space="preserve">. </w:t>
      </w:r>
      <w:r w:rsidR="002A368A" w:rsidRPr="004946F6">
        <w:t>T</w:t>
      </w:r>
      <w:r w:rsidR="00020944" w:rsidRPr="004946F6">
        <w:t xml:space="preserve">he </w:t>
      </w:r>
      <w:r w:rsidR="009F7703">
        <w:t xml:space="preserve">low </w:t>
      </w:r>
      <w:r w:rsidR="00020944" w:rsidRPr="004946F6">
        <w:t xml:space="preserve">clustering scores </w:t>
      </w:r>
      <w:r w:rsidR="009F7703">
        <w:t xml:space="preserve">again </w:t>
      </w:r>
      <w:r w:rsidR="008F6D82" w:rsidRPr="004946F6">
        <w:t>suggest limited reliance on the temporal context during recall</w:t>
      </w:r>
      <w:r w:rsidR="00A529E1" w:rsidRPr="004946F6">
        <w:t xml:space="preserve"> in that experiment</w:t>
      </w:r>
      <w:r w:rsidR="008F6D82" w:rsidRPr="004946F6">
        <w:t>. T</w:t>
      </w:r>
      <w:r w:rsidR="00B05D3C">
        <w:t>wo</w:t>
      </w:r>
      <w:r w:rsidR="00A529E1" w:rsidRPr="004946F6">
        <w:t xml:space="preserve"> aspects of the task might have contributed to this. First, each experimental list was preceded and followed by two buffers, and a distractor task was interpolated between study and test, removing the majority of primacy and recency influences. Second, </w:t>
      </w:r>
      <w:r w:rsidR="008F6D82" w:rsidRPr="004946F6">
        <w:t xml:space="preserve">the majority of </w:t>
      </w:r>
      <w:r w:rsidR="00B05D3C">
        <w:t xml:space="preserve">experimental stimuli </w:t>
      </w:r>
      <w:r w:rsidR="008F6D82" w:rsidRPr="004946F6">
        <w:t xml:space="preserve">were </w:t>
      </w:r>
      <w:r w:rsidR="00B05D3C">
        <w:t xml:space="preserve">related </w:t>
      </w:r>
      <w:r w:rsidR="008F6D82" w:rsidRPr="004946F6">
        <w:t xml:space="preserve">semantically, </w:t>
      </w:r>
      <w:r w:rsidR="00E72EB6" w:rsidRPr="004946F6">
        <w:t xml:space="preserve">increasing reliance on semantic and emotional dimensions of context compared to the temporal context. </w:t>
      </w:r>
      <w:r w:rsidR="0063352C" w:rsidRPr="004946F6">
        <w:t>Our choice of model parameters was informed by the relative contributions of temporal organization and emotional organization to recall dynamics.</w:t>
      </w:r>
      <w:r w:rsidR="009F7703">
        <w:t xml:space="preserve"> Given the noisiness of the contiguity scores we did not at present attempt to simulate the increased recall of emotional items at lag+1, and note this may be an area where further model development is warranted, with a more powerful dataset. We comment on this issue in further detail in section 2.5.</w:t>
      </w:r>
    </w:p>
    <w:p w14:paraId="0937CE7F" w14:textId="1622DA07" w:rsidR="00AB1F46" w:rsidRPr="004946F6" w:rsidRDefault="00AB1F46">
      <w:pPr>
        <w:spacing w:line="480" w:lineRule="auto"/>
        <w:jc w:val="both"/>
      </w:pPr>
      <w:r w:rsidRPr="004946F6">
        <w:t>Next, we examined transitions in the recall of mixed lists</w:t>
      </w:r>
      <w:r w:rsidR="00A87D24" w:rsidRPr="004946F6">
        <w:t xml:space="preserve"> (</w:t>
      </w:r>
      <w:r w:rsidR="00A87D24" w:rsidRPr="004946F6">
        <w:fldChar w:fldCharType="begin"/>
      </w:r>
      <w:r w:rsidR="00A87D24" w:rsidRPr="004946F6">
        <w:instrText xml:space="preserve"> REF Table4 \h </w:instrText>
      </w:r>
      <w:r w:rsidR="008523C1" w:rsidRPr="004946F6">
        <w:instrText xml:space="preserve"> \* MERGEFORMAT </w:instrText>
      </w:r>
      <w:r w:rsidR="00A87D24" w:rsidRPr="004946F6">
        <w:fldChar w:fldCharType="separate"/>
      </w:r>
      <w:r w:rsidR="00A87D24" w:rsidRPr="004946F6">
        <w:rPr>
          <w:b/>
          <w:bCs/>
        </w:rPr>
        <w:t>TABLE 4</w:t>
      </w:r>
      <w:r w:rsidR="00A87D24" w:rsidRPr="004946F6">
        <w:fldChar w:fldCharType="end"/>
      </w:r>
      <w:r w:rsidR="00A87D24" w:rsidRPr="004946F6">
        <w:t>)</w:t>
      </w:r>
      <w:r w:rsidRPr="004946F6">
        <w:t xml:space="preserve">. </w:t>
      </w:r>
      <w:r w:rsidR="00564C78" w:rsidRPr="004946F6">
        <w:t>T</w:t>
      </w:r>
      <w:r w:rsidR="00A87D24" w:rsidRPr="004946F6">
        <w:t>ransitions that were based on temporal contiguity</w:t>
      </w:r>
      <w:r w:rsidR="00564C78" w:rsidRPr="004946F6">
        <w:t xml:space="preserve"> within the same category, namely, </w:t>
      </w:r>
      <w:r w:rsidR="00A87D24" w:rsidRPr="004946F6">
        <w:t xml:space="preserve">the tendency to retrieve an emotional </w:t>
      </w:r>
      <w:r w:rsidR="00564C78" w:rsidRPr="004946F6">
        <w:t xml:space="preserve">(neutral) </w:t>
      </w:r>
      <w:r w:rsidR="00A87D24" w:rsidRPr="004946F6">
        <w:t xml:space="preserve">item that was encoded close in time to another emotional </w:t>
      </w:r>
      <w:r w:rsidR="00564C78" w:rsidRPr="004946F6">
        <w:t xml:space="preserve">(neutral) </w:t>
      </w:r>
      <w:r w:rsidR="00A87D24" w:rsidRPr="004946F6">
        <w:t>item</w:t>
      </w:r>
      <w:r w:rsidR="00564C78" w:rsidRPr="004946F6">
        <w:t>, was greater than chance (</w:t>
      </w:r>
      <w:r w:rsidR="005C467F" w:rsidRPr="004946F6">
        <w:t xml:space="preserve">Talmi et al. </w:t>
      </w:r>
      <w:r w:rsidR="005C467F" w:rsidRPr="004946F6">
        <w:rPr>
          <w:i/>
          <w:iCs/>
        </w:rPr>
        <w:t>t</w:t>
      </w:r>
      <w:r w:rsidR="005C467F" w:rsidRPr="004946F6">
        <w:t>(2</w:t>
      </w:r>
      <w:r w:rsidR="0013407E" w:rsidRPr="004946F6">
        <w:t>2</w:t>
      </w:r>
      <w:r w:rsidR="005C467F" w:rsidRPr="004946F6">
        <w:t xml:space="preserve">)= </w:t>
      </w:r>
      <w:r w:rsidR="0013407E" w:rsidRPr="004946F6">
        <w:t>2</w:t>
      </w:r>
      <w:r w:rsidR="005C467F" w:rsidRPr="004946F6">
        <w:t>.</w:t>
      </w:r>
      <w:r w:rsidR="0013407E" w:rsidRPr="004946F6">
        <w:t>4</w:t>
      </w:r>
      <w:r w:rsidR="005C467F" w:rsidRPr="004946F6">
        <w:t xml:space="preserve">9, </w:t>
      </w:r>
      <w:r w:rsidR="005C467F" w:rsidRPr="004946F6">
        <w:rPr>
          <w:i/>
          <w:iCs/>
        </w:rPr>
        <w:t>p</w:t>
      </w:r>
      <w:r w:rsidR="0013407E" w:rsidRPr="004946F6">
        <w:rPr>
          <w:i/>
          <w:iCs/>
        </w:rPr>
        <w:t>=.02</w:t>
      </w:r>
      <w:r w:rsidR="00957B60" w:rsidRPr="004946F6">
        <w:t>; Barnacle et al</w:t>
      </w:r>
      <w:r w:rsidR="00725A18" w:rsidRPr="004946F6">
        <w:t xml:space="preserve">. </w:t>
      </w:r>
      <w:r w:rsidR="00725A18" w:rsidRPr="004946F6">
        <w:rPr>
          <w:i/>
          <w:iCs/>
        </w:rPr>
        <w:t>t</w:t>
      </w:r>
      <w:r w:rsidR="00725A18" w:rsidRPr="004946F6">
        <w:t xml:space="preserve">(23)=2.72, </w:t>
      </w:r>
      <w:r w:rsidR="00725A18" w:rsidRPr="004946F6">
        <w:rPr>
          <w:i/>
          <w:iCs/>
        </w:rPr>
        <w:t>p</w:t>
      </w:r>
      <w:r w:rsidR="00725A18" w:rsidRPr="004946F6">
        <w:t>=.01</w:t>
      </w:r>
      <w:r w:rsidR="005C467F" w:rsidRPr="004946F6">
        <w:t>)</w:t>
      </w:r>
      <w:r w:rsidR="002A368A" w:rsidRPr="004946F6">
        <w:t>. Th</w:t>
      </w:r>
      <w:r w:rsidR="00564C78" w:rsidRPr="004946F6">
        <w:t xml:space="preserve">is was not the case for </w:t>
      </w:r>
      <w:r w:rsidR="002A368A" w:rsidRPr="004946F6">
        <w:t xml:space="preserve">temporal clustering </w:t>
      </w:r>
      <w:r w:rsidR="00A87D24" w:rsidRPr="004946F6">
        <w:t>between categories</w:t>
      </w:r>
      <w:r w:rsidR="00564C78" w:rsidRPr="004946F6">
        <w:t xml:space="preserve">, which was </w:t>
      </w:r>
      <w:r w:rsidR="00725A18" w:rsidRPr="004946F6">
        <w:t>at</w:t>
      </w:r>
      <w:r w:rsidR="002A368A" w:rsidRPr="004946F6">
        <w:t xml:space="preserve"> chance </w:t>
      </w:r>
      <w:r w:rsidR="00A87D24" w:rsidRPr="004946F6">
        <w:t>(</w:t>
      </w:r>
      <w:r w:rsidR="005C467F" w:rsidRPr="004946F6">
        <w:t xml:space="preserve">Talmi et al. </w:t>
      </w:r>
      <w:r w:rsidR="005C467F" w:rsidRPr="004946F6">
        <w:rPr>
          <w:i/>
          <w:iCs/>
        </w:rPr>
        <w:t>t</w:t>
      </w:r>
      <w:r w:rsidR="0013407E" w:rsidRPr="004946F6">
        <w:rPr>
          <w:i/>
          <w:iCs/>
        </w:rPr>
        <w:t>&lt;1</w:t>
      </w:r>
      <w:r w:rsidR="00A87D24" w:rsidRPr="004946F6">
        <w:t xml:space="preserve">, Barnacle et al., </w:t>
      </w:r>
      <w:r w:rsidR="0027472C" w:rsidRPr="004946F6">
        <w:rPr>
          <w:i/>
          <w:iCs/>
        </w:rPr>
        <w:t>t</w:t>
      </w:r>
      <w:r w:rsidR="00725A18" w:rsidRPr="004946F6">
        <w:rPr>
          <w:i/>
          <w:iCs/>
        </w:rPr>
        <w:t>&lt;1</w:t>
      </w:r>
      <w:r w:rsidR="00A87D24" w:rsidRPr="004946F6">
        <w:t>)</w:t>
      </w:r>
      <w:r w:rsidRPr="004946F6">
        <w:t xml:space="preserve">. </w:t>
      </w:r>
      <w:r w:rsidR="005C467F" w:rsidRPr="004946F6">
        <w:t>W</w:t>
      </w:r>
      <w:r w:rsidR="00A87D24" w:rsidRPr="004946F6">
        <w:t>e also examine</w:t>
      </w:r>
      <w:r w:rsidR="005C467F" w:rsidRPr="004946F6">
        <w:t>d</w:t>
      </w:r>
      <w:r w:rsidR="00A87D24" w:rsidRPr="004946F6">
        <w:t xml:space="preserve"> t</w:t>
      </w:r>
      <w:r w:rsidRPr="004946F6">
        <w:t xml:space="preserve">he emotional clustering score, defined as the proportion of transitions made to the same emotional category out of all transitions. Thus, recall of an item from either emotional </w:t>
      </w:r>
      <w:r w:rsidR="00455912">
        <w:t>state</w:t>
      </w:r>
      <w:r w:rsidRPr="004946F6">
        <w:t xml:space="preserve"> (neutral or emotional) will support recall of items from the same emotional state</w:t>
      </w:r>
      <w:r w:rsidR="00564C78" w:rsidRPr="004946F6">
        <w:t>, regardless of any temporal contiguity</w:t>
      </w:r>
      <w:r w:rsidRPr="004946F6">
        <w:t xml:space="preserve">. Transitions based on shared emotional context were, again, </w:t>
      </w:r>
      <w:r w:rsidR="00455912">
        <w:t xml:space="preserve">greater </w:t>
      </w:r>
      <w:r w:rsidRPr="004946F6">
        <w:t xml:space="preserve">than chance </w:t>
      </w:r>
      <w:r w:rsidR="00A87D24" w:rsidRPr="004946F6">
        <w:t>(</w:t>
      </w:r>
      <w:r w:rsidR="005C467F" w:rsidRPr="004946F6">
        <w:t xml:space="preserve">Talmi et al. </w:t>
      </w:r>
      <w:r w:rsidR="005C467F" w:rsidRPr="004946F6">
        <w:rPr>
          <w:i/>
          <w:iCs/>
        </w:rPr>
        <w:t>t</w:t>
      </w:r>
      <w:r w:rsidR="005C467F" w:rsidRPr="004946F6">
        <w:t xml:space="preserve">(23)= 3.31, </w:t>
      </w:r>
      <w:r w:rsidR="005C467F" w:rsidRPr="004946F6">
        <w:rPr>
          <w:i/>
          <w:iCs/>
        </w:rPr>
        <w:t>p</w:t>
      </w:r>
      <w:r w:rsidR="005C467F" w:rsidRPr="004946F6">
        <w:t>&lt;.01</w:t>
      </w:r>
      <w:r w:rsidR="009D67DF" w:rsidRPr="004946F6">
        <w:t>, Barnacle et al.</w:t>
      </w:r>
      <w:r w:rsidR="006E738D" w:rsidRPr="004946F6">
        <w:t xml:space="preserve"> </w:t>
      </w:r>
      <w:r w:rsidR="009D67DF" w:rsidRPr="004946F6">
        <w:rPr>
          <w:i/>
          <w:iCs/>
        </w:rPr>
        <w:t>t</w:t>
      </w:r>
      <w:r w:rsidR="009D67DF" w:rsidRPr="004946F6">
        <w:t xml:space="preserve">(23)=3.77, </w:t>
      </w:r>
      <w:r w:rsidR="009D67DF" w:rsidRPr="004946F6">
        <w:rPr>
          <w:i/>
          <w:iCs/>
        </w:rPr>
        <w:t>p</w:t>
      </w:r>
      <w:r w:rsidR="009D67DF" w:rsidRPr="004946F6">
        <w:t>&lt;.001</w:t>
      </w:r>
      <w:r w:rsidR="00A87D24" w:rsidRPr="004946F6">
        <w:t>)</w:t>
      </w:r>
      <w:r w:rsidRPr="004946F6">
        <w:t>.</w:t>
      </w:r>
    </w:p>
    <w:tbl>
      <w:tblPr>
        <w:tblStyle w:val="TableGrid"/>
        <w:tblW w:w="11341" w:type="dxa"/>
        <w:tblInd w:w="-1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341"/>
      </w:tblGrid>
      <w:tr w:rsidR="007D275C" w:rsidRPr="004946F6" w14:paraId="0C0CC1DE" w14:textId="77777777" w:rsidTr="0026503B">
        <w:trPr>
          <w:trHeight w:val="4859"/>
        </w:trPr>
        <w:tc>
          <w:tcPr>
            <w:tcW w:w="11341" w:type="dxa"/>
          </w:tcPr>
          <w:p w14:paraId="6B252BC3" w14:textId="77777777" w:rsidR="007D275C" w:rsidRPr="00E56950" w:rsidRDefault="007D275C" w:rsidP="0026503B">
            <w:pPr>
              <w:spacing w:line="480" w:lineRule="auto"/>
              <w:ind w:right="-591"/>
              <w:jc w:val="both"/>
              <w:rPr>
                <w:sz w:val="24"/>
                <w:szCs w:val="24"/>
              </w:rPr>
            </w:pPr>
            <w:r w:rsidRPr="004946F6">
              <w:rPr>
                <w:noProof/>
                <w:lang w:eastAsia="en-GB" w:bidi="he-IL"/>
              </w:rPr>
              <w:t xml:space="preserve"> </w:t>
            </w:r>
            <w:r>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r>
              <w:rPr>
                <w:rFonts w:ascii="Times New Roman" w:eastAsia="Times New Roman" w:hAnsi="Times New Roman" w:cs="Times New Roman"/>
                <w:noProof/>
                <w:color w:val="000000"/>
                <w:w w:val="0"/>
                <w:sz w:val="0"/>
                <w:szCs w:val="0"/>
                <w:u w:color="000000"/>
                <w:bdr w:val="none" w:sz="0" w:space="0" w:color="000000"/>
                <w:shd w:val="clear" w:color="000000" w:fill="000000"/>
                <w:lang w:eastAsia="en-GB" w:bidi="he-IL"/>
              </w:rPr>
              <w:drawing>
                <wp:inline distT="0" distB="0" distL="0" distR="0" wp14:anchorId="42BC2682" wp14:editId="25652F01">
                  <wp:extent cx="6380480" cy="4613843"/>
                  <wp:effectExtent l="0" t="0" r="1270" b="0"/>
                  <wp:docPr id="25" name="Picture 25" descr="Z:\psychrev\eCMR\paper and figures\Fig3.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Z:\psychrev\eCMR\paper and figures\Fig3.tif"/>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385158" cy="4617225"/>
                          </a:xfrm>
                          <a:prstGeom prst="rect">
                            <a:avLst/>
                          </a:prstGeom>
                          <a:noFill/>
                          <a:ln>
                            <a:noFill/>
                          </a:ln>
                        </pic:spPr>
                      </pic:pic>
                    </a:graphicData>
                  </a:graphic>
                </wp:inline>
              </w:drawing>
            </w:r>
          </w:p>
        </w:tc>
      </w:tr>
      <w:tr w:rsidR="007D275C" w:rsidRPr="004946F6" w14:paraId="66C58640" w14:textId="77777777" w:rsidTr="0026503B">
        <w:tc>
          <w:tcPr>
            <w:tcW w:w="11341" w:type="dxa"/>
          </w:tcPr>
          <w:p w14:paraId="60761606" w14:textId="77777777" w:rsidR="007D275C" w:rsidRPr="004946F6" w:rsidRDefault="007D275C" w:rsidP="0026503B">
            <w:pPr>
              <w:spacing w:line="480" w:lineRule="auto"/>
              <w:jc w:val="both"/>
              <w:rPr>
                <w:b/>
                <w:bCs/>
                <w:i/>
                <w:iCs/>
              </w:rPr>
            </w:pPr>
            <w:r w:rsidRPr="004946F6">
              <w:rPr>
                <w:b/>
                <w:bCs/>
                <w:i/>
                <w:iCs/>
              </w:rPr>
              <w:t>Figure 3. Recall data from Talmi et al., 2007, Experiment 2 (left) and the results of Simulations 1-2.</w:t>
            </w:r>
          </w:p>
          <w:p w14:paraId="2D37BCBF" w14:textId="77777777" w:rsidR="007D275C" w:rsidRPr="004946F6" w:rsidRDefault="007D275C" w:rsidP="0026503B">
            <w:pPr>
              <w:spacing w:line="480" w:lineRule="auto"/>
              <w:jc w:val="both"/>
              <w:rPr>
                <w:i/>
                <w:iCs/>
              </w:rPr>
            </w:pPr>
            <w:r w:rsidRPr="004946F6">
              <w:rPr>
                <w:b/>
                <w:bCs/>
                <w:i/>
                <w:iCs/>
              </w:rPr>
              <w:t xml:space="preserve"> Top. </w:t>
            </w:r>
            <w:r w:rsidRPr="004946F6">
              <w:rPr>
                <w:i/>
                <w:iCs/>
              </w:rPr>
              <w:t>Average recall data. The attention-category (Simulation 2) variant of eCMR captured the emotional list composition effect, where emotion enhances memory in mixed but not pure lists. The category</w:t>
            </w:r>
            <w:r>
              <w:rPr>
                <w:i/>
                <w:iCs/>
              </w:rPr>
              <w:t>-only</w:t>
            </w:r>
            <w:r w:rsidRPr="004946F6">
              <w:rPr>
                <w:i/>
                <w:iCs/>
              </w:rPr>
              <w:t xml:space="preserve"> variant (Simulation 1) failed to do so. Error bars refer to the standard error of the mean. </w:t>
            </w:r>
          </w:p>
          <w:p w14:paraId="09F067A9" w14:textId="796937CF" w:rsidR="007D275C" w:rsidRPr="0003785C" w:rsidRDefault="007D275C">
            <w:pPr>
              <w:spacing w:line="480" w:lineRule="auto"/>
              <w:jc w:val="both"/>
              <w:rPr>
                <w:i/>
                <w:iCs/>
              </w:rPr>
            </w:pPr>
            <w:r>
              <w:rPr>
                <w:b/>
                <w:bCs/>
                <w:i/>
                <w:iCs/>
              </w:rPr>
              <w:t>Bottom</w:t>
            </w:r>
            <w:r w:rsidRPr="004946F6">
              <w:rPr>
                <w:b/>
                <w:bCs/>
                <w:i/>
                <w:iCs/>
              </w:rPr>
              <w:t>.</w:t>
            </w:r>
            <w:r w:rsidRPr="004946F6">
              <w:rPr>
                <w:i/>
                <w:iCs/>
              </w:rPr>
              <w:t xml:space="preserve"> Contiguity effects</w:t>
            </w:r>
            <w:r>
              <w:rPr>
                <w:i/>
                <w:iCs/>
              </w:rPr>
              <w:t xml:space="preserve"> in the recall of pure lists. </w:t>
            </w:r>
            <w:r w:rsidRPr="0026503B">
              <w:rPr>
                <w:b/>
                <w:bCs/>
                <w:i/>
                <w:iCs/>
              </w:rPr>
              <w:t>Left</w:t>
            </w:r>
            <w:r>
              <w:rPr>
                <w:i/>
                <w:iCs/>
              </w:rPr>
              <w:t xml:space="preserve">: </w:t>
            </w:r>
            <w:r w:rsidRPr="004946F6">
              <w:rPr>
                <w:i/>
                <w:iCs/>
              </w:rPr>
              <w:t>in Talmi et al. (2007)</w:t>
            </w:r>
            <w:r>
              <w:rPr>
                <w:i/>
                <w:iCs/>
              </w:rPr>
              <w:t>.</w:t>
            </w:r>
            <w:r w:rsidRPr="0026503B">
              <w:rPr>
                <w:b/>
                <w:bCs/>
                <w:i/>
                <w:iCs/>
              </w:rPr>
              <w:t xml:space="preserve"> Middle: </w:t>
            </w:r>
            <w:r>
              <w:rPr>
                <w:i/>
                <w:iCs/>
              </w:rPr>
              <w:t>in the recall of pure li</w:t>
            </w:r>
            <w:r w:rsidRPr="004946F6">
              <w:rPr>
                <w:i/>
                <w:iCs/>
              </w:rPr>
              <w:t xml:space="preserve"> and Barnacle et al. (2018). </w:t>
            </w:r>
            <w:r w:rsidRPr="0026503B">
              <w:rPr>
                <w:b/>
                <w:bCs/>
                <w:i/>
                <w:iCs/>
              </w:rPr>
              <w:t>Right:</w:t>
            </w:r>
            <w:r>
              <w:rPr>
                <w:i/>
                <w:iCs/>
              </w:rPr>
              <w:t xml:space="preserve"> </w:t>
            </w:r>
            <w:r w:rsidRPr="004946F6">
              <w:rPr>
                <w:i/>
                <w:iCs/>
              </w:rPr>
              <w:t>Predicted contiguity effects in the attention-category variant of eCMR (Simulation 2)</w:t>
            </w:r>
            <w:r>
              <w:rPr>
                <w:i/>
                <w:iCs/>
              </w:rPr>
              <w:t xml:space="preserve">. </w:t>
            </w:r>
            <w:r w:rsidRPr="004946F6">
              <w:rPr>
                <w:i/>
                <w:iCs/>
              </w:rPr>
              <w:t xml:space="preserve">Black: emotional lists. Grey: neutral lists. The shaded thickness represents standard error. </w:t>
            </w:r>
          </w:p>
        </w:tc>
      </w:tr>
    </w:tbl>
    <w:p w14:paraId="45F2A8B7" w14:textId="77777777" w:rsidR="00456618" w:rsidRPr="004946F6" w:rsidRDefault="00456618" w:rsidP="005937D1">
      <w:pPr>
        <w:spacing w:line="480" w:lineRule="auto"/>
        <w:jc w:val="both"/>
        <w:rPr>
          <w:b/>
          <w:bCs/>
        </w:rPr>
      </w:pPr>
      <w:r w:rsidRPr="004946F6">
        <w:rPr>
          <w:b/>
          <w:bCs/>
        </w:rPr>
        <w:t>2.2 A formal description of eCMR</w:t>
      </w:r>
    </w:p>
    <w:p w14:paraId="79D2237E" w14:textId="7384F09B" w:rsidR="00493A74" w:rsidRPr="004946F6" w:rsidRDefault="00493A74" w:rsidP="00493A74">
      <w:pPr>
        <w:widowControl w:val="0"/>
        <w:autoSpaceDE w:val="0"/>
        <w:autoSpaceDN w:val="0"/>
        <w:adjustRightInd w:val="0"/>
        <w:spacing w:after="240" w:line="480" w:lineRule="auto"/>
        <w:jc w:val="both"/>
        <w:rPr>
          <w:rFonts w:cs="Times"/>
        </w:rPr>
      </w:pPr>
      <w:r w:rsidRPr="004946F6">
        <w:rPr>
          <w:rFonts w:cs="Times"/>
        </w:rPr>
        <w:t xml:space="preserve">We begin by describing the assumptions of eCMR that follow directly from those of CMR, before turning to those unique to a model that incorporates the emotional aspect of memory. In eCMR, each studied item </w:t>
      </w:r>
      <m:oMath>
        <m:r>
          <w:rPr>
            <w:rFonts w:ascii="Cambria Math" w:hAnsi="Cambria Math" w:cs="Times"/>
          </w:rPr>
          <m:t xml:space="preserve">i </m:t>
        </m:r>
      </m:oMath>
      <w:r w:rsidRPr="004946F6">
        <w:rPr>
          <w:rFonts w:cs="Times"/>
        </w:rPr>
        <w:t xml:space="preserve">has an associated feature vector </w:t>
      </w:r>
      <m:oMath>
        <m:sSub>
          <m:sSubPr>
            <m:ctrlPr>
              <w:rPr>
                <w:rFonts w:ascii="Cambria Math" w:hAnsi="Cambria Math" w:cs="Times"/>
                <w:i/>
              </w:rPr>
            </m:ctrlPr>
          </m:sSubPr>
          <m:e>
            <m:r>
              <m:rPr>
                <m:sty m:val="b"/>
              </m:rPr>
              <w:rPr>
                <w:rFonts w:ascii="Cambria Math" w:hAnsi="Cambria Math" w:cs="Times"/>
              </w:rPr>
              <m:t>f</m:t>
            </m:r>
          </m:e>
          <m:sub>
            <m:r>
              <w:rPr>
                <w:rFonts w:ascii="Cambria Math" w:hAnsi="Cambria Math" w:cs="Times"/>
              </w:rPr>
              <m:t>i</m:t>
            </m:r>
          </m:sub>
        </m:sSub>
      </m:oMath>
      <w:r w:rsidRPr="004946F6">
        <w:rPr>
          <w:rFonts w:cs="Times"/>
        </w:rPr>
        <w:t xml:space="preserve"> and context vector </w:t>
      </w:r>
      <m:oMath>
        <m:sSub>
          <m:sSubPr>
            <m:ctrlPr>
              <w:rPr>
                <w:rFonts w:ascii="Cambria Math" w:hAnsi="Cambria Math" w:cs="Times"/>
                <w:i/>
              </w:rPr>
            </m:ctrlPr>
          </m:sSubPr>
          <m:e>
            <m:r>
              <m:rPr>
                <m:sty m:val="b"/>
              </m:rPr>
              <w:rPr>
                <w:rFonts w:ascii="Cambria Math" w:hAnsi="Cambria Math" w:cs="Times"/>
              </w:rPr>
              <m:t>c</m:t>
            </m:r>
          </m:e>
          <m:sub>
            <m:r>
              <w:rPr>
                <w:rFonts w:ascii="Cambria Math" w:hAnsi="Cambria Math" w:cs="Times"/>
              </w:rPr>
              <m:t>i</m:t>
            </m:r>
          </m:sub>
        </m:sSub>
      </m:oMath>
      <w:r w:rsidRPr="004946F6">
        <w:rPr>
          <w:rFonts w:cs="Times"/>
        </w:rPr>
        <w:t xml:space="preserve"> which interact through the association matrices </w:t>
      </w:r>
      <m:oMath>
        <m:sSup>
          <m:sSupPr>
            <m:ctrlPr>
              <w:rPr>
                <w:rFonts w:ascii="Cambria Math" w:hAnsi="Cambria Math" w:cs="Times"/>
                <w:i/>
              </w:rPr>
            </m:ctrlPr>
          </m:sSupPr>
          <m:e>
            <m:r>
              <w:rPr>
                <w:rFonts w:ascii="Cambria Math" w:hAnsi="Cambria Math" w:cs="Times"/>
              </w:rPr>
              <m:t>M</m:t>
            </m:r>
          </m:e>
          <m:sup>
            <m:r>
              <w:rPr>
                <w:rFonts w:ascii="Cambria Math" w:hAnsi="Cambria Math" w:cs="Times"/>
              </w:rPr>
              <m:t>FC</m:t>
            </m:r>
          </m:sup>
        </m:sSup>
      </m:oMath>
      <w:r w:rsidRPr="004946F6">
        <w:rPr>
          <w:rFonts w:cs="Times"/>
          <w:i/>
          <w:iCs/>
          <w:position w:val="10"/>
        </w:rPr>
        <w:t xml:space="preserve"> </w:t>
      </w:r>
      <w:r w:rsidRPr="004946F6">
        <w:rPr>
          <w:rFonts w:cs="Times"/>
        </w:rPr>
        <w:t xml:space="preserve">and </w:t>
      </w:r>
      <m:oMath>
        <m:sSup>
          <m:sSupPr>
            <m:ctrlPr>
              <w:rPr>
                <w:rFonts w:ascii="Cambria Math" w:hAnsi="Cambria Math" w:cs="Times"/>
                <w:i/>
              </w:rPr>
            </m:ctrlPr>
          </m:sSupPr>
          <m:e>
            <m:r>
              <w:rPr>
                <w:rFonts w:ascii="Cambria Math" w:hAnsi="Cambria Math" w:cs="Times"/>
              </w:rPr>
              <m:t>M</m:t>
            </m:r>
          </m:e>
          <m:sup>
            <m:r>
              <w:rPr>
                <w:rFonts w:ascii="Cambria Math" w:hAnsi="Cambria Math" w:cs="Times"/>
              </w:rPr>
              <m:t>CF</m:t>
            </m:r>
          </m:sup>
        </m:sSup>
      </m:oMath>
      <w:r w:rsidRPr="004946F6">
        <w:rPr>
          <w:rFonts w:cs="Times"/>
        </w:rPr>
        <w:t xml:space="preserve">. When an item is presented to the model, this activates its feature vector </w:t>
      </w:r>
      <m:oMath>
        <m:sSub>
          <m:sSubPr>
            <m:ctrlPr>
              <w:rPr>
                <w:rFonts w:ascii="Cambria Math" w:hAnsi="Cambria Math" w:cs="Times"/>
                <w:i/>
              </w:rPr>
            </m:ctrlPr>
          </m:sSubPr>
          <m:e>
            <m:r>
              <m:rPr>
                <m:sty m:val="b"/>
              </m:rPr>
              <w:rPr>
                <w:rFonts w:ascii="Cambria Math" w:hAnsi="Cambria Math" w:cs="Times"/>
              </w:rPr>
              <m:t>f</m:t>
            </m:r>
          </m:e>
          <m:sub>
            <m:r>
              <w:rPr>
                <w:rFonts w:ascii="Cambria Math" w:hAnsi="Cambria Math" w:cs="Times"/>
              </w:rPr>
              <m:t>i</m:t>
            </m:r>
          </m:sub>
        </m:sSub>
      </m:oMath>
      <w:r w:rsidRPr="004946F6">
        <w:rPr>
          <w:rFonts w:cs="Times"/>
        </w:rPr>
        <w:t>. This vector is a concatenation of item features (</w:t>
      </w:r>
      <m:oMath>
        <m:sSubSup>
          <m:sSubSupPr>
            <m:ctrlPr>
              <w:rPr>
                <w:rFonts w:ascii="Cambria Math" w:hAnsi="Cambria Math" w:cs="Times"/>
                <w:b/>
              </w:rPr>
            </m:ctrlPr>
          </m:sSubSupPr>
          <m:e>
            <m:r>
              <m:rPr>
                <m:sty m:val="b"/>
              </m:rPr>
              <w:rPr>
                <w:rFonts w:ascii="Cambria Math" w:hAnsi="Cambria Math" w:cs="Times"/>
              </w:rPr>
              <m:t>f</m:t>
            </m:r>
          </m:e>
          <m:sub>
            <m:r>
              <w:rPr>
                <w:rFonts w:ascii="Cambria Math" w:hAnsi="Cambria Math" w:cs="Times"/>
              </w:rPr>
              <m:t>i</m:t>
            </m:r>
          </m:sub>
          <m:sup>
            <m:r>
              <w:rPr>
                <w:rFonts w:ascii="Cambria Math" w:hAnsi="Cambria Math" w:cs="Times"/>
              </w:rPr>
              <m:t>item</m:t>
            </m:r>
          </m:sup>
        </m:sSubSup>
      </m:oMath>
      <w:r w:rsidRPr="004946F6">
        <w:rPr>
          <w:rFonts w:cs="Times"/>
        </w:rPr>
        <w:t>) and emotional</w:t>
      </w:r>
      <w:r w:rsidR="002602BD" w:rsidRPr="004946F6">
        <w:rPr>
          <w:rFonts w:cs="Times"/>
        </w:rPr>
        <w:t xml:space="preserve"> </w:t>
      </w:r>
      <w:r w:rsidRPr="004946F6">
        <w:rPr>
          <w:rFonts w:cs="Times"/>
        </w:rPr>
        <w:t>features (</w:t>
      </w:r>
      <m:oMath>
        <m:sSubSup>
          <m:sSubSupPr>
            <m:ctrlPr>
              <w:rPr>
                <w:rFonts w:ascii="Cambria Math" w:hAnsi="Cambria Math" w:cs="Times"/>
                <w:b/>
              </w:rPr>
            </m:ctrlPr>
          </m:sSubSupPr>
          <m:e>
            <m:r>
              <m:rPr>
                <m:sty m:val="b"/>
              </m:rPr>
              <w:rPr>
                <w:rFonts w:ascii="Cambria Math" w:hAnsi="Cambria Math" w:cs="Times"/>
              </w:rPr>
              <m:t>f</m:t>
            </m:r>
          </m:e>
          <m:sub>
            <m:r>
              <w:rPr>
                <w:rFonts w:ascii="Cambria Math" w:hAnsi="Cambria Math" w:cs="Times"/>
              </w:rPr>
              <m:t>i</m:t>
            </m:r>
          </m:sub>
          <m:sup>
            <m:r>
              <w:rPr>
                <w:rFonts w:ascii="Cambria Math" w:hAnsi="Cambria Math" w:cs="Times"/>
              </w:rPr>
              <m:t>emot</m:t>
            </m:r>
          </m:sup>
        </m:sSubSup>
      </m:oMath>
      <w:r w:rsidRPr="004946F6">
        <w:rPr>
          <w:rFonts w:cs="Times"/>
        </w:rPr>
        <w:t xml:space="preserve">), analogous to the definition of item and source features in CMR. For simplicity, each temporal context and emotional context sub-region of </w:t>
      </w:r>
      <m:oMath>
        <m:sSub>
          <m:sSubPr>
            <m:ctrlPr>
              <w:rPr>
                <w:rFonts w:ascii="Cambria Math" w:hAnsi="Cambria Math" w:cs="Times"/>
                <w:i/>
              </w:rPr>
            </m:ctrlPr>
          </m:sSubPr>
          <m:e>
            <m:r>
              <m:rPr>
                <m:sty m:val="b"/>
              </m:rPr>
              <w:rPr>
                <w:rFonts w:ascii="Cambria Math" w:hAnsi="Cambria Math" w:cs="Times"/>
              </w:rPr>
              <m:t>f</m:t>
            </m:r>
          </m:e>
          <m:sub>
            <m:r>
              <w:rPr>
                <w:rFonts w:ascii="Cambria Math" w:hAnsi="Cambria Math" w:cs="Times"/>
              </w:rPr>
              <m:t>i</m:t>
            </m:r>
          </m:sub>
        </m:sSub>
      </m:oMath>
      <w:r w:rsidRPr="004946F6">
        <w:rPr>
          <w:rFonts w:cs="Times"/>
        </w:rPr>
        <w:t xml:space="preserve"> has a localist, orthonormal representation.</w:t>
      </w:r>
    </w:p>
    <w:p w14:paraId="0DA8875F" w14:textId="77777777" w:rsidR="00493A74" w:rsidRPr="004946F6" w:rsidRDefault="00493A74" w:rsidP="00493A74">
      <w:pPr>
        <w:widowControl w:val="0"/>
        <w:autoSpaceDE w:val="0"/>
        <w:autoSpaceDN w:val="0"/>
        <w:adjustRightInd w:val="0"/>
        <w:spacing w:after="240" w:line="480" w:lineRule="auto"/>
        <w:jc w:val="both"/>
        <w:rPr>
          <w:rFonts w:cs="Times"/>
        </w:rPr>
      </w:pPr>
      <w:r w:rsidRPr="004946F6">
        <w:rPr>
          <w:rFonts w:cs="Times"/>
        </w:rPr>
        <w:t xml:space="preserve">This feature vector then creates an input to context. This input to context, </w:t>
      </w:r>
      <m:oMath>
        <m:sSubSup>
          <m:sSubSupPr>
            <m:ctrlPr>
              <w:rPr>
                <w:rFonts w:ascii="Cambria Math" w:hAnsi="Cambria Math" w:cs="Times"/>
                <w:b/>
              </w:rPr>
            </m:ctrlPr>
          </m:sSubSupPr>
          <m:e>
            <m:r>
              <m:rPr>
                <m:sty m:val="b"/>
              </m:rPr>
              <w:rPr>
                <w:rFonts w:ascii="Cambria Math" w:hAnsi="Cambria Math" w:cs="Times"/>
              </w:rPr>
              <m:t>c</m:t>
            </m:r>
          </m:e>
          <m:sub>
            <m:r>
              <w:rPr>
                <w:rFonts w:ascii="Cambria Math" w:hAnsi="Cambria Math" w:cs="Times"/>
              </w:rPr>
              <m:t>i</m:t>
            </m:r>
          </m:sub>
          <m:sup>
            <m:r>
              <m:rPr>
                <m:sty m:val="b"/>
              </m:rPr>
              <w:rPr>
                <w:rFonts w:ascii="Cambria Math" w:hAnsi="Cambria Math" w:cs="Times"/>
              </w:rPr>
              <m:t>IN</m:t>
            </m:r>
          </m:sup>
        </m:sSubSup>
      </m:oMath>
      <w:r w:rsidRPr="004946F6">
        <w:rPr>
          <w:rFonts w:cs="Times"/>
        </w:rPr>
        <w:t>, is defined as:</w:t>
      </w:r>
    </w:p>
    <w:p w14:paraId="155DFEE3" w14:textId="794C7114" w:rsidR="00493A74" w:rsidRPr="004946F6" w:rsidRDefault="00FF6050" w:rsidP="00493A74">
      <w:pPr>
        <w:widowControl w:val="0"/>
        <w:autoSpaceDE w:val="0"/>
        <w:autoSpaceDN w:val="0"/>
        <w:adjustRightInd w:val="0"/>
        <w:spacing w:after="240" w:line="480" w:lineRule="auto"/>
        <w:jc w:val="both"/>
        <w:rPr>
          <w:rFonts w:cs="Times"/>
        </w:rPr>
      </w:pPr>
      <m:oMath>
        <m:sSubSup>
          <m:sSubSupPr>
            <m:ctrlPr>
              <w:rPr>
                <w:rFonts w:ascii="Cambria Math" w:hAnsi="Cambria Math" w:cs="Times"/>
                <w:b/>
              </w:rPr>
            </m:ctrlPr>
          </m:sSubSupPr>
          <m:e>
            <m:r>
              <m:rPr>
                <m:sty m:val="b"/>
              </m:rPr>
              <w:rPr>
                <w:rFonts w:ascii="Cambria Math" w:hAnsi="Cambria Math" w:cs="Times"/>
              </w:rPr>
              <m:t>c</m:t>
            </m:r>
          </m:e>
          <m:sub>
            <m:r>
              <w:rPr>
                <w:rFonts w:ascii="Cambria Math" w:hAnsi="Cambria Math" w:cs="Times"/>
              </w:rPr>
              <m:t>i</m:t>
            </m:r>
          </m:sub>
          <m:sup>
            <m:r>
              <m:rPr>
                <m:sty m:val="b"/>
              </m:rPr>
              <w:rPr>
                <w:rFonts w:ascii="Cambria Math" w:hAnsi="Cambria Math" w:cs="Times"/>
              </w:rPr>
              <m:t>IN</m:t>
            </m:r>
          </m:sup>
        </m:sSubSup>
        <m:r>
          <w:rPr>
            <w:rFonts w:ascii="Cambria Math" w:hAnsi="Cambria Math" w:cs="Times"/>
          </w:rPr>
          <m:t>=</m:t>
        </m:r>
        <m:sSup>
          <m:sSupPr>
            <m:ctrlPr>
              <w:rPr>
                <w:rFonts w:ascii="Cambria Math" w:hAnsi="Cambria Math" w:cs="Times"/>
                <w:i/>
              </w:rPr>
            </m:ctrlPr>
          </m:sSupPr>
          <m:e>
            <m:r>
              <w:rPr>
                <w:rFonts w:ascii="Cambria Math" w:hAnsi="Cambria Math" w:cs="Times"/>
              </w:rPr>
              <m:t>M</m:t>
            </m:r>
          </m:e>
          <m:sup>
            <m:r>
              <w:rPr>
                <w:rFonts w:ascii="Cambria Math" w:hAnsi="Cambria Math" w:cs="Times"/>
              </w:rPr>
              <m:t>FC</m:t>
            </m:r>
          </m:sup>
        </m:sSup>
        <m:sSub>
          <m:sSubPr>
            <m:ctrlPr>
              <w:rPr>
                <w:rFonts w:ascii="Cambria Math" w:hAnsi="Cambria Math" w:cs="Times"/>
                <w:i/>
              </w:rPr>
            </m:ctrlPr>
          </m:sSubPr>
          <m:e>
            <m:r>
              <m:rPr>
                <m:sty m:val="b"/>
              </m:rPr>
              <w:rPr>
                <w:rFonts w:ascii="Cambria Math" w:hAnsi="Cambria Math" w:cs="Times"/>
              </w:rPr>
              <m:t>f</m:t>
            </m:r>
          </m:e>
          <m:sub>
            <m:r>
              <w:rPr>
                <w:rFonts w:ascii="Cambria Math" w:hAnsi="Cambria Math" w:cs="Times"/>
              </w:rPr>
              <m:t>i</m:t>
            </m:r>
          </m:sub>
        </m:sSub>
        <m:r>
          <w:rPr>
            <w:rFonts w:ascii="Cambria Math" w:hAnsi="Cambria Math" w:cs="Times"/>
            <w:position w:val="-3"/>
          </w:rPr>
          <m:t>.</m:t>
        </m:r>
        <m:r>
          <m:rPr>
            <m:sty m:val="p"/>
          </m:rPr>
          <w:rPr>
            <w:rFonts w:ascii="Cambria Math" w:hAnsi="Cambria Math" w:cs="Apple Symbols"/>
            <w:position w:val="8"/>
          </w:rPr>
          <m:t xml:space="preserve"> </m:t>
        </m:r>
      </m:oMath>
      <w:r w:rsidR="00493A74" w:rsidRPr="004946F6">
        <w:rPr>
          <w:rFonts w:cs="Times"/>
        </w:rPr>
        <w:tab/>
      </w:r>
      <w:r w:rsidR="00493A74" w:rsidRPr="004946F6">
        <w:rPr>
          <w:rFonts w:cs="Times"/>
        </w:rPr>
        <w:tab/>
      </w:r>
      <w:r w:rsidR="00493A74" w:rsidRPr="004946F6">
        <w:rPr>
          <w:rFonts w:cs="Times"/>
        </w:rPr>
        <w:tab/>
      </w:r>
      <w:r w:rsidR="00493A74" w:rsidRPr="004946F6">
        <w:rPr>
          <w:rFonts w:cs="Times"/>
        </w:rPr>
        <w:tab/>
      </w:r>
      <w:r w:rsidR="00493A74" w:rsidRPr="004946F6">
        <w:rPr>
          <w:rFonts w:cs="Times"/>
        </w:rPr>
        <w:tab/>
      </w:r>
      <w:r w:rsidR="00493A74" w:rsidRPr="004946F6">
        <w:rPr>
          <w:rFonts w:cs="Times"/>
        </w:rPr>
        <w:tab/>
      </w:r>
      <w:r w:rsidR="00493A74" w:rsidRPr="004946F6">
        <w:rPr>
          <w:rFonts w:cs="Times"/>
        </w:rPr>
        <w:tab/>
      </w:r>
      <w:r w:rsidR="00493A74" w:rsidRPr="004946F6">
        <w:rPr>
          <w:rFonts w:cs="Times"/>
        </w:rPr>
        <w:tab/>
      </w:r>
      <w:r w:rsidR="00493A74" w:rsidRPr="004946F6">
        <w:rPr>
          <w:rFonts w:cs="Times"/>
        </w:rPr>
        <w:tab/>
      </w:r>
      <w:r w:rsidR="00493A74" w:rsidRPr="004946F6">
        <w:rPr>
          <w:rFonts w:cs="Times"/>
        </w:rPr>
        <w:tab/>
      </w:r>
      <w:r w:rsidR="006E738D" w:rsidRPr="004946F6">
        <w:rPr>
          <w:rFonts w:cs="Times"/>
        </w:rPr>
        <w:t xml:space="preserve">                </w:t>
      </w:r>
      <w:r w:rsidR="00493A74" w:rsidRPr="004946F6">
        <w:rPr>
          <w:rFonts w:cs="Times"/>
        </w:rPr>
        <w:t>(1)</w:t>
      </w:r>
    </w:p>
    <w:p w14:paraId="520806DB" w14:textId="1E41AA0A" w:rsidR="00493A74" w:rsidRPr="004946F6" w:rsidRDefault="00493A74" w:rsidP="00493A74">
      <w:pPr>
        <w:widowControl w:val="0"/>
        <w:autoSpaceDE w:val="0"/>
        <w:autoSpaceDN w:val="0"/>
        <w:adjustRightInd w:val="0"/>
        <w:spacing w:after="240" w:line="480" w:lineRule="auto"/>
        <w:jc w:val="both"/>
        <w:rPr>
          <w:rFonts w:cs="Apple Symbols"/>
          <w:position w:val="8"/>
        </w:rPr>
      </w:pPr>
      <w:r w:rsidRPr="004946F6">
        <w:rPr>
          <w:rFonts w:cs="Times"/>
        </w:rPr>
        <w:t xml:space="preserve">Like the item vector, the context vector is a concatenation of temporal and emotional representations, and each of </w:t>
      </w:r>
      <w:r w:rsidR="009624B9">
        <w:rPr>
          <w:rFonts w:cs="Times"/>
        </w:rPr>
        <w:t xml:space="preserve">the </w:t>
      </w:r>
      <w:r w:rsidRPr="004946F6">
        <w:rPr>
          <w:rFonts w:cs="Times"/>
        </w:rPr>
        <w:t>temporal and emotional context</w:t>
      </w:r>
      <w:r w:rsidR="009624B9">
        <w:rPr>
          <w:rFonts w:cs="Times"/>
        </w:rPr>
        <w:t>s</w:t>
      </w:r>
      <w:r w:rsidRPr="004946F6">
        <w:rPr>
          <w:rFonts w:cs="Times"/>
        </w:rPr>
        <w:t xml:space="preserve"> is updated separately and normalized to have unit length. Next, this input to context, </w:t>
      </w:r>
      <m:oMath>
        <m:sSubSup>
          <m:sSubSupPr>
            <m:ctrlPr>
              <w:rPr>
                <w:rFonts w:ascii="Cambria Math" w:hAnsi="Cambria Math" w:cs="Times"/>
                <w:b/>
              </w:rPr>
            </m:ctrlPr>
          </m:sSubSupPr>
          <m:e>
            <m:r>
              <m:rPr>
                <m:sty m:val="b"/>
              </m:rPr>
              <w:rPr>
                <w:rFonts w:ascii="Cambria Math" w:hAnsi="Cambria Math" w:cs="Times"/>
              </w:rPr>
              <m:t>c</m:t>
            </m:r>
          </m:e>
          <m:sub>
            <m:r>
              <w:rPr>
                <w:rFonts w:ascii="Cambria Math" w:hAnsi="Cambria Math" w:cs="Times"/>
              </w:rPr>
              <m:t>i</m:t>
            </m:r>
          </m:sub>
          <m:sup>
            <m:r>
              <m:rPr>
                <m:sty m:val="b"/>
              </m:rPr>
              <w:rPr>
                <w:rFonts w:ascii="Cambria Math" w:hAnsi="Cambria Math" w:cs="Times"/>
              </w:rPr>
              <m:t>IN</m:t>
            </m:r>
          </m:sup>
        </m:sSubSup>
      </m:oMath>
      <w:r w:rsidRPr="004946F6">
        <w:rPr>
          <w:rFonts w:cs="Times"/>
        </w:rPr>
        <w:t xml:space="preserve">, is used to updated the current context state, </w:t>
      </w:r>
      <m:oMath>
        <m:sSub>
          <m:sSubPr>
            <m:ctrlPr>
              <w:rPr>
                <w:rFonts w:ascii="Cambria Math" w:hAnsi="Cambria Math" w:cs="Times"/>
                <w:i/>
              </w:rPr>
            </m:ctrlPr>
          </m:sSubPr>
          <m:e>
            <m:r>
              <m:rPr>
                <m:sty m:val="b"/>
              </m:rPr>
              <w:rPr>
                <w:rFonts w:ascii="Cambria Math" w:hAnsi="Cambria Math" w:cs="Times"/>
              </w:rPr>
              <m:t>c</m:t>
            </m:r>
          </m:e>
          <m:sub>
            <m:r>
              <w:rPr>
                <w:rFonts w:ascii="Cambria Math" w:hAnsi="Cambria Math" w:cs="Times"/>
              </w:rPr>
              <m:t>i</m:t>
            </m:r>
          </m:sub>
        </m:sSub>
      </m:oMath>
      <w:r w:rsidRPr="004946F6">
        <w:rPr>
          <w:rFonts w:cs="Times"/>
        </w:rPr>
        <w:t>:</w:t>
      </w:r>
    </w:p>
    <w:p w14:paraId="18FBE8D6" w14:textId="5E51BDF3" w:rsidR="00493A74" w:rsidRPr="004946F6" w:rsidRDefault="00FF6050" w:rsidP="00493A74">
      <w:pPr>
        <w:widowControl w:val="0"/>
        <w:autoSpaceDE w:val="0"/>
        <w:autoSpaceDN w:val="0"/>
        <w:adjustRightInd w:val="0"/>
        <w:spacing w:after="240" w:line="480" w:lineRule="auto"/>
        <w:jc w:val="both"/>
        <w:rPr>
          <w:rFonts w:cs="Times"/>
        </w:rPr>
      </w:pPr>
      <m:oMath>
        <m:sSub>
          <m:sSubPr>
            <m:ctrlPr>
              <w:rPr>
                <w:rFonts w:ascii="Cambria Math" w:hAnsi="Cambria Math" w:cs="Times"/>
                <w:i/>
              </w:rPr>
            </m:ctrlPr>
          </m:sSubPr>
          <m:e>
            <m:r>
              <m:rPr>
                <m:sty m:val="b"/>
              </m:rPr>
              <w:rPr>
                <w:rFonts w:ascii="Cambria Math" w:hAnsi="Cambria Math" w:cs="Times"/>
              </w:rPr>
              <m:t>c</m:t>
            </m:r>
          </m:e>
          <m:sub>
            <m:r>
              <w:rPr>
                <w:rFonts w:ascii="Cambria Math" w:hAnsi="Cambria Math" w:cs="Times"/>
              </w:rPr>
              <m:t>i</m:t>
            </m:r>
          </m:sub>
        </m:sSub>
        <m:r>
          <w:rPr>
            <w:rFonts w:ascii="Cambria Math" w:hAnsi="Cambria Math" w:cs="Times"/>
            <w:position w:val="-6"/>
          </w:rPr>
          <m:t xml:space="preserve"> </m:t>
        </m:r>
        <m:r>
          <m:rPr>
            <m:sty m:val="p"/>
          </m:rPr>
          <w:rPr>
            <w:rFonts w:ascii="Cambria Math" w:hAnsi="Cambria Math" w:cs="Times"/>
          </w:rPr>
          <m:t>=</m:t>
        </m:r>
        <m:sSub>
          <m:sSubPr>
            <m:ctrlPr>
              <w:rPr>
                <w:rFonts w:ascii="Cambria Math" w:hAnsi="Cambria Math" w:cs="Times"/>
                <w:i/>
              </w:rPr>
            </m:ctrlPr>
          </m:sSubPr>
          <m:e>
            <m:r>
              <m:rPr>
                <m:sty m:val="p"/>
              </m:rPr>
              <w:rPr>
                <w:rFonts w:ascii="Cambria Math" w:hAnsi="Cambria Math" w:cs="Times" w:hint="eastAsia"/>
              </w:rPr>
              <m:t>ρ</m:t>
            </m:r>
            <m:ctrlPr>
              <w:rPr>
                <w:rFonts w:ascii="Cambria Math" w:hAnsi="Cambria Math" w:cs="Times"/>
              </w:rPr>
            </m:ctrlPr>
          </m:e>
          <m:sub>
            <m:r>
              <w:rPr>
                <w:rFonts w:ascii="Cambria Math" w:hAnsi="Cambria Math" w:cs="Times"/>
              </w:rPr>
              <m:t>i</m:t>
            </m:r>
          </m:sub>
        </m:sSub>
        <m:sSub>
          <m:sSubPr>
            <m:ctrlPr>
              <w:rPr>
                <w:rFonts w:ascii="Cambria Math" w:hAnsi="Cambria Math" w:cs="Times"/>
                <w:i/>
              </w:rPr>
            </m:ctrlPr>
          </m:sSubPr>
          <m:e>
            <m:r>
              <m:rPr>
                <m:sty m:val="b"/>
              </m:rPr>
              <w:rPr>
                <w:rFonts w:ascii="Cambria Math" w:hAnsi="Cambria Math" w:cs="Times"/>
              </w:rPr>
              <m:t>c</m:t>
            </m:r>
          </m:e>
          <m:sub>
            <m:r>
              <w:rPr>
                <w:rFonts w:ascii="Cambria Math" w:hAnsi="Cambria Math" w:cs="Times"/>
              </w:rPr>
              <m:t>i-1</m:t>
            </m:r>
          </m:sub>
        </m:sSub>
        <m:r>
          <m:rPr>
            <m:sty m:val="p"/>
          </m:rPr>
          <w:rPr>
            <w:rFonts w:ascii="Cambria Math" w:hAnsi="Cambria Math" w:cs="Times"/>
          </w:rPr>
          <m:t xml:space="preserve">+ </m:t>
        </m:r>
        <m:r>
          <m:rPr>
            <m:sty m:val="p"/>
          </m:rPr>
          <w:rPr>
            <w:rFonts w:ascii="Cambria Math" w:hAnsi="Cambria Math" w:hint="eastAsia"/>
          </w:rPr>
          <m:t>β</m:t>
        </m:r>
        <m:sSubSup>
          <m:sSubSupPr>
            <m:ctrlPr>
              <w:rPr>
                <w:rFonts w:ascii="Cambria Math" w:hAnsi="Cambria Math" w:cs="Times"/>
                <w:b/>
              </w:rPr>
            </m:ctrlPr>
          </m:sSubSupPr>
          <m:e>
            <m:r>
              <m:rPr>
                <m:sty m:val="b"/>
              </m:rPr>
              <w:rPr>
                <w:rFonts w:ascii="Cambria Math" w:hAnsi="Cambria Math" w:cs="Times"/>
              </w:rPr>
              <m:t>c</m:t>
            </m:r>
          </m:e>
          <m:sub>
            <m:r>
              <w:rPr>
                <w:rFonts w:ascii="Cambria Math" w:hAnsi="Cambria Math" w:cs="Times"/>
              </w:rPr>
              <m:t>i</m:t>
            </m:r>
          </m:sub>
          <m:sup>
            <m:r>
              <m:rPr>
                <m:sty m:val="b"/>
              </m:rPr>
              <w:rPr>
                <w:rFonts w:ascii="Cambria Math" w:hAnsi="Cambria Math" w:cs="Times"/>
              </w:rPr>
              <m:t>IN</m:t>
            </m:r>
          </m:sup>
        </m:sSubSup>
        <m:r>
          <m:rPr>
            <m:sty m:val="p"/>
          </m:rPr>
          <w:rPr>
            <w:rFonts w:ascii="Cambria Math" w:hAnsi="Cambria Math" w:cs="Times"/>
          </w:rPr>
          <m:t xml:space="preserve"> </m:t>
        </m:r>
      </m:oMath>
      <w:r w:rsidR="00493A74" w:rsidRPr="004946F6">
        <w:rPr>
          <w:rFonts w:cs="Times"/>
        </w:rPr>
        <w:tab/>
      </w:r>
      <w:r w:rsidR="00493A74" w:rsidRPr="004946F6">
        <w:rPr>
          <w:rFonts w:cs="Times"/>
        </w:rPr>
        <w:tab/>
      </w:r>
      <w:r w:rsidR="00493A74" w:rsidRPr="004946F6">
        <w:rPr>
          <w:rFonts w:cs="Times"/>
        </w:rPr>
        <w:tab/>
      </w:r>
      <w:r w:rsidR="00493A74" w:rsidRPr="004946F6">
        <w:rPr>
          <w:rFonts w:cs="Times"/>
        </w:rPr>
        <w:tab/>
      </w:r>
      <w:r w:rsidR="00493A74" w:rsidRPr="004946F6">
        <w:rPr>
          <w:rFonts w:cs="Times"/>
        </w:rPr>
        <w:tab/>
      </w:r>
      <w:r w:rsidR="00493A74" w:rsidRPr="004946F6">
        <w:rPr>
          <w:rFonts w:cs="Times"/>
        </w:rPr>
        <w:tab/>
      </w:r>
      <w:r w:rsidR="00493A74" w:rsidRPr="004946F6">
        <w:rPr>
          <w:rFonts w:cs="Times"/>
        </w:rPr>
        <w:tab/>
      </w:r>
      <w:r w:rsidR="00493A74" w:rsidRPr="004946F6">
        <w:rPr>
          <w:rFonts w:cs="Times"/>
        </w:rPr>
        <w:tab/>
      </w:r>
      <w:r w:rsidR="006E738D" w:rsidRPr="004946F6">
        <w:rPr>
          <w:rFonts w:cs="Times"/>
        </w:rPr>
        <w:t xml:space="preserve">                       </w:t>
      </w:r>
      <w:r w:rsidR="00493A74" w:rsidRPr="004946F6">
        <w:rPr>
          <w:rFonts w:cs="Times"/>
        </w:rPr>
        <w:t>(2)</w:t>
      </w:r>
    </w:p>
    <w:p w14:paraId="13201517" w14:textId="4645DF71" w:rsidR="00493A74" w:rsidRPr="004946F6" w:rsidRDefault="00493A74" w:rsidP="00493A74">
      <w:pPr>
        <w:widowControl w:val="0"/>
        <w:autoSpaceDE w:val="0"/>
        <w:autoSpaceDN w:val="0"/>
        <w:adjustRightInd w:val="0"/>
        <w:spacing w:after="240" w:line="480" w:lineRule="auto"/>
        <w:jc w:val="both"/>
        <w:rPr>
          <w:rFonts w:cs="Times"/>
        </w:rPr>
      </w:pPr>
      <w:r w:rsidRPr="004946F6">
        <w:rPr>
          <w:rFonts w:eastAsiaTheme="minorEastAsia" w:cs="Times"/>
        </w:rPr>
        <w:t xml:space="preserve">where </w:t>
      </w:r>
      <m:oMath>
        <m:r>
          <m:rPr>
            <m:sty m:val="p"/>
          </m:rPr>
          <w:rPr>
            <w:rFonts w:ascii="Cambria Math" w:hAnsi="Cambria Math" w:hint="eastAsia"/>
          </w:rPr>
          <m:t>β</m:t>
        </m:r>
      </m:oMath>
      <w:r w:rsidRPr="004946F6">
        <w:t xml:space="preserve"> </w:t>
      </w:r>
      <w:r w:rsidRPr="004946F6">
        <w:rPr>
          <w:rFonts w:cs="Times"/>
        </w:rPr>
        <w:t>defines how much context is updated for each presented item, and takes on a separate value for the temporal and emotional sub-regions (</w:t>
      </w:r>
      <m:oMath>
        <m:sSubSup>
          <m:sSubSupPr>
            <m:ctrlPr>
              <w:rPr>
                <w:rFonts w:ascii="Cambria Math" w:hAnsi="Cambria Math"/>
              </w:rPr>
            </m:ctrlPr>
          </m:sSubSupPr>
          <m:e>
            <m:r>
              <m:rPr>
                <m:sty m:val="p"/>
              </m:rPr>
              <w:rPr>
                <w:rFonts w:ascii="Cambria Math" w:hAnsi="Cambria Math" w:hint="eastAsia"/>
              </w:rPr>
              <m:t>β</m:t>
            </m:r>
          </m:e>
          <m:sub>
            <m:r>
              <w:rPr>
                <w:rFonts w:ascii="Cambria Math" w:hAnsi="Cambria Math"/>
              </w:rPr>
              <m:t>enc</m:t>
            </m:r>
          </m:sub>
          <m:sup>
            <m:r>
              <w:rPr>
                <w:rFonts w:ascii="Cambria Math" w:hAnsi="Cambria Math"/>
              </w:rPr>
              <m:t>temp</m:t>
            </m:r>
          </m:sup>
        </m:sSubSup>
      </m:oMath>
      <w:r w:rsidRPr="004946F6">
        <w:rPr>
          <w:rFonts w:cs="Times"/>
        </w:rPr>
        <w:t xml:space="preserve"> and </w:t>
      </w:r>
      <m:oMath>
        <m:sSubSup>
          <m:sSubSupPr>
            <m:ctrlPr>
              <w:rPr>
                <w:rFonts w:ascii="Cambria Math" w:hAnsi="Cambria Math"/>
              </w:rPr>
            </m:ctrlPr>
          </m:sSubSupPr>
          <m:e>
            <m:r>
              <m:rPr>
                <m:sty m:val="p"/>
              </m:rPr>
              <w:rPr>
                <w:rFonts w:ascii="Cambria Math" w:hAnsi="Cambria Math" w:hint="eastAsia"/>
              </w:rPr>
              <m:t>β</m:t>
            </m:r>
          </m:e>
          <m:sub>
            <m:r>
              <w:rPr>
                <w:rFonts w:ascii="Cambria Math" w:hAnsi="Cambria Math"/>
              </w:rPr>
              <m:t>enc</m:t>
            </m:r>
          </m:sub>
          <m:sup>
            <m:r>
              <w:rPr>
                <w:rFonts w:ascii="Cambria Math" w:hAnsi="Cambria Math"/>
              </w:rPr>
              <m:t>emot</m:t>
            </m:r>
          </m:sup>
        </m:sSubSup>
      </m:oMath>
      <w:r w:rsidRPr="004946F6">
        <w:rPr>
          <w:rFonts w:cs="Times"/>
        </w:rPr>
        <w:t xml:space="preserve">, respectively). </w:t>
      </w:r>
      <w:r w:rsidRPr="004946F6">
        <w:t>This arrangement allows the emotional context to drift at a different rate than the temporal context. Given that physiological arousal can give rise to slow systemic effects, this was seen as a desirable property.</w:t>
      </w:r>
      <w:r w:rsidRPr="004946F6">
        <w:rPr>
          <w:rFonts w:cs="Times"/>
        </w:rPr>
        <w:t xml:space="preserve"> The </w:t>
      </w:r>
      <m:oMath>
        <m:r>
          <m:rPr>
            <m:sty m:val="p"/>
          </m:rPr>
          <w:rPr>
            <w:rFonts w:ascii="Cambria Math" w:hAnsi="Cambria Math" w:hint="eastAsia"/>
          </w:rPr>
          <m:t>β</m:t>
        </m:r>
      </m:oMath>
      <w:r w:rsidRPr="004946F6">
        <w:rPr>
          <w:rFonts w:cs="Times"/>
        </w:rPr>
        <w:t xml:space="preserve"> parameters are fixed to the same value </w:t>
      </w:r>
      <w:r w:rsidR="00822EF3">
        <w:rPr>
          <w:rFonts w:cs="Times"/>
        </w:rPr>
        <w:t xml:space="preserve">for </w:t>
      </w:r>
      <w:r w:rsidRPr="004946F6">
        <w:rPr>
          <w:rFonts w:cs="Times"/>
        </w:rPr>
        <w:t xml:space="preserve">each presented item. </w:t>
      </w:r>
      <m:oMath>
        <m:sSub>
          <m:sSubPr>
            <m:ctrlPr>
              <w:rPr>
                <w:rFonts w:ascii="Cambria Math" w:hAnsi="Cambria Math" w:cs="Times"/>
                <w:i/>
              </w:rPr>
            </m:ctrlPr>
          </m:sSubPr>
          <m:e>
            <m:r>
              <m:rPr>
                <m:sty m:val="p"/>
              </m:rPr>
              <w:rPr>
                <w:rFonts w:ascii="Cambria Math" w:hAnsi="Cambria Math" w:cs="Times" w:hint="eastAsia"/>
              </w:rPr>
              <m:t>ρ</m:t>
            </m:r>
            <m:ctrlPr>
              <w:rPr>
                <w:rFonts w:ascii="Cambria Math" w:hAnsi="Cambria Math" w:cs="Times"/>
              </w:rPr>
            </m:ctrlPr>
          </m:e>
          <m:sub>
            <m:r>
              <w:rPr>
                <w:rFonts w:ascii="Cambria Math" w:hAnsi="Cambria Math" w:cs="Times"/>
              </w:rPr>
              <m:t>i</m:t>
            </m:r>
          </m:sub>
        </m:sSub>
      </m:oMath>
      <w:r w:rsidRPr="004946F6">
        <w:rPr>
          <w:rFonts w:cs="Times"/>
        </w:rPr>
        <w:t xml:space="preserve"> is determined separately for each sub-region to normalize the level of contextual activation to have unit length (see Howard and Kahana 2002 for a more detailed discussion of the importance of this step):</w:t>
      </w:r>
    </w:p>
    <w:p w14:paraId="50D5C170" w14:textId="34475677" w:rsidR="00493A74" w:rsidRPr="004946F6" w:rsidRDefault="00FF6050" w:rsidP="002B6CF4">
      <w:pPr>
        <w:widowControl w:val="0"/>
        <w:autoSpaceDE w:val="0"/>
        <w:autoSpaceDN w:val="0"/>
        <w:adjustRightInd w:val="0"/>
        <w:spacing w:after="240" w:line="480" w:lineRule="auto"/>
        <w:jc w:val="both"/>
        <w:rPr>
          <w:rFonts w:cs="Times"/>
        </w:rPr>
      </w:pPr>
      <m:oMath>
        <m:sSub>
          <m:sSubPr>
            <m:ctrlPr>
              <w:rPr>
                <w:rFonts w:ascii="Cambria Math" w:hAnsi="Cambria Math" w:cs="Times"/>
                <w:i/>
              </w:rPr>
            </m:ctrlPr>
          </m:sSubPr>
          <m:e>
            <m:eqArr>
              <m:eqArrPr>
                <m:ctrlPr>
                  <w:rPr>
                    <w:rFonts w:ascii="Cambria Math" w:hAnsi="Cambria Math" w:cs="Times" w:hint="eastAsia"/>
                  </w:rPr>
                </m:ctrlPr>
              </m:eqArrPr>
              <m:e/>
              <m:e>
                <m:r>
                  <m:rPr>
                    <m:sty m:val="p"/>
                  </m:rPr>
                  <w:rPr>
                    <w:rFonts w:ascii="Cambria Math" w:hAnsi="Cambria Math" w:cs="Times" w:hint="eastAsia"/>
                    <w:color w:val="FFFFFF" w:themeColor="background1"/>
                  </w:rPr>
                  <m:t>ρ</m:t>
                </m:r>
              </m:e>
            </m:eqArr>
            <m:ctrlPr>
              <w:rPr>
                <w:rFonts w:ascii="Cambria Math" w:hAnsi="Cambria Math" w:cs="Times"/>
              </w:rPr>
            </m:ctrlPr>
          </m:e>
          <m:sub/>
        </m:sSub>
        <m:sSub>
          <m:sSubPr>
            <m:ctrlPr>
              <w:rPr>
                <w:rFonts w:ascii="Cambria Math" w:hAnsi="Cambria Math" w:cs="Times"/>
              </w:rPr>
            </m:ctrlPr>
          </m:sSubPr>
          <m:e>
            <m:r>
              <m:rPr>
                <m:sty m:val="p"/>
              </m:rPr>
              <w:rPr>
                <w:rFonts w:ascii="Cambria Math" w:hAnsi="Cambria Math" w:cs="Times" w:hint="eastAsia"/>
              </w:rPr>
              <m:t>ρ</m:t>
            </m:r>
          </m:e>
          <m:sub>
            <m:r>
              <w:rPr>
                <w:rFonts w:ascii="Cambria Math" w:hAnsi="Cambria Math" w:cs="Times"/>
              </w:rPr>
              <m:t>i</m:t>
            </m:r>
          </m:sub>
        </m:sSub>
        <m:r>
          <m:rPr>
            <m:sty m:val="p"/>
          </m:rPr>
          <w:rPr>
            <w:rFonts w:ascii="Cambria Math" w:hAnsi="Cambria Math" w:cs="Times"/>
          </w:rPr>
          <m:t>=(1+</m:t>
        </m:r>
        <m:r>
          <m:rPr>
            <m:sty m:val="p"/>
          </m:rPr>
          <w:rPr>
            <w:rFonts w:ascii="Cambria Math" w:hAnsi="Cambria Math" w:hint="eastAsia"/>
          </w:rPr>
          <m:t>β</m:t>
        </m:r>
        <m:r>
          <m:rPr>
            <m:sty m:val="p"/>
          </m:rPr>
          <w:rPr>
            <w:rFonts w:ascii="Cambria Math" w:hAnsi="Cambria Math" w:cs="Times"/>
            <w:position w:val="10"/>
          </w:rPr>
          <m:t>2</m:t>
        </m:r>
        <m:r>
          <m:rPr>
            <m:sty m:val="b"/>
          </m:rPr>
          <w:rPr>
            <w:rFonts w:ascii="Cambria Math" w:hAnsi="Cambria Math" w:cs="Times"/>
          </w:rPr>
          <m:t>[(</m:t>
        </m:r>
        <m:sSub>
          <m:sSubPr>
            <m:ctrlPr>
              <w:rPr>
                <w:rFonts w:ascii="Cambria Math" w:hAnsi="Cambria Math" w:cs="Times"/>
                <w:i/>
              </w:rPr>
            </m:ctrlPr>
          </m:sSubPr>
          <m:e>
            <m:r>
              <m:rPr>
                <m:sty m:val="b"/>
              </m:rPr>
              <w:rPr>
                <w:rFonts w:ascii="Cambria Math" w:hAnsi="Cambria Math" w:cs="Times"/>
              </w:rPr>
              <m:t>c</m:t>
            </m:r>
          </m:e>
          <m:sub>
            <m:r>
              <w:rPr>
                <w:rFonts w:ascii="Cambria Math" w:hAnsi="Cambria Math" w:cs="Times"/>
              </w:rPr>
              <m:t>i-1</m:t>
            </m:r>
          </m:sub>
        </m:sSub>
        <m:r>
          <m:rPr>
            <m:sty m:val="p"/>
          </m:rPr>
          <w:rPr>
            <w:rFonts w:ascii="Cambria Math" w:hAnsi="Cambria Math"/>
          </w:rPr>
          <m:t>∙</m:t>
        </m:r>
        <m:r>
          <m:rPr>
            <m:sty m:val="p"/>
          </m:rPr>
          <w:rPr>
            <w:rFonts w:ascii="Cambria Math" w:hAnsi="Cambria Math" w:cs="Times"/>
            <w:position w:val="-6"/>
          </w:rPr>
          <m:t xml:space="preserve"> </m:t>
        </m:r>
        <m:sSubSup>
          <m:sSubSupPr>
            <m:ctrlPr>
              <w:rPr>
                <w:rFonts w:ascii="Cambria Math" w:hAnsi="Cambria Math" w:cs="Times"/>
                <w:b/>
              </w:rPr>
            </m:ctrlPr>
          </m:sSubSupPr>
          <m:e>
            <m:r>
              <m:rPr>
                <m:sty m:val="b"/>
              </m:rPr>
              <w:rPr>
                <w:rFonts w:ascii="Cambria Math" w:hAnsi="Cambria Math" w:cs="Times"/>
              </w:rPr>
              <m:t>c</m:t>
            </m:r>
          </m:e>
          <m:sub>
            <m:r>
              <w:rPr>
                <w:rFonts w:ascii="Cambria Math" w:hAnsi="Cambria Math" w:cs="Times"/>
              </w:rPr>
              <m:t>i</m:t>
            </m:r>
          </m:sub>
          <m:sup>
            <m:r>
              <m:rPr>
                <m:sty m:val="b"/>
              </m:rPr>
              <w:rPr>
                <w:rFonts w:ascii="Cambria Math" w:hAnsi="Cambria Math" w:cs="Times"/>
              </w:rPr>
              <m:t>IN</m:t>
            </m:r>
          </m:sup>
        </m:sSubSup>
        <m:r>
          <m:rPr>
            <m:sty m:val="p"/>
          </m:rPr>
          <w:rPr>
            <w:rFonts w:ascii="Cambria Math" w:hAnsi="Cambria Math" w:cs="Times"/>
          </w:rPr>
          <m:t>)</m:t>
        </m:r>
        <m:r>
          <m:rPr>
            <m:sty m:val="p"/>
          </m:rPr>
          <w:rPr>
            <w:rFonts w:ascii="Cambria Math" w:hAnsi="Cambria Math" w:cs="Times"/>
            <w:position w:val="10"/>
          </w:rPr>
          <m:t>2</m:t>
        </m:r>
        <m:r>
          <m:rPr>
            <m:sty m:val="p"/>
          </m:rPr>
          <w:rPr>
            <w:rFonts w:ascii="Cambria Math" w:hAnsi="Cambria Math" w:cs="Times"/>
          </w:rPr>
          <m:t xml:space="preserve"> </m:t>
        </m:r>
        <m:r>
          <m:rPr>
            <m:sty m:val="p"/>
          </m:rPr>
          <w:rPr>
            <w:rFonts w:ascii="Cambria Math" w:hAnsi="Cambria Math" w:cs="Times" w:hint="eastAsia"/>
          </w:rPr>
          <m:t>–</m:t>
        </m:r>
        <m:r>
          <m:rPr>
            <m:sty m:val="p"/>
          </m:rPr>
          <w:rPr>
            <w:rFonts w:ascii="Cambria Math" w:hAnsi="Cambria Math" w:cs="Times"/>
          </w:rPr>
          <m:t xml:space="preserve"> 1])</m:t>
        </m:r>
        <m:r>
          <m:rPr>
            <m:sty m:val="p"/>
          </m:rPr>
          <w:rPr>
            <w:rFonts w:ascii="Cambria Math" w:hAnsi="Cambria Math" w:cs="Times"/>
            <w:position w:val="10"/>
          </w:rPr>
          <m:t>1/2</m:t>
        </m:r>
        <m:r>
          <m:rPr>
            <m:sty m:val="p"/>
          </m:rPr>
          <w:rPr>
            <w:rFonts w:ascii="Cambria Math" w:hAnsi="Cambria Math" w:cs="Times"/>
          </w:rPr>
          <m:t xml:space="preserve"> </m:t>
        </m:r>
        <m:r>
          <m:rPr>
            <m:sty m:val="p"/>
          </m:rPr>
          <w:rPr>
            <w:rFonts w:ascii="Cambria Math" w:hAnsi="Cambria Math" w:cs="Times" w:hint="eastAsia"/>
          </w:rPr>
          <m:t>–</m:t>
        </m:r>
        <m:r>
          <m:rPr>
            <m:sty m:val="p"/>
          </m:rPr>
          <w:rPr>
            <w:rFonts w:ascii="Cambria Math" w:hAnsi="Cambria Math" w:cs="Times"/>
          </w:rPr>
          <m:t xml:space="preserve"> </m:t>
        </m:r>
        <m:r>
          <m:rPr>
            <m:sty m:val="p"/>
          </m:rPr>
          <w:rPr>
            <w:rFonts w:ascii="Cambria Math" w:hAnsi="Cambria Math" w:hint="eastAsia"/>
          </w:rPr>
          <m:t>β</m:t>
        </m:r>
        <m:r>
          <m:rPr>
            <m:sty m:val="p"/>
          </m:rPr>
          <w:rPr>
            <w:rFonts w:ascii="Cambria Math" w:hAnsi="Cambria Math"/>
          </w:rPr>
          <m:t>(</m:t>
        </m:r>
        <m:sSub>
          <m:sSubPr>
            <m:ctrlPr>
              <w:rPr>
                <w:rFonts w:ascii="Cambria Math" w:hAnsi="Cambria Math" w:cs="Times"/>
                <w:i/>
              </w:rPr>
            </m:ctrlPr>
          </m:sSubPr>
          <m:e>
            <m:r>
              <m:rPr>
                <m:sty m:val="b"/>
              </m:rPr>
              <w:rPr>
                <w:rFonts w:ascii="Cambria Math" w:hAnsi="Cambria Math" w:cs="Times"/>
              </w:rPr>
              <m:t>c</m:t>
            </m:r>
          </m:e>
          <m:sub>
            <m:r>
              <w:rPr>
                <w:rFonts w:ascii="Cambria Math" w:hAnsi="Cambria Math" w:cs="Times"/>
              </w:rPr>
              <m:t>i-1</m:t>
            </m:r>
          </m:sub>
        </m:sSub>
        <m:r>
          <m:rPr>
            <m:sty m:val="p"/>
          </m:rPr>
          <w:rPr>
            <w:rFonts w:ascii="Cambria Math" w:hAnsi="Cambria Math" w:cs="Times"/>
            <w:position w:val="-6"/>
          </w:rPr>
          <m:t xml:space="preserve"> </m:t>
        </m:r>
        <m:r>
          <m:rPr>
            <m:sty m:val="p"/>
          </m:rPr>
          <w:rPr>
            <w:rFonts w:ascii="Cambria Math" w:hAnsi="Cambria Math"/>
          </w:rPr>
          <m:t>∙</m:t>
        </m:r>
        <m:sSubSup>
          <m:sSubSupPr>
            <m:ctrlPr>
              <w:rPr>
                <w:rFonts w:ascii="Cambria Math" w:hAnsi="Cambria Math" w:cs="Times"/>
                <w:b/>
              </w:rPr>
            </m:ctrlPr>
          </m:sSubSupPr>
          <m:e>
            <m:r>
              <m:rPr>
                <m:sty m:val="b"/>
              </m:rPr>
              <w:rPr>
                <w:rFonts w:ascii="Cambria Math" w:hAnsi="Cambria Math" w:cs="Times"/>
              </w:rPr>
              <m:t>c</m:t>
            </m:r>
          </m:e>
          <m:sub>
            <m:r>
              <w:rPr>
                <w:rFonts w:ascii="Cambria Math" w:hAnsi="Cambria Math" w:cs="Times"/>
              </w:rPr>
              <m:t>i</m:t>
            </m:r>
          </m:sub>
          <m:sup>
            <m:r>
              <m:rPr>
                <m:sty m:val="b"/>
              </m:rPr>
              <w:rPr>
                <w:rFonts w:ascii="Cambria Math" w:hAnsi="Cambria Math" w:cs="Times"/>
              </w:rPr>
              <m:t>IN</m:t>
            </m:r>
          </m:sup>
        </m:sSubSup>
        <m:r>
          <m:rPr>
            <m:sty m:val="p"/>
          </m:rPr>
          <w:rPr>
            <w:rFonts w:ascii="Cambria Math" w:hAnsi="Cambria Math" w:cs="Times"/>
          </w:rPr>
          <m:t>).</m:t>
        </m:r>
      </m:oMath>
      <w:r w:rsidR="00493A74" w:rsidRPr="004946F6">
        <w:rPr>
          <w:rFonts w:cs="Times"/>
        </w:rPr>
        <w:tab/>
      </w:r>
      <w:r w:rsidR="00855330" w:rsidRPr="004946F6">
        <w:rPr>
          <w:rFonts w:cs="Times"/>
        </w:rPr>
        <w:tab/>
      </w:r>
      <w:r w:rsidR="00855330" w:rsidRPr="004946F6">
        <w:rPr>
          <w:rFonts w:cs="Times"/>
        </w:rPr>
        <w:tab/>
      </w:r>
      <w:r w:rsidR="006E738D" w:rsidRPr="004946F6">
        <w:rPr>
          <w:rFonts w:cs="Times"/>
        </w:rPr>
        <w:t xml:space="preserve">   </w:t>
      </w:r>
      <w:r w:rsidR="00493A74" w:rsidRPr="004946F6">
        <w:rPr>
          <w:rFonts w:cs="Times"/>
        </w:rPr>
        <w:t xml:space="preserve"> </w:t>
      </w:r>
      <w:r w:rsidR="00493A74" w:rsidRPr="004946F6">
        <w:rPr>
          <w:rFonts w:cs="Times"/>
        </w:rPr>
        <w:tab/>
      </w:r>
      <w:r w:rsidR="006E738D" w:rsidRPr="004946F6">
        <w:rPr>
          <w:rFonts w:cs="Times"/>
        </w:rPr>
        <w:t xml:space="preserve">                </w:t>
      </w:r>
      <w:r w:rsidR="00493A74" w:rsidRPr="004946F6">
        <w:rPr>
          <w:rFonts w:cs="Times"/>
        </w:rPr>
        <w:t>(3)</w:t>
      </w:r>
    </w:p>
    <w:p w14:paraId="336AB45D" w14:textId="77777777" w:rsidR="00493A74" w:rsidRPr="004946F6" w:rsidRDefault="00493A74" w:rsidP="00493A74">
      <w:pPr>
        <w:widowControl w:val="0"/>
        <w:autoSpaceDE w:val="0"/>
        <w:autoSpaceDN w:val="0"/>
        <w:adjustRightInd w:val="0"/>
        <w:spacing w:after="240" w:line="480" w:lineRule="auto"/>
        <w:jc w:val="both"/>
        <w:rPr>
          <w:rFonts w:cs="Apple Symbols"/>
        </w:rPr>
      </w:pPr>
      <w:r w:rsidRPr="004946F6">
        <w:rPr>
          <w:rFonts w:cs="Times"/>
        </w:rPr>
        <w:t>As each item is presented, the associative matrices (</w:t>
      </w:r>
      <m:oMath>
        <m:sSup>
          <m:sSupPr>
            <m:ctrlPr>
              <w:rPr>
                <w:rFonts w:ascii="Cambria Math" w:hAnsi="Cambria Math" w:cs="Times"/>
                <w:i/>
              </w:rPr>
            </m:ctrlPr>
          </m:sSupPr>
          <m:e>
            <m:r>
              <w:rPr>
                <w:rFonts w:ascii="Cambria Math" w:hAnsi="Cambria Math" w:cs="Times"/>
              </w:rPr>
              <m:t>M</m:t>
            </m:r>
          </m:e>
          <m:sup>
            <m:r>
              <w:rPr>
                <w:rFonts w:ascii="Cambria Math" w:hAnsi="Cambria Math" w:cs="Times"/>
              </w:rPr>
              <m:t>FC</m:t>
            </m:r>
          </m:sup>
        </m:sSup>
      </m:oMath>
      <w:r w:rsidRPr="004946F6">
        <w:rPr>
          <w:rFonts w:cs="Times"/>
          <w:i/>
          <w:iCs/>
          <w:position w:val="10"/>
        </w:rPr>
        <w:t xml:space="preserve"> </w:t>
      </w:r>
      <w:r w:rsidRPr="004946F6">
        <w:rPr>
          <w:rFonts w:cs="Times"/>
        </w:rPr>
        <w:t xml:space="preserve">and </w:t>
      </w:r>
      <m:oMath>
        <m:sSup>
          <m:sSupPr>
            <m:ctrlPr>
              <w:rPr>
                <w:rFonts w:ascii="Cambria Math" w:hAnsi="Cambria Math" w:cs="Times"/>
                <w:i/>
              </w:rPr>
            </m:ctrlPr>
          </m:sSupPr>
          <m:e>
            <m:r>
              <w:rPr>
                <w:rFonts w:ascii="Cambria Math" w:hAnsi="Cambria Math" w:cs="Times"/>
              </w:rPr>
              <m:t>M</m:t>
            </m:r>
          </m:e>
          <m:sup>
            <m:r>
              <w:rPr>
                <w:rFonts w:ascii="Cambria Math" w:hAnsi="Cambria Math" w:cs="Times"/>
              </w:rPr>
              <m:t>CF</m:t>
            </m:r>
          </m:sup>
        </m:sSup>
      </m:oMath>
      <w:r w:rsidRPr="004946F6">
        <w:rPr>
          <w:rFonts w:cs="Times"/>
        </w:rPr>
        <w:t>) are updated according to a standard Hebbian learning rule, such that:</w:t>
      </w:r>
    </w:p>
    <w:p w14:paraId="1F9622FD" w14:textId="77777777" w:rsidR="00493A74" w:rsidRPr="004946F6" w:rsidRDefault="00493A74" w:rsidP="00493A74">
      <w:pPr>
        <w:widowControl w:val="0"/>
        <w:autoSpaceDE w:val="0"/>
        <w:autoSpaceDN w:val="0"/>
        <w:adjustRightInd w:val="0"/>
        <w:spacing w:after="240" w:line="480" w:lineRule="auto"/>
        <w:jc w:val="both"/>
        <w:rPr>
          <w:rFonts w:cs="Times"/>
        </w:rPr>
      </w:pPr>
      <m:oMath>
        <m:r>
          <w:rPr>
            <w:rFonts w:ascii="Cambria Math" w:hAnsi="Cambria Math"/>
          </w:rPr>
          <m:t>∆</m:t>
        </m:r>
        <m:sSup>
          <m:sSupPr>
            <m:ctrlPr>
              <w:rPr>
                <w:rFonts w:ascii="Cambria Math" w:hAnsi="Cambria Math" w:cs="Times"/>
                <w:i/>
              </w:rPr>
            </m:ctrlPr>
          </m:sSupPr>
          <m:e>
            <m:r>
              <w:rPr>
                <w:rFonts w:ascii="Cambria Math" w:hAnsi="Cambria Math" w:cs="Times"/>
              </w:rPr>
              <m:t>M</m:t>
            </m:r>
          </m:e>
          <m:sup>
            <m:r>
              <w:rPr>
                <w:rFonts w:ascii="Cambria Math" w:hAnsi="Cambria Math" w:cs="Times"/>
              </w:rPr>
              <m:t>FC</m:t>
            </m:r>
          </m:sup>
        </m:sSup>
        <m:r>
          <m:rPr>
            <m:sty m:val="b"/>
          </m:rPr>
          <w:rPr>
            <w:rFonts w:ascii="Cambria Math" w:hAnsi="Cambria Math" w:cs="Times"/>
          </w:rPr>
          <m:t xml:space="preserve">= </m:t>
        </m:r>
        <m:sSub>
          <m:sSubPr>
            <m:ctrlPr>
              <w:rPr>
                <w:rFonts w:ascii="Cambria Math" w:hAnsi="Cambria Math" w:cs="Times"/>
                <w:i/>
              </w:rPr>
            </m:ctrlPr>
          </m:sSubPr>
          <m:e>
            <m:r>
              <m:rPr>
                <m:sty m:val="b"/>
              </m:rPr>
              <w:rPr>
                <w:rFonts w:ascii="Cambria Math" w:hAnsi="Cambria Math" w:cs="Times"/>
              </w:rPr>
              <m:t>c</m:t>
            </m:r>
          </m:e>
          <m:sub>
            <m:r>
              <w:rPr>
                <w:rFonts w:ascii="Cambria Math" w:hAnsi="Cambria Math" w:cs="Times"/>
              </w:rPr>
              <m:t>i</m:t>
            </m:r>
          </m:sub>
        </m:sSub>
        <m:sSub>
          <m:sSubPr>
            <m:ctrlPr>
              <w:rPr>
                <w:rFonts w:ascii="Cambria Math" w:hAnsi="Cambria Math" w:cs="Times"/>
                <w:i/>
              </w:rPr>
            </m:ctrlPr>
          </m:sSubPr>
          <m:e>
            <m:r>
              <m:rPr>
                <m:sty m:val="b"/>
              </m:rPr>
              <w:rPr>
                <w:rFonts w:ascii="Cambria Math" w:hAnsi="Cambria Math" w:cs="Times"/>
              </w:rPr>
              <m:t>f</m:t>
            </m:r>
          </m:e>
          <m:sub>
            <m:r>
              <w:rPr>
                <w:rFonts w:ascii="Cambria Math" w:hAnsi="Cambria Math" w:cs="Times"/>
              </w:rPr>
              <m:t>i</m:t>
            </m:r>
          </m:sub>
        </m:sSub>
        <m:r>
          <m:rPr>
            <m:sty m:val="p"/>
          </m:rPr>
          <w:rPr>
            <w:rFonts w:ascii="Cambria Math" w:hAnsi="Cambria Math" w:cs="Arial"/>
            <w:position w:val="8"/>
          </w:rPr>
          <m:t>T</m:t>
        </m:r>
      </m:oMath>
      <w:r w:rsidRPr="004946F6">
        <w:rPr>
          <w:rFonts w:cs="Times"/>
        </w:rPr>
        <w:t>,</w:t>
      </w:r>
    </w:p>
    <w:p w14:paraId="5DC8F729" w14:textId="658E809D" w:rsidR="00493A74" w:rsidRPr="004946F6" w:rsidRDefault="00493A74" w:rsidP="00493A74">
      <w:pPr>
        <w:widowControl w:val="0"/>
        <w:autoSpaceDE w:val="0"/>
        <w:autoSpaceDN w:val="0"/>
        <w:adjustRightInd w:val="0"/>
        <w:spacing w:after="240" w:line="480" w:lineRule="auto"/>
        <w:jc w:val="both"/>
        <w:rPr>
          <w:rFonts w:cs="Times"/>
        </w:rPr>
      </w:pPr>
      <m:oMath>
        <m:r>
          <w:rPr>
            <w:rFonts w:ascii="Cambria Math" w:hAnsi="Cambria Math"/>
          </w:rPr>
          <m:t>∆</m:t>
        </m:r>
        <m:sSup>
          <m:sSupPr>
            <m:ctrlPr>
              <w:rPr>
                <w:rFonts w:ascii="Cambria Math" w:hAnsi="Cambria Math" w:cs="Times"/>
                <w:i/>
              </w:rPr>
            </m:ctrlPr>
          </m:sSupPr>
          <m:e>
            <m:r>
              <w:rPr>
                <w:rFonts w:ascii="Cambria Math" w:hAnsi="Cambria Math" w:cs="Times"/>
              </w:rPr>
              <m:t>M</m:t>
            </m:r>
          </m:e>
          <m:sup>
            <m:r>
              <w:rPr>
                <w:rFonts w:ascii="Cambria Math" w:hAnsi="Cambria Math" w:cs="Times"/>
              </w:rPr>
              <m:t>CF</m:t>
            </m:r>
          </m:sup>
        </m:sSup>
        <m:r>
          <m:rPr>
            <m:sty m:val="p"/>
          </m:rPr>
          <w:rPr>
            <w:rFonts w:ascii="Cambria Math" w:hAnsi="Cambria Math"/>
          </w:rPr>
          <m:t>=</m:t>
        </m:r>
        <m:sSub>
          <m:sSubPr>
            <m:ctrlPr>
              <w:rPr>
                <w:rFonts w:ascii="Cambria Math" w:hAnsi="Cambria Math" w:cs="Times"/>
                <w:i/>
              </w:rPr>
            </m:ctrlPr>
          </m:sSubPr>
          <m:e>
            <m:r>
              <m:rPr>
                <m:sty m:val="p"/>
              </m:rPr>
              <w:rPr>
                <w:rFonts w:ascii="Cambria Math" w:hAnsi="Cambria Math" w:cs="Times"/>
              </w:rPr>
              <m:t>ϕ</m:t>
            </m:r>
          </m:e>
          <m:sub>
            <m:r>
              <w:rPr>
                <w:rFonts w:ascii="Cambria Math" w:hAnsi="Cambria Math" w:cs="Times"/>
              </w:rPr>
              <m:t>i</m:t>
            </m:r>
          </m:sub>
        </m:sSub>
        <m:sSup>
          <m:sSupPr>
            <m:ctrlPr>
              <w:rPr>
                <w:rFonts w:ascii="Cambria Math" w:hAnsi="Cambria Math" w:cs="Times"/>
                <w:i/>
              </w:rPr>
            </m:ctrlPr>
          </m:sSupPr>
          <m:e>
            <m:r>
              <w:rPr>
                <w:rFonts w:ascii="Cambria Math" w:hAnsi="Cambria Math" w:cs="Times"/>
              </w:rPr>
              <m:t>L</m:t>
            </m:r>
          </m:e>
          <m:sup>
            <m:r>
              <w:rPr>
                <w:rFonts w:ascii="Cambria Math" w:hAnsi="Cambria Math" w:cs="Times"/>
              </w:rPr>
              <m:t>CF</m:t>
            </m:r>
          </m:sup>
        </m:sSup>
        <m:sSub>
          <m:sSubPr>
            <m:ctrlPr>
              <w:rPr>
                <w:rFonts w:ascii="Cambria Math" w:hAnsi="Cambria Math" w:cs="Times"/>
                <w:i/>
              </w:rPr>
            </m:ctrlPr>
          </m:sSubPr>
          <m:e>
            <m:r>
              <m:rPr>
                <m:sty m:val="b"/>
              </m:rPr>
              <w:rPr>
                <w:rFonts w:ascii="Cambria Math" w:hAnsi="Cambria Math" w:cs="Times"/>
              </w:rPr>
              <m:t>f</m:t>
            </m:r>
          </m:e>
          <m:sub>
            <m:r>
              <w:rPr>
                <w:rFonts w:ascii="Cambria Math" w:hAnsi="Cambria Math" w:cs="Times"/>
              </w:rPr>
              <m:t>i</m:t>
            </m:r>
          </m:sub>
        </m:sSub>
        <m:sSub>
          <m:sSubPr>
            <m:ctrlPr>
              <w:rPr>
                <w:rFonts w:ascii="Cambria Math" w:hAnsi="Cambria Math" w:cs="Times"/>
                <w:i/>
              </w:rPr>
            </m:ctrlPr>
          </m:sSubPr>
          <m:e>
            <m:r>
              <m:rPr>
                <m:sty m:val="b"/>
              </m:rPr>
              <w:rPr>
                <w:rFonts w:ascii="Cambria Math" w:hAnsi="Cambria Math" w:cs="Times"/>
              </w:rPr>
              <m:t>c</m:t>
            </m:r>
          </m:e>
          <m:sub>
            <m:r>
              <w:rPr>
                <w:rFonts w:ascii="Cambria Math" w:hAnsi="Cambria Math" w:cs="Times"/>
              </w:rPr>
              <m:t>i</m:t>
            </m:r>
          </m:sub>
        </m:sSub>
        <m:r>
          <m:rPr>
            <m:sty m:val="p"/>
          </m:rPr>
          <w:rPr>
            <w:rFonts w:ascii="Cambria Math" w:hAnsi="Cambria Math" w:cs="Arial"/>
            <w:position w:val="8"/>
          </w:rPr>
          <m:t>T</m:t>
        </m:r>
      </m:oMath>
      <w:r w:rsidRPr="004946F6">
        <w:rPr>
          <w:rFonts w:cs="Times"/>
        </w:rPr>
        <w:t xml:space="preserve">. </w:t>
      </w:r>
      <w:r w:rsidRPr="004946F6">
        <w:rPr>
          <w:rFonts w:cs="Times"/>
        </w:rPr>
        <w:tab/>
      </w:r>
      <w:r w:rsidRPr="004946F6">
        <w:rPr>
          <w:rFonts w:cs="Times"/>
        </w:rPr>
        <w:tab/>
      </w:r>
      <w:r w:rsidRPr="004946F6">
        <w:rPr>
          <w:rFonts w:cs="Times"/>
        </w:rPr>
        <w:tab/>
      </w:r>
      <w:r w:rsidRPr="004946F6">
        <w:rPr>
          <w:rFonts w:cs="Times"/>
        </w:rPr>
        <w:tab/>
      </w:r>
      <w:r w:rsidRPr="004946F6">
        <w:rPr>
          <w:rFonts w:cs="Times"/>
        </w:rPr>
        <w:tab/>
      </w:r>
      <w:r w:rsidRPr="004946F6">
        <w:rPr>
          <w:rFonts w:cs="Times"/>
        </w:rPr>
        <w:tab/>
      </w:r>
      <w:r w:rsidRPr="004946F6">
        <w:rPr>
          <w:rFonts w:cs="Times"/>
        </w:rPr>
        <w:tab/>
      </w:r>
      <w:r w:rsidRPr="004946F6">
        <w:rPr>
          <w:rFonts w:cs="Times"/>
        </w:rPr>
        <w:tab/>
      </w:r>
      <w:r w:rsidR="006E738D" w:rsidRPr="004946F6">
        <w:rPr>
          <w:rFonts w:cs="Times"/>
        </w:rPr>
        <w:t xml:space="preserve">                       </w:t>
      </w:r>
      <w:r w:rsidRPr="004946F6">
        <w:rPr>
          <w:rFonts w:cs="Times"/>
        </w:rPr>
        <w:t>(4)</w:t>
      </w:r>
    </w:p>
    <w:p w14:paraId="01BEC307" w14:textId="77777777" w:rsidR="00493A74" w:rsidRPr="004946F6" w:rsidRDefault="00493A74" w:rsidP="00493A74">
      <w:pPr>
        <w:widowControl w:val="0"/>
        <w:autoSpaceDE w:val="0"/>
        <w:autoSpaceDN w:val="0"/>
        <w:adjustRightInd w:val="0"/>
        <w:spacing w:after="240" w:line="480" w:lineRule="auto"/>
        <w:jc w:val="both"/>
        <w:rPr>
          <w:rFonts w:cs="Times"/>
        </w:rPr>
      </w:pPr>
      <w:r w:rsidRPr="004946F6">
        <w:rPr>
          <w:rFonts w:cs="Times"/>
        </w:rPr>
        <w:t xml:space="preserve">For early list items, eCMR assumes a primacy gradient of attention such that the change in </w:t>
      </w:r>
      <m:oMath>
        <m:sSup>
          <m:sSupPr>
            <m:ctrlPr>
              <w:rPr>
                <w:rFonts w:ascii="Cambria Math" w:hAnsi="Cambria Math" w:cs="Times"/>
                <w:i/>
              </w:rPr>
            </m:ctrlPr>
          </m:sSupPr>
          <m:e>
            <m:r>
              <w:rPr>
                <w:rFonts w:ascii="Cambria Math" w:hAnsi="Cambria Math" w:cs="Times"/>
              </w:rPr>
              <m:t>M</m:t>
            </m:r>
          </m:e>
          <m:sup>
            <m:r>
              <w:rPr>
                <w:rFonts w:ascii="Cambria Math" w:hAnsi="Cambria Math" w:cs="Times"/>
              </w:rPr>
              <m:t>CF</m:t>
            </m:r>
          </m:sup>
        </m:sSup>
      </m:oMath>
      <w:r w:rsidRPr="004946F6">
        <w:rPr>
          <w:rFonts w:cs="Times"/>
          <w:i/>
          <w:iCs/>
          <w:position w:val="10"/>
        </w:rPr>
        <w:t xml:space="preserve"> </w:t>
      </w:r>
      <w:r w:rsidRPr="004946F6">
        <w:rPr>
          <w:rFonts w:cs="Times"/>
        </w:rPr>
        <w:t xml:space="preserve">is scaled by </w:t>
      </w:r>
      <m:oMath>
        <m:sSub>
          <m:sSubPr>
            <m:ctrlPr>
              <w:rPr>
                <w:rFonts w:ascii="Cambria Math" w:hAnsi="Cambria Math" w:cs="Times"/>
                <w:i/>
              </w:rPr>
            </m:ctrlPr>
          </m:sSubPr>
          <m:e>
            <m:r>
              <m:rPr>
                <m:sty m:val="p"/>
              </m:rPr>
              <w:rPr>
                <w:rFonts w:ascii="Cambria Math" w:hAnsi="Cambria Math" w:cs="Times"/>
              </w:rPr>
              <m:t>ϕ</m:t>
            </m:r>
          </m:e>
          <m:sub>
            <m:r>
              <w:rPr>
                <w:rFonts w:ascii="Cambria Math" w:hAnsi="Cambria Math" w:cs="Times"/>
              </w:rPr>
              <m:t>i</m:t>
            </m:r>
          </m:sub>
        </m:sSub>
      </m:oMath>
      <w:r w:rsidRPr="004946F6">
        <w:rPr>
          <w:rFonts w:cs="Times"/>
        </w:rPr>
        <w:t>, which is greatest for early list items and decreases exponentially to an asymptotic value over the course of list presentation:</w:t>
      </w:r>
    </w:p>
    <w:p w14:paraId="0E4CA2F0" w14:textId="39F0BC36" w:rsidR="00493A74" w:rsidRPr="004946F6" w:rsidRDefault="00FF6050" w:rsidP="00493A74">
      <w:pPr>
        <w:widowControl w:val="0"/>
        <w:autoSpaceDE w:val="0"/>
        <w:autoSpaceDN w:val="0"/>
        <w:adjustRightInd w:val="0"/>
        <w:spacing w:after="240" w:line="480" w:lineRule="auto"/>
        <w:jc w:val="both"/>
        <w:rPr>
          <w:rFonts w:cs="Times"/>
        </w:rPr>
      </w:pPr>
      <m:oMath>
        <m:sSub>
          <m:sSubPr>
            <m:ctrlPr>
              <w:rPr>
                <w:rFonts w:ascii="Cambria Math" w:hAnsi="Cambria Math" w:cs="Times"/>
                <w:i/>
              </w:rPr>
            </m:ctrlPr>
          </m:sSubPr>
          <m:e>
            <m:r>
              <m:rPr>
                <m:sty m:val="p"/>
              </m:rPr>
              <w:rPr>
                <w:rFonts w:ascii="Cambria Math" w:hAnsi="Cambria Math" w:cs="Times"/>
              </w:rPr>
              <m:t>ϕ</m:t>
            </m:r>
          </m:e>
          <m:sub>
            <m:r>
              <w:rPr>
                <w:rFonts w:ascii="Cambria Math" w:hAnsi="Cambria Math" w:cs="Times"/>
              </w:rPr>
              <m:t>i</m:t>
            </m:r>
          </m:sub>
        </m:sSub>
        <m:r>
          <m:rPr>
            <m:sty m:val="p"/>
          </m:rPr>
          <w:rPr>
            <w:rFonts w:ascii="Cambria Math" w:hAnsi="Cambria Math"/>
          </w:rPr>
          <m:t>=</m:t>
        </m:r>
        <m:sSub>
          <m:sSubPr>
            <m:ctrlPr>
              <w:rPr>
                <w:rFonts w:ascii="Cambria Math" w:hAnsi="Cambria Math" w:cs="Times"/>
                <w:i/>
              </w:rPr>
            </m:ctrlPr>
          </m:sSubPr>
          <m:e>
            <m:r>
              <m:rPr>
                <m:sty m:val="p"/>
              </m:rPr>
              <w:rPr>
                <w:rFonts w:ascii="Cambria Math" w:hAnsi="Cambria Math" w:cs="Times"/>
              </w:rPr>
              <m:t>ϕ</m:t>
            </m:r>
          </m:e>
          <m:sub>
            <m:r>
              <w:rPr>
                <w:rFonts w:ascii="Cambria Math" w:hAnsi="Cambria Math" w:cs="Times"/>
              </w:rPr>
              <m:t>s</m:t>
            </m:r>
          </m:sub>
        </m:sSub>
        <m:r>
          <m:rPr>
            <m:sty m:val="p"/>
          </m:rPr>
          <w:rPr>
            <w:rFonts w:ascii="Cambria Math" w:hAnsi="Cambria Math"/>
          </w:rPr>
          <m:t xml:space="preserve"> </m:t>
        </m:r>
        <m:sSup>
          <m:sSupPr>
            <m:ctrlPr>
              <w:rPr>
                <w:rFonts w:ascii="Cambria Math" w:hAnsi="Cambria Math"/>
              </w:rPr>
            </m:ctrlPr>
          </m:sSupPr>
          <m:e>
            <m:r>
              <w:rPr>
                <w:rFonts w:ascii="Cambria Math" w:hAnsi="Cambria Math"/>
              </w:rPr>
              <m:t>e</m:t>
            </m:r>
          </m:e>
          <m:sup>
            <m:sSub>
              <m:sSubPr>
                <m:ctrlPr>
                  <w:rPr>
                    <w:rFonts w:ascii="Cambria Math" w:hAnsi="Cambria Math"/>
                  </w:rPr>
                </m:ctrlPr>
              </m:sSubPr>
              <m:e>
                <m:r>
                  <m:rPr>
                    <m:sty m:val="p"/>
                  </m:rPr>
                  <w:rPr>
                    <w:rFonts w:ascii="Cambria Math" w:hAnsi="Cambria Math"/>
                  </w:rPr>
                  <m:t>ϕ</m:t>
                </m:r>
              </m:e>
              <m:sub>
                <m:r>
                  <w:rPr>
                    <w:rFonts w:ascii="Cambria Math" w:hAnsi="Cambria Math"/>
                  </w:rPr>
                  <m:t>d</m:t>
                </m:r>
              </m:sub>
            </m:sSub>
            <m:r>
              <w:rPr>
                <w:rFonts w:ascii="Cambria Math" w:hAnsi="Cambria Math"/>
              </w:rPr>
              <m:t xml:space="preserve"> (i-1)</m:t>
            </m:r>
          </m:sup>
        </m:sSup>
        <m:r>
          <w:rPr>
            <w:rFonts w:ascii="Cambria Math" w:hAnsi="Cambria Math"/>
          </w:rPr>
          <m:t>+1</m:t>
        </m:r>
      </m:oMath>
      <w:r w:rsidR="00493A74" w:rsidRPr="004946F6">
        <w:rPr>
          <w:rFonts w:cs="Times"/>
        </w:rPr>
        <w:t xml:space="preserve">, </w:t>
      </w:r>
      <w:r w:rsidR="00493A74" w:rsidRPr="004946F6">
        <w:rPr>
          <w:rFonts w:cs="Times"/>
        </w:rPr>
        <w:tab/>
      </w:r>
      <w:r w:rsidR="00493A74" w:rsidRPr="004946F6">
        <w:rPr>
          <w:rFonts w:cs="Times"/>
        </w:rPr>
        <w:tab/>
      </w:r>
      <w:r w:rsidR="00493A74" w:rsidRPr="004946F6">
        <w:rPr>
          <w:rFonts w:cs="Times"/>
        </w:rPr>
        <w:tab/>
      </w:r>
      <w:r w:rsidR="00493A74" w:rsidRPr="004946F6">
        <w:rPr>
          <w:rFonts w:cs="Times"/>
        </w:rPr>
        <w:tab/>
      </w:r>
      <w:r w:rsidR="00493A74" w:rsidRPr="004946F6">
        <w:rPr>
          <w:rFonts w:cs="Times"/>
        </w:rPr>
        <w:tab/>
      </w:r>
      <w:r w:rsidR="00493A74" w:rsidRPr="004946F6">
        <w:rPr>
          <w:rFonts w:cs="Times"/>
        </w:rPr>
        <w:tab/>
      </w:r>
      <w:r w:rsidR="00493A74" w:rsidRPr="004946F6">
        <w:rPr>
          <w:rFonts w:cs="Times"/>
        </w:rPr>
        <w:tab/>
      </w:r>
      <w:r w:rsidR="00493A74" w:rsidRPr="004946F6">
        <w:rPr>
          <w:rFonts w:cs="Times"/>
        </w:rPr>
        <w:tab/>
      </w:r>
      <w:r w:rsidR="00493A74" w:rsidRPr="004946F6">
        <w:rPr>
          <w:rFonts w:cs="Times"/>
        </w:rPr>
        <w:tab/>
      </w:r>
      <w:r w:rsidR="006E738D" w:rsidRPr="004946F6">
        <w:rPr>
          <w:rFonts w:cs="Times"/>
        </w:rPr>
        <w:t xml:space="preserve">                </w:t>
      </w:r>
      <w:r w:rsidR="00493A74" w:rsidRPr="004946F6">
        <w:rPr>
          <w:rFonts w:cs="Times"/>
        </w:rPr>
        <w:t>(5)</w:t>
      </w:r>
    </w:p>
    <w:p w14:paraId="2D1377EE" w14:textId="77777777" w:rsidR="00493A74" w:rsidRPr="004946F6" w:rsidRDefault="00493A74" w:rsidP="00493A74">
      <w:pPr>
        <w:widowControl w:val="0"/>
        <w:autoSpaceDE w:val="0"/>
        <w:autoSpaceDN w:val="0"/>
        <w:adjustRightInd w:val="0"/>
        <w:spacing w:after="240" w:line="480" w:lineRule="auto"/>
        <w:jc w:val="both"/>
        <w:rPr>
          <w:rFonts w:cs="Times"/>
        </w:rPr>
      </w:pPr>
      <w:r w:rsidRPr="004946F6">
        <w:rPr>
          <w:rFonts w:cs="Times"/>
        </w:rPr>
        <w:t xml:space="preserve">where </w:t>
      </w:r>
      <m:oMath>
        <m:sSub>
          <m:sSubPr>
            <m:ctrlPr>
              <w:rPr>
                <w:rFonts w:ascii="Cambria Math" w:hAnsi="Cambria Math" w:cs="Times"/>
                <w:i/>
              </w:rPr>
            </m:ctrlPr>
          </m:sSubPr>
          <m:e>
            <m:r>
              <m:rPr>
                <m:sty m:val="p"/>
              </m:rPr>
              <w:rPr>
                <w:rFonts w:ascii="Cambria Math" w:hAnsi="Cambria Math" w:cs="Times"/>
              </w:rPr>
              <m:t>ϕ</m:t>
            </m:r>
          </m:e>
          <m:sub>
            <m:r>
              <w:rPr>
                <w:rFonts w:ascii="Cambria Math" w:hAnsi="Cambria Math" w:cs="Times"/>
              </w:rPr>
              <m:t>s</m:t>
            </m:r>
          </m:sub>
        </m:sSub>
      </m:oMath>
      <w:r w:rsidRPr="004946F6">
        <w:rPr>
          <w:rFonts w:cs="Times"/>
          <w:i/>
          <w:iCs/>
          <w:position w:val="-6"/>
        </w:rPr>
        <w:t xml:space="preserve"> </w:t>
      </w:r>
      <w:r w:rsidRPr="004946F6">
        <w:rPr>
          <w:rFonts w:cs="Times"/>
        </w:rPr>
        <w:t xml:space="preserve">and </w:t>
      </w:r>
      <m:oMath>
        <m:sSub>
          <m:sSubPr>
            <m:ctrlPr>
              <w:rPr>
                <w:rFonts w:ascii="Cambria Math" w:hAnsi="Cambria Math" w:cs="Times"/>
                <w:i/>
              </w:rPr>
            </m:ctrlPr>
          </m:sSubPr>
          <m:e>
            <m:r>
              <m:rPr>
                <m:sty m:val="p"/>
              </m:rPr>
              <w:rPr>
                <w:rFonts w:ascii="Cambria Math" w:hAnsi="Cambria Math" w:cs="Times"/>
              </w:rPr>
              <m:t>ϕ</m:t>
            </m:r>
          </m:e>
          <m:sub>
            <m:r>
              <w:rPr>
                <w:rFonts w:ascii="Cambria Math" w:hAnsi="Cambria Math" w:cs="Times"/>
              </w:rPr>
              <m:t>d</m:t>
            </m:r>
          </m:sub>
        </m:sSub>
      </m:oMath>
      <w:r w:rsidRPr="004946F6">
        <w:rPr>
          <w:rFonts w:cs="Times"/>
          <w:i/>
          <w:iCs/>
          <w:position w:val="-6"/>
        </w:rPr>
        <w:t xml:space="preserve"> </w:t>
      </w:r>
      <w:r w:rsidRPr="004946F6">
        <w:rPr>
          <w:rFonts w:cs="Times"/>
        </w:rPr>
        <w:t xml:space="preserve">are model parameters. </w:t>
      </w:r>
      <m:oMath>
        <m:sSup>
          <m:sSupPr>
            <m:ctrlPr>
              <w:rPr>
                <w:rFonts w:ascii="Cambria Math" w:hAnsi="Cambria Math" w:cs="Times"/>
                <w:i/>
              </w:rPr>
            </m:ctrlPr>
          </m:sSupPr>
          <m:e>
            <m:r>
              <w:rPr>
                <w:rFonts w:ascii="Cambria Math" w:hAnsi="Cambria Math" w:cs="Times"/>
              </w:rPr>
              <m:t>L</m:t>
            </m:r>
          </m:e>
          <m:sup>
            <m:r>
              <w:rPr>
                <w:rFonts w:ascii="Cambria Math" w:hAnsi="Cambria Math" w:cs="Times"/>
              </w:rPr>
              <m:t>CF</m:t>
            </m:r>
          </m:sup>
        </m:sSup>
      </m:oMath>
      <w:r w:rsidRPr="004946F6">
        <w:rPr>
          <w:rFonts w:cs="Times"/>
          <w:i/>
          <w:iCs/>
          <w:position w:val="10"/>
        </w:rPr>
        <w:t xml:space="preserve"> </w:t>
      </w:r>
      <w:r w:rsidRPr="004946F6">
        <w:rPr>
          <w:rFonts w:cs="Times"/>
        </w:rPr>
        <w:t xml:space="preserve">in Equation 4 is a matrix that allows CMR to scale the magnitude of source associations relative to temporal associations. </w:t>
      </w:r>
      <m:oMath>
        <m:sSup>
          <m:sSupPr>
            <m:ctrlPr>
              <w:rPr>
                <w:rFonts w:ascii="Cambria Math" w:hAnsi="Cambria Math" w:cs="Times"/>
                <w:i/>
              </w:rPr>
            </m:ctrlPr>
          </m:sSupPr>
          <m:e>
            <m:r>
              <w:rPr>
                <w:rFonts w:ascii="Cambria Math" w:hAnsi="Cambria Math" w:cs="Times"/>
              </w:rPr>
              <m:t>L</m:t>
            </m:r>
          </m:e>
          <m:sup>
            <m:r>
              <w:rPr>
                <w:rFonts w:ascii="Cambria Math" w:hAnsi="Cambria Math" w:cs="Times"/>
              </w:rPr>
              <m:t>CF</m:t>
            </m:r>
          </m:sup>
        </m:sSup>
      </m:oMath>
      <w:r w:rsidRPr="004946F6">
        <w:rPr>
          <w:rFonts w:cs="Times"/>
          <w:i/>
          <w:iCs/>
          <w:position w:val="10"/>
        </w:rPr>
        <w:t xml:space="preserve"> </w:t>
      </w:r>
      <w:r w:rsidRPr="004946F6">
        <w:rPr>
          <w:rFonts w:cs="Times"/>
        </w:rPr>
        <w:t>has four sub-regions, corresponding to each of the 4 possible association types:</w:t>
      </w:r>
    </w:p>
    <w:p w14:paraId="5EECAC6B" w14:textId="6BE1386B" w:rsidR="00493A74" w:rsidRPr="004946F6" w:rsidRDefault="00FF6050" w:rsidP="00493A74">
      <w:pPr>
        <w:widowControl w:val="0"/>
        <w:autoSpaceDE w:val="0"/>
        <w:autoSpaceDN w:val="0"/>
        <w:adjustRightInd w:val="0"/>
        <w:spacing w:after="240" w:line="480" w:lineRule="auto"/>
        <w:jc w:val="both"/>
        <w:rPr>
          <w:rFonts w:cs="Times"/>
        </w:rPr>
      </w:pPr>
      <m:oMath>
        <m:sSup>
          <m:sSupPr>
            <m:ctrlPr>
              <w:rPr>
                <w:rFonts w:ascii="Cambria Math" w:hAnsi="Cambria Math" w:cs="Times"/>
                <w:i/>
              </w:rPr>
            </m:ctrlPr>
          </m:sSupPr>
          <m:e>
            <m:r>
              <w:rPr>
                <w:rFonts w:ascii="Cambria Math" w:hAnsi="Cambria Math" w:cs="Times"/>
              </w:rPr>
              <m:t>L</m:t>
            </m:r>
          </m:e>
          <m:sup>
            <m:r>
              <w:rPr>
                <w:rFonts w:ascii="Cambria Math" w:hAnsi="Cambria Math" w:cs="Times"/>
              </w:rPr>
              <m:t>CF</m:t>
            </m:r>
          </m:sup>
        </m:sSup>
        <m:r>
          <w:rPr>
            <w:rFonts w:ascii="Cambria Math" w:hAnsi="Cambria Math" w:cs="Times"/>
          </w:rPr>
          <m:t xml:space="preserve">= </m:t>
        </m:r>
        <m:d>
          <m:dPr>
            <m:begChr m:val="["/>
            <m:endChr m:val="]"/>
            <m:ctrlPr>
              <w:rPr>
                <w:rFonts w:ascii="Cambria Math" w:hAnsi="Cambria Math" w:cs="Times"/>
                <w:i/>
              </w:rPr>
            </m:ctrlPr>
          </m:dPr>
          <m:e>
            <m:m>
              <m:mPr>
                <m:mcs>
                  <m:mc>
                    <m:mcPr>
                      <m:count m:val="2"/>
                      <m:mcJc m:val="center"/>
                    </m:mcPr>
                  </m:mc>
                </m:mcs>
                <m:ctrlPr>
                  <w:rPr>
                    <w:rFonts w:ascii="Cambria Math" w:hAnsi="Cambria Math" w:cs="Times"/>
                    <w:i/>
                  </w:rPr>
                </m:ctrlPr>
              </m:mPr>
              <m:mr>
                <m:e>
                  <m:sSubSup>
                    <m:sSubSupPr>
                      <m:ctrlPr>
                        <w:rPr>
                          <w:rFonts w:ascii="Cambria Math" w:hAnsi="Cambria Math" w:cs="Times"/>
                          <w:i/>
                        </w:rPr>
                      </m:ctrlPr>
                    </m:sSubSupPr>
                    <m:e>
                      <m:r>
                        <w:rPr>
                          <w:rFonts w:ascii="Cambria Math" w:hAnsi="Cambria Math" w:cs="Times"/>
                        </w:rPr>
                        <m:t>L</m:t>
                      </m:r>
                    </m:e>
                    <m:sub>
                      <m:r>
                        <w:rPr>
                          <w:rFonts w:ascii="Cambria Math" w:hAnsi="Cambria Math" w:cs="Times"/>
                        </w:rPr>
                        <m:t>tw</m:t>
                      </m:r>
                    </m:sub>
                    <m:sup>
                      <m:r>
                        <w:rPr>
                          <w:rFonts w:ascii="Cambria Math" w:hAnsi="Cambria Math" w:cs="Times"/>
                        </w:rPr>
                        <m:t>CF</m:t>
                      </m:r>
                    </m:sup>
                  </m:sSubSup>
                </m:e>
                <m:e>
                  <m:sSubSup>
                    <m:sSubSupPr>
                      <m:ctrlPr>
                        <w:rPr>
                          <w:rFonts w:ascii="Cambria Math" w:hAnsi="Cambria Math" w:cs="Times"/>
                          <w:i/>
                        </w:rPr>
                      </m:ctrlPr>
                    </m:sSubSupPr>
                    <m:e>
                      <m:r>
                        <w:rPr>
                          <w:rFonts w:ascii="Cambria Math" w:hAnsi="Cambria Math" w:cs="Times"/>
                        </w:rPr>
                        <m:t>L</m:t>
                      </m:r>
                    </m:e>
                    <m:sub>
                      <m:r>
                        <w:rPr>
                          <w:rFonts w:ascii="Cambria Math" w:hAnsi="Cambria Math" w:cs="Times"/>
                        </w:rPr>
                        <m:t>ts</m:t>
                      </m:r>
                    </m:sub>
                    <m:sup>
                      <m:r>
                        <w:rPr>
                          <w:rFonts w:ascii="Cambria Math" w:hAnsi="Cambria Math" w:cs="Times"/>
                        </w:rPr>
                        <m:t>CF</m:t>
                      </m:r>
                    </m:sup>
                  </m:sSubSup>
                </m:e>
              </m:mr>
              <m:mr>
                <m:e>
                  <m:sSubSup>
                    <m:sSubSupPr>
                      <m:ctrlPr>
                        <w:rPr>
                          <w:rFonts w:ascii="Cambria Math" w:hAnsi="Cambria Math" w:cs="Times"/>
                          <w:i/>
                        </w:rPr>
                      </m:ctrlPr>
                    </m:sSubSupPr>
                    <m:e>
                      <m:r>
                        <w:rPr>
                          <w:rFonts w:ascii="Cambria Math" w:hAnsi="Cambria Math" w:cs="Times"/>
                        </w:rPr>
                        <m:t>L</m:t>
                      </m:r>
                    </m:e>
                    <m:sub>
                      <m:r>
                        <w:rPr>
                          <w:rFonts w:ascii="Cambria Math" w:hAnsi="Cambria Math" w:cs="Times"/>
                        </w:rPr>
                        <m:t>sw</m:t>
                      </m:r>
                    </m:sub>
                    <m:sup>
                      <m:r>
                        <w:rPr>
                          <w:rFonts w:ascii="Cambria Math" w:hAnsi="Cambria Math" w:cs="Times"/>
                        </w:rPr>
                        <m:t>CF</m:t>
                      </m:r>
                    </m:sup>
                  </m:sSubSup>
                </m:e>
                <m:e>
                  <m:sSubSup>
                    <m:sSubSupPr>
                      <m:ctrlPr>
                        <w:rPr>
                          <w:rFonts w:ascii="Cambria Math" w:hAnsi="Cambria Math" w:cs="Times"/>
                          <w:i/>
                        </w:rPr>
                      </m:ctrlPr>
                    </m:sSubSupPr>
                    <m:e>
                      <m:r>
                        <w:rPr>
                          <w:rFonts w:ascii="Cambria Math" w:hAnsi="Cambria Math" w:cs="Times"/>
                        </w:rPr>
                        <m:t>L</m:t>
                      </m:r>
                    </m:e>
                    <m:sub>
                      <m:r>
                        <w:rPr>
                          <w:rFonts w:ascii="Cambria Math" w:hAnsi="Cambria Math" w:cs="Times"/>
                        </w:rPr>
                        <m:t>ss</m:t>
                      </m:r>
                    </m:sub>
                    <m:sup>
                      <m:r>
                        <w:rPr>
                          <w:rFonts w:ascii="Cambria Math" w:hAnsi="Cambria Math" w:cs="Times"/>
                        </w:rPr>
                        <m:t>CF</m:t>
                      </m:r>
                    </m:sup>
                  </m:sSubSup>
                </m:e>
              </m:mr>
            </m:m>
          </m:e>
        </m:d>
      </m:oMath>
      <w:r w:rsidR="00493A74" w:rsidRPr="004946F6">
        <w:rPr>
          <w:rFonts w:eastAsiaTheme="minorEastAsia" w:cs="Times"/>
        </w:rPr>
        <w:t xml:space="preserve"> .</w:t>
      </w:r>
      <w:r w:rsidR="00493A74" w:rsidRPr="004946F6">
        <w:rPr>
          <w:rFonts w:eastAsiaTheme="minorEastAsia" w:cs="Times"/>
        </w:rPr>
        <w:tab/>
      </w:r>
      <w:r w:rsidR="00493A74" w:rsidRPr="004946F6">
        <w:rPr>
          <w:rFonts w:eastAsiaTheme="minorEastAsia" w:cs="Times"/>
        </w:rPr>
        <w:tab/>
      </w:r>
      <w:r w:rsidR="00493A74" w:rsidRPr="004946F6">
        <w:rPr>
          <w:rFonts w:eastAsiaTheme="minorEastAsia" w:cs="Times"/>
        </w:rPr>
        <w:tab/>
      </w:r>
      <w:r w:rsidR="00493A74" w:rsidRPr="004946F6">
        <w:rPr>
          <w:rFonts w:eastAsiaTheme="minorEastAsia" w:cs="Times"/>
        </w:rPr>
        <w:tab/>
      </w:r>
      <w:r w:rsidR="00493A74" w:rsidRPr="004946F6">
        <w:rPr>
          <w:rFonts w:eastAsiaTheme="minorEastAsia" w:cs="Times"/>
        </w:rPr>
        <w:tab/>
      </w:r>
      <w:r w:rsidR="00493A74" w:rsidRPr="004946F6">
        <w:rPr>
          <w:rFonts w:eastAsiaTheme="minorEastAsia" w:cs="Times"/>
        </w:rPr>
        <w:tab/>
      </w:r>
      <w:r w:rsidR="00493A74" w:rsidRPr="004946F6">
        <w:rPr>
          <w:rFonts w:eastAsiaTheme="minorEastAsia" w:cs="Times"/>
        </w:rPr>
        <w:tab/>
      </w:r>
      <w:r w:rsidR="00493A74" w:rsidRPr="004946F6">
        <w:rPr>
          <w:rFonts w:eastAsiaTheme="minorEastAsia" w:cs="Times"/>
        </w:rPr>
        <w:tab/>
      </w:r>
      <w:r w:rsidR="00493A74" w:rsidRPr="004946F6">
        <w:rPr>
          <w:rFonts w:eastAsiaTheme="minorEastAsia" w:cs="Times"/>
        </w:rPr>
        <w:tab/>
      </w:r>
      <w:r w:rsidR="00493A74" w:rsidRPr="004946F6">
        <w:rPr>
          <w:rFonts w:eastAsiaTheme="minorEastAsia" w:cs="Times"/>
        </w:rPr>
        <w:tab/>
      </w:r>
      <w:r w:rsidR="006E738D" w:rsidRPr="004946F6">
        <w:rPr>
          <w:rFonts w:eastAsiaTheme="minorEastAsia" w:cs="Times"/>
        </w:rPr>
        <w:t xml:space="preserve">        </w:t>
      </w:r>
      <w:r w:rsidR="00493A74" w:rsidRPr="004946F6">
        <w:rPr>
          <w:rFonts w:eastAsiaTheme="minorEastAsia" w:cs="Times"/>
        </w:rPr>
        <w:t xml:space="preserve"> </w:t>
      </w:r>
      <w:r w:rsidR="00493A74" w:rsidRPr="004946F6">
        <w:rPr>
          <w:rFonts w:cs="Times"/>
        </w:rPr>
        <w:t>(6)</w:t>
      </w:r>
    </w:p>
    <w:p w14:paraId="389F5F3C" w14:textId="41591998" w:rsidR="00493A74" w:rsidRPr="004946F6" w:rsidRDefault="00493A74" w:rsidP="00493A74">
      <w:pPr>
        <w:widowControl w:val="0"/>
        <w:autoSpaceDE w:val="0"/>
        <w:autoSpaceDN w:val="0"/>
        <w:adjustRightInd w:val="0"/>
        <w:spacing w:after="240" w:line="480" w:lineRule="auto"/>
        <w:jc w:val="both"/>
        <w:rPr>
          <w:rFonts w:cs="Times"/>
        </w:rPr>
      </w:pPr>
      <w:r w:rsidRPr="004946F6">
        <w:rPr>
          <w:rFonts w:cs="Times"/>
        </w:rPr>
        <w:t>In the subscript, the first term refers to the context type (temporal (</w:t>
      </w:r>
      <m:oMath>
        <m:r>
          <w:rPr>
            <w:rFonts w:ascii="Cambria Math" w:hAnsi="Cambria Math" w:cs="Times"/>
          </w:rPr>
          <m:t>t</m:t>
        </m:r>
      </m:oMath>
      <w:r w:rsidRPr="004946F6">
        <w:rPr>
          <w:rFonts w:cs="Times"/>
        </w:rPr>
        <w:t>) or source (</w:t>
      </w:r>
      <m:oMath>
        <m:r>
          <w:rPr>
            <w:rFonts w:ascii="Cambria Math" w:hAnsi="Cambria Math" w:cs="Times"/>
          </w:rPr>
          <m:t>s</m:t>
        </m:r>
      </m:oMath>
      <w:r w:rsidRPr="004946F6">
        <w:rPr>
          <w:rFonts w:cs="Times"/>
        </w:rPr>
        <w:t>), i.e. emotional), and the second term refers to the feature type (again, temporal (</w:t>
      </w:r>
      <m:oMath>
        <m:r>
          <w:rPr>
            <w:rFonts w:ascii="Cambria Math" w:hAnsi="Cambria Math" w:cs="Times"/>
          </w:rPr>
          <m:t>w</m:t>
        </m:r>
      </m:oMath>
      <w:r w:rsidRPr="004946F6">
        <w:rPr>
          <w:rFonts w:cs="Times"/>
        </w:rPr>
        <w:t xml:space="preserve">) or source). For simplicity, only the temporal feature terms are set to non-zero values: the emotional context to temporal feature associations, </w:t>
      </w:r>
      <m:oMath>
        <m:sSubSup>
          <m:sSubSupPr>
            <m:ctrlPr>
              <w:rPr>
                <w:rFonts w:ascii="Cambria Math" w:hAnsi="Cambria Math"/>
                <w:i/>
              </w:rPr>
            </m:ctrlPr>
          </m:sSubSupPr>
          <m:e>
            <m:r>
              <w:rPr>
                <w:rFonts w:ascii="Cambria Math" w:hAnsi="Cambria Math"/>
              </w:rPr>
              <m:t>L</m:t>
            </m:r>
          </m:e>
          <m:sub>
            <m:r>
              <w:rPr>
                <w:rFonts w:ascii="Cambria Math" w:hAnsi="Cambria Math"/>
              </w:rPr>
              <m:t>sw</m:t>
            </m:r>
          </m:sub>
          <m:sup>
            <m:r>
              <w:rPr>
                <w:rFonts w:ascii="Cambria Math" w:hAnsi="Cambria Math"/>
              </w:rPr>
              <m:t>CF</m:t>
            </m:r>
          </m:sup>
        </m:sSubSup>
      </m:oMath>
      <w:r w:rsidRPr="004946F6">
        <w:rPr>
          <w:rFonts w:cs="Times"/>
        </w:rPr>
        <w:t xml:space="preserve">, is a model parameter; the temporal context to </w:t>
      </w:r>
      <w:r w:rsidR="00897359" w:rsidRPr="004946F6">
        <w:rPr>
          <w:rFonts w:cs="Times"/>
        </w:rPr>
        <w:t xml:space="preserve">item </w:t>
      </w:r>
      <w:r w:rsidRPr="004946F6">
        <w:rPr>
          <w:rFonts w:cs="Times"/>
        </w:rPr>
        <w:t xml:space="preserve">feature associations, </w:t>
      </w:r>
      <m:oMath>
        <m:sSubSup>
          <m:sSubSupPr>
            <m:ctrlPr>
              <w:rPr>
                <w:rFonts w:ascii="Cambria Math" w:hAnsi="Cambria Math"/>
                <w:i/>
              </w:rPr>
            </m:ctrlPr>
          </m:sSubSupPr>
          <m:e>
            <m:r>
              <w:rPr>
                <w:rFonts w:ascii="Cambria Math" w:hAnsi="Cambria Math"/>
              </w:rPr>
              <m:t>L</m:t>
            </m:r>
          </m:e>
          <m:sub>
            <m:r>
              <w:rPr>
                <w:rFonts w:ascii="Cambria Math" w:hAnsi="Cambria Math"/>
              </w:rPr>
              <m:t>tw</m:t>
            </m:r>
          </m:sub>
          <m:sup>
            <m:r>
              <w:rPr>
                <w:rFonts w:ascii="Cambria Math" w:hAnsi="Cambria Math"/>
              </w:rPr>
              <m:t>CF</m:t>
            </m:r>
          </m:sup>
        </m:sSubSup>
      </m:oMath>
      <w:r w:rsidRPr="004946F6">
        <w:rPr>
          <w:rFonts w:cs="Times"/>
        </w:rPr>
        <w:t>, was fixed at 1 for Polyn et al., 2009, but we consider other values for this parameter, as described below.</w:t>
      </w:r>
    </w:p>
    <w:p w14:paraId="55155CE2" w14:textId="77777777" w:rsidR="00493A74" w:rsidRPr="004946F6" w:rsidRDefault="00493A74" w:rsidP="00493A74">
      <w:pPr>
        <w:widowControl w:val="0"/>
        <w:autoSpaceDE w:val="0"/>
        <w:autoSpaceDN w:val="0"/>
        <w:adjustRightInd w:val="0"/>
        <w:spacing w:after="240" w:line="480" w:lineRule="auto"/>
        <w:jc w:val="both"/>
        <w:rPr>
          <w:rFonts w:cs="Times"/>
        </w:rPr>
      </w:pPr>
      <w:r w:rsidRPr="004946F6">
        <w:rPr>
          <w:rFonts w:cs="Times"/>
        </w:rPr>
        <w:t xml:space="preserve">In a similar way, </w:t>
      </w:r>
      <m:oMath>
        <m:sSup>
          <m:sSupPr>
            <m:ctrlPr>
              <w:rPr>
                <w:rFonts w:ascii="Cambria Math" w:hAnsi="Cambria Math" w:cs="Times"/>
                <w:i/>
              </w:rPr>
            </m:ctrlPr>
          </m:sSupPr>
          <m:e>
            <m:r>
              <w:rPr>
                <w:rFonts w:ascii="Cambria Math" w:hAnsi="Cambria Math" w:cs="Times"/>
              </w:rPr>
              <m:t>M</m:t>
            </m:r>
          </m:e>
          <m:sup>
            <m:r>
              <w:rPr>
                <w:rFonts w:ascii="Cambria Math" w:hAnsi="Cambria Math" w:cs="Times"/>
              </w:rPr>
              <m:t>FC</m:t>
            </m:r>
          </m:sup>
        </m:sSup>
      </m:oMath>
      <w:r w:rsidRPr="004946F6">
        <w:rPr>
          <w:rFonts w:cs="Times"/>
        </w:rPr>
        <w:t xml:space="preserve"> also has 4 sub-components (i.e. those starting with </w:t>
      </w:r>
      <m:oMath>
        <m:r>
          <w:rPr>
            <w:rFonts w:ascii="Cambria Math" w:hAnsi="Cambria Math" w:cs="Times"/>
          </w:rPr>
          <m:t>w</m:t>
        </m:r>
      </m:oMath>
      <w:r w:rsidRPr="004946F6">
        <w:rPr>
          <w:rFonts w:cs="Times"/>
        </w:rPr>
        <w:t>), but again only the temporal feature terms are set to non-zero values:</w:t>
      </w:r>
    </w:p>
    <w:p w14:paraId="2F992D02" w14:textId="2B221396" w:rsidR="00493A74" w:rsidRPr="004946F6" w:rsidRDefault="00493A74" w:rsidP="00493A74">
      <w:pPr>
        <w:widowControl w:val="0"/>
        <w:autoSpaceDE w:val="0"/>
        <w:autoSpaceDN w:val="0"/>
        <w:adjustRightInd w:val="0"/>
        <w:spacing w:after="240" w:line="480" w:lineRule="auto"/>
        <w:jc w:val="both"/>
        <w:rPr>
          <w:rFonts w:cs="Times"/>
        </w:rPr>
      </w:pPr>
      <w:r w:rsidRPr="004946F6">
        <w:rPr>
          <w:rFonts w:cs="Times"/>
        </w:rPr>
        <w:t xml:space="preserve"> </w:t>
      </w:r>
      <m:oMath>
        <m:sSup>
          <m:sSupPr>
            <m:ctrlPr>
              <w:rPr>
                <w:rFonts w:ascii="Cambria Math" w:hAnsi="Cambria Math" w:cs="Times"/>
                <w:i/>
              </w:rPr>
            </m:ctrlPr>
          </m:sSupPr>
          <m:e>
            <m:r>
              <w:rPr>
                <w:rFonts w:ascii="Cambria Math" w:hAnsi="Cambria Math" w:cs="Times"/>
              </w:rPr>
              <m:t>L</m:t>
            </m:r>
          </m:e>
          <m:sup>
            <m:r>
              <w:rPr>
                <w:rFonts w:ascii="Cambria Math" w:hAnsi="Cambria Math" w:cs="Times"/>
              </w:rPr>
              <m:t>FC</m:t>
            </m:r>
          </m:sup>
        </m:sSup>
        <m:r>
          <w:rPr>
            <w:rFonts w:ascii="Cambria Math" w:hAnsi="Cambria Math" w:cs="Times"/>
          </w:rPr>
          <m:t xml:space="preserve">= </m:t>
        </m:r>
        <m:d>
          <m:dPr>
            <m:begChr m:val="["/>
            <m:endChr m:val="]"/>
            <m:ctrlPr>
              <w:rPr>
                <w:rFonts w:ascii="Cambria Math" w:hAnsi="Cambria Math" w:cs="Times"/>
                <w:i/>
              </w:rPr>
            </m:ctrlPr>
          </m:dPr>
          <m:e>
            <m:m>
              <m:mPr>
                <m:mcs>
                  <m:mc>
                    <m:mcPr>
                      <m:count m:val="2"/>
                      <m:mcJc m:val="center"/>
                    </m:mcPr>
                  </m:mc>
                </m:mcs>
                <m:ctrlPr>
                  <w:rPr>
                    <w:rFonts w:ascii="Cambria Math" w:hAnsi="Cambria Math" w:cs="Times"/>
                    <w:i/>
                  </w:rPr>
                </m:ctrlPr>
              </m:mPr>
              <m:mr>
                <m:e>
                  <m:sSubSup>
                    <m:sSubSupPr>
                      <m:ctrlPr>
                        <w:rPr>
                          <w:rFonts w:ascii="Cambria Math" w:hAnsi="Cambria Math" w:cs="Times"/>
                          <w:i/>
                        </w:rPr>
                      </m:ctrlPr>
                    </m:sSubSupPr>
                    <m:e>
                      <m:r>
                        <w:rPr>
                          <w:rFonts w:ascii="Cambria Math" w:hAnsi="Cambria Math" w:cs="Times"/>
                        </w:rPr>
                        <m:t>L</m:t>
                      </m:r>
                    </m:e>
                    <m:sub>
                      <m:r>
                        <w:rPr>
                          <w:rFonts w:ascii="Cambria Math" w:hAnsi="Cambria Math" w:cs="Times"/>
                        </w:rPr>
                        <m:t>wt</m:t>
                      </m:r>
                    </m:sub>
                    <m:sup>
                      <m:r>
                        <w:rPr>
                          <w:rFonts w:ascii="Cambria Math" w:hAnsi="Cambria Math" w:cs="Times"/>
                        </w:rPr>
                        <m:t>FC</m:t>
                      </m:r>
                    </m:sup>
                  </m:sSubSup>
                </m:e>
                <m:e>
                  <m:sSubSup>
                    <m:sSubSupPr>
                      <m:ctrlPr>
                        <w:rPr>
                          <w:rFonts w:ascii="Cambria Math" w:hAnsi="Cambria Math" w:cs="Times"/>
                          <w:i/>
                        </w:rPr>
                      </m:ctrlPr>
                    </m:sSubSupPr>
                    <m:e>
                      <m:r>
                        <w:rPr>
                          <w:rFonts w:ascii="Cambria Math" w:hAnsi="Cambria Math" w:cs="Times"/>
                        </w:rPr>
                        <m:t>L</m:t>
                      </m:r>
                    </m:e>
                    <m:sub>
                      <m:r>
                        <w:rPr>
                          <w:rFonts w:ascii="Cambria Math" w:hAnsi="Cambria Math" w:cs="Times"/>
                        </w:rPr>
                        <m:t>ws</m:t>
                      </m:r>
                    </m:sub>
                    <m:sup>
                      <m:r>
                        <w:rPr>
                          <w:rFonts w:ascii="Cambria Math" w:hAnsi="Cambria Math" w:cs="Times"/>
                        </w:rPr>
                        <m:t>FC</m:t>
                      </m:r>
                    </m:sup>
                  </m:sSubSup>
                </m:e>
              </m:mr>
              <m:mr>
                <m:e>
                  <m:sSubSup>
                    <m:sSubSupPr>
                      <m:ctrlPr>
                        <w:rPr>
                          <w:rFonts w:ascii="Cambria Math" w:hAnsi="Cambria Math" w:cs="Times"/>
                          <w:i/>
                        </w:rPr>
                      </m:ctrlPr>
                    </m:sSubSupPr>
                    <m:e>
                      <m:r>
                        <w:rPr>
                          <w:rFonts w:ascii="Cambria Math" w:hAnsi="Cambria Math" w:cs="Times"/>
                        </w:rPr>
                        <m:t>L</m:t>
                      </m:r>
                    </m:e>
                    <m:sub>
                      <m:r>
                        <w:rPr>
                          <w:rFonts w:ascii="Cambria Math" w:hAnsi="Cambria Math" w:cs="Times"/>
                        </w:rPr>
                        <m:t>st</m:t>
                      </m:r>
                    </m:sub>
                    <m:sup>
                      <m:r>
                        <w:rPr>
                          <w:rFonts w:ascii="Cambria Math" w:hAnsi="Cambria Math" w:cs="Times"/>
                        </w:rPr>
                        <m:t>FC</m:t>
                      </m:r>
                    </m:sup>
                  </m:sSubSup>
                </m:e>
                <m:e>
                  <m:sSubSup>
                    <m:sSubSupPr>
                      <m:ctrlPr>
                        <w:rPr>
                          <w:rFonts w:ascii="Cambria Math" w:hAnsi="Cambria Math" w:cs="Times"/>
                          <w:i/>
                        </w:rPr>
                      </m:ctrlPr>
                    </m:sSubSupPr>
                    <m:e>
                      <m:r>
                        <w:rPr>
                          <w:rFonts w:ascii="Cambria Math" w:hAnsi="Cambria Math" w:cs="Times"/>
                        </w:rPr>
                        <m:t>L</m:t>
                      </m:r>
                    </m:e>
                    <m:sub>
                      <m:r>
                        <w:rPr>
                          <w:rFonts w:ascii="Cambria Math" w:hAnsi="Cambria Math" w:cs="Times"/>
                        </w:rPr>
                        <m:t>ss</m:t>
                      </m:r>
                    </m:sub>
                    <m:sup>
                      <m:r>
                        <w:rPr>
                          <w:rFonts w:ascii="Cambria Math" w:hAnsi="Cambria Math" w:cs="Times"/>
                        </w:rPr>
                        <m:t>FC</m:t>
                      </m:r>
                    </m:sup>
                  </m:sSubSup>
                </m:e>
              </m:mr>
            </m:m>
          </m:e>
        </m:d>
      </m:oMath>
      <w:r w:rsidRPr="004946F6">
        <w:rPr>
          <w:rFonts w:eastAsiaTheme="minorEastAsia" w:cs="Times"/>
        </w:rPr>
        <w:t xml:space="preserve">. </w:t>
      </w:r>
      <w:r w:rsidRPr="004946F6">
        <w:rPr>
          <w:rFonts w:eastAsiaTheme="minorEastAsia" w:cs="Times"/>
        </w:rPr>
        <w:tab/>
      </w:r>
      <w:r w:rsidRPr="004946F6">
        <w:rPr>
          <w:rFonts w:eastAsiaTheme="minorEastAsia" w:cs="Times"/>
        </w:rPr>
        <w:tab/>
      </w:r>
      <w:r w:rsidRPr="004946F6">
        <w:rPr>
          <w:rFonts w:eastAsiaTheme="minorEastAsia" w:cs="Times"/>
        </w:rPr>
        <w:tab/>
      </w:r>
      <w:r w:rsidRPr="004946F6">
        <w:rPr>
          <w:rFonts w:eastAsiaTheme="minorEastAsia" w:cs="Times"/>
        </w:rPr>
        <w:tab/>
      </w:r>
      <w:r w:rsidRPr="004946F6">
        <w:rPr>
          <w:rFonts w:eastAsiaTheme="minorEastAsia" w:cs="Times"/>
        </w:rPr>
        <w:tab/>
      </w:r>
      <w:r w:rsidRPr="004946F6">
        <w:rPr>
          <w:rFonts w:eastAsiaTheme="minorEastAsia" w:cs="Times"/>
        </w:rPr>
        <w:tab/>
      </w:r>
      <w:r w:rsidRPr="004946F6">
        <w:rPr>
          <w:rFonts w:eastAsiaTheme="minorEastAsia" w:cs="Times"/>
        </w:rPr>
        <w:tab/>
      </w:r>
      <w:r w:rsidRPr="004946F6">
        <w:rPr>
          <w:rFonts w:eastAsiaTheme="minorEastAsia" w:cs="Times"/>
        </w:rPr>
        <w:tab/>
      </w:r>
      <w:r w:rsidRPr="004946F6">
        <w:rPr>
          <w:rFonts w:eastAsiaTheme="minorEastAsia" w:cs="Times"/>
        </w:rPr>
        <w:tab/>
      </w:r>
      <w:r w:rsidRPr="004946F6">
        <w:rPr>
          <w:rFonts w:eastAsiaTheme="minorEastAsia" w:cs="Times"/>
        </w:rPr>
        <w:tab/>
      </w:r>
      <w:r w:rsidR="006E738D" w:rsidRPr="004946F6">
        <w:rPr>
          <w:rFonts w:eastAsiaTheme="minorEastAsia" w:cs="Times"/>
        </w:rPr>
        <w:t xml:space="preserve">        </w:t>
      </w:r>
      <w:r w:rsidRPr="004946F6">
        <w:rPr>
          <w:rFonts w:eastAsiaTheme="minorEastAsia" w:cs="Times"/>
        </w:rPr>
        <w:t xml:space="preserve"> (</w:t>
      </w:r>
      <w:r w:rsidRPr="004946F6">
        <w:rPr>
          <w:rFonts w:cs="Times"/>
        </w:rPr>
        <w:t>7)</w:t>
      </w:r>
    </w:p>
    <w:p w14:paraId="22607694" w14:textId="77777777" w:rsidR="00493A74" w:rsidRPr="004946F6" w:rsidRDefault="00493A74" w:rsidP="00493A74">
      <w:pPr>
        <w:widowControl w:val="0"/>
        <w:autoSpaceDE w:val="0"/>
        <w:autoSpaceDN w:val="0"/>
        <w:adjustRightInd w:val="0"/>
        <w:spacing w:after="240" w:line="480" w:lineRule="auto"/>
        <w:jc w:val="both"/>
        <w:rPr>
          <w:rFonts w:cs="Times"/>
        </w:rPr>
      </w:pPr>
      <w:r w:rsidRPr="004946F6">
        <w:rPr>
          <w:rFonts w:cs="Times"/>
        </w:rPr>
        <w:t xml:space="preserve">In </w:t>
      </w:r>
      <m:oMath>
        <m:sSup>
          <m:sSupPr>
            <m:ctrlPr>
              <w:rPr>
                <w:rFonts w:ascii="Cambria Math" w:hAnsi="Cambria Math" w:cs="Times"/>
                <w:i/>
              </w:rPr>
            </m:ctrlPr>
          </m:sSupPr>
          <m:e>
            <m:r>
              <w:rPr>
                <w:rFonts w:ascii="Cambria Math" w:hAnsi="Cambria Math" w:cs="Times"/>
              </w:rPr>
              <m:t>M</m:t>
            </m:r>
          </m:e>
          <m:sup>
            <m:r>
              <w:rPr>
                <w:rFonts w:ascii="Cambria Math" w:hAnsi="Cambria Math" w:cs="Times"/>
              </w:rPr>
              <m:t>FC</m:t>
            </m:r>
          </m:sup>
        </m:sSup>
      </m:oMath>
      <w:r w:rsidRPr="004946F6">
        <w:rPr>
          <w:rFonts w:cs="Times"/>
        </w:rPr>
        <w:t xml:space="preserve"> the relative contribution of the updated experimental associations to the pre-existing associations is controlled by the parameter </w:t>
      </w:r>
      <m:oMath>
        <m:sSup>
          <m:sSupPr>
            <m:ctrlPr>
              <w:rPr>
                <w:rFonts w:ascii="Cambria Math" w:hAnsi="Cambria Math" w:cs="Times"/>
              </w:rPr>
            </m:ctrlPr>
          </m:sSupPr>
          <m:e>
            <m:r>
              <w:rPr>
                <w:rFonts w:ascii="Cambria Math" w:hAnsi="Cambria Math" w:cs="Times"/>
              </w:rPr>
              <m:t>γ</m:t>
            </m:r>
          </m:e>
          <m:sup>
            <m:r>
              <w:rPr>
                <w:rFonts w:ascii="Cambria Math" w:hAnsi="Cambria Math" w:cs="Times"/>
              </w:rPr>
              <m:t>FC</m:t>
            </m:r>
          </m:sup>
        </m:sSup>
      </m:oMath>
      <w:r w:rsidRPr="004946F6">
        <w:rPr>
          <w:rFonts w:cs="Times"/>
        </w:rPr>
        <w:t>:</w:t>
      </w:r>
    </w:p>
    <w:p w14:paraId="69B1BEDD" w14:textId="271DE9A5" w:rsidR="00493A74" w:rsidRPr="004946F6" w:rsidRDefault="00FF6050" w:rsidP="00493A74">
      <w:pPr>
        <w:widowControl w:val="0"/>
        <w:autoSpaceDE w:val="0"/>
        <w:autoSpaceDN w:val="0"/>
        <w:adjustRightInd w:val="0"/>
        <w:spacing w:after="240" w:line="480" w:lineRule="auto"/>
        <w:jc w:val="both"/>
        <w:rPr>
          <w:rFonts w:eastAsiaTheme="minorEastAsia" w:cs="Times"/>
          <w:i/>
          <w:iCs/>
        </w:rPr>
      </w:pPr>
      <m:oMath>
        <m:sSup>
          <m:sSupPr>
            <m:ctrlPr>
              <w:rPr>
                <w:rFonts w:ascii="Cambria Math" w:hAnsi="Cambria Math" w:cs="Times"/>
                <w:i/>
              </w:rPr>
            </m:ctrlPr>
          </m:sSupPr>
          <m:e>
            <m:r>
              <w:rPr>
                <w:rFonts w:ascii="Cambria Math" w:hAnsi="Cambria Math" w:cs="Times"/>
              </w:rPr>
              <m:t>M</m:t>
            </m:r>
          </m:e>
          <m:sup>
            <m:r>
              <w:rPr>
                <w:rFonts w:ascii="Cambria Math" w:hAnsi="Cambria Math" w:cs="Times"/>
              </w:rPr>
              <m:t>FC</m:t>
            </m:r>
          </m:sup>
        </m:sSup>
        <m:r>
          <w:rPr>
            <w:rFonts w:ascii="Cambria Math" w:hAnsi="Cambria Math" w:cs="Times"/>
          </w:rPr>
          <m:t xml:space="preserve">= </m:t>
        </m:r>
        <m:d>
          <m:dPr>
            <m:ctrlPr>
              <w:rPr>
                <w:rFonts w:ascii="Cambria Math" w:hAnsi="Cambria Math" w:cs="Times"/>
              </w:rPr>
            </m:ctrlPr>
          </m:dPr>
          <m:e>
            <m:r>
              <m:rPr>
                <m:sty m:val="p"/>
              </m:rPr>
              <w:rPr>
                <w:rFonts w:ascii="Cambria Math" w:hAnsi="Cambria Math" w:cs="Times"/>
              </w:rPr>
              <m:t>1-</m:t>
            </m:r>
            <m:sSup>
              <m:sSupPr>
                <m:ctrlPr>
                  <w:rPr>
                    <w:rFonts w:ascii="Cambria Math" w:hAnsi="Cambria Math" w:cs="Times"/>
                  </w:rPr>
                </m:ctrlPr>
              </m:sSupPr>
              <m:e>
                <m:r>
                  <w:rPr>
                    <w:rFonts w:ascii="Cambria Math" w:hAnsi="Cambria Math" w:cs="Times"/>
                  </w:rPr>
                  <m:t>γ</m:t>
                </m:r>
              </m:e>
              <m:sup>
                <m:r>
                  <w:rPr>
                    <w:rFonts w:ascii="Cambria Math" w:hAnsi="Cambria Math" w:cs="Times"/>
                  </w:rPr>
                  <m:t>FC</m:t>
                </m:r>
              </m:sup>
            </m:sSup>
          </m:e>
        </m:d>
        <m:sSubSup>
          <m:sSubSupPr>
            <m:ctrlPr>
              <w:rPr>
                <w:rFonts w:ascii="Cambria Math" w:hAnsi="Cambria Math"/>
                <w:i/>
              </w:rPr>
            </m:ctrlPr>
          </m:sSubSupPr>
          <m:e>
            <m:r>
              <w:rPr>
                <w:rFonts w:ascii="Cambria Math" w:hAnsi="Cambria Math"/>
              </w:rPr>
              <m:t>M</m:t>
            </m:r>
          </m:e>
          <m:sub>
            <m:r>
              <w:rPr>
                <w:rFonts w:ascii="Cambria Math" w:hAnsi="Cambria Math"/>
              </w:rPr>
              <m:t>pre</m:t>
            </m:r>
          </m:sub>
          <m:sup>
            <m:r>
              <w:rPr>
                <w:rFonts w:ascii="Cambria Math" w:hAnsi="Cambria Math"/>
              </w:rPr>
              <m:t>FC</m:t>
            </m:r>
          </m:sup>
        </m:sSubSup>
        <m:r>
          <m:rPr>
            <m:sty m:val="p"/>
          </m:rPr>
          <w:rPr>
            <w:rFonts w:ascii="Cambria Math" w:hAnsi="Cambria Math" w:cs="Times"/>
          </w:rPr>
          <m:t xml:space="preserve">+ </m:t>
        </m:r>
        <m:sSup>
          <m:sSupPr>
            <m:ctrlPr>
              <w:rPr>
                <w:rFonts w:ascii="Cambria Math" w:hAnsi="Cambria Math" w:cs="Times"/>
              </w:rPr>
            </m:ctrlPr>
          </m:sSupPr>
          <m:e>
            <m:r>
              <w:rPr>
                <w:rFonts w:ascii="Cambria Math" w:hAnsi="Cambria Math" w:cs="Times"/>
              </w:rPr>
              <m:t>γ</m:t>
            </m:r>
          </m:e>
          <m:sup>
            <m:r>
              <w:rPr>
                <w:rFonts w:ascii="Cambria Math" w:hAnsi="Cambria Math" w:cs="Times"/>
              </w:rPr>
              <m:t>FC</m:t>
            </m:r>
          </m:sup>
        </m:sSup>
        <m:r>
          <w:rPr>
            <w:rFonts w:ascii="Cambria Math" w:hAnsi="Cambria Math" w:cs="Times"/>
          </w:rPr>
          <m:t xml:space="preserve"> </m:t>
        </m:r>
        <m:sSubSup>
          <m:sSubSupPr>
            <m:ctrlPr>
              <w:rPr>
                <w:rFonts w:ascii="Cambria Math" w:hAnsi="Cambria Math"/>
                <w:i/>
              </w:rPr>
            </m:ctrlPr>
          </m:sSubSupPr>
          <m:e>
            <m:r>
              <w:rPr>
                <w:rFonts w:ascii="Cambria Math" w:hAnsi="Cambria Math"/>
              </w:rPr>
              <m:t>M</m:t>
            </m:r>
          </m:e>
          <m:sub>
            <m:r>
              <w:rPr>
                <w:rFonts w:ascii="Cambria Math" w:hAnsi="Cambria Math"/>
              </w:rPr>
              <m:t>exp</m:t>
            </m:r>
          </m:sub>
          <m:sup>
            <m:r>
              <w:rPr>
                <w:rFonts w:ascii="Cambria Math" w:hAnsi="Cambria Math"/>
              </w:rPr>
              <m:t>FC</m:t>
            </m:r>
          </m:sup>
        </m:sSubSup>
        <m:r>
          <w:rPr>
            <w:rFonts w:ascii="Cambria Math" w:hAnsi="Cambria Math" w:cs="Times"/>
          </w:rPr>
          <m:t>,</m:t>
        </m:r>
      </m:oMath>
      <w:r w:rsidR="006E738D" w:rsidRPr="004946F6">
        <w:rPr>
          <w:rFonts w:eastAsiaTheme="minorEastAsia" w:cs="Times"/>
          <w:i/>
        </w:rPr>
        <w:t xml:space="preserve">                                                             </w:t>
      </w:r>
      <w:r w:rsidR="00493A74" w:rsidRPr="004946F6">
        <w:rPr>
          <w:rFonts w:eastAsiaTheme="minorEastAsia" w:cs="Times"/>
          <w:i/>
        </w:rPr>
        <w:t xml:space="preserve"> </w:t>
      </w:r>
      <w:r w:rsidR="00493A74" w:rsidRPr="004946F6">
        <w:rPr>
          <w:rFonts w:cs="Times"/>
        </w:rPr>
        <w:t>(8)</w:t>
      </w:r>
    </w:p>
    <w:p w14:paraId="62F41FD7" w14:textId="77777777" w:rsidR="00493A74" w:rsidRPr="004946F6" w:rsidRDefault="00493A74" w:rsidP="00493A74">
      <w:pPr>
        <w:widowControl w:val="0"/>
        <w:autoSpaceDE w:val="0"/>
        <w:autoSpaceDN w:val="0"/>
        <w:adjustRightInd w:val="0"/>
        <w:spacing w:after="240" w:line="480" w:lineRule="auto"/>
        <w:jc w:val="both"/>
        <w:rPr>
          <w:rFonts w:eastAsiaTheme="minorEastAsia" w:cs="Times"/>
        </w:rPr>
      </w:pPr>
      <w:r w:rsidRPr="004946F6">
        <w:rPr>
          <w:rFonts w:eastAsiaTheme="minorEastAsia" w:cs="Times"/>
        </w:rPr>
        <w:t>whereas the pre-</w:t>
      </w:r>
      <w:r w:rsidRPr="004946F6">
        <w:t>experimental</w:t>
      </w:r>
      <w:r w:rsidRPr="004946F6">
        <w:rPr>
          <w:rFonts w:eastAsiaTheme="minorEastAsia" w:cs="Times"/>
        </w:rPr>
        <w:t xml:space="preserve"> and experimental components of </w:t>
      </w:r>
      <m:oMath>
        <m:sSup>
          <m:sSupPr>
            <m:ctrlPr>
              <w:rPr>
                <w:rFonts w:ascii="Cambria Math" w:hAnsi="Cambria Math" w:cs="Times"/>
                <w:i/>
              </w:rPr>
            </m:ctrlPr>
          </m:sSupPr>
          <m:e>
            <m:r>
              <w:rPr>
                <w:rFonts w:ascii="Cambria Math" w:hAnsi="Cambria Math" w:cs="Times"/>
              </w:rPr>
              <m:t>M</m:t>
            </m:r>
          </m:e>
          <m:sup>
            <m:r>
              <w:rPr>
                <w:rFonts w:ascii="Cambria Math" w:hAnsi="Cambria Math" w:cs="Times"/>
              </w:rPr>
              <m:t>CF</m:t>
            </m:r>
          </m:sup>
        </m:sSup>
      </m:oMath>
      <w:r w:rsidRPr="004946F6">
        <w:rPr>
          <w:rFonts w:cs="Times"/>
        </w:rPr>
        <w:t xml:space="preserve"> do not have this trade-off:</w:t>
      </w:r>
    </w:p>
    <w:p w14:paraId="4A76691A" w14:textId="405893B7" w:rsidR="00493A74" w:rsidRPr="004946F6" w:rsidRDefault="00FF6050" w:rsidP="00493A74">
      <w:pPr>
        <w:widowControl w:val="0"/>
        <w:autoSpaceDE w:val="0"/>
        <w:autoSpaceDN w:val="0"/>
        <w:adjustRightInd w:val="0"/>
        <w:spacing w:after="240" w:line="480" w:lineRule="auto"/>
        <w:jc w:val="both"/>
        <w:rPr>
          <w:rFonts w:cs="Times"/>
          <w:i/>
          <w:iCs/>
        </w:rPr>
      </w:pPr>
      <m:oMath>
        <m:sSup>
          <m:sSupPr>
            <m:ctrlPr>
              <w:rPr>
                <w:rFonts w:ascii="Cambria Math" w:hAnsi="Cambria Math" w:cs="Times"/>
                <w:i/>
              </w:rPr>
            </m:ctrlPr>
          </m:sSupPr>
          <m:e>
            <m:r>
              <w:rPr>
                <w:rFonts w:ascii="Cambria Math" w:hAnsi="Cambria Math" w:cs="Times"/>
              </w:rPr>
              <m:t>M</m:t>
            </m:r>
          </m:e>
          <m:sup>
            <m:r>
              <w:rPr>
                <w:rFonts w:ascii="Cambria Math" w:hAnsi="Cambria Math" w:cs="Times"/>
              </w:rPr>
              <m:t>CF</m:t>
            </m:r>
          </m:sup>
        </m:sSup>
        <m:r>
          <w:rPr>
            <w:rFonts w:ascii="Cambria Math" w:hAnsi="Cambria Math" w:cs="Times"/>
          </w:rPr>
          <m:t xml:space="preserve">= </m:t>
        </m:r>
        <m:sSubSup>
          <m:sSubSupPr>
            <m:ctrlPr>
              <w:rPr>
                <w:rFonts w:ascii="Cambria Math" w:hAnsi="Cambria Math"/>
                <w:i/>
              </w:rPr>
            </m:ctrlPr>
          </m:sSubSupPr>
          <m:e>
            <m:r>
              <w:rPr>
                <w:rFonts w:ascii="Cambria Math" w:hAnsi="Cambria Math"/>
              </w:rPr>
              <m:t>s M</m:t>
            </m:r>
          </m:e>
          <m:sub>
            <m:r>
              <w:rPr>
                <w:rFonts w:ascii="Cambria Math" w:hAnsi="Cambria Math"/>
              </w:rPr>
              <m:t>pre</m:t>
            </m:r>
          </m:sub>
          <m:sup>
            <m:r>
              <w:rPr>
                <w:rFonts w:ascii="Cambria Math" w:hAnsi="Cambria Math"/>
              </w:rPr>
              <m:t>CF</m:t>
            </m:r>
          </m:sup>
        </m:sSubSup>
        <m:r>
          <m:rPr>
            <m:sty m:val="p"/>
          </m:rPr>
          <w:rPr>
            <w:rFonts w:ascii="Cambria Math" w:hAnsi="Cambria Math" w:cs="Times"/>
          </w:rPr>
          <m:t xml:space="preserve">+ </m:t>
        </m:r>
        <m:sSubSup>
          <m:sSubSupPr>
            <m:ctrlPr>
              <w:rPr>
                <w:rFonts w:ascii="Cambria Math" w:hAnsi="Cambria Math"/>
                <w:i/>
              </w:rPr>
            </m:ctrlPr>
          </m:sSubSupPr>
          <m:e>
            <m:r>
              <w:rPr>
                <w:rFonts w:ascii="Cambria Math" w:hAnsi="Cambria Math"/>
              </w:rPr>
              <m:t>M</m:t>
            </m:r>
          </m:e>
          <m:sub>
            <m:r>
              <w:rPr>
                <w:rFonts w:ascii="Cambria Math" w:hAnsi="Cambria Math"/>
              </w:rPr>
              <m:t>exp</m:t>
            </m:r>
          </m:sub>
          <m:sup>
            <m:r>
              <w:rPr>
                <w:rFonts w:ascii="Cambria Math" w:hAnsi="Cambria Math"/>
              </w:rPr>
              <m:t>CF</m:t>
            </m:r>
          </m:sup>
        </m:sSubSup>
        <m:r>
          <w:rPr>
            <w:rFonts w:ascii="Cambria Math" w:hAnsi="Cambria Math" w:cs="Times"/>
          </w:rPr>
          <m:t>.</m:t>
        </m:r>
      </m:oMath>
      <w:r w:rsidR="006E738D" w:rsidRPr="004946F6">
        <w:rPr>
          <w:rFonts w:cs="Times"/>
          <w:i/>
          <w:iCs/>
        </w:rPr>
        <w:t xml:space="preserve">     </w:t>
      </w:r>
      <w:r w:rsidR="006E738D" w:rsidRPr="004946F6">
        <w:rPr>
          <w:rFonts w:eastAsiaTheme="minorEastAsia" w:cs="Times"/>
          <w:i/>
        </w:rPr>
        <w:t xml:space="preserve">                                                </w:t>
      </w:r>
      <w:r w:rsidR="006E738D" w:rsidRPr="004946F6">
        <w:rPr>
          <w:rFonts w:eastAsiaTheme="minorEastAsia" w:cs="Times"/>
        </w:rPr>
        <w:t xml:space="preserve">                    </w:t>
      </w:r>
      <w:r w:rsidR="00493A74" w:rsidRPr="004946F6">
        <w:rPr>
          <w:rFonts w:eastAsiaTheme="minorEastAsia" w:cs="Times"/>
        </w:rPr>
        <w:t>(9)</w:t>
      </w:r>
      <w:r w:rsidR="006E738D" w:rsidRPr="004946F6">
        <w:rPr>
          <w:rFonts w:cs="Times"/>
          <w:i/>
          <w:iCs/>
        </w:rPr>
        <w:t xml:space="preserve">         </w:t>
      </w:r>
      <w:r w:rsidR="006E738D" w:rsidRPr="004946F6">
        <w:rPr>
          <w:rFonts w:eastAsiaTheme="minorEastAsia" w:cs="Times"/>
          <w:i/>
        </w:rPr>
        <w:t xml:space="preserve">                                                </w:t>
      </w:r>
      <w:r w:rsidR="006E738D" w:rsidRPr="004946F6">
        <w:rPr>
          <w:rFonts w:cs="Times"/>
          <w:i/>
          <w:iCs/>
        </w:rPr>
        <w:t xml:space="preserve">                           </w:t>
      </w:r>
    </w:p>
    <w:p w14:paraId="3BAAD6CC" w14:textId="77777777" w:rsidR="00493A74" w:rsidRPr="004946F6" w:rsidRDefault="00493A74" w:rsidP="00493A74">
      <w:pPr>
        <w:widowControl w:val="0"/>
        <w:autoSpaceDE w:val="0"/>
        <w:autoSpaceDN w:val="0"/>
        <w:adjustRightInd w:val="0"/>
        <w:spacing w:after="240" w:line="480" w:lineRule="auto"/>
        <w:jc w:val="both"/>
        <w:rPr>
          <w:rFonts w:cs="Times"/>
        </w:rPr>
      </w:pPr>
      <w:r w:rsidRPr="004946F6">
        <w:rPr>
          <w:rFonts w:cs="Times"/>
        </w:rPr>
        <w:t xml:space="preserve">Given that the semantic associations are stored in </w:t>
      </w:r>
      <m:oMath>
        <m:sSubSup>
          <m:sSubSupPr>
            <m:ctrlPr>
              <w:rPr>
                <w:rFonts w:ascii="Cambria Math" w:hAnsi="Cambria Math"/>
                <w:i/>
              </w:rPr>
            </m:ctrlPr>
          </m:sSubSupPr>
          <m:e>
            <m:r>
              <w:rPr>
                <w:rFonts w:ascii="Cambria Math" w:hAnsi="Cambria Math"/>
              </w:rPr>
              <m:t>M</m:t>
            </m:r>
          </m:e>
          <m:sub>
            <m:r>
              <w:rPr>
                <w:rFonts w:ascii="Cambria Math" w:hAnsi="Cambria Math"/>
              </w:rPr>
              <m:t>pre</m:t>
            </m:r>
          </m:sub>
          <m:sup>
            <m:r>
              <w:rPr>
                <w:rFonts w:ascii="Cambria Math" w:hAnsi="Cambria Math"/>
              </w:rPr>
              <m:t>CF</m:t>
            </m:r>
          </m:sup>
        </m:sSubSup>
      </m:oMath>
      <w:r w:rsidRPr="004946F6">
        <w:rPr>
          <w:rFonts w:cs="Times"/>
        </w:rPr>
        <w:t xml:space="preserve"> as described above, the </w:t>
      </w:r>
      <m:oMath>
        <m:r>
          <w:rPr>
            <w:rFonts w:ascii="Cambria Math" w:hAnsi="Cambria Math"/>
          </w:rPr>
          <m:t>s</m:t>
        </m:r>
      </m:oMath>
      <w:r w:rsidRPr="004946F6">
        <w:rPr>
          <w:rFonts w:cs="Times"/>
          <w:i/>
          <w:iCs/>
        </w:rPr>
        <w:t xml:space="preserve"> </w:t>
      </w:r>
      <w:r w:rsidRPr="004946F6">
        <w:rPr>
          <w:rFonts w:cs="Times"/>
        </w:rPr>
        <w:t>parameter thus controls the relative contribution of semantic associations to the experimentally formed (temporal and emotional) associations.</w:t>
      </w:r>
    </w:p>
    <w:p w14:paraId="23FF2D79" w14:textId="77777777" w:rsidR="00493A74" w:rsidRPr="004946F6" w:rsidRDefault="00493A74" w:rsidP="00493A74">
      <w:pPr>
        <w:widowControl w:val="0"/>
        <w:autoSpaceDE w:val="0"/>
        <w:autoSpaceDN w:val="0"/>
        <w:adjustRightInd w:val="0"/>
        <w:spacing w:after="240" w:line="480" w:lineRule="auto"/>
        <w:jc w:val="both"/>
        <w:rPr>
          <w:rFonts w:cs="Times"/>
        </w:rPr>
      </w:pPr>
      <w:r w:rsidRPr="004946F6">
        <w:t>In the item layer, the emotional source units are set solely based on whether the currently presented item is emotional or neutral. In the context layer, the emotional source units are a recency-weighted sum of past emotional states, such that if emotional items were presented in the more recent past, then the emotional context unit will have a greater strength.</w:t>
      </w:r>
    </w:p>
    <w:p w14:paraId="0F803AE0" w14:textId="77777777" w:rsidR="00493A74" w:rsidRPr="004946F6" w:rsidRDefault="00493A74" w:rsidP="00493A74">
      <w:pPr>
        <w:widowControl w:val="0"/>
        <w:autoSpaceDE w:val="0"/>
        <w:autoSpaceDN w:val="0"/>
        <w:adjustRightInd w:val="0"/>
        <w:spacing w:after="240" w:line="480" w:lineRule="auto"/>
        <w:jc w:val="both"/>
        <w:rPr>
          <w:rFonts w:cs="Times"/>
        </w:rPr>
      </w:pPr>
      <w:r w:rsidRPr="004946F6">
        <w:rPr>
          <w:rFonts w:cs="Times"/>
        </w:rPr>
        <w:t xml:space="preserve">After all list items are presented, if there is an end-of-list distractor, it is simulated in the model by again updating </w:t>
      </w:r>
      <m:oMath>
        <m:r>
          <m:rPr>
            <m:sty m:val="b"/>
          </m:rPr>
          <w:rPr>
            <w:rFonts w:ascii="Cambria Math" w:hAnsi="Cambria Math" w:cs="Times"/>
          </w:rPr>
          <m:t>c</m:t>
        </m:r>
      </m:oMath>
      <w:r w:rsidRPr="004946F6">
        <w:rPr>
          <w:rFonts w:cs="Times"/>
          <w:b/>
          <w:bCs/>
        </w:rPr>
        <w:t xml:space="preserve"> </w:t>
      </w:r>
      <w:r w:rsidRPr="004946F6">
        <w:rPr>
          <w:rFonts w:cs="Times"/>
        </w:rPr>
        <w:t xml:space="preserve">according to Equation 2. In this case, the distractor is a single item and updates temporal context with value </w:t>
      </w:r>
      <m:oMath>
        <m:sSub>
          <m:sSubPr>
            <m:ctrlPr>
              <w:rPr>
                <w:rFonts w:ascii="Cambria Math" w:hAnsi="Cambria Math"/>
              </w:rPr>
            </m:ctrlPr>
          </m:sSubPr>
          <m:e>
            <m:r>
              <m:rPr>
                <m:sty m:val="p"/>
              </m:rPr>
              <w:rPr>
                <w:rFonts w:ascii="Cambria Math" w:hAnsi="Cambria Math" w:hint="eastAsia"/>
              </w:rPr>
              <m:t>β</m:t>
            </m:r>
          </m:e>
          <m:sub>
            <m:r>
              <w:rPr>
                <w:rFonts w:ascii="Cambria Math" w:hAnsi="Cambria Math"/>
              </w:rPr>
              <m:t>dist</m:t>
            </m:r>
          </m:sub>
        </m:sSub>
      </m:oMath>
      <w:r w:rsidRPr="004946F6">
        <w:rPr>
          <w:rFonts w:cs="Times"/>
        </w:rPr>
        <w:t>. Like the disruption to temporal context between types of emotional context, this disruption item is not incorporated into the association matrices and cannot be recalled.</w:t>
      </w:r>
    </w:p>
    <w:p w14:paraId="455F5487" w14:textId="0961FDC7" w:rsidR="00493A74" w:rsidRPr="004946F6" w:rsidRDefault="00493A74" w:rsidP="00493A74">
      <w:pPr>
        <w:widowControl w:val="0"/>
        <w:autoSpaceDE w:val="0"/>
        <w:autoSpaceDN w:val="0"/>
        <w:adjustRightInd w:val="0"/>
        <w:spacing w:after="240" w:line="480" w:lineRule="auto"/>
        <w:jc w:val="both"/>
        <w:rPr>
          <w:rFonts w:cs="Times"/>
        </w:rPr>
      </w:pPr>
      <w:r w:rsidRPr="004946F6">
        <w:rPr>
          <w:rFonts w:cs="Times"/>
        </w:rPr>
        <w:t xml:space="preserve">At the time of recall, cuing with the context associated with the final list item </w:t>
      </w:r>
      <m:oMath>
        <m:r>
          <w:rPr>
            <w:rFonts w:ascii="Cambria Math" w:hAnsi="Cambria Math" w:cs="Times"/>
          </w:rPr>
          <m:t>i</m:t>
        </m:r>
      </m:oMath>
      <w:r w:rsidRPr="004946F6">
        <w:rPr>
          <w:rFonts w:cs="Times"/>
        </w:rPr>
        <w:t xml:space="preserve">, </w:t>
      </w:r>
      <m:oMath>
        <m:sSub>
          <m:sSubPr>
            <m:ctrlPr>
              <w:rPr>
                <w:rFonts w:ascii="Cambria Math" w:hAnsi="Cambria Math" w:cs="Times"/>
                <w:i/>
              </w:rPr>
            </m:ctrlPr>
          </m:sSubPr>
          <m:e>
            <m:r>
              <m:rPr>
                <m:sty m:val="b"/>
              </m:rPr>
              <w:rPr>
                <w:rFonts w:ascii="Cambria Math" w:hAnsi="Cambria Math" w:cs="Times"/>
              </w:rPr>
              <m:t>c</m:t>
            </m:r>
          </m:e>
          <m:sub>
            <m:r>
              <w:rPr>
                <w:rFonts w:ascii="Cambria Math" w:hAnsi="Cambria Math" w:cs="Times"/>
              </w:rPr>
              <m:t>i</m:t>
            </m:r>
          </m:sub>
        </m:sSub>
        <m:r>
          <w:rPr>
            <w:rFonts w:ascii="Cambria Math" w:hAnsi="Cambria Math" w:cs="Times"/>
          </w:rPr>
          <m:t xml:space="preserve">, </m:t>
        </m:r>
      </m:oMath>
      <w:r w:rsidRPr="004946F6">
        <w:rPr>
          <w:rFonts w:cs="Times"/>
        </w:rPr>
        <w:t>retrieves a vector</w:t>
      </w:r>
      <w:r w:rsidR="006E738D" w:rsidRPr="004946F6">
        <w:rPr>
          <w:rFonts w:cs="Times"/>
        </w:rPr>
        <w:t xml:space="preserve"> </w:t>
      </w:r>
      <m:oMath>
        <m:sSup>
          <m:sSupPr>
            <m:ctrlPr>
              <w:rPr>
                <w:rFonts w:ascii="Cambria Math" w:hAnsi="Cambria Math" w:cs="Times"/>
                <w:i/>
              </w:rPr>
            </m:ctrlPr>
          </m:sSupPr>
          <m:e>
            <m:r>
              <w:rPr>
                <w:rFonts w:ascii="Cambria Math" w:hAnsi="Cambria Math" w:cs="Times"/>
              </w:rPr>
              <m:t xml:space="preserve"> </m:t>
            </m:r>
            <m:sSubSup>
              <m:sSubSupPr>
                <m:ctrlPr>
                  <w:rPr>
                    <w:rFonts w:ascii="Cambria Math" w:hAnsi="Cambria Math" w:cs="Times"/>
                    <w:b/>
                  </w:rPr>
                </m:ctrlPr>
              </m:sSubSupPr>
              <m:e>
                <m:r>
                  <m:rPr>
                    <m:sty m:val="b"/>
                  </m:rPr>
                  <w:rPr>
                    <w:rFonts w:ascii="Cambria Math" w:hAnsi="Cambria Math" w:cs="Times"/>
                  </w:rPr>
                  <m:t>f</m:t>
                </m:r>
              </m:e>
              <m:sub>
                <m:r>
                  <w:rPr>
                    <w:rFonts w:ascii="Cambria Math" w:hAnsi="Cambria Math" w:cs="Times"/>
                  </w:rPr>
                  <m:t>r</m:t>
                </m:r>
              </m:sub>
              <m:sup>
                <m:r>
                  <m:rPr>
                    <m:sty m:val="b"/>
                  </m:rPr>
                  <w:rPr>
                    <w:rFonts w:ascii="Cambria Math" w:hAnsi="Cambria Math" w:cs="Times"/>
                  </w:rPr>
                  <m:t>IN</m:t>
                </m:r>
              </m:sup>
            </m:sSubSup>
            <m:r>
              <m:rPr>
                <m:sty m:val="b"/>
              </m:rPr>
              <w:rPr>
                <w:rFonts w:ascii="Cambria Math" w:hAnsi="Cambria Math" w:cs="Times"/>
                <w:position w:val="10"/>
              </w:rPr>
              <m:t xml:space="preserve"> </m:t>
            </m:r>
            <m:r>
              <w:rPr>
                <w:rFonts w:ascii="Cambria Math" w:hAnsi="Cambria Math" w:cs="Times"/>
              </w:rPr>
              <m:t>=M</m:t>
            </m:r>
          </m:e>
          <m:sup>
            <m:r>
              <w:rPr>
                <w:rFonts w:ascii="Cambria Math" w:hAnsi="Cambria Math" w:cs="Times"/>
              </w:rPr>
              <m:t>CF</m:t>
            </m:r>
          </m:sup>
        </m:sSup>
        <m:sSub>
          <m:sSubPr>
            <m:ctrlPr>
              <w:rPr>
                <w:rFonts w:ascii="Cambria Math" w:hAnsi="Cambria Math" w:cs="Times"/>
                <w:i/>
              </w:rPr>
            </m:ctrlPr>
          </m:sSubPr>
          <m:e>
            <m:r>
              <m:rPr>
                <m:sty m:val="b"/>
              </m:rPr>
              <w:rPr>
                <w:rFonts w:ascii="Cambria Math" w:hAnsi="Cambria Math" w:cs="Times"/>
              </w:rPr>
              <m:t>c</m:t>
            </m:r>
          </m:e>
          <m:sub>
            <m:r>
              <w:rPr>
                <w:rFonts w:ascii="Cambria Math" w:hAnsi="Cambria Math" w:cs="Times"/>
              </w:rPr>
              <m:t>i</m:t>
            </m:r>
          </m:sub>
        </m:sSub>
      </m:oMath>
      <w:r w:rsidRPr="004946F6">
        <w:rPr>
          <w:rFonts w:cs="Times"/>
        </w:rPr>
        <w:t xml:space="preserve">. To determine which item the model recalls, </w:t>
      </w:r>
      <m:oMath>
        <m:sSubSup>
          <m:sSubSupPr>
            <m:ctrlPr>
              <w:rPr>
                <w:rFonts w:ascii="Cambria Math" w:hAnsi="Cambria Math" w:cs="Times"/>
                <w:b/>
              </w:rPr>
            </m:ctrlPr>
          </m:sSubSupPr>
          <m:e>
            <m:r>
              <m:rPr>
                <m:sty m:val="b"/>
              </m:rPr>
              <w:rPr>
                <w:rFonts w:ascii="Cambria Math" w:hAnsi="Cambria Math" w:cs="Times"/>
              </w:rPr>
              <m:t>f</m:t>
            </m:r>
          </m:e>
          <m:sub>
            <m:r>
              <w:rPr>
                <w:rFonts w:ascii="Cambria Math" w:hAnsi="Cambria Math" w:cs="Times"/>
              </w:rPr>
              <m:t>r</m:t>
            </m:r>
          </m:sub>
          <m:sup>
            <m:r>
              <m:rPr>
                <m:sty m:val="b"/>
              </m:rPr>
              <w:rPr>
                <w:rFonts w:ascii="Cambria Math" w:hAnsi="Cambria Math" w:cs="Times"/>
              </w:rPr>
              <m:t>IN</m:t>
            </m:r>
          </m:sup>
        </m:sSubSup>
      </m:oMath>
      <w:r w:rsidRPr="004946F6">
        <w:rPr>
          <w:rFonts w:cs="Times"/>
          <w:b/>
          <w:bCs/>
          <w:position w:val="10"/>
        </w:rPr>
        <w:t xml:space="preserve"> </w:t>
      </w:r>
      <w:r w:rsidRPr="004946F6">
        <w:rPr>
          <w:rFonts w:cs="Times"/>
        </w:rPr>
        <w:t xml:space="preserve">serves as the input to a leaky, competitive accumulation process (Usher &amp; McClelland, 2001) whose value at time step </w:t>
      </w:r>
      <m:oMath>
        <m:r>
          <w:rPr>
            <w:rFonts w:ascii="Cambria Math" w:hAnsi="Cambria Math" w:cs="Times"/>
          </w:rPr>
          <m:t>t</m:t>
        </m:r>
      </m:oMath>
      <w:r w:rsidRPr="004946F6">
        <w:rPr>
          <w:rFonts w:cs="Times"/>
          <w:i/>
          <w:iCs/>
        </w:rPr>
        <w:t xml:space="preserve"> </w:t>
      </w:r>
      <w:r w:rsidRPr="004946F6">
        <w:rPr>
          <w:rFonts w:cs="Times"/>
        </w:rPr>
        <w:t xml:space="preserve">is determined by </w:t>
      </w:r>
    </w:p>
    <w:p w14:paraId="753A9EE0" w14:textId="77777777" w:rsidR="00493A74" w:rsidRPr="004946F6" w:rsidRDefault="00FF6050" w:rsidP="00493A74">
      <w:pPr>
        <w:widowControl w:val="0"/>
        <w:autoSpaceDE w:val="0"/>
        <w:autoSpaceDN w:val="0"/>
        <w:adjustRightInd w:val="0"/>
        <w:spacing w:after="240" w:line="480" w:lineRule="auto"/>
        <w:jc w:val="both"/>
        <w:rPr>
          <w:rFonts w:cs="David"/>
        </w:rPr>
      </w:pPr>
      <m:oMathPara>
        <m:oMathParaPr>
          <m:jc m:val="left"/>
        </m:oMathParaPr>
        <m:oMath>
          <m:sSub>
            <m:sSubPr>
              <m:ctrlPr>
                <w:rPr>
                  <w:rFonts w:ascii="Cambria Math" w:hAnsi="Cambria Math" w:cs="David"/>
                  <w:i/>
                </w:rPr>
              </m:ctrlPr>
            </m:sSubPr>
            <m:e>
              <m:r>
                <m:rPr>
                  <m:sty m:val="b"/>
                </m:rPr>
                <w:rPr>
                  <w:rFonts w:ascii="Cambria Math" w:hAnsi="Cambria Math" w:cs="David"/>
                </w:rPr>
                <m:t>x</m:t>
              </m:r>
            </m:e>
            <m:sub>
              <m:r>
                <w:rPr>
                  <w:rFonts w:ascii="Cambria Math" w:hAnsi="Cambria Math" w:cs="David"/>
                </w:rPr>
                <m:t>t</m:t>
              </m:r>
            </m:sub>
          </m:sSub>
          <m:r>
            <w:rPr>
              <w:rFonts w:ascii="Cambria Math" w:hAnsi="Cambria Math" w:cs="David"/>
            </w:rPr>
            <m:t>=</m:t>
          </m:r>
          <m:d>
            <m:dPr>
              <m:ctrlPr>
                <w:rPr>
                  <w:rFonts w:ascii="Cambria Math" w:hAnsi="Cambria Math" w:cs="David"/>
                  <w:i/>
                </w:rPr>
              </m:ctrlPr>
            </m:dPr>
            <m:e>
              <m:r>
                <w:rPr>
                  <w:rFonts w:ascii="Cambria Math" w:hAnsi="Cambria Math" w:cs="David"/>
                </w:rPr>
                <m:t>1-</m:t>
              </m:r>
              <m:r>
                <m:rPr>
                  <m:sty m:val="p"/>
                </m:rPr>
                <w:rPr>
                  <w:rFonts w:ascii="Cambria Math" w:hAnsi="Cambria Math" w:cs="David" w:hint="eastAsia"/>
                </w:rPr>
                <m:t>τκ</m:t>
              </m:r>
              <m:r>
                <m:rPr>
                  <m:sty m:val="p"/>
                </m:rPr>
                <w:rPr>
                  <w:rFonts w:ascii="Cambria Math" w:hAnsi="Cambria Math" w:cs="David"/>
                </w:rPr>
                <m:t>-</m:t>
              </m:r>
              <m:r>
                <m:rPr>
                  <m:sty m:val="p"/>
                </m:rPr>
                <w:rPr>
                  <w:rFonts w:ascii="Cambria Math" w:hAnsi="Cambria Math" w:cs="David" w:hint="eastAsia"/>
                </w:rPr>
                <m:t>τλ</m:t>
              </m:r>
              <m:r>
                <m:rPr>
                  <m:sty m:val="b"/>
                </m:rPr>
                <w:rPr>
                  <w:rFonts w:ascii="Cambria Math" w:hAnsi="Cambria Math" w:cs="David"/>
                </w:rPr>
                <m:t>N</m:t>
              </m:r>
            </m:e>
          </m:d>
          <m:sSub>
            <m:sSubPr>
              <m:ctrlPr>
                <w:rPr>
                  <w:rFonts w:ascii="Cambria Math" w:hAnsi="Cambria Math" w:cs="David"/>
                  <w:i/>
                </w:rPr>
              </m:ctrlPr>
            </m:sSubPr>
            <m:e>
              <m:r>
                <m:rPr>
                  <m:sty m:val="b"/>
                </m:rPr>
                <w:rPr>
                  <w:rFonts w:ascii="Cambria Math" w:hAnsi="Cambria Math" w:cs="David"/>
                </w:rPr>
                <m:t>x</m:t>
              </m:r>
            </m:e>
            <m:sub>
              <m:r>
                <w:rPr>
                  <w:rFonts w:ascii="Cambria Math" w:hAnsi="Cambria Math" w:cs="David"/>
                </w:rPr>
                <m:t>t-1</m:t>
              </m:r>
            </m:sub>
          </m:sSub>
          <m:r>
            <w:rPr>
              <w:rFonts w:ascii="Cambria Math" w:hAnsi="Cambria Math" w:cs="David"/>
            </w:rPr>
            <m:t>+</m:t>
          </m:r>
          <m:r>
            <m:rPr>
              <m:sty m:val="p"/>
            </m:rPr>
            <w:rPr>
              <w:rFonts w:ascii="Cambria Math" w:hAnsi="Cambria Math" w:cs="David" w:hint="eastAsia"/>
            </w:rPr>
            <m:t>τ</m:t>
          </m:r>
          <m:sSubSup>
            <m:sSubSupPr>
              <m:ctrlPr>
                <w:rPr>
                  <w:rFonts w:ascii="Cambria Math" w:hAnsi="Cambria Math" w:cs="Times"/>
                  <w:b/>
                </w:rPr>
              </m:ctrlPr>
            </m:sSubSupPr>
            <m:e>
              <m:r>
                <m:rPr>
                  <m:sty m:val="b"/>
                </m:rPr>
                <w:rPr>
                  <w:rFonts w:ascii="Cambria Math" w:hAnsi="Cambria Math" w:cs="Times"/>
                </w:rPr>
                <m:t>f</m:t>
              </m:r>
            </m:e>
            <m:sub>
              <m:r>
                <w:rPr>
                  <w:rFonts w:ascii="Cambria Math" w:hAnsi="Cambria Math" w:cs="Times"/>
                </w:rPr>
                <m:t>r</m:t>
              </m:r>
            </m:sub>
            <m:sup>
              <m:r>
                <m:rPr>
                  <m:sty m:val="b"/>
                </m:rPr>
                <w:rPr>
                  <w:rFonts w:ascii="Cambria Math" w:hAnsi="Cambria Math" w:cs="Times"/>
                </w:rPr>
                <m:t>IN</m:t>
              </m:r>
            </m:sup>
          </m:sSubSup>
          <m:r>
            <m:rPr>
              <m:sty m:val="bi"/>
            </m:rPr>
            <w:rPr>
              <w:rFonts w:ascii="Cambria Math" w:hAnsi="Cambria Math" w:cs="Times"/>
            </w:rPr>
            <m:t>+</m:t>
          </m:r>
          <m:r>
            <m:rPr>
              <m:sty m:val="b"/>
            </m:rPr>
            <w:rPr>
              <w:rFonts w:ascii="Cambria Math" w:hAnsi="Cambria Math" w:cs="Times"/>
            </w:rPr>
            <m:t>ϵ</m:t>
          </m:r>
        </m:oMath>
      </m:oMathPara>
    </w:p>
    <w:p w14:paraId="64EDDD6D" w14:textId="7B9DA88D" w:rsidR="00493A74" w:rsidRPr="004946F6" w:rsidRDefault="00FF6050" w:rsidP="00493A74">
      <w:pPr>
        <w:widowControl w:val="0"/>
        <w:autoSpaceDE w:val="0"/>
        <w:autoSpaceDN w:val="0"/>
        <w:adjustRightInd w:val="0"/>
        <w:spacing w:after="240" w:line="480" w:lineRule="auto"/>
        <w:jc w:val="both"/>
        <w:rPr>
          <w:rFonts w:cs="Times"/>
        </w:rPr>
      </w:pPr>
      <m:oMath>
        <m:sSub>
          <m:sSubPr>
            <m:ctrlPr>
              <w:rPr>
                <w:rFonts w:ascii="Cambria Math" w:hAnsi="Cambria Math" w:cs="David"/>
                <w:i/>
              </w:rPr>
            </m:ctrlPr>
          </m:sSubPr>
          <m:e>
            <m:r>
              <m:rPr>
                <m:sty m:val="b"/>
              </m:rPr>
              <w:rPr>
                <w:rFonts w:ascii="Cambria Math" w:hAnsi="Cambria Math" w:cs="David"/>
              </w:rPr>
              <m:t>x</m:t>
            </m:r>
          </m:e>
          <m:sub>
            <m:r>
              <w:rPr>
                <w:rFonts w:ascii="Cambria Math" w:hAnsi="Cambria Math" w:cs="David"/>
              </w:rPr>
              <m:t>t</m:t>
            </m:r>
          </m:sub>
        </m:sSub>
        <m:r>
          <w:rPr>
            <w:rFonts w:ascii="Cambria Math" w:hAnsi="Cambria Math" w:cs="David"/>
          </w:rPr>
          <m:t>→max(</m:t>
        </m:r>
        <m:sSub>
          <m:sSubPr>
            <m:ctrlPr>
              <w:rPr>
                <w:rFonts w:ascii="Cambria Math" w:hAnsi="Cambria Math" w:cs="David"/>
                <w:i/>
              </w:rPr>
            </m:ctrlPr>
          </m:sSubPr>
          <m:e>
            <m:r>
              <m:rPr>
                <m:sty m:val="b"/>
              </m:rPr>
              <w:rPr>
                <w:rFonts w:ascii="Cambria Math" w:hAnsi="Cambria Math" w:cs="David"/>
              </w:rPr>
              <m:t>x</m:t>
            </m:r>
          </m:e>
          <m:sub>
            <m:r>
              <w:rPr>
                <w:rFonts w:ascii="Cambria Math" w:hAnsi="Cambria Math" w:cs="David"/>
              </w:rPr>
              <m:t>t</m:t>
            </m:r>
          </m:sub>
        </m:sSub>
        <m:r>
          <w:rPr>
            <w:rFonts w:ascii="Cambria Math" w:hAnsi="Cambria Math" w:cs="David"/>
          </w:rPr>
          <m:t xml:space="preserve"> , 0)</m:t>
        </m:r>
      </m:oMath>
      <w:r w:rsidR="00493A74" w:rsidRPr="004946F6">
        <w:rPr>
          <w:rFonts w:cs="Times"/>
        </w:rPr>
        <w:t xml:space="preserve">. </w:t>
      </w:r>
      <w:r w:rsidR="00493A74" w:rsidRPr="004946F6">
        <w:rPr>
          <w:rFonts w:cs="Times"/>
        </w:rPr>
        <w:tab/>
      </w:r>
      <w:r w:rsidR="00493A74" w:rsidRPr="004946F6">
        <w:rPr>
          <w:rFonts w:cs="Times"/>
        </w:rPr>
        <w:tab/>
      </w:r>
      <w:r w:rsidR="00493A74" w:rsidRPr="004946F6">
        <w:rPr>
          <w:rFonts w:cs="Times"/>
        </w:rPr>
        <w:tab/>
      </w:r>
      <w:r w:rsidR="00493A74" w:rsidRPr="004946F6">
        <w:rPr>
          <w:rFonts w:cs="Times"/>
        </w:rPr>
        <w:tab/>
      </w:r>
      <w:r w:rsidR="00493A74" w:rsidRPr="004946F6">
        <w:rPr>
          <w:rFonts w:cs="Times"/>
        </w:rPr>
        <w:tab/>
      </w:r>
      <w:r w:rsidR="00493A74" w:rsidRPr="004946F6">
        <w:rPr>
          <w:rFonts w:cs="Times"/>
        </w:rPr>
        <w:tab/>
      </w:r>
      <w:r w:rsidR="00493A74" w:rsidRPr="004946F6">
        <w:rPr>
          <w:rFonts w:cs="Times"/>
        </w:rPr>
        <w:tab/>
      </w:r>
      <w:r w:rsidR="00493A74" w:rsidRPr="004946F6">
        <w:rPr>
          <w:rFonts w:cs="Times"/>
        </w:rPr>
        <w:tab/>
      </w:r>
      <w:r w:rsidR="00493A74" w:rsidRPr="004946F6">
        <w:rPr>
          <w:rFonts w:cs="Times"/>
        </w:rPr>
        <w:tab/>
      </w:r>
      <w:r w:rsidR="006E738D" w:rsidRPr="004946F6">
        <w:rPr>
          <w:rFonts w:cs="Times"/>
        </w:rPr>
        <w:t xml:space="preserve">              </w:t>
      </w:r>
      <w:r w:rsidR="00493A74" w:rsidRPr="004946F6">
        <w:rPr>
          <w:rFonts w:cs="Times"/>
        </w:rPr>
        <w:t xml:space="preserve"> </w:t>
      </w:r>
      <w:r w:rsidR="00493A74" w:rsidRPr="004946F6">
        <w:rPr>
          <w:rFonts w:cs="Times"/>
          <w:position w:val="-3"/>
        </w:rPr>
        <w:t>(10)</w:t>
      </w:r>
    </w:p>
    <w:p w14:paraId="145487BA" w14:textId="77777777" w:rsidR="00493A74" w:rsidRPr="004946F6" w:rsidRDefault="00493A74" w:rsidP="00493A74">
      <w:pPr>
        <w:widowControl w:val="0"/>
        <w:autoSpaceDE w:val="0"/>
        <w:autoSpaceDN w:val="0"/>
        <w:adjustRightInd w:val="0"/>
        <w:spacing w:after="240" w:line="480" w:lineRule="auto"/>
        <w:jc w:val="both"/>
        <w:rPr>
          <w:rFonts w:cs="Times"/>
        </w:rPr>
      </w:pPr>
      <w:r w:rsidRPr="004946F6">
        <w:rPr>
          <w:rFonts w:cs="Times"/>
        </w:rPr>
        <w:t xml:space="preserve">Each element of </w:t>
      </w:r>
      <m:oMath>
        <m:sSub>
          <m:sSubPr>
            <m:ctrlPr>
              <w:rPr>
                <w:rFonts w:ascii="Cambria Math" w:hAnsi="Cambria Math" w:cs="David"/>
                <w:i/>
              </w:rPr>
            </m:ctrlPr>
          </m:sSubPr>
          <m:e>
            <m:r>
              <m:rPr>
                <m:sty m:val="b"/>
              </m:rPr>
              <w:rPr>
                <w:rFonts w:ascii="Cambria Math" w:hAnsi="Cambria Math" w:cs="David"/>
              </w:rPr>
              <m:t>x</m:t>
            </m:r>
          </m:e>
          <m:sub>
            <m:r>
              <w:rPr>
                <w:rFonts w:ascii="Cambria Math" w:hAnsi="Cambria Math" w:cs="David"/>
              </w:rPr>
              <m:t>t</m:t>
            </m:r>
          </m:sub>
        </m:sSub>
      </m:oMath>
      <w:r w:rsidRPr="004946F6">
        <w:rPr>
          <w:rFonts w:cs="Times"/>
          <w:i/>
          <w:iCs/>
          <w:position w:val="-6"/>
        </w:rPr>
        <w:t xml:space="preserve"> </w:t>
      </w:r>
      <w:r w:rsidRPr="004946F6">
        <w:rPr>
          <w:rFonts w:cs="Times"/>
        </w:rPr>
        <w:t xml:space="preserve">corresponds to an element in </w:t>
      </w:r>
      <m:oMath>
        <m:sSubSup>
          <m:sSubSupPr>
            <m:ctrlPr>
              <w:rPr>
                <w:rFonts w:ascii="Cambria Math" w:hAnsi="Cambria Math" w:cs="Times"/>
                <w:b/>
              </w:rPr>
            </m:ctrlPr>
          </m:sSubSupPr>
          <m:e>
            <m:r>
              <m:rPr>
                <m:sty m:val="b"/>
              </m:rPr>
              <w:rPr>
                <w:rFonts w:ascii="Cambria Math" w:hAnsi="Cambria Math" w:cs="Times"/>
              </w:rPr>
              <m:t>c</m:t>
            </m:r>
          </m:e>
          <m:sub>
            <m:r>
              <w:rPr>
                <w:rFonts w:ascii="Cambria Math" w:hAnsi="Cambria Math" w:cs="Times"/>
              </w:rPr>
              <m:t>i</m:t>
            </m:r>
          </m:sub>
          <m:sup>
            <m:r>
              <m:rPr>
                <m:sty m:val="b"/>
              </m:rPr>
              <w:rPr>
                <w:rFonts w:ascii="Cambria Math" w:hAnsi="Cambria Math" w:cs="Times"/>
              </w:rPr>
              <m:t>IN</m:t>
            </m:r>
          </m:sup>
        </m:sSubSup>
      </m:oMath>
      <w:r w:rsidRPr="004946F6">
        <w:rPr>
          <w:rFonts w:cs="Times"/>
        </w:rPr>
        <w:t xml:space="preserve">. </w:t>
      </w:r>
      <w:r w:rsidRPr="004946F6">
        <w:rPr>
          <w:rFonts w:ascii="Symbol" w:hAnsi="Symbol"/>
        </w:rPr>
        <w:t></w:t>
      </w:r>
      <w:r w:rsidRPr="004946F6">
        <w:rPr>
          <w:rFonts w:ascii="Symbol" w:hAnsi="Symbol" w:cs="Times"/>
        </w:rPr>
        <w:t></w:t>
      </w:r>
      <w:r w:rsidRPr="004946F6">
        <w:rPr>
          <w:rFonts w:cs="Times"/>
        </w:rPr>
        <w:t xml:space="preserve">is a time constant and </w:t>
      </w:r>
      <w:r w:rsidRPr="004946F6">
        <w:rPr>
          <w:rFonts w:ascii="Symbol" w:hAnsi="Symbol"/>
        </w:rPr>
        <w:t></w:t>
      </w:r>
      <w:r w:rsidRPr="004946F6">
        <w:rPr>
          <w:rFonts w:cs="Times"/>
        </w:rPr>
        <w:t xml:space="preserve"> is a leak parameter decreasing each item by its own strength. </w:t>
      </w:r>
      <w:r w:rsidRPr="004946F6">
        <w:rPr>
          <w:rFonts w:ascii="Symbol" w:hAnsi="Symbol"/>
        </w:rPr>
        <w:t></w:t>
      </w:r>
      <w:r w:rsidRPr="004946F6">
        <w:rPr>
          <w:rFonts w:cs="Times"/>
        </w:rPr>
        <w:t xml:space="preserve"> is a parameter that controls lateral inhibition, by scaling the strength of an inhibitory matrix </w:t>
      </w:r>
      <m:oMath>
        <m:r>
          <m:rPr>
            <m:sty m:val="b"/>
          </m:rPr>
          <w:rPr>
            <w:rFonts w:ascii="Cambria Math" w:hAnsi="Cambria Math" w:cs="David"/>
          </w:rPr>
          <m:t>N</m:t>
        </m:r>
      </m:oMath>
      <w:r w:rsidRPr="004946F6">
        <w:rPr>
          <w:rFonts w:cs="Times"/>
          <w:b/>
          <w:bCs/>
        </w:rPr>
        <w:t xml:space="preserve"> </w:t>
      </w:r>
      <w:r w:rsidRPr="004946F6">
        <w:rPr>
          <w:rFonts w:cs="Times"/>
        </w:rPr>
        <w:t xml:space="preserve">which connects each accumulator to all of the others except itself. </w:t>
      </w:r>
      <m:oMath>
        <m:r>
          <m:rPr>
            <m:sty m:val="b"/>
          </m:rPr>
          <w:rPr>
            <w:rFonts w:ascii="Cambria Math" w:hAnsi="Cambria Math" w:cs="Times"/>
          </w:rPr>
          <m:t>ϵ</m:t>
        </m:r>
      </m:oMath>
      <w:r w:rsidRPr="004946F6">
        <w:rPr>
          <w:rFonts w:cs="Times"/>
        </w:rPr>
        <w:t xml:space="preserve"> represents randomly distributed noise with mean 0 and standard deviation with model parameter </w:t>
      </w:r>
      <w:r w:rsidRPr="004946F6">
        <w:rPr>
          <w:rFonts w:ascii="Symbol" w:hAnsi="Symbol"/>
        </w:rPr>
        <w:t></w:t>
      </w:r>
      <w:r w:rsidRPr="004946F6">
        <w:rPr>
          <w:rFonts w:ascii="Symbol" w:hAnsi="Symbol" w:cs="Times"/>
        </w:rPr>
        <w:t></w:t>
      </w:r>
    </w:p>
    <w:p w14:paraId="09E797FB" w14:textId="77777777" w:rsidR="00493A74" w:rsidRPr="004946F6" w:rsidRDefault="00493A74" w:rsidP="00493A74">
      <w:pPr>
        <w:spacing w:line="480" w:lineRule="auto"/>
        <w:jc w:val="both"/>
        <w:rPr>
          <w:rFonts w:cs="Times"/>
        </w:rPr>
      </w:pPr>
      <w:r w:rsidRPr="004946F6">
        <w:rPr>
          <w:rFonts w:cs="Times"/>
        </w:rPr>
        <w:t xml:space="preserve">The process in Equation 7 runs iteratively until one of the accumulating elements crosses a threshold or until the recall period is over, determined by a fixed number of time steps in </w:t>
      </w:r>
      <m:oMath>
        <m:r>
          <w:rPr>
            <w:rFonts w:ascii="Cambria Math" w:hAnsi="Cambria Math" w:cs="Times"/>
          </w:rPr>
          <m:t>t</m:t>
        </m:r>
      </m:oMath>
      <w:r w:rsidRPr="004946F6">
        <w:rPr>
          <w:rFonts w:cs="Times"/>
        </w:rPr>
        <w:t>. This equation is updated until one of the accumulating elements surpasses a threshold (here, set to 1), or until the number of time steps exceeds the amount of recall time that the model is allotted for the recall period. If an element surpasses the threshold, its corresponding item is recalled. The item is re-presented to the model, updating context according to Equation 2. Whereas the drift rate for temporal context varies between encoding and recall (</w:t>
      </w:r>
      <m:oMath>
        <m:sSubSup>
          <m:sSubSupPr>
            <m:ctrlPr>
              <w:rPr>
                <w:rFonts w:ascii="Cambria Math" w:hAnsi="Cambria Math"/>
              </w:rPr>
            </m:ctrlPr>
          </m:sSubSupPr>
          <m:e>
            <m:r>
              <m:rPr>
                <m:sty m:val="p"/>
              </m:rPr>
              <w:rPr>
                <w:rFonts w:ascii="Cambria Math" w:hAnsi="Cambria Math" w:hint="eastAsia"/>
              </w:rPr>
              <m:t>β</m:t>
            </m:r>
          </m:e>
          <m:sub>
            <m:r>
              <w:rPr>
                <w:rFonts w:ascii="Cambria Math" w:hAnsi="Cambria Math"/>
              </w:rPr>
              <m:t>enc</m:t>
            </m:r>
          </m:sub>
          <m:sup>
            <m:r>
              <w:rPr>
                <w:rFonts w:ascii="Cambria Math" w:hAnsi="Cambria Math"/>
              </w:rPr>
              <m:t>temp</m:t>
            </m:r>
          </m:sup>
        </m:sSubSup>
      </m:oMath>
      <w:r w:rsidRPr="004946F6">
        <w:rPr>
          <w:rFonts w:cs="Times"/>
          <w:i/>
          <w:iCs/>
          <w:position w:val="10"/>
        </w:rPr>
        <w:t xml:space="preserve"> </w:t>
      </w:r>
      <w:r w:rsidRPr="004946F6">
        <w:rPr>
          <w:rFonts w:cs="Times"/>
        </w:rPr>
        <w:t xml:space="preserve">and </w:t>
      </w:r>
      <m:oMath>
        <m:sSubSup>
          <m:sSubSupPr>
            <m:ctrlPr>
              <w:rPr>
                <w:rFonts w:ascii="Cambria Math" w:hAnsi="Cambria Math"/>
              </w:rPr>
            </m:ctrlPr>
          </m:sSubSupPr>
          <m:e>
            <m:r>
              <m:rPr>
                <m:sty m:val="p"/>
              </m:rPr>
              <w:rPr>
                <w:rFonts w:ascii="Cambria Math" w:hAnsi="Cambria Math" w:hint="eastAsia"/>
              </w:rPr>
              <m:t>β</m:t>
            </m:r>
          </m:e>
          <m:sub>
            <m:r>
              <w:rPr>
                <w:rFonts w:ascii="Cambria Math" w:hAnsi="Cambria Math"/>
              </w:rPr>
              <m:t>rec</m:t>
            </m:r>
          </m:sub>
          <m:sup>
            <m:r>
              <w:rPr>
                <w:rFonts w:ascii="Cambria Math" w:hAnsi="Cambria Math"/>
              </w:rPr>
              <m:t>temp</m:t>
            </m:r>
          </m:sup>
        </m:sSubSup>
      </m:oMath>
      <w:r w:rsidRPr="004946F6">
        <w:rPr>
          <w:rFonts w:cs="Times"/>
        </w:rPr>
        <w:t>, respectively) for simplicity the drift rate of the emotional context region is held constant between encoding and recall (i.e. (</w:t>
      </w:r>
      <m:oMath>
        <m:sSubSup>
          <m:sSubSupPr>
            <m:ctrlPr>
              <w:rPr>
                <w:rFonts w:ascii="Cambria Math" w:hAnsi="Cambria Math"/>
              </w:rPr>
            </m:ctrlPr>
          </m:sSubSupPr>
          <m:e>
            <m:r>
              <m:rPr>
                <m:sty m:val="p"/>
              </m:rPr>
              <w:rPr>
                <w:rFonts w:ascii="Cambria Math" w:hAnsi="Cambria Math" w:hint="eastAsia"/>
              </w:rPr>
              <m:t>β</m:t>
            </m:r>
          </m:e>
          <m:sub>
            <m:r>
              <w:rPr>
                <w:rFonts w:ascii="Cambria Math" w:hAnsi="Cambria Math"/>
              </w:rPr>
              <m:t>enc</m:t>
            </m:r>
          </m:sub>
          <m:sup>
            <m:r>
              <w:rPr>
                <w:rFonts w:ascii="Cambria Math" w:hAnsi="Cambria Math"/>
              </w:rPr>
              <m:t>emot</m:t>
            </m:r>
          </m:sup>
        </m:sSubSup>
      </m:oMath>
      <w:r w:rsidRPr="004946F6">
        <w:rPr>
          <w:rFonts w:cs="Times"/>
        </w:rPr>
        <w:t xml:space="preserve"> </w:t>
      </w:r>
      <m:oMath>
        <m:r>
          <w:rPr>
            <w:rFonts w:ascii="Cambria Math" w:hAnsi="Cambria Math" w:cs="Times"/>
          </w:rPr>
          <m:t>=</m:t>
        </m:r>
        <m:sSubSup>
          <m:sSubSupPr>
            <m:ctrlPr>
              <w:rPr>
                <w:rFonts w:ascii="Cambria Math" w:hAnsi="Cambria Math"/>
              </w:rPr>
            </m:ctrlPr>
          </m:sSubSupPr>
          <m:e>
            <m:r>
              <m:rPr>
                <m:sty m:val="p"/>
              </m:rPr>
              <w:rPr>
                <w:rFonts w:ascii="Cambria Math" w:hAnsi="Cambria Math" w:hint="eastAsia"/>
              </w:rPr>
              <m:t>β</m:t>
            </m:r>
          </m:e>
          <m:sub>
            <m:r>
              <w:rPr>
                <w:rFonts w:ascii="Cambria Math" w:hAnsi="Cambria Math"/>
              </w:rPr>
              <m:t>rec</m:t>
            </m:r>
          </m:sub>
          <m:sup>
            <m:r>
              <w:rPr>
                <w:rFonts w:ascii="Cambria Math" w:hAnsi="Cambria Math"/>
              </w:rPr>
              <m:t>emot</m:t>
            </m:r>
          </m:sup>
        </m:sSubSup>
      </m:oMath>
      <w:r w:rsidRPr="004946F6">
        <w:rPr>
          <w:rFonts w:eastAsiaTheme="minorEastAsia" w:cs="Times"/>
        </w:rPr>
        <w:t>)</w:t>
      </w:r>
      <w:r w:rsidRPr="004946F6">
        <w:rPr>
          <w:rFonts w:cs="Times"/>
        </w:rPr>
        <w:t xml:space="preserve">. Once context is updated, this activates a different set of features on </w:t>
      </w:r>
      <m:oMath>
        <m:sSubSup>
          <m:sSubSupPr>
            <m:ctrlPr>
              <w:rPr>
                <w:rFonts w:ascii="Cambria Math" w:hAnsi="Cambria Math" w:cs="Times"/>
                <w:b/>
              </w:rPr>
            </m:ctrlPr>
          </m:sSubSupPr>
          <m:e>
            <m:r>
              <m:rPr>
                <m:sty m:val="b"/>
              </m:rPr>
              <w:rPr>
                <w:rFonts w:ascii="Cambria Math" w:hAnsi="Cambria Math" w:cs="Times"/>
              </w:rPr>
              <m:t>f</m:t>
            </m:r>
          </m:e>
          <m:sub>
            <m:r>
              <w:rPr>
                <w:rFonts w:ascii="Cambria Math" w:hAnsi="Cambria Math" w:cs="Times"/>
              </w:rPr>
              <m:t>r</m:t>
            </m:r>
          </m:sub>
          <m:sup>
            <m:r>
              <m:rPr>
                <m:sty m:val="b"/>
              </m:rPr>
              <w:rPr>
                <w:rFonts w:ascii="Cambria Math" w:hAnsi="Cambria Math" w:cs="Times"/>
              </w:rPr>
              <m:t>IN</m:t>
            </m:r>
          </m:sup>
        </m:sSubSup>
      </m:oMath>
      <w:r w:rsidRPr="004946F6">
        <w:rPr>
          <w:rFonts w:cs="Times"/>
        </w:rPr>
        <w:t>, and time permitting, the recall process in Equation 10 begins again.</w:t>
      </w:r>
    </w:p>
    <w:p w14:paraId="34E2D7D9" w14:textId="4FBC147D" w:rsidR="00E06F15" w:rsidRPr="004946F6" w:rsidRDefault="00E06F15" w:rsidP="00807D81">
      <w:pPr>
        <w:spacing w:line="480" w:lineRule="auto"/>
        <w:jc w:val="both"/>
      </w:pPr>
      <w:r w:rsidRPr="004946F6">
        <w:t>Below we discuss t</w:t>
      </w:r>
      <w:r w:rsidR="00807D81" w:rsidRPr="004946F6">
        <w:t>wo</w:t>
      </w:r>
      <w:r w:rsidRPr="004946F6">
        <w:t xml:space="preserve"> variants of eCMR, the category-only variant, and </w:t>
      </w:r>
      <w:r w:rsidR="00807D81" w:rsidRPr="004946F6">
        <w:t>the</w:t>
      </w:r>
      <w:r w:rsidRPr="004946F6">
        <w:t xml:space="preserve"> attention-category variant. In the latter, one additional parameter (</w:t>
      </w:r>
      <m:oMath>
        <m:sSub>
          <m:sSubPr>
            <m:ctrlPr>
              <w:rPr>
                <w:rFonts w:ascii="Cambria Math" w:hAnsi="Cambria Math"/>
              </w:rPr>
            </m:ctrlPr>
          </m:sSubPr>
          <m:e>
            <m:r>
              <m:rPr>
                <m:sty m:val="p"/>
              </m:rPr>
              <w:rPr>
                <w:rFonts w:ascii="Cambria Math" w:hAnsi="Cambria Math"/>
              </w:rPr>
              <m:t>ϕ</m:t>
            </m:r>
          </m:e>
          <m:sub>
            <m:r>
              <w:rPr>
                <w:rFonts w:ascii="Cambria Math" w:hAnsi="Cambria Math"/>
              </w:rPr>
              <m:t>emot</m:t>
            </m:r>
          </m:sub>
        </m:sSub>
      </m:oMath>
      <w:r w:rsidRPr="004946F6">
        <w:t>) was used to model the effect of emotion on attention through an increase in the strength of association between the item features and the source context (</w:t>
      </w:r>
      <m:oMath>
        <m:sSup>
          <m:sSupPr>
            <m:ctrlPr>
              <w:rPr>
                <w:rFonts w:ascii="Cambria Math" w:hAnsi="Cambria Math" w:cs="Times"/>
                <w:i/>
              </w:rPr>
            </m:ctrlPr>
          </m:sSupPr>
          <m:e>
            <m:r>
              <w:rPr>
                <w:rFonts w:ascii="Cambria Math" w:hAnsi="Cambria Math" w:cs="Times"/>
              </w:rPr>
              <m:t>M</m:t>
            </m:r>
          </m:e>
          <m:sup>
            <m:r>
              <w:rPr>
                <w:rFonts w:ascii="Cambria Math" w:hAnsi="Cambria Math" w:cs="Times"/>
              </w:rPr>
              <m:t>CF</m:t>
            </m:r>
          </m:sup>
        </m:sSup>
      </m:oMath>
      <w:r w:rsidRPr="004946F6">
        <w:t>). The association strength was increased via</w:t>
      </w:r>
      <w:r w:rsidR="006E738D" w:rsidRPr="004946F6">
        <w:t xml:space="preserve"> </w:t>
      </w:r>
      <m:oMath>
        <m:sSub>
          <m:sSubPr>
            <m:ctrlPr>
              <w:rPr>
                <w:rFonts w:ascii="Cambria Math" w:hAnsi="Cambria Math"/>
              </w:rPr>
            </m:ctrlPr>
          </m:sSubPr>
          <m:e>
            <m:r>
              <m:rPr>
                <m:sty m:val="p"/>
              </m:rPr>
              <w:rPr>
                <w:rFonts w:ascii="Cambria Math" w:hAnsi="Cambria Math"/>
              </w:rPr>
              <m:t>ϕ</m:t>
            </m:r>
          </m:e>
          <m:sub>
            <m:r>
              <w:rPr>
                <w:rFonts w:ascii="Cambria Math" w:hAnsi="Cambria Math"/>
              </w:rPr>
              <m:t>emot</m:t>
            </m:r>
          </m:sub>
        </m:sSub>
      </m:oMath>
      <w:r w:rsidRPr="004946F6">
        <w:t xml:space="preserve"> such that experimental context-feature associations were updated: </w:t>
      </w:r>
    </w:p>
    <w:p w14:paraId="4413B442" w14:textId="56E14B0C" w:rsidR="00E23C3F" w:rsidRPr="004946F6" w:rsidRDefault="00E23C3F" w:rsidP="00E23C3F">
      <w:pPr>
        <w:spacing w:line="480" w:lineRule="auto"/>
        <w:jc w:val="both"/>
      </w:pPr>
      <m:oMath>
        <m:r>
          <w:rPr>
            <w:rFonts w:ascii="Cambria Math" w:hAnsi="Cambria Math"/>
            <w:sz w:val="20"/>
          </w:rPr>
          <m:t>∆</m:t>
        </m:r>
        <m:sSup>
          <m:sSupPr>
            <m:ctrlPr>
              <w:rPr>
                <w:rFonts w:ascii="Cambria Math" w:hAnsi="Cambria Math" w:cs="Times"/>
                <w:i/>
                <w:sz w:val="20"/>
              </w:rPr>
            </m:ctrlPr>
          </m:sSupPr>
          <m:e>
            <m:r>
              <w:rPr>
                <w:rFonts w:ascii="Cambria Math" w:hAnsi="Cambria Math" w:cs="Times"/>
                <w:sz w:val="20"/>
              </w:rPr>
              <m:t>M</m:t>
            </m:r>
          </m:e>
          <m:sup>
            <m:r>
              <w:rPr>
                <w:rFonts w:ascii="Cambria Math" w:hAnsi="Cambria Math" w:cs="Times"/>
                <w:sz w:val="20"/>
              </w:rPr>
              <m:t>CF</m:t>
            </m:r>
          </m:sup>
        </m:sSup>
        <m:r>
          <m:rPr>
            <m:sty m:val="p"/>
          </m:rPr>
          <w:rPr>
            <w:rFonts w:ascii="Cambria Math" w:hAnsi="Cambria Math"/>
            <w:sz w:val="20"/>
          </w:rPr>
          <m:t>=</m:t>
        </m:r>
        <m:sSub>
          <m:sSubPr>
            <m:ctrlPr>
              <w:rPr>
                <w:rFonts w:ascii="Cambria Math" w:hAnsi="Cambria Math" w:cs="Times"/>
                <w:i/>
                <w:sz w:val="20"/>
              </w:rPr>
            </m:ctrlPr>
          </m:sSubPr>
          <m:e>
            <m:r>
              <m:rPr>
                <m:sty m:val="p"/>
              </m:rPr>
              <w:rPr>
                <w:rFonts w:ascii="Cambria Math" w:hAnsi="Cambria Math" w:cs="Times"/>
                <w:sz w:val="20"/>
              </w:rPr>
              <m:t>ϕ</m:t>
            </m:r>
          </m:e>
          <m:sub>
            <m:r>
              <w:rPr>
                <w:rFonts w:ascii="Cambria Math" w:hAnsi="Cambria Math" w:cs="Times"/>
                <w:sz w:val="20"/>
              </w:rPr>
              <m:t>i</m:t>
            </m:r>
          </m:sub>
        </m:sSub>
        <m:d>
          <m:dPr>
            <m:begChr m:val="["/>
            <m:endChr m:val="]"/>
            <m:ctrlPr>
              <w:rPr>
                <w:rFonts w:ascii="Cambria Math" w:hAnsi="Cambria Math" w:cs="Times"/>
                <w:i/>
              </w:rPr>
            </m:ctrlPr>
          </m:dPr>
          <m:e>
            <m:m>
              <m:mPr>
                <m:mcs>
                  <m:mc>
                    <m:mcPr>
                      <m:count m:val="2"/>
                      <m:mcJc m:val="center"/>
                    </m:mcPr>
                  </m:mc>
                </m:mcs>
                <m:ctrlPr>
                  <w:rPr>
                    <w:rFonts w:ascii="Cambria Math" w:hAnsi="Cambria Math" w:cs="Times"/>
                    <w:i/>
                  </w:rPr>
                </m:ctrlPr>
              </m:mPr>
              <m:mr>
                <m:e>
                  <m:sSubSup>
                    <m:sSubSupPr>
                      <m:ctrlPr>
                        <w:rPr>
                          <w:rFonts w:ascii="Cambria Math" w:hAnsi="Cambria Math" w:cs="Times"/>
                          <w:i/>
                        </w:rPr>
                      </m:ctrlPr>
                    </m:sSubSupPr>
                    <m:e>
                      <m:r>
                        <w:rPr>
                          <w:rFonts w:ascii="Cambria Math" w:hAnsi="Cambria Math" w:cs="Times"/>
                        </w:rPr>
                        <m:t>L</m:t>
                      </m:r>
                    </m:e>
                    <m:sub>
                      <m:r>
                        <w:rPr>
                          <w:rFonts w:ascii="Cambria Math" w:hAnsi="Cambria Math" w:cs="Times"/>
                        </w:rPr>
                        <m:t>tw</m:t>
                      </m:r>
                    </m:sub>
                    <m:sup>
                      <m:r>
                        <w:rPr>
                          <w:rFonts w:ascii="Cambria Math" w:hAnsi="Cambria Math" w:cs="Times"/>
                        </w:rPr>
                        <m:t>CF</m:t>
                      </m:r>
                    </m:sup>
                  </m:sSubSup>
                </m:e>
                <m:e>
                  <m:r>
                    <w:rPr>
                      <w:rFonts w:ascii="Cambria Math" w:hAnsi="Cambria Math" w:cs="Times"/>
                    </w:rPr>
                    <m:t>0</m:t>
                  </m:r>
                </m:e>
              </m:mr>
              <m:mr>
                <m:e>
                  <m:sSubSup>
                    <m:sSubSupPr>
                      <m:ctrlPr>
                        <w:rPr>
                          <w:rFonts w:ascii="Cambria Math" w:hAnsi="Cambria Math" w:cs="Times"/>
                          <w:i/>
                        </w:rPr>
                      </m:ctrlPr>
                    </m:sSubSupPr>
                    <m:e>
                      <m:sSub>
                        <m:sSubPr>
                          <m:ctrlPr>
                            <w:rPr>
                              <w:rFonts w:ascii="Cambria Math" w:hAnsi="Cambria Math"/>
                            </w:rPr>
                          </m:ctrlPr>
                        </m:sSubPr>
                        <m:e>
                          <m:r>
                            <m:rPr>
                              <m:sty m:val="p"/>
                            </m:rPr>
                            <w:rPr>
                              <w:rFonts w:ascii="Cambria Math" w:hAnsi="Cambria Math"/>
                            </w:rPr>
                            <m:t>ϕ</m:t>
                          </m:r>
                        </m:e>
                        <m:sub>
                          <m:r>
                            <w:rPr>
                              <w:rFonts w:ascii="Cambria Math" w:hAnsi="Cambria Math"/>
                            </w:rPr>
                            <m:t>emot</m:t>
                          </m:r>
                        </m:sub>
                      </m:sSub>
                      <m:r>
                        <w:rPr>
                          <w:rFonts w:ascii="Cambria Math" w:hAnsi="Cambria Math" w:cs="Times"/>
                        </w:rPr>
                        <m:t>L</m:t>
                      </m:r>
                    </m:e>
                    <m:sub>
                      <m:r>
                        <w:rPr>
                          <w:rFonts w:ascii="Cambria Math" w:hAnsi="Cambria Math" w:cs="Times"/>
                        </w:rPr>
                        <m:t>sw</m:t>
                      </m:r>
                    </m:sub>
                    <m:sup>
                      <m:r>
                        <w:rPr>
                          <w:rFonts w:ascii="Cambria Math" w:hAnsi="Cambria Math" w:cs="Times"/>
                        </w:rPr>
                        <m:t>CF</m:t>
                      </m:r>
                    </m:sup>
                  </m:sSubSup>
                </m:e>
                <m:e>
                  <m:r>
                    <w:rPr>
                      <w:rFonts w:ascii="Cambria Math" w:hAnsi="Cambria Math" w:cs="Times"/>
                    </w:rPr>
                    <m:t>0</m:t>
                  </m:r>
                </m:e>
              </m:mr>
            </m:m>
          </m:e>
        </m:d>
        <m:sSub>
          <m:sSubPr>
            <m:ctrlPr>
              <w:rPr>
                <w:rFonts w:ascii="Cambria Math" w:hAnsi="Cambria Math" w:cs="Times"/>
                <w:i/>
                <w:sz w:val="20"/>
              </w:rPr>
            </m:ctrlPr>
          </m:sSubPr>
          <m:e>
            <m:r>
              <m:rPr>
                <m:sty m:val="b"/>
              </m:rPr>
              <w:rPr>
                <w:rFonts w:ascii="Cambria Math" w:hAnsi="Cambria Math" w:cs="Times"/>
                <w:sz w:val="20"/>
              </w:rPr>
              <m:t>f</m:t>
            </m:r>
          </m:e>
          <m:sub>
            <m:r>
              <w:rPr>
                <w:rFonts w:ascii="Cambria Math" w:hAnsi="Cambria Math" w:cs="Times"/>
                <w:sz w:val="20"/>
              </w:rPr>
              <m:t>i</m:t>
            </m:r>
          </m:sub>
        </m:sSub>
        <m:sSub>
          <m:sSubPr>
            <m:ctrlPr>
              <w:rPr>
                <w:rFonts w:ascii="Cambria Math" w:hAnsi="Cambria Math" w:cs="Times"/>
                <w:i/>
                <w:sz w:val="20"/>
              </w:rPr>
            </m:ctrlPr>
          </m:sSubPr>
          <m:e>
            <m:r>
              <m:rPr>
                <m:sty m:val="b"/>
              </m:rPr>
              <w:rPr>
                <w:rFonts w:ascii="Cambria Math" w:hAnsi="Cambria Math" w:cs="Times"/>
                <w:sz w:val="20"/>
              </w:rPr>
              <m:t>c</m:t>
            </m:r>
          </m:e>
          <m:sub>
            <m:r>
              <w:rPr>
                <w:rFonts w:ascii="Cambria Math" w:hAnsi="Cambria Math" w:cs="Times"/>
                <w:sz w:val="20"/>
              </w:rPr>
              <m:t>i</m:t>
            </m:r>
          </m:sub>
        </m:sSub>
        <m:r>
          <m:rPr>
            <m:sty m:val="p"/>
          </m:rPr>
          <w:rPr>
            <w:rFonts w:ascii="Cambria Math" w:hAnsi="Cambria Math" w:cs="Arial"/>
            <w:position w:val="8"/>
            <w:sz w:val="20"/>
          </w:rPr>
          <m:t>T</m:t>
        </m:r>
      </m:oMath>
      <w:r w:rsidR="006E738D" w:rsidRPr="004946F6">
        <w:rPr>
          <w:rFonts w:cs="Times"/>
          <w:position w:val="8"/>
        </w:rPr>
        <w:t xml:space="preserve"> </w:t>
      </w:r>
      <w:r w:rsidRPr="004946F6">
        <w:rPr>
          <w:rFonts w:cs="Times"/>
        </w:rPr>
        <w:tab/>
      </w:r>
      <w:r w:rsidRPr="004946F6">
        <w:rPr>
          <w:rFonts w:cs="Times"/>
        </w:rPr>
        <w:tab/>
      </w:r>
      <w:r w:rsidRPr="004946F6">
        <w:rPr>
          <w:rFonts w:cs="Times"/>
        </w:rPr>
        <w:tab/>
      </w:r>
      <w:r w:rsidRPr="004946F6">
        <w:rPr>
          <w:rFonts w:cs="Times"/>
        </w:rPr>
        <w:tab/>
      </w:r>
      <w:r w:rsidRPr="004946F6">
        <w:rPr>
          <w:rFonts w:cs="Times"/>
        </w:rPr>
        <w:tab/>
      </w:r>
      <w:r w:rsidRPr="004946F6">
        <w:rPr>
          <w:rFonts w:cs="Times"/>
        </w:rPr>
        <w:tab/>
      </w:r>
      <w:r w:rsidRPr="004946F6">
        <w:rPr>
          <w:rFonts w:cs="Times"/>
        </w:rPr>
        <w:tab/>
      </w:r>
      <w:r w:rsidRPr="004946F6">
        <w:rPr>
          <w:rFonts w:cs="Times"/>
        </w:rPr>
        <w:tab/>
      </w:r>
      <w:r w:rsidR="006E738D" w:rsidRPr="004946F6">
        <w:rPr>
          <w:rFonts w:cs="Times"/>
        </w:rPr>
        <w:t xml:space="preserve">             </w:t>
      </w:r>
      <w:r w:rsidRPr="004946F6">
        <w:rPr>
          <w:rFonts w:cs="Times"/>
        </w:rPr>
        <w:t xml:space="preserve"> (11)</w:t>
      </w:r>
    </w:p>
    <w:p w14:paraId="1D0CDCF0" w14:textId="1C5646D0" w:rsidR="00E06F15" w:rsidRPr="004946F6" w:rsidRDefault="00E06F15" w:rsidP="00807D81">
      <w:pPr>
        <w:spacing w:line="480" w:lineRule="auto"/>
        <w:jc w:val="both"/>
      </w:pPr>
      <w:r w:rsidRPr="004946F6">
        <w:t xml:space="preserve">Note that Equation 11 are identical to Equation 4 if </w:t>
      </w:r>
      <m:oMath>
        <m:sSub>
          <m:sSubPr>
            <m:ctrlPr>
              <w:rPr>
                <w:rFonts w:ascii="Cambria Math" w:hAnsi="Cambria Math"/>
              </w:rPr>
            </m:ctrlPr>
          </m:sSubPr>
          <m:e>
            <m:r>
              <m:rPr>
                <m:sty m:val="p"/>
              </m:rPr>
              <w:rPr>
                <w:rFonts w:ascii="Cambria Math" w:hAnsi="Cambria Math"/>
              </w:rPr>
              <m:t>ϕ</m:t>
            </m:r>
          </m:e>
          <m:sub>
            <m:r>
              <w:rPr>
                <w:rFonts w:ascii="Cambria Math" w:hAnsi="Cambria Math"/>
              </w:rPr>
              <m:t>emot</m:t>
            </m:r>
          </m:sub>
        </m:sSub>
      </m:oMath>
      <w:r w:rsidRPr="004946F6">
        <w:t xml:space="preserve"> = 1, and requires</w:t>
      </w:r>
      <m:oMath>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ϕ</m:t>
            </m:r>
          </m:e>
          <m:sub>
            <m:r>
              <w:rPr>
                <w:rFonts w:ascii="Cambria Math" w:hAnsi="Cambria Math"/>
              </w:rPr>
              <m:t>emot</m:t>
            </m:r>
          </m:sub>
        </m:sSub>
        <m:r>
          <w:rPr>
            <w:rFonts w:ascii="Cambria Math" w:hAnsi="Cambria Math" w:cs="Times"/>
          </w:rPr>
          <m:t xml:space="preserve"> </m:t>
        </m:r>
      </m:oMath>
      <w:r w:rsidRPr="004946F6">
        <w:t>&gt; 1 in order for emotional items to benefit from stronger associations and thus improved recall.</w:t>
      </w:r>
    </w:p>
    <w:p w14:paraId="3F3EA73B" w14:textId="77777777" w:rsidR="00040E57" w:rsidRPr="004946F6" w:rsidRDefault="00040E57" w:rsidP="00055865">
      <w:pPr>
        <w:spacing w:line="480" w:lineRule="auto"/>
        <w:jc w:val="both"/>
      </w:pPr>
    </w:p>
    <w:p w14:paraId="47B3C5C2" w14:textId="77777777" w:rsidR="00055865" w:rsidRPr="004946F6" w:rsidRDefault="00055865" w:rsidP="00055865">
      <w:pPr>
        <w:spacing w:line="480" w:lineRule="auto"/>
        <w:jc w:val="both"/>
        <w:rPr>
          <w:b/>
          <w:bCs/>
        </w:rPr>
      </w:pPr>
    </w:p>
    <w:p w14:paraId="5F0AFF27" w14:textId="0F00FE40" w:rsidR="007A07D9" w:rsidRPr="004946F6" w:rsidRDefault="007A07D9">
      <w:pPr>
        <w:spacing w:line="480" w:lineRule="auto"/>
        <w:jc w:val="both"/>
        <w:rPr>
          <w:b/>
          <w:bCs/>
        </w:rPr>
      </w:pPr>
      <w:r w:rsidRPr="004946F6">
        <w:rPr>
          <w:b/>
          <w:bCs/>
        </w:rPr>
        <w:t xml:space="preserve">2.3 Simulations of </w:t>
      </w:r>
      <w:r w:rsidR="00BE2F31" w:rsidRPr="004946F6">
        <w:rPr>
          <w:b/>
          <w:bCs/>
        </w:rPr>
        <w:t>the emotional list composition effect</w:t>
      </w:r>
    </w:p>
    <w:p w14:paraId="27695E84" w14:textId="663D2877" w:rsidR="003E3CC9" w:rsidRPr="004946F6" w:rsidRDefault="003E3CC9" w:rsidP="00AF6131">
      <w:pPr>
        <w:spacing w:line="480" w:lineRule="auto"/>
        <w:jc w:val="both"/>
      </w:pPr>
      <w:r w:rsidRPr="004946F6">
        <w:rPr>
          <w:b/>
          <w:bCs/>
          <w:i/>
          <w:iCs/>
        </w:rPr>
        <w:t>2.</w:t>
      </w:r>
      <w:r w:rsidR="0085714C" w:rsidRPr="004946F6">
        <w:rPr>
          <w:b/>
          <w:bCs/>
          <w:i/>
          <w:iCs/>
        </w:rPr>
        <w:t>3</w:t>
      </w:r>
      <w:r w:rsidRPr="004946F6">
        <w:rPr>
          <w:b/>
          <w:bCs/>
          <w:i/>
          <w:iCs/>
        </w:rPr>
        <w:t xml:space="preserve">.1 </w:t>
      </w:r>
      <w:r w:rsidR="009E3289" w:rsidRPr="004946F6">
        <w:rPr>
          <w:b/>
          <w:bCs/>
          <w:i/>
          <w:iCs/>
        </w:rPr>
        <w:t>Simulation 1</w:t>
      </w:r>
      <w:r w:rsidRPr="004946F6">
        <w:rPr>
          <w:b/>
          <w:bCs/>
          <w:i/>
          <w:iCs/>
        </w:rPr>
        <w:t xml:space="preserve"> - t</w:t>
      </w:r>
      <w:r w:rsidR="00040A43" w:rsidRPr="004946F6">
        <w:rPr>
          <w:b/>
          <w:bCs/>
          <w:i/>
          <w:iCs/>
        </w:rPr>
        <w:t xml:space="preserve">he </w:t>
      </w:r>
      <w:r w:rsidR="00073FC0" w:rsidRPr="004946F6">
        <w:rPr>
          <w:b/>
          <w:bCs/>
          <w:i/>
          <w:iCs/>
        </w:rPr>
        <w:t>category</w:t>
      </w:r>
      <w:r w:rsidR="00791B69" w:rsidRPr="004946F6">
        <w:rPr>
          <w:b/>
          <w:bCs/>
          <w:i/>
          <w:iCs/>
        </w:rPr>
        <w:t>-only</w:t>
      </w:r>
      <w:r w:rsidR="00073FC0" w:rsidRPr="004946F6">
        <w:rPr>
          <w:b/>
          <w:bCs/>
          <w:i/>
          <w:iCs/>
        </w:rPr>
        <w:t xml:space="preserve"> </w:t>
      </w:r>
      <w:r w:rsidR="00040A43" w:rsidRPr="004946F6">
        <w:rPr>
          <w:b/>
          <w:bCs/>
          <w:i/>
          <w:iCs/>
        </w:rPr>
        <w:t>variant of eCMR</w:t>
      </w:r>
    </w:p>
    <w:p w14:paraId="7F4662FF" w14:textId="701EBDA3" w:rsidR="00360674" w:rsidRDefault="0085714C">
      <w:pPr>
        <w:widowControl w:val="0"/>
        <w:autoSpaceDE w:val="0"/>
        <w:autoSpaceDN w:val="0"/>
        <w:adjustRightInd w:val="0"/>
        <w:spacing w:after="240" w:line="480" w:lineRule="auto"/>
      </w:pPr>
      <w:r w:rsidRPr="004946F6">
        <w:t xml:space="preserve">We first examined simulations of the </w:t>
      </w:r>
      <w:r w:rsidRPr="004946F6">
        <w:rPr>
          <w:i/>
          <w:iCs/>
        </w:rPr>
        <w:t>category</w:t>
      </w:r>
      <w:r w:rsidR="00791B69" w:rsidRPr="004946F6">
        <w:rPr>
          <w:i/>
          <w:iCs/>
        </w:rPr>
        <w:t>-only</w:t>
      </w:r>
      <w:r w:rsidRPr="004946F6">
        <w:rPr>
          <w:i/>
          <w:iCs/>
        </w:rPr>
        <w:t xml:space="preserve"> variant</w:t>
      </w:r>
      <w:r w:rsidRPr="004946F6">
        <w:t xml:space="preserve"> of eCMR, which treats emotionality as a category </w:t>
      </w:r>
      <w:r w:rsidR="00D027D9" w:rsidRPr="004946F6">
        <w:t>such that neutral items belong to a single category and emotional items belong to another</w:t>
      </w:r>
      <w:r w:rsidR="00B61713">
        <w:t xml:space="preserve">. Because </w:t>
      </w:r>
      <w:r w:rsidR="00D027D9" w:rsidRPr="004946F6">
        <w:t xml:space="preserve">emotional items are not treated </w:t>
      </w:r>
      <w:r w:rsidR="00B61713">
        <w:t>special</w:t>
      </w:r>
      <w:r w:rsidR="007350A2">
        <w:t>ly</w:t>
      </w:r>
      <w:r w:rsidR="00B61713">
        <w:t xml:space="preserve">, </w:t>
      </w:r>
      <w:r w:rsidR="007309A4">
        <w:t xml:space="preserve">we did not expect to be able to reproduce the emotional memory advantage here. This variant </w:t>
      </w:r>
      <w:r w:rsidR="007350A2">
        <w:t>shows how</w:t>
      </w:r>
      <w:r w:rsidR="007309A4">
        <w:t xml:space="preserve"> emotion is integrated into the structure of CMR, and </w:t>
      </w:r>
      <w:r w:rsidR="007350A2">
        <w:t xml:space="preserve">provides a comparison that reveals </w:t>
      </w:r>
      <w:r w:rsidR="007309A4">
        <w:t xml:space="preserve">the effect of </w:t>
      </w:r>
      <w:r w:rsidR="007350A2">
        <w:t xml:space="preserve">attention in </w:t>
      </w:r>
      <w:r w:rsidR="007309A4">
        <w:t xml:space="preserve">the next variant. </w:t>
      </w:r>
    </w:p>
    <w:p w14:paraId="5C7A803B" w14:textId="260113E4" w:rsidR="00D02A80" w:rsidRDefault="0085714C">
      <w:pPr>
        <w:widowControl w:val="0"/>
        <w:autoSpaceDE w:val="0"/>
        <w:autoSpaceDN w:val="0"/>
        <w:adjustRightInd w:val="0"/>
        <w:spacing w:after="240" w:line="480" w:lineRule="auto"/>
        <w:rPr>
          <w:lang w:bidi="he-IL"/>
        </w:rPr>
      </w:pPr>
      <w:r w:rsidRPr="004946F6">
        <w:rPr>
          <w:rFonts w:cs="Times"/>
        </w:rPr>
        <w:t xml:space="preserve">This variant of </w:t>
      </w:r>
      <w:r w:rsidR="008C6E1D" w:rsidRPr="004946F6">
        <w:rPr>
          <w:rFonts w:cs="Times"/>
        </w:rPr>
        <w:t>eCMR assum</w:t>
      </w:r>
      <w:r w:rsidRPr="004946F6">
        <w:rPr>
          <w:rFonts w:cs="Times"/>
        </w:rPr>
        <w:t>es, following CMR,</w:t>
      </w:r>
      <w:r w:rsidR="008C6E1D" w:rsidRPr="004946F6">
        <w:rPr>
          <w:rFonts w:cs="Times"/>
        </w:rPr>
        <w:t xml:space="preserve"> that a change in a non-temporal context sub-region (here, a change between neutral and negative emotional contexts) disrupts the temporal context. In this way, temporal context is updated and all items studied prior to the novel item become less accessible. Thus, when two successive items are not from the same emotion category, temporal context is updated according to Equation 2. This “disruption item” only updates the temporal context sub-region, is not incorporated into the association matrices, and unlike list items</w:t>
      </w:r>
      <w:r w:rsidR="00D1536D" w:rsidRPr="004946F6">
        <w:rPr>
          <w:rFonts w:cs="Times"/>
        </w:rPr>
        <w:t>,</w:t>
      </w:r>
      <w:r w:rsidR="008C6E1D" w:rsidRPr="004946F6">
        <w:rPr>
          <w:rFonts w:cs="Times"/>
        </w:rPr>
        <w:t xml:space="preserve"> cannot be recalled. Given that a change in emotional category is qualitatively different than a presented list item, it updates temporal context according to a different model parameter, </w:t>
      </w:r>
      <m:oMath>
        <m:r>
          <w:rPr>
            <w:rFonts w:ascii="Cambria Math" w:hAnsi="Cambria Math"/>
          </w:rPr>
          <m:t>d</m:t>
        </m:r>
      </m:oMath>
      <w:r w:rsidR="008C6E1D" w:rsidRPr="004946F6">
        <w:rPr>
          <w:rFonts w:cs="Times"/>
        </w:rPr>
        <w:t xml:space="preserve">, rather than </w:t>
      </w:r>
      <m:oMath>
        <m:r>
          <w:rPr>
            <w:rFonts w:ascii="Cambria Math" w:hAnsi="Cambria Math" w:cs="Times"/>
            <w:strike/>
          </w:rPr>
          <m:t>β</m:t>
        </m:r>
      </m:oMath>
      <w:r w:rsidR="00D1536D" w:rsidRPr="004946F6">
        <w:rPr>
          <w:rFonts w:ascii="Symbol" w:hAnsi="Symbol"/>
        </w:rPr>
        <w:t></w:t>
      </w:r>
      <w:r w:rsidR="007A07D9" w:rsidRPr="004946F6">
        <w:rPr>
          <w:rFonts w:ascii="Symbol" w:hAnsi="Symbol"/>
        </w:rPr>
        <w:t></w:t>
      </w:r>
      <w:r w:rsidR="008C6E1D" w:rsidRPr="004946F6">
        <w:fldChar w:fldCharType="begin" w:fldLock="1"/>
      </w:r>
      <w:r w:rsidR="008C25E5" w:rsidRPr="004946F6">
        <w:instrText>ADDIN CSL_CITATION { "citationItems" : [ { "id" : "ITEM-1", "itemData" : { "DOI" : "10.1037/a0014420.A", "author" : [ { "dropping-particle" : "", "family" : "Polyn", "given" : "Sean M", "non-dropping-particle" : "", "parse-names" : false, "suffix" : "" }, { "dropping-particle" : "", "family" : "Norman", "given" : "Kenneth A", "non-dropping-particle" : "", "parse-names" : false, "suffix" : "" }, { "dropping-particle" : "", "family" : "Kahana", "given" : "Michael J", "non-dropping-particle" : "", "parse-names" : false, "suffix" : "" } ], "id" : "ITEM-1", "issue" : "1", "issued" : { "date-parts" : [ [ "2009" ] ] }, "page" : "129-156", "title" : "A context maintenance and retrieval model of organizational processes in free recall", "type" : "article-journal", "volume" : "116" }, "uris" : [ "http://www.mendeley.com/documents/?uuid=332b768b-157f-44b6-b42c-04445440d695" ] } ], "mendeley" : { "formattedCitation" : "(Polyn et al., 2009)", "plainTextFormattedCitation" : "(Polyn et al., 2009)", "previouslyFormattedCitation" : "(Polyn et al., 2009)" }, "properties" : { "noteIndex" : 0 }, "schema" : "https://github.com/citation-style-language/schema/raw/master/csl-citation.json" }</w:instrText>
      </w:r>
      <w:r w:rsidR="008C6E1D" w:rsidRPr="004946F6">
        <w:fldChar w:fldCharType="separate"/>
      </w:r>
      <w:r w:rsidR="008C6E1D" w:rsidRPr="004946F6">
        <w:rPr>
          <w:noProof/>
        </w:rPr>
        <w:t>(Polyn et al., 2009)</w:t>
      </w:r>
      <w:r w:rsidR="008C6E1D" w:rsidRPr="004946F6">
        <w:fldChar w:fldCharType="end"/>
      </w:r>
      <w:r w:rsidR="008C6E1D" w:rsidRPr="004946F6">
        <w:rPr>
          <w:rFonts w:cs="Times"/>
          <w:i/>
        </w:rPr>
        <w:t xml:space="preserve">. </w:t>
      </w:r>
      <w:r w:rsidR="00D027D9" w:rsidRPr="004946F6">
        <w:rPr>
          <w:rFonts w:cs="Times"/>
          <w:iCs/>
        </w:rPr>
        <w:t>Whereas</w:t>
      </w:r>
      <w:r w:rsidR="00537B60" w:rsidRPr="004946F6">
        <w:rPr>
          <w:rFonts w:cs="Times"/>
          <w:iCs/>
        </w:rPr>
        <w:t xml:space="preserve"> in</w:t>
      </w:r>
      <w:r w:rsidR="00D027D9" w:rsidRPr="004946F6">
        <w:rPr>
          <w:rFonts w:cs="Times"/>
          <w:iCs/>
        </w:rPr>
        <w:t xml:space="preserve"> Polyn and colleagues</w:t>
      </w:r>
      <w:r w:rsidR="00537B60" w:rsidRPr="004946F6">
        <w:rPr>
          <w:rFonts w:cs="Times"/>
          <w:iCs/>
        </w:rPr>
        <w:t>’ study</w:t>
      </w:r>
      <w:r w:rsidR="00D027D9" w:rsidRPr="004946F6">
        <w:rPr>
          <w:rFonts w:cs="Times"/>
          <w:iCs/>
        </w:rPr>
        <w:t xml:space="preserve"> the change in source context was a change in </w:t>
      </w:r>
      <w:r w:rsidR="00537B60" w:rsidRPr="004946F6">
        <w:rPr>
          <w:rFonts w:cs="Times"/>
          <w:iCs/>
        </w:rPr>
        <w:t xml:space="preserve">the </w:t>
      </w:r>
      <w:r w:rsidR="00D02A80">
        <w:rPr>
          <w:rFonts w:cs="Times"/>
          <w:iCs/>
        </w:rPr>
        <w:t xml:space="preserve">externally-imposed </w:t>
      </w:r>
      <w:r w:rsidR="00537B60" w:rsidRPr="004946F6">
        <w:rPr>
          <w:rFonts w:cs="Times"/>
          <w:iCs/>
        </w:rPr>
        <w:t>orienting task</w:t>
      </w:r>
      <w:r w:rsidR="00D02A80">
        <w:rPr>
          <w:rFonts w:cs="Times"/>
          <w:iCs/>
        </w:rPr>
        <w:t xml:space="preserve">, </w:t>
      </w:r>
      <w:r w:rsidR="00D027D9" w:rsidRPr="004946F6">
        <w:rPr>
          <w:rFonts w:cs="Times"/>
          <w:iCs/>
        </w:rPr>
        <w:t>here the change in source context reflected a change in emotional category of the item</w:t>
      </w:r>
      <w:r w:rsidR="00D02A80">
        <w:rPr>
          <w:rFonts w:cs="Times"/>
          <w:iCs/>
        </w:rPr>
        <w:t>, and concomitant internal operations</w:t>
      </w:r>
      <w:r w:rsidR="00D027D9" w:rsidRPr="004946F6">
        <w:rPr>
          <w:rFonts w:cs="Times"/>
          <w:iCs/>
        </w:rPr>
        <w:t xml:space="preserve">. </w:t>
      </w:r>
      <w:r w:rsidR="00483D10" w:rsidRPr="004946F6">
        <w:rPr>
          <w:rFonts w:cs="Times"/>
          <w:iCs/>
        </w:rPr>
        <w:t>Accordingly, w</w:t>
      </w:r>
      <w:r w:rsidR="00D027D9" w:rsidRPr="004946F6">
        <w:rPr>
          <w:rFonts w:cs="Times"/>
          <w:iCs/>
        </w:rPr>
        <w:t xml:space="preserve">e set the value of the disruption parameter </w:t>
      </w:r>
      <m:oMath>
        <m:r>
          <w:rPr>
            <w:rFonts w:ascii="Cambria Math" w:hAnsi="Cambria Math" w:cs="Times"/>
          </w:rPr>
          <m:t>d</m:t>
        </m:r>
      </m:oMath>
      <w:r w:rsidR="00D027D9" w:rsidRPr="004946F6">
        <w:rPr>
          <w:rFonts w:cs="Times"/>
          <w:iCs/>
        </w:rPr>
        <w:t xml:space="preserve"> to a lower value than that used by Polyn and colleagues (</w:t>
      </w:r>
      <w:r w:rsidR="00E0781D" w:rsidRPr="004946F6">
        <w:rPr>
          <w:rFonts w:cs="Times"/>
          <w:iCs/>
        </w:rPr>
        <w:fldChar w:fldCharType="begin"/>
      </w:r>
      <w:r w:rsidR="00E0781D" w:rsidRPr="004946F6">
        <w:rPr>
          <w:rFonts w:cs="Times"/>
          <w:iCs/>
        </w:rPr>
        <w:instrText xml:space="preserve"> REF Table1 \h </w:instrText>
      </w:r>
      <w:r w:rsidR="008523C1" w:rsidRPr="004946F6">
        <w:rPr>
          <w:rFonts w:cs="Times"/>
          <w:iCs/>
        </w:rPr>
        <w:instrText xml:space="preserve"> \* MERGEFORMAT </w:instrText>
      </w:r>
      <w:r w:rsidR="00E0781D" w:rsidRPr="004946F6">
        <w:rPr>
          <w:rFonts w:cs="Times"/>
          <w:iCs/>
        </w:rPr>
      </w:r>
      <w:r w:rsidR="00E0781D" w:rsidRPr="004946F6">
        <w:rPr>
          <w:rFonts w:cs="Times"/>
          <w:iCs/>
        </w:rPr>
        <w:fldChar w:fldCharType="separate"/>
      </w:r>
      <w:r w:rsidR="00E0781D" w:rsidRPr="004946F6">
        <w:rPr>
          <w:b/>
          <w:bCs/>
        </w:rPr>
        <w:t>TABLE 1</w:t>
      </w:r>
      <w:r w:rsidR="00E0781D" w:rsidRPr="004946F6">
        <w:rPr>
          <w:rFonts w:cs="Times"/>
          <w:iCs/>
        </w:rPr>
        <w:fldChar w:fldCharType="end"/>
      </w:r>
      <w:r w:rsidR="00D027D9" w:rsidRPr="004946F6">
        <w:rPr>
          <w:rFonts w:cs="Times"/>
          <w:iCs/>
        </w:rPr>
        <w:t xml:space="preserve">). </w:t>
      </w:r>
      <w:r w:rsidR="003C406F" w:rsidRPr="004946F6">
        <w:rPr>
          <w:lang w:bidi="he-IL"/>
        </w:rPr>
        <w:t xml:space="preserve">The strength of semantic associations among items from the same category was simulated as 20% stronger than the semantic associations across categories. This remained constant across all of the simulations in all </w:t>
      </w:r>
      <w:r w:rsidR="003C406F" w:rsidRPr="00360674">
        <w:rPr>
          <w:lang w:bidi="he-IL"/>
        </w:rPr>
        <w:t>sections.</w:t>
      </w:r>
      <w:r w:rsidR="003C406F">
        <w:rPr>
          <w:lang w:bidi="he-IL"/>
        </w:rPr>
        <w:t xml:space="preserve"> </w:t>
      </w:r>
      <w:r w:rsidR="00537B60" w:rsidRPr="004946F6">
        <w:rPr>
          <w:rFonts w:cs="Times"/>
          <w:iCs/>
        </w:rPr>
        <w:t xml:space="preserve">As mentioned in section 2.2, </w:t>
      </w:r>
      <w:r w:rsidR="007A68CB" w:rsidRPr="004946F6">
        <w:rPr>
          <w:rFonts w:cs="Times"/>
          <w:iCs/>
        </w:rPr>
        <w:t xml:space="preserve">temporal organisation effects in </w:t>
      </w:r>
      <w:r w:rsidR="00D02A80">
        <w:rPr>
          <w:rFonts w:cs="Times"/>
          <w:iCs/>
        </w:rPr>
        <w:t xml:space="preserve">the empirical data </w:t>
      </w:r>
      <w:r w:rsidR="007A68CB" w:rsidRPr="004946F6">
        <w:rPr>
          <w:rFonts w:cs="Times"/>
          <w:iCs/>
        </w:rPr>
        <w:t>were not pronounced</w:t>
      </w:r>
      <w:r w:rsidR="00E23C3F" w:rsidRPr="004946F6">
        <w:rPr>
          <w:rFonts w:cs="Times"/>
          <w:iCs/>
        </w:rPr>
        <w:t xml:space="preserve">. In order to align model predictions of temporal contiguity with those of the empirical data, </w:t>
      </w:r>
      <w:r w:rsidR="00D02A80">
        <w:rPr>
          <w:rFonts w:cs="Times"/>
          <w:iCs/>
        </w:rPr>
        <w:t xml:space="preserve">additional parameter values were altered compared to those used by Polyn and colleagues: we </w:t>
      </w:r>
      <w:r w:rsidR="00E23C3F" w:rsidRPr="004946F6">
        <w:rPr>
          <w:rFonts w:cs="Times"/>
          <w:iCs/>
        </w:rPr>
        <w:t>decreased</w:t>
      </w:r>
      <w:r w:rsidR="00A6686B" w:rsidRPr="004946F6">
        <w:rPr>
          <w:rFonts w:cs="Times"/>
          <w:iCs/>
        </w:rPr>
        <w:t xml:space="preserve"> the value of</w:t>
      </w:r>
      <w:r w:rsidR="006E738D" w:rsidRPr="004946F6">
        <w:rPr>
          <w:rFonts w:cs="Times"/>
          <w:iCs/>
        </w:rPr>
        <w:t xml:space="preserve"> </w:t>
      </w:r>
      <m:oMath>
        <m:sSubSup>
          <m:sSubSupPr>
            <m:ctrlPr>
              <w:rPr>
                <w:rFonts w:ascii="Cambria Math" w:hAnsi="Cambria Math"/>
              </w:rPr>
            </m:ctrlPr>
          </m:sSubSupPr>
          <m:e>
            <m:r>
              <m:rPr>
                <m:sty m:val="p"/>
              </m:rPr>
              <w:rPr>
                <w:rFonts w:ascii="Cambria Math" w:hAnsi="Cambria Math" w:hint="eastAsia"/>
              </w:rPr>
              <m:t>β</m:t>
            </m:r>
          </m:e>
          <m:sub>
            <m:r>
              <w:rPr>
                <w:rFonts w:ascii="Cambria Math" w:hAnsi="Cambria Math"/>
              </w:rPr>
              <m:t>enc</m:t>
            </m:r>
          </m:sub>
          <m:sup>
            <m:r>
              <w:rPr>
                <w:rFonts w:ascii="Cambria Math" w:hAnsi="Cambria Math"/>
              </w:rPr>
              <m:t>temp</m:t>
            </m:r>
          </m:sup>
        </m:sSubSup>
      </m:oMath>
      <w:r w:rsidR="007A68CB" w:rsidRPr="004946F6">
        <w:rPr>
          <w:rFonts w:eastAsiaTheme="minorEastAsia" w:cs="Times"/>
        </w:rPr>
        <w:t>, and decreased t</w:t>
      </w:r>
      <w:r w:rsidR="007A68CB" w:rsidRPr="004946F6">
        <w:rPr>
          <w:lang w:bidi="he-IL"/>
        </w:rPr>
        <w:t xml:space="preserve">he weight the model assigns to temporal, compared to semantic, associations by decreasing </w:t>
      </w:r>
      <m:oMath>
        <m:sSubSup>
          <m:sSubSupPr>
            <m:ctrlPr>
              <w:rPr>
                <w:rFonts w:ascii="Cambria Math" w:hAnsi="Cambria Math"/>
                <w:i/>
              </w:rPr>
            </m:ctrlPr>
          </m:sSubSupPr>
          <m:e>
            <m:r>
              <m:rPr>
                <m:sty m:val="bi"/>
              </m:rPr>
              <w:rPr>
                <w:rFonts w:ascii="Cambria Math" w:hAnsi="Cambria Math"/>
              </w:rPr>
              <m:t>L</m:t>
            </m:r>
          </m:e>
          <m:sub>
            <m:r>
              <m:rPr>
                <m:sty m:val="bi"/>
              </m:rPr>
              <w:rPr>
                <w:rFonts w:ascii="Cambria Math" w:hAnsi="Cambria Math"/>
              </w:rPr>
              <m:t>tw</m:t>
            </m:r>
          </m:sub>
          <m:sup>
            <m:r>
              <m:rPr>
                <m:sty m:val="bi"/>
              </m:rPr>
              <w:rPr>
                <w:rFonts w:ascii="Cambria Math" w:hAnsi="Cambria Math"/>
              </w:rPr>
              <m:t>CF</m:t>
            </m:r>
          </m:sup>
        </m:sSubSup>
      </m:oMath>
      <w:r w:rsidR="007A68CB" w:rsidRPr="004946F6">
        <w:rPr>
          <w:lang w:bidi="he-IL"/>
        </w:rPr>
        <w:t>.</w:t>
      </w:r>
      <w:r w:rsidR="006E738D" w:rsidRPr="004946F6">
        <w:rPr>
          <w:lang w:bidi="he-IL"/>
        </w:rPr>
        <w:t xml:space="preserve"> </w:t>
      </w:r>
    </w:p>
    <w:p w14:paraId="105BA328" w14:textId="2F2A9FAE" w:rsidR="008C6E1D" w:rsidRPr="00360674" w:rsidRDefault="003C406F">
      <w:pPr>
        <w:widowControl w:val="0"/>
        <w:autoSpaceDE w:val="0"/>
        <w:autoSpaceDN w:val="0"/>
        <w:adjustRightInd w:val="0"/>
        <w:spacing w:after="240" w:line="480" w:lineRule="auto"/>
        <w:rPr>
          <w:rFonts w:cs="Times"/>
        </w:rPr>
      </w:pPr>
      <w:r>
        <w:rPr>
          <w:lang w:bidi="he-IL"/>
        </w:rPr>
        <w:t xml:space="preserve">This </w:t>
      </w:r>
      <w:r w:rsidR="005F7BD0" w:rsidRPr="004946F6">
        <w:rPr>
          <w:lang w:bidi="he-IL"/>
        </w:rPr>
        <w:t xml:space="preserve">value of </w:t>
      </w:r>
      <m:oMath>
        <m:sSubSup>
          <m:sSubSupPr>
            <m:ctrlPr>
              <w:rPr>
                <w:rFonts w:ascii="Cambria Math" w:hAnsi="Cambria Math"/>
                <w:i/>
              </w:rPr>
            </m:ctrlPr>
          </m:sSubSupPr>
          <m:e>
            <m:r>
              <m:rPr>
                <m:sty m:val="bi"/>
              </m:rPr>
              <w:rPr>
                <w:rFonts w:ascii="Cambria Math" w:hAnsi="Cambria Math"/>
              </w:rPr>
              <m:t>L</m:t>
            </m:r>
          </m:e>
          <m:sub>
            <m:r>
              <m:rPr>
                <m:sty m:val="bi"/>
              </m:rPr>
              <w:rPr>
                <w:rFonts w:ascii="Cambria Math" w:hAnsi="Cambria Math"/>
              </w:rPr>
              <m:t>tw</m:t>
            </m:r>
          </m:sub>
          <m:sup>
            <m:r>
              <m:rPr>
                <m:sty m:val="bi"/>
              </m:rPr>
              <w:rPr>
                <w:rFonts w:ascii="Cambria Math" w:hAnsi="Cambria Math"/>
              </w:rPr>
              <m:t>CF</m:t>
            </m:r>
          </m:sup>
        </m:sSubSup>
      </m:oMath>
      <w:r w:rsidR="005F7BD0" w:rsidRPr="004946F6">
        <w:rPr>
          <w:rFonts w:eastAsiaTheme="minorEastAsia"/>
        </w:rPr>
        <w:t xml:space="preserve"> </w:t>
      </w:r>
      <w:r>
        <w:rPr>
          <w:rFonts w:eastAsiaTheme="minorEastAsia"/>
        </w:rPr>
        <w:t xml:space="preserve">was fixed throughout this section and in each of the other </w:t>
      </w:r>
      <w:r w:rsidR="005F7BD0" w:rsidRPr="004946F6">
        <w:rPr>
          <w:rFonts w:eastAsiaTheme="minorEastAsia"/>
        </w:rPr>
        <w:t>sections</w:t>
      </w:r>
      <w:r>
        <w:rPr>
          <w:rFonts w:eastAsiaTheme="minorEastAsia"/>
        </w:rPr>
        <w:t xml:space="preserve">, but varies </w:t>
      </w:r>
      <w:r>
        <w:rPr>
          <w:lang w:bidi="he-IL"/>
        </w:rPr>
        <w:t xml:space="preserve">across </w:t>
      </w:r>
      <w:r w:rsidRPr="004946F6">
        <w:rPr>
          <w:lang w:bidi="he-IL"/>
        </w:rPr>
        <w:t>section</w:t>
      </w:r>
      <w:r>
        <w:rPr>
          <w:lang w:bidi="he-IL"/>
        </w:rPr>
        <w:t>s, because each of them</w:t>
      </w:r>
      <w:r w:rsidRPr="004946F6">
        <w:rPr>
          <w:lang w:bidi="he-IL"/>
        </w:rPr>
        <w:t xml:space="preserve"> concerns different empirical results, obtained with lists that varied in their cohesiveness</w:t>
      </w:r>
      <w:r w:rsidR="005F7BD0" w:rsidRPr="004946F6">
        <w:rPr>
          <w:rFonts w:eastAsiaTheme="minorEastAsia"/>
        </w:rPr>
        <w:t>. Other than that</w:t>
      </w:r>
      <w:r>
        <w:rPr>
          <w:rFonts w:eastAsiaTheme="minorEastAsia"/>
        </w:rPr>
        <w:t xml:space="preserve"> most model parameters were fixed across all of the simulations we report </w:t>
      </w:r>
      <w:r w:rsidRPr="004946F6">
        <w:rPr>
          <w:rFonts w:eastAsiaTheme="minorEastAsia" w:cs="Times"/>
        </w:rPr>
        <w:t>(Tables 1-2)</w:t>
      </w:r>
      <w:r>
        <w:rPr>
          <w:rFonts w:eastAsiaTheme="minorEastAsia"/>
        </w:rPr>
        <w:t xml:space="preserve">; </w:t>
      </w:r>
      <w:r w:rsidR="005F7BD0" w:rsidRPr="004946F6">
        <w:rPr>
          <w:rFonts w:eastAsiaTheme="minorEastAsia"/>
        </w:rPr>
        <w:t>we only vary parameter values to expose the machinery of the model, and this is discussed explicitly.</w:t>
      </w:r>
      <w:r w:rsidR="00807D81" w:rsidRPr="004946F6">
        <w:rPr>
          <w:lang w:bidi="he-IL"/>
        </w:rPr>
        <w:t xml:space="preserve"> </w:t>
      </w:r>
    </w:p>
    <w:p w14:paraId="268EE7A9" w14:textId="558EE1C2" w:rsidR="002B724F" w:rsidRPr="004946F6" w:rsidRDefault="00156363">
      <w:pPr>
        <w:spacing w:line="480" w:lineRule="auto"/>
        <w:jc w:val="both"/>
      </w:pPr>
      <w:r w:rsidRPr="00360674">
        <w:fldChar w:fldCharType="begin"/>
      </w:r>
      <w:r w:rsidRPr="00E1207B">
        <w:instrText xml:space="preserve"> REF Figure3 \h </w:instrText>
      </w:r>
      <w:r w:rsidR="00AC0EC8" w:rsidRPr="00E1207B">
        <w:instrText xml:space="preserve"> \* MERGEFORMAT </w:instrText>
      </w:r>
      <w:r w:rsidRPr="0003785C">
        <w:fldChar w:fldCharType="separate"/>
      </w:r>
      <w:r w:rsidRPr="00360674">
        <w:rPr>
          <w:b/>
          <w:bCs/>
          <w:i/>
          <w:iCs/>
        </w:rPr>
        <w:t>Figure 3</w:t>
      </w:r>
      <w:r w:rsidRPr="00360674">
        <w:fldChar w:fldCharType="end"/>
      </w:r>
      <w:r w:rsidRPr="00360674">
        <w:t xml:space="preserve"> </w:t>
      </w:r>
      <w:r w:rsidR="00AC06E4" w:rsidRPr="00360674">
        <w:t>shows that</w:t>
      </w:r>
      <w:r w:rsidR="00791B69" w:rsidRPr="00360674">
        <w:t xml:space="preserve"> the </w:t>
      </w:r>
      <w:r w:rsidR="00791B69" w:rsidRPr="00360674">
        <w:rPr>
          <w:i/>
          <w:iCs/>
        </w:rPr>
        <w:t>category-only</w:t>
      </w:r>
      <w:r w:rsidR="00791B69" w:rsidRPr="00360674">
        <w:t xml:space="preserve"> variant predicted decreased </w:t>
      </w:r>
      <w:r w:rsidR="0087097C" w:rsidRPr="00360674">
        <w:t>memory in mixed</w:t>
      </w:r>
      <w:r w:rsidR="003C406F">
        <w:t>,</w:t>
      </w:r>
      <w:r w:rsidR="0087097C" w:rsidRPr="00360674">
        <w:t xml:space="preserve"> compared to pure lists</w:t>
      </w:r>
      <w:r w:rsidR="00C34E53" w:rsidRPr="007309A4">
        <w:t>. This decrease was due to</w:t>
      </w:r>
      <w:r w:rsidR="00AC06E4" w:rsidRPr="007309A4">
        <w:t xml:space="preserve"> the frequent </w:t>
      </w:r>
      <w:r w:rsidR="00F2040E" w:rsidRPr="007309A4">
        <w:t xml:space="preserve">disruptions to the temporal context </w:t>
      </w:r>
      <w:r w:rsidR="00AC06E4" w:rsidRPr="007309A4">
        <w:t>during the encoding of mixed lists, which decreased the strength of associations between items, and the degree to which items were able to promote each other’s recall</w:t>
      </w:r>
      <w:r w:rsidR="00753B5F" w:rsidRPr="00E1207B">
        <w:t xml:space="preserve">. </w:t>
      </w:r>
      <w:r w:rsidR="00FE1A64" w:rsidRPr="00E1207B">
        <w:t xml:space="preserve">In contrast to </w:t>
      </w:r>
      <w:r w:rsidR="00D717C1" w:rsidRPr="00E1207B">
        <w:t xml:space="preserve">the </w:t>
      </w:r>
      <w:r w:rsidR="00FE1A64" w:rsidRPr="00E1207B">
        <w:t xml:space="preserve">empirical results, though, the shared emotional context of emotional items did not benefit their recall over that of neutral items. </w:t>
      </w:r>
      <w:r w:rsidR="007309A4">
        <w:t xml:space="preserve">The failure of this variant to account for the list-composition effect was expected, as explained above, and led us to include emotional biases in attentional processing in the next simulation. </w:t>
      </w:r>
    </w:p>
    <w:p w14:paraId="535A05BA" w14:textId="77777777" w:rsidR="007D5D2C" w:rsidRPr="004946F6" w:rsidRDefault="007D5D2C" w:rsidP="007D5D2C">
      <w:pPr>
        <w:spacing w:line="480" w:lineRule="auto"/>
        <w:jc w:val="both"/>
      </w:pPr>
    </w:p>
    <w:p w14:paraId="3F9A876A" w14:textId="210E2125" w:rsidR="003E3CC9" w:rsidRPr="004946F6" w:rsidRDefault="003E3CC9" w:rsidP="00E0781D">
      <w:pPr>
        <w:spacing w:line="480" w:lineRule="auto"/>
        <w:jc w:val="both"/>
        <w:rPr>
          <w:b/>
          <w:bCs/>
          <w:i/>
          <w:iCs/>
        </w:rPr>
      </w:pPr>
      <w:r w:rsidRPr="004946F6">
        <w:rPr>
          <w:b/>
          <w:bCs/>
          <w:i/>
          <w:iCs/>
        </w:rPr>
        <w:t>2.</w:t>
      </w:r>
      <w:r w:rsidR="0085714C" w:rsidRPr="004946F6">
        <w:rPr>
          <w:b/>
          <w:bCs/>
          <w:i/>
          <w:iCs/>
        </w:rPr>
        <w:t>3</w:t>
      </w:r>
      <w:r w:rsidRPr="004946F6">
        <w:rPr>
          <w:b/>
          <w:bCs/>
          <w:i/>
          <w:iCs/>
        </w:rPr>
        <w:t>.2 Simulation 2 - the attention</w:t>
      </w:r>
      <w:r w:rsidR="00E826CF" w:rsidRPr="004946F6">
        <w:rPr>
          <w:b/>
          <w:bCs/>
          <w:i/>
          <w:iCs/>
        </w:rPr>
        <w:t>-</w:t>
      </w:r>
      <w:r w:rsidR="00E0781D" w:rsidRPr="004946F6">
        <w:rPr>
          <w:b/>
          <w:bCs/>
          <w:i/>
          <w:iCs/>
        </w:rPr>
        <w:t>category</w:t>
      </w:r>
      <w:r w:rsidRPr="004946F6">
        <w:rPr>
          <w:b/>
          <w:bCs/>
          <w:i/>
          <w:iCs/>
        </w:rPr>
        <w:t xml:space="preserve"> variant of eCMR</w:t>
      </w:r>
    </w:p>
    <w:p w14:paraId="4B7C9EB8" w14:textId="2A5714B0" w:rsidR="004B4D3E" w:rsidRPr="004946F6" w:rsidRDefault="004B4D3E" w:rsidP="0003785C">
      <w:pPr>
        <w:spacing w:line="480" w:lineRule="auto"/>
      </w:pPr>
      <w:r>
        <w:t xml:space="preserve">Simulation 2 was identical to Simulation 1 apart from </w:t>
      </w:r>
      <w:r w:rsidR="00E1207B">
        <w:t xml:space="preserve">the value of parameter </w:t>
      </w:r>
      <m:oMath>
        <m:sSub>
          <m:sSubPr>
            <m:ctrlPr>
              <w:rPr>
                <w:rFonts w:ascii="Cambria Math" w:hAnsi="Cambria Math"/>
              </w:rPr>
            </m:ctrlPr>
          </m:sSubPr>
          <m:e>
            <m:r>
              <m:rPr>
                <m:sty m:val="p"/>
              </m:rPr>
              <w:rPr>
                <w:rFonts w:ascii="Cambria Math" w:hAnsi="Cambria Math"/>
              </w:rPr>
              <m:t>ϕ</m:t>
            </m:r>
          </m:e>
          <m:sub>
            <m:r>
              <w:rPr>
                <w:rFonts w:ascii="Cambria Math" w:hAnsi="Cambria Math"/>
              </w:rPr>
              <m:t>emot</m:t>
            </m:r>
          </m:sub>
        </m:sSub>
      </m:oMath>
      <w:r w:rsidRPr="004946F6">
        <w:t xml:space="preserve"> </w:t>
      </w:r>
      <w:r w:rsidR="00E1207B">
        <w:t xml:space="preserve">, which was increased in order </w:t>
      </w:r>
      <w:r w:rsidRPr="004946F6">
        <w:t xml:space="preserve">to model </w:t>
      </w:r>
      <w:r w:rsidR="00E1207B">
        <w:t xml:space="preserve">the </w:t>
      </w:r>
      <w:r w:rsidRPr="004946F6">
        <w:t>emotion</w:t>
      </w:r>
      <w:r w:rsidR="00E1207B">
        <w:t>al modulation of attention</w:t>
      </w:r>
      <w:r w:rsidRPr="004946F6">
        <w:t xml:space="preserve"> (section 2.2, equation 11). </w:t>
      </w:r>
    </w:p>
    <w:p w14:paraId="28C46B95" w14:textId="05E3C336" w:rsidR="00B763BD" w:rsidRPr="004946F6" w:rsidRDefault="00E1207B" w:rsidP="0003785C">
      <w:pPr>
        <w:spacing w:line="480" w:lineRule="auto"/>
      </w:pPr>
      <w:r>
        <w:t xml:space="preserve">This choice </w:t>
      </w:r>
      <w:r w:rsidR="00997BBA">
        <w:t>was motivated by the way attention was implemented in</w:t>
      </w:r>
      <w:r w:rsidR="00FE1A64" w:rsidRPr="004946F6">
        <w:t xml:space="preserve"> CMR</w:t>
      </w:r>
      <w:r w:rsidR="00997BBA">
        <w:t xml:space="preserve">. </w:t>
      </w:r>
      <w:r w:rsidR="00997BBA" w:rsidRPr="004946F6">
        <w:t xml:space="preserve">CMR assumes that primacy items draw attention to both experimental contexts of the presented items, i.e., temporal and source contexts. </w:t>
      </w:r>
      <w:r w:rsidR="00997BBA">
        <w:t xml:space="preserve">The </w:t>
      </w:r>
      <w:r w:rsidR="00FE1A64" w:rsidRPr="004946F6">
        <w:t xml:space="preserve">additional attention to the earliest items in the list is implemented by increasing the strength of association between item features </w:t>
      </w:r>
      <w:r w:rsidR="00027F76" w:rsidRPr="004946F6">
        <w:t>to</w:t>
      </w:r>
      <w:r w:rsidR="00FE1A64" w:rsidRPr="004946F6">
        <w:t xml:space="preserve"> temporal </w:t>
      </w:r>
      <w:r w:rsidR="00027F76" w:rsidRPr="004946F6">
        <w:t xml:space="preserve">and source </w:t>
      </w:r>
      <w:r w:rsidR="00FE1A64" w:rsidRPr="004946F6">
        <w:t>context</w:t>
      </w:r>
      <w:r w:rsidR="00614834" w:rsidRPr="004946F6">
        <w:t xml:space="preserve">s </w:t>
      </w:r>
      <w:r w:rsidR="004C345F" w:rsidRPr="004946F6">
        <w:t>(equation 5)</w:t>
      </w:r>
      <w:r w:rsidR="00FE1A64" w:rsidRPr="004946F6">
        <w:t>.</w:t>
      </w:r>
      <w:r w:rsidR="00027F76" w:rsidRPr="004946F6">
        <w:t xml:space="preserve"> </w:t>
      </w:r>
      <w:r w:rsidR="00366A26" w:rsidRPr="004946F6">
        <w:t>Although emotional items might also benefit from enhanced attention in the same way,</w:t>
      </w:r>
      <w:r w:rsidR="00027F76" w:rsidRPr="004946F6">
        <w:t xml:space="preserve"> the</w:t>
      </w:r>
      <w:r w:rsidR="00997BBA">
        <w:t>y</w:t>
      </w:r>
      <w:r w:rsidR="00027F76" w:rsidRPr="004946F6">
        <w:t xml:space="preserve"> might only draw attention to their distinctive emotional (source) context, and not the</w:t>
      </w:r>
      <w:r w:rsidR="00366A26" w:rsidRPr="004946F6">
        <w:t>ir associated</w:t>
      </w:r>
      <w:r w:rsidR="00027F76" w:rsidRPr="004946F6">
        <w:t xml:space="preserve"> tem</w:t>
      </w:r>
      <w:r w:rsidR="00366A26" w:rsidRPr="004946F6">
        <w:t>poral contexts</w:t>
      </w:r>
      <w:r w:rsidR="00027F76" w:rsidRPr="004946F6">
        <w:t>.</w:t>
      </w:r>
      <w:r w:rsidR="00997BBA">
        <w:t xml:space="preserve"> W</w:t>
      </w:r>
      <w:r w:rsidR="00027F76" w:rsidRPr="004946F6">
        <w:t>e can distinguish between these possibilities</w:t>
      </w:r>
      <w:r w:rsidR="00997BBA">
        <w:t xml:space="preserve"> here</w:t>
      </w:r>
      <w:r w:rsidR="00027F76" w:rsidRPr="004946F6">
        <w:t xml:space="preserve"> by asking whether emotional items </w:t>
      </w:r>
      <w:r w:rsidR="00366A26" w:rsidRPr="004946F6">
        <w:t>modulate item features to temporal context and/or item features to source context.</w:t>
      </w:r>
      <w:r w:rsidR="006E738D" w:rsidRPr="004946F6">
        <w:t xml:space="preserve"> </w:t>
      </w:r>
      <w:r w:rsidR="00FE1A64" w:rsidRPr="004946F6">
        <w:t xml:space="preserve"> </w:t>
      </w:r>
      <w:r w:rsidR="003E219A" w:rsidRPr="004946F6">
        <w:t xml:space="preserve">Because </w:t>
      </w:r>
      <w:r w:rsidR="0016507E" w:rsidRPr="004946F6">
        <w:t xml:space="preserve">increased association to the temporal context </w:t>
      </w:r>
      <w:r w:rsidR="003E219A" w:rsidRPr="004946F6">
        <w:t>should be manifested as</w:t>
      </w:r>
      <w:r w:rsidR="0016507E" w:rsidRPr="004946F6">
        <w:t xml:space="preserve"> increased temporal clustering</w:t>
      </w:r>
      <w:r w:rsidR="003E219A" w:rsidRPr="004946F6">
        <w:t xml:space="preserve"> scores in recalling emotional, compared to neutral lists, and there was no evidence for this in the empirical data (section 2.1), increased attention to emotional items </w:t>
      </w:r>
      <w:r w:rsidR="00614834" w:rsidRPr="004946F6">
        <w:t>wa</w:t>
      </w:r>
      <w:r w:rsidR="003E219A" w:rsidRPr="004946F6">
        <w:t xml:space="preserve">s implemented here as increased associations between emotional items and their emotional source context. </w:t>
      </w:r>
    </w:p>
    <w:p w14:paraId="4CF26F8A" w14:textId="189BCBEB" w:rsidR="00AE55EB" w:rsidRPr="004946F6" w:rsidRDefault="007D5D2C" w:rsidP="00614834">
      <w:pPr>
        <w:spacing w:line="480" w:lineRule="auto"/>
        <w:jc w:val="both"/>
        <w:rPr>
          <w:rFonts w:cs="Times"/>
          <w:iCs/>
        </w:rPr>
      </w:pPr>
      <w:r w:rsidRPr="004946F6">
        <w:t>This variant of the model simulate</w:t>
      </w:r>
      <w:r w:rsidR="00483D10" w:rsidRPr="004946F6">
        <w:t>s</w:t>
      </w:r>
      <w:r w:rsidRPr="004946F6">
        <w:t xml:space="preserve"> an </w:t>
      </w:r>
      <w:r w:rsidR="00483D10" w:rsidRPr="004946F6">
        <w:t xml:space="preserve">equivalent </w:t>
      </w:r>
      <w:r w:rsidRPr="004946F6">
        <w:t>increase in attention to emotional and neutral stimuli in both mixed and pure lists.</w:t>
      </w:r>
      <w:r w:rsidR="00AE55EB" w:rsidRPr="004946F6">
        <w:t xml:space="preserve"> </w:t>
      </w:r>
      <w:r w:rsidR="004562D4" w:rsidRPr="004946F6">
        <w:t>Because</w:t>
      </w:r>
      <w:r w:rsidR="004C345F" w:rsidRPr="004946F6">
        <w:t xml:space="preserve"> emotionality was modelled with a binary code all emotional items in pure lists were modelled as equally attended and none should draw </w:t>
      </w:r>
      <w:r w:rsidR="00032DB9" w:rsidRPr="004946F6">
        <w:t xml:space="preserve">more </w:t>
      </w:r>
      <w:r w:rsidR="004C345F" w:rsidRPr="004946F6">
        <w:t xml:space="preserve">attention than another. In reality, of course, some items will be more emotional to participants than others, attract </w:t>
      </w:r>
      <w:r w:rsidR="004562D4" w:rsidRPr="004946F6">
        <w:t xml:space="preserve">more </w:t>
      </w:r>
      <w:r w:rsidR="004C345F" w:rsidRPr="004946F6">
        <w:t>attention, and would be more likely to win the competition for retrieval during free recall.</w:t>
      </w:r>
    </w:p>
    <w:p w14:paraId="2976BFF5" w14:textId="4B8584A6" w:rsidR="006F7D0A" w:rsidRPr="004946F6" w:rsidRDefault="0026791E">
      <w:pPr>
        <w:spacing w:line="480" w:lineRule="auto"/>
        <w:jc w:val="both"/>
      </w:pPr>
      <w:r w:rsidRPr="004946F6">
        <w:fldChar w:fldCharType="begin"/>
      </w:r>
      <w:r w:rsidRPr="004946F6">
        <w:instrText xml:space="preserve"> REF Figure3 \h </w:instrText>
      </w:r>
      <w:r w:rsidR="007F214A" w:rsidRPr="004946F6">
        <w:instrText xml:space="preserve"> \* MERGEFORMAT </w:instrText>
      </w:r>
      <w:r w:rsidRPr="004946F6">
        <w:fldChar w:fldCharType="separate"/>
      </w:r>
      <w:r w:rsidRPr="004946F6">
        <w:rPr>
          <w:b/>
          <w:bCs/>
          <w:i/>
          <w:iCs/>
        </w:rPr>
        <w:t>Figure 3</w:t>
      </w:r>
      <w:r w:rsidRPr="004946F6">
        <w:fldChar w:fldCharType="end"/>
      </w:r>
      <w:r w:rsidR="007A68CB" w:rsidRPr="004946F6">
        <w:t xml:space="preserve"> shows that, crucially, </w:t>
      </w:r>
      <w:r w:rsidR="00137717" w:rsidRPr="004946F6">
        <w:t>S</w:t>
      </w:r>
      <w:r w:rsidR="00C34E53" w:rsidRPr="004946F6">
        <w:t xml:space="preserve">imulation </w:t>
      </w:r>
      <w:r w:rsidR="00137717" w:rsidRPr="004946F6">
        <w:t xml:space="preserve">2 </w:t>
      </w:r>
      <w:r w:rsidR="00C34E53" w:rsidRPr="004946F6">
        <w:t xml:space="preserve">yielded </w:t>
      </w:r>
      <w:r w:rsidR="00F47BF0" w:rsidRPr="004946F6">
        <w:t>a</w:t>
      </w:r>
      <w:r w:rsidR="00C07BCC" w:rsidRPr="004946F6">
        <w:t xml:space="preserve">n emotional list-composition effect. </w:t>
      </w:r>
      <w:r w:rsidR="007A68CB" w:rsidRPr="004946F6">
        <w:t xml:space="preserve">The comparison between simulations 1 and 2 demonstrates </w:t>
      </w:r>
      <w:r w:rsidR="003E3CC9" w:rsidRPr="004946F6">
        <w:t xml:space="preserve">that </w:t>
      </w:r>
      <w:r w:rsidR="007D3FE6" w:rsidRPr="004946F6">
        <w:t xml:space="preserve">preferential attention to emotional stimuli, which increases contextual binding, is </w:t>
      </w:r>
      <w:r w:rsidR="003E3CC9" w:rsidRPr="004946F6">
        <w:t xml:space="preserve">necessary </w:t>
      </w:r>
      <w:r w:rsidR="007D3FE6" w:rsidRPr="004946F6">
        <w:t>to the model’s ability to simulate th</w:t>
      </w:r>
      <w:r w:rsidR="003E3CC9" w:rsidRPr="004946F6">
        <w:t xml:space="preserve">is </w:t>
      </w:r>
      <w:r w:rsidR="007D3FE6" w:rsidRPr="004946F6">
        <w:t xml:space="preserve">effect. </w:t>
      </w:r>
      <w:r w:rsidR="00483BE5" w:rsidRPr="004946F6">
        <w:t xml:space="preserve">The simulation predicted a recall advantage for emotional items over neutral ones in mixed, but not pure lists, despite equivalent attention advantage for emotional items in both types of lists. This result </w:t>
      </w:r>
      <w:r w:rsidR="00032DB9" w:rsidRPr="004946F6">
        <w:t xml:space="preserve">clarifies that </w:t>
      </w:r>
      <w:r w:rsidR="007D3FE6" w:rsidRPr="004946F6">
        <w:t xml:space="preserve">differential attention </w:t>
      </w:r>
      <w:r w:rsidR="007A68CB" w:rsidRPr="004946F6">
        <w:t xml:space="preserve">alone is not sufficient to </w:t>
      </w:r>
      <w:r w:rsidR="007D3FE6" w:rsidRPr="004946F6">
        <w:t>explain the decrease in memory for neutral stimuli in mixed lists</w:t>
      </w:r>
      <w:r w:rsidR="00032DB9" w:rsidRPr="004946F6">
        <w:t xml:space="preserve">. </w:t>
      </w:r>
      <w:r w:rsidR="00483BE5" w:rsidRPr="004946F6">
        <w:t xml:space="preserve">Instead, encoding and retrieval mechanisms interplay here such </w:t>
      </w:r>
      <w:r w:rsidR="004C345F" w:rsidRPr="004946F6">
        <w:t>that t</w:t>
      </w:r>
      <w:r w:rsidR="008D11B0" w:rsidRPr="004946F6">
        <w:t xml:space="preserve">he attention-dependent advantage of emotional items </w:t>
      </w:r>
      <w:r w:rsidR="004C345F" w:rsidRPr="004946F6">
        <w:t xml:space="preserve">is more evident </w:t>
      </w:r>
      <w:r w:rsidR="008D11B0" w:rsidRPr="004946F6">
        <w:t>under conditions of competitive retrieval</w:t>
      </w:r>
      <w:r w:rsidR="00483BE5" w:rsidRPr="004946F6">
        <w:t xml:space="preserve"> (</w:t>
      </w:r>
      <w:r w:rsidR="008D11B0" w:rsidRPr="004946F6">
        <w:t>in mixed lists</w:t>
      </w:r>
      <w:r w:rsidR="00483BE5" w:rsidRPr="004946F6">
        <w:t xml:space="preserve">). </w:t>
      </w:r>
      <w:r w:rsidR="000C4694" w:rsidRPr="004946F6">
        <w:t>S</w:t>
      </w:r>
      <w:r w:rsidR="00AD7566" w:rsidRPr="004946F6">
        <w:t xml:space="preserve">ection 2.4 unpacks </w:t>
      </w:r>
      <w:r w:rsidR="000C4694" w:rsidRPr="004946F6">
        <w:t xml:space="preserve">the dynamics of retrieval to show how </w:t>
      </w:r>
      <w:r w:rsidR="00483BE5" w:rsidRPr="004946F6">
        <w:t xml:space="preserve">competition at retrieval </w:t>
      </w:r>
      <w:r w:rsidR="00AD7566" w:rsidRPr="004946F6">
        <w:t>works to favour emotional items</w:t>
      </w:r>
      <w:r w:rsidR="00483BE5" w:rsidRPr="004946F6">
        <w:t xml:space="preserve"> in mixed lists</w:t>
      </w:r>
      <w:r w:rsidR="00AD7566" w:rsidRPr="004946F6">
        <w:t xml:space="preserve">. </w:t>
      </w:r>
    </w:p>
    <w:p w14:paraId="68A02712" w14:textId="77777777" w:rsidR="0003416F" w:rsidRPr="004946F6" w:rsidRDefault="0003416F" w:rsidP="0003416F">
      <w:pPr>
        <w:spacing w:line="480" w:lineRule="auto"/>
        <w:jc w:val="both"/>
      </w:pPr>
    </w:p>
    <w:p w14:paraId="4BAED652" w14:textId="77777777" w:rsidR="006F7D0A" w:rsidRPr="004946F6" w:rsidRDefault="006F7D0A" w:rsidP="00B368D7">
      <w:pPr>
        <w:spacing w:line="480" w:lineRule="auto"/>
        <w:jc w:val="both"/>
        <w:rPr>
          <w:b/>
          <w:bCs/>
        </w:rPr>
      </w:pPr>
      <w:r w:rsidRPr="004946F6">
        <w:rPr>
          <w:b/>
          <w:bCs/>
        </w:rPr>
        <w:t>2.</w:t>
      </w:r>
      <w:r w:rsidR="002041C8" w:rsidRPr="004946F6">
        <w:rPr>
          <w:b/>
          <w:bCs/>
        </w:rPr>
        <w:t>4</w:t>
      </w:r>
      <w:r w:rsidRPr="004946F6">
        <w:rPr>
          <w:b/>
          <w:bCs/>
        </w:rPr>
        <w:t xml:space="preserve"> </w:t>
      </w:r>
      <w:r w:rsidR="00C2503A" w:rsidRPr="004946F6">
        <w:rPr>
          <w:b/>
          <w:bCs/>
        </w:rPr>
        <w:t>T</w:t>
      </w:r>
      <w:r w:rsidR="000547C0" w:rsidRPr="004946F6">
        <w:rPr>
          <w:b/>
          <w:bCs/>
        </w:rPr>
        <w:t xml:space="preserve">he contribution of </w:t>
      </w:r>
      <w:r w:rsidRPr="004946F6">
        <w:rPr>
          <w:b/>
          <w:bCs/>
        </w:rPr>
        <w:t>retrieval competit</w:t>
      </w:r>
      <w:r w:rsidR="000547C0" w:rsidRPr="004946F6">
        <w:rPr>
          <w:b/>
          <w:bCs/>
        </w:rPr>
        <w:t>i</w:t>
      </w:r>
      <w:r w:rsidRPr="004946F6">
        <w:rPr>
          <w:b/>
          <w:bCs/>
        </w:rPr>
        <w:t>on</w:t>
      </w:r>
      <w:r w:rsidR="000547C0" w:rsidRPr="004946F6">
        <w:rPr>
          <w:b/>
          <w:bCs/>
        </w:rPr>
        <w:t xml:space="preserve"> to the emotional list-composition effect</w:t>
      </w:r>
      <w:r w:rsidRPr="004946F6">
        <w:rPr>
          <w:b/>
          <w:bCs/>
        </w:rPr>
        <w:t xml:space="preserve"> </w:t>
      </w:r>
    </w:p>
    <w:p w14:paraId="449F5D93" w14:textId="6540D14A" w:rsidR="00483BE5" w:rsidRPr="004946F6" w:rsidRDefault="00C2503A">
      <w:pPr>
        <w:spacing w:line="480" w:lineRule="auto"/>
        <w:jc w:val="both"/>
      </w:pPr>
      <w:r w:rsidRPr="004946F6">
        <w:t>In this section</w:t>
      </w:r>
      <w:r w:rsidR="00F30D24" w:rsidRPr="004946F6">
        <w:t>,</w:t>
      </w:r>
      <w:r w:rsidRPr="004946F6">
        <w:t xml:space="preserve"> we unpack the retrieval mechanism of </w:t>
      </w:r>
      <w:r w:rsidR="00F70A95" w:rsidRPr="004946F6">
        <w:t xml:space="preserve">the </w:t>
      </w:r>
      <w:r w:rsidR="00F70A95" w:rsidRPr="004946F6">
        <w:rPr>
          <w:i/>
          <w:iCs/>
        </w:rPr>
        <w:t xml:space="preserve">attention-category </w:t>
      </w:r>
      <w:r w:rsidRPr="004946F6">
        <w:t xml:space="preserve">variant of eCMR. </w:t>
      </w:r>
      <w:r w:rsidR="008C1F79" w:rsidRPr="004946F6">
        <w:t xml:space="preserve">We begin by </w:t>
      </w:r>
      <w:r w:rsidR="00B47CDE" w:rsidRPr="004946F6">
        <w:t>show</w:t>
      </w:r>
      <w:r w:rsidR="008C1F79" w:rsidRPr="004946F6">
        <w:t>ing</w:t>
      </w:r>
      <w:r w:rsidR="00B47CDE" w:rsidRPr="004946F6">
        <w:t xml:space="preserve"> that</w:t>
      </w:r>
      <w:r w:rsidR="00150C0E" w:rsidRPr="004946F6">
        <w:t xml:space="preserve"> </w:t>
      </w:r>
      <w:r w:rsidR="00F70A95" w:rsidRPr="004946F6">
        <w:t xml:space="preserve">this model, but not the </w:t>
      </w:r>
      <w:r w:rsidR="00F70A95" w:rsidRPr="004946F6">
        <w:rPr>
          <w:i/>
          <w:iCs/>
        </w:rPr>
        <w:t>category</w:t>
      </w:r>
      <w:r w:rsidR="00C507F3">
        <w:rPr>
          <w:i/>
          <w:iCs/>
        </w:rPr>
        <w:t>-only</w:t>
      </w:r>
      <w:r w:rsidR="00F70A95" w:rsidRPr="004946F6">
        <w:rPr>
          <w:i/>
          <w:iCs/>
        </w:rPr>
        <w:t xml:space="preserve"> variant</w:t>
      </w:r>
      <w:r w:rsidR="00F70A95" w:rsidRPr="004946F6">
        <w:t xml:space="preserve">, </w:t>
      </w:r>
      <w:r w:rsidR="008C1F79" w:rsidRPr="004946F6">
        <w:t>predict</w:t>
      </w:r>
      <w:r w:rsidR="00665C61" w:rsidRPr="004946F6">
        <w:t>s</w:t>
      </w:r>
      <w:r w:rsidR="008C1F79" w:rsidRPr="004946F6">
        <w:t xml:space="preserve"> </w:t>
      </w:r>
      <w:r w:rsidR="00B47CDE" w:rsidRPr="004946F6">
        <w:t xml:space="preserve">an earlier output </w:t>
      </w:r>
      <w:r w:rsidR="006C7E9B" w:rsidRPr="004946F6">
        <w:t xml:space="preserve">of </w:t>
      </w:r>
      <w:r w:rsidR="00B47CDE" w:rsidRPr="004946F6">
        <w:t xml:space="preserve">emotional </w:t>
      </w:r>
      <w:r w:rsidRPr="004946F6">
        <w:t xml:space="preserve">compared to neutral </w:t>
      </w:r>
      <w:r w:rsidR="00B47CDE" w:rsidRPr="004946F6">
        <w:t>items</w:t>
      </w:r>
      <w:r w:rsidR="00B729CD" w:rsidRPr="004946F6">
        <w:t xml:space="preserve"> throughout the recall </w:t>
      </w:r>
      <w:r w:rsidR="000837FE" w:rsidRPr="004946F6">
        <w:t>of mixed lists</w:t>
      </w:r>
      <w:r w:rsidR="00501E46" w:rsidRPr="004946F6">
        <w:t xml:space="preserve">, because of their stronger connection to the </w:t>
      </w:r>
      <w:r w:rsidR="00483BE5" w:rsidRPr="004946F6">
        <w:t>source</w:t>
      </w:r>
      <w:r w:rsidR="00501E46" w:rsidRPr="004946F6">
        <w:t xml:space="preserve"> context of the test</w:t>
      </w:r>
      <w:r w:rsidR="0037037C" w:rsidRPr="004946F6">
        <w:t xml:space="preserve"> (2.4.1)</w:t>
      </w:r>
      <w:r w:rsidR="001777DB" w:rsidRPr="004946F6">
        <w:t xml:space="preserve">. </w:t>
      </w:r>
      <w:r w:rsidR="006C7E9B" w:rsidRPr="004946F6">
        <w:t xml:space="preserve">This pattern agrees with </w:t>
      </w:r>
      <w:r w:rsidR="00D266FE" w:rsidRPr="004946F6">
        <w:t xml:space="preserve">the </w:t>
      </w:r>
      <w:r w:rsidR="004A39C0" w:rsidRPr="004946F6">
        <w:t>empirical data</w:t>
      </w:r>
      <w:r w:rsidR="00B729CD" w:rsidRPr="004946F6">
        <w:t xml:space="preserve">. </w:t>
      </w:r>
      <w:r w:rsidR="003E417B" w:rsidRPr="004946F6">
        <w:t>Simulation 2</w:t>
      </w:r>
      <w:r w:rsidR="009B56BD" w:rsidRPr="004946F6">
        <w:t>R</w:t>
      </w:r>
      <w:r w:rsidR="00665C61" w:rsidRPr="004946F6">
        <w:t xml:space="preserve"> show</w:t>
      </w:r>
      <w:r w:rsidR="00483BE5" w:rsidRPr="004946F6">
        <w:t>s</w:t>
      </w:r>
      <w:r w:rsidR="00665C61" w:rsidRPr="004946F6">
        <w:t xml:space="preserve"> that this early advantage is </w:t>
      </w:r>
      <w:r w:rsidR="002B2F9A">
        <w:t>due to</w:t>
      </w:r>
      <w:r w:rsidR="00665C61" w:rsidRPr="004946F6">
        <w:t xml:space="preserve"> differential encoding of emotional items</w:t>
      </w:r>
      <w:r w:rsidR="007B708E" w:rsidRPr="004946F6">
        <w:t>, even without further contributions from retrieval mechanisms</w:t>
      </w:r>
      <w:r w:rsidR="0037037C" w:rsidRPr="004946F6">
        <w:t xml:space="preserve"> (2.4.2)</w:t>
      </w:r>
      <w:r w:rsidR="00665C61" w:rsidRPr="004946F6">
        <w:t xml:space="preserve">. </w:t>
      </w:r>
      <w:r w:rsidR="00483BE5" w:rsidRPr="004946F6">
        <w:t>Simulation</w:t>
      </w:r>
      <w:r w:rsidR="007B708E" w:rsidRPr="004946F6">
        <w:t xml:space="preserve">s </w:t>
      </w:r>
      <w:r w:rsidR="00554643">
        <w:t xml:space="preserve">2O, </w:t>
      </w:r>
      <w:r w:rsidR="009B56BD" w:rsidRPr="004946F6">
        <w:t>2</w:t>
      </w:r>
      <w:r w:rsidR="00554643">
        <w:t>N</w:t>
      </w:r>
      <w:r w:rsidR="009B56BD" w:rsidRPr="004946F6">
        <w:t xml:space="preserve"> and 2</w:t>
      </w:r>
      <w:r w:rsidR="00554643">
        <w:t>E</w:t>
      </w:r>
      <w:r w:rsidR="009B56BD" w:rsidRPr="004946F6">
        <w:t xml:space="preserve"> </w:t>
      </w:r>
      <w:r w:rsidR="007B708E" w:rsidRPr="004946F6">
        <w:t xml:space="preserve">explore the role of test context bias (2.4.3). They show that such bias does contribute to the advantage of emotional items, especially early on in the recall period, but that emotional items are recalled more frequently even when this bias is eliminated. This simulation therefore serves to reveal the contribution of </w:t>
      </w:r>
      <w:r w:rsidR="00483BE5" w:rsidRPr="004946F6">
        <w:t xml:space="preserve">retrieval dynamics </w:t>
      </w:r>
      <w:r w:rsidR="007B708E" w:rsidRPr="004946F6">
        <w:t>to emotionally-enhanced memory</w:t>
      </w:r>
      <w:r w:rsidR="009B56BD" w:rsidRPr="004946F6">
        <w:t xml:space="preserve"> in the model</w:t>
      </w:r>
      <w:r w:rsidR="00483BE5" w:rsidRPr="004946F6">
        <w:t xml:space="preserve">. </w:t>
      </w:r>
    </w:p>
    <w:p w14:paraId="0D60EA19" w14:textId="172C6559" w:rsidR="005E1114" w:rsidRPr="004946F6" w:rsidRDefault="00483BE5" w:rsidP="002273F1">
      <w:pPr>
        <w:spacing w:line="480" w:lineRule="auto"/>
        <w:jc w:val="both"/>
      </w:pPr>
      <w:r w:rsidRPr="004946F6">
        <w:t>E</w:t>
      </w:r>
      <w:r w:rsidR="0037037C" w:rsidRPr="004946F6">
        <w:t>arl</w:t>
      </w:r>
      <w:r w:rsidRPr="004946F6">
        <w:t>y</w:t>
      </w:r>
      <w:r w:rsidR="0037037C" w:rsidRPr="004946F6">
        <w:t xml:space="preserve"> advantage influences retrieval by producing </w:t>
      </w:r>
      <w:r w:rsidR="000837FE" w:rsidRPr="004946F6">
        <w:t>output interference</w:t>
      </w:r>
      <w:r w:rsidRPr="004946F6">
        <w:t>. I</w:t>
      </w:r>
      <w:r w:rsidR="0037037C" w:rsidRPr="004946F6">
        <w:t>t</w:t>
      </w:r>
      <w:r w:rsidR="000837FE" w:rsidRPr="004946F6">
        <w:t xml:space="preserve"> chang</w:t>
      </w:r>
      <w:r w:rsidR="0037037C" w:rsidRPr="004946F6">
        <w:t>es</w:t>
      </w:r>
      <w:r w:rsidR="000837FE" w:rsidRPr="004946F6">
        <w:t xml:space="preserve"> the context of recall to be more emotional</w:t>
      </w:r>
      <w:r w:rsidR="0037037C" w:rsidRPr="004946F6">
        <w:t>,</w:t>
      </w:r>
      <w:r w:rsidR="000837FE" w:rsidRPr="004946F6">
        <w:t xml:space="preserve"> and thus promot</w:t>
      </w:r>
      <w:r w:rsidRPr="004946F6">
        <w:t>es</w:t>
      </w:r>
      <w:r w:rsidR="000837FE" w:rsidRPr="004946F6">
        <w:t xml:space="preserve"> recall of additional emotional items, and decreas</w:t>
      </w:r>
      <w:r w:rsidR="0037037C" w:rsidRPr="004946F6">
        <w:t>es</w:t>
      </w:r>
      <w:r w:rsidR="000837FE" w:rsidRPr="004946F6">
        <w:t xml:space="preserve"> the similarity between the temporal contexts of encoding and retrieval for neutral items. </w:t>
      </w:r>
      <w:r w:rsidR="002273F1" w:rsidRPr="004946F6">
        <w:t>W</w:t>
      </w:r>
      <w:r w:rsidR="000837FE" w:rsidRPr="004946F6">
        <w:t>e present results from a new experiment</w:t>
      </w:r>
      <w:r w:rsidR="0037037C" w:rsidRPr="004946F6">
        <w:t xml:space="preserve"> to </w:t>
      </w:r>
      <w:r w:rsidR="000837FE" w:rsidRPr="004946F6">
        <w:t>show</w:t>
      </w:r>
      <w:r w:rsidR="0037037C" w:rsidRPr="004946F6">
        <w:t xml:space="preserve"> </w:t>
      </w:r>
      <w:r w:rsidR="000837FE" w:rsidRPr="004946F6">
        <w:t xml:space="preserve">that output interference cannot, on its own, account for </w:t>
      </w:r>
      <w:r w:rsidR="0037037C" w:rsidRPr="004946F6">
        <w:t>enhanced recall of emotional items in mixed lists</w:t>
      </w:r>
      <w:r w:rsidR="002273F1" w:rsidRPr="004946F6">
        <w:t xml:space="preserve"> (2.4.4)</w:t>
      </w:r>
      <w:r w:rsidR="000837FE" w:rsidRPr="004946F6">
        <w:t xml:space="preserve">. To reveal how the competition between emotional and less-competitive (neutral) items during recall gives rise to enhanced emotional memory </w:t>
      </w:r>
      <w:r w:rsidR="00501E46" w:rsidRPr="004946F6">
        <w:t xml:space="preserve">we analyse transitions during </w:t>
      </w:r>
      <w:r w:rsidR="000837FE" w:rsidRPr="004946F6">
        <w:t xml:space="preserve">the </w:t>
      </w:r>
      <w:r w:rsidR="00501E46" w:rsidRPr="004946F6">
        <w:t xml:space="preserve">recall, </w:t>
      </w:r>
      <w:r w:rsidR="000837FE" w:rsidRPr="004946F6">
        <w:t>comparing predicted and empirical transitions</w:t>
      </w:r>
      <w:r w:rsidR="0037037C" w:rsidRPr="004946F6">
        <w:t xml:space="preserve"> (2.4.</w:t>
      </w:r>
      <w:r w:rsidR="002273F1" w:rsidRPr="004946F6">
        <w:t>5</w:t>
      </w:r>
      <w:r w:rsidR="0037037C" w:rsidRPr="004946F6">
        <w:t>)</w:t>
      </w:r>
      <w:r w:rsidR="000837FE" w:rsidRPr="004946F6">
        <w:t xml:space="preserve">. </w:t>
      </w:r>
      <w:r w:rsidR="0037037C" w:rsidRPr="004946F6">
        <w:t>This analysis demonstrates</w:t>
      </w:r>
      <w:r w:rsidR="00501E46" w:rsidRPr="004946F6">
        <w:t xml:space="preserve"> that several dimensions of similarity multiply determine the emotion memory advantage </w:t>
      </w:r>
      <w:r w:rsidR="000837FE" w:rsidRPr="004946F6">
        <w:t>in mixed lists</w:t>
      </w:r>
      <w:r w:rsidR="00501E46" w:rsidRPr="004946F6">
        <w:t xml:space="preserve">. </w:t>
      </w:r>
    </w:p>
    <w:p w14:paraId="5A01808C" w14:textId="77777777" w:rsidR="008C1F79" w:rsidRPr="004946F6" w:rsidRDefault="008C1F79">
      <w:pPr>
        <w:spacing w:line="480" w:lineRule="auto"/>
        <w:jc w:val="both"/>
      </w:pPr>
    </w:p>
    <w:p w14:paraId="06AD4EEF" w14:textId="77777777" w:rsidR="008C1F79" w:rsidRPr="004946F6" w:rsidRDefault="008C1F79">
      <w:pPr>
        <w:spacing w:line="480" w:lineRule="auto"/>
        <w:jc w:val="both"/>
        <w:rPr>
          <w:b/>
          <w:bCs/>
          <w:i/>
          <w:iCs/>
        </w:rPr>
      </w:pPr>
      <w:r w:rsidRPr="004946F6">
        <w:rPr>
          <w:b/>
          <w:bCs/>
          <w:i/>
          <w:iCs/>
        </w:rPr>
        <w:t>2.4.1</w:t>
      </w:r>
      <w:r w:rsidR="00821F93" w:rsidRPr="004946F6">
        <w:rPr>
          <w:b/>
          <w:bCs/>
          <w:i/>
          <w:iCs/>
        </w:rPr>
        <w:t xml:space="preserve"> Output order effects</w:t>
      </w:r>
      <w:r w:rsidR="00A57B78" w:rsidRPr="004946F6">
        <w:rPr>
          <w:b/>
          <w:bCs/>
          <w:i/>
          <w:iCs/>
        </w:rPr>
        <w:t xml:space="preserve"> </w:t>
      </w:r>
      <w:r w:rsidR="005D2965" w:rsidRPr="004946F6">
        <w:rPr>
          <w:b/>
          <w:bCs/>
          <w:i/>
          <w:iCs/>
        </w:rPr>
        <w:t>during recall of mixed lists</w:t>
      </w:r>
      <w:r w:rsidRPr="004946F6">
        <w:rPr>
          <w:b/>
          <w:bCs/>
          <w:i/>
          <w:iCs/>
        </w:rPr>
        <w:t>.</w:t>
      </w:r>
    </w:p>
    <w:p w14:paraId="01694729" w14:textId="3B61F111" w:rsidR="00E26EF5" w:rsidRPr="00FD1A48" w:rsidRDefault="008C1F79">
      <w:pPr>
        <w:spacing w:line="480" w:lineRule="auto"/>
        <w:jc w:val="both"/>
      </w:pPr>
      <w:r w:rsidRPr="004946F6">
        <w:t xml:space="preserve">In eCMR emotional stimuli are more strongly connected to the </w:t>
      </w:r>
      <w:r w:rsidR="00E26EF5" w:rsidRPr="004946F6">
        <w:t>encoding</w:t>
      </w:r>
      <w:r w:rsidRPr="004946F6">
        <w:t xml:space="preserve"> context, </w:t>
      </w:r>
      <w:r w:rsidR="00E26EF5" w:rsidRPr="004946F6">
        <w:t xml:space="preserve">which they all also </w:t>
      </w:r>
      <w:r w:rsidRPr="004946F6">
        <w:t xml:space="preserve">share. </w:t>
      </w:r>
      <w:r w:rsidR="006D4577" w:rsidRPr="004946F6">
        <w:t xml:space="preserve">This should give them an advantage </w:t>
      </w:r>
      <w:r w:rsidRPr="004946F6">
        <w:t>at the first recalled position</w:t>
      </w:r>
      <w:r w:rsidR="006D4577" w:rsidRPr="004946F6">
        <w:t xml:space="preserve"> and throughout the early portion of the recall period. </w:t>
      </w:r>
      <w:r w:rsidR="00D25B56" w:rsidRPr="004946F6">
        <w:t>W</w:t>
      </w:r>
      <w:r w:rsidRPr="004946F6">
        <w:t>hen an emotional item is recalled it should promote the recall of items similar to it</w:t>
      </w:r>
      <w:r w:rsidR="00D25B56" w:rsidRPr="004946F6">
        <w:t xml:space="preserve"> - a self-perpetuating effect</w:t>
      </w:r>
      <w:r w:rsidRPr="004946F6">
        <w:t xml:space="preserve">. </w:t>
      </w:r>
      <w:r w:rsidR="00E26EF5" w:rsidRPr="004946F6">
        <w:t xml:space="preserve">Because </w:t>
      </w:r>
      <w:r w:rsidRPr="004946F6">
        <w:t>emotional items share their emotional context they should promote each other’s recall. For these reasons we should expect that emotional items will be recalled earlier than neutral ones</w:t>
      </w:r>
      <w:r w:rsidR="007A07D9" w:rsidRPr="004946F6">
        <w:t xml:space="preserve">. </w:t>
      </w:r>
      <w:r w:rsidR="006D4577" w:rsidRPr="004946F6">
        <w:t xml:space="preserve">We examine the predictions from the two variants of eCMR for recall output and found that only the </w:t>
      </w:r>
      <w:r w:rsidR="006D4577" w:rsidRPr="004946F6">
        <w:rPr>
          <w:i/>
          <w:iCs/>
        </w:rPr>
        <w:t xml:space="preserve">attention-category </w:t>
      </w:r>
      <w:r w:rsidR="006D4577" w:rsidRPr="004946F6">
        <w:t xml:space="preserve">variant </w:t>
      </w:r>
      <w:r w:rsidRPr="004946F6">
        <w:t>predict</w:t>
      </w:r>
      <w:r w:rsidR="006D4577" w:rsidRPr="004946F6">
        <w:t>ed</w:t>
      </w:r>
      <w:r w:rsidRPr="004946F6">
        <w:t xml:space="preserve"> an earlier output of emotional items in mixed lists (Figure </w:t>
      </w:r>
      <w:r w:rsidR="007A07D9" w:rsidRPr="004946F6">
        <w:t>4</w:t>
      </w:r>
      <w:r w:rsidRPr="004946F6">
        <w:t xml:space="preserve">). </w:t>
      </w:r>
      <w:r w:rsidR="002B2F9A">
        <w:t>T</w:t>
      </w:r>
      <w:r w:rsidR="002B2F9A" w:rsidRPr="004946F6">
        <w:t>he analysis of empirical output order</w:t>
      </w:r>
      <w:r w:rsidR="002B2F9A">
        <w:t xml:space="preserve"> effects, </w:t>
      </w:r>
      <w:r w:rsidR="002B2F9A" w:rsidRPr="004946F6">
        <w:t>depicted in Figure 4 and those of Siddiqui and Unsworth (2011)</w:t>
      </w:r>
      <w:r w:rsidR="002B2F9A">
        <w:t xml:space="preserve">, </w:t>
      </w:r>
      <w:r w:rsidR="002B2F9A" w:rsidRPr="004946F6">
        <w:t>showed that emotional items are recalled earlier than neutral ones, confirming the prediction of eCMR.</w:t>
      </w:r>
      <w:r w:rsidR="002B2F9A">
        <w:t xml:space="preserve"> </w:t>
      </w:r>
      <w:r w:rsidRPr="004946F6">
        <w:t xml:space="preserve">In the following sections, we explore other aspects of the </w:t>
      </w:r>
      <w:r w:rsidR="00E26EF5" w:rsidRPr="004946F6">
        <w:t xml:space="preserve">retrieval that add to the memory advantage of </w:t>
      </w:r>
      <w:r w:rsidR="00E26EF5" w:rsidRPr="00FD1A48">
        <w:t>emotional items in mixed lists.</w:t>
      </w:r>
    </w:p>
    <w:tbl>
      <w:tblPr>
        <w:tblStyle w:val="TableGrid"/>
        <w:tblpPr w:leftFromText="180" w:rightFromText="180" w:vertAnchor="text" w:horzAnchor="margin" w:tblpY="47"/>
        <w:tblOverlap w:val="never"/>
        <w:tblW w:w="1074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510"/>
        <w:gridCol w:w="3650"/>
        <w:gridCol w:w="3580"/>
      </w:tblGrid>
      <w:tr w:rsidR="00FD1A48" w:rsidRPr="00FD1A48" w14:paraId="5183A17C" w14:textId="77777777" w:rsidTr="0003785C">
        <w:tc>
          <w:tcPr>
            <w:tcW w:w="10740" w:type="dxa"/>
            <w:gridSpan w:val="3"/>
          </w:tcPr>
          <w:p w14:paraId="20DCCBD0" w14:textId="77777777" w:rsidR="00FD1A48" w:rsidRPr="0003785C" w:rsidRDefault="00FD1A48" w:rsidP="00FD1A48">
            <w:pPr>
              <w:spacing w:line="480" w:lineRule="auto"/>
              <w:jc w:val="center"/>
              <w:rPr>
                <w:b/>
                <w:bCs/>
                <w:noProof/>
                <w:sz w:val="24"/>
                <w:szCs w:val="24"/>
                <w:lang w:eastAsia="en-GB" w:bidi="he-IL"/>
              </w:rPr>
            </w:pPr>
            <w:r w:rsidRPr="0003785C">
              <w:rPr>
                <w:b/>
                <w:bCs/>
                <w:sz w:val="24"/>
                <w:szCs w:val="24"/>
              </w:rPr>
              <w:t>Empirical output order effects</w:t>
            </w:r>
          </w:p>
        </w:tc>
      </w:tr>
      <w:tr w:rsidR="00FD1A48" w:rsidRPr="00FD1A48" w14:paraId="43021E54" w14:textId="77777777" w:rsidTr="0003785C">
        <w:tc>
          <w:tcPr>
            <w:tcW w:w="3510" w:type="dxa"/>
          </w:tcPr>
          <w:p w14:paraId="41D6F15B" w14:textId="77777777" w:rsidR="00FD1A48" w:rsidRPr="0003785C" w:rsidRDefault="00FD1A48" w:rsidP="00FD1A48">
            <w:pPr>
              <w:spacing w:line="480" w:lineRule="auto"/>
              <w:jc w:val="center"/>
              <w:rPr>
                <w:sz w:val="24"/>
                <w:szCs w:val="24"/>
              </w:rPr>
            </w:pPr>
            <w:r w:rsidRPr="0003785C">
              <w:rPr>
                <w:sz w:val="24"/>
                <w:szCs w:val="24"/>
              </w:rPr>
              <w:t>Data from Talmi et al., 2007</w:t>
            </w:r>
          </w:p>
          <w:p w14:paraId="6DF60BB2" w14:textId="77777777" w:rsidR="00FD1A48" w:rsidRPr="0003785C" w:rsidRDefault="00FD1A48" w:rsidP="00FD1A48">
            <w:pPr>
              <w:spacing w:line="480" w:lineRule="auto"/>
              <w:jc w:val="center"/>
              <w:rPr>
                <w:noProof/>
                <w:sz w:val="24"/>
                <w:szCs w:val="24"/>
                <w:lang w:eastAsia="en-GB" w:bidi="he-IL"/>
              </w:rPr>
            </w:pPr>
            <w:r w:rsidRPr="0003785C">
              <w:rPr>
                <w:sz w:val="24"/>
                <w:szCs w:val="24"/>
              </w:rPr>
              <w:t>Experiment 2.</w:t>
            </w:r>
          </w:p>
        </w:tc>
        <w:tc>
          <w:tcPr>
            <w:tcW w:w="3650" w:type="dxa"/>
          </w:tcPr>
          <w:p w14:paraId="132B8B20" w14:textId="0A5B0516" w:rsidR="00FD1A48" w:rsidRPr="0003785C" w:rsidRDefault="00FD1A48" w:rsidP="00A5284E">
            <w:pPr>
              <w:spacing w:line="480" w:lineRule="auto"/>
              <w:jc w:val="center"/>
              <w:rPr>
                <w:noProof/>
                <w:sz w:val="24"/>
                <w:szCs w:val="24"/>
                <w:lang w:eastAsia="en-GB" w:bidi="he-IL"/>
              </w:rPr>
            </w:pPr>
            <w:r w:rsidRPr="0003785C">
              <w:rPr>
                <w:noProof/>
                <w:sz w:val="24"/>
                <w:szCs w:val="24"/>
                <w:lang w:eastAsia="en-GB" w:bidi="he-IL"/>
              </w:rPr>
              <w:t xml:space="preserve">Data from </w:t>
            </w:r>
            <w:r w:rsidRPr="0003785C">
              <w:rPr>
                <w:sz w:val="24"/>
                <w:szCs w:val="24"/>
              </w:rPr>
              <w:t>Barnacle et al.</w:t>
            </w:r>
            <w:r>
              <w:rPr>
                <w:sz w:val="24"/>
                <w:szCs w:val="24"/>
              </w:rPr>
              <w:t>,</w:t>
            </w:r>
            <w:r w:rsidRPr="0003785C">
              <w:rPr>
                <w:sz w:val="24"/>
                <w:szCs w:val="24"/>
              </w:rPr>
              <w:t xml:space="preserve"> </w:t>
            </w:r>
            <w:r>
              <w:rPr>
                <w:sz w:val="24"/>
                <w:szCs w:val="24"/>
              </w:rPr>
              <w:t>2018</w:t>
            </w:r>
          </w:p>
        </w:tc>
        <w:tc>
          <w:tcPr>
            <w:tcW w:w="3580" w:type="dxa"/>
          </w:tcPr>
          <w:p w14:paraId="08850DD7" w14:textId="77777777" w:rsidR="00FD1A48" w:rsidRPr="0003785C" w:rsidRDefault="00FD1A48" w:rsidP="00FD1A48">
            <w:pPr>
              <w:spacing w:line="480" w:lineRule="auto"/>
              <w:jc w:val="center"/>
              <w:rPr>
                <w:noProof/>
                <w:sz w:val="24"/>
                <w:szCs w:val="24"/>
                <w:lang w:eastAsia="en-GB" w:bidi="he-IL"/>
              </w:rPr>
            </w:pPr>
            <w:r w:rsidRPr="0003785C">
              <w:rPr>
                <w:noProof/>
                <w:sz w:val="24"/>
                <w:szCs w:val="24"/>
                <w:lang w:eastAsia="en-GB" w:bidi="he-IL"/>
              </w:rPr>
              <w:t xml:space="preserve">Data from the experiment </w:t>
            </w:r>
          </w:p>
          <w:p w14:paraId="7370A1F5" w14:textId="77777777" w:rsidR="00FD1A48" w:rsidRPr="0003785C" w:rsidRDefault="00FD1A48" w:rsidP="00FD1A48">
            <w:pPr>
              <w:spacing w:line="480" w:lineRule="auto"/>
              <w:jc w:val="center"/>
              <w:rPr>
                <w:noProof/>
                <w:sz w:val="24"/>
                <w:szCs w:val="24"/>
                <w:lang w:eastAsia="en-GB" w:bidi="he-IL"/>
              </w:rPr>
            </w:pPr>
            <w:r w:rsidRPr="0003785C">
              <w:rPr>
                <w:noProof/>
                <w:sz w:val="24"/>
                <w:szCs w:val="24"/>
                <w:lang w:eastAsia="en-GB" w:bidi="he-IL"/>
              </w:rPr>
              <w:t>reported in section 2.4.4</w:t>
            </w:r>
          </w:p>
        </w:tc>
      </w:tr>
      <w:tr w:rsidR="00FD1A48" w:rsidRPr="00FD1A48" w14:paraId="4518E96C" w14:textId="77777777" w:rsidTr="0003785C">
        <w:tc>
          <w:tcPr>
            <w:tcW w:w="3510" w:type="dxa"/>
          </w:tcPr>
          <w:p w14:paraId="43524CC4" w14:textId="77777777" w:rsidR="00FD1A48" w:rsidRPr="0003785C" w:rsidRDefault="00FD1A48" w:rsidP="00FD1A48">
            <w:pPr>
              <w:spacing w:line="480" w:lineRule="auto"/>
              <w:jc w:val="center"/>
              <w:rPr>
                <w:noProof/>
                <w:sz w:val="24"/>
                <w:szCs w:val="24"/>
                <w:lang w:eastAsia="en-GB" w:bidi="he-IL"/>
              </w:rPr>
            </w:pPr>
            <w:r w:rsidRPr="0003785C">
              <w:rPr>
                <w:noProof/>
                <w:sz w:val="24"/>
                <w:szCs w:val="24"/>
                <w:lang w:eastAsia="en-GB" w:bidi="he-IL"/>
              </w:rPr>
              <w:drawing>
                <wp:inline distT="0" distB="0" distL="0" distR="0" wp14:anchorId="2A3BCB90" wp14:editId="52FD1D91">
                  <wp:extent cx="2257200" cy="2034000"/>
                  <wp:effectExtent l="0" t="0" r="0" b="4445"/>
                  <wp:docPr id="11" name="Picture 11" descr="Y:\psychrev\eCMR\paper and figures\real_data_output_order_Talmi2007.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Y:\psychrev\eCMR\paper and figures\real_data_output_order_Talmi2007.emf"/>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257200" cy="2034000"/>
                          </a:xfrm>
                          <a:prstGeom prst="rect">
                            <a:avLst/>
                          </a:prstGeom>
                          <a:noFill/>
                          <a:ln>
                            <a:noFill/>
                          </a:ln>
                        </pic:spPr>
                      </pic:pic>
                    </a:graphicData>
                  </a:graphic>
                </wp:inline>
              </w:drawing>
            </w:r>
          </w:p>
        </w:tc>
        <w:tc>
          <w:tcPr>
            <w:tcW w:w="3650" w:type="dxa"/>
          </w:tcPr>
          <w:p w14:paraId="4757C349" w14:textId="77777777" w:rsidR="00FD1A48" w:rsidRPr="0003785C" w:rsidRDefault="00FD1A48" w:rsidP="00FD1A48">
            <w:pPr>
              <w:spacing w:line="480" w:lineRule="auto"/>
              <w:jc w:val="center"/>
              <w:rPr>
                <w:noProof/>
                <w:sz w:val="24"/>
                <w:szCs w:val="24"/>
                <w:lang w:eastAsia="en-GB" w:bidi="he-IL"/>
              </w:rPr>
            </w:pPr>
            <w:r w:rsidRPr="0003785C">
              <w:rPr>
                <w:noProof/>
                <w:sz w:val="24"/>
                <w:szCs w:val="24"/>
                <w:lang w:eastAsia="en-GB" w:bidi="he-IL"/>
              </w:rPr>
              <w:drawing>
                <wp:inline distT="0" distB="0" distL="0" distR="0" wp14:anchorId="53641DBD" wp14:editId="42D5C23D">
                  <wp:extent cx="2257200" cy="2034000"/>
                  <wp:effectExtent l="0" t="0" r="0" b="4445"/>
                  <wp:docPr id="14" name="Picture 14" descr="Y:\psychrev\eCMR\paper and figures\real_data_output_order_Barnacle2018.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Y:\psychrev\eCMR\paper and figures\real_data_output_order_Barnacle2018.emf"/>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257200" cy="2034000"/>
                          </a:xfrm>
                          <a:prstGeom prst="rect">
                            <a:avLst/>
                          </a:prstGeom>
                          <a:noFill/>
                          <a:ln>
                            <a:noFill/>
                          </a:ln>
                        </pic:spPr>
                      </pic:pic>
                    </a:graphicData>
                  </a:graphic>
                </wp:inline>
              </w:drawing>
            </w:r>
          </w:p>
        </w:tc>
        <w:tc>
          <w:tcPr>
            <w:tcW w:w="3580" w:type="dxa"/>
          </w:tcPr>
          <w:p w14:paraId="0CEB9752" w14:textId="77777777" w:rsidR="00FD1A48" w:rsidRPr="0003785C" w:rsidRDefault="00FD1A48" w:rsidP="00FD1A48">
            <w:pPr>
              <w:spacing w:line="480" w:lineRule="auto"/>
              <w:jc w:val="center"/>
              <w:rPr>
                <w:noProof/>
                <w:sz w:val="24"/>
                <w:szCs w:val="24"/>
                <w:lang w:eastAsia="en-GB" w:bidi="he-IL"/>
              </w:rPr>
            </w:pPr>
            <w:r w:rsidRPr="0003785C">
              <w:rPr>
                <w:noProof/>
                <w:sz w:val="24"/>
                <w:szCs w:val="24"/>
                <w:lang w:eastAsia="en-GB" w:bidi="he-IL"/>
              </w:rPr>
              <w:drawing>
                <wp:inline distT="0" distB="0" distL="0" distR="0" wp14:anchorId="1D896B30" wp14:editId="3BE1DFCA">
                  <wp:extent cx="2257200" cy="2034000"/>
                  <wp:effectExtent l="0" t="0" r="0" b="4445"/>
                  <wp:docPr id="16" name="Picture 16" descr="Y:\psychrev\eCMR\paper and figures\real_data_output_order_instructed_exp.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Y:\psychrev\eCMR\paper and figures\real_data_output_order_instructed_exp.emf"/>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257200" cy="2034000"/>
                          </a:xfrm>
                          <a:prstGeom prst="rect">
                            <a:avLst/>
                          </a:prstGeom>
                          <a:noFill/>
                          <a:ln>
                            <a:noFill/>
                          </a:ln>
                        </pic:spPr>
                      </pic:pic>
                    </a:graphicData>
                  </a:graphic>
                </wp:inline>
              </w:drawing>
            </w:r>
          </w:p>
        </w:tc>
      </w:tr>
      <w:tr w:rsidR="00FD1A48" w:rsidRPr="00FD1A48" w14:paraId="41B9473A" w14:textId="77777777" w:rsidTr="0003785C">
        <w:tc>
          <w:tcPr>
            <w:tcW w:w="10740" w:type="dxa"/>
            <w:gridSpan w:val="3"/>
          </w:tcPr>
          <w:p w14:paraId="60DEC8AC" w14:textId="77777777" w:rsidR="00FD1A48" w:rsidRDefault="00FD1A48" w:rsidP="00FD1A48">
            <w:pPr>
              <w:spacing w:line="480" w:lineRule="auto"/>
              <w:jc w:val="center"/>
              <w:rPr>
                <w:b/>
                <w:bCs/>
                <w:i/>
                <w:iCs/>
                <w:sz w:val="24"/>
                <w:szCs w:val="24"/>
              </w:rPr>
            </w:pPr>
          </w:p>
          <w:p w14:paraId="67BFBCC2" w14:textId="77777777" w:rsidR="00FD1A48" w:rsidRPr="0003785C" w:rsidRDefault="00FD1A48" w:rsidP="00FD1A48">
            <w:pPr>
              <w:spacing w:line="480" w:lineRule="auto"/>
              <w:jc w:val="center"/>
              <w:rPr>
                <w:noProof/>
                <w:sz w:val="24"/>
                <w:szCs w:val="24"/>
                <w:lang w:eastAsia="en-GB" w:bidi="he-IL"/>
              </w:rPr>
            </w:pPr>
            <w:r w:rsidRPr="0003785C">
              <w:rPr>
                <w:b/>
                <w:bCs/>
                <w:i/>
                <w:iCs/>
                <w:sz w:val="24"/>
                <w:szCs w:val="24"/>
              </w:rPr>
              <w:t>Simulated output order effects</w:t>
            </w:r>
          </w:p>
        </w:tc>
      </w:tr>
      <w:tr w:rsidR="00FD1A48" w:rsidRPr="00FD1A48" w14:paraId="5EB40C91" w14:textId="77777777" w:rsidTr="0003785C">
        <w:tc>
          <w:tcPr>
            <w:tcW w:w="3510" w:type="dxa"/>
          </w:tcPr>
          <w:p w14:paraId="0100E1B8" w14:textId="77777777" w:rsidR="00FD1A48" w:rsidRPr="0003785C" w:rsidRDefault="00FD1A48" w:rsidP="00FD1A48">
            <w:pPr>
              <w:spacing w:line="480" w:lineRule="auto"/>
              <w:jc w:val="center"/>
              <w:rPr>
                <w:noProof/>
                <w:sz w:val="24"/>
                <w:szCs w:val="24"/>
                <w:lang w:eastAsia="en-GB" w:bidi="he-IL"/>
              </w:rPr>
            </w:pPr>
            <w:r w:rsidRPr="0003785C">
              <w:rPr>
                <w:noProof/>
                <w:sz w:val="24"/>
                <w:szCs w:val="24"/>
                <w:lang w:eastAsia="en-GB" w:bidi="he-IL"/>
              </w:rPr>
              <w:t xml:space="preserve">Simulation 1: </w:t>
            </w:r>
          </w:p>
          <w:p w14:paraId="19DFF589" w14:textId="77777777" w:rsidR="00FD1A48" w:rsidRPr="0003785C" w:rsidRDefault="00FD1A48" w:rsidP="00FD1A48">
            <w:pPr>
              <w:spacing w:line="480" w:lineRule="auto"/>
              <w:jc w:val="center"/>
              <w:rPr>
                <w:noProof/>
                <w:sz w:val="24"/>
                <w:szCs w:val="24"/>
                <w:lang w:eastAsia="en-GB" w:bidi="he-IL"/>
              </w:rPr>
            </w:pPr>
            <w:r w:rsidRPr="0003785C">
              <w:rPr>
                <w:noProof/>
                <w:sz w:val="24"/>
                <w:szCs w:val="24"/>
                <w:lang w:eastAsia="en-GB" w:bidi="he-IL"/>
              </w:rPr>
              <w:t>The category-only model</w:t>
            </w:r>
          </w:p>
        </w:tc>
        <w:tc>
          <w:tcPr>
            <w:tcW w:w="3650" w:type="dxa"/>
          </w:tcPr>
          <w:p w14:paraId="5ABCA1E0" w14:textId="77777777" w:rsidR="00FD1A48" w:rsidRPr="0003785C" w:rsidRDefault="00FD1A48" w:rsidP="00FD1A48">
            <w:pPr>
              <w:spacing w:line="480" w:lineRule="auto"/>
              <w:jc w:val="center"/>
              <w:rPr>
                <w:noProof/>
                <w:sz w:val="24"/>
                <w:szCs w:val="24"/>
                <w:lang w:eastAsia="en-GB" w:bidi="he-IL"/>
              </w:rPr>
            </w:pPr>
            <w:r w:rsidRPr="0003785C">
              <w:rPr>
                <w:noProof/>
                <w:sz w:val="24"/>
                <w:szCs w:val="24"/>
                <w:lang w:eastAsia="en-GB" w:bidi="he-IL"/>
              </w:rPr>
              <w:t xml:space="preserve">Simulation 2: </w:t>
            </w:r>
          </w:p>
          <w:p w14:paraId="119AF315" w14:textId="77777777" w:rsidR="00FD1A48" w:rsidRPr="0003785C" w:rsidRDefault="00FD1A48" w:rsidP="00FD1A48">
            <w:pPr>
              <w:spacing w:line="480" w:lineRule="auto"/>
              <w:jc w:val="center"/>
              <w:rPr>
                <w:noProof/>
                <w:sz w:val="24"/>
                <w:szCs w:val="24"/>
                <w:lang w:eastAsia="en-GB" w:bidi="he-IL"/>
              </w:rPr>
            </w:pPr>
            <w:r w:rsidRPr="0003785C">
              <w:rPr>
                <w:noProof/>
                <w:sz w:val="24"/>
                <w:szCs w:val="24"/>
                <w:lang w:eastAsia="en-GB" w:bidi="he-IL"/>
              </w:rPr>
              <w:t>The attention-category model</w:t>
            </w:r>
          </w:p>
        </w:tc>
        <w:tc>
          <w:tcPr>
            <w:tcW w:w="3580" w:type="dxa"/>
          </w:tcPr>
          <w:p w14:paraId="4FD07534" w14:textId="77777777" w:rsidR="00FD1A48" w:rsidRPr="0003785C" w:rsidRDefault="00FD1A48" w:rsidP="00FD1A48">
            <w:pPr>
              <w:spacing w:line="480" w:lineRule="auto"/>
              <w:jc w:val="center"/>
              <w:rPr>
                <w:noProof/>
                <w:sz w:val="24"/>
                <w:szCs w:val="24"/>
                <w:lang w:eastAsia="en-GB" w:bidi="he-IL"/>
              </w:rPr>
            </w:pPr>
            <w:r w:rsidRPr="0003785C">
              <w:rPr>
                <w:noProof/>
                <w:sz w:val="24"/>
                <w:szCs w:val="24"/>
                <w:lang w:eastAsia="en-GB" w:bidi="he-IL"/>
              </w:rPr>
              <w:t xml:space="preserve">Simulation 2R: </w:t>
            </w:r>
          </w:p>
          <w:p w14:paraId="0B2D2A15" w14:textId="77777777" w:rsidR="00FD1A48" w:rsidRPr="0003785C" w:rsidRDefault="00FD1A48" w:rsidP="00FD1A48">
            <w:pPr>
              <w:spacing w:line="480" w:lineRule="auto"/>
              <w:jc w:val="center"/>
              <w:rPr>
                <w:noProof/>
                <w:sz w:val="24"/>
                <w:szCs w:val="24"/>
                <w:lang w:eastAsia="en-GB" w:bidi="he-IL"/>
              </w:rPr>
            </w:pPr>
            <w:r w:rsidRPr="0003785C">
              <w:rPr>
                <w:noProof/>
                <w:sz w:val="24"/>
                <w:szCs w:val="24"/>
                <w:lang w:eastAsia="en-GB" w:bidi="he-IL"/>
              </w:rPr>
              <w:t>Where items cannot retrieve their encoding context</w:t>
            </w:r>
          </w:p>
        </w:tc>
      </w:tr>
      <w:tr w:rsidR="00FD1A48" w:rsidRPr="00FD1A48" w14:paraId="5B431727" w14:textId="77777777" w:rsidTr="0003785C">
        <w:tc>
          <w:tcPr>
            <w:tcW w:w="3510" w:type="dxa"/>
          </w:tcPr>
          <w:p w14:paraId="3C530592" w14:textId="77777777" w:rsidR="00FD1A48" w:rsidRPr="0003785C" w:rsidRDefault="00FD1A48" w:rsidP="00FD1A48">
            <w:pPr>
              <w:spacing w:line="480" w:lineRule="auto"/>
              <w:jc w:val="center"/>
              <w:rPr>
                <w:noProof/>
                <w:sz w:val="24"/>
                <w:szCs w:val="24"/>
                <w:lang w:eastAsia="en-GB" w:bidi="he-IL"/>
              </w:rPr>
            </w:pPr>
            <w:r w:rsidRPr="0003785C">
              <w:rPr>
                <w:noProof/>
                <w:sz w:val="24"/>
                <w:szCs w:val="24"/>
                <w:lang w:eastAsia="en-GB" w:bidi="he-IL"/>
              </w:rPr>
              <w:drawing>
                <wp:inline distT="0" distB="0" distL="0" distR="0" wp14:anchorId="63530992" wp14:editId="03A300EE">
                  <wp:extent cx="2257200" cy="2034000"/>
                  <wp:effectExtent l="0" t="0" r="0" b="4445"/>
                  <wp:docPr id="17" name="Picture 17" descr="Y:\psychrev\eCMR\paper and figures\outsim1.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Y:\psychrev\eCMR\paper and figures\outsim1.emf"/>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257200" cy="2034000"/>
                          </a:xfrm>
                          <a:prstGeom prst="rect">
                            <a:avLst/>
                          </a:prstGeom>
                          <a:noFill/>
                          <a:ln>
                            <a:noFill/>
                          </a:ln>
                        </pic:spPr>
                      </pic:pic>
                    </a:graphicData>
                  </a:graphic>
                </wp:inline>
              </w:drawing>
            </w:r>
          </w:p>
        </w:tc>
        <w:tc>
          <w:tcPr>
            <w:tcW w:w="3650" w:type="dxa"/>
          </w:tcPr>
          <w:p w14:paraId="58098549" w14:textId="77777777" w:rsidR="00FD1A48" w:rsidRPr="0003785C" w:rsidRDefault="00FD1A48" w:rsidP="00FD1A48">
            <w:pPr>
              <w:spacing w:line="480" w:lineRule="auto"/>
              <w:jc w:val="center"/>
              <w:rPr>
                <w:noProof/>
                <w:sz w:val="24"/>
                <w:szCs w:val="24"/>
                <w:lang w:eastAsia="en-GB" w:bidi="he-IL"/>
              </w:rPr>
            </w:pPr>
            <w:r w:rsidRPr="0003785C">
              <w:rPr>
                <w:noProof/>
                <w:sz w:val="24"/>
                <w:szCs w:val="24"/>
                <w:lang w:eastAsia="en-GB" w:bidi="he-IL"/>
              </w:rPr>
              <w:drawing>
                <wp:inline distT="0" distB="0" distL="0" distR="0" wp14:anchorId="1F676A9A" wp14:editId="5D715C00">
                  <wp:extent cx="2257200" cy="2034000"/>
                  <wp:effectExtent l="0" t="0" r="0" b="4445"/>
                  <wp:docPr id="18" name="Picture 18" descr="Y:\psychrev\eCMR\paper and figures\outsim2.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Y:\psychrev\eCMR\paper and figures\outsim2.emf"/>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257200" cy="2034000"/>
                          </a:xfrm>
                          <a:prstGeom prst="rect">
                            <a:avLst/>
                          </a:prstGeom>
                          <a:noFill/>
                          <a:ln>
                            <a:noFill/>
                          </a:ln>
                        </pic:spPr>
                      </pic:pic>
                    </a:graphicData>
                  </a:graphic>
                </wp:inline>
              </w:drawing>
            </w:r>
          </w:p>
        </w:tc>
        <w:tc>
          <w:tcPr>
            <w:tcW w:w="3580" w:type="dxa"/>
          </w:tcPr>
          <w:p w14:paraId="004B13CC" w14:textId="77777777" w:rsidR="00FD1A48" w:rsidRPr="0003785C" w:rsidRDefault="00FD1A48" w:rsidP="00FD1A48">
            <w:pPr>
              <w:spacing w:line="480" w:lineRule="auto"/>
              <w:jc w:val="center"/>
              <w:rPr>
                <w:noProof/>
                <w:sz w:val="24"/>
                <w:szCs w:val="24"/>
                <w:lang w:eastAsia="en-GB" w:bidi="he-IL"/>
              </w:rPr>
            </w:pPr>
            <w:r w:rsidRPr="0003785C">
              <w:rPr>
                <w:noProof/>
                <w:sz w:val="24"/>
                <w:szCs w:val="24"/>
                <w:lang w:eastAsia="en-GB" w:bidi="he-IL"/>
              </w:rPr>
              <w:drawing>
                <wp:inline distT="0" distB="0" distL="0" distR="0" wp14:anchorId="60E365D5" wp14:editId="0EC6838F">
                  <wp:extent cx="2257200" cy="2034000"/>
                  <wp:effectExtent l="0" t="0" r="0" b="4445"/>
                  <wp:docPr id="20" name="Picture 20" descr="Y:\psychrev\eCMR\paper and figures\outsim2R.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Y:\psychrev\eCMR\paper and figures\outsim2R.emf"/>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257200" cy="2034000"/>
                          </a:xfrm>
                          <a:prstGeom prst="rect">
                            <a:avLst/>
                          </a:prstGeom>
                          <a:noFill/>
                          <a:ln>
                            <a:noFill/>
                          </a:ln>
                        </pic:spPr>
                      </pic:pic>
                    </a:graphicData>
                  </a:graphic>
                </wp:inline>
              </w:drawing>
            </w:r>
          </w:p>
        </w:tc>
      </w:tr>
      <w:tr w:rsidR="00FD1A48" w:rsidRPr="00FD1A48" w14:paraId="63FADEA2" w14:textId="77777777" w:rsidTr="0003785C">
        <w:tc>
          <w:tcPr>
            <w:tcW w:w="10740" w:type="dxa"/>
            <w:gridSpan w:val="3"/>
          </w:tcPr>
          <w:p w14:paraId="37DC2D27" w14:textId="77777777" w:rsidR="00FD1A48" w:rsidRPr="00FF6050" w:rsidRDefault="00FD1A48" w:rsidP="00FD1A48">
            <w:pPr>
              <w:spacing w:line="480" w:lineRule="auto"/>
              <w:ind w:right="522"/>
              <w:jc w:val="both"/>
              <w:rPr>
                <w:i/>
                <w:iCs/>
              </w:rPr>
            </w:pPr>
            <w:r w:rsidRPr="00FF6050">
              <w:rPr>
                <w:b/>
                <w:bCs/>
                <w:i/>
                <w:iCs/>
              </w:rPr>
              <w:t>Figure 4. Earlier output of emotional items than neutral items during the recall of mixed lists</w:t>
            </w:r>
            <w:r w:rsidRPr="00FF6050">
              <w:rPr>
                <w:i/>
                <w:iCs/>
              </w:rPr>
              <w:t xml:space="preserve">. </w:t>
            </w:r>
          </w:p>
          <w:p w14:paraId="14BD0E4F" w14:textId="77777777" w:rsidR="00FD1A48" w:rsidRPr="00FF6050" w:rsidRDefault="00FD1A48" w:rsidP="00FD1A48">
            <w:pPr>
              <w:spacing w:line="480" w:lineRule="auto"/>
              <w:ind w:right="522"/>
              <w:jc w:val="both"/>
              <w:rPr>
                <w:i/>
                <w:iCs/>
              </w:rPr>
            </w:pPr>
            <w:r w:rsidRPr="00FF6050">
              <w:rPr>
                <w:b/>
                <w:bCs/>
                <w:i/>
                <w:iCs/>
              </w:rPr>
              <w:t xml:space="preserve">Top. </w:t>
            </w:r>
            <w:r w:rsidRPr="00FF6050">
              <w:rPr>
                <w:i/>
                <w:iCs/>
              </w:rPr>
              <w:t>Empirical output order effect. The probability of recalling items from each emotional category is plotted as a function of recall position, starting with the very first item recalled. If all of the items recalled in the first recall position were emotional, the free recall probability of emotional items would be 1 and the probability of recalling neutral items would be 0.</w:t>
            </w:r>
            <w:r w:rsidRPr="00FF6050">
              <w:rPr>
                <w:b/>
                <w:bCs/>
              </w:rPr>
              <w:t xml:space="preserve"> </w:t>
            </w:r>
            <w:r w:rsidRPr="00FF6050">
              <w:rPr>
                <w:i/>
                <w:iCs/>
              </w:rPr>
              <w:t xml:space="preserve">In practice, the total probability of first recall (across both emotional and neutral items) is less than 1 because recalling non-list items, buffer items ((the first two items in the Talmi et al. and Barnacle et al.’s experiments) and other list items (random-neutral items in the Talmi et al. experiment) is scored as 0. </w:t>
            </w:r>
          </w:p>
          <w:p w14:paraId="33DA97B6" w14:textId="77777777" w:rsidR="00FD1A48" w:rsidRPr="0003785C" w:rsidRDefault="00FD1A48" w:rsidP="00FD1A48">
            <w:pPr>
              <w:spacing w:line="480" w:lineRule="auto"/>
              <w:ind w:right="522"/>
              <w:jc w:val="both"/>
              <w:rPr>
                <w:b/>
                <w:bCs/>
                <w:i/>
                <w:iCs/>
                <w:sz w:val="24"/>
                <w:szCs w:val="24"/>
              </w:rPr>
            </w:pPr>
            <w:r w:rsidRPr="00FF6050">
              <w:rPr>
                <w:b/>
                <w:bCs/>
                <w:i/>
                <w:iCs/>
              </w:rPr>
              <w:t xml:space="preserve">Bottom. </w:t>
            </w:r>
            <w:r w:rsidRPr="00FF6050">
              <w:rPr>
                <w:i/>
                <w:iCs/>
              </w:rPr>
              <w:t xml:space="preserve">Simulated output order effects. </w:t>
            </w:r>
          </w:p>
        </w:tc>
      </w:tr>
    </w:tbl>
    <w:p w14:paraId="0800FC78" w14:textId="77777777" w:rsidR="00822EF3" w:rsidRDefault="00822EF3" w:rsidP="00765775">
      <w:pPr>
        <w:spacing w:line="480" w:lineRule="auto"/>
        <w:jc w:val="both"/>
        <w:rPr>
          <w:b/>
          <w:bCs/>
          <w:i/>
          <w:iCs/>
        </w:rPr>
      </w:pPr>
    </w:p>
    <w:p w14:paraId="16DF7779" w14:textId="3769F75D" w:rsidR="005E1114" w:rsidRPr="004946F6" w:rsidRDefault="005E1114" w:rsidP="00765775">
      <w:pPr>
        <w:spacing w:line="480" w:lineRule="auto"/>
        <w:jc w:val="both"/>
        <w:rPr>
          <w:b/>
          <w:bCs/>
          <w:i/>
          <w:iCs/>
        </w:rPr>
      </w:pPr>
      <w:r w:rsidRPr="004946F6">
        <w:rPr>
          <w:b/>
          <w:bCs/>
          <w:i/>
          <w:iCs/>
        </w:rPr>
        <w:t>2.</w:t>
      </w:r>
      <w:r w:rsidR="008C1F79" w:rsidRPr="004946F6">
        <w:rPr>
          <w:b/>
          <w:bCs/>
          <w:i/>
          <w:iCs/>
        </w:rPr>
        <w:t>4</w:t>
      </w:r>
      <w:r w:rsidRPr="004946F6">
        <w:rPr>
          <w:b/>
          <w:bCs/>
          <w:i/>
          <w:iCs/>
        </w:rPr>
        <w:t>.</w:t>
      </w:r>
      <w:r w:rsidR="008C1F79" w:rsidRPr="004946F6">
        <w:rPr>
          <w:b/>
          <w:bCs/>
          <w:i/>
          <w:iCs/>
        </w:rPr>
        <w:t>2</w:t>
      </w:r>
      <w:r w:rsidRPr="004946F6">
        <w:rPr>
          <w:b/>
          <w:bCs/>
          <w:i/>
          <w:iCs/>
        </w:rPr>
        <w:t xml:space="preserve"> Simulation </w:t>
      </w:r>
      <w:r w:rsidR="003E417B" w:rsidRPr="004946F6">
        <w:rPr>
          <w:b/>
          <w:bCs/>
          <w:i/>
          <w:iCs/>
        </w:rPr>
        <w:t>2</w:t>
      </w:r>
      <w:r w:rsidR="00765775" w:rsidRPr="004946F6">
        <w:rPr>
          <w:b/>
          <w:bCs/>
          <w:i/>
          <w:iCs/>
        </w:rPr>
        <w:t>R</w:t>
      </w:r>
      <w:r w:rsidRPr="004946F6">
        <w:rPr>
          <w:b/>
          <w:bCs/>
          <w:i/>
          <w:iCs/>
        </w:rPr>
        <w:t xml:space="preserve">: Recall </w:t>
      </w:r>
      <w:r w:rsidR="004F6B6B" w:rsidRPr="004946F6">
        <w:rPr>
          <w:b/>
          <w:bCs/>
          <w:i/>
          <w:iCs/>
        </w:rPr>
        <w:t xml:space="preserve">of mixed lists </w:t>
      </w:r>
      <w:r w:rsidRPr="004946F6">
        <w:rPr>
          <w:b/>
          <w:bCs/>
          <w:i/>
          <w:iCs/>
        </w:rPr>
        <w:t xml:space="preserve">without retrieving the encoding context </w:t>
      </w:r>
    </w:p>
    <w:p w14:paraId="6215DF8B" w14:textId="705E4CAC" w:rsidR="006734FD" w:rsidRPr="004946F6" w:rsidRDefault="00800AB0" w:rsidP="00765775">
      <w:pPr>
        <w:spacing w:line="480" w:lineRule="auto"/>
        <w:jc w:val="both"/>
      </w:pPr>
      <w:r w:rsidRPr="004946F6">
        <w:t>B</w:t>
      </w:r>
      <w:r w:rsidR="00AC3F9D" w:rsidRPr="004946F6">
        <w:t xml:space="preserve">ecause emotional items are more strongly associated </w:t>
      </w:r>
      <w:r w:rsidR="000F65B1" w:rsidRPr="004946F6">
        <w:t>with</w:t>
      </w:r>
      <w:r w:rsidR="00AC3F9D" w:rsidRPr="004946F6">
        <w:t xml:space="preserve"> the temporal context of the test, they </w:t>
      </w:r>
      <w:r w:rsidRPr="004946F6">
        <w:t xml:space="preserve">should </w:t>
      </w:r>
      <w:r w:rsidR="00AC3F9D" w:rsidRPr="004946F6">
        <w:t>already have an advantage when recall commences</w:t>
      </w:r>
      <w:r w:rsidRPr="004946F6">
        <w:t xml:space="preserve">, in the first </w:t>
      </w:r>
      <w:r w:rsidR="00A670A8" w:rsidRPr="004946F6">
        <w:t>output</w:t>
      </w:r>
      <w:r w:rsidRPr="004946F6">
        <w:t xml:space="preserve"> position</w:t>
      </w:r>
      <w:r w:rsidR="00EE6FFA" w:rsidRPr="004946F6">
        <w:t>.</w:t>
      </w:r>
      <w:r w:rsidR="007B6AF0" w:rsidRPr="004946F6">
        <w:t xml:space="preserve"> </w:t>
      </w:r>
      <w:r w:rsidR="00EE6FFA" w:rsidRPr="004946F6">
        <w:t>T</w:t>
      </w:r>
      <w:r w:rsidR="007B6AF0" w:rsidRPr="004946F6">
        <w:t>his advantage will influence the remainder of the recall period</w:t>
      </w:r>
      <w:r w:rsidR="00EE6FFA" w:rsidRPr="004946F6">
        <w:t>, even without any further influence of other aspects of the retrieval machinery of eCMR</w:t>
      </w:r>
      <w:r w:rsidR="00AC3F9D" w:rsidRPr="004946F6">
        <w:t xml:space="preserve">. </w:t>
      </w:r>
      <w:r w:rsidR="007B6AF0" w:rsidRPr="004946F6">
        <w:t>To see this</w:t>
      </w:r>
      <w:r w:rsidR="00EE6FFA" w:rsidRPr="004946F6">
        <w:t xml:space="preserve">, Simulation </w:t>
      </w:r>
      <w:r w:rsidR="003E417B" w:rsidRPr="004946F6">
        <w:t>2</w:t>
      </w:r>
      <w:r w:rsidR="00765775" w:rsidRPr="004946F6">
        <w:t>R</w:t>
      </w:r>
      <w:r w:rsidR="007B6AF0" w:rsidRPr="004946F6">
        <w:t xml:space="preserve"> </w:t>
      </w:r>
      <w:r w:rsidR="00EE6FFA" w:rsidRPr="004946F6">
        <w:t xml:space="preserve">used all the same parameter values as Simulation 2, but </w:t>
      </w:r>
      <w:r w:rsidR="007B6AF0" w:rsidRPr="004946F6">
        <w:t>el</w:t>
      </w:r>
      <w:r w:rsidR="00EE6FFA" w:rsidRPr="004946F6">
        <w:t>iminated</w:t>
      </w:r>
      <w:r w:rsidR="007B6AF0" w:rsidRPr="004946F6">
        <w:t xml:space="preserve"> </w:t>
      </w:r>
      <w:r w:rsidRPr="004946F6">
        <w:t>the ability of recalled items to retrieve their study context</w:t>
      </w:r>
      <w:r w:rsidR="00EE6FFA" w:rsidRPr="004946F6">
        <w:t xml:space="preserve"> by setting the parameters that update context during recall, </w:t>
      </w:r>
      <m:oMath>
        <m:sSubSup>
          <m:sSubSupPr>
            <m:ctrlPr>
              <w:rPr>
                <w:rFonts w:ascii="Cambria Math" w:hAnsi="Cambria Math"/>
              </w:rPr>
            </m:ctrlPr>
          </m:sSubSupPr>
          <m:e>
            <m:r>
              <m:rPr>
                <m:sty m:val="p"/>
              </m:rPr>
              <w:rPr>
                <w:rFonts w:ascii="Cambria Math" w:hAnsi="Cambria Math" w:hint="eastAsia"/>
              </w:rPr>
              <m:t>β</m:t>
            </m:r>
          </m:e>
          <m:sub>
            <m:r>
              <w:rPr>
                <w:rFonts w:ascii="Cambria Math" w:hAnsi="Cambria Math"/>
              </w:rPr>
              <m:t>rec</m:t>
            </m:r>
          </m:sub>
          <m:sup>
            <m:r>
              <w:rPr>
                <w:rFonts w:ascii="Cambria Math" w:hAnsi="Cambria Math"/>
              </w:rPr>
              <m:t>temp</m:t>
            </m:r>
          </m:sup>
        </m:sSubSup>
        <m:r>
          <w:rPr>
            <w:rFonts w:ascii="Cambria Math" w:hAnsi="Cambria Math"/>
          </w:rPr>
          <m:t>=</m:t>
        </m:r>
      </m:oMath>
      <w:r w:rsidR="00EE6FFA" w:rsidRPr="004946F6">
        <w:rPr>
          <w:rFonts w:cs="Times"/>
        </w:rPr>
        <w:t xml:space="preserve"> </w:t>
      </w:r>
      <m:oMath>
        <m:sSubSup>
          <m:sSubSupPr>
            <m:ctrlPr>
              <w:rPr>
                <w:rFonts w:ascii="Cambria Math" w:hAnsi="Cambria Math"/>
              </w:rPr>
            </m:ctrlPr>
          </m:sSubSupPr>
          <m:e>
            <m:r>
              <m:rPr>
                <m:sty m:val="p"/>
              </m:rPr>
              <w:rPr>
                <w:rFonts w:ascii="Cambria Math" w:hAnsi="Cambria Math" w:hint="eastAsia"/>
              </w:rPr>
              <m:t>β</m:t>
            </m:r>
          </m:e>
          <m:sub>
            <m:r>
              <w:rPr>
                <w:rFonts w:ascii="Cambria Math" w:hAnsi="Cambria Math"/>
              </w:rPr>
              <m:t>rec</m:t>
            </m:r>
          </m:sub>
          <m:sup>
            <m:r>
              <w:rPr>
                <w:rFonts w:ascii="Cambria Math" w:hAnsi="Cambria Math"/>
              </w:rPr>
              <m:t>emot</m:t>
            </m:r>
          </m:sup>
        </m:sSubSup>
        <m:r>
          <w:rPr>
            <w:rFonts w:ascii="Cambria Math" w:hAnsi="Cambria Math"/>
          </w:rPr>
          <m:t>=0</m:t>
        </m:r>
      </m:oMath>
      <w:r w:rsidR="00EE6FFA" w:rsidRPr="004946F6">
        <w:t>.</w:t>
      </w:r>
      <w:r w:rsidR="007B6AF0" w:rsidRPr="004946F6">
        <w:t xml:space="preserve"> This simulation reveals, therefore, how </w:t>
      </w:r>
      <w:r w:rsidR="009D2611" w:rsidRPr="004946F6">
        <w:t xml:space="preserve">stronger </w:t>
      </w:r>
      <w:r w:rsidR="007B6AF0" w:rsidRPr="004946F6">
        <w:t xml:space="preserve">binding to the </w:t>
      </w:r>
      <w:r w:rsidR="009D2611" w:rsidRPr="004946F6">
        <w:t>source</w:t>
      </w:r>
      <w:r w:rsidR="007B6AF0" w:rsidRPr="004946F6">
        <w:t xml:space="preserve"> context translates to early recall advantage</w:t>
      </w:r>
      <w:r w:rsidR="00554643">
        <w:t xml:space="preserve"> in the simulation</w:t>
      </w:r>
      <w:r w:rsidR="007B6AF0" w:rsidRPr="004946F6">
        <w:t xml:space="preserve">. </w:t>
      </w:r>
      <w:r w:rsidR="00554643">
        <w:t>Note that o</w:t>
      </w:r>
      <w:r w:rsidR="005D2965" w:rsidRPr="004946F6">
        <w:t xml:space="preserve">verall recall in Simulation </w:t>
      </w:r>
      <w:r w:rsidR="009D2611" w:rsidRPr="004946F6">
        <w:t>2</w:t>
      </w:r>
      <w:r w:rsidR="00765775" w:rsidRPr="004946F6">
        <w:t>R</w:t>
      </w:r>
      <w:r w:rsidR="005D2965" w:rsidRPr="004946F6">
        <w:t xml:space="preserve"> was expected to be poor</w:t>
      </w:r>
      <w:r w:rsidR="009D2611" w:rsidRPr="004946F6">
        <w:t>er</w:t>
      </w:r>
      <w:r w:rsidR="005D2965" w:rsidRPr="004946F6">
        <w:t xml:space="preserve">, because the ability of each recalled item to retrieve its encoding context is a core aspect of retrieved context models, so eliminating it was expected to impair memory substantially. </w:t>
      </w:r>
    </w:p>
    <w:p w14:paraId="4892B13E" w14:textId="273B6B81" w:rsidR="00BA553A" w:rsidRDefault="00BA553A">
      <w:pPr>
        <w:spacing w:line="480" w:lineRule="auto"/>
        <w:jc w:val="both"/>
      </w:pPr>
      <w:r>
        <w:fldChar w:fldCharType="begin"/>
      </w:r>
      <w:r>
        <w:instrText xml:space="preserve"> REF Figure4 \h  \* MERGEFORMAT </w:instrText>
      </w:r>
      <w:r>
        <w:fldChar w:fldCharType="separate"/>
      </w:r>
      <w:r>
        <w:rPr>
          <w:b/>
          <w:bCs/>
        </w:rPr>
        <w:t>Figure 4</w:t>
      </w:r>
      <w:r>
        <w:fldChar w:fldCharType="end"/>
      </w:r>
      <w:r>
        <w:t xml:space="preserve"> plots the probability of recall in Simulation 2R as a function of output order (at the bottom rightmost panel), together with the results from Simulations 1 (bottom leftmost) and 2 (bottom middle), which were discussed above. The comparison between all three simulations shows that in all of them the model recalls approximately 40% of the items. As expected, the very first recall in simulation 2R was not affected by the model’s ability to retrieve the encoding context, because this recall only depends on the initial test context. The plot also shows that </w:t>
      </w:r>
      <w:r w:rsidR="00554643">
        <w:t xml:space="preserve">in that simulation </w:t>
      </w:r>
      <w:r>
        <w:t xml:space="preserve">emotional items have an advantage in the first recall position, and that even without any further contributions from retrieved encoding context, this advantage extended to output positions 2 and 3. This dovetails with the predicted average recall data, depicted in </w:t>
      </w:r>
      <w:r>
        <w:fldChar w:fldCharType="begin"/>
      </w:r>
      <w:r>
        <w:instrText xml:space="preserve"> REF Figure3 \h  \* MERGEFORMAT </w:instrText>
      </w:r>
      <w:r>
        <w:fldChar w:fldCharType="separate"/>
      </w:r>
      <w:r>
        <w:rPr>
          <w:b/>
          <w:bCs/>
          <w:i/>
          <w:iCs/>
        </w:rPr>
        <w:t>Figure 3</w:t>
      </w:r>
      <w:r>
        <w:fldChar w:fldCharType="end"/>
      </w:r>
      <w:r>
        <w:t xml:space="preserve">, where a small emotional list composition effect can clearly be detected. In summary, this simulation reveals that preferential encoding produces an advantage for emotional items in mixed lists; comparing simulations 2 and 2R reveals how retrieval </w:t>
      </w:r>
      <w:r w:rsidR="00554643">
        <w:t>processes may enhance</w:t>
      </w:r>
      <w:r>
        <w:t xml:space="preserve"> this advantage. </w:t>
      </w:r>
    </w:p>
    <w:p w14:paraId="2428611F" w14:textId="4D8207B0" w:rsidR="005D2965" w:rsidRPr="004946F6" w:rsidRDefault="006E738D">
      <w:pPr>
        <w:spacing w:line="480" w:lineRule="auto"/>
        <w:jc w:val="both"/>
      </w:pPr>
      <w:r w:rsidRPr="0003785C">
        <w:rPr>
          <w:color w:val="FF0000"/>
        </w:rPr>
        <w:t xml:space="preserve"> </w:t>
      </w:r>
    </w:p>
    <w:p w14:paraId="73A1B218" w14:textId="1751ED2C" w:rsidR="009D2611" w:rsidRPr="004946F6" w:rsidRDefault="009D2611" w:rsidP="007B708E">
      <w:pPr>
        <w:spacing w:line="480" w:lineRule="auto"/>
        <w:jc w:val="both"/>
        <w:rPr>
          <w:b/>
          <w:bCs/>
          <w:i/>
          <w:iCs/>
        </w:rPr>
      </w:pPr>
      <w:r w:rsidRPr="004946F6">
        <w:rPr>
          <w:b/>
          <w:bCs/>
          <w:i/>
          <w:iCs/>
        </w:rPr>
        <w:t xml:space="preserve">2.4.3 </w:t>
      </w:r>
      <w:r w:rsidR="007B708E" w:rsidRPr="004946F6">
        <w:rPr>
          <w:b/>
          <w:bCs/>
          <w:i/>
          <w:iCs/>
        </w:rPr>
        <w:t>T</w:t>
      </w:r>
      <w:r w:rsidR="007B708E" w:rsidRPr="004946F6">
        <w:rPr>
          <w:b/>
          <w:bCs/>
        </w:rPr>
        <w:t>he contribution of retrieval dynamics to emotionally-enhanced memory</w:t>
      </w:r>
      <w:r w:rsidR="007B708E" w:rsidRPr="004946F6">
        <w:rPr>
          <w:b/>
          <w:bCs/>
          <w:i/>
          <w:iCs/>
        </w:rPr>
        <w:t xml:space="preserve"> </w:t>
      </w:r>
    </w:p>
    <w:p w14:paraId="0145CCA1" w14:textId="12988A4E" w:rsidR="007B708E" w:rsidRPr="004946F6" w:rsidRDefault="007B708E" w:rsidP="00765775">
      <w:pPr>
        <w:spacing w:line="480" w:lineRule="auto"/>
        <w:jc w:val="both"/>
      </w:pPr>
      <w:r w:rsidRPr="004946F6">
        <w:t xml:space="preserve">The early context of the test is influenced by the last items participants saw. </w:t>
      </w:r>
      <w:r w:rsidR="00765775" w:rsidRPr="004946F6">
        <w:t xml:space="preserve">If the </w:t>
      </w:r>
      <w:r w:rsidRPr="004946F6">
        <w:t xml:space="preserve">source context is more emotional </w:t>
      </w:r>
      <w:r w:rsidR="00765775" w:rsidRPr="004946F6">
        <w:t xml:space="preserve">than it is neutral, it </w:t>
      </w:r>
      <w:r w:rsidRPr="004946F6">
        <w:t>would favour retrieval of emotional items</w:t>
      </w:r>
      <w:r w:rsidR="00765775" w:rsidRPr="004946F6">
        <w:t>, and vice versa</w:t>
      </w:r>
      <w:r w:rsidRPr="004946F6">
        <w:t xml:space="preserve">. </w:t>
      </w:r>
      <w:r w:rsidR="00765775" w:rsidRPr="004946F6">
        <w:t xml:space="preserve">But because emotional items are more strongly bound to the context, an emotional context bias during the test will exert a greater influence on recall than a neutral bias. </w:t>
      </w:r>
      <w:r w:rsidRPr="004946F6">
        <w:t xml:space="preserve">Here we explore how context bias influences the advantage of emotional items in mixed lists. </w:t>
      </w:r>
    </w:p>
    <w:p w14:paraId="2D8C000D" w14:textId="2598730A" w:rsidR="009D2611" w:rsidRPr="004946F6" w:rsidRDefault="009D2611">
      <w:pPr>
        <w:spacing w:line="480" w:lineRule="auto"/>
        <w:jc w:val="both"/>
      </w:pPr>
      <w:r w:rsidRPr="004946F6">
        <w:t>We simulate</w:t>
      </w:r>
      <w:r w:rsidR="007B708E" w:rsidRPr="004946F6">
        <w:t>d</w:t>
      </w:r>
      <w:r w:rsidRPr="004946F6">
        <w:t xml:space="preserve"> a</w:t>
      </w:r>
      <w:r w:rsidR="007B708E" w:rsidRPr="004946F6">
        <w:t xml:space="preserve">n emotional or a neutral </w:t>
      </w:r>
      <w:r w:rsidRPr="004946F6">
        <w:t>retrieval ‘state’ by including a distractor item at the beginning of the recall period. Distractor items update the temporal context but not the association matrices, and thus are not</w:t>
      </w:r>
      <w:r w:rsidR="00765775" w:rsidRPr="004946F6">
        <w:t>, themselves,</w:t>
      </w:r>
      <w:r w:rsidRPr="004946F6">
        <w:t xml:space="preserve"> candidates for recall </w:t>
      </w:r>
      <w:r w:rsidRPr="004946F6">
        <w:fldChar w:fldCharType="begin" w:fldLock="1"/>
      </w:r>
      <w:r w:rsidR="008C25E5" w:rsidRPr="004946F6">
        <w:instrText>ADDIN CSL_CITATION { "citationItems" : [ { "id" : "ITEM-1", "itemData" : { "DOI" : "10.1037/a0035585", "ISBN" : "1939-1285(Electronic);0278-7393(Print)", "ISSN" : "1939-1285", "PMID" : "24564545", "abstract" : "Repeating an item in a list benefits recall performance, and this benefit increases when the repetitions are spaced apart (Madigan, 1969; Melton, 1970). Retrieved context theory incorporates 2 mechanisms that account for these effects: contextual variability and study-phase retrieval. Specifically, if an item presented at position i is repeated at position j, this leads to retrieval of its context from its initial presentation at i (study-phase retrieval), and this retrieved context will be used to update the current state of context (contextual variability). Here we consider predictions of a computational model that embodies retrieved context theory, the context maintenance and retrieval model (CMR; Polyn, Norman, &amp; Kahana, 2009). CMR makes the novel prediction that subjects are more likely to successively recall items that follow a shared repeated item (e.g., i + 1, j + 1) because both items are associated with the context of the repeated item presented at i and j. CMR also predicts that the probability of recalling at least 1 of 2 studied items should increase with the items' spacing (Lohnas, Polyn, &amp; Kahana, 2011). We tested these predictions in a new experiment, and CMR's predictions were upheld. These findings suggest that retrieved context theory offers an integrated explanation for repetition and spacing effects in free recall tasks. (PsycINFO Database Record (c) 2014 APA, all rights reserved).", "author" : [ { "dropping-particle" : "", "family" : "Siegel", "given" : "Lynn L.", "non-dropping-particle" : "", "parse-names" : false, "suffix" : "" }, { "dropping-particle" : "", "family" : "Kahana", "given" : "Michael J.", "non-dropping-particle" : "", "parse-names" : false, "suffix" : "" } ], "container-title" : "Journal of Experimental Psychology: Learning, Memory, and Cognition", "id" : "ITEM-1", "issue" : "3", "issued" : { "date-parts" : [ [ "2014" ] ] }, "page" : "755-764", "title" : "A retrieved context account of spacing and repetition effects in free recall.", "type" : "article-journal", "volume" : "40" }, "uris" : [ "http://www.mendeley.com/documents/?uuid=3e69f79e-0536-4857-9f18-c0e164a530a2" ] }, { "id" : "ITEM-2", "itemData" : { "DOI" : "10.1037/a0013396.A", "author" : [ { "dropping-particle" : "", "family" : "Sederberg", "given" : "P B", "non-dropping-particle" : "", "parse-names" : false, "suffix" : "" }, { "dropping-particle" : "", "family" : "Howard", "given" : "M W", "non-dropping-particle" : "", "parse-names" : false, "suffix" : "" }, { "dropping-particle" : "", "family" : "Kahana", "given" : "M J", "non-dropping-particle" : "", "parse-names" : false, "suffix" : "" } ], "id" : "ITEM-2", "issue" : "4", "issued" : { "date-parts" : [ [ "2008" ] ] }, "page" : "893-912", "title" : "A context-based theory of recency and contiguity in free recall", "type" : "article-journal", "volume" : "115" }, "uris" : [ "http://www.mendeley.com/documents/?uuid=20c66708-35d7-45d1-988a-40c72b11bc77" ] } ], "mendeley" : { "formattedCitation" : "(Sederberg et al., 2008; Siegel &amp; Kahana, 2014)", "manualFormatting" : "(Sederberg et al., 2008; Siegel &amp; Kahana, 2014)", "plainTextFormattedCitation" : "(Sederberg et al., 2008; Siegel &amp; Kahana, 2014)", "previouslyFormattedCitation" : "(Sederberg et al., 2008; Siegel &amp; Kahana, 2014)" }, "properties" : { "noteIndex" : 0 }, "schema" : "https://github.com/citation-style-language/schema/raw/master/csl-citation.json" }</w:instrText>
      </w:r>
      <w:r w:rsidRPr="004946F6">
        <w:fldChar w:fldCharType="separate"/>
      </w:r>
      <w:r w:rsidRPr="004946F6">
        <w:rPr>
          <w:noProof/>
        </w:rPr>
        <w:t>(Sederberg et al., 2008; Siegel &amp; Kahana, 2014)</w:t>
      </w:r>
      <w:r w:rsidRPr="004946F6">
        <w:fldChar w:fldCharType="end"/>
      </w:r>
      <w:r w:rsidRPr="004946F6">
        <w:t xml:space="preserve">. </w:t>
      </w:r>
      <w:r w:rsidR="00554643">
        <w:t>W</w:t>
      </w:r>
      <w:r w:rsidR="00765775" w:rsidRPr="004946F6">
        <w:t xml:space="preserve">e interpolated </w:t>
      </w:r>
      <w:r w:rsidRPr="004946F6">
        <w:t>distractor item</w:t>
      </w:r>
      <w:r w:rsidR="00765775" w:rsidRPr="004946F6">
        <w:t xml:space="preserve"> with a null (Simulation 2O), emotional (Simulation 2E), or neutral (Simulation 2N) context just before the recall period. </w:t>
      </w:r>
      <w:r w:rsidRPr="004946F6">
        <w:t xml:space="preserve">The magnitude of influence </w:t>
      </w:r>
      <w:r w:rsidR="00765775" w:rsidRPr="004946F6">
        <w:t xml:space="preserve">of this distractor item </w:t>
      </w:r>
      <w:r w:rsidRPr="004946F6">
        <w:t xml:space="preserve">was controlled by </w:t>
      </w:r>
      <m:oMath>
        <m:sSub>
          <m:sSubPr>
            <m:ctrlPr>
              <w:rPr>
                <w:rFonts w:ascii="Cambria Math" w:hAnsi="Cambria Math"/>
                <w:i/>
              </w:rPr>
            </m:ctrlPr>
          </m:sSubPr>
          <m:e>
            <m:r>
              <w:rPr>
                <w:rFonts w:ascii="Cambria Math" w:hAnsi="Cambria Math"/>
              </w:rPr>
              <m:t>β</m:t>
            </m:r>
          </m:e>
          <m:sub>
            <m:r>
              <w:rPr>
                <w:rFonts w:ascii="Cambria Math" w:hAnsi="Cambria Math"/>
              </w:rPr>
              <m:t>emot</m:t>
            </m:r>
          </m:sub>
        </m:sSub>
      </m:oMath>
      <w:r w:rsidRPr="004946F6">
        <w:t xml:space="preserve">. </w:t>
      </w:r>
    </w:p>
    <w:p w14:paraId="71522CB7" w14:textId="566A0A2E" w:rsidR="000B1AC9" w:rsidRPr="004946F6" w:rsidRDefault="00FF6050">
      <w:pPr>
        <w:spacing w:line="480" w:lineRule="auto"/>
        <w:jc w:val="both"/>
      </w:pPr>
      <w:r w:rsidRPr="004946F6">
        <w:rPr>
          <w:noProof/>
          <w:lang w:eastAsia="en-GB" w:bidi="he-IL"/>
        </w:rPr>
        <w:drawing>
          <wp:anchor distT="0" distB="0" distL="114300" distR="114300" simplePos="0" relativeHeight="251700224" behindDoc="0" locked="0" layoutInCell="1" allowOverlap="1" wp14:anchorId="2BA63082" wp14:editId="3D1569EB">
            <wp:simplePos x="0" y="0"/>
            <wp:positionH relativeFrom="column">
              <wp:posOffset>-310515</wp:posOffset>
            </wp:positionH>
            <wp:positionV relativeFrom="paragraph">
              <wp:posOffset>2487930</wp:posOffset>
            </wp:positionV>
            <wp:extent cx="7378700" cy="2469515"/>
            <wp:effectExtent l="0" t="0" r="0" b="6985"/>
            <wp:wrapSquare wrapText="bothSides"/>
            <wp:docPr id="1035" name="Picture 10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5">
                      <a:extLst>
                        <a:ext uri="{28A0092B-C50C-407E-A947-70E740481C1C}">
                          <a14:useLocalDpi xmlns:a14="http://schemas.microsoft.com/office/drawing/2010/main" val="0"/>
                        </a:ext>
                      </a:extLst>
                    </a:blip>
                    <a:stretch>
                      <a:fillRect/>
                    </a:stretch>
                  </pic:blipFill>
                  <pic:spPr>
                    <a:xfrm>
                      <a:off x="0" y="0"/>
                      <a:ext cx="7378700" cy="2469515"/>
                    </a:xfrm>
                    <a:prstGeom prst="rect">
                      <a:avLst/>
                    </a:prstGeom>
                  </pic:spPr>
                </pic:pic>
              </a:graphicData>
            </a:graphic>
            <wp14:sizeRelH relativeFrom="page">
              <wp14:pctWidth>0</wp14:pctWidth>
            </wp14:sizeRelH>
            <wp14:sizeRelV relativeFrom="page">
              <wp14:pctHeight>0</wp14:pctHeight>
            </wp14:sizeRelV>
          </wp:anchor>
        </w:drawing>
      </w:r>
      <w:r w:rsidR="00765775" w:rsidRPr="004946F6">
        <w:t xml:space="preserve">In Simulation 2O we can see a small advantage for emotional items. </w:t>
      </w:r>
      <w:r w:rsidR="005F1EB8">
        <w:t>In Simulation 2E b</w:t>
      </w:r>
      <w:r w:rsidR="009D2611" w:rsidRPr="004946F6">
        <w:t xml:space="preserve">iasing the retrieval context </w:t>
      </w:r>
      <w:r w:rsidR="00765775" w:rsidRPr="004946F6">
        <w:t>with an emotional distractor</w:t>
      </w:r>
      <w:r w:rsidR="004078DE" w:rsidRPr="004946F6">
        <w:t xml:space="preserve"> – essentially, rendering it more emotional - </w:t>
      </w:r>
      <w:r w:rsidR="009D2611" w:rsidRPr="004946F6">
        <w:t>increase</w:t>
      </w:r>
      <w:r w:rsidR="00765775" w:rsidRPr="004946F6">
        <w:t>d</w:t>
      </w:r>
      <w:r w:rsidR="009D2611" w:rsidRPr="004946F6">
        <w:t xml:space="preserve"> the likelihood </w:t>
      </w:r>
      <w:r w:rsidR="00765775" w:rsidRPr="004946F6">
        <w:t xml:space="preserve">of recalling emotional items. </w:t>
      </w:r>
      <w:r w:rsidR="004078DE" w:rsidRPr="004946F6">
        <w:t>B</w:t>
      </w:r>
      <w:r w:rsidR="00765775" w:rsidRPr="004946F6">
        <w:t>iasing the test context away from emotionality with a neutral distractor</w:t>
      </w:r>
      <w:r w:rsidR="005F1EB8">
        <w:t>, in Simulation 2N,</w:t>
      </w:r>
      <w:r w:rsidR="00765775" w:rsidRPr="004946F6">
        <w:t xml:space="preserve"> reversed the bias, </w:t>
      </w:r>
      <w:r w:rsidR="000B1AC9" w:rsidRPr="004946F6">
        <w:t>resulting in increased first recall of neutral items</w:t>
      </w:r>
      <w:r w:rsidR="00765775" w:rsidRPr="004946F6">
        <w:t xml:space="preserve">. </w:t>
      </w:r>
      <w:r w:rsidR="004078DE" w:rsidRPr="004946F6">
        <w:t>Crucially</w:t>
      </w:r>
      <w:r w:rsidR="00765775" w:rsidRPr="004946F6">
        <w:t>, b</w:t>
      </w:r>
      <w:r w:rsidR="009D2611" w:rsidRPr="004946F6">
        <w:t xml:space="preserve">ecause each </w:t>
      </w:r>
      <w:r w:rsidR="000B1AC9" w:rsidRPr="004946F6">
        <w:t xml:space="preserve">recalled item </w:t>
      </w:r>
      <w:r w:rsidR="009D2611" w:rsidRPr="004946F6">
        <w:t xml:space="preserve">retrieves its own </w:t>
      </w:r>
      <w:r w:rsidR="000B1AC9" w:rsidRPr="004946F6">
        <w:t>source</w:t>
      </w:r>
      <w:r w:rsidR="009D2611" w:rsidRPr="004946F6">
        <w:t xml:space="preserve"> context</w:t>
      </w:r>
      <w:r w:rsidR="000B1AC9" w:rsidRPr="004946F6">
        <w:t xml:space="preserve">, which </w:t>
      </w:r>
      <w:r w:rsidR="009D2611" w:rsidRPr="004946F6">
        <w:t xml:space="preserve">dilutes the impact of the bias, </w:t>
      </w:r>
      <w:r w:rsidR="000B1AC9" w:rsidRPr="004946F6">
        <w:t>no bias was observed in the second output position, and the emotional bias reappeared in the third output position (</w:t>
      </w:r>
      <w:r w:rsidR="00155754" w:rsidRPr="004946F6">
        <w:fldChar w:fldCharType="begin"/>
      </w:r>
      <w:r w:rsidR="00155754" w:rsidRPr="004946F6">
        <w:instrText xml:space="preserve"> REF Figure5 \h </w:instrText>
      </w:r>
      <w:r w:rsidR="008523C1" w:rsidRPr="004946F6">
        <w:instrText xml:space="preserve"> \* MERGEFORMAT </w:instrText>
      </w:r>
      <w:r w:rsidR="00155754" w:rsidRPr="004946F6">
        <w:fldChar w:fldCharType="separate"/>
      </w:r>
      <w:r w:rsidR="00155754" w:rsidRPr="004946F6">
        <w:rPr>
          <w:b/>
          <w:bCs/>
          <w:i/>
          <w:iCs/>
        </w:rPr>
        <w:t>Figure 5</w:t>
      </w:r>
      <w:r w:rsidR="00155754" w:rsidRPr="004946F6">
        <w:fldChar w:fldCharType="end"/>
      </w:r>
      <w:r w:rsidR="000B1AC9" w:rsidRPr="004946F6">
        <w:t>)</w:t>
      </w:r>
      <w:r w:rsidR="00155754" w:rsidRPr="004946F6">
        <w:t>.</w:t>
      </w:r>
      <w:r w:rsidR="009D2611" w:rsidRPr="004946F6">
        <w:t xml:space="preserve"> </w:t>
      </w:r>
    </w:p>
    <w:tbl>
      <w:tblPr>
        <w:tblStyle w:val="TableGrid"/>
        <w:tblpPr w:leftFromText="180" w:rightFromText="180" w:vertAnchor="text" w:horzAnchor="margin" w:tblpY="641"/>
        <w:tblOverlap w:val="never"/>
        <w:tblW w:w="1102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1023"/>
      </w:tblGrid>
      <w:tr w:rsidR="00155754" w:rsidRPr="004946F6" w14:paraId="6705E3AD" w14:textId="77777777" w:rsidTr="00FF6050">
        <w:trPr>
          <w:trHeight w:val="715"/>
        </w:trPr>
        <w:tc>
          <w:tcPr>
            <w:tcW w:w="11023" w:type="dxa"/>
          </w:tcPr>
          <w:p w14:paraId="75D77DE6" w14:textId="45C277A0" w:rsidR="00155754" w:rsidRPr="004946F6" w:rsidRDefault="00155754" w:rsidP="006E2643">
            <w:pPr>
              <w:spacing w:line="480" w:lineRule="auto"/>
              <w:jc w:val="center"/>
              <w:rPr>
                <w:noProof/>
                <w:lang w:eastAsia="en-GB" w:bidi="he-IL"/>
              </w:rPr>
            </w:pPr>
          </w:p>
        </w:tc>
      </w:tr>
      <w:tr w:rsidR="000B1AC9" w:rsidRPr="004946F6" w14:paraId="454FAA79" w14:textId="77777777" w:rsidTr="0068479E">
        <w:tc>
          <w:tcPr>
            <w:tcW w:w="11023" w:type="dxa"/>
          </w:tcPr>
          <w:p w14:paraId="4968674C" w14:textId="2CC6C60E" w:rsidR="000B1AC9" w:rsidRPr="004946F6" w:rsidRDefault="000B1AC9" w:rsidP="00597322">
            <w:pPr>
              <w:spacing w:line="480" w:lineRule="auto"/>
              <w:jc w:val="both"/>
              <w:rPr>
                <w:b/>
                <w:bCs/>
                <w:i/>
                <w:iCs/>
              </w:rPr>
            </w:pPr>
            <w:bookmarkStart w:id="6" w:name="Figure5"/>
            <w:r w:rsidRPr="004946F6">
              <w:rPr>
                <w:b/>
                <w:bCs/>
                <w:i/>
                <w:iCs/>
              </w:rPr>
              <w:t>Figure 5</w:t>
            </w:r>
            <w:bookmarkEnd w:id="6"/>
            <w:r w:rsidRPr="004946F6">
              <w:rPr>
                <w:b/>
                <w:bCs/>
                <w:i/>
                <w:iCs/>
              </w:rPr>
              <w:t>.</w:t>
            </w:r>
            <w:r w:rsidR="006E738D" w:rsidRPr="004946F6">
              <w:rPr>
                <w:b/>
                <w:bCs/>
                <w:i/>
                <w:iCs/>
              </w:rPr>
              <w:t xml:space="preserve"> </w:t>
            </w:r>
            <w:r w:rsidRPr="004946F6">
              <w:rPr>
                <w:b/>
                <w:bCs/>
                <w:i/>
                <w:iCs/>
              </w:rPr>
              <w:t xml:space="preserve">Free recall </w:t>
            </w:r>
            <w:r w:rsidR="00864FD0" w:rsidRPr="004946F6">
              <w:rPr>
                <w:b/>
                <w:bCs/>
                <w:i/>
                <w:iCs/>
              </w:rPr>
              <w:t xml:space="preserve">of emotional and neutral items, encoded in mixed lists, </w:t>
            </w:r>
            <w:r w:rsidRPr="004946F6">
              <w:rPr>
                <w:b/>
                <w:bCs/>
                <w:i/>
                <w:iCs/>
              </w:rPr>
              <w:t xml:space="preserve">as a function of the emotional context of the test. Left. </w:t>
            </w:r>
            <w:r w:rsidRPr="004946F6">
              <w:rPr>
                <w:i/>
                <w:iCs/>
              </w:rPr>
              <w:t>No bias (Simulation 2O).</w:t>
            </w:r>
            <w:r w:rsidRPr="004946F6">
              <w:rPr>
                <w:b/>
                <w:bCs/>
                <w:i/>
                <w:iCs/>
              </w:rPr>
              <w:t xml:space="preserve"> Middle.</w:t>
            </w:r>
            <w:r w:rsidR="006E738D" w:rsidRPr="004946F6">
              <w:rPr>
                <w:b/>
                <w:bCs/>
                <w:i/>
                <w:iCs/>
              </w:rPr>
              <w:t xml:space="preserve"> </w:t>
            </w:r>
            <w:r w:rsidRPr="004946F6">
              <w:rPr>
                <w:i/>
                <w:iCs/>
              </w:rPr>
              <w:t>Neutral bias (Simulation 2N).</w:t>
            </w:r>
            <w:r w:rsidRPr="004946F6">
              <w:rPr>
                <w:b/>
                <w:bCs/>
                <w:i/>
                <w:iCs/>
              </w:rPr>
              <w:t xml:space="preserve"> Right. </w:t>
            </w:r>
            <w:r w:rsidRPr="004946F6">
              <w:rPr>
                <w:i/>
                <w:iCs/>
              </w:rPr>
              <w:t xml:space="preserve">Emotional bias (Simulation 2E). </w:t>
            </w:r>
          </w:p>
        </w:tc>
      </w:tr>
    </w:tbl>
    <w:p w14:paraId="6EEAB70E" w14:textId="53CD83D8" w:rsidR="009D2611" w:rsidRPr="004946F6" w:rsidRDefault="009D2611" w:rsidP="000B1AC9">
      <w:pPr>
        <w:spacing w:line="480" w:lineRule="auto"/>
        <w:jc w:val="both"/>
      </w:pPr>
    </w:p>
    <w:p w14:paraId="3C229FC7" w14:textId="0E47D47B" w:rsidR="006150D9" w:rsidRPr="004946F6" w:rsidRDefault="006150D9" w:rsidP="006A48D9">
      <w:pPr>
        <w:spacing w:line="480" w:lineRule="auto"/>
        <w:jc w:val="both"/>
        <w:rPr>
          <w:b/>
          <w:bCs/>
          <w:i/>
          <w:iCs/>
        </w:rPr>
      </w:pPr>
      <w:r w:rsidRPr="004946F6">
        <w:rPr>
          <w:b/>
          <w:bCs/>
          <w:i/>
          <w:iCs/>
        </w:rPr>
        <w:t>2.</w:t>
      </w:r>
      <w:r w:rsidR="00DD4D14" w:rsidRPr="004946F6">
        <w:rPr>
          <w:b/>
          <w:bCs/>
          <w:i/>
          <w:iCs/>
        </w:rPr>
        <w:t>4.</w:t>
      </w:r>
      <w:r w:rsidR="006A48D9" w:rsidRPr="004946F6">
        <w:rPr>
          <w:b/>
          <w:bCs/>
          <w:i/>
          <w:iCs/>
        </w:rPr>
        <w:t>4</w:t>
      </w:r>
      <w:r w:rsidRPr="004946F6">
        <w:rPr>
          <w:b/>
          <w:bCs/>
          <w:i/>
          <w:iCs/>
        </w:rPr>
        <w:t xml:space="preserve"> </w:t>
      </w:r>
      <w:r w:rsidR="00C2503A" w:rsidRPr="004946F6">
        <w:rPr>
          <w:b/>
          <w:bCs/>
          <w:i/>
          <w:iCs/>
        </w:rPr>
        <w:t>T</w:t>
      </w:r>
      <w:r w:rsidRPr="004946F6">
        <w:rPr>
          <w:b/>
          <w:bCs/>
          <w:i/>
          <w:iCs/>
        </w:rPr>
        <w:t xml:space="preserve">he emotional advantage in mixed lists does not depend solely on interference at retrieval </w:t>
      </w:r>
    </w:p>
    <w:p w14:paraId="3767149E" w14:textId="470F40B2" w:rsidR="00B72334" w:rsidRPr="004946F6" w:rsidRDefault="00CA6C25" w:rsidP="00C34641">
      <w:pPr>
        <w:spacing w:line="480" w:lineRule="auto"/>
        <w:jc w:val="both"/>
      </w:pPr>
      <w:r w:rsidRPr="004946F6">
        <w:t xml:space="preserve">The earlier recall of emotional items could </w:t>
      </w:r>
      <w:r w:rsidR="00392BA3" w:rsidRPr="004946F6">
        <w:t>create output interference</w:t>
      </w:r>
      <w:r w:rsidR="00F15F18" w:rsidRPr="004946F6">
        <w:t xml:space="preserve">, which </w:t>
      </w:r>
      <w:r w:rsidR="00392BA3" w:rsidRPr="004946F6">
        <w:t xml:space="preserve">could produce the emotional memory advantage in mixed lists even without the other mechanisms </w:t>
      </w:r>
      <w:r w:rsidR="00F15F18" w:rsidRPr="004946F6">
        <w:t xml:space="preserve">postulated </w:t>
      </w:r>
      <w:r w:rsidR="00392BA3" w:rsidRPr="004946F6">
        <w:t xml:space="preserve">in eCMR. </w:t>
      </w:r>
      <w:r w:rsidR="006150D9" w:rsidRPr="004946F6">
        <w:t xml:space="preserve">To examine the impact of output order on the emotional memory advantage in mixed lists we conducted a new experiment, described in </w:t>
      </w:r>
      <w:r w:rsidR="005625B9" w:rsidRPr="004946F6">
        <w:fldChar w:fldCharType="begin"/>
      </w:r>
      <w:r w:rsidR="005625B9" w:rsidRPr="004946F6">
        <w:instrText xml:space="preserve"> REF Appendix1 \h </w:instrText>
      </w:r>
      <w:r w:rsidR="00AC0EC8" w:rsidRPr="004946F6">
        <w:instrText xml:space="preserve"> \* MERGEFORMAT </w:instrText>
      </w:r>
      <w:r w:rsidR="005625B9" w:rsidRPr="004946F6">
        <w:fldChar w:fldCharType="end"/>
      </w:r>
      <w:r w:rsidR="005625B9" w:rsidRPr="004946F6">
        <w:fldChar w:fldCharType="begin"/>
      </w:r>
      <w:r w:rsidR="005625B9" w:rsidRPr="004946F6">
        <w:instrText xml:space="preserve"> REF Appendix2 \h </w:instrText>
      </w:r>
      <w:r w:rsidR="00AC0EC8" w:rsidRPr="004946F6">
        <w:instrText xml:space="preserve"> \* MERGEFORMAT </w:instrText>
      </w:r>
      <w:r w:rsidR="005625B9" w:rsidRPr="004946F6">
        <w:fldChar w:fldCharType="separate"/>
      </w:r>
      <w:r w:rsidR="005625B9" w:rsidRPr="004946F6">
        <w:rPr>
          <w:b/>
          <w:bCs/>
          <w:caps/>
          <w:noProof/>
          <w:lang w:eastAsia="en-GB" w:bidi="he-IL"/>
        </w:rPr>
        <w:t>Appendix 2</w:t>
      </w:r>
      <w:r w:rsidR="005625B9" w:rsidRPr="004946F6">
        <w:fldChar w:fldCharType="end"/>
      </w:r>
      <w:r w:rsidR="006150D9" w:rsidRPr="004946F6">
        <w:t xml:space="preserve">. </w:t>
      </w:r>
      <w:r w:rsidR="007A07D9" w:rsidRPr="004946F6">
        <w:t xml:space="preserve">Retrieval of mixed lists of negatively-valenced emotional and neutral pictures was manipulated by asking participants to recall emotional or neutral items first (the ‘emotional first’ and ‘neutral first’ conditions). The crucial result for </w:t>
      </w:r>
      <w:r w:rsidR="006150D9" w:rsidRPr="004946F6">
        <w:t>this section concern</w:t>
      </w:r>
      <w:r w:rsidR="007A07D9" w:rsidRPr="004946F6">
        <w:t>s the data from</w:t>
      </w:r>
      <w:r w:rsidR="00963520" w:rsidRPr="004946F6">
        <w:t xml:space="preserve"> t</w:t>
      </w:r>
      <w:r w:rsidR="006150D9" w:rsidRPr="004946F6">
        <w:t>he ‘emotional first’ group</w:t>
      </w:r>
      <w:r w:rsidR="00963520" w:rsidRPr="004946F6">
        <w:t>, who</w:t>
      </w:r>
      <w:r w:rsidR="006150D9" w:rsidRPr="004946F6">
        <w:t xml:space="preserve"> w</w:t>
      </w:r>
      <w:r w:rsidR="00C34641" w:rsidRPr="004946F6">
        <w:t>ere</w:t>
      </w:r>
      <w:r w:rsidR="006150D9" w:rsidRPr="004946F6">
        <w:t xml:space="preserve"> instructed to recall the emotional pictures first, and then the neutral pictures</w:t>
      </w:r>
      <w:r w:rsidR="00963520" w:rsidRPr="004946F6">
        <w:t>; and the</w:t>
      </w:r>
      <w:r w:rsidR="006150D9" w:rsidRPr="004946F6">
        <w:t xml:space="preserve"> ‘neutral first’ group</w:t>
      </w:r>
      <w:r w:rsidR="00963520" w:rsidRPr="004946F6">
        <w:t>, who</w:t>
      </w:r>
      <w:r w:rsidR="006150D9" w:rsidRPr="004946F6">
        <w:t xml:space="preserve"> w</w:t>
      </w:r>
      <w:r w:rsidR="00C34641" w:rsidRPr="004946F6">
        <w:t>ere</w:t>
      </w:r>
      <w:r w:rsidR="006150D9" w:rsidRPr="004946F6">
        <w:t xml:space="preserve"> instructed to recall the neutral pictures first, and then the </w:t>
      </w:r>
      <w:r w:rsidR="00963520" w:rsidRPr="004946F6">
        <w:t>emotiona</w:t>
      </w:r>
      <w:r w:rsidR="006150D9" w:rsidRPr="004946F6">
        <w:t xml:space="preserve">l pictures. </w:t>
      </w:r>
      <w:r w:rsidR="001C75EF" w:rsidRPr="004946F6">
        <w:t xml:space="preserve">Let us examine the predictions </w:t>
      </w:r>
      <w:r w:rsidR="008B71EF" w:rsidRPr="004946F6">
        <w:t xml:space="preserve">of </w:t>
      </w:r>
      <w:r w:rsidR="001C75EF" w:rsidRPr="004946F6">
        <w:t>eCMR</w:t>
      </w:r>
      <w:r w:rsidR="008B71EF" w:rsidRPr="004946F6">
        <w:t xml:space="preserve"> for these conditions</w:t>
      </w:r>
      <w:r w:rsidR="001C75EF" w:rsidRPr="004946F6">
        <w:t>.</w:t>
      </w:r>
      <w:r w:rsidR="006E738D" w:rsidRPr="004946F6">
        <w:t xml:space="preserve"> </w:t>
      </w:r>
      <w:r w:rsidR="00F15F18" w:rsidRPr="004946F6">
        <w:t>A</w:t>
      </w:r>
      <w:r w:rsidR="001C75EF" w:rsidRPr="004946F6">
        <w:t xml:space="preserve">n emotional memory advantage should still </w:t>
      </w:r>
      <w:r w:rsidR="00C34641" w:rsidRPr="004946F6">
        <w:t xml:space="preserve">be </w:t>
      </w:r>
      <w:r w:rsidR="001C75EF" w:rsidRPr="004946F6">
        <w:t xml:space="preserve">obtained even </w:t>
      </w:r>
      <w:r w:rsidR="00C34641" w:rsidRPr="004946F6">
        <w:t xml:space="preserve">when </w:t>
      </w:r>
      <w:r w:rsidR="007B6271" w:rsidRPr="004946F6">
        <w:t>neutral items are recalled first</w:t>
      </w:r>
      <w:r w:rsidR="001C75EF" w:rsidRPr="004946F6">
        <w:t xml:space="preserve">, because </w:t>
      </w:r>
      <w:r w:rsidR="003F512A" w:rsidRPr="004946F6">
        <w:t xml:space="preserve">emotional items compete for recall with items that are less strongly bound to the </w:t>
      </w:r>
      <w:r w:rsidR="00C34641" w:rsidRPr="004946F6">
        <w:t>encoding</w:t>
      </w:r>
      <w:r w:rsidR="003F512A" w:rsidRPr="004946F6">
        <w:t xml:space="preserve"> context. </w:t>
      </w:r>
      <w:r w:rsidR="008B71EF" w:rsidRPr="004946F6">
        <w:t>While output interference is expected to decrease memory for both emotional and neutral stimuli</w:t>
      </w:r>
      <w:r w:rsidR="001C75EF" w:rsidRPr="004946F6">
        <w:t xml:space="preserve">, eCMR predicts that an emotional advantage should be present </w:t>
      </w:r>
      <w:r w:rsidR="00F15F18" w:rsidRPr="004946F6">
        <w:t xml:space="preserve">both </w:t>
      </w:r>
      <w:r w:rsidR="001C75EF" w:rsidRPr="004946F6">
        <w:t xml:space="preserve">when we compare the first recalls of each group (the recall of emotional items in the ‘emotional first’ group and the recall of neutral items in the ‘neutral first’ group), and when we compare the second recall of the two groups (the recall of neutral items in the ‘emotional first’ group and the recall of emotional items in the ‘neutral first’ group). </w:t>
      </w:r>
      <w:r w:rsidR="007B6271" w:rsidRPr="004946F6">
        <w:t>By contrast, a greater difference in emotional versus emotional stimuli when comparing the first recall test to the second will support the hypothesis that this advantage depends on output interference.</w:t>
      </w:r>
      <w:r w:rsidR="00C34641" w:rsidRPr="004946F6">
        <w:t xml:space="preserve"> If the emotional memory advantage depends solely on output interference, then the emotional advantage should be greatly weakened in the first recall of the ‘emotional first’ and ‘neutral first’ groups, where such suppression is prevented, compared to the second recall of those groups, which more closely mimics the ‘natural’ uninstructed condition. The logic of eCMR dictates, however, that because emotional items are more strongly associated to the encoding context and to each other, the emotional advantage in mixed lists would remain even when output interference is reduced or eliminated – as long as emotional items compete for recall with non-emotional items. In this section, we describe empirical evidence in support of this hypothesis.</w:t>
      </w:r>
    </w:p>
    <w:p w14:paraId="088ECB77" w14:textId="711448D5" w:rsidR="0061147A" w:rsidRPr="004946F6" w:rsidRDefault="008B71EF">
      <w:pPr>
        <w:spacing w:line="480" w:lineRule="auto"/>
        <w:jc w:val="both"/>
      </w:pPr>
      <w:r w:rsidRPr="004946F6">
        <w:t xml:space="preserve">We observed </w:t>
      </w:r>
      <w:r w:rsidR="0061147A" w:rsidRPr="004946F6">
        <w:t>a significant emotional memory advantage of equivalent magnitude</w:t>
      </w:r>
      <w:r w:rsidRPr="004946F6">
        <w:t xml:space="preserve"> in the first and the second recall</w:t>
      </w:r>
      <w:r w:rsidR="003E3E00" w:rsidRPr="004946F6">
        <w:t xml:space="preserve"> (</w:t>
      </w:r>
      <w:r w:rsidR="00CA0A96" w:rsidRPr="004946F6">
        <w:fldChar w:fldCharType="begin"/>
      </w:r>
      <w:r w:rsidR="00CA0A96" w:rsidRPr="004946F6">
        <w:instrText xml:space="preserve"> REF Figure6 \h </w:instrText>
      </w:r>
      <w:r w:rsidR="008523C1" w:rsidRPr="004946F6">
        <w:instrText xml:space="preserve"> \* MERGEFORMAT </w:instrText>
      </w:r>
      <w:r w:rsidR="00CA0A96" w:rsidRPr="004946F6">
        <w:fldChar w:fldCharType="separate"/>
      </w:r>
      <w:r w:rsidR="00CA0A96" w:rsidRPr="004946F6">
        <w:rPr>
          <w:b/>
          <w:bCs/>
          <w:i/>
          <w:iCs/>
        </w:rPr>
        <w:t>FIGURE 6</w:t>
      </w:r>
      <w:r w:rsidR="00CA0A96" w:rsidRPr="004946F6">
        <w:fldChar w:fldCharType="end"/>
      </w:r>
      <w:r w:rsidR="003E3E00" w:rsidRPr="004946F6">
        <w:fldChar w:fldCharType="begin"/>
      </w:r>
      <w:r w:rsidR="003E3E00" w:rsidRPr="004946F6">
        <w:instrText xml:space="preserve"> REF Figure5 \h </w:instrText>
      </w:r>
      <w:r w:rsidR="00AC0EC8" w:rsidRPr="004946F6">
        <w:instrText xml:space="preserve"> \* MERGEFORMAT </w:instrText>
      </w:r>
      <w:r w:rsidR="003E3E00" w:rsidRPr="004946F6">
        <w:fldChar w:fldCharType="end"/>
      </w:r>
      <w:r w:rsidR="00555264" w:rsidRPr="004946F6">
        <w:t>)</w:t>
      </w:r>
      <w:r w:rsidR="0061147A" w:rsidRPr="004946F6">
        <w:t>.</w:t>
      </w:r>
      <w:r w:rsidR="006E738D" w:rsidRPr="004946F6">
        <w:t xml:space="preserve"> </w:t>
      </w:r>
      <w:r w:rsidR="00FB0DB6" w:rsidRPr="004946F6">
        <w:t>The analysis of the instructed conditions used two independent sample t-tests to compare recall of emotional and neutral items across the ‘emotion first’ and ‘neutral first’ groups. The magnitude of the effect of emotion on memory was equivalent and large in the first recall test (comparing recall of emotional items in the ‘emotion first’ group to neutral items in the ‘neutral first’ group), t(34)=2.34, p&lt;.05, Cohen’s d=0.8</w:t>
      </w:r>
      <w:r w:rsidR="007B6271" w:rsidRPr="004946F6">
        <w:t>0</w:t>
      </w:r>
      <w:r w:rsidR="00FB0DB6" w:rsidRPr="004946F6">
        <w:t>, and in the second recall test, (comparing recall of neutral items in the ‘emotion first’ group to recall of emotional items in the ‘neutral first’ group), t(34)=2.20, p&lt;.05, Cohen’s d=0.76.</w:t>
      </w:r>
      <w:r w:rsidR="002C5B5A" w:rsidRPr="004946F6">
        <w:t xml:space="preserve"> </w:t>
      </w:r>
      <w:r w:rsidR="005F1EB8">
        <w:t xml:space="preserve">These results agree </w:t>
      </w:r>
      <w:r w:rsidR="002C5B5A" w:rsidRPr="004946F6">
        <w:t xml:space="preserve">with the prediction of eCMR and going against the interpretation of the data </w:t>
      </w:r>
      <w:r w:rsidRPr="004946F6">
        <w:t xml:space="preserve">as due solely to </w:t>
      </w:r>
      <w:r w:rsidR="002C5B5A" w:rsidRPr="004946F6">
        <w:t>output interference.</w:t>
      </w:r>
    </w:p>
    <w:tbl>
      <w:tblPr>
        <w:tblStyle w:val="TableGrid"/>
        <w:tblW w:w="0" w:type="auto"/>
        <w:tblInd w:w="8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47"/>
      </w:tblGrid>
      <w:tr w:rsidR="00555264" w:rsidRPr="004946F6" w14:paraId="18546671" w14:textId="77777777" w:rsidTr="00BC403A">
        <w:tc>
          <w:tcPr>
            <w:tcW w:w="8647" w:type="dxa"/>
          </w:tcPr>
          <w:p w14:paraId="69205471" w14:textId="77777777" w:rsidR="00555264" w:rsidRPr="004946F6" w:rsidRDefault="00C714E1" w:rsidP="00BC403A">
            <w:pPr>
              <w:spacing w:line="480" w:lineRule="auto"/>
              <w:jc w:val="center"/>
            </w:pPr>
            <w:r w:rsidRPr="004946F6">
              <w:rPr>
                <w:noProof/>
                <w:lang w:eastAsia="en-GB" w:bidi="he-IL"/>
              </w:rPr>
              <w:drawing>
                <wp:inline distT="0" distB="0" distL="0" distR="0" wp14:anchorId="471A3949" wp14:editId="541490AB">
                  <wp:extent cx="4238625" cy="2476500"/>
                  <wp:effectExtent l="0" t="0" r="0" b="0"/>
                  <wp:docPr id="31" name="Chart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tc>
      </w:tr>
      <w:tr w:rsidR="00555264" w:rsidRPr="004946F6" w14:paraId="2077B159" w14:textId="77777777" w:rsidTr="00BC403A">
        <w:tc>
          <w:tcPr>
            <w:tcW w:w="8647" w:type="dxa"/>
          </w:tcPr>
          <w:p w14:paraId="78EACC66" w14:textId="4CAA7586" w:rsidR="00555264" w:rsidRPr="004946F6" w:rsidRDefault="00555264" w:rsidP="00CA0A96">
            <w:pPr>
              <w:spacing w:line="480" w:lineRule="auto"/>
              <w:rPr>
                <w:b/>
                <w:bCs/>
                <w:i/>
                <w:iCs/>
              </w:rPr>
            </w:pPr>
            <w:bookmarkStart w:id="7" w:name="Figure6"/>
            <w:r w:rsidRPr="004946F6">
              <w:rPr>
                <w:b/>
                <w:bCs/>
                <w:i/>
                <w:iCs/>
              </w:rPr>
              <w:t xml:space="preserve">FIGURE </w:t>
            </w:r>
            <w:r w:rsidR="00CA0A96" w:rsidRPr="004946F6">
              <w:rPr>
                <w:b/>
                <w:bCs/>
                <w:i/>
                <w:iCs/>
              </w:rPr>
              <w:t>6</w:t>
            </w:r>
            <w:r w:rsidRPr="004946F6">
              <w:rPr>
                <w:b/>
                <w:bCs/>
                <w:i/>
                <w:iCs/>
              </w:rPr>
              <w:t xml:space="preserve">. </w:t>
            </w:r>
            <w:bookmarkEnd w:id="7"/>
            <w:r w:rsidRPr="004946F6">
              <w:rPr>
                <w:b/>
                <w:bCs/>
                <w:i/>
                <w:iCs/>
              </w:rPr>
              <w:t>Empirical data from the instructed recall ex</w:t>
            </w:r>
            <w:r w:rsidR="00C714E1" w:rsidRPr="004946F6">
              <w:rPr>
                <w:b/>
                <w:bCs/>
                <w:i/>
                <w:iCs/>
              </w:rPr>
              <w:t>periment</w:t>
            </w:r>
            <w:r w:rsidRPr="004946F6">
              <w:rPr>
                <w:b/>
                <w:bCs/>
                <w:i/>
                <w:iCs/>
              </w:rPr>
              <w:t xml:space="preserve"> </w:t>
            </w:r>
            <w:r w:rsidR="00C714E1" w:rsidRPr="004946F6">
              <w:rPr>
                <w:b/>
                <w:bCs/>
                <w:i/>
                <w:iCs/>
              </w:rPr>
              <w:t>(Appendix 2)</w:t>
            </w:r>
          </w:p>
          <w:p w14:paraId="62B04C9B" w14:textId="77777777" w:rsidR="00555264" w:rsidRPr="004946F6" w:rsidRDefault="00C714E1" w:rsidP="00BC403A">
            <w:pPr>
              <w:spacing w:line="480" w:lineRule="auto"/>
            </w:pPr>
            <w:r w:rsidRPr="004946F6">
              <w:rPr>
                <w:i/>
                <w:iCs/>
              </w:rPr>
              <w:t>F</w:t>
            </w:r>
            <w:r w:rsidR="00C2399E" w:rsidRPr="004946F6">
              <w:rPr>
                <w:i/>
                <w:iCs/>
              </w:rPr>
              <w:t xml:space="preserve">ree recall of the ‘emotion first’ and ‘neutral first’ </w:t>
            </w:r>
            <w:r w:rsidRPr="004946F6">
              <w:rPr>
                <w:i/>
                <w:iCs/>
              </w:rPr>
              <w:t>group</w:t>
            </w:r>
            <w:r w:rsidR="00C2399E" w:rsidRPr="004946F6">
              <w:rPr>
                <w:i/>
                <w:iCs/>
              </w:rPr>
              <w:t>s</w:t>
            </w:r>
            <w:r w:rsidRPr="004946F6">
              <w:rPr>
                <w:i/>
                <w:iCs/>
              </w:rPr>
              <w:t xml:space="preserve"> is plotted as a function of the test period (the first or second recall)</w:t>
            </w:r>
            <w:r w:rsidR="00C2399E" w:rsidRPr="004946F6">
              <w:rPr>
                <w:i/>
                <w:iCs/>
              </w:rPr>
              <w:t xml:space="preserve">. The two leftmost bars plot the recall from the first test period in each of these two groups (the emotional list in the ‘emotion first’ condition and the neutral list in the ‘neutral first’ condition). The </w:t>
            </w:r>
            <w:r w:rsidRPr="004946F6">
              <w:rPr>
                <w:i/>
                <w:iCs/>
              </w:rPr>
              <w:t xml:space="preserve">two rightmost </w:t>
            </w:r>
            <w:r w:rsidR="00C2399E" w:rsidRPr="004946F6">
              <w:rPr>
                <w:i/>
                <w:iCs/>
              </w:rPr>
              <w:t>bars plot recall from the second test period in each of these groups (the neutral list in the ‘emotion first’ condition and the emotional list in t</w:t>
            </w:r>
            <w:r w:rsidRPr="004946F6">
              <w:rPr>
                <w:i/>
                <w:iCs/>
              </w:rPr>
              <w:t>he ‘neutral first’ condition).</w:t>
            </w:r>
            <w:r w:rsidRPr="004946F6">
              <w:t xml:space="preserve"> </w:t>
            </w:r>
          </w:p>
        </w:tc>
      </w:tr>
    </w:tbl>
    <w:p w14:paraId="2ADB7169" w14:textId="77777777" w:rsidR="008006BA" w:rsidRPr="004946F6" w:rsidRDefault="008006BA" w:rsidP="008006BA">
      <w:pPr>
        <w:spacing w:line="480" w:lineRule="auto"/>
        <w:jc w:val="both"/>
        <w:rPr>
          <w:b/>
          <w:bCs/>
          <w:i/>
          <w:iCs/>
        </w:rPr>
      </w:pPr>
    </w:p>
    <w:p w14:paraId="3F9A86F6" w14:textId="3862E081" w:rsidR="00DD4D14" w:rsidRPr="004946F6" w:rsidRDefault="00DD4D14" w:rsidP="00597322">
      <w:pPr>
        <w:spacing w:line="480" w:lineRule="auto"/>
        <w:jc w:val="both"/>
        <w:rPr>
          <w:b/>
          <w:bCs/>
          <w:i/>
          <w:iCs/>
        </w:rPr>
      </w:pPr>
      <w:r w:rsidRPr="004946F6">
        <w:rPr>
          <w:b/>
          <w:bCs/>
          <w:i/>
          <w:iCs/>
        </w:rPr>
        <w:t>2.4.</w:t>
      </w:r>
      <w:r w:rsidR="00480BF7" w:rsidRPr="004946F6">
        <w:rPr>
          <w:b/>
          <w:bCs/>
          <w:i/>
          <w:iCs/>
        </w:rPr>
        <w:t>5</w:t>
      </w:r>
      <w:r w:rsidRPr="004946F6">
        <w:rPr>
          <w:b/>
          <w:bCs/>
          <w:i/>
          <w:iCs/>
        </w:rPr>
        <w:t xml:space="preserve"> Recall transitions in the attention-category variant of eCMR.</w:t>
      </w:r>
    </w:p>
    <w:p w14:paraId="3F9D494B" w14:textId="18603D5D" w:rsidR="00CC49D9" w:rsidRPr="004946F6" w:rsidRDefault="00DD4D14" w:rsidP="00AB1F46">
      <w:pPr>
        <w:spacing w:line="480" w:lineRule="auto"/>
        <w:jc w:val="both"/>
      </w:pPr>
      <w:r w:rsidRPr="004946F6">
        <w:t>To fu</w:t>
      </w:r>
      <w:r w:rsidR="00CA0A96" w:rsidRPr="004946F6">
        <w:t>lly</w:t>
      </w:r>
      <w:r w:rsidRPr="004946F6">
        <w:t xml:space="preserve"> understand the interaction between attention to emotion at encoding and the retrieval machinery of eCMR we analysed the types of transitions the model made between successive recalls</w:t>
      </w:r>
      <w:r w:rsidR="00FC35C8" w:rsidRPr="004946F6">
        <w:t xml:space="preserve"> </w:t>
      </w:r>
      <w:r w:rsidR="00262A29" w:rsidRPr="004946F6">
        <w:t xml:space="preserve">in </w:t>
      </w:r>
      <w:r w:rsidR="00FC35C8" w:rsidRPr="004946F6">
        <w:t>Simulation 2, following the same methodology used by Polyn and colleagues</w:t>
      </w:r>
      <w:r w:rsidRPr="004946F6">
        <w:t xml:space="preserve"> (2009, 2011)</w:t>
      </w:r>
      <w:r w:rsidR="00AB1F46" w:rsidRPr="004946F6">
        <w:t>, as</w:t>
      </w:r>
      <w:r w:rsidR="002E5A4B" w:rsidRPr="004946F6">
        <w:t xml:space="preserve"> described in section 2.1</w:t>
      </w:r>
      <w:r w:rsidRPr="004946F6">
        <w:t xml:space="preserve">. </w:t>
      </w:r>
      <w:r w:rsidR="00CC49D9" w:rsidRPr="004946F6">
        <w:t xml:space="preserve">The descriptive results are provided in </w:t>
      </w:r>
      <w:r w:rsidR="00EF1DCC" w:rsidRPr="004946F6">
        <w:fldChar w:fldCharType="begin"/>
      </w:r>
      <w:r w:rsidR="00EF1DCC" w:rsidRPr="004946F6">
        <w:instrText xml:space="preserve"> REF Table4 \h </w:instrText>
      </w:r>
      <w:r w:rsidR="008523C1" w:rsidRPr="004946F6">
        <w:instrText xml:space="preserve"> \* MERGEFORMAT </w:instrText>
      </w:r>
      <w:r w:rsidR="00EF1DCC" w:rsidRPr="004946F6">
        <w:fldChar w:fldCharType="separate"/>
      </w:r>
      <w:r w:rsidR="00EF1DCC" w:rsidRPr="004946F6">
        <w:rPr>
          <w:b/>
          <w:bCs/>
        </w:rPr>
        <w:t>TABLE 4.</w:t>
      </w:r>
      <w:r w:rsidR="00EF1DCC" w:rsidRPr="004946F6">
        <w:fldChar w:fldCharType="end"/>
      </w:r>
      <w:r w:rsidR="00CC49D9" w:rsidRPr="004946F6">
        <w:t xml:space="preserve"> </w:t>
      </w:r>
    </w:p>
    <w:p w14:paraId="397066AF" w14:textId="0856A193" w:rsidR="00CC49D9" w:rsidRPr="004946F6" w:rsidRDefault="00DD4D14">
      <w:pPr>
        <w:spacing w:line="480" w:lineRule="auto"/>
        <w:jc w:val="both"/>
      </w:pPr>
      <w:r w:rsidRPr="004946F6">
        <w:t xml:space="preserve">Temporal clustering within category was greater than chance in the empirical data and in the model, reflecting both the shared emotional features, as well as the close temporal proximity, of these items. </w:t>
      </w:r>
      <w:r w:rsidR="005F1EB8">
        <w:t>B</w:t>
      </w:r>
      <w:r w:rsidR="00822EF3" w:rsidRPr="00822EF3">
        <w:t>etween-category temporal clustering</w:t>
      </w:r>
      <w:r w:rsidR="005F1EB8">
        <w:t xml:space="preserve"> is</w:t>
      </w:r>
      <w:r w:rsidR="00822EF3" w:rsidRPr="00822EF3">
        <w:t xml:space="preserve"> an index of the contribution of temporal associations between items even when they do not share the same emotional context. </w:t>
      </w:r>
      <w:r w:rsidR="005F1EB8" w:rsidRPr="00822EF3">
        <w:t xml:space="preserve">The model over-predicted </w:t>
      </w:r>
      <w:r w:rsidR="005F1EB8">
        <w:t>b</w:t>
      </w:r>
      <w:r w:rsidR="00822EF3" w:rsidRPr="00822EF3">
        <w:t>etween-category temporal clustering</w:t>
      </w:r>
      <w:r w:rsidR="005F1EB8">
        <w:t xml:space="preserve">; it was </w:t>
      </w:r>
      <w:r w:rsidR="00822EF3" w:rsidRPr="00822EF3">
        <w:t xml:space="preserve">as high as within-category temporal clustering in the simulation, but </w:t>
      </w:r>
      <w:r w:rsidR="005F1EB8">
        <w:t>at</w:t>
      </w:r>
      <w:r w:rsidR="00822EF3" w:rsidRPr="00822EF3">
        <w:t xml:space="preserve"> chance in the empirical data. This discrepancy presents a limitation of the model which could be examined in future work.</w:t>
      </w:r>
      <w:r w:rsidR="00822EF3">
        <w:t xml:space="preserve"> </w:t>
      </w:r>
      <w:r w:rsidRPr="004946F6">
        <w:t>Next, we examined the emotional clustering score</w:t>
      </w:r>
      <w:r w:rsidR="00AB1F46" w:rsidRPr="004946F6">
        <w:t>s</w:t>
      </w:r>
      <w:r w:rsidRPr="004946F6">
        <w:t xml:space="preserve">. </w:t>
      </w:r>
      <w:r w:rsidR="00FC35C8" w:rsidRPr="004946F6">
        <w:t xml:space="preserve">eCMR naturally predicts emotional clustering effect because recall of an item leads to retrieval of its associated context states, including its emotional context. </w:t>
      </w:r>
      <w:r w:rsidR="005F1EB8">
        <w:t>A</w:t>
      </w:r>
      <w:r w:rsidR="005F1EB8" w:rsidRPr="004946F6">
        <w:t>s in the empirical data</w:t>
      </w:r>
      <w:r w:rsidR="005F1EB8">
        <w:t>,</w:t>
      </w:r>
      <w:r w:rsidR="005F1EB8" w:rsidRPr="004946F6">
        <w:t xml:space="preserve"> </w:t>
      </w:r>
      <w:r w:rsidR="005F1EB8">
        <w:t>t</w:t>
      </w:r>
      <w:r w:rsidRPr="004946F6">
        <w:t xml:space="preserve">ransitions based on shared emotional context </w:t>
      </w:r>
      <w:r w:rsidR="002B6CF4" w:rsidRPr="004946F6">
        <w:t xml:space="preserve">in the model </w:t>
      </w:r>
      <w:r w:rsidRPr="004946F6">
        <w:t xml:space="preserve">were more likely than what is expected at chance. </w:t>
      </w:r>
      <w:r w:rsidR="00D25B56" w:rsidRPr="004946F6">
        <w:t>We also saw a relationship, such that across simulated “subjects”, recall probability of emotional items was greater when the emotional clustering score was high, while recall of neutral items correlated negatively with emotional clustering</w:t>
      </w:r>
      <w:r w:rsidR="00AB1F46" w:rsidRPr="004946F6">
        <w:t>.</w:t>
      </w:r>
      <w:r w:rsidR="00301D56" w:rsidRPr="004946F6">
        <w:t xml:space="preserve"> </w:t>
      </w:r>
      <w:r w:rsidR="005102AB" w:rsidRPr="004946F6">
        <w:t>Th</w:t>
      </w:r>
      <w:r w:rsidR="00B763BD" w:rsidRPr="004946F6">
        <w:t xml:space="preserve">is relationship </w:t>
      </w:r>
      <w:r w:rsidR="005102AB" w:rsidRPr="004946F6">
        <w:t>w</w:t>
      </w:r>
      <w:r w:rsidR="00B763BD" w:rsidRPr="004946F6">
        <w:t>as</w:t>
      </w:r>
      <w:r w:rsidR="005102AB" w:rsidRPr="004946F6">
        <w:t xml:space="preserve"> not </w:t>
      </w:r>
      <w:r w:rsidR="00B763BD" w:rsidRPr="004946F6">
        <w:t>observed</w:t>
      </w:r>
      <w:r w:rsidR="005102AB" w:rsidRPr="004946F6">
        <w:t xml:space="preserve"> in the empirical data, but as stated above, these data had limited power, and it is difficult therefore to interpret these null effects. </w:t>
      </w:r>
      <w:r w:rsidRPr="004946F6">
        <w:t xml:space="preserve">Lastly, we considered how transitions between successive recalls were influenced by semantic organisation. </w:t>
      </w:r>
      <w:r w:rsidR="00262A29" w:rsidRPr="004946F6">
        <w:t xml:space="preserve">eCMR, like CMR, predicts that like temporal and emotional dimensions of similarity, semantic similarity should also contribute to recall. </w:t>
      </w:r>
      <w:r w:rsidRPr="004946F6">
        <w:t xml:space="preserve">A semantic clustering score can be defined in a way analogous to the temporal clustering score, except rather than defining any pair’s similarity based on their absolute temporal lag, similarity was defined based on the estimated semantic association in the simulation. The semantic clustering score </w:t>
      </w:r>
      <w:r w:rsidR="00262A29" w:rsidRPr="004946F6">
        <w:t xml:space="preserve">in the model </w:t>
      </w:r>
      <w:r w:rsidRPr="004946F6">
        <w:t xml:space="preserve">was </w:t>
      </w:r>
      <w:r w:rsidR="005102AB" w:rsidRPr="004946F6">
        <w:t>greater</w:t>
      </w:r>
      <w:r w:rsidRPr="004946F6">
        <w:t xml:space="preserve"> than chance. </w:t>
      </w:r>
      <w:r w:rsidR="00822EF3" w:rsidRPr="004946F6">
        <w:t>We could not examine this in the empirical data because of the absence of an appropriate complete matrix of semantic similarity scores</w:t>
      </w:r>
      <w:r w:rsidR="00822EF3">
        <w:t>, but the model’s prediction can be examined in future research.</w:t>
      </w:r>
    </w:p>
    <w:p w14:paraId="5BB7DDA0" w14:textId="6EFE0564" w:rsidR="00DD4D14" w:rsidRPr="004946F6" w:rsidRDefault="00DD4D14" w:rsidP="00B763BD">
      <w:pPr>
        <w:spacing w:line="480" w:lineRule="auto"/>
        <w:jc w:val="both"/>
      </w:pPr>
      <w:r w:rsidRPr="004946F6">
        <w:t xml:space="preserve">Taken together, these results show that </w:t>
      </w:r>
      <w:r w:rsidR="00B763BD" w:rsidRPr="004946F6">
        <w:t xml:space="preserve">in both the empirical data (section 2.1) and in Simulation 2, </w:t>
      </w:r>
      <w:r w:rsidRPr="004946F6">
        <w:t xml:space="preserve">the dynamics of recall of mixed lists depend jointly on all of the associations that encoded items share. </w:t>
      </w:r>
      <w:r w:rsidR="00262A29" w:rsidRPr="004946F6">
        <w:t>W</w:t>
      </w:r>
      <w:r w:rsidRPr="004946F6">
        <w:t xml:space="preserve">hen an emotional item is recalled, it </w:t>
      </w:r>
      <w:r w:rsidR="00B763BD" w:rsidRPr="004946F6">
        <w:t xml:space="preserve">would </w:t>
      </w:r>
      <w:r w:rsidRPr="004946F6">
        <w:t>most likely promote the recall of another emotional item.</w:t>
      </w:r>
      <w:r w:rsidR="006E738D" w:rsidRPr="004946F6">
        <w:t xml:space="preserve"> </w:t>
      </w:r>
      <w:r w:rsidR="00262A29" w:rsidRPr="004946F6">
        <w:t xml:space="preserve">This is also true, of course, for neutral items; but because emotional items are recalled first, </w:t>
      </w:r>
      <w:r w:rsidR="007A68CB" w:rsidRPr="004946F6">
        <w:t xml:space="preserve">and </w:t>
      </w:r>
      <w:r w:rsidR="00582B6A" w:rsidRPr="004946F6">
        <w:t xml:space="preserve">promote recall of other emotional items via their shared emotional context </w:t>
      </w:r>
      <w:r w:rsidR="00B763BD" w:rsidRPr="004946F6">
        <w:t>that they are more strongly connected to</w:t>
      </w:r>
      <w:r w:rsidR="007A68CB" w:rsidRPr="004946F6">
        <w:t xml:space="preserve">, </w:t>
      </w:r>
      <w:r w:rsidR="00262A29" w:rsidRPr="004946F6">
        <w:t xml:space="preserve">their recall benefits more from </w:t>
      </w:r>
      <w:r w:rsidR="006E012C" w:rsidRPr="004946F6">
        <w:t xml:space="preserve">the propensity to cluster around the emotional dimension. </w:t>
      </w:r>
    </w:p>
    <w:p w14:paraId="675EAE32" w14:textId="77777777" w:rsidR="0068194E" w:rsidRPr="004946F6" w:rsidRDefault="0068194E" w:rsidP="0068194E">
      <w:pPr>
        <w:rPr>
          <w:b/>
          <w:bCs/>
        </w:rPr>
      </w:pPr>
    </w:p>
    <w:p w14:paraId="2DC58C13" w14:textId="48EF29F2" w:rsidR="0068194E" w:rsidRPr="004946F6" w:rsidRDefault="0068194E" w:rsidP="001D12B8">
      <w:pPr>
        <w:rPr>
          <w:b/>
          <w:bCs/>
        </w:rPr>
      </w:pPr>
      <w:bookmarkStart w:id="8" w:name="Table4"/>
      <w:r w:rsidRPr="004946F6">
        <w:rPr>
          <w:b/>
          <w:bCs/>
        </w:rPr>
        <w:t xml:space="preserve">TABLE </w:t>
      </w:r>
      <w:r w:rsidR="00EF1DCC" w:rsidRPr="004946F6">
        <w:rPr>
          <w:b/>
          <w:bCs/>
        </w:rPr>
        <w:t>4</w:t>
      </w:r>
      <w:r w:rsidRPr="004946F6">
        <w:rPr>
          <w:b/>
          <w:bCs/>
        </w:rPr>
        <w:t>.</w:t>
      </w:r>
      <w:bookmarkEnd w:id="8"/>
      <w:r w:rsidRPr="004946F6">
        <w:rPr>
          <w:b/>
          <w:bCs/>
        </w:rPr>
        <w:t xml:space="preserve"> Empirical and simulated recall transitions. </w:t>
      </w:r>
    </w:p>
    <w:tbl>
      <w:tblPr>
        <w:tblStyle w:val="TableGrid"/>
        <w:tblW w:w="10676" w:type="dxa"/>
        <w:tblLook w:val="04A0" w:firstRow="1" w:lastRow="0" w:firstColumn="1" w:lastColumn="0" w:noHBand="0" w:noVBand="1"/>
      </w:tblPr>
      <w:tblGrid>
        <w:gridCol w:w="4155"/>
        <w:gridCol w:w="1701"/>
        <w:gridCol w:w="2117"/>
        <w:gridCol w:w="2703"/>
      </w:tblGrid>
      <w:tr w:rsidR="004C2AFE" w:rsidRPr="004946F6" w14:paraId="44DD4CCB" w14:textId="77777777" w:rsidTr="000F669A">
        <w:tc>
          <w:tcPr>
            <w:tcW w:w="4155" w:type="dxa"/>
          </w:tcPr>
          <w:p w14:paraId="4D386AE7" w14:textId="6E3D99F3" w:rsidR="004C2AFE" w:rsidRPr="004946F6" w:rsidRDefault="004C2AFE">
            <w:pPr>
              <w:spacing w:line="480" w:lineRule="auto"/>
              <w:jc w:val="both"/>
            </w:pPr>
          </w:p>
        </w:tc>
        <w:tc>
          <w:tcPr>
            <w:tcW w:w="3818" w:type="dxa"/>
            <w:gridSpan w:val="2"/>
          </w:tcPr>
          <w:p w14:paraId="64A518E3" w14:textId="2FC4936C" w:rsidR="004C2AFE" w:rsidRPr="004946F6" w:rsidRDefault="004C2AFE">
            <w:pPr>
              <w:spacing w:line="480" w:lineRule="auto"/>
              <w:jc w:val="both"/>
            </w:pPr>
            <w:r w:rsidRPr="004946F6">
              <w:t>Empirical data</w:t>
            </w:r>
          </w:p>
        </w:tc>
        <w:tc>
          <w:tcPr>
            <w:tcW w:w="2703" w:type="dxa"/>
          </w:tcPr>
          <w:p w14:paraId="2CB8B3FA" w14:textId="57BACA3C" w:rsidR="004C2AFE" w:rsidRPr="004946F6" w:rsidRDefault="004C2AFE" w:rsidP="001D12B8">
            <w:pPr>
              <w:spacing w:line="480" w:lineRule="auto"/>
              <w:jc w:val="both"/>
            </w:pPr>
            <w:r w:rsidRPr="004946F6">
              <w:t>Simulated recall</w:t>
            </w:r>
          </w:p>
        </w:tc>
      </w:tr>
      <w:tr w:rsidR="004C2AFE" w:rsidRPr="004946F6" w14:paraId="763DF788" w14:textId="7C208FD8" w:rsidTr="008523C1">
        <w:tc>
          <w:tcPr>
            <w:tcW w:w="4155" w:type="dxa"/>
          </w:tcPr>
          <w:p w14:paraId="374DAAA8" w14:textId="77777777" w:rsidR="004C2AFE" w:rsidRPr="004946F6" w:rsidRDefault="004C2AFE">
            <w:pPr>
              <w:spacing w:line="480" w:lineRule="auto"/>
              <w:jc w:val="both"/>
            </w:pPr>
          </w:p>
        </w:tc>
        <w:tc>
          <w:tcPr>
            <w:tcW w:w="1701" w:type="dxa"/>
          </w:tcPr>
          <w:p w14:paraId="31C14E54" w14:textId="7EC4BA59" w:rsidR="004C2AFE" w:rsidRPr="004946F6" w:rsidRDefault="004C2AFE">
            <w:pPr>
              <w:spacing w:line="480" w:lineRule="auto"/>
              <w:jc w:val="both"/>
            </w:pPr>
            <w:r w:rsidRPr="004946F6">
              <w:t>Talmi et al. 2007</w:t>
            </w:r>
          </w:p>
        </w:tc>
        <w:tc>
          <w:tcPr>
            <w:tcW w:w="2117" w:type="dxa"/>
          </w:tcPr>
          <w:p w14:paraId="5FE6B62B" w14:textId="798B5679" w:rsidR="004C2AFE" w:rsidRPr="004946F6" w:rsidRDefault="004C2AFE">
            <w:pPr>
              <w:spacing w:line="480" w:lineRule="auto"/>
              <w:jc w:val="both"/>
            </w:pPr>
            <w:r w:rsidRPr="004946F6">
              <w:t>Barnacle et al. 2018</w:t>
            </w:r>
          </w:p>
        </w:tc>
        <w:tc>
          <w:tcPr>
            <w:tcW w:w="2703" w:type="dxa"/>
          </w:tcPr>
          <w:p w14:paraId="083B4D41" w14:textId="1A2904B4" w:rsidR="004C2AFE" w:rsidRPr="004946F6" w:rsidRDefault="004C2AFE">
            <w:pPr>
              <w:spacing w:line="480" w:lineRule="auto"/>
              <w:jc w:val="both"/>
            </w:pPr>
            <w:r w:rsidRPr="004946F6">
              <w:t>Simulation 2</w:t>
            </w:r>
          </w:p>
        </w:tc>
      </w:tr>
      <w:tr w:rsidR="004C2AFE" w:rsidRPr="004946F6" w14:paraId="0B12E18A" w14:textId="77777777" w:rsidTr="000F669A">
        <w:tc>
          <w:tcPr>
            <w:tcW w:w="10676" w:type="dxa"/>
            <w:gridSpan w:val="4"/>
            <w:vAlign w:val="bottom"/>
          </w:tcPr>
          <w:p w14:paraId="2437C87B" w14:textId="4F476286" w:rsidR="004C2AFE" w:rsidRPr="004946F6" w:rsidRDefault="004C2AFE">
            <w:pPr>
              <w:spacing w:line="480" w:lineRule="auto"/>
              <w:jc w:val="both"/>
            </w:pPr>
            <w:r w:rsidRPr="004946F6">
              <w:t>Mixed lists</w:t>
            </w:r>
          </w:p>
        </w:tc>
      </w:tr>
      <w:tr w:rsidR="004C2AFE" w:rsidRPr="004946F6" w14:paraId="05CAE757" w14:textId="660F6CC9" w:rsidTr="008523C1">
        <w:tc>
          <w:tcPr>
            <w:tcW w:w="4155" w:type="dxa"/>
            <w:vAlign w:val="bottom"/>
          </w:tcPr>
          <w:p w14:paraId="424E15A4" w14:textId="434D7B90" w:rsidR="004C2AFE" w:rsidRPr="004946F6" w:rsidRDefault="004C2AFE" w:rsidP="008523C1">
            <w:pPr>
              <w:spacing w:line="480" w:lineRule="auto"/>
            </w:pPr>
            <w:r w:rsidRPr="004946F6">
              <w:rPr>
                <w:rFonts w:ascii="Calibri" w:hAnsi="Calibri"/>
                <w:color w:val="000000"/>
              </w:rPr>
              <w:t xml:space="preserve">Within-category temporal clustering </w:t>
            </w:r>
          </w:p>
        </w:tc>
        <w:tc>
          <w:tcPr>
            <w:tcW w:w="1701" w:type="dxa"/>
          </w:tcPr>
          <w:p w14:paraId="6517B786" w14:textId="303B2366" w:rsidR="004C2AFE" w:rsidRPr="004946F6" w:rsidRDefault="006E738D" w:rsidP="002A368A">
            <w:pPr>
              <w:spacing w:line="480" w:lineRule="auto"/>
              <w:jc w:val="both"/>
            </w:pPr>
            <w:r w:rsidRPr="004946F6">
              <w:t xml:space="preserve">  </w:t>
            </w:r>
            <w:r w:rsidR="004C2AFE" w:rsidRPr="004946F6">
              <w:t>0.60* (0.19)</w:t>
            </w:r>
          </w:p>
        </w:tc>
        <w:tc>
          <w:tcPr>
            <w:tcW w:w="2117" w:type="dxa"/>
          </w:tcPr>
          <w:p w14:paraId="59E887CA" w14:textId="33AB926B" w:rsidR="004C2AFE" w:rsidRPr="004946F6" w:rsidRDefault="006E738D">
            <w:pPr>
              <w:spacing w:line="480" w:lineRule="auto"/>
              <w:jc w:val="both"/>
            </w:pPr>
            <w:r w:rsidRPr="004946F6">
              <w:t xml:space="preserve">  </w:t>
            </w:r>
            <w:r w:rsidR="004C2AFE" w:rsidRPr="004946F6">
              <w:t>0.56* (0.10)</w:t>
            </w:r>
          </w:p>
        </w:tc>
        <w:tc>
          <w:tcPr>
            <w:tcW w:w="2703" w:type="dxa"/>
          </w:tcPr>
          <w:p w14:paraId="78CD415E" w14:textId="42B02483" w:rsidR="004C2AFE" w:rsidRPr="004946F6" w:rsidRDefault="004C2AFE">
            <w:pPr>
              <w:spacing w:line="480" w:lineRule="auto"/>
              <w:jc w:val="both"/>
            </w:pPr>
            <w:r w:rsidRPr="004946F6">
              <w:t>0.63</w:t>
            </w:r>
          </w:p>
        </w:tc>
      </w:tr>
      <w:tr w:rsidR="004C2AFE" w:rsidRPr="004946F6" w14:paraId="484793BA" w14:textId="7551B7FE" w:rsidTr="008523C1">
        <w:tc>
          <w:tcPr>
            <w:tcW w:w="4155" w:type="dxa"/>
            <w:vAlign w:val="bottom"/>
          </w:tcPr>
          <w:p w14:paraId="5419A4A2" w14:textId="0E8A17AF" w:rsidR="004C2AFE" w:rsidRPr="004946F6" w:rsidRDefault="004C2AFE" w:rsidP="008523C1">
            <w:pPr>
              <w:spacing w:line="480" w:lineRule="auto"/>
            </w:pPr>
            <w:r w:rsidRPr="004946F6">
              <w:rPr>
                <w:rFonts w:ascii="Calibri" w:hAnsi="Calibri"/>
                <w:color w:val="000000"/>
              </w:rPr>
              <w:t>Across-category temporal clustering</w:t>
            </w:r>
          </w:p>
        </w:tc>
        <w:tc>
          <w:tcPr>
            <w:tcW w:w="1701" w:type="dxa"/>
          </w:tcPr>
          <w:p w14:paraId="4F14FF64" w14:textId="4D9A9344" w:rsidR="004C2AFE" w:rsidRPr="004946F6" w:rsidRDefault="006E738D" w:rsidP="00F67D34">
            <w:pPr>
              <w:spacing w:line="480" w:lineRule="auto"/>
              <w:jc w:val="both"/>
            </w:pPr>
            <w:r w:rsidRPr="004946F6">
              <w:t xml:space="preserve">  </w:t>
            </w:r>
            <w:r w:rsidR="004C2AFE" w:rsidRPr="004946F6">
              <w:t>0.50 (0.09)</w:t>
            </w:r>
          </w:p>
        </w:tc>
        <w:tc>
          <w:tcPr>
            <w:tcW w:w="2117" w:type="dxa"/>
          </w:tcPr>
          <w:p w14:paraId="739682C1" w14:textId="3CCEC743" w:rsidR="004C2AFE" w:rsidRPr="004946F6" w:rsidRDefault="006E738D" w:rsidP="00725A18">
            <w:pPr>
              <w:spacing w:line="480" w:lineRule="auto"/>
              <w:jc w:val="both"/>
            </w:pPr>
            <w:r w:rsidRPr="004946F6">
              <w:t xml:space="preserve">  </w:t>
            </w:r>
            <w:r w:rsidR="004C2AFE" w:rsidRPr="004946F6">
              <w:t>0.51 (0.11)</w:t>
            </w:r>
          </w:p>
        </w:tc>
        <w:tc>
          <w:tcPr>
            <w:tcW w:w="2703" w:type="dxa"/>
          </w:tcPr>
          <w:p w14:paraId="5B0C8D6C" w14:textId="7A75853C" w:rsidR="004C2AFE" w:rsidRPr="004946F6" w:rsidRDefault="004C2AFE">
            <w:pPr>
              <w:spacing w:line="480" w:lineRule="auto"/>
              <w:jc w:val="both"/>
            </w:pPr>
            <w:r w:rsidRPr="004946F6">
              <w:t>0.64</w:t>
            </w:r>
          </w:p>
        </w:tc>
      </w:tr>
      <w:tr w:rsidR="004C2AFE" w:rsidRPr="004946F6" w14:paraId="760821B7" w14:textId="0B9A55B5" w:rsidTr="008523C1">
        <w:tc>
          <w:tcPr>
            <w:tcW w:w="4155" w:type="dxa"/>
            <w:vAlign w:val="bottom"/>
          </w:tcPr>
          <w:p w14:paraId="7B347CDC" w14:textId="62BB5C47" w:rsidR="004C2AFE" w:rsidRPr="004946F6" w:rsidRDefault="004C2AFE" w:rsidP="00591ED2">
            <w:pPr>
              <w:spacing w:line="480" w:lineRule="auto"/>
              <w:jc w:val="both"/>
            </w:pPr>
            <w:r w:rsidRPr="004946F6">
              <w:rPr>
                <w:rFonts w:ascii="Calibri" w:hAnsi="Calibri"/>
                <w:color w:val="000000"/>
              </w:rPr>
              <w:t>Emotional clustering</w:t>
            </w:r>
          </w:p>
        </w:tc>
        <w:tc>
          <w:tcPr>
            <w:tcW w:w="1701" w:type="dxa"/>
          </w:tcPr>
          <w:p w14:paraId="4AC6AEDC" w14:textId="2F99E059" w:rsidR="004C2AFE" w:rsidRPr="004946F6" w:rsidRDefault="006E738D">
            <w:pPr>
              <w:spacing w:line="480" w:lineRule="auto"/>
              <w:jc w:val="both"/>
            </w:pPr>
            <w:r w:rsidRPr="004946F6">
              <w:t xml:space="preserve">  </w:t>
            </w:r>
            <w:r w:rsidR="004C2AFE" w:rsidRPr="004946F6">
              <w:t>0.67* (0.25)</w:t>
            </w:r>
          </w:p>
        </w:tc>
        <w:tc>
          <w:tcPr>
            <w:tcW w:w="2117" w:type="dxa"/>
          </w:tcPr>
          <w:p w14:paraId="432EFACC" w14:textId="3C86832C" w:rsidR="004C2AFE" w:rsidRPr="004946F6" w:rsidRDefault="006E738D">
            <w:pPr>
              <w:spacing w:line="480" w:lineRule="auto"/>
              <w:jc w:val="both"/>
            </w:pPr>
            <w:r w:rsidRPr="004946F6">
              <w:t xml:space="preserve">  </w:t>
            </w:r>
            <w:r w:rsidR="004C2AFE" w:rsidRPr="004946F6">
              <w:t>0.59* (0.11)</w:t>
            </w:r>
          </w:p>
        </w:tc>
        <w:tc>
          <w:tcPr>
            <w:tcW w:w="2703" w:type="dxa"/>
          </w:tcPr>
          <w:p w14:paraId="3AD6C2B1" w14:textId="0985523A" w:rsidR="004C2AFE" w:rsidRPr="004946F6" w:rsidRDefault="004C2AFE">
            <w:pPr>
              <w:spacing w:line="480" w:lineRule="auto"/>
              <w:jc w:val="both"/>
            </w:pPr>
            <w:r w:rsidRPr="004946F6">
              <w:t>0.59</w:t>
            </w:r>
          </w:p>
        </w:tc>
      </w:tr>
      <w:tr w:rsidR="004C2AFE" w:rsidRPr="004946F6" w14:paraId="48BA6677" w14:textId="5BF7D425" w:rsidTr="008523C1">
        <w:tc>
          <w:tcPr>
            <w:tcW w:w="4155" w:type="dxa"/>
          </w:tcPr>
          <w:p w14:paraId="3CC4E980" w14:textId="48D0097A" w:rsidR="004C2AFE" w:rsidRPr="004946F6" w:rsidRDefault="004C2AFE" w:rsidP="00591ED2">
            <w:pPr>
              <w:spacing w:line="480" w:lineRule="auto"/>
              <w:jc w:val="both"/>
            </w:pPr>
            <w:r w:rsidRPr="004946F6">
              <w:rPr>
                <w:rFonts w:ascii="Calibri" w:hAnsi="Calibri"/>
                <w:color w:val="000000"/>
              </w:rPr>
              <w:t>Semantic clustering</w:t>
            </w:r>
          </w:p>
        </w:tc>
        <w:tc>
          <w:tcPr>
            <w:tcW w:w="1701" w:type="dxa"/>
          </w:tcPr>
          <w:p w14:paraId="22C96895" w14:textId="77777777" w:rsidR="004C2AFE" w:rsidRPr="004946F6" w:rsidRDefault="004C2AFE" w:rsidP="006E2643">
            <w:pPr>
              <w:spacing w:line="480" w:lineRule="auto"/>
              <w:jc w:val="both"/>
            </w:pPr>
          </w:p>
        </w:tc>
        <w:tc>
          <w:tcPr>
            <w:tcW w:w="2117" w:type="dxa"/>
          </w:tcPr>
          <w:p w14:paraId="23BDF05A" w14:textId="77777777" w:rsidR="004C2AFE" w:rsidRPr="004946F6" w:rsidRDefault="004C2AFE" w:rsidP="006E2643">
            <w:pPr>
              <w:spacing w:line="480" w:lineRule="auto"/>
              <w:jc w:val="both"/>
            </w:pPr>
          </w:p>
        </w:tc>
        <w:tc>
          <w:tcPr>
            <w:tcW w:w="2703" w:type="dxa"/>
          </w:tcPr>
          <w:p w14:paraId="4D927318" w14:textId="5AB01F1C" w:rsidR="004C2AFE" w:rsidRPr="004946F6" w:rsidRDefault="004C2AFE" w:rsidP="006E2643">
            <w:pPr>
              <w:spacing w:line="480" w:lineRule="auto"/>
              <w:jc w:val="both"/>
            </w:pPr>
            <w:r w:rsidRPr="004946F6">
              <w:t>0.56</w:t>
            </w:r>
          </w:p>
        </w:tc>
      </w:tr>
      <w:tr w:rsidR="004C2AFE" w:rsidRPr="004946F6" w14:paraId="78952F0A" w14:textId="77777777" w:rsidTr="000F669A">
        <w:tc>
          <w:tcPr>
            <w:tcW w:w="10676" w:type="dxa"/>
            <w:gridSpan w:val="4"/>
          </w:tcPr>
          <w:p w14:paraId="4B257F65" w14:textId="611B276B" w:rsidR="004C2AFE" w:rsidRPr="004946F6" w:rsidRDefault="004C2AFE" w:rsidP="000F669A">
            <w:pPr>
              <w:spacing w:line="480" w:lineRule="auto"/>
              <w:jc w:val="both"/>
            </w:pPr>
            <w:r w:rsidRPr="004946F6">
              <w:rPr>
                <w:rFonts w:ascii="Calibri" w:hAnsi="Calibri"/>
                <w:color w:val="000000"/>
              </w:rPr>
              <w:t>Pure lists</w:t>
            </w:r>
          </w:p>
        </w:tc>
      </w:tr>
      <w:tr w:rsidR="004C2AFE" w:rsidRPr="004946F6" w14:paraId="06FE6FC0" w14:textId="77777777" w:rsidTr="000F669A">
        <w:tc>
          <w:tcPr>
            <w:tcW w:w="4155" w:type="dxa"/>
          </w:tcPr>
          <w:p w14:paraId="0E3A7B50" w14:textId="48F9D18D" w:rsidR="004C2AFE" w:rsidRPr="004946F6" w:rsidRDefault="004C2AFE" w:rsidP="000F669A">
            <w:pPr>
              <w:spacing w:line="480" w:lineRule="auto"/>
              <w:jc w:val="both"/>
              <w:rPr>
                <w:rFonts w:ascii="Calibri" w:hAnsi="Calibri"/>
                <w:color w:val="000000"/>
              </w:rPr>
            </w:pPr>
            <w:r w:rsidRPr="004946F6">
              <w:rPr>
                <w:rFonts w:ascii="Calibri" w:hAnsi="Calibri"/>
                <w:color w:val="000000"/>
              </w:rPr>
              <w:t xml:space="preserve">Emotional </w:t>
            </w:r>
          </w:p>
        </w:tc>
        <w:tc>
          <w:tcPr>
            <w:tcW w:w="1701" w:type="dxa"/>
          </w:tcPr>
          <w:p w14:paraId="74995618" w14:textId="14497DD2" w:rsidR="004C2AFE" w:rsidRPr="004946F6" w:rsidRDefault="004C2AFE" w:rsidP="001D12B8">
            <w:pPr>
              <w:spacing w:line="480" w:lineRule="auto"/>
              <w:jc w:val="both"/>
            </w:pPr>
            <w:r w:rsidRPr="004946F6">
              <w:t>.53 (.14)</w:t>
            </w:r>
          </w:p>
        </w:tc>
        <w:tc>
          <w:tcPr>
            <w:tcW w:w="2117" w:type="dxa"/>
          </w:tcPr>
          <w:p w14:paraId="3988D31A" w14:textId="7F17B810" w:rsidR="004C2AFE" w:rsidRPr="004946F6" w:rsidRDefault="004C2AFE" w:rsidP="001D12B8">
            <w:pPr>
              <w:spacing w:line="480" w:lineRule="auto"/>
              <w:jc w:val="both"/>
            </w:pPr>
            <w:r w:rsidRPr="004946F6">
              <w:t>.55 (.07)</w:t>
            </w:r>
          </w:p>
        </w:tc>
        <w:tc>
          <w:tcPr>
            <w:tcW w:w="2703" w:type="dxa"/>
          </w:tcPr>
          <w:p w14:paraId="51175400" w14:textId="3DA495E9" w:rsidR="004C2AFE" w:rsidRPr="004946F6" w:rsidRDefault="004C2AFE" w:rsidP="000F669A">
            <w:pPr>
              <w:spacing w:line="480" w:lineRule="auto"/>
              <w:jc w:val="both"/>
            </w:pPr>
            <w:r w:rsidRPr="004946F6">
              <w:t>.62</w:t>
            </w:r>
          </w:p>
        </w:tc>
      </w:tr>
      <w:tr w:rsidR="004C2AFE" w:rsidRPr="004946F6" w14:paraId="093F2BBC" w14:textId="77777777" w:rsidTr="00C43CB2">
        <w:tc>
          <w:tcPr>
            <w:tcW w:w="4155" w:type="dxa"/>
          </w:tcPr>
          <w:p w14:paraId="7EEEAB67" w14:textId="32E8E943" w:rsidR="004C2AFE" w:rsidRPr="004946F6" w:rsidRDefault="004C2AFE" w:rsidP="00591ED2">
            <w:pPr>
              <w:spacing w:line="480" w:lineRule="auto"/>
              <w:jc w:val="both"/>
              <w:rPr>
                <w:rFonts w:ascii="Calibri" w:hAnsi="Calibri"/>
                <w:color w:val="000000"/>
              </w:rPr>
            </w:pPr>
            <w:r w:rsidRPr="004946F6">
              <w:rPr>
                <w:rFonts w:ascii="Calibri" w:hAnsi="Calibri"/>
                <w:color w:val="000000"/>
              </w:rPr>
              <w:t>Neutral</w:t>
            </w:r>
          </w:p>
        </w:tc>
        <w:tc>
          <w:tcPr>
            <w:tcW w:w="1701" w:type="dxa"/>
          </w:tcPr>
          <w:p w14:paraId="25329A16" w14:textId="78135FB6" w:rsidR="004C2AFE" w:rsidRPr="004946F6" w:rsidRDefault="004C2AFE" w:rsidP="001D12B8">
            <w:pPr>
              <w:spacing w:line="480" w:lineRule="auto"/>
              <w:jc w:val="both"/>
            </w:pPr>
            <w:r w:rsidRPr="004946F6">
              <w:t>.56</w:t>
            </w:r>
            <w:r w:rsidR="00B830BC" w:rsidRPr="004946F6">
              <w:t xml:space="preserve"> (</w:t>
            </w:r>
            <w:r w:rsidRPr="004946F6">
              <w:t>.16</w:t>
            </w:r>
            <w:r w:rsidR="00B830BC" w:rsidRPr="004946F6">
              <w:t>)</w:t>
            </w:r>
          </w:p>
        </w:tc>
        <w:tc>
          <w:tcPr>
            <w:tcW w:w="2117" w:type="dxa"/>
          </w:tcPr>
          <w:p w14:paraId="214E07A6" w14:textId="5ED59092" w:rsidR="004C2AFE" w:rsidRPr="004946F6" w:rsidRDefault="004C2AFE" w:rsidP="001D12B8">
            <w:pPr>
              <w:spacing w:line="480" w:lineRule="auto"/>
              <w:jc w:val="both"/>
            </w:pPr>
            <w:r w:rsidRPr="004946F6">
              <w:t>55</w:t>
            </w:r>
            <w:r w:rsidR="00B830BC" w:rsidRPr="004946F6">
              <w:t xml:space="preserve"> (</w:t>
            </w:r>
            <w:r w:rsidRPr="004946F6">
              <w:t>.11</w:t>
            </w:r>
            <w:r w:rsidR="00B830BC" w:rsidRPr="004946F6">
              <w:t>)</w:t>
            </w:r>
          </w:p>
        </w:tc>
        <w:tc>
          <w:tcPr>
            <w:tcW w:w="2703" w:type="dxa"/>
          </w:tcPr>
          <w:p w14:paraId="498833FC" w14:textId="6E17E362" w:rsidR="004C2AFE" w:rsidRPr="004946F6" w:rsidRDefault="004C2AFE" w:rsidP="006E2643">
            <w:pPr>
              <w:spacing w:line="480" w:lineRule="auto"/>
              <w:jc w:val="both"/>
            </w:pPr>
            <w:r w:rsidRPr="004946F6">
              <w:t>.62</w:t>
            </w:r>
          </w:p>
        </w:tc>
      </w:tr>
    </w:tbl>
    <w:p w14:paraId="387AB86C" w14:textId="49B38E6B" w:rsidR="00247AAE" w:rsidRPr="004946F6" w:rsidRDefault="00EF1DCC" w:rsidP="002B6CF4">
      <w:pPr>
        <w:spacing w:line="480" w:lineRule="auto"/>
        <w:jc w:val="both"/>
        <w:rPr>
          <w:i/>
          <w:iCs/>
        </w:rPr>
      </w:pPr>
      <w:r w:rsidRPr="004946F6">
        <w:rPr>
          <w:i/>
          <w:iCs/>
        </w:rPr>
        <w:t xml:space="preserve">Note. </w:t>
      </w:r>
      <w:r w:rsidR="00555FC8" w:rsidRPr="004946F6">
        <w:rPr>
          <w:i/>
          <w:iCs/>
        </w:rPr>
        <w:t>Means (SD) of t</w:t>
      </w:r>
      <w:r w:rsidRPr="004946F6">
        <w:rPr>
          <w:i/>
          <w:iCs/>
        </w:rPr>
        <w:t>emporal, source and semantic clustering scores</w:t>
      </w:r>
      <w:r w:rsidR="00555FC8" w:rsidRPr="004946F6">
        <w:rPr>
          <w:i/>
          <w:iCs/>
        </w:rPr>
        <w:t xml:space="preserve">. </w:t>
      </w:r>
      <w:r w:rsidR="002B6CF4" w:rsidRPr="004946F6">
        <w:rPr>
          <w:i/>
          <w:iCs/>
        </w:rPr>
        <w:t xml:space="preserve">The asterisk </w:t>
      </w:r>
      <w:r w:rsidR="00725A18" w:rsidRPr="004946F6">
        <w:rPr>
          <w:i/>
          <w:iCs/>
        </w:rPr>
        <w:t>denotes scores</w:t>
      </w:r>
      <w:r w:rsidR="002B6CF4" w:rsidRPr="004946F6">
        <w:rPr>
          <w:i/>
          <w:iCs/>
        </w:rPr>
        <w:t xml:space="preserve"> </w:t>
      </w:r>
      <w:r w:rsidR="00725A18" w:rsidRPr="004946F6">
        <w:rPr>
          <w:i/>
          <w:iCs/>
        </w:rPr>
        <w:t>statistically</w:t>
      </w:r>
      <w:r w:rsidRPr="004946F6">
        <w:rPr>
          <w:i/>
          <w:iCs/>
        </w:rPr>
        <w:t xml:space="preserve"> greater than chance. </w:t>
      </w:r>
      <w:r w:rsidR="00AB1F46" w:rsidRPr="004946F6">
        <w:rPr>
          <w:i/>
          <w:iCs/>
        </w:rPr>
        <w:t>For statistical tests see section 2.1.</w:t>
      </w:r>
    </w:p>
    <w:p w14:paraId="37BE1EB0" w14:textId="77777777" w:rsidR="00EA177E" w:rsidRPr="004946F6" w:rsidRDefault="00EA177E">
      <w:pPr>
        <w:spacing w:line="480" w:lineRule="auto"/>
        <w:jc w:val="both"/>
        <w:rPr>
          <w:b/>
          <w:bCs/>
          <w:i/>
          <w:iCs/>
        </w:rPr>
      </w:pPr>
    </w:p>
    <w:p w14:paraId="13AC1E6E" w14:textId="77777777" w:rsidR="00C41095" w:rsidRPr="004946F6" w:rsidRDefault="00C41095">
      <w:pPr>
        <w:spacing w:line="480" w:lineRule="auto"/>
        <w:jc w:val="both"/>
        <w:rPr>
          <w:b/>
          <w:bCs/>
          <w:i/>
          <w:iCs/>
        </w:rPr>
      </w:pPr>
      <w:r w:rsidRPr="004946F6">
        <w:rPr>
          <w:b/>
          <w:bCs/>
          <w:i/>
          <w:iCs/>
        </w:rPr>
        <w:t>2.</w:t>
      </w:r>
      <w:r w:rsidR="00DD4D14" w:rsidRPr="004946F6">
        <w:rPr>
          <w:b/>
          <w:bCs/>
          <w:i/>
          <w:iCs/>
        </w:rPr>
        <w:t>5</w:t>
      </w:r>
      <w:r w:rsidRPr="004946F6">
        <w:rPr>
          <w:b/>
          <w:bCs/>
          <w:i/>
          <w:iCs/>
        </w:rPr>
        <w:t xml:space="preserve"> Comparison of eCMR and the item-order account</w:t>
      </w:r>
    </w:p>
    <w:p w14:paraId="5E1FE405" w14:textId="7E814596" w:rsidR="00495EE5" w:rsidRPr="004946F6" w:rsidRDefault="004E07F4">
      <w:pPr>
        <w:spacing w:line="480" w:lineRule="auto"/>
        <w:jc w:val="both"/>
      </w:pPr>
      <w:r w:rsidRPr="004946F6">
        <w:t>eCMR formally embodies some of the same rationale of the item-order account</w:t>
      </w:r>
      <w:r w:rsidR="00505BBA" w:rsidRPr="004946F6">
        <w:t>, which was developed to explain</w:t>
      </w:r>
      <w:r w:rsidR="00AE7569" w:rsidRPr="004946F6">
        <w:t xml:space="preserve"> non-emotional list composition effects</w:t>
      </w:r>
      <w:r w:rsidR="002A1A2C" w:rsidRPr="004946F6">
        <w:t xml:space="preserve"> for </w:t>
      </w:r>
      <w:r w:rsidR="007E164C">
        <w:t>atypical</w:t>
      </w:r>
      <w:r w:rsidR="002A1A2C" w:rsidRPr="004946F6">
        <w:t xml:space="preserve"> compared to standard items</w:t>
      </w:r>
      <w:r w:rsidR="00CB501D" w:rsidRPr="004946F6">
        <w:t xml:space="preserve"> </w:t>
      </w:r>
      <w:r w:rsidR="00CB501D" w:rsidRPr="004946F6">
        <w:fldChar w:fldCharType="begin" w:fldLock="1"/>
      </w:r>
      <w:r w:rsidR="008C25E5" w:rsidRPr="004946F6">
        <w:instrText>ADDIN CSL_CITATION { "citationItems" : [ { "id" : "ITEM-1", "itemData" : { "DOI" : "10.3758/PBR.15.2.237", "ISBN" : "1069-9384", "ISSN" : "1069-9384", "PMID" : "18488637", "abstract" : "In mixed lists, stable free recall advantages are observed for encoding conditions that are unusual, bizarre, or attract extensive individual item elaboration relative to more common encoding conditions; but this recall advantage is often eliminated or reversed in pure lists. We attempt to explain this ubiquitous memory puzzle with an item-order account that assumes that (1) free recall of unrelated lists depends on order and item information; (2) unusual items attract greater individual item-processing but disrupt order encoding regardless of list composition; and (3) list composition determines differences in order encoding across unusual and common items. We show that the item-order account provides a unifying explanation of five memory phenomena for which the requisite data exist. The account also successfully anticipates pure-list reversals, in which the standard mixed-list recall pattern is obtained in pure, structured lists, a finding that competing accounts cannot handle. Extending the item-order account to other \"established\" recall phenomena may prove fruitful.", "author" : [ { "dropping-particle" : "", "family" : "McDaniel", "given" : "Mark A.", "non-dropping-particle" : "", "parse-names" : false, "suffix" : "" }, { "dropping-particle" : "", "family" : "Bugg", "given" : "Julie M.", "non-dropping-particle" : "", "parse-names" : false, "suffix" : "" } ], "container-title" : "Psychonomic Bulletin &amp; Review", "id" : "ITEM-1", "issue" : "2", "issued" : { "date-parts" : [ [ "2008" ] ] }, "page" : "237-255", "title" : "Instability in memory phenomena: A common puzzle and a unifying explanation", "type" : "article-journal", "volume" : "15" }, "uris" : [ "http://www.mendeley.com/documents/?uuid=9d9a4071-4b55-43cb-a5b2-872f30dd9e8c" ] } ], "mendeley" : { "formattedCitation" : "(McDaniel &amp; Bugg, 2008)", "plainTextFormattedCitation" : "(McDaniel &amp; Bugg, 2008)", "previouslyFormattedCitation" : "(McDaniel &amp; Bugg, 2008)" }, "properties" : { "noteIndex" : 0 }, "schema" : "https://github.com/citation-style-language/schema/raw/master/csl-citation.json" }</w:instrText>
      </w:r>
      <w:r w:rsidR="00CB501D" w:rsidRPr="004946F6">
        <w:fldChar w:fldCharType="separate"/>
      </w:r>
      <w:r w:rsidR="00CB501D" w:rsidRPr="004946F6">
        <w:rPr>
          <w:noProof/>
        </w:rPr>
        <w:t>(McDaniel &amp; Bugg, 2008)</w:t>
      </w:r>
      <w:r w:rsidR="00CB501D" w:rsidRPr="004946F6">
        <w:fldChar w:fldCharType="end"/>
      </w:r>
      <w:r w:rsidR="00AE7569" w:rsidRPr="004946F6">
        <w:t xml:space="preserve">. Like retrieved context models, the item-order account recognizes the central role of </w:t>
      </w:r>
      <w:r w:rsidR="002A1A2C" w:rsidRPr="004946F6">
        <w:t xml:space="preserve">items’ </w:t>
      </w:r>
      <w:r w:rsidR="00AE7569" w:rsidRPr="004946F6">
        <w:t xml:space="preserve">temporal </w:t>
      </w:r>
      <w:r w:rsidR="008B6C28" w:rsidRPr="004946F6">
        <w:t>order</w:t>
      </w:r>
      <w:r w:rsidRPr="004946F6">
        <w:t xml:space="preserve">. Both the item-order account and eCMR assume that recall performance reflects a trade-off between the </w:t>
      </w:r>
      <w:r w:rsidR="00BA6549" w:rsidRPr="004946F6">
        <w:t xml:space="preserve">contributions of </w:t>
      </w:r>
      <w:r w:rsidRPr="004946F6">
        <w:t xml:space="preserve">temporal context and </w:t>
      </w:r>
      <w:r w:rsidR="002A1A2C" w:rsidRPr="004946F6">
        <w:t>other item characteristics</w:t>
      </w:r>
      <w:r w:rsidRPr="004946F6">
        <w:t xml:space="preserve">. </w:t>
      </w:r>
      <w:r w:rsidR="00BA6549" w:rsidRPr="004946F6">
        <w:t xml:space="preserve">But the </w:t>
      </w:r>
      <w:r w:rsidR="00480BF7" w:rsidRPr="004946F6">
        <w:t xml:space="preserve">temporal order in the item-order account plays a </w:t>
      </w:r>
      <w:r w:rsidR="00BA6549" w:rsidRPr="004946F6">
        <w:t>differ</w:t>
      </w:r>
      <w:r w:rsidR="00480BF7" w:rsidRPr="004946F6">
        <w:t>ent role than the temporal context in eCMR</w:t>
      </w:r>
      <w:r w:rsidR="00BA6549" w:rsidRPr="004946F6">
        <w:t xml:space="preserve">. </w:t>
      </w:r>
    </w:p>
    <w:p w14:paraId="74F66C55" w14:textId="49A33469" w:rsidR="0034550F" w:rsidRDefault="002A1A2C">
      <w:pPr>
        <w:spacing w:line="480" w:lineRule="auto"/>
        <w:jc w:val="both"/>
      </w:pPr>
      <w:r w:rsidRPr="004946F6">
        <w:t>In the item-order account</w:t>
      </w:r>
      <w:r w:rsidR="0034550F">
        <w:t>,</w:t>
      </w:r>
      <w:r w:rsidRPr="004946F6">
        <w:t xml:space="preserve"> m</w:t>
      </w:r>
      <w:r w:rsidR="00495EE5" w:rsidRPr="004946F6">
        <w:t xml:space="preserve">emory for </w:t>
      </w:r>
      <w:r w:rsidR="00E54F6F" w:rsidRPr="004946F6">
        <w:t xml:space="preserve">the </w:t>
      </w:r>
      <w:r w:rsidR="00724C04" w:rsidRPr="004946F6">
        <w:t xml:space="preserve">order </w:t>
      </w:r>
      <w:r w:rsidR="00E54F6F" w:rsidRPr="004946F6">
        <w:t xml:space="preserve">of list items </w:t>
      </w:r>
      <w:r w:rsidR="00BA6549" w:rsidRPr="004946F6">
        <w:t xml:space="preserve">helps recall </w:t>
      </w:r>
      <w:r w:rsidRPr="004946F6">
        <w:t xml:space="preserve">only when </w:t>
      </w:r>
      <w:r w:rsidR="00BA6549" w:rsidRPr="004946F6">
        <w:t>it is attended during encoding</w:t>
      </w:r>
      <w:r w:rsidR="007E164C">
        <w:t xml:space="preserve">; and </w:t>
      </w:r>
      <w:r w:rsidR="0034550F">
        <w:t>a</w:t>
      </w:r>
      <w:r w:rsidR="00724C04" w:rsidRPr="004946F6">
        <w:t>tten</w:t>
      </w:r>
      <w:r w:rsidRPr="004946F6">
        <w:t xml:space="preserve">tion to </w:t>
      </w:r>
      <w:r w:rsidR="00724C04" w:rsidRPr="004946F6">
        <w:t xml:space="preserve">order </w:t>
      </w:r>
      <w:r w:rsidR="0034550F">
        <w:t>decreases</w:t>
      </w:r>
      <w:r w:rsidR="00E54F6F" w:rsidRPr="004946F6">
        <w:t xml:space="preserve"> when </w:t>
      </w:r>
      <w:r w:rsidR="007E164C">
        <w:t xml:space="preserve">it is otherwise engaged, for example when </w:t>
      </w:r>
      <w:r w:rsidR="00E54F6F" w:rsidRPr="004946F6">
        <w:t xml:space="preserve">more </w:t>
      </w:r>
      <w:r w:rsidR="00BA6549" w:rsidRPr="004946F6">
        <w:t xml:space="preserve">attention </w:t>
      </w:r>
      <w:r w:rsidR="00E54F6F" w:rsidRPr="004946F6">
        <w:t xml:space="preserve">is </w:t>
      </w:r>
      <w:r w:rsidRPr="004946F6">
        <w:t xml:space="preserve">allocated to </w:t>
      </w:r>
      <w:r w:rsidR="00BA6549" w:rsidRPr="004946F6">
        <w:t xml:space="preserve">processing </w:t>
      </w:r>
      <w:r w:rsidR="00E54F6F" w:rsidRPr="004946F6">
        <w:t xml:space="preserve">the </w:t>
      </w:r>
      <w:r w:rsidR="00BA6549" w:rsidRPr="004946F6">
        <w:t>item</w:t>
      </w:r>
      <w:r w:rsidRPr="004946F6">
        <w:t>s’</w:t>
      </w:r>
      <w:r w:rsidR="00BA6549" w:rsidRPr="004946F6">
        <w:t xml:space="preserve"> identity</w:t>
      </w:r>
      <w:r w:rsidR="007E164C">
        <w:t xml:space="preserve"> </w:t>
      </w:r>
      <w:r w:rsidR="00597322" w:rsidRPr="004946F6">
        <w:t>(McDaniel and Bugg, 2008)</w:t>
      </w:r>
      <w:r w:rsidR="00724C04" w:rsidRPr="004946F6">
        <w:t xml:space="preserve">. </w:t>
      </w:r>
      <w:r w:rsidR="007E164C">
        <w:t>When lists include u</w:t>
      </w:r>
      <w:r w:rsidR="00AE7569" w:rsidRPr="004946F6">
        <w:t xml:space="preserve">nusual items </w:t>
      </w:r>
      <w:r w:rsidR="00724C04" w:rsidRPr="004946F6">
        <w:t xml:space="preserve">participants elaborate on their identity and pay less attention to order. Therefore, attention to the temporal order </w:t>
      </w:r>
      <w:r w:rsidR="00E54F6F" w:rsidRPr="004946F6">
        <w:t>of</w:t>
      </w:r>
      <w:r w:rsidR="00724C04" w:rsidRPr="004946F6">
        <w:t xml:space="preserve"> </w:t>
      </w:r>
      <w:r w:rsidR="0034550F">
        <w:t>atypical</w:t>
      </w:r>
      <w:r w:rsidR="00724C04" w:rsidRPr="004946F6">
        <w:t xml:space="preserve"> items </w:t>
      </w:r>
      <w:r w:rsidR="00E54F6F" w:rsidRPr="004946F6">
        <w:t xml:space="preserve">in pure lists </w:t>
      </w:r>
      <w:r w:rsidR="00724C04" w:rsidRPr="004946F6">
        <w:t xml:space="preserve">is </w:t>
      </w:r>
      <w:r w:rsidR="0018105E" w:rsidRPr="004946F6">
        <w:t>limited</w:t>
      </w:r>
      <w:r w:rsidR="00724C04" w:rsidRPr="004946F6">
        <w:t>; it is greater when list</w:t>
      </w:r>
      <w:r w:rsidR="00270C5B" w:rsidRPr="004946F6">
        <w:t>s</w:t>
      </w:r>
      <w:r w:rsidR="00724C04" w:rsidRPr="004946F6">
        <w:t xml:space="preserve"> include some standard items</w:t>
      </w:r>
      <w:r w:rsidR="0018105E" w:rsidRPr="004946F6">
        <w:t xml:space="preserve"> (mixed lists)</w:t>
      </w:r>
      <w:r w:rsidR="00724C04" w:rsidRPr="004946F6">
        <w:t xml:space="preserve">; and greatest </w:t>
      </w:r>
      <w:r w:rsidR="0034550F">
        <w:t>in</w:t>
      </w:r>
      <w:r w:rsidR="0018105E" w:rsidRPr="004946F6">
        <w:t xml:space="preserve"> </w:t>
      </w:r>
      <w:r w:rsidR="00724C04" w:rsidRPr="004946F6">
        <w:t>pure lists of standard items.</w:t>
      </w:r>
      <w:r w:rsidR="00BA6549" w:rsidRPr="004946F6">
        <w:t xml:space="preserve"> </w:t>
      </w:r>
      <w:r w:rsidR="007E164C">
        <w:t xml:space="preserve">While attention to the identity of </w:t>
      </w:r>
      <w:r w:rsidR="0034550F">
        <w:t>atypical</w:t>
      </w:r>
      <w:r w:rsidR="00AE7569" w:rsidRPr="004946F6">
        <w:t xml:space="preserve"> items </w:t>
      </w:r>
      <w:r w:rsidR="007E164C">
        <w:t xml:space="preserve">maintains their good recall </w:t>
      </w:r>
      <w:r w:rsidR="0018105E" w:rsidRPr="004946F6">
        <w:t>regardless of list composition</w:t>
      </w:r>
      <w:r w:rsidR="00CB501D" w:rsidRPr="004946F6">
        <w:t xml:space="preserve"> </w:t>
      </w:r>
      <w:r w:rsidR="007E164C">
        <w:t>or order memory,</w:t>
      </w:r>
      <w:r w:rsidR="00CB501D" w:rsidRPr="004946F6">
        <w:t xml:space="preserve"> </w:t>
      </w:r>
      <w:r w:rsidR="007E164C">
        <w:t xml:space="preserve">any </w:t>
      </w:r>
      <w:r w:rsidR="003A5C89" w:rsidRPr="004946F6">
        <w:t xml:space="preserve">extra </w:t>
      </w:r>
      <w:r w:rsidR="00CB501D" w:rsidRPr="004946F6">
        <w:t xml:space="preserve">attention to the identity of </w:t>
      </w:r>
      <w:r w:rsidR="0034550F">
        <w:t>atypical</w:t>
      </w:r>
      <w:r w:rsidR="00CB501D" w:rsidRPr="004946F6">
        <w:t xml:space="preserve"> items</w:t>
      </w:r>
      <w:r w:rsidR="00AE7569" w:rsidRPr="004946F6">
        <w:t xml:space="preserve"> </w:t>
      </w:r>
      <w:r w:rsidR="007E164C">
        <w:t xml:space="preserve">takes away from the attention participants allocate </w:t>
      </w:r>
      <w:r w:rsidR="00AE7569" w:rsidRPr="004946F6">
        <w:t xml:space="preserve">to the order of standard items, </w:t>
      </w:r>
      <w:r w:rsidR="0034550F">
        <w:t xml:space="preserve">resulting in their </w:t>
      </w:r>
      <w:r w:rsidR="00AE7569" w:rsidRPr="004946F6">
        <w:t>decreas</w:t>
      </w:r>
      <w:r w:rsidR="0034550F">
        <w:t>ed</w:t>
      </w:r>
      <w:r w:rsidR="00AE7569" w:rsidRPr="004946F6">
        <w:t xml:space="preserve"> recall. </w:t>
      </w:r>
    </w:p>
    <w:p w14:paraId="559E83A4" w14:textId="151E8021" w:rsidR="00FE509B" w:rsidRPr="004946F6" w:rsidRDefault="00E54F6F">
      <w:pPr>
        <w:spacing w:line="480" w:lineRule="auto"/>
        <w:jc w:val="both"/>
      </w:pPr>
      <w:r w:rsidRPr="004946F6">
        <w:t xml:space="preserve">In the item-order account </w:t>
      </w:r>
      <w:r w:rsidR="00597322" w:rsidRPr="004946F6">
        <w:t>attention to</w:t>
      </w:r>
      <w:r w:rsidRPr="004946F6">
        <w:t xml:space="preserve"> the temporal order helps recall by supporting forward recall transitions. Therefore, to </w:t>
      </w:r>
      <w:r w:rsidR="00AE7569" w:rsidRPr="004946F6">
        <w:t xml:space="preserve">support the item-order account, </w:t>
      </w:r>
      <w:r w:rsidR="00CB501D" w:rsidRPr="004946F6">
        <w:t xml:space="preserve">McDaniel and Bugg </w:t>
      </w:r>
      <w:r w:rsidR="0018105E" w:rsidRPr="004946F6">
        <w:t xml:space="preserve">(2008) </w:t>
      </w:r>
      <w:r w:rsidR="00CB501D" w:rsidRPr="004946F6">
        <w:t xml:space="preserve">examined the “input-output correspondence index” </w:t>
      </w:r>
      <w:r w:rsidR="00CB501D" w:rsidRPr="004946F6">
        <w:fldChar w:fldCharType="begin" w:fldLock="1"/>
      </w:r>
      <w:r w:rsidR="008C25E5" w:rsidRPr="004946F6">
        <w:instrText>ADDIN CSL_CITATION { "citationItems" : [ { "id" : "ITEM-1", "itemData" : { "DOI" : "10.1080/00223980.1962.9713093", "ISSN" : "0022-3980", "author" : [ { "dropping-particle" : "", "family" : "Asch", "given" : "Solomon E.", "non-dropping-particle" : "", "parse-names" : false, "suffix" : "" }, { "dropping-particle" : "", "family" : "Ebenholtz", "given" : "Sheldon M.", "non-dropping-particle" : "", "parse-names" : false, "suffix" : "" } ], "container-title" : "The Journal of Psychology", "id" : "ITEM-1", "issue" : "1", "issued" : { "date-parts" : [ [ "1962", "7" ] ] }, "page" : "3-31", "publisher" : " Taylor &amp; Francis Group ", "title" : "The Process of Free Recall: Evidence for Non-Associative Factors in Acquisition and Retention", "type" : "article-journal", "volume" : "54" }, "uris" : [ "http://www.mendeley.com/documents/?uuid=7d61a874-bd75-3f47-89a0-1b7a38c592e4" ] } ], "mendeley" : { "formattedCitation" : "(Asch &amp; Ebenholtz, 1962)", "plainTextFormattedCitation" : "(Asch &amp; Ebenholtz, 1962)", "previouslyFormattedCitation" : "(Asch &amp; Ebenholtz, 1962)" }, "properties" : { "noteIndex" : 0 }, "schema" : "https://github.com/citation-style-language/schema/raw/master/csl-citation.json" }</w:instrText>
      </w:r>
      <w:r w:rsidR="00CB501D" w:rsidRPr="004946F6">
        <w:fldChar w:fldCharType="separate"/>
      </w:r>
      <w:r w:rsidR="00CB501D" w:rsidRPr="004946F6">
        <w:rPr>
          <w:noProof/>
        </w:rPr>
        <w:t>(Asch &amp; Ebenholtz, 1962)</w:t>
      </w:r>
      <w:r w:rsidR="00CB501D" w:rsidRPr="004946F6">
        <w:fldChar w:fldCharType="end"/>
      </w:r>
      <w:r w:rsidR="00CB501D" w:rsidRPr="004946F6">
        <w:t xml:space="preserve">, which is defined as the proportion of transitions made between successive items at lag=+1 (thus, the input and output order correspond to one another). </w:t>
      </w:r>
      <w:r w:rsidRPr="004946F6">
        <w:t>In agreement with the predictions of the item-order account t</w:t>
      </w:r>
      <w:r w:rsidR="00CB501D" w:rsidRPr="004946F6">
        <w:t xml:space="preserve">his index </w:t>
      </w:r>
      <w:r w:rsidR="00AE7569" w:rsidRPr="004946F6">
        <w:t>was lowe</w:t>
      </w:r>
      <w:r w:rsidR="00860BA0" w:rsidRPr="004946F6">
        <w:t>st</w:t>
      </w:r>
      <w:r w:rsidR="00AE7569" w:rsidRPr="004946F6">
        <w:t xml:space="preserve"> when participants encoded pure unusual lists</w:t>
      </w:r>
      <w:r w:rsidR="00860BA0" w:rsidRPr="004946F6">
        <w:t>,</w:t>
      </w:r>
      <w:r w:rsidR="00AE7569" w:rsidRPr="004946F6">
        <w:t xml:space="preserve"> highe</w:t>
      </w:r>
      <w:r w:rsidR="00860BA0" w:rsidRPr="004946F6">
        <w:t>st</w:t>
      </w:r>
      <w:r w:rsidR="00AE7569" w:rsidRPr="004946F6">
        <w:t xml:space="preserve"> when participants encoded pure standard list</w:t>
      </w:r>
      <w:r w:rsidR="00860BA0" w:rsidRPr="004946F6">
        <w:t>s,</w:t>
      </w:r>
      <w:r w:rsidR="00AE7569" w:rsidRPr="004946F6">
        <w:t xml:space="preserve"> </w:t>
      </w:r>
      <w:r w:rsidR="00860BA0" w:rsidRPr="004946F6">
        <w:t xml:space="preserve">and at a middling level when </w:t>
      </w:r>
      <w:r w:rsidRPr="004946F6">
        <w:t xml:space="preserve">they </w:t>
      </w:r>
      <w:r w:rsidR="00860BA0" w:rsidRPr="004946F6">
        <w:t>encod</w:t>
      </w:r>
      <w:r w:rsidRPr="004946F6">
        <w:t>ed</w:t>
      </w:r>
      <w:r w:rsidR="00860BA0" w:rsidRPr="004946F6">
        <w:t xml:space="preserve"> </w:t>
      </w:r>
      <w:r w:rsidR="00AE7569" w:rsidRPr="004946F6">
        <w:t xml:space="preserve">mixed lists (e.g. </w:t>
      </w:r>
      <w:r w:rsidR="00AE7569" w:rsidRPr="004946F6">
        <w:fldChar w:fldCharType="begin" w:fldLock="1"/>
      </w:r>
      <w:r w:rsidR="008C25E5" w:rsidRPr="004946F6">
        <w:instrText>ADDIN CSL_CITATION { "citationItems" : [ { "id" : "ITEM-1", "itemData" : { "DOI" : "10.1037/0278-7393.26.4.1045", "abstract" : "The order-encoding hypothesis (E. L. DeLosh &amp; M. A. McDaniel, 1996) assumes that serial-order information contributes to the retrieval of list items and that serial-order encoding is better for common items than bizarre items. In line with this account, Experiment 1 revealed better free recall and serial-order memory for common than for bizarre items in pure lists, and Experiment 2 showed that recall for bizarre items increased and the recall advantage of common items was eliminated when serial-order encoding for bizarre items was increased to the level of common items. However, inconsistent with a second assumption that bizarre-item advantages in mixed lists reflect better individual-item encoding for bizarre items, Experiments 3 and 4 showed that the bizarreness effect in mixed lists is eliminated when alternative retrieval strategies are encouraged. This set of findings is better explained by the differential-retrieval-process framework, which proposes that contextual factors (e.g., list composition) influence the extent to which various types of information are used at retrieval, with the bizarreness advantage in mixed lists dependent on a distinctiveness-based retrieval process. (PsycINFO Database Record (c) 2016 APA, all rights reserved)", "author" : [ { "dropping-particle" : "", "family" : "McDaniel", "given" : "Mark A.", "non-dropping-particle" : "", "parse-names" : false, "suffix" : "" }, { "dropping-particle" : "", "family" : "DeLosh", "given" : "Edward L.", "non-dropping-particle" : "", "parse-names" : false, "suffix" : "" }, { "dropping-particle" : "", "family" : "Merritt", "given" : "Paul S.", "non-dropping-particle" : "", "parse-names" : false, "suffix" : "" } ], "container-title" : "Journal of Experimental Psychology: Learning, Memory, and Cognition", "id" : "ITEM-1", "issue" : "4", "issued" : { "date-parts" : [ [ "2000" ] ] }, "page" : "1045-1056", "publisher" : "American Psychological Association", "title" : "Order information and retrieval distinctiveness: Recall of common versus bizarre material.", "type" : "article-journal", "volume" : "26" }, "uris" : [ "http://www.mendeley.com/documents/?uuid=0e808d7a-a030-355b-89d8-08fd44c9dcc4" ] } ], "mendeley" : { "formattedCitation" : "(McDaniel, DeLosh, &amp; Merritt, 2000)", "manualFormatting" : "McDaniel, DeLosh, &amp; Merritt, 2000", "plainTextFormattedCitation" : "(McDaniel, DeLosh, &amp; Merritt, 2000)", "previouslyFormattedCitation" : "(McDaniel, DeLosh, &amp; Merritt, 2000)" }, "properties" : { "noteIndex" : 0 }, "schema" : "https://github.com/citation-style-language/schema/raw/master/csl-citation.json" }</w:instrText>
      </w:r>
      <w:r w:rsidR="00AE7569" w:rsidRPr="004946F6">
        <w:fldChar w:fldCharType="separate"/>
      </w:r>
      <w:r w:rsidR="00AE7569" w:rsidRPr="004946F6">
        <w:rPr>
          <w:noProof/>
        </w:rPr>
        <w:t>McDaniel, DeLosh, &amp; Merritt, 2000</w:t>
      </w:r>
      <w:r w:rsidR="00AE7569" w:rsidRPr="004946F6">
        <w:fldChar w:fldCharType="end"/>
      </w:r>
      <w:r w:rsidR="00AE7569" w:rsidRPr="004946F6">
        <w:t xml:space="preserve">). </w:t>
      </w:r>
      <w:r w:rsidR="003A5C89" w:rsidRPr="004946F6">
        <w:t xml:space="preserve">We computed the same index for </w:t>
      </w:r>
      <w:r w:rsidR="00647EFA" w:rsidRPr="004946F6">
        <w:t xml:space="preserve">the </w:t>
      </w:r>
      <w:r w:rsidR="00611DC6" w:rsidRPr="004946F6">
        <w:t>empirical data</w:t>
      </w:r>
      <w:r w:rsidR="00647EFA" w:rsidRPr="004946F6">
        <w:t>sets</w:t>
      </w:r>
      <w:r w:rsidR="00611DC6" w:rsidRPr="004946F6">
        <w:t xml:space="preserve"> we simulated in this section</w:t>
      </w:r>
      <w:r w:rsidR="003A5C89" w:rsidRPr="004946F6">
        <w:t xml:space="preserve">, and found that the same was true for </w:t>
      </w:r>
      <w:r w:rsidR="00860BA0" w:rsidRPr="004946F6">
        <w:t>Talmi et al.</w:t>
      </w:r>
      <w:r w:rsidR="003A5C89" w:rsidRPr="004946F6">
        <w:t xml:space="preserve"> (2007</w:t>
      </w:r>
      <w:r w:rsidR="00FE509B" w:rsidRPr="004946F6">
        <w:t>:</w:t>
      </w:r>
      <w:r w:rsidR="00611DC6" w:rsidRPr="004946F6">
        <w:t xml:space="preserve"> </w:t>
      </w:r>
      <w:r w:rsidR="00860BA0" w:rsidRPr="004946F6">
        <w:t xml:space="preserve">pure emotional lists: M=.07, SD=.14; </w:t>
      </w:r>
      <w:r w:rsidR="00FB757C" w:rsidRPr="004946F6">
        <w:t xml:space="preserve">mixed lists: M=.10, SD=.09; </w:t>
      </w:r>
      <w:r w:rsidR="00860BA0" w:rsidRPr="004946F6">
        <w:t>pure neutral lists: M=0.14, SD=.13</w:t>
      </w:r>
      <w:r w:rsidR="003A5C89" w:rsidRPr="004946F6">
        <w:t xml:space="preserve">). In the </w:t>
      </w:r>
      <w:r w:rsidR="00647EFA" w:rsidRPr="004946F6">
        <w:t>Barnacle et al.</w:t>
      </w:r>
      <w:r w:rsidR="003A5C89" w:rsidRPr="004946F6">
        <w:t xml:space="preserve"> dataset the input-output correspondence index was the same for</w:t>
      </w:r>
      <w:r w:rsidR="00FE509B" w:rsidRPr="004946F6">
        <w:t xml:space="preserve"> </w:t>
      </w:r>
      <w:r w:rsidR="00860BA0" w:rsidRPr="004946F6">
        <w:t>pure emotional lists</w:t>
      </w:r>
      <w:r w:rsidR="003A5C89" w:rsidRPr="004946F6">
        <w:t xml:space="preserve"> (</w:t>
      </w:r>
      <w:r w:rsidR="00860BA0" w:rsidRPr="004946F6">
        <w:t>M=.11, SD=.07</w:t>
      </w:r>
      <w:r w:rsidR="003A5C89" w:rsidRPr="004946F6">
        <w:t xml:space="preserve">) and </w:t>
      </w:r>
      <w:r w:rsidR="00FB757C" w:rsidRPr="004946F6">
        <w:t>mixed lists</w:t>
      </w:r>
      <w:r w:rsidR="003A5C89" w:rsidRPr="004946F6">
        <w:t xml:space="preserve"> (</w:t>
      </w:r>
      <w:r w:rsidR="00FB757C" w:rsidRPr="004946F6">
        <w:t>M=.11, SD=.10</w:t>
      </w:r>
      <w:r w:rsidR="003A5C89" w:rsidRPr="004946F6">
        <w:t>), but</w:t>
      </w:r>
      <w:r w:rsidRPr="004946F6">
        <w:t>,</w:t>
      </w:r>
      <w:r w:rsidR="003A5C89" w:rsidRPr="004946F6">
        <w:t xml:space="preserve"> as predicted by the item-order account, higher for </w:t>
      </w:r>
      <w:r w:rsidR="00860BA0" w:rsidRPr="004946F6">
        <w:t>pure neutral lists</w:t>
      </w:r>
      <w:r w:rsidR="003A5C89" w:rsidRPr="004946F6">
        <w:t xml:space="preserve"> (</w:t>
      </w:r>
      <w:r w:rsidR="00860BA0" w:rsidRPr="004946F6">
        <w:t>M=0.17, SD=.12</w:t>
      </w:r>
      <w:r w:rsidR="00FB757C" w:rsidRPr="004946F6">
        <w:t>)</w:t>
      </w:r>
      <w:r w:rsidR="00611DC6" w:rsidRPr="004946F6">
        <w:t>.</w:t>
      </w:r>
      <w:r w:rsidR="00C12D32" w:rsidRPr="004946F6">
        <w:t xml:space="preserve"> </w:t>
      </w:r>
      <w:r w:rsidR="007E164C">
        <w:t>Also in agreement with the item-order account, t</w:t>
      </w:r>
      <w:r w:rsidR="00597322" w:rsidRPr="004946F6">
        <w:t xml:space="preserve">he difference between the input-output correspondence indices in the recall of pure lists was significant in both datasets. </w:t>
      </w:r>
      <w:r w:rsidR="004B046B" w:rsidRPr="004946F6">
        <w:t>To make the links between eCMR and the item-order account explicit we computed the input-output correspondence indices for simulated data in Simulation 2, but did not observe much difference in the input-output correspondence index between list types (pure emotional lists: .15, mixed lists: .16, pure neutral lists: .16).</w:t>
      </w:r>
      <w:r w:rsidR="00E14205" w:rsidRPr="004946F6">
        <w:t xml:space="preserve"> The item-order account therefore predicts an aspect of the </w:t>
      </w:r>
      <w:r w:rsidRPr="004946F6">
        <w:t xml:space="preserve">empirical </w:t>
      </w:r>
      <w:r w:rsidR="00E14205" w:rsidRPr="004946F6">
        <w:t>data that eCMR does not.</w:t>
      </w:r>
      <w:r w:rsidR="00E16BBE" w:rsidRPr="004946F6">
        <w:t xml:space="preserve"> The parameters we selected for the simulations we reported in this section were based on the best-fit set in Polyn et al. (2009), so it is possible that a different selection of model parameters would allow eCMR to fit this result, but additional research with more powered empirical data is required to decide exactly what recall dynamics look like for the emotional list composition paradigm. eCMR did capture the above-chance temporal clustering scores in the empirical datasets, which collapse across all transitions, including the lag=+1 that the item-order account focuses on.</w:t>
      </w:r>
    </w:p>
    <w:p w14:paraId="5FB664D9" w14:textId="2C634AC5" w:rsidR="004D7BAE" w:rsidRPr="004946F6" w:rsidRDefault="001F3049">
      <w:pPr>
        <w:spacing w:line="480" w:lineRule="auto"/>
        <w:jc w:val="both"/>
      </w:pPr>
      <w:r w:rsidRPr="004946F6">
        <w:t xml:space="preserve">When we come to evaluate the two models in terms of their account of the list composition effect, perhaps the most important consideration is that </w:t>
      </w:r>
      <w:r w:rsidR="00597322" w:rsidRPr="004946F6">
        <w:t xml:space="preserve">the attention-category variant of eCMR can reproduce the list-composition effect without making the assumption </w:t>
      </w:r>
      <w:r w:rsidR="00270C5B" w:rsidRPr="004946F6">
        <w:t xml:space="preserve">that the item-order account makes - that </w:t>
      </w:r>
      <w:r w:rsidR="00597322" w:rsidRPr="004946F6">
        <w:t xml:space="preserve">attention </w:t>
      </w:r>
      <w:r w:rsidR="00270C5B" w:rsidRPr="004946F6">
        <w:t>to neutral items during the</w:t>
      </w:r>
      <w:r w:rsidR="00597322" w:rsidRPr="004946F6">
        <w:t xml:space="preserve"> encoding </w:t>
      </w:r>
      <w:r w:rsidR="00270C5B" w:rsidRPr="004946F6">
        <w:t xml:space="preserve">of mixed lists is decreased, compared to the attention they receive in pure lists, and which </w:t>
      </w:r>
      <w:r w:rsidRPr="004946F6">
        <w:t>contradict</w:t>
      </w:r>
      <w:r w:rsidR="00270C5B" w:rsidRPr="004946F6">
        <w:t xml:space="preserve">s the empirical data </w:t>
      </w:r>
      <w:r w:rsidR="004D7BAE" w:rsidRPr="004946F6">
        <w:fldChar w:fldCharType="begin" w:fldLock="1"/>
      </w:r>
      <w:r w:rsidR="008C25E5" w:rsidRPr="004946F6">
        <w:instrText>ADDIN CSL_CITATION { "citationItems" : [ { "id" : "ITEM-1", "itemData" : { "DOI" : "10.1016/j.jml.2011.07.009", "ISBN" : "0749-596X", "ISSN" : "0749596X", "abstract" : "Memory for emotional events is usually very good even when tested shortly after study, before it is altered by the influence of emotional arousal on consolidation. Immediate emotion-enhanced memory may stem from the influence of emotion on cognitive processes at encoding and retrieval. Our goal was to test which cognitive factors are necessary and sufficient to account for EEM, with a specific focus on clarifying the contribution of attention to this effect. In two experiments, participants encoded negative-arousing and neutral pictures. In Experiment 1, under divided-attention conditions, negative pictures were better attended and recalled even when they were matched with neutral pictures on semantic relatedness and distinctiveness, and attention at encoding predicted subsequent emotion-enhanced memory. The memory advantage for emotional stimuli was only abolished when attention to emotional and neutral stimuli was also matched, under full-attention in Experiment 1 and under divided-attention in Experiment 2. Emotional memory enhancement was larger in Experiment 1 when the control of organization and distinctiveness was relaxed. These findings suggest that attention, organization and distinctiveness provide a necessary and sufficient account for immediate emotion-enhanced free recall memory. \u00a9 2011 Elsevier Inc.", "author" : [ { "dropping-particle" : "", "family" : "Talmi", "given" : "Deborah", "non-dropping-particle" : "", "parse-names" : false, "suffix" : "" }, { "dropping-particle" : "", "family" : "McGarry", "given" : "Lucy M.", "non-dropping-particle" : "", "parse-names" : false, "suffix" : "" } ], "container-title" : "Journal of Memory and Language", "id" : "ITEM-1", "issue" : "1", "issued" : { "date-parts" : [ [ "2012" ] ] }, "page" : "93-108", "publisher" : "Elsevier Inc.", "title" : "Accounting for immediate emotional memory enhancement", "type" : "article-journal", "volume" : "66" }, "uris" : [ "http://www.mendeley.com/documents/?uuid=97f0e13d-8640-4b52-b53c-49419fe1f6a8" ] }, { "id" : "ITEM-2", "itemData" : { "DOI" : "10.1016/j.neuropsychologia.2016.06.023", "ISSN" : "00283932", "author" : [ { "dropping-particle" : "", "family" : "Barnacle", "given" : "Gemma E", "non-dropping-particle" : "", "parse-names" : false, "suffix" : "" }, { "dropping-particle" : "", "family" : "Montaldi", "given" : "Daniela", "non-dropping-particle" : "", "parse-names" : false, "suffix" : "" }, { "dropping-particle" : "", "family" : "Talmi", "given" : "Deborah", "non-dropping-particle" : "", "parse-names" : false, "suffix" : "" }, { "dropping-particle" : "", "family" : "Sommer", "given" : "Tobias", "non-dropping-particle" : "", "parse-names" : false, "suffix" : "" } ], "container-title" : "Neuropsychologia", "id" : "ITEM-2", "issued" : { "date-parts" : [ [ "2016" ] ] }, "page" : "125-135", "publisher" : "Elsevier", "title" : "The list-composition effect in memory for emotional and neutral pictures: Differential contribution of ventral and dorsal attention networks to successful encoding", "type" : "article-journal", "volume" : "90" }, "uris" : [ "http://www.mendeley.com/documents/?uuid=06606f95-aff3-469c-a366-c90f8d2ca662" ] }, { "id" : "ITEM-3", "itemData" : { "abstract" : "The time scale of the effects of emotional arousal on neutral information processing is crucial for the predictions of the glutamate amplifies noradrenergic effects (GANE) model. GANE suggests that when emotional and neutral stimuli are presented in a sequence, neutral information processing will change. We review the literature on event-related potentials, including our own data set, to test this prediction.", "author" : [ { "dropping-particle" : "", "family" : "Barnacle", "given" : "Gemma E.", "non-dropping-particle" : "", "parse-names" : false, "suffix" : "" }, { "dropping-particle" : "", "family" : "Talmi", "given" : "Deborah", "non-dropping-particle" : "", "parse-names" : false, "suffix" : "" } ], "container-title" : "Behavioural Brain Research", "id" : "ITEM-3", "issued" : { "date-parts" : [ [ "2016" ] ] }, "page" : "e225", "title" : "Emotionally arousing context modulates the ERP correlates of neutral picture processing: An ERP test of the 'Glutamate Amplifies Noradrenergic Effects (GANE)' model. Commentary proposal on Mather et al.", "type" : "article-journal", "volume" : "39" }, "uris" : [ "http://www.mendeley.com/documents/?uuid=3beda3f0-c9e7-4d5b-b555-dc379faab970" ] } ], "mendeley" : { "formattedCitation" : "(Barnacle et al., 2016; Barnacle &amp; Talmi, 2016; Talmi &amp; McGarry, 2012)", "plainTextFormattedCitation" : "(Barnacle et al., 2016; Barnacle &amp; Talmi, 2016; Talmi &amp; McGarry, 2012)", "previouslyFormattedCitation" : "(Barnacle et al., 2016; Barnacle &amp; Talmi, 2016; Talmi &amp; McGarry, 2012)" }, "properties" : { "noteIndex" : 0 }, "schema" : "https://github.com/citation-style-language/schema/raw/master/csl-citation.json" }</w:instrText>
      </w:r>
      <w:r w:rsidR="004D7BAE" w:rsidRPr="004946F6">
        <w:fldChar w:fldCharType="separate"/>
      </w:r>
      <w:r w:rsidR="004D7BAE" w:rsidRPr="004946F6">
        <w:rPr>
          <w:noProof/>
        </w:rPr>
        <w:t>(Barnacle et al., 2016; Barnacle &amp; Talmi, 2016; Talmi &amp; McGarry, 2012)</w:t>
      </w:r>
      <w:r w:rsidR="004D7BAE" w:rsidRPr="004946F6">
        <w:fldChar w:fldCharType="end"/>
      </w:r>
      <w:r w:rsidR="00597322" w:rsidRPr="004946F6">
        <w:t>.</w:t>
      </w:r>
      <w:r w:rsidR="00270C5B" w:rsidRPr="004946F6">
        <w:t xml:space="preserve"> </w:t>
      </w:r>
      <w:r w:rsidR="00E16BBE" w:rsidRPr="004946F6">
        <w:t>U</w:t>
      </w:r>
      <w:r w:rsidR="00270C5B" w:rsidRPr="004946F6">
        <w:t xml:space="preserve">nlike the item-order account, eCMR does not mandate a particular weighting of context dimensions. While reliance on the source context could decrease </w:t>
      </w:r>
      <w:r w:rsidR="007E164C">
        <w:t xml:space="preserve">temporal </w:t>
      </w:r>
      <w:r w:rsidR="00270C5B" w:rsidRPr="004946F6">
        <w:t xml:space="preserve">contiguity effects (Polyn et al., 2011, 2009), in the direction predicted by the item-order account, this did not happen in the </w:t>
      </w:r>
      <w:r w:rsidR="00E16BBE" w:rsidRPr="004946F6">
        <w:t xml:space="preserve">empirical </w:t>
      </w:r>
      <w:r w:rsidR="00270C5B" w:rsidRPr="004946F6">
        <w:t>studies we reported here (TABLE 4).</w:t>
      </w:r>
      <w:r w:rsidR="00E16BBE" w:rsidRPr="004946F6">
        <w:t xml:space="preserve"> Overall, eCMR is a more comprehensive model, and can account for more aspects of the data than the item-order account; for example, only eCMR captured recall transitions based on source context, which were observed in the empirical data.</w:t>
      </w:r>
    </w:p>
    <w:p w14:paraId="7DB42C84" w14:textId="77777777" w:rsidR="006150D9" w:rsidRPr="004946F6" w:rsidRDefault="006150D9">
      <w:pPr>
        <w:spacing w:line="480" w:lineRule="auto"/>
        <w:jc w:val="both"/>
      </w:pPr>
    </w:p>
    <w:p w14:paraId="041CD000" w14:textId="77777777" w:rsidR="006150D9" w:rsidRPr="004946F6" w:rsidRDefault="006150D9">
      <w:pPr>
        <w:spacing w:line="480" w:lineRule="auto"/>
        <w:jc w:val="both"/>
        <w:rPr>
          <w:b/>
          <w:bCs/>
          <w:i/>
          <w:iCs/>
        </w:rPr>
      </w:pPr>
      <w:r w:rsidRPr="004946F6">
        <w:rPr>
          <w:b/>
          <w:bCs/>
          <w:i/>
          <w:iCs/>
        </w:rPr>
        <w:t>2.</w:t>
      </w:r>
      <w:r w:rsidR="00DD4D14" w:rsidRPr="004946F6">
        <w:rPr>
          <w:b/>
          <w:bCs/>
          <w:i/>
          <w:iCs/>
        </w:rPr>
        <w:t>6</w:t>
      </w:r>
      <w:r w:rsidRPr="004946F6">
        <w:rPr>
          <w:b/>
          <w:bCs/>
          <w:i/>
          <w:iCs/>
        </w:rPr>
        <w:t xml:space="preserve"> Summary</w:t>
      </w:r>
    </w:p>
    <w:p w14:paraId="60642FD8" w14:textId="623161B4" w:rsidR="00A7320D" w:rsidRPr="004946F6" w:rsidRDefault="001619C8">
      <w:pPr>
        <w:spacing w:line="480" w:lineRule="auto"/>
        <w:jc w:val="both"/>
      </w:pPr>
      <w:r w:rsidRPr="004946F6">
        <w:t xml:space="preserve">The empirical and simulation results in this section deconstruct the emotional memory advantage to its constituting elements. </w:t>
      </w:r>
      <w:r w:rsidR="00317BD4" w:rsidRPr="004946F6">
        <w:t xml:space="preserve">In both of the eCMR variants explored in section 2 emotional arousal was modelled as an emotional feature of items that updates an emotional context sub-region. </w:t>
      </w:r>
      <w:r w:rsidR="004657D6" w:rsidRPr="004946F6">
        <w:t>An emotional (relative to a neutral) source context did not confer particular advantages. I</w:t>
      </w:r>
      <w:r w:rsidR="00A7320D" w:rsidRPr="004946F6">
        <w:t xml:space="preserve">n the </w:t>
      </w:r>
      <w:r w:rsidR="00A7320D" w:rsidRPr="004946F6">
        <w:rPr>
          <w:i/>
          <w:iCs/>
        </w:rPr>
        <w:t>category</w:t>
      </w:r>
      <w:r w:rsidR="00A7320D" w:rsidRPr="004946F6">
        <w:t xml:space="preserve"> eCMR variant </w:t>
      </w:r>
      <w:r w:rsidR="00317BD4" w:rsidRPr="004946F6">
        <w:t xml:space="preserve">memory for both emotional and neutral items in mixed lists suffered from the disruption to the temporal context through the frequent alteration between item types. </w:t>
      </w:r>
      <w:r w:rsidR="00A7320D" w:rsidRPr="004946F6">
        <w:t xml:space="preserve">In the </w:t>
      </w:r>
      <w:r w:rsidR="00A7320D" w:rsidRPr="004946F6">
        <w:rPr>
          <w:i/>
          <w:iCs/>
        </w:rPr>
        <w:t xml:space="preserve">attention-category </w:t>
      </w:r>
      <w:r w:rsidR="00A7320D" w:rsidRPr="004946F6">
        <w:t>eCMR variant emotional item</w:t>
      </w:r>
      <w:r w:rsidR="00C34641" w:rsidRPr="004946F6">
        <w:t>s</w:t>
      </w:r>
      <w:r w:rsidR="00A7320D" w:rsidRPr="004946F6">
        <w:t xml:space="preserve"> w</w:t>
      </w:r>
      <w:r w:rsidR="00C34641" w:rsidRPr="004946F6">
        <w:t>ere</w:t>
      </w:r>
      <w:r w:rsidR="00A7320D" w:rsidRPr="004946F6">
        <w:t xml:space="preserve"> modelled as systematically attended more, thus </w:t>
      </w:r>
      <w:r w:rsidR="00C34641" w:rsidRPr="004946F6">
        <w:t>bound</w:t>
      </w:r>
      <w:r w:rsidR="00A7320D" w:rsidRPr="004946F6">
        <w:t xml:space="preserve"> more strongly to their </w:t>
      </w:r>
      <w:r w:rsidR="004657D6" w:rsidRPr="004946F6">
        <w:t>source (emotional)</w:t>
      </w:r>
      <w:r w:rsidR="00A7320D" w:rsidRPr="004946F6">
        <w:t xml:space="preserve"> context</w:t>
      </w:r>
      <w:r w:rsidR="007E164C">
        <w:t xml:space="preserve">. This </w:t>
      </w:r>
      <w:r w:rsidR="00A7320D" w:rsidRPr="004946F6">
        <w:t>improv</w:t>
      </w:r>
      <w:r w:rsidR="007E164C">
        <w:t>ed</w:t>
      </w:r>
      <w:r w:rsidR="00A7320D" w:rsidRPr="004946F6">
        <w:t xml:space="preserve"> their chances of winning the competition for retrieval. This </w:t>
      </w:r>
      <w:r w:rsidR="00E05BE2" w:rsidRPr="004946F6">
        <w:t xml:space="preserve">variant </w:t>
      </w:r>
      <w:r w:rsidR="00254973" w:rsidRPr="004946F6">
        <w:t>capture</w:t>
      </w:r>
      <w:r w:rsidR="00E05BE2" w:rsidRPr="004946F6">
        <w:t>d</w:t>
      </w:r>
      <w:r w:rsidR="00254973" w:rsidRPr="004946F6">
        <w:t xml:space="preserve"> the pattern of average free recall </w:t>
      </w:r>
      <w:r w:rsidR="00BB4F4B" w:rsidRPr="004946F6">
        <w:t xml:space="preserve">and the dynamics of </w:t>
      </w:r>
      <w:r w:rsidR="00254973" w:rsidRPr="004946F6">
        <w:t xml:space="preserve">the </w:t>
      </w:r>
      <w:r w:rsidR="00BB4F4B" w:rsidRPr="004946F6">
        <w:t xml:space="preserve">emotional </w:t>
      </w:r>
      <w:r w:rsidR="00254973" w:rsidRPr="004946F6">
        <w:t>list</w:t>
      </w:r>
      <w:r w:rsidR="00BB4F4B" w:rsidRPr="004946F6">
        <w:t>-</w:t>
      </w:r>
      <w:r w:rsidR="00254973" w:rsidRPr="004946F6">
        <w:t xml:space="preserve">composition </w:t>
      </w:r>
      <w:r w:rsidR="00147983" w:rsidRPr="004946F6">
        <w:t>effect</w:t>
      </w:r>
      <w:r w:rsidR="00254973" w:rsidRPr="004946F6">
        <w:t xml:space="preserve">. </w:t>
      </w:r>
    </w:p>
    <w:p w14:paraId="635D954D" w14:textId="5C664C9B" w:rsidR="004657D6" w:rsidRPr="004946F6" w:rsidRDefault="00BB4F4B">
      <w:pPr>
        <w:spacing w:line="480" w:lineRule="auto"/>
        <w:jc w:val="both"/>
      </w:pPr>
      <w:r w:rsidRPr="004946F6">
        <w:t xml:space="preserve"> </w:t>
      </w:r>
      <w:r w:rsidR="00E05BE2" w:rsidRPr="004946F6">
        <w:t>The success of eCMR to capture the emotional list composition effect depend</w:t>
      </w:r>
      <w:r w:rsidR="00CB452A" w:rsidRPr="004946F6">
        <w:t>ed</w:t>
      </w:r>
      <w:r w:rsidR="00E05BE2" w:rsidRPr="004946F6">
        <w:t xml:space="preserve"> on a number of retrieval mechanisms that interplay</w:t>
      </w:r>
      <w:r w:rsidR="00CB452A" w:rsidRPr="004946F6">
        <w:t>ed</w:t>
      </w:r>
      <w:r w:rsidR="00E05BE2" w:rsidRPr="004946F6">
        <w:t xml:space="preserve"> with the additional </w:t>
      </w:r>
      <w:r w:rsidR="00CB452A" w:rsidRPr="004946F6">
        <w:t xml:space="preserve">attention </w:t>
      </w:r>
      <w:r w:rsidR="00E05BE2" w:rsidRPr="004946F6">
        <w:t>t</w:t>
      </w:r>
      <w:r w:rsidR="00CB452A" w:rsidRPr="004946F6">
        <w:t>owards</w:t>
      </w:r>
      <w:r w:rsidR="00E05BE2" w:rsidRPr="004946F6">
        <w:t xml:space="preserve"> emotional items during encoding.</w:t>
      </w:r>
      <w:r w:rsidR="004657D6" w:rsidRPr="004946F6">
        <w:t xml:space="preserve"> Overall recall success in eCMR depended on the similarity between the retrieval context and the temporal, semantic, and (emotional) source context of encoded items.</w:t>
      </w:r>
      <w:r w:rsidR="006E738D" w:rsidRPr="004946F6">
        <w:t xml:space="preserve"> </w:t>
      </w:r>
      <w:r w:rsidR="002077C1" w:rsidRPr="004946F6">
        <w:t xml:space="preserve">Emotional items </w:t>
      </w:r>
      <w:r w:rsidR="00D137B3" w:rsidRPr="004946F6">
        <w:t xml:space="preserve">in mixed lists </w:t>
      </w:r>
      <w:r w:rsidR="00CB452A" w:rsidRPr="004946F6">
        <w:t>we</w:t>
      </w:r>
      <w:r w:rsidR="002077C1" w:rsidRPr="004946F6">
        <w:t xml:space="preserve">re more likely to be recalled first because they </w:t>
      </w:r>
      <w:r w:rsidR="00CB452A" w:rsidRPr="004946F6">
        <w:t>we</w:t>
      </w:r>
      <w:r w:rsidR="002077C1" w:rsidRPr="004946F6">
        <w:t xml:space="preserve">re more strongly connected to the </w:t>
      </w:r>
      <w:r w:rsidR="004657D6" w:rsidRPr="004946F6">
        <w:t xml:space="preserve">encoding </w:t>
      </w:r>
      <w:r w:rsidR="002077C1" w:rsidRPr="004946F6">
        <w:t>context</w:t>
      </w:r>
      <w:r w:rsidR="004E7780" w:rsidRPr="004946F6">
        <w:t>, and thus w</w:t>
      </w:r>
      <w:r w:rsidR="004657D6" w:rsidRPr="004946F6">
        <w:t>o</w:t>
      </w:r>
      <w:r w:rsidR="004E7780" w:rsidRPr="004946F6">
        <w:t>n the competition for recall</w:t>
      </w:r>
      <w:r w:rsidR="002077C1" w:rsidRPr="004946F6">
        <w:t xml:space="preserve">. </w:t>
      </w:r>
      <w:r w:rsidR="00290CB7" w:rsidRPr="004946F6">
        <w:t xml:space="preserve">Once one emotional item </w:t>
      </w:r>
      <w:r w:rsidR="00CB452A" w:rsidRPr="004946F6">
        <w:t>wa</w:t>
      </w:r>
      <w:r w:rsidR="00290CB7" w:rsidRPr="004946F6">
        <w:t xml:space="preserve">s </w:t>
      </w:r>
      <w:r w:rsidR="004E7780" w:rsidRPr="004946F6">
        <w:t>recalled</w:t>
      </w:r>
      <w:r w:rsidR="00290CB7" w:rsidRPr="004946F6">
        <w:t xml:space="preserve">, </w:t>
      </w:r>
      <w:r w:rsidR="00E05BE2" w:rsidRPr="004946F6">
        <w:t xml:space="preserve">the shared emotional context between these items </w:t>
      </w:r>
      <w:r w:rsidR="00290CB7" w:rsidRPr="004946F6">
        <w:t>render</w:t>
      </w:r>
      <w:r w:rsidR="007E164C">
        <w:t>ed</w:t>
      </w:r>
      <w:r w:rsidR="00290CB7" w:rsidRPr="004946F6">
        <w:t xml:space="preserve"> additional emotional items more accessible. </w:t>
      </w:r>
      <w:r w:rsidR="004E7780" w:rsidRPr="004946F6">
        <w:t>We note that i</w:t>
      </w:r>
      <w:r w:rsidR="00CB452A" w:rsidRPr="004946F6">
        <w:t xml:space="preserve">ncreased cohesiveness among emotional items, when this is not controlled experimentally, would also contribute </w:t>
      </w:r>
      <w:r w:rsidR="00A80526" w:rsidRPr="004946F6">
        <w:t>in the same way</w:t>
      </w:r>
      <w:r w:rsidR="007E164C">
        <w:t xml:space="preserve">, but here </w:t>
      </w:r>
      <w:r w:rsidR="007E164C">
        <w:t>w</w:t>
      </w:r>
      <w:r w:rsidR="007E164C" w:rsidRPr="004946F6">
        <w:t>e equated the similarity of emotional and neutral items</w:t>
      </w:r>
      <w:r w:rsidR="007E164C">
        <w:t>,</w:t>
      </w:r>
      <w:r w:rsidR="007E164C" w:rsidRPr="004946F6">
        <w:t xml:space="preserve"> in keeping with the empirical </w:t>
      </w:r>
      <w:r w:rsidR="007E164C">
        <w:t>data we simulated</w:t>
      </w:r>
      <w:r w:rsidR="00CB452A" w:rsidRPr="004946F6">
        <w:t>.</w:t>
      </w:r>
      <w:r w:rsidR="006E738D" w:rsidRPr="004946F6">
        <w:t xml:space="preserve"> </w:t>
      </w:r>
      <w:r w:rsidR="002077C1" w:rsidRPr="004946F6">
        <w:t>B</w:t>
      </w:r>
      <w:r w:rsidR="00290CB7" w:rsidRPr="004946F6">
        <w:t xml:space="preserve">ecause emotional items tend to be recalled early and promote each other’s recall they act as a source of interference, making it more difficult for participants to retrieve neutral items. </w:t>
      </w:r>
      <w:r w:rsidR="004657D6" w:rsidRPr="004946F6">
        <w:t xml:space="preserve">We showed that empirically, an emotional advantage is observed even when output interference is eliminated. The simulations clarified that an emotional advantage appears even when the initial source context of the test, and therefore the probability of first recall, was biased towards recall of neutral items. </w:t>
      </w:r>
    </w:p>
    <w:p w14:paraId="1DE5959E" w14:textId="10ACBA88" w:rsidR="003C72E2" w:rsidRPr="004946F6" w:rsidRDefault="00186535" w:rsidP="00FF6050">
      <w:pPr>
        <w:spacing w:line="480" w:lineRule="auto"/>
        <w:jc w:val="both"/>
        <w:rPr>
          <w:b/>
          <w:bCs/>
        </w:rPr>
      </w:pPr>
      <w:r w:rsidRPr="004946F6">
        <w:t>In</w:t>
      </w:r>
      <w:r w:rsidR="00290CB7" w:rsidRPr="004946F6">
        <w:t xml:space="preserve"> pure lists </w:t>
      </w:r>
      <w:r w:rsidRPr="004946F6">
        <w:t>enhanced attention to emotional stimuli still increase</w:t>
      </w:r>
      <w:r w:rsidR="00CB452A" w:rsidRPr="004946F6">
        <w:t>s</w:t>
      </w:r>
      <w:r w:rsidRPr="004946F6">
        <w:t xml:space="preserve"> their binding to </w:t>
      </w:r>
      <w:r w:rsidR="00F93853" w:rsidRPr="004946F6">
        <w:t xml:space="preserve">emotional source </w:t>
      </w:r>
      <w:r w:rsidRPr="004946F6">
        <w:t>context</w:t>
      </w:r>
      <w:r w:rsidR="00C50909" w:rsidRPr="004946F6">
        <w:t>, but</w:t>
      </w:r>
      <w:r w:rsidRPr="004946F6">
        <w:t xml:space="preserve"> </w:t>
      </w:r>
      <w:r w:rsidR="006150D9" w:rsidRPr="004946F6">
        <w:t xml:space="preserve">because </w:t>
      </w:r>
      <w:r w:rsidRPr="004946F6">
        <w:t xml:space="preserve">the </w:t>
      </w:r>
      <w:r w:rsidR="00C50909" w:rsidRPr="004946F6">
        <w:t xml:space="preserve">increased </w:t>
      </w:r>
      <w:r w:rsidRPr="004946F6">
        <w:t xml:space="preserve">level of binding </w:t>
      </w:r>
      <w:r w:rsidR="00CB452A" w:rsidRPr="004946F6">
        <w:t>i</w:t>
      </w:r>
      <w:r w:rsidR="00C50909" w:rsidRPr="004946F6">
        <w:t>s</w:t>
      </w:r>
      <w:r w:rsidRPr="004946F6">
        <w:t xml:space="preserve"> equivalent for all </w:t>
      </w:r>
      <w:r w:rsidR="00C50909" w:rsidRPr="004946F6">
        <w:t>of the emotional items</w:t>
      </w:r>
      <w:r w:rsidR="004E7780" w:rsidRPr="004946F6">
        <w:t>,</w:t>
      </w:r>
      <w:r w:rsidR="00C50909" w:rsidRPr="004946F6">
        <w:t xml:space="preserve"> </w:t>
      </w:r>
      <w:r w:rsidRPr="004946F6">
        <w:t xml:space="preserve">the competition for retrieval </w:t>
      </w:r>
      <w:r w:rsidR="004657D6" w:rsidRPr="004946F6">
        <w:t xml:space="preserve">is </w:t>
      </w:r>
      <w:r w:rsidRPr="004946F6">
        <w:t>affected by emotionality</w:t>
      </w:r>
      <w:r w:rsidR="004657D6" w:rsidRPr="004946F6">
        <w:t xml:space="preserve"> less than in mixed lists</w:t>
      </w:r>
      <w:r w:rsidRPr="004946F6">
        <w:t xml:space="preserve">. </w:t>
      </w:r>
      <w:r w:rsidR="00290CB7" w:rsidRPr="004946F6">
        <w:t xml:space="preserve">Therefore, although encoding processes could be very similar in pure and mixed lists, the </w:t>
      </w:r>
      <w:r w:rsidR="00BB081D" w:rsidRPr="004946F6">
        <w:t>advantage of emotional items</w:t>
      </w:r>
      <w:r w:rsidR="00290CB7" w:rsidRPr="004946F6">
        <w:t xml:space="preserve"> in free recall </w:t>
      </w:r>
      <w:r w:rsidR="00C50909" w:rsidRPr="004946F6">
        <w:t xml:space="preserve">would be </w:t>
      </w:r>
      <w:r w:rsidR="00290CB7" w:rsidRPr="004946F6">
        <w:t xml:space="preserve">expressed </w:t>
      </w:r>
      <w:r w:rsidR="005E567F" w:rsidRPr="004946F6">
        <w:t xml:space="preserve">more strongly </w:t>
      </w:r>
      <w:r w:rsidR="00290CB7" w:rsidRPr="004946F6">
        <w:t>in mixed lists.</w:t>
      </w:r>
      <w:r w:rsidR="00C50909" w:rsidRPr="004946F6">
        <w:t xml:space="preserve"> </w:t>
      </w:r>
      <w:r w:rsidR="00DC7CA9" w:rsidRPr="004946F6">
        <w:t>Taken together, there are several processes in place that give rise to the emotional advantage in free recall of mixed lists, rendering the emotional list-composition effect a robust phenomenon, well-described by eCMR.</w:t>
      </w:r>
      <w:bookmarkStart w:id="9" w:name="section3"/>
    </w:p>
    <w:p w14:paraId="04A574FC" w14:textId="194B6B34" w:rsidR="008352E0" w:rsidRPr="004946F6" w:rsidRDefault="00E77CEC">
      <w:pPr>
        <w:jc w:val="center"/>
        <w:rPr>
          <w:b/>
          <w:bCs/>
        </w:rPr>
      </w:pPr>
      <w:bookmarkStart w:id="10" w:name="section4"/>
      <w:bookmarkEnd w:id="9"/>
      <w:r w:rsidRPr="004946F6">
        <w:rPr>
          <w:b/>
          <w:bCs/>
        </w:rPr>
        <w:br w:type="page"/>
      </w:r>
      <w:r w:rsidR="005A1665" w:rsidRPr="004946F6">
        <w:rPr>
          <w:b/>
          <w:bCs/>
        </w:rPr>
        <w:t>3</w:t>
      </w:r>
      <w:r w:rsidR="00C87596" w:rsidRPr="004946F6">
        <w:rPr>
          <w:b/>
          <w:bCs/>
        </w:rPr>
        <w:t>.</w:t>
      </w:r>
      <w:r w:rsidR="006F2377" w:rsidRPr="004946F6">
        <w:rPr>
          <w:b/>
          <w:bCs/>
        </w:rPr>
        <w:t xml:space="preserve"> e</w:t>
      </w:r>
      <w:r w:rsidR="008352E0" w:rsidRPr="004946F6">
        <w:rPr>
          <w:b/>
          <w:bCs/>
        </w:rPr>
        <w:t xml:space="preserve">CMR </w:t>
      </w:r>
      <w:r w:rsidR="00EB78F0">
        <w:rPr>
          <w:b/>
          <w:bCs/>
        </w:rPr>
        <w:t xml:space="preserve">can </w:t>
      </w:r>
      <w:r w:rsidR="008352E0" w:rsidRPr="004946F6">
        <w:rPr>
          <w:b/>
          <w:bCs/>
        </w:rPr>
        <w:t>account for increase</w:t>
      </w:r>
      <w:r w:rsidR="00BB081D" w:rsidRPr="004946F6">
        <w:rPr>
          <w:b/>
          <w:bCs/>
        </w:rPr>
        <w:t>d emotion-enhanced memory</w:t>
      </w:r>
      <w:r w:rsidR="008352E0" w:rsidRPr="004946F6">
        <w:rPr>
          <w:b/>
          <w:bCs/>
        </w:rPr>
        <w:t xml:space="preserve"> after a delay</w:t>
      </w:r>
      <w:bookmarkEnd w:id="10"/>
    </w:p>
    <w:p w14:paraId="5A85A357" w14:textId="77777777" w:rsidR="00E119BD" w:rsidRPr="004946F6" w:rsidRDefault="00E119BD" w:rsidP="0024232E">
      <w:pPr>
        <w:spacing w:line="480" w:lineRule="auto"/>
        <w:jc w:val="center"/>
        <w:rPr>
          <w:b/>
          <w:bCs/>
        </w:rPr>
      </w:pPr>
    </w:p>
    <w:p w14:paraId="53D8187F" w14:textId="4AEDC62E" w:rsidR="00DB51D1" w:rsidRPr="004946F6" w:rsidRDefault="00B56E09">
      <w:pPr>
        <w:spacing w:line="480" w:lineRule="auto"/>
        <w:jc w:val="both"/>
        <w:rPr>
          <w:lang w:bidi="he-IL"/>
        </w:rPr>
      </w:pPr>
      <w:r w:rsidRPr="004946F6">
        <w:rPr>
          <w:lang w:bidi="he-IL"/>
        </w:rPr>
        <w:t xml:space="preserve">A paradigmatic finding in the emotional memory literature is that of a steeper forgetting of neutral compared to emotional stimuli </w:t>
      </w:r>
      <w:r w:rsidRPr="004946F6">
        <w:rPr>
          <w:lang w:bidi="he-IL"/>
        </w:rPr>
        <w:fldChar w:fldCharType="begin" w:fldLock="1"/>
      </w:r>
      <w:r>
        <w:rPr>
          <w:lang w:bidi="he-IL"/>
        </w:rPr>
        <w:instrText>ADDIN CSL_CITATION { "citationItems" : [ { "id" : "ITEM-1", "itemData" : { "DOI" : "10.1016/j.tics.2015.02.009", "ISBN" : "1879-307X (Electronic)\\r1364-6613 (Linking)", "ISSN" : "1879307X", "PMID" : "25836045", "abstract" : "Emotional events are remembered better than neutral events, and this emotion advantage becomes particularly pronounced over time. The time-dependent effects of emotion impact upon recollection rather than on familiarity-based recognition, and they influence the recollection of item-specific details rather than contextual details. Moreover, the amygdala, but not the hippocampus, is crucial for producing these effects. Time-dependent effects of emotion have been attributed to an emotional consolidation process whereby the amygdala gradually facilitates the storage of emotional memories by other medial temporal lobe regions. However, we propose that these effects can be better understood by an emotional binding account whereby the amygdala mediates the recollection of item-emotion bindings that are forgotten more slowly than item-context bindings supported by the hippocampus.", "author" : [ { "dropping-particle" : "", "family" : "Yonelinas", "given" : "Andrew P.", "non-dropping-particle" : "", "parse-names" : false, "suffix" : "" }, { "dropping-particle" : "", "family" : "Ritchey", "given" : "Maureen", "non-dropping-particle" : "", "parse-names" : false, "suffix" : "" } ], "container-title" : "Trends in Cognitive Sciences", "id" : "ITEM-1", "issue" : "5", "issued" : { "date-parts" : [ [ "2015" ] ] }, "page" : "259-267", "publisher" : "Elsevier Ltd", "title" : "The slow forgetting of emotional episodic memories: An emotional binding account", "type" : "article-journal", "volume" : "19" }, "uris" : [ "http://www.mendeley.com/documents/?uuid=b2c9465d-ace6-4f5e-a6bf-323b66b58ed5" ] } ], "mendeley" : { "formattedCitation" : "(Yonelinas &amp; Ritchey, 2015)", "plainTextFormattedCitation" : "(Yonelinas &amp; Ritchey, 2015)", "previouslyFormattedCitation" : "(Yonelinas &amp; Ritchey, 2015)" }, "properties" : { "noteIndex" : 0 }, "schema" : "https://github.com/citation-style-language/schema/raw/master/csl-citation.json" }</w:instrText>
      </w:r>
      <w:r w:rsidRPr="004946F6">
        <w:rPr>
          <w:lang w:bidi="he-IL"/>
        </w:rPr>
        <w:fldChar w:fldCharType="separate"/>
      </w:r>
      <w:r w:rsidRPr="00215FAA">
        <w:rPr>
          <w:noProof/>
          <w:lang w:bidi="he-IL"/>
        </w:rPr>
        <w:t>(Yonelinas &amp; Ritchey, 2015)</w:t>
      </w:r>
      <w:r w:rsidRPr="004946F6">
        <w:rPr>
          <w:lang w:bidi="he-IL"/>
        </w:rPr>
        <w:fldChar w:fldCharType="end"/>
      </w:r>
      <w:r w:rsidR="00DE5B55" w:rsidRPr="004946F6">
        <w:rPr>
          <w:lang w:bidi="he-IL"/>
        </w:rPr>
        <w:t xml:space="preserve">. </w:t>
      </w:r>
      <w:r w:rsidR="00E26DFF" w:rsidRPr="004946F6">
        <w:rPr>
          <w:lang w:bidi="he-IL"/>
        </w:rPr>
        <w:t xml:space="preserve">In reports </w:t>
      </w:r>
      <w:r w:rsidR="00DE5B55" w:rsidRPr="004946F6">
        <w:rPr>
          <w:lang w:bidi="he-IL"/>
        </w:rPr>
        <w:t>where the memory advantage is greater in a delayed test</w:t>
      </w:r>
      <w:r w:rsidR="00E26DFF" w:rsidRPr="004946F6">
        <w:rPr>
          <w:lang w:bidi="he-IL"/>
        </w:rPr>
        <w:t xml:space="preserve"> the advantage may be smaller immediately and grow with delay (</w:t>
      </w:r>
      <w:r w:rsidR="00DE5921" w:rsidRPr="004946F6">
        <w:rPr>
          <w:lang w:bidi="he-IL"/>
        </w:rPr>
        <w:t xml:space="preserve">e.g. </w:t>
      </w:r>
      <w:r w:rsidR="00E26DFF" w:rsidRPr="004946F6">
        <w:rPr>
          <w:lang w:bidi="he-IL"/>
        </w:rPr>
        <w:t xml:space="preserve">LaBar &amp; Phelps, 1998); there </w:t>
      </w:r>
      <w:r w:rsidR="00DE5921" w:rsidRPr="004946F6">
        <w:rPr>
          <w:lang w:bidi="he-IL"/>
        </w:rPr>
        <w:t>may be</w:t>
      </w:r>
      <w:r w:rsidR="00E26DFF" w:rsidRPr="004946F6">
        <w:rPr>
          <w:lang w:bidi="he-IL"/>
        </w:rPr>
        <w:t xml:space="preserve"> no immediate advantage </w:t>
      </w:r>
      <w:r w:rsidR="00DE5B55" w:rsidRPr="004946F6">
        <w:rPr>
          <w:lang w:bidi="he-IL"/>
        </w:rPr>
        <w:fldChar w:fldCharType="begin" w:fldLock="1"/>
      </w:r>
      <w:r w:rsidR="008C25E5" w:rsidRPr="004946F6">
        <w:rPr>
          <w:lang w:bidi="he-IL"/>
        </w:rPr>
        <w:instrText>ADDIN CSL_CITATION { "citationItems" : [ { "id" : "ITEM-1", "itemData" : { "DOI" : "10.1016/j.cognition.2007.03.002", "ISBN" : "0010-0277 (Print)\\r0010-0277 (Linking)", "ISSN" : "00100277", "PMID" : "17451666", "abstract" : "Emotion has been suggested to slow forgetting via a mechanism that enhances memory consolidation. Here, we investigate whether this time dependent process influences the subjective experience of recollection as well as the ability to retrieve specific contextual details of the study event. To do so we examined recognition for emotional and neutral pictures at two retention intervals and collected remember/know reports and reports about the task that had been performed with the item during encoding. Recollective experience was enhanced for emotional compared to neutral photos after a 24-h delay, but not immediately after encoding. In contrast, memory for the task performed during encoding did not differ between emotional and neutral photos at either time point. The findings indicate that emotion slows the effects of forgetting on the recollective experience associated with studied events, without necessarily slowing the forgetting of specific contextual details of those events. ?? 2007 Elsevier B.V. All rights reserved.", "author" : [ { "dropping-particle" : "", "family" : "Sharot", "given" : "T", "non-dropping-particle" : "", "parse-names" : false, "suffix" : "" }, { "dropping-particle" : "", "family" : "Yonelinas", "given" : "A P.", "non-dropping-particle" : "", "parse-names" : false, "suffix" : "" } ], "container-title" : "Cognition", "id" : "ITEM-1", "issue" : "1", "issued" : { "date-parts" : [ [ "2008" ] ] }, "page" : "538-547", "title" : "Differential time-dependent effects of emotion on recollective experience and memory for contextual information", "type" : "article-journal", "volume" : "106" }, "uris" : [ "http://www.mendeley.com/documents/?uuid=cade4c60-71ed-4291-b2f8-9b1053f69e92" ] }, { "id" : "ITEM-2", "itemData" : { "DOI" : "Doi 10.3758/Cabn.4.3.294", "ISBN" : "1530-7026", "ISSN" : "1530-7026", "PMID" : "15535165", "abstract" : "Emotion may influence memory both by altering attention and perception during encoding and by affecting memory retention. To date, studies have focused on the enhancement of memory consolidation by arousal. However, they have failed to rule out a role for attention. To specifically link memory enhancement of arousing material to modulation of memory retention, we examined recognition of neutral and arousing words at two time points and under conditions that manipulate attention during encoding. Participants were briefly presented with an arousing or neutral word at the periphery, while fixating on a central word. Recognition of peripheral words was assessed either immediately or after 24 h. Whereas recognition of neutral words became worse over time, recognition of arousing words remained the same and was better than neutral word recognition at delay. The results indicate that arousal supports slower forgetting even when the difference in attentional resources allocated to stimuli is minimized.", "author" : [ { "dropping-particle" : "", "family" : "Sharot", "given" : "T", "non-dropping-particle" : "", "parse-names" : false, "suffix" : "" }, { "dropping-particle" : "", "family" : "Phelps", "given" : "E A", "non-dropping-particle" : "", "parse-names" : false, "suffix" : "" } ], "container-title" : "Cognitive Affective &amp; Behavioral Neuroscience", "id" : "ITEM-2", "issue" : "3", "issued" : { "date-parts" : [ [ "2004" ] ] }, "page" : "294-306", "title" : "How arousal modulates memory: Disentangling the effects of attention and retention", "type" : "article-journal", "volume" : "4" }, "uris" : [ "http://www.mendeley.com/documents/?uuid=6b582199-cb42-4127-9aff-114ed2b78a05" ] } ], "mendeley" : { "formattedCitation" : "(Sharot &amp; Phelps, 2004; Sharot &amp; Yonelinas, 2008)", "manualFormatting" : "(e.g. Sharot &amp; Yonelinas, 2008; Sharot &amp; Phelps, 2004)", "plainTextFormattedCitation" : "(Sharot &amp; Phelps, 2004; Sharot &amp; Yonelinas, 2008)", "previouslyFormattedCitation" : "(Sharot &amp; Phelps, 2004; Sharot &amp; Yonelinas, 2008)" }, "properties" : { "noteIndex" : 0 }, "schema" : "https://github.com/citation-style-language/schema/raw/master/csl-citation.json" }</w:instrText>
      </w:r>
      <w:r w:rsidR="00DE5B55" w:rsidRPr="004946F6">
        <w:rPr>
          <w:lang w:bidi="he-IL"/>
        </w:rPr>
        <w:fldChar w:fldCharType="separate"/>
      </w:r>
      <w:r w:rsidR="00DE5B55" w:rsidRPr="004946F6">
        <w:rPr>
          <w:noProof/>
          <w:lang w:bidi="he-IL"/>
        </w:rPr>
        <w:t>(</w:t>
      </w:r>
      <w:r w:rsidR="00DE5921" w:rsidRPr="004946F6">
        <w:rPr>
          <w:noProof/>
          <w:lang w:bidi="he-IL"/>
        </w:rPr>
        <w:t xml:space="preserve">e.g. </w:t>
      </w:r>
      <w:r w:rsidR="00DE5B55" w:rsidRPr="004946F6">
        <w:rPr>
          <w:noProof/>
          <w:lang w:bidi="he-IL"/>
        </w:rPr>
        <w:t>Sharot &amp; Yonelinas, 2008; Sharot &amp; Phelps, 2004)</w:t>
      </w:r>
      <w:r w:rsidR="00DE5B55" w:rsidRPr="004946F6">
        <w:rPr>
          <w:lang w:bidi="he-IL"/>
        </w:rPr>
        <w:fldChar w:fldCharType="end"/>
      </w:r>
      <w:r w:rsidR="00E26DFF" w:rsidRPr="004946F6">
        <w:rPr>
          <w:lang w:bidi="he-IL"/>
        </w:rPr>
        <w:t>;</w:t>
      </w:r>
      <w:r w:rsidR="00DE5B55" w:rsidRPr="004946F6">
        <w:rPr>
          <w:lang w:bidi="he-IL"/>
        </w:rPr>
        <w:t xml:space="preserve"> </w:t>
      </w:r>
      <w:r w:rsidR="00DE5921" w:rsidRPr="004946F6">
        <w:rPr>
          <w:lang w:bidi="he-IL"/>
        </w:rPr>
        <w:t xml:space="preserve">or, </w:t>
      </w:r>
      <w:r w:rsidR="00E26DFF" w:rsidRPr="004946F6">
        <w:rPr>
          <w:lang w:bidi="he-IL"/>
        </w:rPr>
        <w:t>in a few</w:t>
      </w:r>
      <w:r w:rsidR="00DE5921" w:rsidRPr="004946F6">
        <w:rPr>
          <w:lang w:bidi="he-IL"/>
        </w:rPr>
        <w:t>,</w:t>
      </w:r>
      <w:r w:rsidR="00E26DFF" w:rsidRPr="004946F6">
        <w:rPr>
          <w:lang w:bidi="he-IL"/>
        </w:rPr>
        <w:t xml:space="preserve"> </w:t>
      </w:r>
      <w:r w:rsidR="00DE5B55" w:rsidRPr="004946F6">
        <w:rPr>
          <w:lang w:bidi="he-IL"/>
        </w:rPr>
        <w:t>classic</w:t>
      </w:r>
      <w:r w:rsidR="00DE5921" w:rsidRPr="004946F6">
        <w:rPr>
          <w:lang w:bidi="he-IL"/>
        </w:rPr>
        <w:t>,</w:t>
      </w:r>
      <w:r w:rsidR="00DE5B55" w:rsidRPr="004946F6">
        <w:rPr>
          <w:lang w:bidi="he-IL"/>
        </w:rPr>
        <w:t xml:space="preserve"> </w:t>
      </w:r>
      <w:r w:rsidR="00E26DFF" w:rsidRPr="004946F6">
        <w:rPr>
          <w:lang w:bidi="he-IL"/>
        </w:rPr>
        <w:t xml:space="preserve">reports, </w:t>
      </w:r>
      <w:r w:rsidR="00DE5B55" w:rsidRPr="004946F6">
        <w:rPr>
          <w:lang w:bidi="he-IL"/>
        </w:rPr>
        <w:t xml:space="preserve">emotional stimuli </w:t>
      </w:r>
      <w:r w:rsidR="00EB78F0">
        <w:rPr>
          <w:lang w:bidi="he-IL"/>
        </w:rPr>
        <w:t>may be</w:t>
      </w:r>
      <w:r w:rsidR="00DE5B55" w:rsidRPr="004946F6">
        <w:rPr>
          <w:lang w:bidi="he-IL"/>
        </w:rPr>
        <w:t xml:space="preserve"> remembered less well than neutral stimuli immediately</w:t>
      </w:r>
      <w:r w:rsidR="00E26DFF" w:rsidRPr="004946F6">
        <w:rPr>
          <w:lang w:bidi="he-IL"/>
        </w:rPr>
        <w:t xml:space="preserve">, </w:t>
      </w:r>
      <w:r w:rsidR="00EB78F0">
        <w:rPr>
          <w:lang w:bidi="he-IL"/>
        </w:rPr>
        <w:t xml:space="preserve">but better </w:t>
      </w:r>
      <w:r w:rsidR="00E26DFF" w:rsidRPr="004946F6">
        <w:rPr>
          <w:lang w:bidi="he-IL"/>
        </w:rPr>
        <w:t xml:space="preserve">later </w:t>
      </w:r>
      <w:r w:rsidR="00DE5B55" w:rsidRPr="004946F6">
        <w:rPr>
          <w:lang w:bidi="he-IL"/>
        </w:rPr>
        <w:t>(</w:t>
      </w:r>
      <w:r w:rsidR="00DE5921" w:rsidRPr="004946F6">
        <w:rPr>
          <w:lang w:bidi="he-IL"/>
        </w:rPr>
        <w:t xml:space="preserve">e.g. </w:t>
      </w:r>
      <w:r w:rsidR="00DE5B55" w:rsidRPr="004946F6">
        <w:rPr>
          <w:lang w:bidi="he-IL"/>
        </w:rPr>
        <w:fldChar w:fldCharType="begin" w:fldLock="1"/>
      </w:r>
      <w:r w:rsidR="008C25E5" w:rsidRPr="004946F6">
        <w:rPr>
          <w:lang w:bidi="he-IL"/>
        </w:rPr>
        <w:instrText>ADDIN CSL_CITATION { "citationItems" : [ { "id" : "ITEM-1", "itemData" : { "author" : [ { "dropping-particle" : "", "family" : "Butter", "given" : "M Johnna", "non-dropping-particle" : "", "parse-names" : false, "suffix" : "" }, { "dropping-particle" : "", "family" : "Training", "given" : "Development", "non-dropping-particle" : "", "parse-names" : false, "suffix" : "" }, { "dropping-particle" : "", "family" : "Kaplan", "given" : "Grant H D S", "non-dropping-particle" : "", "parse-names" : false, "suffix" : "" } ], "id" : "ITEM-1", "issue" : "2", "issued" : { "date-parts" : [ [ "1970" ] ] }, "page" : "252-256", "title" : "DIFFERENTIAL RECALL OF PAIRED ASSOCIATES AS A FUNCTION OF AROUSAL AND CONCRETENESS-IMAGERY LEVELS 1 on memory using galvanic skin response ( GSR ) as an index of arousal . In par- ticular , Kleinsmith and Kaplan ( 1963 , 1964 ) found that PAs with low-aro", "type" : "article-journal" }, "uris" : [ "http://www.mendeley.com/documents/?uuid=ba7615fd-d3fb-46a5-b73c-4b5f7f8efe93" ] }, { "id" : "ITEM-2", "itemData" : { "DOI" : "10.1037/h0045203", "ISBN" : "0022-1015(Print)", "ISSN" : "0022-1015", "PMID" : "14114908", "abstract" : "Using meaningful paired associates as stimuli it has been shown previously that due to the phenomenon of perseverative consolidation high-arousal associates show stronger permanent memory and weaker immediate memory than low-arousal associates. The present experiment was designed to show that this phenomenon is independent of the association values or unique qualities of the words involved. While recording skin resistance as a measure of arousal, 36 Ss were presented 6 (0% association value) nonsense syllables paired with single-digit numbers. Ss were tested at 2 min., 20 min., or 1 wk. The results confirmed the hypothesis (p = .01). Nonsense syllable paired associates learned under low arousal exhibited high immediate recall and rapid forgetting. High-arousal associates exhibited a marked reminiscence effect, low immediate recall and high permanent memory. (PsycINFO Database Record (c) 2012 APA, all rights reserved)", "author" : [ { "dropping-particle" : "", "family" : "Kleinsmith", "given" : "Lewis J", "non-dropping-particle" : "", "parse-names" : false, "suffix" : "" }, { "dropping-particle" : "", "family" : "Kaplan", "given" : "Stephen", "non-dropping-particle" : "", "parse-names" : false, "suffix" : "" } ], "container-title" : "Journal of Experimental Psychology", "id" : "ITEM-2", "issue" : "2", "issued" : { "date-parts" : [ [ "1964" ] ] }, "page" : "124-126", "title" : "Interaction of arousal and recall interval in nonsense syllable paired-associate learning", "type" : "article-journal", "volume" : "67" }, "uris" : [ "http://www.mendeley.com/documents/?uuid=c167c48d-d31c-4482-8fcd-8719a4897098" ] } ], "mendeley" : { "formattedCitation" : "(Butter, Training, &amp; Kaplan, 1970; Kleinsmith &amp; Kaplan, 1964)", "manualFormatting" : "Butter, Training, &amp; Kaplan, 1970; Kleinsmith &amp; Kaplan, 1964)", "plainTextFormattedCitation" : "(Butter, Training, &amp; Kaplan, 1970; Kleinsmith &amp; Kaplan, 1964)", "previouslyFormattedCitation" : "(Butter, Training, &amp; Kaplan, 1970; Kleinsmith &amp; Kaplan, 1964)" }, "properties" : { "noteIndex" : 0 }, "schema" : "https://github.com/citation-style-language/schema/raw/master/csl-citation.json" }</w:instrText>
      </w:r>
      <w:r w:rsidR="00DE5B55" w:rsidRPr="004946F6">
        <w:rPr>
          <w:lang w:bidi="he-IL"/>
        </w:rPr>
        <w:fldChar w:fldCharType="separate"/>
      </w:r>
      <w:r w:rsidR="00DE5B55" w:rsidRPr="004946F6">
        <w:rPr>
          <w:noProof/>
          <w:lang w:bidi="he-IL"/>
        </w:rPr>
        <w:t>Butter, Training, &amp; Kaplan, 1970; Kleinsmith &amp; Kaplan, 1964)</w:t>
      </w:r>
      <w:r w:rsidR="00DE5B55" w:rsidRPr="004946F6">
        <w:rPr>
          <w:lang w:bidi="he-IL"/>
        </w:rPr>
        <w:fldChar w:fldCharType="end"/>
      </w:r>
      <w:r w:rsidR="00DE5B55" w:rsidRPr="004946F6">
        <w:rPr>
          <w:lang w:bidi="he-IL"/>
        </w:rPr>
        <w:t xml:space="preserve">. </w:t>
      </w:r>
      <w:r w:rsidRPr="004946F6">
        <w:rPr>
          <w:lang w:bidi="he-IL"/>
        </w:rPr>
        <w:t>These studies used many different methodologies</w:t>
      </w:r>
      <w:r>
        <w:rPr>
          <w:lang w:bidi="he-IL"/>
        </w:rPr>
        <w:t xml:space="preserve"> to trigger arousal and to measure memory (free recall, cued recall and recognition)</w:t>
      </w:r>
      <w:r w:rsidRPr="004946F6">
        <w:rPr>
          <w:lang w:bidi="he-IL"/>
        </w:rPr>
        <w:t>, which could well account for some of the discrepancies</w:t>
      </w:r>
      <w:r w:rsidR="00EB78F0">
        <w:rPr>
          <w:lang w:bidi="he-IL"/>
        </w:rPr>
        <w:t>. A</w:t>
      </w:r>
      <w:r>
        <w:rPr>
          <w:lang w:bidi="he-IL"/>
        </w:rPr>
        <w:t xml:space="preserve"> </w:t>
      </w:r>
      <w:r w:rsidR="005E0A12">
        <w:rPr>
          <w:lang w:bidi="he-IL"/>
        </w:rPr>
        <w:t>systematic review</w:t>
      </w:r>
      <w:r>
        <w:rPr>
          <w:lang w:bidi="he-IL"/>
        </w:rPr>
        <w:t xml:space="preserve"> of this issue is certainly warranted</w:t>
      </w:r>
      <w:r w:rsidR="00EB78F0">
        <w:rPr>
          <w:lang w:bidi="he-IL"/>
        </w:rPr>
        <w:t xml:space="preserve">, not only to explain the discrepant immediate effects, but also to provide a more solid basis for the </w:t>
      </w:r>
      <w:r w:rsidR="00904DEA" w:rsidRPr="004946F6">
        <w:rPr>
          <w:lang w:bidi="he-IL"/>
        </w:rPr>
        <w:t xml:space="preserve">consensus in the emotional memory literature that </w:t>
      </w:r>
      <w:r w:rsidR="00EB78F0">
        <w:rPr>
          <w:lang w:bidi="he-IL"/>
        </w:rPr>
        <w:t xml:space="preserve">emotion-enhanced memory effects are greater after a delay. </w:t>
      </w:r>
      <w:r w:rsidR="00EB78F0" w:rsidRPr="004946F6">
        <w:rPr>
          <w:lang w:bidi="he-IL"/>
        </w:rPr>
        <w:t xml:space="preserve">Because the immediate effects </w:t>
      </w:r>
      <w:r w:rsidR="00C056A6">
        <w:rPr>
          <w:lang w:bidi="he-IL"/>
        </w:rPr>
        <w:t xml:space="preserve">of emotion </w:t>
      </w:r>
      <w:r w:rsidR="00EB78F0" w:rsidRPr="004946F6">
        <w:rPr>
          <w:lang w:bidi="he-IL"/>
        </w:rPr>
        <w:t>are discrepant</w:t>
      </w:r>
      <w:r w:rsidR="00EB78F0">
        <w:rPr>
          <w:lang w:bidi="he-IL"/>
        </w:rPr>
        <w:t xml:space="preserve"> </w:t>
      </w:r>
      <w:r w:rsidR="00C056A6">
        <w:rPr>
          <w:lang w:bidi="he-IL"/>
        </w:rPr>
        <w:t xml:space="preserve">they are often disregarded, as are, </w:t>
      </w:r>
      <w:r w:rsidR="00904DEA" w:rsidRPr="004946F6">
        <w:rPr>
          <w:lang w:bidi="he-IL"/>
        </w:rPr>
        <w:t xml:space="preserve">by extension, </w:t>
      </w:r>
      <w:r w:rsidR="00C056A6">
        <w:rPr>
          <w:lang w:bidi="he-IL"/>
        </w:rPr>
        <w:t>interpretations of delayed effects that refer to</w:t>
      </w:r>
      <w:r w:rsidR="00C056A6" w:rsidRPr="004946F6">
        <w:rPr>
          <w:lang w:bidi="he-IL"/>
        </w:rPr>
        <w:t xml:space="preserve"> </w:t>
      </w:r>
      <w:r w:rsidR="00904DEA" w:rsidRPr="004946F6">
        <w:rPr>
          <w:lang w:bidi="he-IL"/>
        </w:rPr>
        <w:t>encoding or retrieval mechanisms. Instead, t</w:t>
      </w:r>
      <w:r w:rsidR="00E26DFF" w:rsidRPr="004946F6">
        <w:rPr>
          <w:lang w:bidi="he-IL"/>
        </w:rPr>
        <w:t xml:space="preserve">he </w:t>
      </w:r>
      <w:r w:rsidR="00DE5921" w:rsidRPr="004946F6">
        <w:rPr>
          <w:lang w:bidi="he-IL"/>
        </w:rPr>
        <w:t xml:space="preserve">emphasis in </w:t>
      </w:r>
      <w:r w:rsidR="00E26DFF" w:rsidRPr="004946F6">
        <w:rPr>
          <w:lang w:bidi="he-IL"/>
        </w:rPr>
        <w:t xml:space="preserve">the emotional memory literature has </w:t>
      </w:r>
      <w:r w:rsidR="00DE5921" w:rsidRPr="004946F6">
        <w:rPr>
          <w:lang w:bidi="he-IL"/>
        </w:rPr>
        <w:t xml:space="preserve">been </w:t>
      </w:r>
      <w:r w:rsidR="00627130" w:rsidRPr="004946F6">
        <w:rPr>
          <w:lang w:bidi="he-IL"/>
        </w:rPr>
        <w:t xml:space="preserve">the attenuated forgetting of emotional stimuli, </w:t>
      </w:r>
      <w:r w:rsidR="00DE5921" w:rsidRPr="004946F6">
        <w:rPr>
          <w:lang w:bidi="he-IL"/>
        </w:rPr>
        <w:t>and how th</w:t>
      </w:r>
      <w:r w:rsidR="00904DEA" w:rsidRPr="004946F6">
        <w:rPr>
          <w:lang w:bidi="he-IL"/>
        </w:rPr>
        <w:t>is</w:t>
      </w:r>
      <w:r w:rsidR="00DE5921" w:rsidRPr="004946F6">
        <w:rPr>
          <w:lang w:bidi="he-IL"/>
        </w:rPr>
        <w:t xml:space="preserve"> effect is implemented through neuromodulation </w:t>
      </w:r>
      <w:r w:rsidR="00DE5921" w:rsidRPr="004946F6">
        <w:rPr>
          <w:lang w:bidi="he-IL"/>
        </w:rPr>
        <w:fldChar w:fldCharType="begin" w:fldLock="1"/>
      </w:r>
      <w:r w:rsidR="008C25E5" w:rsidRPr="004946F6">
        <w:rPr>
          <w:lang w:bidi="he-IL"/>
        </w:rPr>
        <w:instrText>ADDIN CSL_CITATION { "citationItems" : [ { "id" : "ITEM-1", "itemData" : { "DOI" : "10.1101/lm.042978.116", "ISSN" : "1549-5485", "PMID" : "27980078", "abstract" : "Reward motivation has been shown to modulate episodic memory processes in order to support future adaptive behavior. However, for a memory system to be truly adaptive, it should enhance memory for rewarded events as well as for neutral events that may seem inconsequential at the time of encoding but can gain importance later. Here, we investigated the influence of reward motivation on retroactive memory enhancement selectively for conceptually related information. We found behavioral evidence that reward retroactively enhances memory at a 24-h memory test, but not at an immediate memory test, suggesting a role for post-encoding mechanisms of consolidation.", "author" : [ { "dropping-particle" : "", "family" : "Patil", "given" : "Anuya", "non-dropping-particle" : "", "parse-names" : false, "suffix" : "" }, { "dropping-particle" : "", "family" : "Murty", "given" : "Vishnu P", "non-dropping-particle" : "", "parse-names" : false, "suffix" : "" }, { "dropping-particle" : "", "family" : "Dunsmoor", "given" : "Joseph E", "non-dropping-particle" : "", "parse-names" : false, "suffix" : "" }, { "dropping-particle" : "", "family" : "Phelps", "given" : "Elizabeth A", "non-dropping-particle" : "", "parse-names" : false, "suffix" : "" }, { "dropping-particle" : "", "family" : "Davachi", "given" : "Lila", "non-dropping-particle" : "", "parse-names" : false, "suffix" : "" } ], "container-title" : "Learning &amp; memory (Cold Spring Harbor, N.Y.)", "id" : "ITEM-1", "issue" : "1", "issued" : { "date-parts" : [ [ "2017" ] ] }, "page" : "65-69", "title" : "Reward retroactively enhances memory consolidation for related items.", "type" : "article-journal", "volume" : "24" }, "uris" : [ "http://www.mendeley.com/documents/?uuid=e08708ad-efa4-4db4-9541-9345ef06989c" ] }, { "id" : "ITEM-2", "itemData" : { "DOI" : "10.1038/nature14106", "ISBN" : "1476-4687 (Electronic)\\r0028-0836 (Linking)", "ISSN" : "1476-4687", "PMID" : "25607357", "abstract" : "Neurobiological models of long-term memory propose a mechanism by which initially weak memories are strengthened through subsequent activation that engages common neural pathways minutes to hours later. This synaptic tag-and-capture model has been hypothesized to explain how inconsequential information is selectively consolidated following salient experiences. Behavioural evidence for tag-and-capture is provided by rodent studies in which weak early memories are strengthened by future behavioural training. Whether a process of behavioural tagging occurs in humans to transform weak episodic memories into stable long-term memories is unknown. Here we show, in humans, that information is selectively consolidated if conceptually related information, putatively represented in a common neural substrate, is made salient through an emotional learning experience. Memory for neutral objects was selectively enhanced if other objects from the same category were paired with shock. Retroactive enhancements as a result of emotional learning were observed following a period of consolidation, but were not observed in an immediate memory test or for items strongly encoded before fear conditioning. These findings provide new evidence for a generalized retroactive memory enhancement, whereby inconsequential information can be retroactively credited as relevant, and therefore selectively remembered, if conceptually related information acquires salience in the future.", "author" : [ { "dropping-particle" : "", "family" : "Dunsmoor", "given" : "Joseph E.", "non-dropping-particle" : "", "parse-names" : false, "suffix" : "" }, { "dropping-particle" : "", "family" : "Murty", "given" : "Vishnu P.", "non-dropping-particle" : "", "parse-names" : false, "suffix" : "" }, { "dropping-particle" : "", "family" : "Davachi", "given" : "Lila", "non-dropping-particle" : "", "parse-names" : false, "suffix" : "" }, { "dropping-particle" : "", "family" : "Phelps", "given" : "Elizabeth A.", "non-dropping-particle" : "", "parse-names" : false, "suffix" : "" } ], "container-title" : "Nature", "id" : "ITEM-2", "issue" : "7547", "issued" : { "date-parts" : [ [ "2015" ] ] }, "page" : "345-8", "title" : "Emotional learning selectively and retroactively strengthens memories for related events.", "type" : "article-journal", "volume" : "520" }, "uris" : [ "http://www.mendeley.com/documents/?uuid=6fb14a9a-694c-4836-a9c7-a4bc0c65e09d" ] } ], "mendeley" : { "formattedCitation" : "(Dunsmoor, Murty, Davachi, &amp; Phelps, 2015; Patil, Murty, Dunsmoor, Phelps, &amp; Davachi, 2017)", "plainTextFormattedCitation" : "(Dunsmoor, Murty, Davachi, &amp; Phelps, 2015; Patil, Murty, Dunsmoor, Phelps, &amp; Davachi, 2017)", "previouslyFormattedCitation" : "(Dunsmoor, Murty, Davachi, &amp; Phelps, 2015; Patil, Murty, Dunsmoor, Phelps, &amp; Davachi, 2017)" }, "properties" : { "noteIndex" : 0 }, "schema" : "https://github.com/citation-style-language/schema/raw/master/csl-citation.json" }</w:instrText>
      </w:r>
      <w:r w:rsidR="00DE5921" w:rsidRPr="004946F6">
        <w:rPr>
          <w:lang w:bidi="he-IL"/>
        </w:rPr>
        <w:fldChar w:fldCharType="separate"/>
      </w:r>
      <w:r w:rsidR="00DE5921" w:rsidRPr="004946F6">
        <w:rPr>
          <w:noProof/>
          <w:lang w:bidi="he-IL"/>
        </w:rPr>
        <w:t>(Dunsmoor, Murty, Davachi, &amp; Phelps, 2015; Patil, Murty, Dunsmoor, Phelps, &amp; Davachi, 2017)</w:t>
      </w:r>
      <w:r w:rsidR="00DE5921" w:rsidRPr="004946F6">
        <w:rPr>
          <w:lang w:bidi="he-IL"/>
        </w:rPr>
        <w:fldChar w:fldCharType="end"/>
      </w:r>
      <w:r w:rsidR="00DE5921" w:rsidRPr="004946F6">
        <w:rPr>
          <w:lang w:bidi="he-IL"/>
        </w:rPr>
        <w:t>.</w:t>
      </w:r>
      <w:r w:rsidR="006E738D" w:rsidRPr="004946F6">
        <w:rPr>
          <w:lang w:bidi="he-IL"/>
        </w:rPr>
        <w:t xml:space="preserve"> </w:t>
      </w:r>
    </w:p>
    <w:p w14:paraId="24309C73" w14:textId="26A365BB" w:rsidR="00254A94" w:rsidRPr="004946F6" w:rsidRDefault="00254A94">
      <w:pPr>
        <w:spacing w:line="480" w:lineRule="auto"/>
        <w:jc w:val="both"/>
        <w:rPr>
          <w:lang w:bidi="he-IL"/>
        </w:rPr>
      </w:pPr>
      <w:r w:rsidRPr="004946F6">
        <w:rPr>
          <w:lang w:bidi="he-IL"/>
        </w:rPr>
        <w:t xml:space="preserve">Readers familiar with work on the neurobiology of memory consolidation may conclude, therefore, that </w:t>
      </w:r>
      <w:r w:rsidR="00627130" w:rsidRPr="004946F6">
        <w:rPr>
          <w:lang w:bidi="he-IL"/>
        </w:rPr>
        <w:t>eCMR</w:t>
      </w:r>
      <w:r w:rsidR="002C0625" w:rsidRPr="004946F6">
        <w:rPr>
          <w:lang w:bidi="he-IL"/>
        </w:rPr>
        <w:t xml:space="preserve"> </w:t>
      </w:r>
      <w:r w:rsidR="00627130" w:rsidRPr="004946F6">
        <w:rPr>
          <w:lang w:bidi="he-IL"/>
        </w:rPr>
        <w:t xml:space="preserve">has </w:t>
      </w:r>
      <w:r w:rsidRPr="004946F6">
        <w:rPr>
          <w:lang w:bidi="he-IL"/>
        </w:rPr>
        <w:t xml:space="preserve">no hope of accommodating </w:t>
      </w:r>
      <w:r w:rsidR="00DE5921" w:rsidRPr="004946F6">
        <w:rPr>
          <w:lang w:bidi="he-IL"/>
        </w:rPr>
        <w:t xml:space="preserve">attenuated </w:t>
      </w:r>
      <w:r w:rsidR="00C056A6">
        <w:rPr>
          <w:lang w:bidi="he-IL"/>
        </w:rPr>
        <w:t>forgetting</w:t>
      </w:r>
      <w:r w:rsidR="00DE5921" w:rsidRPr="004946F6">
        <w:rPr>
          <w:lang w:bidi="he-IL"/>
        </w:rPr>
        <w:t xml:space="preserve"> of emotional items</w:t>
      </w:r>
      <w:r w:rsidRPr="004946F6">
        <w:rPr>
          <w:lang w:bidi="he-IL"/>
        </w:rPr>
        <w:t xml:space="preserve">, because it lacks any mechanism to mimic consolidation effects. </w:t>
      </w:r>
      <w:r w:rsidR="00C056A6">
        <w:rPr>
          <w:lang w:bidi="he-IL"/>
        </w:rPr>
        <w:t xml:space="preserve">Yet </w:t>
      </w:r>
      <w:r w:rsidR="00C056A6">
        <w:t>a</w:t>
      </w:r>
      <w:r w:rsidR="003C3F0F" w:rsidRPr="004946F6">
        <w:t xml:space="preserve">lthough retrieved context models have been used to account for memory effects on time scales </w:t>
      </w:r>
      <w:r w:rsidR="00C056A6">
        <w:t xml:space="preserve">more </w:t>
      </w:r>
      <w:r w:rsidR="003C3F0F" w:rsidRPr="004946F6">
        <w:t>commonly used in human memory experiments</w:t>
      </w:r>
      <w:r w:rsidR="00C056A6">
        <w:t>, such as a single session</w:t>
      </w:r>
      <w:r w:rsidR="003C3F0F" w:rsidRPr="004946F6">
        <w:t xml:space="preserve">, </w:t>
      </w:r>
      <w:r w:rsidR="00C056A6">
        <w:t xml:space="preserve">some </w:t>
      </w:r>
      <w:r w:rsidR="003C3F0F" w:rsidRPr="004946F6">
        <w:t>model variant</w:t>
      </w:r>
      <w:r w:rsidR="00253B27" w:rsidRPr="004946F6">
        <w:t>s</w:t>
      </w:r>
      <w:r w:rsidR="003C3F0F" w:rsidRPr="004946F6">
        <w:t xml:space="preserve"> ha</w:t>
      </w:r>
      <w:r w:rsidR="00253B27" w:rsidRPr="004946F6">
        <w:t>ve</w:t>
      </w:r>
      <w:r w:rsidR="003C3F0F" w:rsidRPr="004946F6">
        <w:t xml:space="preserve"> been developed to explain consolidation-related effects</w:t>
      </w:r>
      <w:r w:rsidR="00C056A6">
        <w:t>. Those</w:t>
      </w:r>
      <w:r w:rsidRPr="004946F6">
        <w:rPr>
          <w:lang w:bidi="he-IL"/>
        </w:rPr>
        <w:t xml:space="preserve"> </w:t>
      </w:r>
      <w:r w:rsidR="00C056A6">
        <w:rPr>
          <w:lang w:bidi="he-IL"/>
        </w:rPr>
        <w:t xml:space="preserve">operationalise the retention interval through </w:t>
      </w:r>
      <w:r w:rsidRPr="004946F6">
        <w:rPr>
          <w:lang w:bidi="he-IL"/>
        </w:rPr>
        <w:t xml:space="preserve">increased interference, </w:t>
      </w:r>
      <w:r w:rsidR="00814CA9" w:rsidRPr="004946F6">
        <w:rPr>
          <w:lang w:bidi="he-IL"/>
        </w:rPr>
        <w:t xml:space="preserve">or </w:t>
      </w:r>
      <w:r w:rsidR="00C056A6">
        <w:rPr>
          <w:lang w:bidi="he-IL"/>
        </w:rPr>
        <w:t xml:space="preserve">through </w:t>
      </w:r>
      <w:r w:rsidR="00814CA9" w:rsidRPr="004946F6">
        <w:rPr>
          <w:lang w:bidi="he-IL"/>
        </w:rPr>
        <w:t xml:space="preserve">degraded context reinstatement </w:t>
      </w:r>
      <w:r w:rsidR="00814CA9" w:rsidRPr="004946F6">
        <w:rPr>
          <w:lang w:bidi="he-IL"/>
        </w:rPr>
        <w:fldChar w:fldCharType="begin" w:fldLock="1"/>
      </w:r>
      <w:r w:rsidR="008C25E5" w:rsidRPr="004946F6">
        <w:rPr>
          <w:lang w:bidi="he-IL"/>
        </w:rPr>
        <w:instrText>ADDIN CSL_CITATION { "citationItems" : [ { "id" : "ITEM-1", "itemData" : { "DOI" : "10.1037/a0013396.A", "author" : [ { "dropping-particle" : "", "family" : "Sederberg", "given" : "P B", "non-dropping-particle" : "", "parse-names" : false, "suffix" : "" }, { "dropping-particle" : "", "family" : "Howard", "given" : "M W", "non-dropping-particle" : "", "parse-names" : false, "suffix" : "" }, { "dropping-particle" : "", "family" : "Kahana", "given" : "M J", "non-dropping-particle" : "", "parse-names" : false, "suffix" : "" } ], "id" : "ITEM-1", "issue" : "4", "issued" : { "date-parts" : [ [ "2008" ] ] }, "page" : "893-912", "title" : "A context-based theory of recency and contiguity in free recall", "type" : "article-journal", "volume" : "115" }, "uris" : [ "http://www.mendeley.com/documents/?uuid=20c66708-35d7-45d1-988a-40c72b11bc77" ] }, { "id" : "ITEM-2", "itemData" : { "DOI" : "10.3758/s13423-011-0086-9.Human", "ISBN" : "1531-5320 (Electronic)\\r1069-9384 (Linking)", "ISSN" : "1069-9384", "PMID" : "21512839", "abstract" : "Recent work by Hupbach, Gomez, Hardt, and Nadel (Learning &amp; Memory, 14, 47-53, 2007) and Hupbach, Gomez, and Nadel (Memory, 17, 502-510, 2009) suggests that episodic memory for a previously studied list can be updated to include new items, if participants are reminded of the earlier list just prior to learning a new list. The key finding from the Hupbach studies was an asymmetric pattern of intrusions, whereby participants intruded numerous items from the second list when trying to recall the first list, but not viceversa. Hupbach et al. (2007; 2009) explained this pattern in terms of a cellular reconsolidation process, whereby first-list memory is rendered labile by the reminder and the labile memory is then updated to include items from the second list. Here, we show that the temporal context model of memory, which lacks a cellular reconsolidation process, can account for the asymmetric intrusion effect, using well-established principles of contextual reinstatement and item-context binding.", "author" : [ { "dropping-particle" : "", "family" : "Sederberg", "given" : "P B", "non-dropping-particle" : "", "parse-names" : false, "suffix" : "" }, { "dropping-particle" : "", "family" : "Gershman", "given" : "S J", "non-dropping-particle" : "", "parse-names" : false, "suffix" : "" }, { "dropping-particle" : "", "family" : "Polyn", "given" : "S M", "non-dropping-particle" : "", "parse-names" : false, "suffix" : "" }, { "dropping-particle" : "", "family" : "Norman", "given" : "K A", "non-dropping-particle" : "", "parse-names" : false, "suffix" : "" } ], "container-title" : "Psychonomic bulletin &amp; \u2026", "id" : "ITEM-2", "issue" : "3", "issued" : { "date-parts" : [ [ "2011", "6" ] ] }, "page" : "455-468", "publisher" : "NIH Public Access", "title" : "Human memory reconsolidation can be explained using the temporal context model", "type" : "article-journal", "volume" : "18" }, "uris" : [ "http://www.mendeley.com/documents/?uuid=1f1e2196-3648-4ba3-95cc-b0fba4376823" ] }, { "id" : "ITEM-3", "itemData" : { "PMID" : "17048728", "abstract" : "Normal aging has been shown to spare recency effects in the initiation of free recall while disrupting temporally defined associations. The temporal context model (TCM) explains recency and temporally defined associations as consequences of a gradually changing context signal and recovery of those contextual states, respectively. Here we extend TCM to account for the dissociation between recency and temporally defined associations in younger and older adults. Modeling results suggested that the effect of aging was restricted to a decrement in the ability of items to recover the temporal contexts in which they were presented, a function that has been hypothesized to depend on the hippocampus.", "author" : [ { "dropping-particle" : "", "family" : "Howard", "given" : "Marc W", "non-dropping-particle" : "", "parse-names" : false, "suffix" : "" }, { "dropping-particle" : "", "family" : "Kahana", "given" : "Michael J", "non-dropping-particle" : "", "parse-names" : false, "suffix" : "" }, { "dropping-particle" : "", "family" : "Wingfield", "given" : "Arthur", "non-dropping-particle" : "", "parse-names" : false, "suffix" : "" } ], "container-title" : "Psychonomic bulletin &amp; review", "id" : "ITEM-3", "issue" : "3", "issued" : { "date-parts" : [ [ "2006", "6" ] ] }, "page" : "439-45", "publisher" : "NIH Public Access", "title" : "Aging and contextual binding: modeling recency and lag recency effects with the temporal context model.", "type" : "article-journal", "volume" : "13" }, "uris" : [ "http://www.mendeley.com/documents/?uuid=0eacb978-97d2-3582-94d7-382015516c64" ] } ], "mendeley" : { "formattedCitation" : "(Howard, Kahana, &amp; Wingfield, 2006; Sederberg, Gershman, Polyn, &amp; Norman, 2011; Sederberg et al., 2008)", "plainTextFormattedCitation" : "(Howard, Kahana, &amp; Wingfield, 2006; Sederberg, Gershman, Polyn, &amp; Norman, 2011; Sederberg et al., 2008)", "previouslyFormattedCitation" : "(Howard, Kahana, &amp; Wingfield, 2006; Sederberg, Gershman, Polyn, &amp; Norman, 2011; Sederberg et al., 2008)" }, "properties" : { "noteIndex" : 0 }, "schema" : "https://github.com/citation-style-language/schema/raw/master/csl-citation.json" }</w:instrText>
      </w:r>
      <w:r w:rsidR="00814CA9" w:rsidRPr="004946F6">
        <w:rPr>
          <w:lang w:bidi="he-IL"/>
        </w:rPr>
        <w:fldChar w:fldCharType="separate"/>
      </w:r>
      <w:r w:rsidR="002C0625" w:rsidRPr="004946F6">
        <w:rPr>
          <w:noProof/>
          <w:lang w:bidi="he-IL"/>
        </w:rPr>
        <w:t>(Howard, Kahana, &amp; Wingfield, 2006; Sederberg, Gershman, Polyn, &amp; Norman, 2011; Sederberg et al., 2008)</w:t>
      </w:r>
      <w:r w:rsidR="00814CA9" w:rsidRPr="004946F6">
        <w:rPr>
          <w:lang w:bidi="he-IL"/>
        </w:rPr>
        <w:fldChar w:fldCharType="end"/>
      </w:r>
      <w:r w:rsidRPr="004946F6">
        <w:rPr>
          <w:lang w:bidi="he-IL"/>
        </w:rPr>
        <w:t>. In this section</w:t>
      </w:r>
      <w:r w:rsidR="00F30D24" w:rsidRPr="004946F6">
        <w:rPr>
          <w:lang w:bidi="he-IL"/>
        </w:rPr>
        <w:t>,</w:t>
      </w:r>
      <w:r w:rsidRPr="004946F6">
        <w:rPr>
          <w:lang w:bidi="he-IL"/>
        </w:rPr>
        <w:t xml:space="preserve"> we use eCMR to simulate a prolonged retention interval, and examine how delay might alter the emotional advantage. Our purpose was to illuminate which cognitive processes </w:t>
      </w:r>
      <w:r w:rsidR="00814CA9" w:rsidRPr="004946F6">
        <w:rPr>
          <w:lang w:bidi="he-IL"/>
        </w:rPr>
        <w:t xml:space="preserve">influence changes in the magnitude of the emotional memory advantage </w:t>
      </w:r>
      <w:r w:rsidRPr="004946F6">
        <w:rPr>
          <w:lang w:bidi="he-IL"/>
        </w:rPr>
        <w:t xml:space="preserve">over time. eCMR is </w:t>
      </w:r>
      <w:r w:rsidR="005F57C9" w:rsidRPr="004946F6">
        <w:rPr>
          <w:lang w:bidi="he-IL"/>
        </w:rPr>
        <w:t>agnostic as</w:t>
      </w:r>
      <w:r w:rsidRPr="004946F6">
        <w:rPr>
          <w:lang w:bidi="he-IL"/>
        </w:rPr>
        <w:t xml:space="preserve"> to how such changes may be realised at the level of neurobiology. </w:t>
      </w:r>
    </w:p>
    <w:p w14:paraId="1C44AA8F" w14:textId="4DD945E3" w:rsidR="00D64ACF" w:rsidRPr="004946F6" w:rsidRDefault="001C7DBF">
      <w:pPr>
        <w:spacing w:line="480" w:lineRule="auto"/>
        <w:jc w:val="both"/>
        <w:rPr>
          <w:lang w:bidi="he-IL"/>
        </w:rPr>
      </w:pPr>
      <w:r>
        <w:rPr>
          <w:lang w:bidi="he-IL"/>
        </w:rPr>
        <w:t>Deciding on t</w:t>
      </w:r>
      <w:r w:rsidR="000212E8" w:rsidRPr="004946F6">
        <w:rPr>
          <w:lang w:bidi="he-IL"/>
        </w:rPr>
        <w:t xml:space="preserve">he most appropriate way to simulate memory delay is beyond the scope of this paper. </w:t>
      </w:r>
      <w:r w:rsidR="00041E3A" w:rsidRPr="004946F6">
        <w:rPr>
          <w:lang w:bidi="he-IL"/>
        </w:rPr>
        <w:t xml:space="preserve">Further research is needed to decide on the value of each of the parameters </w:t>
      </w:r>
      <w:r w:rsidR="000212E8" w:rsidRPr="004946F6">
        <w:rPr>
          <w:lang w:bidi="he-IL"/>
        </w:rPr>
        <w:t xml:space="preserve">that might change with delay </w:t>
      </w:r>
      <w:r w:rsidR="00041E3A" w:rsidRPr="004946F6">
        <w:rPr>
          <w:lang w:bidi="he-IL"/>
        </w:rPr>
        <w:t xml:space="preserve">in a particular </w:t>
      </w:r>
      <w:r w:rsidR="000212E8" w:rsidRPr="004946F6">
        <w:rPr>
          <w:lang w:bidi="he-IL"/>
        </w:rPr>
        <w:t>set-up. In order to examine the predictions of eCMR for delayed effects of emotion on memory</w:t>
      </w:r>
      <w:r>
        <w:rPr>
          <w:lang w:bidi="he-IL"/>
        </w:rPr>
        <w:t xml:space="preserve"> here </w:t>
      </w:r>
      <w:r w:rsidR="000212E8" w:rsidRPr="004946F6">
        <w:rPr>
          <w:lang w:bidi="he-IL"/>
        </w:rPr>
        <w:t xml:space="preserve">we utilised a combination of the approaches </w:t>
      </w:r>
      <w:r w:rsidR="00B22AE7" w:rsidRPr="004946F6">
        <w:rPr>
          <w:lang w:bidi="he-IL"/>
        </w:rPr>
        <w:t>implemented in retrieved context models elsewhere</w:t>
      </w:r>
      <w:r w:rsidR="00CD3BCE">
        <w:rPr>
          <w:lang w:bidi="he-IL"/>
        </w:rPr>
        <w:t>, as described below</w:t>
      </w:r>
      <w:r w:rsidR="000212E8" w:rsidRPr="004946F6">
        <w:rPr>
          <w:lang w:bidi="he-IL"/>
        </w:rPr>
        <w:t>.</w:t>
      </w:r>
      <w:r w:rsidR="00041E3A" w:rsidRPr="004946F6">
        <w:rPr>
          <w:lang w:bidi="he-IL"/>
        </w:rPr>
        <w:t xml:space="preserve"> </w:t>
      </w:r>
      <w:r w:rsidR="000212E8" w:rsidRPr="004946F6">
        <w:rPr>
          <w:lang w:bidi="he-IL"/>
        </w:rPr>
        <w:t xml:space="preserve">Therefore, </w:t>
      </w:r>
      <w:r w:rsidR="00041E3A" w:rsidRPr="004946F6">
        <w:rPr>
          <w:lang w:bidi="he-IL"/>
        </w:rPr>
        <w:t xml:space="preserve">Simulation 3 </w:t>
      </w:r>
      <w:r w:rsidR="000212E8" w:rsidRPr="004946F6">
        <w:rPr>
          <w:lang w:bidi="he-IL"/>
        </w:rPr>
        <w:t xml:space="preserve">could be seen as </w:t>
      </w:r>
      <w:r w:rsidR="00041E3A" w:rsidRPr="004946F6">
        <w:rPr>
          <w:lang w:bidi="he-IL"/>
        </w:rPr>
        <w:t>a</w:t>
      </w:r>
      <w:r w:rsidR="00C34641" w:rsidRPr="004946F6">
        <w:rPr>
          <w:lang w:bidi="he-IL"/>
        </w:rPr>
        <w:t xml:space="preserve"> proof of concept </w:t>
      </w:r>
      <w:r w:rsidR="000212E8" w:rsidRPr="004946F6">
        <w:rPr>
          <w:lang w:bidi="he-IL"/>
        </w:rPr>
        <w:t xml:space="preserve">for </w:t>
      </w:r>
      <w:r w:rsidR="00C34641" w:rsidRPr="004946F6">
        <w:rPr>
          <w:lang w:bidi="he-IL"/>
        </w:rPr>
        <w:t xml:space="preserve">greater </w:t>
      </w:r>
      <w:r w:rsidR="000212E8" w:rsidRPr="004946F6">
        <w:rPr>
          <w:lang w:bidi="he-IL"/>
        </w:rPr>
        <w:t>effects of emotion</w:t>
      </w:r>
      <w:r w:rsidR="00C34641" w:rsidRPr="004946F6">
        <w:rPr>
          <w:lang w:bidi="he-IL"/>
        </w:rPr>
        <w:t xml:space="preserve"> in delayed tests</w:t>
      </w:r>
      <w:r w:rsidR="000212E8" w:rsidRPr="004946F6">
        <w:rPr>
          <w:lang w:bidi="he-IL"/>
        </w:rPr>
        <w:t>, rather than a commitment for a particular implementation</w:t>
      </w:r>
      <w:r w:rsidR="00041E3A" w:rsidRPr="004946F6">
        <w:rPr>
          <w:lang w:bidi="he-IL"/>
        </w:rPr>
        <w:t xml:space="preserve">. </w:t>
      </w:r>
      <w:r w:rsidR="00FC0D99" w:rsidRPr="004946F6">
        <w:rPr>
          <w:lang w:bidi="he-IL"/>
        </w:rPr>
        <w:t>To show this most clearly, Simulation 3 implements a classic experiment where emotional items had an increased free-recall advantage in a delayed</w:t>
      </w:r>
      <w:r w:rsidR="00B56E09">
        <w:rPr>
          <w:lang w:bidi="he-IL"/>
        </w:rPr>
        <w:t xml:space="preserve"> test</w:t>
      </w:r>
      <w:r w:rsidR="00FC0D99" w:rsidRPr="004946F6">
        <w:rPr>
          <w:lang w:bidi="he-IL"/>
        </w:rPr>
        <w:t xml:space="preserve">, compared to an immediate test </w:t>
      </w:r>
      <w:r w:rsidR="00FC0D99" w:rsidRPr="004946F6">
        <w:rPr>
          <w:lang w:bidi="he-IL"/>
        </w:rPr>
        <w:fldChar w:fldCharType="begin" w:fldLock="1"/>
      </w:r>
      <w:r w:rsidR="008C25E5" w:rsidRPr="004946F6">
        <w:rPr>
          <w:lang w:bidi="he-IL"/>
        </w:rPr>
        <w:instrText>ADDIN CSL_CITATION { "citationItems" : [ { "id" : "ITEM-1", "itemData" : { "DOI" : "10.1111/1467-9280.00090", "ISBN" : "0956-7976 1467-9280", "ISSN" : "0956-7976", "abstract" : "Although the influence of emotional arousal on declarative memory has been documented behaviorally, the mechanisms underlying arousal-memory interactions and their representation in the human brain remain uncertain. One route through which arousal achieves its effects on memory performance is by regulating consolidation processes. Animal research has revealed that the amygdala strengthens hippocampal-dependent memory consolidation in a limited time window following participation in an arousing task. To examine whether this integrative function of amygdalo-hippocampal structures extends to the human brain, we tested unilateral-temporallobectomy patients on an adaptation of a classic paradigm in which levels of physiological arousal at encoding modulate retention over time. Subjects rated emotionally arousing (taboo) and neutral words on an arousal scale while their skin conductance responses (SCRs) were monitored. Recall for the words was assessed immediately and after a 1-hr delay. Both temporal-lobectomy patients and control subjects generated enhanced SCRs and arousal ratings for the arousing words at the time of encoding. However, only control subjects exhibited an increase in memory for the arousing words over time. This group difference in the effect of arousal on the rate of forgetting suggests that the role of medial temporal lobe structures in memory consolidation for arousing events is conserved across species.", "author" : [ { "dropping-particle" : "", "family" : "LaBar", "given" : "Kevin. S.", "non-dropping-particle" : "", "parse-names" : false, "suffix" : "" }, { "dropping-particle" : "", "family" : "Phelps", "given" : "E. a.", "non-dropping-particle" : "", "parse-names" : false, "suffix" : "" } ], "container-title" : "Psychological science", "id" : "ITEM-1", "issue" : "6", "issued" : { "date-parts" : [ [ "1998" ] ] }, "page" : "490-493", "title" : "Arousal-Mediated Memory Consolidation: Role of the Medial Temporal Lobe in Humans", "type" : "article-journal", "volume" : "9" }, "uris" : [ "http://www.mendeley.com/documents/?uuid=9f79c543-73a4-4119-9e33-10029b68f883" ] } ], "mendeley" : { "formattedCitation" : "(LaBar &amp; Phelps, 1998)", "manualFormatting" : "(LaBar &amp; Phelps, 1998)", "plainTextFormattedCitation" : "(LaBar &amp; Phelps, 1998)", "previouslyFormattedCitation" : "(LaBar &amp; Phelps, 1998)" }, "properties" : { "noteIndex" : 0 }, "schema" : "https://github.com/citation-style-language/schema/raw/master/csl-citation.json" }</w:instrText>
      </w:r>
      <w:r w:rsidR="00FC0D99" w:rsidRPr="004946F6">
        <w:rPr>
          <w:lang w:bidi="he-IL"/>
        </w:rPr>
        <w:fldChar w:fldCharType="separate"/>
      </w:r>
      <w:r w:rsidR="00FC0D99" w:rsidRPr="004946F6">
        <w:rPr>
          <w:noProof/>
          <w:lang w:bidi="he-IL"/>
        </w:rPr>
        <w:t>(LaBar &amp; Phelps, 1998)</w:t>
      </w:r>
      <w:r w:rsidR="00FC0D99" w:rsidRPr="004946F6">
        <w:rPr>
          <w:lang w:bidi="he-IL"/>
        </w:rPr>
        <w:fldChar w:fldCharType="end"/>
      </w:r>
      <w:r w:rsidR="00FC0D99" w:rsidRPr="004946F6">
        <w:rPr>
          <w:lang w:bidi="he-IL"/>
        </w:rPr>
        <w:t>.</w:t>
      </w:r>
    </w:p>
    <w:p w14:paraId="114FE454" w14:textId="77777777" w:rsidR="00FE5AD2" w:rsidRPr="004946F6" w:rsidRDefault="00FE5AD2" w:rsidP="0032660B">
      <w:pPr>
        <w:spacing w:line="480" w:lineRule="auto"/>
        <w:jc w:val="both"/>
        <w:rPr>
          <w:lang w:bidi="he-IL"/>
        </w:rPr>
      </w:pPr>
    </w:p>
    <w:p w14:paraId="40F71CB8" w14:textId="64FA72D8" w:rsidR="00FE5AD2" w:rsidRPr="004946F6" w:rsidRDefault="00F0282F" w:rsidP="000D7524">
      <w:pPr>
        <w:spacing w:line="480" w:lineRule="auto"/>
        <w:jc w:val="both"/>
        <w:rPr>
          <w:b/>
          <w:bCs/>
          <w:i/>
          <w:iCs/>
        </w:rPr>
      </w:pPr>
      <w:r w:rsidRPr="004946F6">
        <w:rPr>
          <w:b/>
          <w:bCs/>
          <w:i/>
          <w:iCs/>
        </w:rPr>
        <w:t>3</w:t>
      </w:r>
      <w:r w:rsidR="00FE5AD2" w:rsidRPr="004946F6">
        <w:rPr>
          <w:b/>
          <w:bCs/>
          <w:i/>
          <w:iCs/>
        </w:rPr>
        <w:t xml:space="preserve">.1 </w:t>
      </w:r>
      <w:r w:rsidR="000D7524" w:rsidRPr="004946F6">
        <w:rPr>
          <w:b/>
          <w:bCs/>
          <w:i/>
          <w:iCs/>
        </w:rPr>
        <w:t>A description of empirical data from LaBar and Phelps, 1998</w:t>
      </w:r>
    </w:p>
    <w:p w14:paraId="63158D24" w14:textId="50A1B8BD" w:rsidR="00F06528" w:rsidRPr="004946F6" w:rsidRDefault="00A677CB">
      <w:pPr>
        <w:spacing w:line="480" w:lineRule="auto"/>
        <w:jc w:val="both"/>
        <w:rPr>
          <w:lang w:bidi="he-IL"/>
        </w:rPr>
      </w:pPr>
      <w:r w:rsidRPr="004946F6">
        <w:rPr>
          <w:lang w:bidi="he-IL"/>
        </w:rPr>
        <w:t xml:space="preserve">LaBar </w:t>
      </w:r>
      <w:r w:rsidR="00404804" w:rsidRPr="004946F6">
        <w:rPr>
          <w:lang w:bidi="he-IL"/>
        </w:rPr>
        <w:t xml:space="preserve">and </w:t>
      </w:r>
      <w:r w:rsidR="00F06528" w:rsidRPr="004946F6">
        <w:rPr>
          <w:lang w:bidi="he-IL"/>
        </w:rPr>
        <w:t xml:space="preserve">Phelps </w:t>
      </w:r>
      <w:r w:rsidR="002D025B" w:rsidRPr="004946F6">
        <w:rPr>
          <w:lang w:bidi="he-IL"/>
        </w:rPr>
        <w:t xml:space="preserve">(1998) </w:t>
      </w:r>
      <w:r w:rsidR="00F06528" w:rsidRPr="004946F6">
        <w:rPr>
          <w:lang w:bidi="he-IL"/>
        </w:rPr>
        <w:t>studied healthy controls</w:t>
      </w:r>
      <w:r w:rsidR="00FE5AD2" w:rsidRPr="004946F6">
        <w:rPr>
          <w:lang w:bidi="he-IL"/>
        </w:rPr>
        <w:t xml:space="preserve"> as well as patients with unilateral temporal lobectomy</w:t>
      </w:r>
      <w:r w:rsidR="00F06528" w:rsidRPr="004946F6">
        <w:rPr>
          <w:lang w:bidi="he-IL"/>
        </w:rPr>
        <w:t>. Participants incidentally encoded a single mixed list of 20 low-frequency neutral words and 20 taboo words. Four buffer words were also included, two in the beginning and two at the end of the list. During encoding participants rated how arousing the words were. A free recall test was administered immediately and after a 1-hour filled delay. The researchers found an immediate increase in the number of taboo words recalled, which they attributed to the increased inter-relatedness of these words compared to the neutral words. Strikingly, participants forgot fewer taboo words, so that their memory advantage was greater after one hour than it was immediately, an effect they attributed to the effect of arousal on consolidation</w:t>
      </w:r>
      <w:r w:rsidR="00F0551C" w:rsidRPr="004946F6">
        <w:rPr>
          <w:lang w:bidi="he-IL"/>
        </w:rPr>
        <w:t xml:space="preserve"> </w:t>
      </w:r>
      <w:r w:rsidR="00851846" w:rsidRPr="004946F6">
        <w:rPr>
          <w:lang w:bidi="he-IL"/>
        </w:rPr>
        <w:t>(</w:t>
      </w:r>
      <w:r w:rsidR="001D09BB">
        <w:rPr>
          <w:lang w:bidi="he-IL"/>
        </w:rPr>
        <w:fldChar w:fldCharType="begin"/>
      </w:r>
      <w:r w:rsidR="001D09BB">
        <w:rPr>
          <w:lang w:bidi="he-IL"/>
        </w:rPr>
        <w:instrText xml:space="preserve"> REF Figure7 \h </w:instrText>
      </w:r>
      <w:r w:rsidR="001D09BB">
        <w:rPr>
          <w:lang w:bidi="he-IL"/>
        </w:rPr>
      </w:r>
      <w:r w:rsidR="001D09BB">
        <w:rPr>
          <w:lang w:bidi="he-IL"/>
        </w:rPr>
        <w:fldChar w:fldCharType="separate"/>
      </w:r>
      <w:r w:rsidR="001D09BB" w:rsidRPr="004946F6">
        <w:rPr>
          <w:b/>
          <w:bCs/>
          <w:i/>
          <w:iCs/>
        </w:rPr>
        <w:t xml:space="preserve">FIGURE </w:t>
      </w:r>
      <w:r w:rsidR="001D09BB">
        <w:rPr>
          <w:b/>
          <w:bCs/>
          <w:i/>
          <w:iCs/>
        </w:rPr>
        <w:t>7</w:t>
      </w:r>
      <w:r w:rsidR="001D09BB">
        <w:rPr>
          <w:lang w:bidi="he-IL"/>
        </w:rPr>
        <w:fldChar w:fldCharType="end"/>
      </w:r>
      <w:r w:rsidR="00851846" w:rsidRPr="004946F6">
        <w:rPr>
          <w:lang w:bidi="he-IL"/>
        </w:rPr>
        <w:t>)</w:t>
      </w:r>
      <w:r w:rsidR="00F06528" w:rsidRPr="004946F6">
        <w:rPr>
          <w:lang w:bidi="he-IL"/>
        </w:rPr>
        <w:t xml:space="preserve">. </w:t>
      </w:r>
      <w:r w:rsidR="00FF3245" w:rsidRPr="004946F6">
        <w:rPr>
          <w:lang w:bidi="he-IL"/>
        </w:rPr>
        <w:t xml:space="preserve">The impact of this </w:t>
      </w:r>
      <w:r w:rsidR="00687B69" w:rsidRPr="004946F6">
        <w:rPr>
          <w:lang w:bidi="he-IL"/>
        </w:rPr>
        <w:t>work</w:t>
      </w:r>
      <w:r w:rsidR="00B56E09">
        <w:rPr>
          <w:lang w:bidi="he-IL"/>
        </w:rPr>
        <w:t>, which has been cited over 200 times (retrieved from Web of Science, July 2018)</w:t>
      </w:r>
      <w:r w:rsidR="00FF3245" w:rsidRPr="004946F6">
        <w:rPr>
          <w:lang w:bidi="he-IL"/>
        </w:rPr>
        <w:t xml:space="preserve"> is due</w:t>
      </w:r>
      <w:r w:rsidR="00C34641" w:rsidRPr="004946F6">
        <w:rPr>
          <w:lang w:bidi="he-IL"/>
        </w:rPr>
        <w:t>, in part,</w:t>
      </w:r>
      <w:r w:rsidR="00FF3245" w:rsidRPr="004946F6">
        <w:rPr>
          <w:lang w:bidi="he-IL"/>
        </w:rPr>
        <w:t xml:space="preserve"> to the finding that </w:t>
      </w:r>
      <w:r w:rsidR="00FE5AD2" w:rsidRPr="004946F6">
        <w:rPr>
          <w:lang w:bidi="he-IL"/>
        </w:rPr>
        <w:t xml:space="preserve">the </w:t>
      </w:r>
      <w:r w:rsidR="00FF3245" w:rsidRPr="004946F6">
        <w:rPr>
          <w:lang w:bidi="he-IL"/>
        </w:rPr>
        <w:t xml:space="preserve">participants with temporal lobectomy </w:t>
      </w:r>
      <w:r w:rsidR="00C4403D" w:rsidRPr="004946F6">
        <w:rPr>
          <w:lang w:bidi="he-IL"/>
        </w:rPr>
        <w:t>forgot taboo and neutral words at the same rate, in agreement with the hypothesis that the attenuated forgetting of emotionally</w:t>
      </w:r>
      <w:r w:rsidR="00F0278E" w:rsidRPr="004946F6">
        <w:rPr>
          <w:lang w:bidi="he-IL"/>
        </w:rPr>
        <w:t xml:space="preserve"> </w:t>
      </w:r>
      <w:r w:rsidR="00C4403D" w:rsidRPr="004946F6">
        <w:rPr>
          <w:lang w:bidi="he-IL"/>
        </w:rPr>
        <w:t>arousing material is driven by the amygdala</w:t>
      </w:r>
      <w:r w:rsidR="008708A2" w:rsidRPr="004946F6">
        <w:rPr>
          <w:lang w:bidi="he-IL"/>
        </w:rPr>
        <w:t xml:space="preserve"> </w:t>
      </w:r>
      <w:r w:rsidR="008708A2" w:rsidRPr="004946F6">
        <w:rPr>
          <w:lang w:bidi="he-IL"/>
        </w:rPr>
        <w:fldChar w:fldCharType="begin" w:fldLock="1"/>
      </w:r>
      <w:r w:rsidR="008C25E5" w:rsidRPr="004946F6">
        <w:rPr>
          <w:lang w:bidi="he-IL"/>
        </w:rPr>
        <w:instrText>ADDIN CSL_CITATION { "citationItems" : [ { "id" : "ITEM-1", "itemData" : { "DOI" : "10.1038/nrn1825", "ISBN" : "1471-0048", "ISSN" : "1471-003X", "PMID" : "16371950", "abstract" : "Emotional events often attain a privileged status in memory. Cognitive neuroscientists have begun to elucidate the psychological and neural mechanisms underlying emotional retention advantages in the human brain. The amygdala is a brain structure that directly mediates aspects of emotional learning and facilitates memory operations in other regions, including the hippocampus and prefrontal cortex. Emotion-memory interactions occur at various stages of information processing, from the initial encoding and consolidation of memory traces to their long-term retrieval. Recent advances are revealing new insights into the reactivation of latent emotional associations and the recollection of personal episodes from the remote past.", "author" : [ { "dropping-particle" : "", "family" : "LaBar", "given" : "Kevin S", "non-dropping-particle" : "", "parse-names" : false, "suffix" : "" }, { "dropping-particle" : "", "family" : "Cabeza", "given" : "Roberto", "non-dropping-particle" : "", "parse-names" : false, "suffix" : "" } ], "container-title" : "Nature Reviews Neuroscience", "id" : "ITEM-1", "issue" : "1", "issued" : { "date-parts" : [ [ "2006" ] ] }, "page" : "54-64", "title" : "Cognitive neuroscience of emotional memory", "type" : "article-journal", "volume" : "7" }, "uris" : [ "http://www.mendeley.com/documents/?uuid=8435b6a5-0ec0-429e-b8ab-b040a2adc758" ] } ], "mendeley" : { "formattedCitation" : "(LaBar &amp; Cabeza, 2006)", "plainTextFormattedCitation" : "(LaBar &amp; Cabeza, 2006)", "previouslyFormattedCitation" : "(LaBar &amp; Cabeza, 2006)" }, "properties" : { "noteIndex" : 0 }, "schema" : "https://github.com/citation-style-language/schema/raw/master/csl-citation.json" }</w:instrText>
      </w:r>
      <w:r w:rsidR="008708A2" w:rsidRPr="004946F6">
        <w:rPr>
          <w:lang w:bidi="he-IL"/>
        </w:rPr>
        <w:fldChar w:fldCharType="separate"/>
      </w:r>
      <w:r w:rsidR="008708A2" w:rsidRPr="004946F6">
        <w:rPr>
          <w:noProof/>
          <w:lang w:bidi="he-IL"/>
        </w:rPr>
        <w:t>(LaBar &amp; Cabeza, 2006)</w:t>
      </w:r>
      <w:r w:rsidR="008708A2" w:rsidRPr="004946F6">
        <w:rPr>
          <w:lang w:bidi="he-IL"/>
        </w:rPr>
        <w:fldChar w:fldCharType="end"/>
      </w:r>
      <w:r w:rsidR="00C4403D" w:rsidRPr="004946F6">
        <w:rPr>
          <w:lang w:bidi="he-IL"/>
        </w:rPr>
        <w:t xml:space="preserve">. </w:t>
      </w:r>
    </w:p>
    <w:p w14:paraId="19C75177" w14:textId="1F53EFFB" w:rsidR="00B56E09" w:rsidRPr="004946F6" w:rsidRDefault="00B56E09">
      <w:pPr>
        <w:spacing w:line="480" w:lineRule="auto"/>
        <w:jc w:val="both"/>
        <w:rPr>
          <w:lang w:bidi="he-IL"/>
        </w:rPr>
      </w:pPr>
      <w:r w:rsidRPr="004946F6">
        <w:t xml:space="preserve">Notably, although the results suggested an </w:t>
      </w:r>
      <w:r w:rsidRPr="004946F6">
        <w:rPr>
          <w:i/>
          <w:iCs/>
        </w:rPr>
        <w:t>increase</w:t>
      </w:r>
      <w:r w:rsidRPr="004946F6">
        <w:t xml:space="preserve"> in emotional memory after a delay, in the empirical data the interaction between item type and time was significant, but not the simple effects.</w:t>
      </w:r>
      <w:r>
        <w:t xml:space="preserve"> </w:t>
      </w:r>
      <w:r w:rsidR="005E0A12">
        <w:t>W</w:t>
      </w:r>
      <w:r w:rsidR="00CD3BCE">
        <w:t xml:space="preserve">hile steeper proportional forgetting of neutral items </w:t>
      </w:r>
      <w:r w:rsidR="005E0A12">
        <w:t xml:space="preserve">in free recall </w:t>
      </w:r>
      <w:r w:rsidR="00CD3BCE">
        <w:t>has been reported by others</w:t>
      </w:r>
      <w:r>
        <w:t xml:space="preserve"> </w:t>
      </w:r>
      <w:r>
        <w:fldChar w:fldCharType="begin" w:fldLock="1"/>
      </w:r>
      <w:r w:rsidR="001D24FF">
        <w:instrText>ADDIN CSL_CITATION { "citationItems" : [ { "id" : "ITEM-1", "itemData" : { "ISSN" : "0278-7393", "PMID" : "1532823", "abstract" : "Incidental memory performance for pictures that varied along the affective dimensions of pleasantness and arousal was assessed. For both an immediate and delayed (1 year later) free-recall task, only the arousal dimension had a stable effect on memory performance: Pictures rated as highly arousing were remembered better than low-arousal stimuli. This effect was corroborated in a speeded recognition test, in which high-arousal materials encoded earlier in the experiment produced faster reaction times than their low-arousal counterparts. Pleasantness affected reaction time decisions only for pictures not encoded earlier. These results suggest that whereas both the dimensions of pleasantness and arousal are processed at initial encoding, long-term memory performance is mainly affected by arousal.", "author" : [ { "dropping-particle" : "", "family" : "Bradley", "given" : "Margaret M.", "non-dropping-particle" : "", "parse-names" : false, "suffix" : "" }, { "dropping-particle" : "", "family" : "Greenwald", "given" : "M K", "non-dropping-particle" : "", "parse-names" : false, "suffix" : "" }, { "dropping-particle" : "", "family" : "Petry", "given" : "M C", "non-dropping-particle" : "", "parse-names" : false, "suffix" : "" }, { "dropping-particle" : "", "family" : "Lang", "given" : "Peter J.", "non-dropping-particle" : "", "parse-names" : false, "suffix" : "" } ], "container-title" : "Journal of experimental psychology. Learning, memory, and cognition", "id" : "ITEM-1", "issue" : "2", "issued" : { "date-parts" : [ [ "1992", "3" ] ] }, "page" : "379-90", "title" : "Remembering pictures: pleasure and arousal in memory.", "type" : "article-journal", "volume" : "18" }, "uris" : [ "http://www.mendeley.com/documents/?uuid=cbd1a4c5-6378-4d3a-b50c-8d2687bc07c3" ] }, { "id" : "ITEM-2", "itemData" : { "DOI" : "10.1002/acp.2350010402", "ISBN" : "08884080", "ISSN" : "10990720", "PMID" : "11991747", "abstract" : "This research compares memory for traumatic events with memory for non-traumatic versions of the same event. In Experiment 1, subjects watched an event depicted in slides while focusing and rehearsing the central detail of each slide. They were tested after a short or a longer retention interval (20 min or 2 weeks). Subjects who watched the traumatic version were better able to recall the central details that they had rehearsed, but were less well able to recognize the specific slides that they saw. Better recall for the traumatic group did not occur because the words used to describe the recalled details were inherently more memorable, as shown in Experiment 2. In Experiment 3, subjects watched either a traumatic or non-traumatic version of a filmed event and about 6 months later they were asked to remember the essence of the film. Subjects who saw the traumatic version were better able to recall the essence of the film. A similar finding was obtained with a group of subjects from Experiment 1 who were also contacted about 6 months after their initial participation. These results suggest that some information (the essence, the theme) of a traumatic event might be relatively well retained in memory, while memory is impaired for many of the specific, and especially peripheral, details.", "author" : [ { "dropping-particle" : "", "family" : "Christianson", "given" : "Sven\u2010\u00e5ke", "non-dropping-particle" : "", "parse-names" : false, "suffix" : "" }, { "dropping-particle" : "", "family" : "Loftus", "given" : "Elizabeth F.", "non-dropping-particle" : "", "parse-names" : false, "suffix" : "" } ], "container-title" : "Applied Cognitive Psychology", "id" : "ITEM-2", "issue" : "4", "issued" : { "date-parts" : [ [ "1987" ] ] }, "page" : "225-239", "title" : "Memory for traumatic events", "type" : "article-journal", "volume" : "1" }, "uris" : [ "http://www.mendeley.com/documents/?uuid=42a593ef-4bf1-44c5-a46d-56205284b692", "http://www.mendeley.com/documents/?uuid=7a9d643b-6c91-4c98-97d7-7a6942bceb95" ] }, { "id" : "ITEM-3", "itemData" : { "DOI" : "10.1111/j.1467-9450.1984.tb01007.x", "ISBN" : "0036-5564\\r1467-9450", "ISSN" : "14679450", "PMID" : "6463613", "abstract" : "Tested the hypothesis that arousal and amnesia might be related, that amnesia induced in the laboratory might be mediated by high levels of arousal. 64 17\u00e2\u20ac\u201c25 yr old students were presented with a thematic, short story in pictorial form. One version of the story consisted of a traumatic, arousal-inducing event placed between neutral events. A 2nd version contained the same neutral events in the beginning and the end, but also a neutral event in the middle. Palmar skin conductance, heart rate, and subjective self-ratings were used as measurements. Results show that the manipulation caused different degrees of emotional arousal for the 2 groups of Ss presented with the different versions of the story. Memory performance was determined by recall and recognition. Data show that amnesia induced in the laboratory was mediated by emotional arousal in terms of concepts of \"attention\" and \"reconstruction.\" (42 ref) (PsycINFO Database Record (c) 2010 APA, all rights reserved)", "author" : [ { "dropping-particle" : "", "family" : "Christianson", "given" : "Sven\u2010\u00e5ke", "non-dropping-particle" : "", "parse-names" : false, "suffix" : "" } ], "container-title" : "Scandinavian Journal of Psychology", "id" : "ITEM-3", "issue" : "2", "issued" : { "date-parts" : [ [ "1984" ] ] }, "page" : "147-160", "title" : "The relationship between induced emotional arousal and amnesia", "type" : "article-journal", "volume" : "25" }, "uris" : [ "http://www.mendeley.com/documents/?uuid=1a0ba556-054c-40f0-9489-89ddd03cdde1", "http://www.mendeley.com/documents/?uuid=919192f5-7fb4-4e27-881b-5adfd15d1fbf" ] }, { "id" : "ITEM-4", "itemData" : { "DOI" : "10.3758/BF03334336", "ISBN" : "0090-5054", "ISSN" : "00905054", "abstract" : "This study is one of a series designed to test a general theory of perseverative consolidation. The theory states the expectations that consolidation will be accompanied by a negative bias against repetition during its course and that an increase in arousal will produce an increase in the negative bias against repetition as well as an increase in the ultimate capacity to recall. Seventy-two Ss were divided into 9 groups. Learning consisted of one trial with a list composed of 8 stimulus words and single digit numbers as response items. Three groups learned a high-arousal list, 3 groups a low-arousal list, and 3 learned a mixed list. Within each list type, one group recalled the list at 2 min. after learning, one group at 45 min., and one group at 1 week. The low-arousal list showed high immediate recall which decreased with time. The higharousal list showed some rise in recall with time. Other analyses agreed with the results of Kleinsmith and Kaplan (1963b) showing high immediate and low ultimate recall for items learned under low arousal, and low immediate recall and high ultimate recall for items learned under high arousal. Analyses are presented to account for the strong recency effect in the serial position curve for 2-min. recall in terms of short-term memory, and to account for the strong primacy effect in the one week recall serial position curve on the basis of arousal by serial position. \u00a9 1963 Academic Press Inc. All rights reserved.", "author" : [ { "dropping-particle" : "", "family" : "Farley", "given" : "Frank H.", "non-dropping-particle" : "", "parse-names" : false, "suffix" : "" } ], "container-title" : "Bulletin of the Psychonomic Society", "id" : "ITEM-4", "issue" : "3", "issued" : { "date-parts" : [ [ "1973" ] ] }, "page" : "187-189", "title" : "Memory storage in free recall learning as a function of arousal and time with homogeneous and heterogeneous lists", "type" : "article-journal", "volume" : "1" }, "uris" : [ "http://www.mendeley.com/documents/?uuid=5de7b84e-9fda-4426-abf6-058bd4351dd0", "http://www.mendeley.com/documents/?uuid=aeb46e10-7529-4dc6-9cc9-d3a18f2e05dc" ] } ], "mendeley" : { "formattedCitation" : "(M. M. Bradley, Greenwald, Petry, &amp; Lang, 1992; Christianson, 1984; Christianson &amp; Loftus, 1987; Farley, 1973)", "manualFormatting" : "(e.g. Bradley, Greenwald, Petry, &amp; Lang, 1992; Christianson &amp; Loftus, 1987; Christianson, 1984; Farley, 1973)", "plainTextFormattedCitation" : "(M. M. Bradley, Greenwald, Petry, &amp; Lang, 1992; Christianson, 1984; Christianson &amp; Loftus, 1987; Farley, 1973)", "previouslyFormattedCitation" : "(M. M. Bradley, Greenwald, Petry, &amp; Lang, 1992; Christianson, 1984; Christianson &amp; Loftus, 1987; Farley, 1973)" }, "properties" : { "noteIndex" : 0 }, "schema" : "https://github.com/citation-style-language/schema/raw/master/csl-citation.json" }</w:instrText>
      </w:r>
      <w:r>
        <w:fldChar w:fldCharType="separate"/>
      </w:r>
      <w:r w:rsidRPr="00EB3E23">
        <w:rPr>
          <w:noProof/>
        </w:rPr>
        <w:t>(</w:t>
      </w:r>
      <w:r>
        <w:rPr>
          <w:noProof/>
        </w:rPr>
        <w:t xml:space="preserve">e.g. </w:t>
      </w:r>
      <w:r w:rsidRPr="00EB3E23">
        <w:rPr>
          <w:noProof/>
        </w:rPr>
        <w:t>Bradley, Greenwald, Petry, &amp; Lang, 1992; Christianson &amp; Loftus, 1987; Christianson, 1984; Farley, 1973)</w:t>
      </w:r>
      <w:r>
        <w:fldChar w:fldCharType="end"/>
      </w:r>
      <w:r>
        <w:t xml:space="preserve">, </w:t>
      </w:r>
      <w:r w:rsidR="00CD3BCE">
        <w:t>there are also contradictory reports</w:t>
      </w:r>
      <w:r>
        <w:t xml:space="preserve"> </w:t>
      </w:r>
      <w:r>
        <w:fldChar w:fldCharType="begin" w:fldLock="1"/>
      </w:r>
      <w:r w:rsidR="00AB7648">
        <w:instrText>ADDIN CSL_CITATION { "citationItems" : [ { "id" : "ITEM-1", "itemData" : { "DOI" : "10.1016/j.nlm.2008.02.002", "ISBN" : "1074-7427", "ISSN" : "10747427", "PMID" : "18334304", "abstract" : "Stress can have enhancing or impairing effects on memory. Here, we addressed the effect of pre-learning stress on subsequent memory and asked whether neutral and emotionally valent information are differentially affected by specific stress components, autonomic arousal and stress-induced cortisol. Ninety-six healthy men and women underwent either a stressor (modified cold pressor test) or a control warm water exposure. During stress, participants showed comparable autonomic arousal (heart rate, blood pressure), while 60 percent showed an increase of cortisol (responders vs. 40 percent non-responders). Ten minutes after the cold pressor test neutral, positive and negative words were presented. Free recall was tested 1 and 24 h later. Overall, positive and negative words were better recalled than neutral words. Stress enhanced the recall of neutral words independently of cortisol response. In contrast, the free recall of negative words was enhanced in cortisol responders in the 1-h but not 24-h test which might suggest different effects of cortisol on consolidation and reconsolidation processes. Recall for positive words was unaffected by stress-induced cortisol. To summarize, (i) pre-learning stress can enhance memory for neutral words independently of cortisol and (ii) stress effects on memory for negative words appear to rely on stress-induced cortisol elevations, the absence of this effect for positive words might be at least partly due to differences in arousal evoked by positive vs. negative words. \u00a9 2008 Elsevier Inc. All rights reserved.", "author" : [ { "dropping-particle" : "", "family" : "Schwabe", "given" : "Lars", "non-dropping-particle" : "", "parse-names" : false, "suffix" : "" }, { "dropping-particle" : "", "family" : "Bohringer", "given" : "Andreas", "non-dropping-particle" : "", "parse-names" : false, "suffix" : "" }, { "dropping-particle" : "", "family" : "Chatterjee", "given" : "Monischa", "non-dropping-particle" : "", "parse-names" : false, "suffix" : "" }, { "dropping-particle" : "", "family" : "Schachinger", "given" : "Hartmut", "non-dropping-particle" : "", "parse-names" : false, "suffix" : "" } ], "container-title" : "Neurobiology of Learning and Memory", "id" : "ITEM-1", "issue" : "1", "issued" : { "date-parts" : [ [ "2008" ] ] }, "page" : "44-53", "title" : "Effects of pre-learning stress on memory for neutral, positive and negative words: Different roles of cortisol and autonomic arousal", "type" : "article-journal", "volume" : "90" }, "uris" : [ "http://www.mendeley.com/documents/?uuid=188ece9e-e5a2-4334-a3de-c5c4503eeda1", "http://www.mendeley.com/documents/?uuid=64883327-895f-42de-94b1-1d298a7464be" ] }, { "id" : "ITEM-2", "itemData" : { "DOI" : "10.3758/BF03328083", "ISBN" : "0033-3131", "ISSN" : "00333131", "abstract" : "CONTRARY TO IMPLICATIONS OF PREVIOUS PAIRED-ASSOCIATE LEARNING STUDIES AND WALKER'S THEORY, HIGH AROUSAL WORDS SHOWED SUPERIOR IMMEDIATE AS WELL AS DELAYED RETENTION. GSRS WERE RELIABLY GREATER FOR THE HIGH THAN THE LOW AROUSAL WORDS. HIGH AROUSAL WORDS ALSO EVOKED RELIABLY GREATER CEPHALIC VASOCONSTRICTION, DEFENSIVE REFLEXES, THAN LOW AROUSAL WORDS. (PsycINFO Database Record (c) 2010 APA, all rights reserved)", "author" : [ { "dropping-particle" : "", "family" : "Maltzman", "given" : "Irving", "non-dropping-particle" : "", "parse-names" : false, "suffix" : "" }, { "dropping-particle" : "", "family" : "Kantor", "given" : "William", "non-dropping-particle" : "", "parse-names" : false, "suffix" : "" }, { "dropping-particle" : "", "family" : "Langdon", "given" : "Barry", "non-dropping-particle" : "", "parse-names" : false, "suffix" : "" } ], "container-title" : "Psychonomic Science", "id" : "ITEM-2", "issue" : "10", "issued" : { "date-parts" : [ [ "1966" ] ] }, "page" : "445-446", "title" : "Immediate and delayed retention, arousal, and the orienting and defensive reflexes", "type" : "article-journal", "volume" : "6" }, "uris" : [ "http://www.mendeley.com/documents/?uuid=f4c650a0-5169-4305-b11b-b7e21b94f55f", "http://www.mendeley.com/documents/?uuid=db5de5c8-2f01-4daa-bd81-46a975e42b73" ] } ], "mendeley" : { "formattedCitation" : "(Maltzman, Kantor, &amp; Langdon, 1966; Schwabe, Bohringer, Chatterjee, &amp; Schachinger, 2008)", "manualFormatting" : "(e.g. Maltzman, Kantor, &amp; Langdon, 1966; Schwabe, Bohringer, Chatterjee, &amp; Schachinger, 2008)", "plainTextFormattedCitation" : "(Maltzman, Kantor, &amp; Langdon, 1966; Schwabe, Bohringer, Chatterjee, &amp; Schachinger, 2008)", "previouslyFormattedCitation" : "(Maltzman, Kantor, &amp; Langdon, 1966; Schwabe, Bohringer, Chatterjee, &amp; Schachinger, 2008)" }, "properties" : { "noteIndex" : 0 }, "schema" : "https://github.com/citation-style-language/schema/raw/master/csl-citation.json" }</w:instrText>
      </w:r>
      <w:r>
        <w:fldChar w:fldCharType="separate"/>
      </w:r>
      <w:r w:rsidRPr="00EB3E23">
        <w:rPr>
          <w:noProof/>
        </w:rPr>
        <w:t>(</w:t>
      </w:r>
      <w:r>
        <w:rPr>
          <w:noProof/>
        </w:rPr>
        <w:t xml:space="preserve">e.g. </w:t>
      </w:r>
      <w:r w:rsidRPr="00EB3E23">
        <w:rPr>
          <w:noProof/>
        </w:rPr>
        <w:t>Maltzman, Kantor, &amp; Langdon, 1966; Schwabe, Bohringer, Chatterjee, &amp; Schachinger, 2008)</w:t>
      </w:r>
      <w:r>
        <w:fldChar w:fldCharType="end"/>
      </w:r>
      <w:r>
        <w:t xml:space="preserve">. </w:t>
      </w:r>
      <w:r w:rsidR="005E0A12">
        <w:t>In particular, a</w:t>
      </w:r>
      <w:r>
        <w:t xml:space="preserve"> meta-analysis of this issue </w:t>
      </w:r>
      <w:r w:rsidR="005E0A12">
        <w:t xml:space="preserve">could establish not only the magnitude of emotion-modulated forgetting and the conditions that influence it, but also address potential file-drawer biases due to the strong </w:t>
      </w:r>
      <w:r>
        <w:t xml:space="preserve">theoretical predictions of emotion-modulated forgetting. Therefore, while Simulation 3 reveals the conditions that allow such an effect to become manifest, it is not known at present how typical these conditions are in reality.  </w:t>
      </w:r>
    </w:p>
    <w:p w14:paraId="4CD49729" w14:textId="77777777" w:rsidR="000D7524" w:rsidRPr="004946F6" w:rsidRDefault="000D7524" w:rsidP="0032660B">
      <w:pPr>
        <w:spacing w:line="480" w:lineRule="auto"/>
        <w:jc w:val="both"/>
        <w:rPr>
          <w:lang w:bidi="he-IL"/>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928"/>
        <w:gridCol w:w="5045"/>
      </w:tblGrid>
      <w:tr w:rsidR="003C72E2" w:rsidRPr="004946F6" w14:paraId="0E02CFBF" w14:textId="77777777" w:rsidTr="00E54FAD">
        <w:tc>
          <w:tcPr>
            <w:tcW w:w="4928" w:type="dxa"/>
          </w:tcPr>
          <w:p w14:paraId="12B7EE1E" w14:textId="6DDCFFC8" w:rsidR="003C72E2" w:rsidRPr="004946F6" w:rsidRDefault="004657D6" w:rsidP="00BC403A">
            <w:pPr>
              <w:spacing w:line="480" w:lineRule="auto"/>
              <w:rPr>
                <w:lang w:bidi="he-IL"/>
              </w:rPr>
            </w:pPr>
            <w:r w:rsidRPr="004946F6">
              <w:rPr>
                <w:noProof/>
                <w:lang w:eastAsia="en-GB" w:bidi="he-IL"/>
              </w:rPr>
              <w:drawing>
                <wp:inline distT="0" distB="0" distL="0" distR="0" wp14:anchorId="2A44ABB9" wp14:editId="277C93ED">
                  <wp:extent cx="3046414" cy="3124200"/>
                  <wp:effectExtent l="0" t="0" r="20955" b="19050"/>
                  <wp:docPr id="1036" name="Chart 1036"/>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r w:rsidRPr="004946F6" w:rsidDel="004657D6">
              <w:rPr>
                <w:noProof/>
                <w:lang w:eastAsia="en-GB" w:bidi="he-IL"/>
              </w:rPr>
              <w:t xml:space="preserve"> </w:t>
            </w:r>
          </w:p>
        </w:tc>
        <w:tc>
          <w:tcPr>
            <w:tcW w:w="5045" w:type="dxa"/>
          </w:tcPr>
          <w:p w14:paraId="3536AFCB" w14:textId="524D95B7" w:rsidR="003C72E2" w:rsidRPr="004946F6" w:rsidRDefault="00EE7F4D" w:rsidP="00BC403A">
            <w:pPr>
              <w:spacing w:line="480" w:lineRule="auto"/>
              <w:jc w:val="right"/>
              <w:rPr>
                <w:lang w:bidi="he-IL"/>
              </w:rPr>
            </w:pPr>
            <w:r w:rsidRPr="004946F6">
              <w:rPr>
                <w:noProof/>
                <w:lang w:eastAsia="en-GB" w:bidi="he-IL"/>
              </w:rPr>
              <w:drawing>
                <wp:inline distT="0" distB="0" distL="0" distR="0" wp14:anchorId="5E989DE9" wp14:editId="1FEED235">
                  <wp:extent cx="3275013" cy="3124200"/>
                  <wp:effectExtent l="0" t="0" r="20955" b="19050"/>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r w:rsidR="004657D6" w:rsidRPr="004946F6" w:rsidDel="004657D6">
              <w:rPr>
                <w:noProof/>
                <w:lang w:eastAsia="en-GB" w:bidi="he-IL"/>
              </w:rPr>
              <w:t xml:space="preserve"> </w:t>
            </w:r>
          </w:p>
        </w:tc>
      </w:tr>
      <w:tr w:rsidR="001E1EAB" w:rsidRPr="004946F6" w14:paraId="216C898D" w14:textId="77777777" w:rsidTr="00E54FAD">
        <w:tc>
          <w:tcPr>
            <w:tcW w:w="9973" w:type="dxa"/>
            <w:gridSpan w:val="2"/>
          </w:tcPr>
          <w:p w14:paraId="1CE8936D" w14:textId="05756347" w:rsidR="001E1EAB" w:rsidRPr="004946F6" w:rsidRDefault="00D232AD" w:rsidP="00BC403A">
            <w:pPr>
              <w:spacing w:line="480" w:lineRule="auto"/>
              <w:jc w:val="center"/>
              <w:rPr>
                <w:lang w:bidi="he-IL"/>
              </w:rPr>
            </w:pPr>
            <w:r w:rsidRPr="004946F6">
              <w:rPr>
                <w:noProof/>
                <w:lang w:eastAsia="en-GB" w:bidi="he-IL"/>
              </w:rPr>
              <w:drawing>
                <wp:inline distT="0" distB="0" distL="0" distR="0" wp14:anchorId="6CDBA532" wp14:editId="0C05251B">
                  <wp:extent cx="5943600" cy="2261870"/>
                  <wp:effectExtent l="0" t="0" r="0" b="5080"/>
                  <wp:docPr id="26" name="Chart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r w:rsidR="008C221A" w:rsidRPr="004946F6" w:rsidDel="004657D6">
              <w:rPr>
                <w:noProof/>
                <w:lang w:eastAsia="en-GB" w:bidi="he-IL"/>
              </w:rPr>
              <w:t xml:space="preserve"> </w:t>
            </w:r>
          </w:p>
        </w:tc>
      </w:tr>
      <w:tr w:rsidR="001E1EAB" w:rsidRPr="004946F6" w14:paraId="2C717CAB" w14:textId="77777777" w:rsidTr="00E54FAD">
        <w:tc>
          <w:tcPr>
            <w:tcW w:w="9973" w:type="dxa"/>
            <w:gridSpan w:val="2"/>
          </w:tcPr>
          <w:p w14:paraId="5BE5AE9A" w14:textId="6738F968" w:rsidR="001E1EAB" w:rsidRPr="004946F6" w:rsidRDefault="001E1EAB">
            <w:pPr>
              <w:spacing w:line="480" w:lineRule="auto"/>
              <w:rPr>
                <w:b/>
                <w:bCs/>
                <w:i/>
                <w:iCs/>
              </w:rPr>
            </w:pPr>
            <w:bookmarkStart w:id="11" w:name="Figure7"/>
            <w:r w:rsidRPr="004946F6">
              <w:rPr>
                <w:b/>
                <w:bCs/>
                <w:i/>
                <w:iCs/>
              </w:rPr>
              <w:t xml:space="preserve">FIGURE </w:t>
            </w:r>
            <w:r w:rsidR="001D09BB">
              <w:rPr>
                <w:b/>
                <w:bCs/>
                <w:i/>
                <w:iCs/>
              </w:rPr>
              <w:t>7</w:t>
            </w:r>
            <w:bookmarkEnd w:id="11"/>
            <w:r w:rsidRPr="004946F6">
              <w:rPr>
                <w:b/>
                <w:bCs/>
                <w:i/>
                <w:iCs/>
              </w:rPr>
              <w:t xml:space="preserve">. Forgetting effects. </w:t>
            </w:r>
          </w:p>
          <w:p w14:paraId="1568359F" w14:textId="51941062" w:rsidR="001E1EAB" w:rsidRPr="004946F6" w:rsidRDefault="001E1EAB" w:rsidP="00943E2E">
            <w:pPr>
              <w:spacing w:line="480" w:lineRule="auto"/>
              <w:rPr>
                <w:i/>
                <w:iCs/>
              </w:rPr>
            </w:pPr>
            <w:r w:rsidRPr="004946F6">
              <w:rPr>
                <w:b/>
                <w:bCs/>
                <w:i/>
                <w:iCs/>
              </w:rPr>
              <w:t xml:space="preserve">Top: </w:t>
            </w:r>
            <w:r w:rsidRPr="004946F6">
              <w:rPr>
                <w:i/>
                <w:iCs/>
              </w:rPr>
              <w:t>Emotional memory advantage as a function of time delay.</w:t>
            </w:r>
            <w:r w:rsidRPr="004946F6">
              <w:rPr>
                <w:b/>
                <w:bCs/>
                <w:i/>
                <w:iCs/>
              </w:rPr>
              <w:t xml:space="preserve"> Left:</w:t>
            </w:r>
            <w:r w:rsidRPr="004946F6">
              <w:rPr>
                <w:i/>
                <w:iCs/>
              </w:rPr>
              <w:t xml:space="preserve"> Original data adapted from Figure 2 in </w:t>
            </w:r>
            <w:r w:rsidR="00DB5BC9" w:rsidRPr="004946F6">
              <w:rPr>
                <w:i/>
                <w:iCs/>
              </w:rPr>
              <w:t>LaBar and Phelps</w:t>
            </w:r>
            <w:r w:rsidRPr="004946F6">
              <w:rPr>
                <w:i/>
                <w:iCs/>
              </w:rPr>
              <w:t xml:space="preserve"> (1998). Black: taboo words. Grey: neutral words. </w:t>
            </w:r>
            <w:r w:rsidRPr="004946F6">
              <w:rPr>
                <w:b/>
                <w:bCs/>
                <w:i/>
                <w:iCs/>
              </w:rPr>
              <w:t>Right.</w:t>
            </w:r>
            <w:r w:rsidRPr="004946F6">
              <w:rPr>
                <w:i/>
                <w:iCs/>
              </w:rPr>
              <w:t xml:space="preserve"> </w:t>
            </w:r>
            <w:r w:rsidR="0071429F" w:rsidRPr="004946F6">
              <w:rPr>
                <w:i/>
                <w:iCs/>
              </w:rPr>
              <w:t xml:space="preserve">Predictions of </w:t>
            </w:r>
            <w:r w:rsidRPr="004946F6">
              <w:rPr>
                <w:i/>
                <w:iCs/>
              </w:rPr>
              <w:t>Simulation</w:t>
            </w:r>
            <w:r w:rsidR="0071429F" w:rsidRPr="004946F6">
              <w:rPr>
                <w:i/>
                <w:iCs/>
              </w:rPr>
              <w:t>s</w:t>
            </w:r>
            <w:r w:rsidRPr="004946F6">
              <w:rPr>
                <w:i/>
                <w:iCs/>
              </w:rPr>
              <w:t xml:space="preserve"> </w:t>
            </w:r>
            <w:r w:rsidR="0071429F" w:rsidRPr="004946F6">
              <w:rPr>
                <w:i/>
                <w:iCs/>
              </w:rPr>
              <w:t>3I and 3D</w:t>
            </w:r>
            <w:r w:rsidRPr="004946F6">
              <w:rPr>
                <w:rFonts w:eastAsiaTheme="minorEastAsia"/>
                <w:i/>
                <w:iCs/>
              </w:rPr>
              <w:t>.</w:t>
            </w:r>
          </w:p>
          <w:p w14:paraId="59DDC8E9" w14:textId="3856434B" w:rsidR="001E1EAB" w:rsidRPr="004946F6" w:rsidRDefault="001E1EAB" w:rsidP="0042033F">
            <w:pPr>
              <w:spacing w:line="480" w:lineRule="auto"/>
              <w:jc w:val="both"/>
              <w:rPr>
                <w:i/>
                <w:iCs/>
                <w:lang w:bidi="he-IL"/>
              </w:rPr>
            </w:pPr>
            <w:r w:rsidRPr="004946F6">
              <w:rPr>
                <w:b/>
                <w:bCs/>
                <w:i/>
                <w:iCs/>
              </w:rPr>
              <w:t xml:space="preserve">Bottom. </w:t>
            </w:r>
            <w:r w:rsidRPr="004946F6">
              <w:rPr>
                <w:i/>
                <w:iCs/>
              </w:rPr>
              <w:t xml:space="preserve">Parameter estimates for </w:t>
            </w:r>
            <w:r w:rsidR="00591ED2" w:rsidRPr="004946F6">
              <w:rPr>
                <w:i/>
                <w:iCs/>
              </w:rPr>
              <w:t xml:space="preserve">predicted clustering effects </w:t>
            </w:r>
            <w:r w:rsidRPr="004946F6">
              <w:rPr>
                <w:i/>
                <w:iCs/>
              </w:rPr>
              <w:t>in Simulation</w:t>
            </w:r>
            <w:r w:rsidR="0071429F" w:rsidRPr="004946F6">
              <w:rPr>
                <w:i/>
                <w:iCs/>
              </w:rPr>
              <w:t xml:space="preserve"> 3</w:t>
            </w:r>
            <w:r w:rsidR="00943E2E" w:rsidRPr="004946F6">
              <w:rPr>
                <w:i/>
                <w:iCs/>
              </w:rPr>
              <w:t>I and 3D</w:t>
            </w:r>
            <w:r w:rsidRPr="004946F6">
              <w:rPr>
                <w:i/>
                <w:iCs/>
              </w:rPr>
              <w:t>.</w:t>
            </w:r>
            <w:r w:rsidR="006E738D" w:rsidRPr="004946F6">
              <w:rPr>
                <w:i/>
                <w:iCs/>
              </w:rPr>
              <w:t xml:space="preserve"> </w:t>
            </w:r>
          </w:p>
        </w:tc>
      </w:tr>
    </w:tbl>
    <w:p w14:paraId="18C886C9" w14:textId="77777777" w:rsidR="001E1EAB" w:rsidRDefault="001E1EAB" w:rsidP="0032660B">
      <w:pPr>
        <w:spacing w:line="480" w:lineRule="auto"/>
        <w:jc w:val="both"/>
        <w:rPr>
          <w:lang w:bidi="he-IL"/>
        </w:rPr>
      </w:pPr>
    </w:p>
    <w:p w14:paraId="11DED3BE" w14:textId="12D545ED" w:rsidR="005E0A12" w:rsidRPr="004946F6" w:rsidRDefault="005E0A12">
      <w:pPr>
        <w:spacing w:line="480" w:lineRule="auto"/>
        <w:jc w:val="both"/>
        <w:rPr>
          <w:lang w:bidi="he-IL"/>
        </w:rPr>
      </w:pPr>
      <w:r w:rsidRPr="004946F6">
        <w:rPr>
          <w:b/>
          <w:bCs/>
          <w:i/>
          <w:iCs/>
        </w:rPr>
        <w:t>3.</w:t>
      </w:r>
      <w:r>
        <w:rPr>
          <w:b/>
          <w:bCs/>
          <w:i/>
          <w:iCs/>
        </w:rPr>
        <w:t>2</w:t>
      </w:r>
      <w:r w:rsidRPr="004946F6">
        <w:rPr>
          <w:b/>
          <w:bCs/>
          <w:i/>
          <w:iCs/>
        </w:rPr>
        <w:t xml:space="preserve"> Simulati</w:t>
      </w:r>
      <w:r>
        <w:rPr>
          <w:b/>
          <w:bCs/>
          <w:i/>
          <w:iCs/>
        </w:rPr>
        <w:t>ng prolonged retention intervals in eCMR</w:t>
      </w:r>
    </w:p>
    <w:p w14:paraId="1BB1AA00" w14:textId="55767ADA" w:rsidR="005E0A12" w:rsidRPr="004946F6" w:rsidRDefault="005E0A12">
      <w:pPr>
        <w:spacing w:line="480" w:lineRule="auto"/>
        <w:jc w:val="both"/>
        <w:rPr>
          <w:lang w:bidi="he-IL"/>
        </w:rPr>
      </w:pPr>
      <w:r w:rsidRPr="004946F6">
        <w:rPr>
          <w:lang w:bidi="he-IL"/>
        </w:rPr>
        <w:t xml:space="preserve">One way of simulating a retention interval is to simulate a ‘distractor’ item by inserting a temporal context disruption at the end of the encoding phase (Siegel &amp; Kahana, 2014; Sederberg et al., 2008). While this approach has been successfully utilised to capture the effect of time delays in the order of seconds to minutes, it may not quite capture longer delays, such as the hours-to-weeks delays employed in the emotional memory literature. An additional problem with this approach is that in eCMR, once one item is recalled, this leads to retrieval of the item’s encoding contexts and effectively allow the model to ‘jump back in time’, so that the effects of the retention interval would be limited to the </w:t>
      </w:r>
      <w:r w:rsidR="00E11C12">
        <w:rPr>
          <w:lang w:bidi="he-IL"/>
        </w:rPr>
        <w:t xml:space="preserve">earliest stages of </w:t>
      </w:r>
      <w:r w:rsidRPr="004946F6">
        <w:rPr>
          <w:lang w:bidi="he-IL"/>
        </w:rPr>
        <w:t>retrieval. Therefore, in addition to simulating post-list distraction, which does probably occur, we modelled the retention interval as decreasing the ability of recalled item</w:t>
      </w:r>
      <w:r w:rsidR="00E11C12">
        <w:rPr>
          <w:lang w:bidi="he-IL"/>
        </w:rPr>
        <w:t>s</w:t>
      </w:r>
      <w:r w:rsidRPr="004946F6">
        <w:rPr>
          <w:lang w:bidi="he-IL"/>
        </w:rPr>
        <w:t xml:space="preserve"> to retrieve </w:t>
      </w:r>
      <w:r w:rsidR="00E11C12">
        <w:rPr>
          <w:lang w:bidi="he-IL"/>
        </w:rPr>
        <w:t>the</w:t>
      </w:r>
      <w:r w:rsidRPr="004946F6">
        <w:rPr>
          <w:lang w:bidi="he-IL"/>
        </w:rPr>
        <w:t xml:space="preserve"> temporal context </w:t>
      </w:r>
      <w:r w:rsidR="00E11C12">
        <w:rPr>
          <w:lang w:bidi="he-IL"/>
        </w:rPr>
        <w:t>o</w:t>
      </w:r>
      <w:r w:rsidRPr="004946F6">
        <w:rPr>
          <w:lang w:bidi="he-IL"/>
        </w:rPr>
        <w:t>f</w:t>
      </w:r>
      <w:r w:rsidR="00E11C12">
        <w:rPr>
          <w:lang w:bidi="he-IL"/>
        </w:rPr>
        <w:t xml:space="preserve"> their </w:t>
      </w:r>
      <w:r w:rsidRPr="004946F6">
        <w:rPr>
          <w:lang w:bidi="he-IL"/>
        </w:rPr>
        <w:t xml:space="preserve">encoding. </w:t>
      </w:r>
      <w:r w:rsidR="00C31D79">
        <w:rPr>
          <w:lang w:bidi="he-IL"/>
        </w:rPr>
        <w:t>W</w:t>
      </w:r>
      <w:r w:rsidRPr="004946F6">
        <w:rPr>
          <w:lang w:bidi="he-IL"/>
        </w:rPr>
        <w:t xml:space="preserve">e decreased the overall retrievability of the temporal context by decreasing </w:t>
      </w:r>
      <m:oMath>
        <m:r>
          <m:rPr>
            <m:sty m:val="p"/>
          </m:rPr>
          <w:rPr>
            <w:rFonts w:ascii="Cambria Math" w:hAnsi="Cambria Math"/>
          </w:rPr>
          <w:br/>
        </m:r>
        <m:sSubSup>
          <m:sSubSupPr>
            <m:ctrlPr>
              <w:rPr>
                <w:rFonts w:ascii="Cambria Math" w:hAnsi="Cambria Math"/>
              </w:rPr>
            </m:ctrlPr>
          </m:sSubSupPr>
          <m:e>
            <m:r>
              <m:rPr>
                <m:sty m:val="p"/>
              </m:rPr>
              <w:rPr>
                <w:rFonts w:ascii="Cambria Math" w:hAnsi="Cambria Math" w:hint="eastAsia"/>
              </w:rPr>
              <m:t>β</m:t>
            </m:r>
          </m:e>
          <m:sub>
            <m:r>
              <w:rPr>
                <w:rFonts w:ascii="Cambria Math" w:hAnsi="Cambria Math"/>
              </w:rPr>
              <m:t>rec</m:t>
            </m:r>
          </m:sub>
          <m:sup>
            <m:r>
              <w:rPr>
                <w:rFonts w:ascii="Cambria Math" w:hAnsi="Cambria Math"/>
              </w:rPr>
              <m:t>temp</m:t>
            </m:r>
          </m:sup>
        </m:sSubSup>
      </m:oMath>
      <w:r w:rsidRPr="004946F6">
        <w:rPr>
          <w:lang w:bidi="he-IL"/>
        </w:rPr>
        <w:t xml:space="preserve">, an approach which has previously been employed successfully to capture the effects of aging on the recency and contiguity effects </w:t>
      </w:r>
      <w:r w:rsidRPr="004946F6">
        <w:rPr>
          <w:lang w:bidi="he-IL"/>
        </w:rPr>
        <w:fldChar w:fldCharType="begin" w:fldLock="1"/>
      </w:r>
      <w:r w:rsidRPr="004946F6">
        <w:rPr>
          <w:lang w:bidi="he-IL"/>
        </w:rPr>
        <w:instrText>ADDIN CSL_CITATION { "citationItems" : [ { "id" : "ITEM-1", "itemData" : { "PMID" : "17048728", "abstract" : "Normal aging has been shown to spare recency effects in the initiation of free recall while disrupting temporally defined associations. The temporal context model (TCM) explains recency and temporally defined associations as consequences of a gradually changing context signal and recovery of those contextual states, respectively. Here we extend TCM to account for the dissociation between recency and temporally defined associations in younger and older adults. Modeling results suggested that the effect of aging was restricted to a decrement in the ability of items to recover the temporal contexts in which they were presented, a function that has been hypothesized to depend on the hippocampus.", "author" : [ { "dropping-particle" : "", "family" : "Howard", "given" : "Marc W", "non-dropping-particle" : "", "parse-names" : false, "suffix" : "" }, { "dropping-particle" : "", "family" : "Kahana", "given" : "Michael J", "non-dropping-particle" : "", "parse-names" : false, "suffix" : "" }, { "dropping-particle" : "", "family" : "Wingfield", "given" : "Arthur", "non-dropping-particle" : "", "parse-names" : false, "suffix" : "" } ], "container-title" : "Psychonomic bulletin &amp; review", "id" : "ITEM-1", "issue" : "3", "issued" : { "date-parts" : [ [ "2006", "6" ] ] }, "page" : "439-45", "publisher" : "NIH Public Access", "title" : "Aging and contextual binding: modeling recency and lag recency effects with the temporal context model.", "type" : "article-journal", "volume" : "13" }, "uris" : [ "http://www.mendeley.com/documents/?uuid=0eacb978-97d2-3582-94d7-382015516c64" ] } ], "mendeley" : { "formattedCitation" : "(Howard et al., 2006)", "plainTextFormattedCitation" : "(Howard et al., 2006)", "previouslyFormattedCitation" : "(Howard et al., 2006)" }, "properties" : { "noteIndex" : 0 }, "schema" : "https://github.com/citation-style-language/schema/raw/master/csl-citation.json" }</w:instrText>
      </w:r>
      <w:r w:rsidRPr="004946F6">
        <w:rPr>
          <w:lang w:bidi="he-IL"/>
        </w:rPr>
        <w:fldChar w:fldCharType="separate"/>
      </w:r>
      <w:r w:rsidRPr="004946F6">
        <w:rPr>
          <w:noProof/>
          <w:lang w:bidi="he-IL"/>
        </w:rPr>
        <w:t>(Howard et al., 2006)</w:t>
      </w:r>
      <w:r w:rsidRPr="004946F6">
        <w:rPr>
          <w:lang w:bidi="he-IL"/>
        </w:rPr>
        <w:fldChar w:fldCharType="end"/>
      </w:r>
      <w:r w:rsidRPr="004946F6">
        <w:rPr>
          <w:rFonts w:cs="Times"/>
        </w:rPr>
        <w:t>.</w:t>
      </w:r>
      <w:r w:rsidRPr="004946F6">
        <w:rPr>
          <w:lang w:bidi="he-IL"/>
        </w:rPr>
        <w:t xml:space="preserve"> In addition, we assumed that, after a delay, each item is less well associated with its own temporal context, so that it cannot retrieve it very well. For this purpose we decreased </w:t>
      </w:r>
      <m:oMath>
        <m:sSubSup>
          <m:sSubSupPr>
            <m:ctrlPr>
              <w:rPr>
                <w:rFonts w:ascii="Cambria Math" w:hAnsi="Cambria Math"/>
                <w:lang w:bidi="he-IL"/>
              </w:rPr>
            </m:ctrlPr>
          </m:sSubSupPr>
          <m:e>
            <m:r>
              <m:rPr>
                <m:sty m:val="p"/>
              </m:rPr>
              <w:rPr>
                <w:rFonts w:ascii="Cambria Math" w:hAnsi="Cambria Math"/>
                <w:lang w:bidi="he-IL"/>
              </w:rPr>
              <m:t>L</m:t>
            </m:r>
          </m:e>
          <m:sub>
            <m:r>
              <m:rPr>
                <m:sty m:val="p"/>
              </m:rPr>
              <w:rPr>
                <w:rFonts w:ascii="Cambria Math" w:hAnsi="Cambria Math"/>
                <w:lang w:bidi="he-IL"/>
              </w:rPr>
              <m:t>wt</m:t>
            </m:r>
          </m:sub>
          <m:sup>
            <m:r>
              <m:rPr>
                <m:sty m:val="p"/>
              </m:rPr>
              <w:rPr>
                <w:rFonts w:ascii="Cambria Math" w:hAnsi="Cambria Math"/>
                <w:lang w:bidi="he-IL"/>
              </w:rPr>
              <m:t>FC</m:t>
            </m:r>
          </m:sup>
        </m:sSubSup>
      </m:oMath>
      <w:r w:rsidRPr="004946F6">
        <w:rPr>
          <w:rFonts w:eastAsiaTheme="minorEastAsia"/>
          <w:lang w:bidi="he-IL"/>
        </w:rPr>
        <w:t xml:space="preserve"> </w:t>
      </w:r>
      <w:r w:rsidRPr="004946F6">
        <w:rPr>
          <w:lang w:bidi="he-IL"/>
        </w:rPr>
        <w:t xml:space="preserve">and </w:t>
      </w:r>
      <m:oMath>
        <m:sSubSup>
          <m:sSubSupPr>
            <m:ctrlPr>
              <w:rPr>
                <w:rFonts w:ascii="Cambria Math" w:hAnsi="Cambria Math"/>
                <w:lang w:bidi="he-IL"/>
              </w:rPr>
            </m:ctrlPr>
          </m:sSubSupPr>
          <m:e>
            <m:r>
              <m:rPr>
                <m:sty m:val="p"/>
              </m:rPr>
              <w:rPr>
                <w:rFonts w:ascii="Cambria Math" w:hAnsi="Cambria Math"/>
                <w:lang w:bidi="he-IL"/>
              </w:rPr>
              <m:t>L</m:t>
            </m:r>
          </m:e>
          <m:sub>
            <m:r>
              <m:rPr>
                <m:sty m:val="p"/>
              </m:rPr>
              <w:rPr>
                <w:rFonts w:ascii="Cambria Math" w:hAnsi="Cambria Math"/>
                <w:lang w:bidi="he-IL"/>
              </w:rPr>
              <m:t>tw</m:t>
            </m:r>
          </m:sub>
          <m:sup>
            <m:r>
              <m:rPr>
                <m:sty m:val="p"/>
              </m:rPr>
              <w:rPr>
                <w:rFonts w:ascii="Cambria Math" w:hAnsi="Cambria Math"/>
                <w:lang w:bidi="he-IL"/>
              </w:rPr>
              <m:t>CF</m:t>
            </m:r>
          </m:sup>
        </m:sSubSup>
      </m:oMath>
      <w:r w:rsidRPr="004946F6">
        <w:rPr>
          <w:lang w:bidi="he-IL"/>
        </w:rPr>
        <w:t xml:space="preserve">, an approach taken by Sederberg and colleagues to model part of the deficit in people with anterograde amnesia, which is characterised by poor delayed memory </w:t>
      </w:r>
      <w:r w:rsidRPr="004946F6">
        <w:rPr>
          <w:lang w:bidi="he-IL"/>
        </w:rPr>
        <w:fldChar w:fldCharType="begin" w:fldLock="1"/>
      </w:r>
      <w:r w:rsidRPr="004946F6">
        <w:rPr>
          <w:lang w:bidi="he-IL"/>
        </w:rPr>
        <w:instrText>ADDIN CSL_CITATION { "citationItems" : [ { "id" : "ITEM-1", "itemData" : { "DOI" : "10.1037/a0013396.A", "author" : [ { "dropping-particle" : "", "family" : "Sederberg", "given" : "P B", "non-dropping-particle" : "", "parse-names" : false, "suffix" : "" }, { "dropping-particle" : "", "family" : "Howard", "given" : "M W", "non-dropping-particle" : "", "parse-names" : false, "suffix" : "" }, { "dropping-particle" : "", "family" : "Kahana", "given" : "M J", "non-dropping-particle" : "", "parse-names" : false, "suffix" : "" } ], "id" : "ITEM-1", "issue" : "4", "issued" : { "date-parts" : [ [ "2008" ] ] }, "page" : "893-912", "title" : "A context-based theory of recency and contiguity in free recall", "type" : "article-journal", "volume" : "115" }, "uris" : [ "http://www.mendeley.com/documents/?uuid=20c66708-35d7-45d1-988a-40c72b11bc77" ] } ], "mendeley" : { "formattedCitation" : "(Sederberg et al., 2008)", "plainTextFormattedCitation" : "(Sederberg et al., 2008)", "previouslyFormattedCitation" : "(Sederberg et al., 2008)" }, "properties" : { "noteIndex" : 0 }, "schema" : "https://github.com/citation-style-language/schema/raw/master/csl-citation.json" }</w:instrText>
      </w:r>
      <w:r w:rsidRPr="004946F6">
        <w:rPr>
          <w:lang w:bidi="he-IL"/>
        </w:rPr>
        <w:fldChar w:fldCharType="separate"/>
      </w:r>
      <w:r w:rsidRPr="004946F6">
        <w:rPr>
          <w:noProof/>
          <w:lang w:bidi="he-IL"/>
        </w:rPr>
        <w:t>(Sederberg et al., 2008)</w:t>
      </w:r>
      <w:r w:rsidRPr="004946F6">
        <w:rPr>
          <w:lang w:bidi="he-IL"/>
        </w:rPr>
        <w:fldChar w:fldCharType="end"/>
      </w:r>
      <w:r w:rsidRPr="004946F6">
        <w:rPr>
          <w:lang w:bidi="he-IL"/>
        </w:rPr>
        <w:t xml:space="preserve">. </w:t>
      </w:r>
    </w:p>
    <w:p w14:paraId="09D37448" w14:textId="76021AF8" w:rsidR="005E0A12" w:rsidRPr="004946F6" w:rsidRDefault="005E0A12">
      <w:pPr>
        <w:spacing w:line="480" w:lineRule="auto"/>
        <w:jc w:val="both"/>
        <w:rPr>
          <w:lang w:bidi="he-IL"/>
        </w:rPr>
      </w:pPr>
      <w:r w:rsidRPr="004946F6">
        <w:rPr>
          <w:lang w:bidi="he-IL"/>
        </w:rPr>
        <w:t>Because in eCMR all context dimensions support recall jointly, a decrease in the reliance of the model on the temporal context during retrieval by necessity increase</w:t>
      </w:r>
      <w:r w:rsidR="00C31D79">
        <w:rPr>
          <w:lang w:bidi="he-IL"/>
        </w:rPr>
        <w:t>s</w:t>
      </w:r>
      <w:r w:rsidRPr="004946F6">
        <w:rPr>
          <w:lang w:bidi="he-IL"/>
        </w:rPr>
        <w:t xml:space="preserve"> </w:t>
      </w:r>
      <w:r w:rsidR="00C31D79">
        <w:rPr>
          <w:lang w:bidi="he-IL"/>
        </w:rPr>
        <w:t>its</w:t>
      </w:r>
      <w:r w:rsidRPr="004946F6">
        <w:rPr>
          <w:lang w:bidi="he-IL"/>
        </w:rPr>
        <w:t xml:space="preserve"> reliance on non-temporal dimensions</w:t>
      </w:r>
      <w:r w:rsidR="00C31D79">
        <w:rPr>
          <w:lang w:bidi="he-IL"/>
        </w:rPr>
        <w:t>,</w:t>
      </w:r>
      <w:r w:rsidRPr="004946F6">
        <w:rPr>
          <w:lang w:bidi="he-IL"/>
        </w:rPr>
        <w:t xml:space="preserve"> such as the semantic and the emotional contexts. Therefore, the changes we implemented to simulate a prolonged retention interval correspond well to evidence that forgetting is not passive, but involves a transformation of memory traces so that memory for more remote events is more schematic </w:t>
      </w:r>
      <w:r w:rsidRPr="004946F6">
        <w:rPr>
          <w:lang w:bidi="he-IL"/>
        </w:rPr>
        <w:fldChar w:fldCharType="begin" w:fldLock="1"/>
      </w:r>
      <w:r w:rsidRPr="004946F6">
        <w:rPr>
          <w:lang w:bidi="he-IL"/>
        </w:rPr>
        <w:instrText>ADDIN CSL_CITATION { "citationItems" : [ { "id" : "ITEM-1", "itemData" : { "DOI" : "10.1016/j.neuron.2011.06.037", "ISSN" : "1097-4199", "PMID" : "21791282", "abstract" : "Most studies on memory consolidation consider the new information as if it were imposed on a tabula rasa, but considerable evidence indicates that new memories must be interleaved within a large network of relevant pre-existing knowledge. Early studies on reconsolidation highlighted that a newly consolidated memory could be erased after reactivation, but new evidence has shown that an effective reactivation experience must also involve memory reorganization to incorporate new learning. The combination of these observations on consolidation and reconsolidation highlights the fundamental similarities of both phenomena as the integration of new information and old, and it suggests reconsolidation = consolidation as a neverending process of schema modification.", "author" : [ { "dropping-particle" : "", "family" : "McKenzie", "given" : "Sam", "non-dropping-particle" : "", "parse-names" : false, "suffix" : "" }, { "dropping-particle" : "", "family" : "Eichenbaum", "given" : "Howard", "non-dropping-particle" : "", "parse-names" : false, "suffix" : "" } ], "container-title" : "Neuron", "id" : "ITEM-1", "issue" : "2", "issued" : { "date-parts" : [ [ "2011", "7", "28" ] ] }, "page" : "224-33", "publisher" : "NIH Public Access", "title" : "Consolidation and reconsolidation: two lives of memories?", "type" : "article-journal", "volume" : "71" }, "uris" : [ "http://www.mendeley.com/documents/?uuid=cb0d7020-28da-3ea8-af6b-232374d5060b" ] }, { "id" : "ITEM-2", "itemData" : { "DOI" : "10.1146/annurev-psych-113011-143733", "ISBN" : "0000000000000", "ISSN" : "0066-4308", "PMID" : "26726963", "abstract" : "The last decade has seen dramatic technological and conceptual changes in research on episodic memory and the brain. New technologies, and in- creased use of more naturalistic observations, have enabled investigators to delve deeply into the structures that mediate episodic memory, particularly the hippocampus, and to track functional and structural interactions among brain regions that support it. Conceptually, episodic memory is increasingly being viewed as subject to lifelong transformations that are reflected in the neural substrates that mediate it. In keeping with this dynamic perspective, research on episodicmemory(and the hippocampus) has infiltrated domains, from perception to language and from empathy to problem solving, that were once considered outside its boundaries. Using the component process model as a framework, and focusing on the hippocampus, its subfields, and special- ization along its longitudinal axis, along with its interaction with other brain regions, we consider these new developments and their implications for the organization of episodic memory and its contribution to functions in other domains.", "author" : [ { "dropping-particle" : "", "family" : "Moscovitch", "given" : "Morris", "non-dropping-particle" : "", "parse-names" : false, "suffix" : "" }, { "dropping-particle" : "", "family" : "Cabeza", "given" : "Roberto", "non-dropping-particle" : "", "parse-names" : false, "suffix" : "" }, { "dropping-particle" : "", "family" : "Winocur", "given" : "Gordon", "non-dropping-particle" : "", "parse-names" : false, "suffix" : "" }, { "dropping-particle" : "", "family" : "Nadel", "given" : "Lynn", "non-dropping-particle" : "", "parse-names" : false, "suffix" : "" } ], "container-title" : "Annual Review of Psychology", "id" : "ITEM-2", "issue" : "1", "issued" : { "date-parts" : [ [ "2016" ] ] }, "page" : "105-134", "title" : "Episodic Memory and Beyond: The Hippocampus and Neocortex in Transformation", "type" : "article-journal", "volume" : "67" }, "uris" : [ "http://www.mendeley.com/documents/?uuid=ddd33948-209f-45e2-b69a-9c96607b76f0" ] } ], "mendeley" : { "formattedCitation" : "(McKenzie &amp; Eichenbaum, 2011; Moscovitch, Cabeza, Winocur, &amp; Nadel, 2016)", "plainTextFormattedCitation" : "(McKenzie &amp; Eichenbaum, 2011; Moscovitch, Cabeza, Winocur, &amp; Nadel, 2016)", "previouslyFormattedCitation" : "(McKenzie &amp; Eichenbaum, 2011; Moscovitch, Cabeza, Winocur, &amp; Nadel, 2016)" }, "properties" : { "noteIndex" : 0 }, "schema" : "https://github.com/citation-style-language/schema/raw/master/csl-citation.json" }</w:instrText>
      </w:r>
      <w:r w:rsidRPr="004946F6">
        <w:rPr>
          <w:lang w:bidi="he-IL"/>
        </w:rPr>
        <w:fldChar w:fldCharType="separate"/>
      </w:r>
      <w:r w:rsidRPr="004946F6">
        <w:rPr>
          <w:noProof/>
          <w:lang w:bidi="he-IL"/>
        </w:rPr>
        <w:t>(McKenzie &amp; Eichenbaum, 2011; Moscovitch, Cabeza, Winocur, &amp; Nadel, 2016)</w:t>
      </w:r>
      <w:r w:rsidRPr="004946F6">
        <w:rPr>
          <w:lang w:bidi="he-IL"/>
        </w:rPr>
        <w:fldChar w:fldCharType="end"/>
      </w:r>
      <w:r w:rsidRPr="004946F6">
        <w:rPr>
          <w:lang w:bidi="he-IL"/>
        </w:rPr>
        <w:t xml:space="preserve">. For example, animals that learned the location of a hidden platform in a Morris water maze based their trajectory more on the specific location of the platform when memory was recent, but were more sensitive to the probability distribution of platform locations when the memory was remote </w:t>
      </w:r>
      <w:r w:rsidRPr="004946F6">
        <w:rPr>
          <w:lang w:bidi="he-IL"/>
        </w:rPr>
        <w:fldChar w:fldCharType="begin" w:fldLock="1"/>
      </w:r>
      <w:r w:rsidRPr="004946F6">
        <w:rPr>
          <w:lang w:bidi="he-IL"/>
        </w:rPr>
        <w:instrText>ADDIN CSL_CITATION { "citationItems" : [ { "id" : "ITEM-1", "itemData" : { "DOI" : "10.1038/nn.3736", "ISSN" : "1097-6256", "author" : [ { "dropping-particle" : "", "family" : "Richards", "given" : "Blake A", "non-dropping-particle" : "", "parse-names" : false, "suffix" : "" }, { "dropping-particle" : "", "family" : "Xia", "given" : "Frances", "non-dropping-particle" : "", "parse-names" : false, "suffix" : "" }, { "dropping-particle" : "", "family" : "Santoro", "given" : "Adam", "non-dropping-particle" : "", "parse-names" : false, "suffix" : "" }, { "dropping-particle" : "", "family" : "Husse", "given" : "Jana", "non-dropping-particle" : "", "parse-names" : false, "suffix" : "" }, { "dropping-particle" : "", "family" : "Woodin", "given" : "Melanie A", "non-dropping-particle" : "", "parse-names" : false, "suffix" : "" }, { "dropping-particle" : "", "family" : "Josselyn", "given" : "Sheena A", "non-dropping-particle" : "", "parse-names" : false, "suffix" : "" }, { "dropping-particle" : "", "family" : "Frankland", "given" : "Paul W", "non-dropping-particle" : "", "parse-names" : false, "suffix" : "" } ], "container-title" : "Nature Neuroscience", "id" : "ITEM-1", "issue" : "7", "issued" : { "date-parts" : [ [ "2014", "6", "1" ] ] }, "page" : "981-986", "publisher" : "Nature Research", "title" : "Patterns across multiple memories are identified over time", "type" : "article-journal", "volume" : "17" }, "uris" : [ "http://www.mendeley.com/documents/?uuid=a813986d-03c0-3da3-be8c-501646ce827b" ] } ], "mendeley" : { "formattedCitation" : "(Richards et al., 2014)", "plainTextFormattedCitation" : "(Richards et al., 2014)", "previouslyFormattedCitation" : "(Richards et al., 2014)" }, "properties" : { "noteIndex" : 0 }, "schema" : "https://github.com/citation-style-language/schema/raw/master/csl-citation.json" }</w:instrText>
      </w:r>
      <w:r w:rsidRPr="004946F6">
        <w:rPr>
          <w:lang w:bidi="he-IL"/>
        </w:rPr>
        <w:fldChar w:fldCharType="separate"/>
      </w:r>
      <w:r w:rsidRPr="004946F6">
        <w:rPr>
          <w:noProof/>
          <w:lang w:bidi="he-IL"/>
        </w:rPr>
        <w:t>(Richards et al., 2014)</w:t>
      </w:r>
      <w:r w:rsidRPr="004946F6">
        <w:rPr>
          <w:lang w:bidi="he-IL"/>
        </w:rPr>
        <w:fldChar w:fldCharType="end"/>
      </w:r>
      <w:r w:rsidRPr="004946F6">
        <w:rPr>
          <w:lang w:bidi="he-IL"/>
        </w:rPr>
        <w:t xml:space="preserve">. A long retention interval is also thought to allow humans to extract generalities </w:t>
      </w:r>
      <w:r w:rsidRPr="004946F6">
        <w:rPr>
          <w:lang w:bidi="he-IL"/>
        </w:rPr>
        <w:fldChar w:fldCharType="begin" w:fldLock="1"/>
      </w:r>
      <w:r w:rsidRPr="004946F6">
        <w:rPr>
          <w:lang w:bidi="he-IL"/>
        </w:rPr>
        <w:instrText>ADDIN CSL_CITATION { "citationItems" : [ { "id" : "ITEM-1", "itemData" : { "DOI" : "10.1073/pnas.0700094104", "ISSN" : "0027-8424", "PMID" : "17449637", "abstract" : "Relational memory, the flexible ability to generalize across existing stores of information, is a fundamental property of human cognition. Little is known, however, about how and when this inferential knowledge emerges. Here, we test the hypothesis that human relational memory develops during offline time periods. Fifty-six participants initially learned five \"premise pairs\" (A&gt;B, B&gt;C, C&gt;D, D&gt;E, and E&gt;F). Unknown to subjects, the pairs contained an embedded hierarchy (A&gt;B&gt;C&gt;D&gt;E&gt;F). Following an offline delay of either 20 min, 12 hr (wake or sleep), or 24 hr, knowledge of the hierarchy was tested by examining inferential judgments for novel \"inference pairs\" (B&gt;D, C&gt;E, and B&gt;E). Despite all groups achieving near-identical premise pair retention after the offline delay (all groups, &gt;85%; the building blocks of the hierarchy), a striking dissociation was evident in the ability to make relational inference judgments: the 20-min group showed no evidence of inferential ability (52%), whereas the 12- and 24-hr groups displayed highly significant relational memory developments (inference ability of both groups, &gt;75%; P &lt; 0.001). Moreover, if the 12-hr period contained sleep, an additional boost to relational memory was seen for the most distant inferential judgment (the B&gt;E pair; sleep = 93%, wake = 69%, P = 0.03). Interestingly, despite this increase in performance, the sleep benefit was not associated with an increase in subjective confidence for these judgments. Together, these findings demonstrate that human relational memory develops during offline time delays. Furthermore, sleep appears to preferentially facilitate this process by enhancing hierarchical memory binding, thereby allowing superior performance for the more distant inferential judgments, a benefit that may operate below the level of conscious awareness.", "author" : [ { "dropping-particle" : "", "family" : "Ellenbogen", "given" : "Jeffrey M", "non-dropping-particle" : "", "parse-names" : false, "suffix" : "" }, { "dropping-particle" : "", "family" : "Hu", "given" : "Peter T", "non-dropping-particle" : "", "parse-names" : false, "suffix" : "" }, { "dropping-particle" : "", "family" : "Payne", "given" : "Jessica D", "non-dropping-particle" : "", "parse-names" : false, "suffix" : "" }, { "dropping-particle" : "", "family" : "Titone", "given" : "Debra", "non-dropping-particle" : "", "parse-names" : false, "suffix" : "" }, { "dropping-particle" : "", "family" : "Walker", "given" : "Matthew P", "non-dropping-particle" : "", "parse-names" : false, "suffix" : "" } ], "container-title" : "Proceedings of the National Academy of Sciences of the United States of America", "id" : "ITEM-1", "issue" : "18", "issued" : { "date-parts" : [ [ "2007", "5", "1" ] ] }, "page" : "7723-8", "publisher" : "National Academy of Sciences", "title" : "Human relational memory requires time and sleep.", "type" : "article-journal", "volume" : "104" }, "uris" : [ "http://www.mendeley.com/documents/?uuid=b9aad9e0-32f7-364c-a28c-0e7bb30d8547" ] } ], "mendeley" : { "formattedCitation" : "(Ellenbogen, Hu, Payne, Titone, &amp; Walker, 2007)", "plainTextFormattedCitation" : "(Ellenbogen, Hu, Payne, Titone, &amp; Walker, 2007)", "previouslyFormattedCitation" : "(Ellenbogen, Hu, Payne, Titone, &amp; Walker, 2007)" }, "properties" : { "noteIndex" : 0 }, "schema" : "https://github.com/citation-style-language/schema/raw/master/csl-citation.json" }</w:instrText>
      </w:r>
      <w:r w:rsidRPr="004946F6">
        <w:rPr>
          <w:lang w:bidi="he-IL"/>
        </w:rPr>
        <w:fldChar w:fldCharType="separate"/>
      </w:r>
      <w:r w:rsidRPr="004946F6">
        <w:rPr>
          <w:noProof/>
          <w:lang w:bidi="he-IL"/>
        </w:rPr>
        <w:t>(Ellenbogen, Hu, Payne, Titone, &amp; Walker, 2007)</w:t>
      </w:r>
      <w:r w:rsidRPr="004946F6">
        <w:rPr>
          <w:lang w:bidi="he-IL"/>
        </w:rPr>
        <w:fldChar w:fldCharType="end"/>
      </w:r>
      <w:r w:rsidRPr="004946F6">
        <w:rPr>
          <w:lang w:bidi="he-IL"/>
        </w:rPr>
        <w:t xml:space="preserve"> and render memory more schematic </w:t>
      </w:r>
      <w:r w:rsidRPr="004946F6">
        <w:rPr>
          <w:lang w:bidi="he-IL"/>
        </w:rPr>
        <w:fldChar w:fldCharType="begin" w:fldLock="1"/>
      </w:r>
      <w:r w:rsidRPr="004946F6">
        <w:rPr>
          <w:lang w:bidi="he-IL"/>
        </w:rPr>
        <w:instrText>ADDIN CSL_CITATION { "citationItems" : [ { "id" : "ITEM-1", "itemData" : { "DOI" : "10.1037/0033-2909.93.2.203", "ISBN" : "3700332909", "ISSN" : "0033-2909", "PMID" : "25246403", "abstract" : "This article proposes a prototypical schema theory of memory. Such a theory assumes the operation of four central encoding-processes: selection\u2014a process that chooses only some of all incoming stimuli for representation; abstraction\u2014 a process that stores the meaning of a message without reference to the original syntactic and lexical content; interpretation\u2014a process by which relevant prior knowledge is generated to aid comprehension; and integration\u2014a process by which a single, holistic memory representation is formed from the products of the previous three operations. The article evaluates the supportive and critical evidence for these processes in light of the need for any theory of memory to account for three fundamental observations: accuracy, incompleteness, and dis- tortion. The central retrieval process of schema theory, reconstruction, is also discussed in this context. Evidence seems to indicate that the memory represen- tation is far richer and detailed than schema theory would suggest.", "author" : [ { "dropping-particle" : "", "family" : "Alba", "given" : "Joseph W.", "non-dropping-particle" : "", "parse-names" : false, "suffix" : "" }, { "dropping-particle" : "", "family" : "Hasher", "given" : "Lynn", "non-dropping-particle" : "", "parse-names" : false, "suffix" : "" } ], "container-title" : "Psychological Bulletin", "id" : "ITEM-1", "issue" : "2", "issued" : { "date-parts" : [ [ "1983" ] ] }, "page" : "203-231", "title" : "Is memory schematic?", "type" : "article-journal", "volume" : "93" }, "uris" : [ "http://www.mendeley.com/documents/?uuid=4d92c244-0971-4754-863b-f77fc26e52fc" ] } ], "mendeley" : { "formattedCitation" : "(Alba &amp; Hasher, 1983)", "plainTextFormattedCitation" : "(Alba &amp; Hasher, 1983)", "previouslyFormattedCitation" : "(Alba &amp; Hasher, 1983)" }, "properties" : { "noteIndex" : 0 }, "schema" : "https://github.com/citation-style-language/schema/raw/master/csl-citation.json" }</w:instrText>
      </w:r>
      <w:r w:rsidRPr="004946F6">
        <w:rPr>
          <w:lang w:bidi="he-IL"/>
        </w:rPr>
        <w:fldChar w:fldCharType="separate"/>
      </w:r>
      <w:r w:rsidRPr="004946F6">
        <w:rPr>
          <w:noProof/>
          <w:lang w:bidi="he-IL"/>
        </w:rPr>
        <w:t>(Alba &amp; Hasher, 1983)</w:t>
      </w:r>
      <w:r w:rsidRPr="004946F6">
        <w:rPr>
          <w:lang w:bidi="he-IL"/>
        </w:rPr>
        <w:fldChar w:fldCharType="end"/>
      </w:r>
      <w:r w:rsidRPr="004946F6">
        <w:rPr>
          <w:lang w:bidi="he-IL"/>
        </w:rPr>
        <w:t xml:space="preserve">. For example, remote memory for film clips relied more on general schemas for films and social scripts, evident in increased number of errors in recalling typical vs. atypical clips after a week </w:t>
      </w:r>
      <w:r w:rsidRPr="004946F6">
        <w:rPr>
          <w:lang w:bidi="he-IL"/>
        </w:rPr>
        <w:fldChar w:fldCharType="begin" w:fldLock="1"/>
      </w:r>
      <w:r w:rsidRPr="004946F6">
        <w:rPr>
          <w:lang w:bidi="he-IL"/>
        </w:rPr>
        <w:instrText>ADDIN CSL_CITATION { "citationItems" : [ { "id" : "ITEM-1", "itemData" : { "author" : [ { "dropping-particle" : "", "family" : "Bonasia", "given" : "K", "non-dropping-particle" : "", "parse-names" : false, "suffix" : "" }, { "dropping-particle" : "", "family" : "Sekeres", "given" : "MJ", "non-dropping-particle" : "", "parse-names" : false, "suffix" : "" }, { "dropping-particle" : "", "family" : "Gilboa", "given" : "A", "non-dropping-particle" : "", "parse-names" : false, "suffix" : "" }, { "dropping-particle" : "", "family" : "Grady", "given" : "C", "non-dropping-particle" : "", "parse-names" : false, "suffix" : "" }, { "dropping-particle" : "", "family" : "Winocur", "given" : "Gordon", "non-dropping-particle" : "", "parse-names" : false, "suffix" : "" }, { "dropping-particle" : "", "family" : "Moscovitch", "given" : "Morris", "non-dropping-particle" : "", "parse-names" : false, "suffix" : "" } ], "id" : "ITEM-1", "issued" : { "date-parts" : [ [ "0" ] ] }, "title" : "Event typicality and memory: prior knowledge and novelty interact to modulate memory for complex events", "type" : "article-journal" }, "uris" : [ "http://www.mendeley.com/documents/?uuid=8264cf5b-18b2-4718-802c-94be403bca6e" ] } ], "mendeley" : { "formattedCitation" : "(Bonasia et al., n.d.)", "plainTextFormattedCitation" : "(Bonasia et al., n.d.)", "previouslyFormattedCitation" : "(Bonasia et al., n.d.)" }, "properties" : { "noteIndex" : 0 }, "schema" : "https://github.com/citation-style-language/schema/raw/master/csl-citation.json" }</w:instrText>
      </w:r>
      <w:r w:rsidRPr="004946F6">
        <w:rPr>
          <w:lang w:bidi="he-IL"/>
        </w:rPr>
        <w:fldChar w:fldCharType="separate"/>
      </w:r>
      <w:r w:rsidRPr="004946F6">
        <w:rPr>
          <w:noProof/>
          <w:lang w:bidi="he-IL"/>
        </w:rPr>
        <w:t>(Bonasia et al., n.d.)</w:t>
      </w:r>
      <w:r w:rsidRPr="004946F6">
        <w:rPr>
          <w:lang w:bidi="he-IL"/>
        </w:rPr>
        <w:fldChar w:fldCharType="end"/>
      </w:r>
      <w:r w:rsidRPr="004946F6">
        <w:rPr>
          <w:lang w:bidi="he-IL"/>
        </w:rPr>
        <w:t xml:space="preserve">, suggesting increased relative accessibility of schema-relevant details after a delay </w:t>
      </w:r>
      <w:r w:rsidRPr="004946F6">
        <w:rPr>
          <w:lang w:bidi="he-IL"/>
        </w:rPr>
        <w:fldChar w:fldCharType="begin" w:fldLock="1"/>
      </w:r>
      <w:r w:rsidRPr="004946F6">
        <w:rPr>
          <w:lang w:bidi="he-IL"/>
        </w:rPr>
        <w:instrText>ADDIN CSL_CITATION { "citationItems" : [ { "id" : "ITEM-1", "itemData" : { "DOI" : "10.1101/lm.039057", "abstract" : "Episodic memories undergo qualitative changes with time, but little is known about how different aspects of memory are affected. Different types of information in a memory, such as perceptual detail, and central themes, may be lost at different rates. In patients with medial temporal lobe damage, memory for perceptual details is severely impaired, while memory for central details is relatively spared. Given the sensitivity of memory to loss of details, the present study sought to investigate factors that mediate the forgetting of different types of information from naturalistic episodic memories in young healthy adults. The study investigated (1) time-dependent loss of \" central \" and \" peripheral \" details from episodic memories, (2) the effectiveness of cuing with reminders to reinstate memory details, and (3) the role of retrieval in preventing forgetting. Over the course of 7 d, memory for naturalistic events (film clips) underwent a time-dependent loss of peripheral details, while memory for central details (the core or gist of events) showed significantly less loss. Giving brief reminders of the clips just before retrieval reinstated memory for peripheral details, suggesting that loss of details is not always per-manent, and may reflect both a storage and retrieval deficit. Furthermore, retrieving a memory shortly after it was encoded prevented loss of both central and peripheral details, thereby promoting retention over time. We consider the implications of these results for behavioral and neurobiological models of retention and forgetting. [Supplemental material is available for this article.] A rich literature on time-dependent forgetting indicates that multiple mechanisms including, for example, memory decay (Thorndike 1913), and interference (Keppel and Underwood 1962) contribute to the forgetting of information (see Hardt et al. 2013; Sadeh et al. 2014 for review). Forgetting is not an all-or-none process; differential rates of forgetting have been iden-tified for different aspects of a memory (Bahrick 1984; Conway et al. 1991; Brainerd and Reyna, 1993). Episodic memory, the con-scious recollection of autobiographical events, contains context-specific information (i.e., sensory, perceptual, affective informa-tion), that can be retrieved and re-experienced in rich detail (Tulving 1972, 1983; Anderson and Conway 1993; Brewer and Pani 1996). Episodic memories are particularly susceptible to loss of detail information (Tulving 1972), with centra\u2026", "author" : [ { "dropping-particle" : "", "family" : "Sekeres", "given" : "Melanie J", "non-dropping-particle" : "", "parse-names" : false, "suffix" : "" }, { "dropping-particle" : "", "family" : "Bonasia", "given" : "Kyra", "non-dropping-particle" : "", "parse-names" : false, "suffix" : "" }, { "dropping-particle" : "", "family" : "St-Laurent", "given" : "Marie", "non-dropping-particle" : "", "parse-names" : false, "suffix" : "" }, { "dropping-particle" : "", "family" : "Pishdadian", "given" : "Sara", "non-dropping-particle" : "", "parse-names" : false, "suffix" : "" }, { "dropping-particle" : "", "family" : "Winocur", "given" : "Gordon", "non-dropping-particle" : "", "parse-names" : false, "suffix" : "" }, { "dropping-particle" : "", "family" : "Grady", "given" : "Cheryl", "non-dropping-particle" : "", "parse-names" : false, "suffix" : "" }, { "dropping-particle" : "", "family" : "Moscovitch", "given" : "Morris", "non-dropping-particle" : "", "parse-names" : false, "suffix" : "" } ], "container-title" : "Learning &amp; Memory", "id" : "ITEM-1", "issued" : { "date-parts" : [ [ "2016" ] ] }, "page" : "72-82", "title" : "Recovering and preventing loss of detailed memory: differential rates of forgetting for detail types in episodic memory", "type" : "article-journal", "volume" : "23" }, "uris" : [ "http://www.mendeley.com/documents/?uuid=74603310-bf02-385b-befe-8df7eaed26b8" ] } ], "mendeley" : { "formattedCitation" : "(Sekeres et al., 2016)", "plainTextFormattedCitation" : "(Sekeres et al., 2016)", "previouslyFormattedCitation" : "(Sekeres et al., 2016)" }, "properties" : { "noteIndex" : 0 }, "schema" : "https://github.com/citation-style-language/schema/raw/master/csl-citation.json" }</w:instrText>
      </w:r>
      <w:r w:rsidRPr="004946F6">
        <w:rPr>
          <w:lang w:bidi="he-IL"/>
        </w:rPr>
        <w:fldChar w:fldCharType="separate"/>
      </w:r>
      <w:r w:rsidRPr="004946F6">
        <w:rPr>
          <w:noProof/>
          <w:lang w:bidi="he-IL"/>
        </w:rPr>
        <w:t>(Sekeres et al., 2016)</w:t>
      </w:r>
      <w:r w:rsidRPr="004946F6">
        <w:rPr>
          <w:lang w:bidi="he-IL"/>
        </w:rPr>
        <w:fldChar w:fldCharType="end"/>
      </w:r>
      <w:r w:rsidRPr="004946F6">
        <w:rPr>
          <w:lang w:bidi="he-IL"/>
        </w:rPr>
        <w:t xml:space="preserve">. The literature does not, at present, specify exactly what time frame gives rise to more schematic memory performance. It is also possible that aspects of the experimental set-up, such as the stimulus set that is selected or the particular instructions participants receive, influence the strategies participants apply to the difficult task of delayed recall. Yet one prediction is clear: because non-temporal dimensions of similarity promote the recall of emotional items in eCMR, their greater influence after a delay is likely to increase in the simulated emotional advantage. </w:t>
      </w:r>
    </w:p>
    <w:p w14:paraId="73A85429" w14:textId="77777777" w:rsidR="005E0A12" w:rsidRDefault="005E0A12" w:rsidP="0032660B">
      <w:pPr>
        <w:spacing w:line="480" w:lineRule="auto"/>
        <w:jc w:val="both"/>
        <w:rPr>
          <w:lang w:bidi="he-IL"/>
        </w:rPr>
      </w:pPr>
    </w:p>
    <w:p w14:paraId="367A28EA" w14:textId="77777777" w:rsidR="00FF6050" w:rsidRPr="004946F6" w:rsidRDefault="00FF6050" w:rsidP="0032660B">
      <w:pPr>
        <w:spacing w:line="480" w:lineRule="auto"/>
        <w:jc w:val="both"/>
        <w:rPr>
          <w:lang w:bidi="he-IL"/>
        </w:rPr>
      </w:pPr>
    </w:p>
    <w:p w14:paraId="5FE79E9D" w14:textId="0FC50751" w:rsidR="000D7524" w:rsidRPr="004946F6" w:rsidRDefault="00F0282F">
      <w:pPr>
        <w:spacing w:line="480" w:lineRule="auto"/>
        <w:jc w:val="both"/>
        <w:rPr>
          <w:lang w:bidi="he-IL"/>
        </w:rPr>
      </w:pPr>
      <w:r w:rsidRPr="004946F6">
        <w:rPr>
          <w:b/>
          <w:bCs/>
          <w:i/>
          <w:iCs/>
        </w:rPr>
        <w:t>3</w:t>
      </w:r>
      <w:r w:rsidR="000772E0" w:rsidRPr="004946F6">
        <w:rPr>
          <w:b/>
          <w:bCs/>
          <w:i/>
          <w:iCs/>
        </w:rPr>
        <w:t>.</w:t>
      </w:r>
      <w:r w:rsidR="005E0A12">
        <w:rPr>
          <w:b/>
          <w:bCs/>
          <w:i/>
          <w:iCs/>
        </w:rPr>
        <w:t>3</w:t>
      </w:r>
      <w:r w:rsidR="000772E0" w:rsidRPr="004946F6">
        <w:rPr>
          <w:b/>
          <w:bCs/>
          <w:i/>
          <w:iCs/>
        </w:rPr>
        <w:t xml:space="preserve"> </w:t>
      </w:r>
      <w:r w:rsidR="000D7524" w:rsidRPr="004946F6">
        <w:rPr>
          <w:b/>
          <w:bCs/>
          <w:i/>
          <w:iCs/>
        </w:rPr>
        <w:t>Simulation</w:t>
      </w:r>
      <w:r w:rsidR="00F05673" w:rsidRPr="004946F6">
        <w:rPr>
          <w:b/>
          <w:bCs/>
          <w:i/>
          <w:iCs/>
        </w:rPr>
        <w:t>s</w:t>
      </w:r>
      <w:r w:rsidR="000D7524" w:rsidRPr="004946F6">
        <w:rPr>
          <w:b/>
          <w:bCs/>
          <w:i/>
          <w:iCs/>
        </w:rPr>
        <w:t xml:space="preserve"> </w:t>
      </w:r>
      <w:r w:rsidR="003876CF" w:rsidRPr="004946F6">
        <w:rPr>
          <w:b/>
          <w:bCs/>
          <w:i/>
          <w:iCs/>
        </w:rPr>
        <w:t>3</w:t>
      </w:r>
      <w:r w:rsidR="000C06F8" w:rsidRPr="004946F6">
        <w:rPr>
          <w:b/>
          <w:bCs/>
          <w:i/>
          <w:iCs/>
        </w:rPr>
        <w:t>I</w:t>
      </w:r>
      <w:r w:rsidR="00F05673" w:rsidRPr="004946F6">
        <w:rPr>
          <w:b/>
          <w:bCs/>
          <w:i/>
          <w:iCs/>
        </w:rPr>
        <w:t xml:space="preserve"> and 3D</w:t>
      </w:r>
      <w:r w:rsidR="00FC0D99" w:rsidRPr="004946F6">
        <w:rPr>
          <w:b/>
          <w:bCs/>
          <w:i/>
          <w:iCs/>
        </w:rPr>
        <w:t xml:space="preserve">: Immediate </w:t>
      </w:r>
      <w:r w:rsidR="00F05673" w:rsidRPr="004946F6">
        <w:rPr>
          <w:b/>
          <w:bCs/>
          <w:i/>
          <w:iCs/>
        </w:rPr>
        <w:t xml:space="preserve">and delayed </w:t>
      </w:r>
      <w:r w:rsidR="00FC0D99" w:rsidRPr="004946F6">
        <w:rPr>
          <w:b/>
          <w:bCs/>
          <w:i/>
          <w:iCs/>
        </w:rPr>
        <w:t>memory</w:t>
      </w:r>
    </w:p>
    <w:p w14:paraId="572DF856" w14:textId="6F7DCD3B" w:rsidR="000212E8" w:rsidRPr="004946F6" w:rsidRDefault="003B09F7">
      <w:pPr>
        <w:spacing w:line="480" w:lineRule="auto"/>
        <w:jc w:val="both"/>
        <w:rPr>
          <w:lang w:bidi="he-IL"/>
        </w:rPr>
      </w:pPr>
      <w:r w:rsidRPr="004946F6">
        <w:rPr>
          <w:lang w:bidi="he-IL"/>
        </w:rPr>
        <w:t xml:space="preserve">We </w:t>
      </w:r>
      <w:r w:rsidR="000772E0" w:rsidRPr="004946F6">
        <w:rPr>
          <w:lang w:bidi="he-IL"/>
        </w:rPr>
        <w:t xml:space="preserve">simulated </w:t>
      </w:r>
      <w:r w:rsidRPr="004946F6">
        <w:rPr>
          <w:lang w:bidi="he-IL"/>
        </w:rPr>
        <w:t xml:space="preserve">30 participants who </w:t>
      </w:r>
      <w:r w:rsidR="004B0115" w:rsidRPr="004946F6">
        <w:rPr>
          <w:lang w:bidi="he-IL"/>
        </w:rPr>
        <w:t xml:space="preserve">each studied a list of </w:t>
      </w:r>
      <w:r w:rsidR="005F4D10" w:rsidRPr="004946F6">
        <w:rPr>
          <w:lang w:bidi="he-IL"/>
        </w:rPr>
        <w:t>16</w:t>
      </w:r>
      <w:r w:rsidR="004B0115" w:rsidRPr="004946F6">
        <w:rPr>
          <w:lang w:bidi="he-IL"/>
        </w:rPr>
        <w:t xml:space="preserve"> items</w:t>
      </w:r>
      <w:r w:rsidR="00CD762C" w:rsidRPr="004946F6">
        <w:rPr>
          <w:lang w:bidi="he-IL"/>
        </w:rPr>
        <w:t>, half of which were emotional</w:t>
      </w:r>
      <w:r w:rsidR="004B0115" w:rsidRPr="004946F6">
        <w:rPr>
          <w:lang w:bidi="he-IL"/>
        </w:rPr>
        <w:t>.</w:t>
      </w:r>
      <w:r w:rsidRPr="004946F6">
        <w:rPr>
          <w:lang w:bidi="he-IL"/>
        </w:rPr>
        <w:t xml:space="preserve"> </w:t>
      </w:r>
      <w:r w:rsidR="009E4235" w:rsidRPr="004946F6">
        <w:rPr>
          <w:lang w:bidi="he-IL"/>
        </w:rPr>
        <w:t xml:space="preserve">Note that we deliberately simulated lists that were shorter than those used by LaBar and Phelps (1998), in order to keep parameter estimates as close as possible to those used in section 2, and facilitate comparison </w:t>
      </w:r>
      <w:r w:rsidR="00147B70">
        <w:rPr>
          <w:lang w:bidi="he-IL"/>
        </w:rPr>
        <w:t>across</w:t>
      </w:r>
      <w:r w:rsidR="00147B70" w:rsidRPr="004946F6">
        <w:rPr>
          <w:lang w:bidi="he-IL"/>
        </w:rPr>
        <w:t xml:space="preserve"> </w:t>
      </w:r>
      <w:r w:rsidR="009E4235" w:rsidRPr="004946F6">
        <w:rPr>
          <w:lang w:bidi="he-IL"/>
        </w:rPr>
        <w:t xml:space="preserve">sections. Nevertheless, there were a few differences between Simulations 2 and 3. </w:t>
      </w:r>
      <w:r w:rsidR="005F4D10" w:rsidRPr="004946F6">
        <w:rPr>
          <w:lang w:bidi="he-IL"/>
        </w:rPr>
        <w:t>As in the original study t</w:t>
      </w:r>
      <w:r w:rsidR="004B0115" w:rsidRPr="004946F6">
        <w:rPr>
          <w:lang w:bidi="he-IL"/>
        </w:rPr>
        <w:t xml:space="preserve">he </w:t>
      </w:r>
      <w:r w:rsidRPr="004946F6">
        <w:rPr>
          <w:lang w:bidi="he-IL"/>
        </w:rPr>
        <w:t xml:space="preserve">first and last two </w:t>
      </w:r>
      <w:r w:rsidR="004B0115" w:rsidRPr="004946F6">
        <w:rPr>
          <w:lang w:bidi="he-IL"/>
        </w:rPr>
        <w:t xml:space="preserve">items </w:t>
      </w:r>
      <w:r w:rsidRPr="004946F6">
        <w:rPr>
          <w:lang w:bidi="he-IL"/>
        </w:rPr>
        <w:t xml:space="preserve">were </w:t>
      </w:r>
      <w:r w:rsidR="004B0115" w:rsidRPr="004946F6">
        <w:rPr>
          <w:lang w:bidi="he-IL"/>
        </w:rPr>
        <w:t xml:space="preserve">considered </w:t>
      </w:r>
      <w:r w:rsidRPr="004946F6">
        <w:rPr>
          <w:lang w:bidi="he-IL"/>
        </w:rPr>
        <w:t>buffers</w:t>
      </w:r>
      <w:r w:rsidR="004B0115" w:rsidRPr="004946F6">
        <w:rPr>
          <w:lang w:bidi="he-IL"/>
        </w:rPr>
        <w:t xml:space="preserve"> and not analysed; two of these were emotional, two of these neutral, and they were allocated randomly to </w:t>
      </w:r>
      <w:r w:rsidR="002F678F" w:rsidRPr="004946F6">
        <w:rPr>
          <w:lang w:bidi="he-IL"/>
        </w:rPr>
        <w:t>the 1</w:t>
      </w:r>
      <w:r w:rsidR="002F678F" w:rsidRPr="004946F6">
        <w:rPr>
          <w:vertAlign w:val="superscript"/>
          <w:lang w:bidi="he-IL"/>
        </w:rPr>
        <w:t>st</w:t>
      </w:r>
      <w:r w:rsidR="002F678F" w:rsidRPr="004946F6">
        <w:rPr>
          <w:lang w:bidi="he-IL"/>
        </w:rPr>
        <w:t>, 2</w:t>
      </w:r>
      <w:r w:rsidR="002F678F" w:rsidRPr="004946F6">
        <w:rPr>
          <w:vertAlign w:val="superscript"/>
          <w:lang w:bidi="he-IL"/>
        </w:rPr>
        <w:t>nd</w:t>
      </w:r>
      <w:r w:rsidR="002F678F" w:rsidRPr="004946F6">
        <w:rPr>
          <w:lang w:bidi="he-IL"/>
        </w:rPr>
        <w:t xml:space="preserve">, </w:t>
      </w:r>
      <w:r w:rsidR="003876CF" w:rsidRPr="004946F6">
        <w:rPr>
          <w:lang w:bidi="he-IL"/>
        </w:rPr>
        <w:t>1</w:t>
      </w:r>
      <w:r w:rsidR="009E4235" w:rsidRPr="004946F6">
        <w:rPr>
          <w:lang w:bidi="he-IL"/>
        </w:rPr>
        <w:t>7</w:t>
      </w:r>
      <w:r w:rsidR="003876CF" w:rsidRPr="004946F6">
        <w:rPr>
          <w:vertAlign w:val="superscript"/>
          <w:lang w:bidi="he-IL"/>
        </w:rPr>
        <w:t>th</w:t>
      </w:r>
      <w:r w:rsidR="003876CF" w:rsidRPr="004946F6">
        <w:rPr>
          <w:lang w:bidi="he-IL"/>
        </w:rPr>
        <w:t xml:space="preserve"> and </w:t>
      </w:r>
      <w:r w:rsidR="009E4235" w:rsidRPr="004946F6">
        <w:rPr>
          <w:lang w:bidi="he-IL"/>
        </w:rPr>
        <w:t>18</w:t>
      </w:r>
      <w:r w:rsidR="003876CF" w:rsidRPr="004946F6">
        <w:rPr>
          <w:vertAlign w:val="superscript"/>
          <w:lang w:bidi="he-IL"/>
        </w:rPr>
        <w:t>th</w:t>
      </w:r>
      <w:r w:rsidR="003876CF" w:rsidRPr="004946F6">
        <w:rPr>
          <w:lang w:bidi="he-IL"/>
        </w:rPr>
        <w:t xml:space="preserve"> </w:t>
      </w:r>
      <w:r w:rsidR="004B0115" w:rsidRPr="004946F6">
        <w:rPr>
          <w:lang w:bidi="he-IL"/>
        </w:rPr>
        <w:t xml:space="preserve">list positions for every simulated participant. </w:t>
      </w:r>
      <w:r w:rsidR="009E4235" w:rsidRPr="004946F6">
        <w:rPr>
          <w:lang w:bidi="he-IL"/>
        </w:rPr>
        <w:t xml:space="preserve">To better match the empirical setup of LaBar and Phelps, the simulated immediate test in Simulation 3I followed the encoding stage without simulating a distractor at the end of the list. Based on the discussion in the original paper, </w:t>
      </w:r>
      <w:r w:rsidR="009E4235" w:rsidRPr="004946F6">
        <w:t>we assumed</w:t>
      </w:r>
      <w:r w:rsidR="009E4235" w:rsidRPr="004946F6">
        <w:rPr>
          <w:lang w:bidi="he-IL"/>
        </w:rPr>
        <w:t xml:space="preserve"> that emotional items were more inter-related to each other than the neutral items</w:t>
      </w:r>
      <w:r w:rsidR="00147B70">
        <w:rPr>
          <w:lang w:bidi="he-IL"/>
        </w:rPr>
        <w:t xml:space="preserve">. In Simulation 3 </w:t>
      </w:r>
      <w:r w:rsidR="009E4235" w:rsidRPr="004946F6">
        <w:rPr>
          <w:lang w:bidi="he-IL"/>
        </w:rPr>
        <w:t>the average semantic associations strength was 0.072</w:t>
      </w:r>
      <w:r w:rsidR="00147B70">
        <w:rPr>
          <w:lang w:bidi="he-IL"/>
        </w:rPr>
        <w:t>,</w:t>
      </w:r>
      <w:r w:rsidR="009E4235" w:rsidRPr="004946F6">
        <w:rPr>
          <w:lang w:bidi="he-IL"/>
        </w:rPr>
        <w:t xml:space="preserve"> apart from among emotional items, where it was 0.09.</w:t>
      </w:r>
      <w:r w:rsidR="000C06F8" w:rsidRPr="004946F6">
        <w:rPr>
          <w:lang w:bidi="he-IL"/>
        </w:rPr>
        <w:t xml:space="preserve"> </w:t>
      </w:r>
      <w:r w:rsidR="00F16790" w:rsidRPr="004946F6">
        <w:rPr>
          <w:rFonts w:eastAsiaTheme="minorEastAsia"/>
        </w:rPr>
        <w:t>B</w:t>
      </w:r>
      <w:r w:rsidR="00F16790" w:rsidRPr="004946F6">
        <w:t xml:space="preserve">ecause LaBar and Phelps used neutral items which were not semantically related, it was likely that the semantic context played a less important role in immediate recall in their study, compared to the study we simulated in section 2. We therefore used the original value for </w:t>
      </w:r>
      <m:oMath>
        <m:sSubSup>
          <m:sSubSupPr>
            <m:ctrlPr>
              <w:rPr>
                <w:rFonts w:ascii="Cambria Math" w:hAnsi="Cambria Math"/>
                <w:i/>
              </w:rPr>
            </m:ctrlPr>
          </m:sSubSupPr>
          <m:e>
            <m:r>
              <w:rPr>
                <w:rFonts w:ascii="Cambria Math" w:hAnsi="Cambria Math"/>
              </w:rPr>
              <m:t>L</m:t>
            </m:r>
          </m:e>
          <m:sub>
            <m:r>
              <w:rPr>
                <w:rFonts w:ascii="Cambria Math" w:hAnsi="Cambria Math"/>
              </w:rPr>
              <m:t>tw</m:t>
            </m:r>
          </m:sub>
          <m:sup>
            <m:r>
              <w:rPr>
                <w:rFonts w:ascii="Cambria Math" w:hAnsi="Cambria Math"/>
              </w:rPr>
              <m:t>CF</m:t>
            </m:r>
          </m:sup>
        </m:sSubSup>
      </m:oMath>
      <w:r w:rsidR="00F16790" w:rsidRPr="004946F6">
        <w:rPr>
          <w:rFonts w:eastAsiaTheme="minorEastAsia"/>
        </w:rPr>
        <w:t xml:space="preserve"> </w:t>
      </w:r>
      <w:r w:rsidR="00C34641" w:rsidRPr="004946F6">
        <w:rPr>
          <w:rFonts w:eastAsiaTheme="minorEastAsia"/>
        </w:rPr>
        <w:t>from</w:t>
      </w:r>
      <w:r w:rsidR="00F16790" w:rsidRPr="004946F6">
        <w:rPr>
          <w:rFonts w:eastAsiaTheme="minorEastAsia"/>
        </w:rPr>
        <w:t xml:space="preserve"> Polyn et al.</w:t>
      </w:r>
      <w:r w:rsidR="00C34641" w:rsidRPr="004946F6">
        <w:rPr>
          <w:rFonts w:eastAsiaTheme="minorEastAsia"/>
        </w:rPr>
        <w:t xml:space="preserve"> (2008).</w:t>
      </w:r>
      <w:r w:rsidR="00F16790" w:rsidRPr="004946F6">
        <w:rPr>
          <w:rFonts w:eastAsiaTheme="minorEastAsia"/>
        </w:rPr>
        <w:t xml:space="preserve"> </w:t>
      </w:r>
    </w:p>
    <w:p w14:paraId="6EF23EF7" w14:textId="096B9970" w:rsidR="000936BC" w:rsidRPr="004946F6" w:rsidRDefault="00147B70">
      <w:pPr>
        <w:spacing w:line="480" w:lineRule="auto"/>
        <w:jc w:val="both"/>
        <w:rPr>
          <w:lang w:bidi="he-IL"/>
        </w:rPr>
      </w:pPr>
      <w:r>
        <w:rPr>
          <w:lang w:bidi="he-IL"/>
        </w:rPr>
        <w:t>To recap, i</w:t>
      </w:r>
      <w:r w:rsidR="000936BC" w:rsidRPr="004946F6">
        <w:rPr>
          <w:lang w:bidi="he-IL"/>
        </w:rPr>
        <w:t>n Simulation 3D the delay</w:t>
      </w:r>
      <w:r>
        <w:rPr>
          <w:lang w:bidi="he-IL"/>
        </w:rPr>
        <w:t>ed</w:t>
      </w:r>
      <w:r w:rsidR="000936BC" w:rsidRPr="004946F6">
        <w:rPr>
          <w:lang w:bidi="he-IL"/>
        </w:rPr>
        <w:t xml:space="preserve"> test was modelled by </w:t>
      </w:r>
      <w:r w:rsidR="000212E8" w:rsidRPr="004946F6">
        <w:rPr>
          <w:lang w:bidi="he-IL"/>
        </w:rPr>
        <w:t xml:space="preserve">(1) </w:t>
      </w:r>
      <w:r w:rsidR="000936BC" w:rsidRPr="004946F6">
        <w:rPr>
          <w:lang w:bidi="he-IL"/>
        </w:rPr>
        <w:t xml:space="preserve">simulating a distractor at the end of the list </w:t>
      </w:r>
      <w:r w:rsidR="000212E8" w:rsidRPr="004946F6">
        <w:rPr>
          <w:lang w:bidi="he-IL"/>
        </w:rPr>
        <w:t xml:space="preserve">(2) </w:t>
      </w:r>
      <w:r w:rsidR="000936BC" w:rsidRPr="004946F6">
        <w:rPr>
          <w:lang w:bidi="he-IL"/>
        </w:rPr>
        <w:t>decreasing</w:t>
      </w:r>
      <m:oMath>
        <m:sSubSup>
          <m:sSubSupPr>
            <m:ctrlPr>
              <w:rPr>
                <w:rFonts w:ascii="Cambria Math" w:hAnsi="Cambria Math"/>
              </w:rPr>
            </m:ctrlPr>
          </m:sSubSupPr>
          <m:e>
            <m:r>
              <m:rPr>
                <m:sty m:val="p"/>
              </m:rPr>
              <w:rPr>
                <w:rFonts w:ascii="Cambria Math" w:hAnsi="Cambria Math" w:hint="eastAsia"/>
              </w:rPr>
              <m:t>β</m:t>
            </m:r>
          </m:e>
          <m:sub>
            <m:r>
              <w:rPr>
                <w:rFonts w:ascii="Cambria Math" w:hAnsi="Cambria Math"/>
              </w:rPr>
              <m:t>rec</m:t>
            </m:r>
          </m:sub>
          <m:sup>
            <m:r>
              <w:rPr>
                <w:rFonts w:ascii="Cambria Math" w:hAnsi="Cambria Math"/>
              </w:rPr>
              <m:t>temp</m:t>
            </m:r>
          </m:sup>
        </m:sSubSup>
      </m:oMath>
      <w:r w:rsidR="000936BC" w:rsidRPr="004946F6">
        <w:rPr>
          <w:lang w:bidi="he-IL"/>
        </w:rPr>
        <w:t>, which governs the overall ability to retrieve the temporal context</w:t>
      </w:r>
      <w:r w:rsidR="000212E8" w:rsidRPr="004946F6">
        <w:rPr>
          <w:lang w:bidi="he-IL"/>
        </w:rPr>
        <w:t xml:space="preserve"> (3) decreasing </w:t>
      </w:r>
      <w:r w:rsidR="000936BC" w:rsidRPr="004946F6">
        <w:rPr>
          <w:lang w:bidi="he-IL"/>
        </w:rPr>
        <w:t>parameters</w:t>
      </w:r>
      <w:r w:rsidR="000936BC" w:rsidRPr="004946F6">
        <w:t xml:space="preserve"> </w:t>
      </w:r>
      <m:oMath>
        <m:sSubSup>
          <m:sSubSupPr>
            <m:ctrlPr>
              <w:rPr>
                <w:rFonts w:ascii="Cambria Math" w:hAnsi="Cambria Math"/>
                <w:i/>
              </w:rPr>
            </m:ctrlPr>
          </m:sSubSupPr>
          <m:e>
            <m:r>
              <w:rPr>
                <w:rFonts w:ascii="Cambria Math" w:hAnsi="Cambria Math"/>
              </w:rPr>
              <m:t>L</m:t>
            </m:r>
          </m:e>
          <m:sub>
            <m:r>
              <w:rPr>
                <w:rFonts w:ascii="Cambria Math" w:hAnsi="Cambria Math"/>
              </w:rPr>
              <m:t>tw</m:t>
            </m:r>
          </m:sub>
          <m:sup>
            <m:r>
              <w:rPr>
                <w:rFonts w:ascii="Cambria Math" w:hAnsi="Cambria Math"/>
              </w:rPr>
              <m:t>CF</m:t>
            </m:r>
          </m:sup>
        </m:sSubSup>
        <m:r>
          <m:rPr>
            <m:sty m:val="p"/>
          </m:rPr>
          <w:rPr>
            <w:rFonts w:ascii="Cambria Math" w:hAnsi="Cambria Math"/>
          </w:rPr>
          <m:t xml:space="preserve"> </m:t>
        </m:r>
      </m:oMath>
      <w:r w:rsidR="000936BC" w:rsidRPr="004946F6">
        <w:t xml:space="preserve">and </w:t>
      </w:r>
      <m:oMath>
        <m:sSubSup>
          <m:sSubSupPr>
            <m:ctrlPr>
              <w:rPr>
                <w:rFonts w:ascii="Cambria Math" w:hAnsi="Cambria Math"/>
                <w:i/>
              </w:rPr>
            </m:ctrlPr>
          </m:sSubSupPr>
          <m:e>
            <m:r>
              <w:rPr>
                <w:rFonts w:ascii="Cambria Math" w:hAnsi="Cambria Math"/>
              </w:rPr>
              <m:t>L</m:t>
            </m:r>
          </m:e>
          <m:sub>
            <m:r>
              <w:rPr>
                <w:rFonts w:ascii="Cambria Math" w:hAnsi="Cambria Math"/>
              </w:rPr>
              <m:t>wt</m:t>
            </m:r>
          </m:sub>
          <m:sup>
            <m:r>
              <w:rPr>
                <w:rFonts w:ascii="Cambria Math" w:hAnsi="Cambria Math"/>
              </w:rPr>
              <m:t>FC</m:t>
            </m:r>
          </m:sup>
        </m:sSubSup>
      </m:oMath>
      <w:r w:rsidR="000936BC" w:rsidRPr="004946F6">
        <w:t xml:space="preserve">, </w:t>
      </w:r>
      <w:r w:rsidR="00666B3E" w:rsidRPr="004946F6">
        <w:t>which control the associations between temporal context and temporal item features (</w:t>
      </w:r>
      <w:r w:rsidR="000212E8" w:rsidRPr="004946F6">
        <w:fldChar w:fldCharType="begin"/>
      </w:r>
      <w:r w:rsidR="000212E8" w:rsidRPr="004946F6">
        <w:instrText xml:space="preserve"> REF Table1 \h </w:instrText>
      </w:r>
      <w:r w:rsidR="008523C1" w:rsidRPr="004946F6">
        <w:instrText xml:space="preserve"> \* MERGEFORMAT </w:instrText>
      </w:r>
      <w:r w:rsidR="000212E8" w:rsidRPr="004946F6">
        <w:fldChar w:fldCharType="separate"/>
      </w:r>
      <w:r w:rsidR="000212E8" w:rsidRPr="004946F6">
        <w:rPr>
          <w:b/>
          <w:bCs/>
        </w:rPr>
        <w:t>TABLE 1</w:t>
      </w:r>
      <w:r w:rsidR="000212E8" w:rsidRPr="004946F6">
        <w:fldChar w:fldCharType="end"/>
      </w:r>
      <w:r w:rsidR="000212E8" w:rsidRPr="004946F6">
        <w:t>)</w:t>
      </w:r>
      <w:r w:rsidR="00666B3E" w:rsidRPr="004946F6">
        <w:t xml:space="preserve">. </w:t>
      </w:r>
      <w:r w:rsidR="000212E8" w:rsidRPr="004946F6">
        <w:t xml:space="preserve">These changes weaken the associations between the item and its temporal context. Consequently, recalling one item will promote the recall of items that share its temporal associations to a lesser extent, instead promoting the </w:t>
      </w:r>
      <w:r w:rsidR="00666B3E" w:rsidRPr="004946F6">
        <w:t xml:space="preserve">recall of items that share </w:t>
      </w:r>
      <w:r w:rsidR="000212E8" w:rsidRPr="004946F6">
        <w:t xml:space="preserve">its </w:t>
      </w:r>
      <w:r w:rsidR="00666B3E" w:rsidRPr="004946F6">
        <w:t xml:space="preserve">semantic and emotional </w:t>
      </w:r>
      <w:r w:rsidR="000212E8" w:rsidRPr="004946F6">
        <w:t>context</w:t>
      </w:r>
      <w:r w:rsidR="00666B3E" w:rsidRPr="004946F6">
        <w:t>.</w:t>
      </w:r>
      <w:r w:rsidR="006E738D" w:rsidRPr="004946F6">
        <w:t xml:space="preserve"> </w:t>
      </w:r>
    </w:p>
    <w:p w14:paraId="5E6682BD" w14:textId="77777777" w:rsidR="002C1763" w:rsidRDefault="002C1763" w:rsidP="00D3425F">
      <w:pPr>
        <w:spacing w:line="480" w:lineRule="auto"/>
        <w:jc w:val="both"/>
      </w:pPr>
    </w:p>
    <w:p w14:paraId="07806FB4" w14:textId="77777777" w:rsidR="00FF6050" w:rsidRDefault="00FF6050" w:rsidP="00D3425F">
      <w:pPr>
        <w:spacing w:line="480" w:lineRule="auto"/>
        <w:jc w:val="both"/>
      </w:pPr>
    </w:p>
    <w:p w14:paraId="654A05EF" w14:textId="77777777" w:rsidR="00FF6050" w:rsidRPr="004946F6" w:rsidRDefault="00FF6050" w:rsidP="00D3425F">
      <w:pPr>
        <w:spacing w:line="480" w:lineRule="auto"/>
        <w:jc w:val="both"/>
      </w:pPr>
    </w:p>
    <w:p w14:paraId="1DB273FD" w14:textId="7FEA1DD3" w:rsidR="000936BC" w:rsidRPr="004946F6" w:rsidRDefault="00F0282F" w:rsidP="00F05673">
      <w:pPr>
        <w:spacing w:line="480" w:lineRule="auto"/>
        <w:jc w:val="both"/>
      </w:pPr>
      <w:r w:rsidRPr="004946F6">
        <w:rPr>
          <w:b/>
          <w:bCs/>
          <w:i/>
          <w:iCs/>
        </w:rPr>
        <w:t>3</w:t>
      </w:r>
      <w:r w:rsidR="002C1763" w:rsidRPr="004946F6">
        <w:rPr>
          <w:b/>
          <w:bCs/>
          <w:i/>
          <w:iCs/>
        </w:rPr>
        <w:t>.</w:t>
      </w:r>
      <w:r w:rsidR="00147B70">
        <w:rPr>
          <w:b/>
          <w:bCs/>
          <w:i/>
          <w:iCs/>
        </w:rPr>
        <w:t>4</w:t>
      </w:r>
      <w:r w:rsidR="002C1763" w:rsidRPr="004946F6">
        <w:rPr>
          <w:b/>
          <w:bCs/>
          <w:i/>
          <w:iCs/>
        </w:rPr>
        <w:t xml:space="preserve"> Comparison between Simulations </w:t>
      </w:r>
      <w:r w:rsidR="00455C1C" w:rsidRPr="004946F6">
        <w:rPr>
          <w:b/>
          <w:bCs/>
          <w:i/>
          <w:iCs/>
        </w:rPr>
        <w:t>3</w:t>
      </w:r>
      <w:r w:rsidR="00F0551C" w:rsidRPr="004946F6">
        <w:rPr>
          <w:b/>
          <w:bCs/>
          <w:i/>
          <w:iCs/>
        </w:rPr>
        <w:t>I</w:t>
      </w:r>
      <w:r w:rsidR="000936BC" w:rsidRPr="004946F6">
        <w:rPr>
          <w:b/>
          <w:bCs/>
          <w:i/>
          <w:iCs/>
        </w:rPr>
        <w:t xml:space="preserve"> and</w:t>
      </w:r>
      <w:r w:rsidR="00EC6D08" w:rsidRPr="004946F6">
        <w:rPr>
          <w:b/>
          <w:bCs/>
          <w:i/>
          <w:iCs/>
        </w:rPr>
        <w:t xml:space="preserve"> </w:t>
      </w:r>
      <w:r w:rsidR="00455C1C" w:rsidRPr="004946F6">
        <w:rPr>
          <w:b/>
          <w:bCs/>
          <w:i/>
          <w:iCs/>
        </w:rPr>
        <w:t>3</w:t>
      </w:r>
      <w:r w:rsidR="00F0551C" w:rsidRPr="004946F6">
        <w:rPr>
          <w:b/>
          <w:bCs/>
          <w:i/>
          <w:iCs/>
        </w:rPr>
        <w:t>D</w:t>
      </w:r>
    </w:p>
    <w:p w14:paraId="621876E4" w14:textId="53871413" w:rsidR="000936BC" w:rsidRPr="004946F6" w:rsidRDefault="000936BC">
      <w:pPr>
        <w:spacing w:line="480" w:lineRule="auto"/>
        <w:jc w:val="both"/>
        <w:rPr>
          <w:lang w:bidi="he-IL"/>
        </w:rPr>
      </w:pPr>
      <w:r w:rsidRPr="004946F6">
        <w:t>Simulation</w:t>
      </w:r>
      <w:r w:rsidR="00F16790" w:rsidRPr="004946F6">
        <w:t>s</w:t>
      </w:r>
      <w:r w:rsidRPr="004946F6">
        <w:t xml:space="preserve"> 3</w:t>
      </w:r>
      <w:r w:rsidR="00F16790" w:rsidRPr="004946F6">
        <w:t>I and 3D</w:t>
      </w:r>
      <w:r w:rsidRPr="004946F6">
        <w:t xml:space="preserve"> captured the full pattern of data described by </w:t>
      </w:r>
      <w:r w:rsidR="00151508" w:rsidRPr="004946F6">
        <w:t>LaBar</w:t>
      </w:r>
      <w:r w:rsidRPr="004946F6">
        <w:t xml:space="preserve"> and Phelps (1998). </w:t>
      </w:r>
      <w:r w:rsidR="00851846" w:rsidRPr="004946F6">
        <w:rPr>
          <w:lang w:bidi="he-IL"/>
        </w:rPr>
        <w:t xml:space="preserve">About </w:t>
      </w:r>
      <w:r w:rsidR="005D302E" w:rsidRPr="004946F6">
        <w:rPr>
          <w:lang w:bidi="he-IL"/>
        </w:rPr>
        <w:t xml:space="preserve">half of the </w:t>
      </w:r>
      <w:r w:rsidR="00851846" w:rsidRPr="004946F6">
        <w:rPr>
          <w:lang w:bidi="he-IL"/>
        </w:rPr>
        <w:t>n</w:t>
      </w:r>
      <w:r w:rsidRPr="004946F6">
        <w:t xml:space="preserve">eutral items were forgotten </w:t>
      </w:r>
      <w:r w:rsidR="00851846" w:rsidRPr="004946F6">
        <w:t xml:space="preserve">after a simulated delay, </w:t>
      </w:r>
      <w:r w:rsidR="005D302E" w:rsidRPr="004946F6">
        <w:t xml:space="preserve">while memory for </w:t>
      </w:r>
      <w:r w:rsidR="00851846" w:rsidRPr="004946F6">
        <w:t>emotional item</w:t>
      </w:r>
      <w:r w:rsidR="005D302E" w:rsidRPr="004946F6">
        <w:t>s</w:t>
      </w:r>
      <w:r w:rsidR="00851846" w:rsidRPr="004946F6">
        <w:t xml:space="preserve"> </w:t>
      </w:r>
      <w:r w:rsidR="005D302E" w:rsidRPr="004946F6">
        <w:t>persisted</w:t>
      </w:r>
      <w:r w:rsidR="00851846" w:rsidRPr="004946F6">
        <w:t xml:space="preserve">. </w:t>
      </w:r>
      <w:r w:rsidRPr="004946F6">
        <w:t xml:space="preserve">Compared to the recall advantage of emotional items in Simulations 3I, in Simulation 3D </w:t>
      </w:r>
      <w:r w:rsidRPr="004946F6">
        <w:rPr>
          <w:lang w:bidi="he-IL"/>
        </w:rPr>
        <w:t xml:space="preserve">the model recalled </w:t>
      </w:r>
      <w:r w:rsidR="00F630E8" w:rsidRPr="004946F6">
        <w:rPr>
          <w:lang w:bidi="he-IL"/>
        </w:rPr>
        <w:t xml:space="preserve">both </w:t>
      </w:r>
      <w:r w:rsidRPr="004946F6">
        <w:rPr>
          <w:lang w:bidi="he-IL"/>
        </w:rPr>
        <w:t>numerically and proportionally more emotional than neutral items (</w:t>
      </w:r>
      <w:r w:rsidR="001D09BB">
        <w:fldChar w:fldCharType="begin"/>
      </w:r>
      <w:r w:rsidR="001D09BB">
        <w:instrText xml:space="preserve"> REF Figure7 \h </w:instrText>
      </w:r>
      <w:r w:rsidR="001D09BB">
        <w:fldChar w:fldCharType="separate"/>
      </w:r>
      <w:r w:rsidR="001D09BB" w:rsidRPr="004946F6">
        <w:rPr>
          <w:b/>
          <w:bCs/>
          <w:i/>
          <w:iCs/>
        </w:rPr>
        <w:t xml:space="preserve">FIGURE </w:t>
      </w:r>
      <w:r w:rsidR="001D09BB">
        <w:rPr>
          <w:b/>
          <w:bCs/>
          <w:i/>
          <w:iCs/>
        </w:rPr>
        <w:t>7</w:t>
      </w:r>
      <w:r w:rsidR="001D09BB">
        <w:fldChar w:fldCharType="end"/>
      </w:r>
      <w:r w:rsidRPr="004946F6">
        <w:t>)</w:t>
      </w:r>
      <w:r w:rsidRPr="004946F6">
        <w:rPr>
          <w:lang w:bidi="he-IL"/>
        </w:rPr>
        <w:t xml:space="preserve">. </w:t>
      </w:r>
      <w:r w:rsidR="005D302E" w:rsidRPr="004946F6" w:rsidDel="000936BC">
        <w:rPr>
          <w:lang w:bidi="he-IL"/>
        </w:rPr>
        <w:t>It is well known that forgetting can be quantified in at least two different ways</w:t>
      </w:r>
      <w:r w:rsidR="006E738D" w:rsidRPr="004946F6">
        <w:rPr>
          <w:lang w:bidi="he-IL"/>
        </w:rPr>
        <w:t xml:space="preserve"> </w:t>
      </w:r>
      <w:r w:rsidR="005D302E" w:rsidRPr="004946F6" w:rsidDel="000936BC">
        <w:rPr>
          <w:lang w:bidi="he-IL"/>
        </w:rPr>
        <w:t>–</w:t>
      </w:r>
      <w:r w:rsidR="006E738D" w:rsidRPr="004946F6">
        <w:rPr>
          <w:lang w:bidi="he-IL"/>
        </w:rPr>
        <w:t xml:space="preserve"> </w:t>
      </w:r>
      <w:r w:rsidR="005D302E" w:rsidRPr="004946F6" w:rsidDel="000936BC">
        <w:rPr>
          <w:lang w:bidi="he-IL"/>
        </w:rPr>
        <w:t xml:space="preserve">the decrease in the number or the proportion of retained </w:t>
      </w:r>
      <w:r w:rsidR="005D302E" w:rsidRPr="004946F6" w:rsidDel="000936BC">
        <w:rPr>
          <w:lang w:bidi="he-IL"/>
        </w:rPr>
        <w:fldChar w:fldCharType="begin" w:fldLock="1"/>
      </w:r>
      <w:r w:rsidR="008C25E5" w:rsidRPr="004946F6">
        <w:rPr>
          <w:lang w:bidi="he-IL"/>
        </w:rPr>
        <w:instrText>ADDIN CSL_CITATION { "citationItems" : [ { "id" : "ITEM-1", "itemData" : { "DOI" : "10.1037/0278-7393.16.5.927", "ISSN" : "0278-7393", "abstract" : "An analysis of temporal properties of forgetting can be performed whenever memory is assessed at more than 1 retention interval. With regard to the singular property of forgetting rate, however, any theoretical interpretation is complicated by the possibility of a nonlinear scale relating a given performance measure (e.g., number of items recalled) to an underlying process. Because that scaling relationship is generally unknown, many conclusions about the rate of forgetting based on a performance measure cannot be assumed to reflect the memory process of interest. In an effort to deal with that problem, several methods of analysis have been proposed that generally yield opposing conclusions about whether a higher degree of learning results in a slower rate of forgetting. The present article describes 4 properties of empirical forgetting functions that may be taken to represent the rate of forgetting and illustrates the potentially confusing practice of assigning the same verbal label to each. The difference between performance-based and psychological views of forgetting and the role of that distinction in determining one's approach to the analysis of empirical forgetting functions are also considered. (PsycINFO Database Record (c) 2002 APA, all rights reserved)", "author" : [ { "dropping-particle" : "", "family" : "Wixted", "given" : "John T.", "non-dropping-particle" : "", "parse-names" : false, "suffix" : "" } ], "container-title" : "Journal of Experimental Psychology: Learning, Memory, and Cognition", "id" : "ITEM-1", "issue" : "5", "issued" : { "date-parts" : [ [ "1990" ] ] }, "page" : "927-935", "title" : "Analyzing the empirical course of forgetting.", "type" : "article-journal", "volume" : "16" }, "uris" : [ "http://www.mendeley.com/documents/?uuid=d4f3a4df-68b9-4141-9cb7-7f11145645ef" ] } ], "mendeley" : { "formattedCitation" : "(Wixted, 1990)", "plainTextFormattedCitation" : "(Wixted, 1990)", "previouslyFormattedCitation" : "(Wixted, 1990)" }, "properties" : { "noteIndex" : 0 }, "schema" : "https://github.com/citation-style-language/schema/raw/master/csl-citation.json" }</w:instrText>
      </w:r>
      <w:r w:rsidR="005D302E" w:rsidRPr="004946F6" w:rsidDel="000936BC">
        <w:rPr>
          <w:lang w:bidi="he-IL"/>
        </w:rPr>
        <w:fldChar w:fldCharType="separate"/>
      </w:r>
      <w:r w:rsidR="005D302E" w:rsidRPr="004946F6" w:rsidDel="000936BC">
        <w:rPr>
          <w:noProof/>
          <w:lang w:bidi="he-IL"/>
        </w:rPr>
        <w:t>(Wixted, 1990)</w:t>
      </w:r>
      <w:r w:rsidR="005D302E" w:rsidRPr="004946F6" w:rsidDel="000936BC">
        <w:rPr>
          <w:lang w:bidi="he-IL"/>
        </w:rPr>
        <w:fldChar w:fldCharType="end"/>
      </w:r>
      <w:r w:rsidR="005D302E" w:rsidRPr="004946F6">
        <w:rPr>
          <w:lang w:bidi="he-IL"/>
        </w:rPr>
        <w:t>; here the effects are large, and stand regardless of how forgetting is quantified. Further examination of these results suggest</w:t>
      </w:r>
      <w:r w:rsidR="0068479E" w:rsidRPr="004946F6">
        <w:rPr>
          <w:lang w:bidi="he-IL"/>
        </w:rPr>
        <w:t>s</w:t>
      </w:r>
      <w:r w:rsidR="005D302E" w:rsidRPr="004946F6">
        <w:rPr>
          <w:lang w:bidi="he-IL"/>
        </w:rPr>
        <w:t xml:space="preserve"> that increasing the value of the distractor at the end of the list</w:t>
      </w:r>
      <w:r w:rsidR="0068479E" w:rsidRPr="004946F6">
        <w:rPr>
          <w:lang w:bidi="he-IL"/>
        </w:rPr>
        <w:t>,</w:t>
      </w:r>
      <w:r w:rsidR="005D302E" w:rsidRPr="004946F6">
        <w:rPr>
          <w:lang w:bidi="he-IL"/>
        </w:rPr>
        <w:t xml:space="preserve"> or decreasing </w:t>
      </w:r>
      <m:oMath>
        <m:sSubSup>
          <m:sSubSupPr>
            <m:ctrlPr>
              <w:rPr>
                <w:rFonts w:ascii="Cambria Math" w:hAnsi="Cambria Math"/>
              </w:rPr>
            </m:ctrlPr>
          </m:sSubSupPr>
          <m:e>
            <m:r>
              <m:rPr>
                <m:sty m:val="p"/>
              </m:rPr>
              <w:rPr>
                <w:rFonts w:ascii="Cambria Math" w:hAnsi="Cambria Math" w:hint="eastAsia"/>
              </w:rPr>
              <m:t>β</m:t>
            </m:r>
          </m:e>
          <m:sub>
            <m:r>
              <w:rPr>
                <w:rFonts w:ascii="Cambria Math" w:hAnsi="Cambria Math"/>
              </w:rPr>
              <m:t>rec</m:t>
            </m:r>
          </m:sub>
          <m:sup>
            <m:r>
              <w:rPr>
                <w:rFonts w:ascii="Cambria Math" w:hAnsi="Cambria Math"/>
              </w:rPr>
              <m:t>temp</m:t>
            </m:r>
          </m:sup>
        </m:sSubSup>
      </m:oMath>
      <w:r w:rsidR="005D302E" w:rsidRPr="004946F6">
        <w:rPr>
          <w:rFonts w:eastAsiaTheme="minorEastAsia"/>
        </w:rPr>
        <w:t xml:space="preserve"> further</w:t>
      </w:r>
      <w:r w:rsidR="0068479E" w:rsidRPr="004946F6">
        <w:rPr>
          <w:rFonts w:eastAsiaTheme="minorEastAsia"/>
        </w:rPr>
        <w:t>,</w:t>
      </w:r>
      <w:r w:rsidR="005D302E" w:rsidRPr="004946F6">
        <w:rPr>
          <w:rFonts w:eastAsiaTheme="minorEastAsia"/>
        </w:rPr>
        <w:t xml:space="preserve"> </w:t>
      </w:r>
      <w:r w:rsidR="00E75D23" w:rsidRPr="004946F6">
        <w:rPr>
          <w:rFonts w:eastAsiaTheme="minorEastAsia"/>
        </w:rPr>
        <w:t xml:space="preserve">decreased recall of both emotional and neutral items, while the value of </w:t>
      </w:r>
      <m:oMath>
        <m:sSubSup>
          <m:sSubSupPr>
            <m:ctrlPr>
              <w:rPr>
                <w:rFonts w:ascii="Cambria Math" w:hAnsi="Cambria Math"/>
                <w:i/>
              </w:rPr>
            </m:ctrlPr>
          </m:sSubSupPr>
          <m:e>
            <m:r>
              <w:rPr>
                <w:rFonts w:ascii="Cambria Math" w:hAnsi="Cambria Math"/>
              </w:rPr>
              <m:t>L</m:t>
            </m:r>
          </m:e>
          <m:sub>
            <m:r>
              <w:rPr>
                <w:rFonts w:ascii="Cambria Math" w:hAnsi="Cambria Math"/>
              </w:rPr>
              <m:t>tw</m:t>
            </m:r>
          </m:sub>
          <m:sup>
            <m:r>
              <w:rPr>
                <w:rFonts w:ascii="Cambria Math" w:hAnsi="Cambria Math"/>
              </w:rPr>
              <m:t>CF</m:t>
            </m:r>
          </m:sup>
        </m:sSubSup>
        <m:r>
          <m:rPr>
            <m:sty m:val="p"/>
          </m:rPr>
          <w:rPr>
            <w:rFonts w:ascii="Cambria Math" w:hAnsi="Cambria Math"/>
          </w:rPr>
          <m:t xml:space="preserve"> </m:t>
        </m:r>
      </m:oMath>
      <w:r w:rsidR="00E75D23" w:rsidRPr="004946F6">
        <w:t xml:space="preserve">and </w:t>
      </w:r>
      <m:oMath>
        <m:sSubSup>
          <m:sSubSupPr>
            <m:ctrlPr>
              <w:rPr>
                <w:rFonts w:ascii="Cambria Math" w:hAnsi="Cambria Math"/>
                <w:i/>
              </w:rPr>
            </m:ctrlPr>
          </m:sSubSupPr>
          <m:e>
            <m:r>
              <w:rPr>
                <w:rFonts w:ascii="Cambria Math" w:hAnsi="Cambria Math"/>
              </w:rPr>
              <m:t>L</m:t>
            </m:r>
          </m:e>
          <m:sub>
            <m:r>
              <w:rPr>
                <w:rFonts w:ascii="Cambria Math" w:hAnsi="Cambria Math"/>
              </w:rPr>
              <m:t>wt</m:t>
            </m:r>
          </m:sub>
          <m:sup>
            <m:r>
              <w:rPr>
                <w:rFonts w:ascii="Cambria Math" w:hAnsi="Cambria Math"/>
              </w:rPr>
              <m:t>FC</m:t>
            </m:r>
          </m:sup>
        </m:sSubSup>
      </m:oMath>
      <w:r w:rsidR="00E75D23" w:rsidRPr="004946F6">
        <w:rPr>
          <w:rFonts w:eastAsiaTheme="minorEastAsia"/>
        </w:rPr>
        <w:t xml:space="preserve"> influenced the relative forgetting of these item types. </w:t>
      </w:r>
    </w:p>
    <w:p w14:paraId="1454B733" w14:textId="3408CF3E" w:rsidR="009D44CA" w:rsidRPr="004946F6" w:rsidRDefault="00D3425F">
      <w:pPr>
        <w:spacing w:line="480" w:lineRule="auto"/>
        <w:jc w:val="both"/>
      </w:pPr>
      <w:r w:rsidRPr="004946F6">
        <w:t xml:space="preserve">The difference between the </w:t>
      </w:r>
      <w:r w:rsidR="00E75D23" w:rsidRPr="004946F6">
        <w:t>predictions eCMR makes for immediate and delayed memory</w:t>
      </w:r>
      <w:r w:rsidR="00851846" w:rsidRPr="004946F6">
        <w:t xml:space="preserve"> </w:t>
      </w:r>
      <w:r w:rsidRPr="004946F6">
        <w:t xml:space="preserve">can be </w:t>
      </w:r>
      <w:r w:rsidR="00E75D23" w:rsidRPr="004946F6">
        <w:t>elucidated</w:t>
      </w:r>
      <w:r w:rsidRPr="004946F6">
        <w:t xml:space="preserve"> by analysing </w:t>
      </w:r>
      <w:r w:rsidR="00AE7ED7" w:rsidRPr="004946F6">
        <w:t xml:space="preserve">the </w:t>
      </w:r>
      <w:r w:rsidR="001512F8" w:rsidRPr="004946F6">
        <w:t xml:space="preserve">predictions those simulations make </w:t>
      </w:r>
      <w:r w:rsidR="00E75D23" w:rsidRPr="004946F6">
        <w:t>for the organisation of recall</w:t>
      </w:r>
      <w:r w:rsidRPr="004946F6">
        <w:t xml:space="preserve"> (see </w:t>
      </w:r>
      <w:r w:rsidR="00455C1C" w:rsidRPr="004946F6">
        <w:t>section</w:t>
      </w:r>
      <w:r w:rsidR="00147B70">
        <w:t>s 2.1 and</w:t>
      </w:r>
      <w:r w:rsidR="00455C1C" w:rsidRPr="004946F6">
        <w:t xml:space="preserve"> 2</w:t>
      </w:r>
      <w:r w:rsidR="00493C61" w:rsidRPr="004946F6">
        <w:t>.4.</w:t>
      </w:r>
      <w:r w:rsidR="00480BF7" w:rsidRPr="004946F6">
        <w:t>5</w:t>
      </w:r>
      <w:r w:rsidRPr="004946F6">
        <w:t xml:space="preserve"> </w:t>
      </w:r>
      <w:r w:rsidR="00317F08" w:rsidRPr="004946F6">
        <w:t>for details</w:t>
      </w:r>
      <w:r w:rsidRPr="004946F6">
        <w:t xml:space="preserve"> of th</w:t>
      </w:r>
      <w:r w:rsidR="00E75D23" w:rsidRPr="004946F6">
        <w:t>e</w:t>
      </w:r>
      <w:r w:rsidRPr="004946F6">
        <w:t xml:space="preserve"> analysis method)</w:t>
      </w:r>
      <w:r w:rsidR="00AE7ED7" w:rsidRPr="004946F6">
        <w:t xml:space="preserve">. </w:t>
      </w:r>
      <w:r w:rsidR="001D09BB">
        <w:fldChar w:fldCharType="begin"/>
      </w:r>
      <w:r w:rsidR="001D09BB">
        <w:instrText xml:space="preserve"> REF Figure7 \h </w:instrText>
      </w:r>
      <w:r w:rsidR="001D09BB">
        <w:fldChar w:fldCharType="separate"/>
      </w:r>
      <w:r w:rsidR="001D09BB" w:rsidRPr="004946F6">
        <w:rPr>
          <w:b/>
          <w:bCs/>
          <w:i/>
          <w:iCs/>
        </w:rPr>
        <w:t xml:space="preserve">FIGURE </w:t>
      </w:r>
      <w:r w:rsidR="001D09BB">
        <w:rPr>
          <w:b/>
          <w:bCs/>
          <w:i/>
          <w:iCs/>
        </w:rPr>
        <w:t>7</w:t>
      </w:r>
      <w:r w:rsidR="001D09BB">
        <w:fldChar w:fldCharType="end"/>
      </w:r>
      <w:r w:rsidR="00375DF6" w:rsidRPr="004946F6">
        <w:fldChar w:fldCharType="begin"/>
      </w:r>
      <w:r w:rsidR="00375DF6" w:rsidRPr="004946F6">
        <w:instrText xml:space="preserve"> REF Figure9 \h </w:instrText>
      </w:r>
      <w:r w:rsidR="00AC0EC8" w:rsidRPr="004946F6">
        <w:instrText xml:space="preserve"> \* MERGEFORMAT </w:instrText>
      </w:r>
      <w:r w:rsidR="00375DF6" w:rsidRPr="004946F6">
        <w:fldChar w:fldCharType="end"/>
      </w:r>
      <w:r w:rsidR="00375DF6" w:rsidRPr="004946F6">
        <w:t xml:space="preserve"> </w:t>
      </w:r>
      <w:r w:rsidR="00AE7ED7" w:rsidRPr="004946F6">
        <w:t xml:space="preserve">shows that </w:t>
      </w:r>
      <w:r w:rsidR="00851846" w:rsidRPr="004946F6">
        <w:t xml:space="preserve">simulated delay resulted in </w:t>
      </w:r>
      <w:r w:rsidR="00147B70">
        <w:t>lower</w:t>
      </w:r>
      <w:r w:rsidR="00851846" w:rsidRPr="004946F6">
        <w:t xml:space="preserve"> </w:t>
      </w:r>
      <w:r w:rsidR="00E55AE8" w:rsidRPr="004946F6">
        <w:t>temporal clustering scores</w:t>
      </w:r>
      <w:r w:rsidR="00851846" w:rsidRPr="004946F6">
        <w:t xml:space="preserve">, </w:t>
      </w:r>
      <w:r w:rsidR="00147B70">
        <w:t xml:space="preserve">together with </w:t>
      </w:r>
      <w:r w:rsidR="00851846" w:rsidRPr="004946F6">
        <w:t>increased influence of</w:t>
      </w:r>
      <w:r w:rsidR="001512F8" w:rsidRPr="004946F6">
        <w:t xml:space="preserve"> </w:t>
      </w:r>
      <w:r w:rsidR="00AE7ED7" w:rsidRPr="004946F6">
        <w:t xml:space="preserve">emotional </w:t>
      </w:r>
      <w:r w:rsidRPr="004946F6">
        <w:t xml:space="preserve">and semantic </w:t>
      </w:r>
      <w:r w:rsidR="00317F08" w:rsidRPr="004946F6">
        <w:t>factors</w:t>
      </w:r>
      <w:r w:rsidR="001512F8" w:rsidRPr="004946F6">
        <w:t xml:space="preserve"> on recall</w:t>
      </w:r>
      <w:r w:rsidR="00E55AE8" w:rsidRPr="004946F6">
        <w:t>.</w:t>
      </w:r>
      <w:r w:rsidR="006E738D" w:rsidRPr="004946F6">
        <w:t xml:space="preserve"> </w:t>
      </w:r>
      <w:r w:rsidR="009D02A8" w:rsidRPr="004946F6">
        <w:t xml:space="preserve">Increased reliance on </w:t>
      </w:r>
      <w:r w:rsidR="009D44CA" w:rsidRPr="004946F6">
        <w:t xml:space="preserve">the </w:t>
      </w:r>
      <w:r w:rsidR="009D02A8" w:rsidRPr="004946F6">
        <w:t xml:space="preserve">semantic </w:t>
      </w:r>
      <w:r w:rsidR="009D44CA" w:rsidRPr="004946F6">
        <w:t>context</w:t>
      </w:r>
      <w:r w:rsidR="009D02A8" w:rsidRPr="004946F6">
        <w:t xml:space="preserve"> </w:t>
      </w:r>
      <w:r w:rsidR="005C2DE1" w:rsidRPr="004946F6">
        <w:t>with delay</w:t>
      </w:r>
      <w:r w:rsidR="00493C61" w:rsidRPr="004946F6">
        <w:t xml:space="preserve"> </w:t>
      </w:r>
      <w:r w:rsidR="009D02A8" w:rsidRPr="004946F6">
        <w:t>is reminiscent of the empirical demonstration that semantic similarity interacts with the retention interval, such that the relatedness of the retrieval cue and the target item influence</w:t>
      </w:r>
      <w:r w:rsidR="005C2DE1" w:rsidRPr="004946F6">
        <w:t>d</w:t>
      </w:r>
      <w:r w:rsidR="009D02A8" w:rsidRPr="004946F6">
        <w:t xml:space="preserve"> delayed </w:t>
      </w:r>
      <w:r w:rsidR="009D44CA" w:rsidRPr="004946F6">
        <w:t xml:space="preserve">cued recall </w:t>
      </w:r>
      <w:r w:rsidR="009D02A8" w:rsidRPr="004946F6">
        <w:t xml:space="preserve">more than immediate </w:t>
      </w:r>
      <w:r w:rsidR="009D44CA" w:rsidRPr="004946F6">
        <w:t xml:space="preserve">cued recall </w:t>
      </w:r>
      <w:r w:rsidR="009D02A8" w:rsidRPr="004946F6">
        <w:fldChar w:fldCharType="begin" w:fldLock="1"/>
      </w:r>
      <w:r w:rsidR="008C25E5" w:rsidRPr="004946F6">
        <w:instrText>ADDIN CSL_CITATION { "citationItems" : [ { "id" : "ITEM-1", "itemData" : { "abstract" : "The rational analysis of memory (Anderson, 1990) proposes that memory's sensitiv-ity to statistical structure in the environment enables it to optimally estimate the odds that a memory trace will be needed. We have analyzed sources of informational demand in the environment: speech to children and word usage in the front page headlines of the New York Times. In a previous paper (Anderson &amp; Schooler, 1991) we have shown that factors that govern memory performance, including recency, also predict the odds that an item (e.g., a word) will be encountered. In the present paper we develop the theory to make precise predictions about how the odds of encountering an item now varies as a joint function of (1) the statistical associations between the item and elements of the current context and (2) how long it has been since the item was last encountered. The prediction was confirmed environmentally by analyses of the New York Times and speech to children. The corresponding behavioral prediction was tested, using a cued recall task in which the cues were either strongly associated or unassociated to the targets. In contrast to the environmental results, recall perfor-mance is more sensitive to the length of the retention interval in the presence of unassociated cues than in the presence of associated cues. Further modeling shows that incorporating estimates of the influence of non-retrieval processes (e.g., reading a word, deciding to respond, etc.) on overall performance reduces the discrepancy between the theoretical predictions and the observed data. \u1b67", "author" : [ { "dropping-particle" : "", "family" : "Schooler", "given" : "Lael J", "non-dropping-particle" : "", "parse-names" : false, "suffix" : "" }, { "dropping-particle" : "", "family" : "Anderson", "given" : "John R", "non-dropping-particle" : "", "parse-names" : false, "suffix" : "" }, { "dropping-particle" : "", "family" : "Estes", "given" : "William", "non-dropping-particle" : "", "parse-names" : false, "suffix" : "" }, { "dropping-particle" : "", "family" : "Lovett", "given" : "Marsha", "non-dropping-particle" : "", "parse-names" : false, "suffix" : "" }, { "dropping-particle" : "", "family" : "Murdock", "given" : "Bennet", "non-dropping-particle" : "", "parse-names" : false, "suffix" : "" }, { "dropping-particle" : "", "family" : "Schooler", "given" : "Carmi", "non-dropping-particle" : "", "parse-names" : false, "suffix" : "" }, { "dropping-particle" : "", "family" : "Schooler", "given" : "Jonathan", "non-dropping-particle" : "", "parse-names" : false, "suffix" : "" }, { "dropping-particle" : "", "family" : "Shiffrin", "given" : "Richard", "non-dropping-particle" : "", "parse-names" : false, "suffix" : "" }, { "dropping-particle" : "", "family" : "Wixted", "given" : "John", "non-dropping-particle" : "", "parse-names" : false, "suffix" : "" } ], "container-title" : "COGNITIVE PSYCHOLOGY", "id" : "ITEM-1", "issued" : { "date-parts" : [ [ "1997" ] ] }, "page" : "219-250", "title" : "The Role of Process in the Rational Analysis of Memory", "type" : "article-journal", "volume" : "32" }, "uris" : [ "http://www.mendeley.com/documents/?uuid=3b81d98d-7e13-3890-a895-d5e2e582344a" ] } ], "mendeley" : { "formattedCitation" : "(Schooler et al., 1997)", "plainTextFormattedCitation" : "(Schooler et al., 1997)", "previouslyFormattedCitation" : "(Schooler et al., 1997)" }, "properties" : { "noteIndex" : 0 }, "schema" : "https://github.com/citation-style-language/schema/raw/master/csl-citation.json" }</w:instrText>
      </w:r>
      <w:r w:rsidR="009D02A8" w:rsidRPr="004946F6">
        <w:fldChar w:fldCharType="separate"/>
      </w:r>
      <w:r w:rsidR="009D02A8" w:rsidRPr="004946F6">
        <w:rPr>
          <w:noProof/>
        </w:rPr>
        <w:t>(Schooler et al., 1997)</w:t>
      </w:r>
      <w:r w:rsidR="009D02A8" w:rsidRPr="004946F6">
        <w:fldChar w:fldCharType="end"/>
      </w:r>
      <w:r w:rsidR="009D02A8" w:rsidRPr="004946F6">
        <w:t>.</w:t>
      </w:r>
      <w:r w:rsidR="009D44CA" w:rsidRPr="004946F6">
        <w:t xml:space="preserve"> Simulation 3</w:t>
      </w:r>
      <w:r w:rsidR="005C2DE1" w:rsidRPr="004946F6">
        <w:t>D</w:t>
      </w:r>
      <w:r w:rsidR="009D44CA" w:rsidRPr="004946F6">
        <w:t xml:space="preserve"> suggests that the same might be true for the emotional context.</w:t>
      </w:r>
      <w:r w:rsidR="006E738D" w:rsidRPr="004946F6">
        <w:t xml:space="preserve"> </w:t>
      </w:r>
    </w:p>
    <w:p w14:paraId="17E5A09A" w14:textId="4D7CBD83" w:rsidR="0081153F" w:rsidRPr="004946F6" w:rsidRDefault="00E55AE8" w:rsidP="00FF6050">
      <w:pPr>
        <w:spacing w:line="480" w:lineRule="auto"/>
        <w:jc w:val="both"/>
      </w:pPr>
      <w:r w:rsidRPr="004946F6">
        <w:t xml:space="preserve">Taken together, </w:t>
      </w:r>
      <w:r w:rsidR="005C2DE1" w:rsidRPr="004946F6">
        <w:t>the s</w:t>
      </w:r>
      <w:r w:rsidR="009D02A8" w:rsidRPr="004946F6">
        <w:t>imulation</w:t>
      </w:r>
      <w:r w:rsidR="005C2DE1" w:rsidRPr="004946F6">
        <w:t>s in this section</w:t>
      </w:r>
      <w:r w:rsidR="009D02A8" w:rsidRPr="004946F6">
        <w:t xml:space="preserve"> suggest that t</w:t>
      </w:r>
      <w:r w:rsidR="0082761E" w:rsidRPr="004946F6">
        <w:t xml:space="preserve">he attenuated forgetting of emotional stimuli </w:t>
      </w:r>
      <w:r w:rsidR="009D44CA" w:rsidRPr="004946F6">
        <w:t xml:space="preserve">- </w:t>
      </w:r>
      <w:r w:rsidR="0082761E" w:rsidRPr="004946F6">
        <w:t>or even the absence of any forgetting at all</w:t>
      </w:r>
      <w:r w:rsidR="009D44CA" w:rsidRPr="004946F6">
        <w:t xml:space="preserve"> - </w:t>
      </w:r>
      <w:r w:rsidR="0081153F" w:rsidRPr="004946F6">
        <w:t xml:space="preserve">may not be a direct consequence of the retention interval, but an indirect consequence of the effect of the retention interval on the balance between the contextual dimensions that aid retrieval of particular memories. </w:t>
      </w:r>
    </w:p>
    <w:p w14:paraId="7C98C500" w14:textId="323694A7" w:rsidR="00E77CEC" w:rsidRPr="004946F6" w:rsidRDefault="00E77CEC" w:rsidP="005C2DE1">
      <w:pPr>
        <w:jc w:val="center"/>
        <w:rPr>
          <w:b/>
          <w:bCs/>
        </w:rPr>
      </w:pPr>
    </w:p>
    <w:p w14:paraId="72F199DD" w14:textId="77777777" w:rsidR="00E77CEC" w:rsidRPr="004946F6" w:rsidRDefault="00E77CEC">
      <w:pPr>
        <w:rPr>
          <w:b/>
          <w:bCs/>
        </w:rPr>
      </w:pPr>
      <w:r w:rsidRPr="004946F6">
        <w:rPr>
          <w:b/>
          <w:bCs/>
        </w:rPr>
        <w:br w:type="page"/>
      </w:r>
    </w:p>
    <w:p w14:paraId="5E39AC23" w14:textId="2601529A" w:rsidR="005A1665" w:rsidRPr="004946F6" w:rsidRDefault="00F0282F" w:rsidP="005C2DE1">
      <w:pPr>
        <w:jc w:val="center"/>
        <w:rPr>
          <w:b/>
          <w:bCs/>
        </w:rPr>
      </w:pPr>
      <w:r w:rsidRPr="004946F6">
        <w:rPr>
          <w:b/>
          <w:bCs/>
        </w:rPr>
        <w:t>4</w:t>
      </w:r>
      <w:r w:rsidR="005A1665" w:rsidRPr="004946F6">
        <w:rPr>
          <w:b/>
          <w:bCs/>
        </w:rPr>
        <w:t>. The emotional oddball effect</w:t>
      </w:r>
    </w:p>
    <w:p w14:paraId="658DAE67" w14:textId="77777777" w:rsidR="005A1665" w:rsidRPr="004946F6" w:rsidRDefault="005A1665" w:rsidP="005A1665">
      <w:pPr>
        <w:jc w:val="center"/>
      </w:pPr>
    </w:p>
    <w:p w14:paraId="5181BAA5" w14:textId="0C84A8C2" w:rsidR="005A1665" w:rsidRPr="004946F6" w:rsidRDefault="006172D7">
      <w:pPr>
        <w:spacing w:line="480" w:lineRule="auto"/>
        <w:jc w:val="both"/>
      </w:pPr>
      <w:r w:rsidRPr="004946F6">
        <w:t>I</w:t>
      </w:r>
      <w:r w:rsidR="00A83961" w:rsidRPr="004946F6">
        <w:t>n Section</w:t>
      </w:r>
      <w:r w:rsidRPr="004946F6">
        <w:t>s</w:t>
      </w:r>
      <w:r w:rsidR="00A83961" w:rsidRPr="004946F6">
        <w:t xml:space="preserve"> 2</w:t>
      </w:r>
      <w:r w:rsidRPr="004946F6">
        <w:t xml:space="preserve"> and 3</w:t>
      </w:r>
      <w:r w:rsidR="00A83961" w:rsidRPr="004946F6">
        <w:t xml:space="preserve"> we considered recall </w:t>
      </w:r>
      <w:r w:rsidR="00807275" w:rsidRPr="004946F6">
        <w:t>of</w:t>
      </w:r>
      <w:r w:rsidR="00A83961" w:rsidRPr="004946F6">
        <w:t xml:space="preserve"> mixed lists </w:t>
      </w:r>
      <w:r w:rsidR="00807275" w:rsidRPr="004946F6">
        <w:t xml:space="preserve">where </w:t>
      </w:r>
      <w:r w:rsidR="00A83961" w:rsidRPr="004946F6">
        <w:t>the number of emotional versus neutral items</w:t>
      </w:r>
      <w:r w:rsidR="00807275" w:rsidRPr="004946F6">
        <w:t xml:space="preserve"> was equivalent</w:t>
      </w:r>
      <w:r w:rsidRPr="004946F6">
        <w:t>, and in section 2 also recall of pure lists that were comprised entirely of emotional items or entirely of neutral items</w:t>
      </w:r>
      <w:r w:rsidR="00A83961" w:rsidRPr="004946F6">
        <w:t xml:space="preserve">. To fully characterize the interaction of </w:t>
      </w:r>
      <w:r w:rsidR="007445EA" w:rsidRPr="004946F6">
        <w:t xml:space="preserve">emotion and </w:t>
      </w:r>
      <w:r w:rsidR="00A83961" w:rsidRPr="004946F6">
        <w:t xml:space="preserve">memory </w:t>
      </w:r>
      <w:r w:rsidR="007445EA" w:rsidRPr="004946F6">
        <w:t>in recall</w:t>
      </w:r>
      <w:r w:rsidR="00A83961" w:rsidRPr="004946F6">
        <w:t xml:space="preserve"> </w:t>
      </w:r>
      <w:r w:rsidR="0017574F" w:rsidRPr="004946F6">
        <w:t xml:space="preserve">we </w:t>
      </w:r>
      <w:r w:rsidR="007445EA" w:rsidRPr="004946F6">
        <w:t xml:space="preserve">should also examine </w:t>
      </w:r>
      <w:r w:rsidR="005A1665" w:rsidRPr="004946F6">
        <w:t xml:space="preserve">what happens when lists have other ratios of emotional to neutral items. An obvious case is the emotional oddball effect, where lists are comprised solely of neutral items, with the exception of one emotional oddball. For example, in a classic paper </w:t>
      </w:r>
      <w:r w:rsidR="005A1665" w:rsidRPr="004946F6">
        <w:fldChar w:fldCharType="begin" w:fldLock="1"/>
      </w:r>
      <w:r w:rsidR="008C25E5" w:rsidRPr="004946F6">
        <w:instrText>ADDIN CSL_CITATION { "citationItems" : [ { "id" : "ITEM-1", "itemData" : { "author" : [ { "dropping-particle" : "", "family" : "Ellis", "given" : "NR", "non-dropping-particle" : "", "parse-names" : false, "suffix" : "" }, { "dropping-particle" : "", "family" : "Detterman", "given" : "DK", "non-dropping-particle" : "", "parse-names" : false, "suffix" : "" }, { "dropping-particle" : "", "family" : "Runcie", "given" : "D", "non-dropping-particle" : "", "parse-names" : false, "suffix" : "" }, { "dropping-particle" : "", "family" : "McCarver", "given" : "RB", "non-dropping-particle" : "", "parse-names" : false, "suffix" : "" }, { "dropping-particle" : "", "family" : "Craig", "given" : "EM.", "non-dropping-particle" : "", "parse-names" : false, "suffix" : "" } ], "container-title" : "Journal of Experimental Psychology", "id" : "ITEM-1", "issue" : "2", "issued" : { "date-parts" : [ [ "1971" ] ] }, "page" : "357-61", "title" : "Amnesic effects in short-term memory.", "type" : "article-journal", "volume" : "89" }, "uris" : [ "http://www.mendeley.com/documents/?uuid=4e43d9b5-2318-43cc-9bad-c3e71ffabbd5" ] } ], "mendeley" : { "formattedCitation" : "(Ellis, Detterman, Runcie, McCarver, &amp; Craig, 1971)", "plainTextFormattedCitation" : "(Ellis, Detterman, Runcie, McCarver, &amp; Craig, 1971)", "previouslyFormattedCitation" : "(Ellis, Detterman, Runcie, McCarver, &amp; Craig, 1971)" }, "properties" : { "noteIndex" : 0 }, "schema" : "https://github.com/citation-style-language/schema/raw/master/csl-citation.json" }</w:instrText>
      </w:r>
      <w:r w:rsidR="005A1665" w:rsidRPr="004946F6">
        <w:fldChar w:fldCharType="separate"/>
      </w:r>
      <w:r w:rsidR="005A1665" w:rsidRPr="004946F6">
        <w:rPr>
          <w:noProof/>
        </w:rPr>
        <w:t>(Ellis, Detterman, Runcie, McCarver, &amp; Craig, 1971)</w:t>
      </w:r>
      <w:r w:rsidR="005A1665" w:rsidRPr="004946F6">
        <w:fldChar w:fldCharType="end"/>
      </w:r>
      <w:r w:rsidR="005A1665" w:rsidRPr="004946F6">
        <w:t xml:space="preserve"> participants studied lists of line drawings of everyday objects for free recall. The emotional oddball was a picture of a model from a ‘sun tanning’ magazine, presented in </w:t>
      </w:r>
      <w:r w:rsidR="00445E79" w:rsidRPr="004946F6">
        <w:t>a middling</w:t>
      </w:r>
      <w:r w:rsidR="005A1665" w:rsidRPr="004946F6">
        <w:t xml:space="preserve"> serial position. The oddball was recalled extremely well, while memory for surrounding items suffered, compared to control lists without oddballs. This decreased memory for items presented before and after the oddball is often referred to as retrograde and anterograde amnesia, respectively. Together with excellent memory for the emotional oddball itself, this pattern is referred to as the emotional oddball effect. </w:t>
      </w:r>
      <w:r w:rsidR="001E401F" w:rsidRPr="004946F6">
        <w:t>T</w:t>
      </w:r>
      <w:r w:rsidR="005A1665" w:rsidRPr="004946F6">
        <w:t xml:space="preserve">he emotional list composition and the emotional oddball effects </w:t>
      </w:r>
      <w:r w:rsidR="00514B04" w:rsidRPr="004946F6">
        <w:t>resemble each other</w:t>
      </w:r>
      <w:r w:rsidR="005A1665" w:rsidRPr="004946F6">
        <w:t xml:space="preserve"> because they </w:t>
      </w:r>
      <w:r w:rsidR="00514B04" w:rsidRPr="004946F6">
        <w:t xml:space="preserve">are observed in tasks where </w:t>
      </w:r>
      <w:r w:rsidR="005A1665" w:rsidRPr="004946F6">
        <w:t xml:space="preserve">emotional and neutral stimuli </w:t>
      </w:r>
      <w:r w:rsidR="00514B04" w:rsidRPr="004946F6">
        <w:t xml:space="preserve">are presented </w:t>
      </w:r>
      <w:r w:rsidR="005A1665" w:rsidRPr="004946F6">
        <w:t xml:space="preserve">in the same list and </w:t>
      </w:r>
      <w:r w:rsidR="00514B04" w:rsidRPr="004946F6">
        <w:t>involve</w:t>
      </w:r>
      <w:r w:rsidR="005A1665" w:rsidRPr="004946F6">
        <w:t xml:space="preserve"> neutral memory impairments, </w:t>
      </w:r>
      <w:r w:rsidR="002C0B41">
        <w:t>and</w:t>
      </w:r>
      <w:r w:rsidR="005A1665" w:rsidRPr="004946F6">
        <w:t xml:space="preserve"> because </w:t>
      </w:r>
      <w:r w:rsidR="00514B04" w:rsidRPr="004946F6">
        <w:t>both</w:t>
      </w:r>
      <w:r w:rsidR="005A1665" w:rsidRPr="004946F6">
        <w:t xml:space="preserve"> </w:t>
      </w:r>
      <w:r w:rsidR="007445EA" w:rsidRPr="004946F6">
        <w:t>are</w:t>
      </w:r>
      <w:r w:rsidR="005A1665" w:rsidRPr="004946F6">
        <w:t xml:space="preserve"> sensitive to </w:t>
      </w:r>
      <w:r w:rsidR="00930557" w:rsidRPr="004946F6">
        <w:t>multiple</w:t>
      </w:r>
      <w:r w:rsidR="005A1665" w:rsidRPr="004946F6">
        <w:t xml:space="preserve"> cognitive processes</w:t>
      </w:r>
      <w:r w:rsidR="001E401F" w:rsidRPr="004946F6">
        <w:t xml:space="preserve"> </w:t>
      </w:r>
      <w:r w:rsidR="001E401F" w:rsidRPr="004946F6">
        <w:fldChar w:fldCharType="begin" w:fldLock="1"/>
      </w:r>
      <w:r w:rsidR="008C25E5" w:rsidRPr="004946F6">
        <w:instrText>ADDIN CSL_CITATION { "citationItems" : [ { "id" : "ITEM-1", "itemData" : { "DOI" : "10.1080/09658211.2015.1059859", "ISSN" : "0965-8211", "author" : [ { "dropping-particle" : "", "family" : "Schmidt", "given" : "Stephen R.", "non-dropping-particle" : "", "parse-names" : false, "suffix" : "" }, { "dropping-particle" : "", "family" : "Schmidt", "given" : "Constance R.", "non-dropping-particle" : "", "parse-names" : false, "suffix" : "" } ], "container-title" : "Memory", "id" : "ITEM-1", "issue" : "September", "issued" : { "date-parts" : [ [ "2016" ] ] }, "page" : "1-23", "publisher" : "Taylor &amp; Francis", "title" : "The emotional carryover effect in memory for words", "type" : "article-journal", "volume" : "8211" }, "uris" : [ "http://www.mendeley.com/documents/?uuid=fd9edae4-f23d-43c8-bebd-281f1eb545d3" ] } ], "mendeley" : { "formattedCitation" : "(Schmidt &amp; Schmidt, 2016)", "plainTextFormattedCitation" : "(Schmidt &amp; Schmidt, 2016)", "previouslyFormattedCitation" : "(Schmidt &amp; Schmidt, 2016)" }, "properties" : { "noteIndex" : 0 }, "schema" : "https://github.com/citation-style-language/schema/raw/master/csl-citation.json" }</w:instrText>
      </w:r>
      <w:r w:rsidR="001E401F" w:rsidRPr="004946F6">
        <w:fldChar w:fldCharType="separate"/>
      </w:r>
      <w:r w:rsidR="001E401F" w:rsidRPr="004946F6">
        <w:rPr>
          <w:noProof/>
        </w:rPr>
        <w:t>(Schmidt &amp; Schmidt, 2016)</w:t>
      </w:r>
      <w:r w:rsidR="001E401F" w:rsidRPr="004946F6">
        <w:fldChar w:fldCharType="end"/>
      </w:r>
      <w:r w:rsidR="005A1665" w:rsidRPr="004946F6">
        <w:t xml:space="preserve">. </w:t>
      </w:r>
    </w:p>
    <w:p w14:paraId="0335D2C8" w14:textId="733BAEC6" w:rsidR="001D3C85" w:rsidRPr="004946F6" w:rsidRDefault="005A1665">
      <w:pPr>
        <w:spacing w:line="480" w:lineRule="auto"/>
        <w:jc w:val="both"/>
      </w:pPr>
      <w:r w:rsidRPr="004946F6">
        <w:t xml:space="preserve">Although the similarities between the emotional oddball effect and the emotional list composition effect suggest that eCMR should be able to predict both, the </w:t>
      </w:r>
      <w:r w:rsidR="00807275" w:rsidRPr="004946F6">
        <w:t>emotional oddball effect</w:t>
      </w:r>
      <w:r w:rsidRPr="004946F6">
        <w:t xml:space="preserve"> nevertheless presents </w:t>
      </w:r>
      <w:r w:rsidR="00807275" w:rsidRPr="004946F6">
        <w:t>a</w:t>
      </w:r>
      <w:r w:rsidR="007A0732" w:rsidRPr="004946F6">
        <w:t xml:space="preserve"> </w:t>
      </w:r>
      <w:r w:rsidRPr="004946F6">
        <w:t>significant challenge</w:t>
      </w:r>
      <w:r w:rsidR="007445EA" w:rsidRPr="004946F6">
        <w:t xml:space="preserve"> to the model</w:t>
      </w:r>
      <w:r w:rsidRPr="004946F6">
        <w:t xml:space="preserve">. </w:t>
      </w:r>
      <w:r w:rsidR="00807275" w:rsidRPr="004946F6">
        <w:t xml:space="preserve">The most obvious problem is that by definition, an oddball is less similar to standard list items compared to the similarity among standard items. In retrieved context models </w:t>
      </w:r>
      <w:r w:rsidR="0042033F" w:rsidRPr="004946F6">
        <w:t xml:space="preserve">decreased similarity </w:t>
      </w:r>
      <w:r w:rsidR="00807275" w:rsidRPr="004946F6">
        <w:t>would impair recall</w:t>
      </w:r>
      <w:r w:rsidR="001D3C85" w:rsidRPr="004946F6">
        <w:t xml:space="preserve">, </w:t>
      </w:r>
      <w:r w:rsidR="002C0B41">
        <w:t xml:space="preserve">which </w:t>
      </w:r>
      <w:r w:rsidR="001D3C85" w:rsidRPr="004946F6">
        <w:t>contradict</w:t>
      </w:r>
      <w:r w:rsidR="002C0B41">
        <w:t>s</w:t>
      </w:r>
      <w:r w:rsidR="001D3C85" w:rsidRPr="004946F6">
        <w:t xml:space="preserve"> the robust finding, known since the experiments of von Restorff, that deviant items are recalled extremely well</w:t>
      </w:r>
      <w:r w:rsidR="00E828D7" w:rsidRPr="004946F6">
        <w:t xml:space="preserve"> </w:t>
      </w:r>
      <w:r w:rsidR="00E828D7" w:rsidRPr="004946F6">
        <w:fldChar w:fldCharType="begin" w:fldLock="1"/>
      </w:r>
      <w:r w:rsidR="008C25E5" w:rsidRPr="004946F6">
        <w:instrText>ADDIN CSL_CITATION { "citationItems" : [ { "id" : "ITEM-1", "itemData" : { "DOI" : "10.1006/jmla.1993.1023", "ISBN" : "0749-596X U6 - ctx_ver=Z39.88-2004&amp;ctx_enc=info%3Aofi%2Fenc%3AUTF-8&amp;rfr_id=info:sid/summon.serialssolutions.com&amp;rft_val_fmt=info:ofi/fmt:kev:mtx:journal&amp;rft.genre=article&amp;rft.atitle=The+Enigma+of+Organization+and+Distinctiveness&amp;rft.jtitle=Journal+of+Memory+and+Language&amp;rft.au=Hunt%2C+R.R&amp;rft.au=Mcdaniel%2C+M.A&amp;rft.date=1993-01-01&amp;rft.pub=Elsevier+Inc&amp;rft.issn=0749-596X&amp;rft.volume=32&amp;rft.issue=4&amp;rft.spage=421&amp;rft.epage=445&amp;rft_id=info:doi/10.1006%2Fjmla.1993.1023&amp;rft.externalDocID=doi_10_1006_jm", "ISSN" : "0749596X", "abstract" : "The concepts of organization and distinctiveness are considered important to memory. Yet, examination of research related to these concepts reveals conceptual inconsistency and confusion. We suggest that the problem can be traced to the use of similarity and difference as explanations and further suggest that adoption of a theory of similarity judgment as the description of encoding ameliorates the problem. The approach is illustrated by showing that Medin, Goldstone, and Gentner\u2032s (Psychological Review, in press) theory of similarity judgment allows simultaneous organizational and distinctive processing. Reinstatement of these processes at retrieval produces unique convergence on a particular item and completes the description of the simultaneous importance of relational and distinctive processing of a particular item. The idea is applied to research directly related to organization and distinctiveness, and to the less obviously related phenomena of hypermnesia, generation effectsm, proactive interference, prose recall, and self-referent encoding", "author" : [ { "dropping-particle" : "", "family" : "Hunt", "given" : "R R", "non-dropping-particle" : "", "parse-names" : false, "suffix" : "" }, { "dropping-particle" : "", "family" : "McDaniel", "given" : "M a", "non-dropping-particle" : "", "parse-names" : false, "suffix" : "" } ], "container-title" : "Journal of Memory and Language", "id" : "ITEM-1", "issue" : "4", "issued" : { "date-parts" : [ [ "1993" ] ] }, "page" : "421-445", "title" : "The Enigma of Organization and Distinctiveness", "type" : "article", "volume" : "32" }, "uris" : [ "http://www.mendeley.com/documents/?uuid=801bccc9-b6d6-4ae9-a481-045ecb086de1" ] } ], "mendeley" : { "formattedCitation" : "(Hunt &amp; McDaniel, 1993)", "manualFormatting" : "(reviewed in Hunt &amp; McDaniel, 1993)", "plainTextFormattedCitation" : "(Hunt &amp; McDaniel, 1993)", "previouslyFormattedCitation" : "(Hunt &amp; McDaniel, 1993)" }, "properties" : { "noteIndex" : 0 }, "schema" : "https://github.com/citation-style-language/schema/raw/master/csl-citation.json" }</w:instrText>
      </w:r>
      <w:r w:rsidR="00E828D7" w:rsidRPr="004946F6">
        <w:fldChar w:fldCharType="separate"/>
      </w:r>
      <w:r w:rsidR="00E828D7" w:rsidRPr="004946F6">
        <w:rPr>
          <w:noProof/>
        </w:rPr>
        <w:t>(reviewed in Hunt &amp; McDaniel, 1993)</w:t>
      </w:r>
      <w:r w:rsidR="00E828D7" w:rsidRPr="004946F6">
        <w:fldChar w:fldCharType="end"/>
      </w:r>
      <w:r w:rsidR="001D3C85" w:rsidRPr="004946F6">
        <w:t xml:space="preserve">. </w:t>
      </w:r>
      <w:r w:rsidR="00400432" w:rsidRPr="004946F6">
        <w:t>T</w:t>
      </w:r>
      <w:r w:rsidR="001D3C85" w:rsidRPr="004946F6">
        <w:t xml:space="preserve">here are also plenty of demonstrations that this is true for an emotional oddball </w:t>
      </w:r>
      <w:r w:rsidR="001D3C85" w:rsidRPr="004946F6">
        <w:fldChar w:fldCharType="begin" w:fldLock="1"/>
      </w:r>
      <w:r w:rsidR="008C25E5" w:rsidRPr="004946F6">
        <w:instrText>ADDIN CSL_CITATION { "citationItems" : [ { "id" : "ITEM-1", "itemData" : { "DOI" : "10.1523/JNEUROSCI.0228-05.2005", "ISSN" : "0270-6474", "PMID" : "16000624", "abstract" : "We used a free-recall paradigm to establish a behavioral index of the retrograde and anterograde interference of emotion with episodic memory encoding. In two experiments involving 78 subjects, we show that negatively valenced items elicit retrograde amnesia, whereas positively valenced items elicit retrograde hypermnesia. These data indicate item valence is critical in determining retrograde amnesia and retrograde hypermnesia. In contrast, we show that item arousal induces an anterograde amnesic effect, consistent with the idea that a valence-evoked arousal mechanism compromises anterograde episodic encoding. Randomized double-blind administration of the beta-adrenoceptor antagonist propranolol compared with the selective norepinephrine (NE) reuptake-inhibitor reboxetine, and placebo, demonstrated that the magnitude of this emotional amnesia and hypermnesia can be upregulated and downregulated as a function of emotional arousal and central NE signaling. We conclude that a differential processing of emotional arousal and valence influences how the brain remembers and forgets.", "author" : [ { "dropping-particle" : "", "family" : "Hurlemann", "given" : "Ren\u00e9.", "non-dropping-particle" : "", "parse-names" : false, "suffix" : "" }, { "dropping-particle" : "", "family" : "Hawellek", "given" : "Barbara", "non-dropping-particle" : "", "parse-names" : false, "suffix" : "" }, { "dropping-particle" : "", "family" : "Matusch", "given" : "Andreas", "non-dropping-particle" : "", "parse-names" : false, "suffix" : "" }, { "dropping-particle" : "", "family" : "Kolsch", "given" : "Heike", "non-dropping-particle" : "", "parse-names" : false, "suffix" : "" }, { "dropping-particle" : "", "family" : "Wollersen", "given" : "Heike", "non-dropping-particle" : "", "parse-names" : false, "suffix" : "" }, { "dropping-particle" : "", "family" : "Madea", "given" : "Burkhard", "non-dropping-particle" : "", "parse-names" : false, "suffix" : "" }, { "dropping-particle" : "", "family" : "Vogeley", "given" : "Kai", "non-dropping-particle" : "", "parse-names" : false, "suffix" : "" }, { "dropping-particle" : "", "family" : "Maier", "given" : "Wolfgang", "non-dropping-particle" : "", "parse-names" : false, "suffix" : "" }, { "dropping-particle" : "", "family" : "Dolan", "given" : "Raymond J", "non-dropping-particle" : "", "parse-names" : false, "suffix" : "" } ], "container-title" : "Journal of Neuroscience", "id" : "ITEM-1", "issue" : "27", "issued" : { "date-parts" : [ [ "2005", "7", "6" ] ] }, "page" : "6343-6349", "title" : "Noradrenergic Modulation of Emotion-Induced Forgetting and Remembering", "type" : "article-journal", "volume" : "25" }, "uris" : [ "http://www.mendeley.com/documents/?uuid=28c3c055-0ac7-35c5-9d6d-f18498f7f2a3" ] }, { "id" : "ITEM-2", "itemData" : { "DOI" : "10.1016/j.neuropsychologia.2006.08.027", "ISBN" : "0028-3932 (Print)\\r0028-3932 (Linking)", "ISSN" : "00283932", "PMID" : "17027866", "abstract" : "When presented in a neutral context, emotional items interfere with episodic encoding of temporally contiguous non-emotional items, resulting in dissociable valence-dependent retrograde and arousal-dependent anterograde modulatory effects. By studying two rare patients with congenital lipoid proteinosis (Urbach-Wiethe) and a focal disease emphasis on the basolateral amygdala (BLA), we demonstrate that this bidirectional modification of episodic encoding by emotion depends on the integrity of the amygdala, as both retrograde and anterograde modulatory effects are absent. Our findings implicate the amygdala in a neural circuitry that orchestrates rapid retrograde and anterograde regulation of episodic memory access upon criteria of behavioral significance. \u00a9 2006 Elsevier Ltd. All rights reserved.", "author" : [ { "dropping-particle" : "", "family" : "Hurlemann", "given" : "Ren\u00e9", "non-dropping-particle" : "", "parse-names" : false, "suffix" : "" }, { "dropping-particle" : "", "family" : "Wagner", "given" : "Michael", "non-dropping-particle" : "", "parse-names" : false, "suffix" : "" }, { "dropping-particle" : "", "family" : "Hawellek", "given" : "Barbara", "non-dropping-particle" : "", "parse-names" : false, "suffix" : "" }, { "dropping-particle" : "", "family" : "Reich", "given" : "Harald", "non-dropping-particle" : "", "parse-names" : false, "suffix" : "" }, { "dropping-particle" : "", "family" : "Pieperhoff", "given" : "Peter", "non-dropping-particle" : "", "parse-names" : false, "suffix" : "" }, { "dropping-particle" : "", "family" : "Amunts", "given" : "Katrin", "non-dropping-particle" : "", "parse-names" : false, "suffix" : "" }, { "dropping-particle" : "", "family" : "Oros-Peusquens", "given" : "Ana Maria", "non-dropping-particle" : "", "parse-names" : false, "suffix" : "" }, { "dropping-particle" : "", "family" : "Shah", "given" : "Nadim J.", "non-dropping-particle" : "", "parse-names" : false, "suffix" : "" }, { "dropping-particle" : "", "family" : "Maier", "given" : "Wolfgang", "non-dropping-particle" : "", "parse-names" : false, "suffix" : "" }, { "dropping-particle" : "", "family" : "Dolan", "given" : "Raymond J.", "non-dropping-particle" : "", "parse-names" : false, "suffix" : "" } ], "container-title" : "Neuropsychologia", "id" : "ITEM-2", "issue" : "5", "issued" : { "date-parts" : [ [ "2007" ] ] }, "page" : "877-884", "title" : "Amygdala control of emotion-induced forgetting and remembering: Evidence from Urbach-Wiethe disease", "type" : "article-journal", "volume" : "45" }, "uris" : [ "http://www.mendeley.com/documents/?uuid=89c23835-0d87-485c-8f22-75b30c8eb6b8" ] }, { "id" : "ITEM-3", "itemData" : { "DOI" : "10.1037/a0017281.Reconciling", "author" : [ { "dropping-particle" : "", "family" : "Mather", "given" : "Mara", "non-dropping-particle" : "", "parse-names" : false, "suffix" : "" }, { "dropping-particle" : "", "family" : "Knight", "given" : "Marisa", "non-dropping-particle" : "", "parse-names" : false, "suffix" : "" } ], "container-title" : "Emotion", "id" : "ITEM-3", "issue" : "6", "issued" : { "date-parts" : [ [ "2009" ] ] }, "page" : "763-781", "title" : "Reconciling findings of emotion-induced memory enhancement and impairment of preceding items", "type" : "article-journal", "volume" : "9" }, "uris" : [ "http://www.mendeley.com/documents/?uuid=e685f4d7-d96a-4500-962b-d457ebbe985d" ] }, { "id" : "ITEM-4", "itemData" : { "author" : [ { "dropping-particle" : "", "family" : "Strange", "given" : "B A", "non-dropping-particle" : "", "parse-names" : false, "suffix" : "" }, { "dropping-particle" : "", "family" : "Hurlemann", "given" : "R", "non-dropping-particle" : "", "parse-names" : false, "suffix" : "" }, { "dropping-particle" : "", "family" : "Dolan", "given" : "R J", "non-dropping-particle" : "", "parse-names" : false, "suffix" : "" } ], "container-title" : "Proceedings of the National Academy of Sciences", "id" : "ITEM-4", "issue" : "23", "issued" : { "date-parts" : [ [ "2003" ] ] }, "page" : "13626-13631", "title" : "An emotion-induced retrograde amnesia in humans is amygdala- and \u2424 -adrenergic-dependent", "type" : "article-journal", "volume" : "100" }, "uris" : [ "http://www.mendeley.com/documents/?uuid=74eee76d-1c8c-4616-820d-b106fc35cd72" ] }, { "id" : "ITEM-5", "itemData" : { "author" : [ { "dropping-particle" : "", "family" : "Schmidt", "given" : "Stephen R.", "non-dropping-particle" : "", "parse-names" : false, "suffix" : "" } ], "id" : "ITEM-5", "issued" : { "date-parts" : [ [ "2012" ] ] }, "publisher" : "Psychology Press", "publisher-place" : "New York", "title" : "Extraordinary Memories for Exceptional Events (Essays in Cognitive Psychology)", "type" : "book" }, "uris" : [ "http://www.mendeley.com/documents/?uuid=ae90fdaa-c268-4c73-8fe4-21aec22df853" ] }, { "id" : "ITEM-6", "itemData" : { "author" : [ { "dropping-particle" : "", "family" : "Ellis", "given" : "NR", "non-dropping-particle" : "", "parse-names" : false, "suffix" : "" }, { "dropping-particle" : "", "family" : "Detterman", "given" : "DK", "non-dropping-particle" : "", "parse-names" : false, "suffix" : "" }, { "dropping-particle" : "", "family" : "Runcie", "given" : "D", "non-dropping-particle" : "", "parse-names" : false, "suffix" : "" }, { "dropping-particle" : "", "family" : "McCarver", "given" : "RB", "non-dropping-particle" : "", "parse-names" : false, "suffix" : "" }, { "dropping-particle" : "", "family" : "Craig", "given" : "EM.", "non-dropping-particle" : "", "parse-names" : false, "suffix" : "" } ], "container-title" : "Journal of Experimental Psychology", "id" : "ITEM-6", "issue" : "2", "issued" : { "date-parts" : [ [ "1971" ] ] }, "page" : "357-61", "title" : "Amnesic effects in short-term memory.", "type" : "article-journal", "volume" : "89" }, "uris" : [ "http://www.mendeley.com/documents/?uuid=4e43d9b5-2318-43cc-9bad-c3e71ffabbd5" ] } ], "mendeley" : { "formattedCitation" : "(Ellis et al., 1971; Hurlemann et al., 2005, 2007; Mather &amp; Knight, 2009; Schmidt, 2012; Strange, Hurlemann, &amp; Dolan, 2003)", "plainTextFormattedCitation" : "(Ellis et al., 1971; Hurlemann et al., 2005, 2007; Mather &amp; Knight, 2009; Schmidt, 2012; Strange, Hurlemann, &amp; Dolan, 2003)", "previouslyFormattedCitation" : "(Ellis et al., 1971; Hurlemann et al., 2005, 2007; Mather &amp; Knight, 2009; Schmidt, 2012; Strange, Hurlemann, &amp; Dolan, 2003)" }, "properties" : { "noteIndex" : 0 }, "schema" : "https://github.com/citation-style-language/schema/raw/master/csl-citation.json" }</w:instrText>
      </w:r>
      <w:r w:rsidR="001D3C85" w:rsidRPr="004946F6">
        <w:fldChar w:fldCharType="separate"/>
      </w:r>
      <w:r w:rsidR="001D3C85" w:rsidRPr="004946F6">
        <w:rPr>
          <w:noProof/>
        </w:rPr>
        <w:t>(Ellis et al., 1971; Hurlemann et al., 2005, 2007; Mather &amp; Knight, 2009; Schmidt, 2012; Strange, Hurlemann, &amp; Dolan, 2003)</w:t>
      </w:r>
      <w:r w:rsidR="001D3C85" w:rsidRPr="004946F6">
        <w:fldChar w:fldCharType="end"/>
      </w:r>
      <w:r w:rsidR="001D3C85" w:rsidRPr="004946F6">
        <w:t>.</w:t>
      </w:r>
    </w:p>
    <w:p w14:paraId="1731F6EF" w14:textId="5F00DDCA" w:rsidR="005A1665" w:rsidRPr="004946F6" w:rsidRDefault="005A1665">
      <w:pPr>
        <w:spacing w:line="480" w:lineRule="auto"/>
        <w:jc w:val="both"/>
      </w:pPr>
      <w:r w:rsidRPr="004946F6">
        <w:t xml:space="preserve">This is not the only problem. </w:t>
      </w:r>
      <w:r w:rsidR="001D3C85" w:rsidRPr="004946F6">
        <w:t>In retrieved context theory</w:t>
      </w:r>
      <w:r w:rsidR="00E6413F" w:rsidRPr="004946F6">
        <w:t>,</w:t>
      </w:r>
      <w:r w:rsidR="001D3C85" w:rsidRPr="004946F6">
        <w:t xml:space="preserve"> </w:t>
      </w:r>
      <w:r w:rsidRPr="004946F6">
        <w:t>when a</w:t>
      </w:r>
      <w:r w:rsidR="00E6413F" w:rsidRPr="004946F6">
        <w:t>n item</w:t>
      </w:r>
      <w:r w:rsidRPr="004946F6">
        <w:t xml:space="preserve"> is recalled it promote</w:t>
      </w:r>
      <w:r w:rsidR="001D3C85" w:rsidRPr="004946F6">
        <w:t>s</w:t>
      </w:r>
      <w:r w:rsidRPr="004946F6">
        <w:t xml:space="preserve"> the recall of </w:t>
      </w:r>
      <w:r w:rsidR="00E869DE" w:rsidRPr="004946F6">
        <w:t xml:space="preserve">items with shared context </w:t>
      </w:r>
      <w:r w:rsidR="002602BD" w:rsidRPr="004946F6">
        <w:t>elements</w:t>
      </w:r>
      <w:r w:rsidR="00E869DE" w:rsidRPr="004946F6">
        <w:t>, including shared temporal context</w:t>
      </w:r>
      <w:r w:rsidR="001D3C85" w:rsidRPr="004946F6">
        <w:t xml:space="preserve">. This is a core aspect of </w:t>
      </w:r>
      <w:r w:rsidR="00E6413F" w:rsidRPr="004946F6">
        <w:t>the theory</w:t>
      </w:r>
      <w:r w:rsidR="001D3C85" w:rsidRPr="004946F6">
        <w:t xml:space="preserve">, </w:t>
      </w:r>
      <w:r w:rsidR="00E6413F" w:rsidRPr="004946F6">
        <w:t>and help</w:t>
      </w:r>
      <w:r w:rsidR="00E828D7" w:rsidRPr="004946F6">
        <w:t>s</w:t>
      </w:r>
      <w:r w:rsidR="00E6413F" w:rsidRPr="004946F6">
        <w:t xml:space="preserve"> it</w:t>
      </w:r>
      <w:r w:rsidR="001D3C85" w:rsidRPr="004946F6">
        <w:t xml:space="preserve"> explain temporal contiguity effects in free recall </w:t>
      </w:r>
      <w:r w:rsidR="001D3C85" w:rsidRPr="004946F6">
        <w:fldChar w:fldCharType="begin" w:fldLock="1"/>
      </w:r>
      <w:r w:rsidR="008C25E5" w:rsidRPr="004946F6">
        <w:instrText>ADDIN CSL_CITATION { "citationItems" : [ { "id" : "ITEM-1", "itemData" : { "DOI" : "10.1006", "abstract" : "The principles of recency and contiguity are two cornerstones of the theoretical and empirical analysis of human memory. Recency has been alternatively explained by mechanisms of decay, displacement, and retroac-tive interference. Another account of recency is based on the idea of variable context (Estes, 1955; Mensink &amp; Raaijmakers, 1989). Such notions are typi-cally cast in terms of a randomly fluctuating population of elements reflective of subtle changes in the environment or in the subjects' mental state. This random context view has recently been incorporated into distributed and neural network memory models (Murdock, 1997; Murdock, Smith, &amp; Bai, 2001). Here we propose an alternative model. Rather than being driven by random fluctuations, this formulation, the temporal context model (TCM), uses retrieval of prior contextual states to drive contextual drift. In TCM, retrieved context is an inherently asymmetric retrieval cue. This allows the model to provide a principled explanation of the widespread advantage for forward recalls in free and serial recall. Modeling data from single-trial free recall, we demonstrate that TCM can simultaneously explain recency and contiguity effects across time scales.", "author" : [ { "dropping-particle" : "", "family" : "Howard", "given" : "Marc W", "non-dropping-particle" : "", "parse-names" : false, "suffix" : "" }, { "dropping-particle" : "", "family" : "Kahana", "given" : "Michael J", "non-dropping-particle" : "", "parse-names" : false, "suffix" : "" } ], "container-title" : "Journal of Mathematical Psychology", "id" : "ITEM-1", "issue" : "3", "issued" : { "date-parts" : [ [ "2002" ] ] }, "page" : "269-299", "title" : "A Distributed Representation of Temporal Context", "type" : "article-journal", "volume" : "46" }, "uris" : [ "http://www.mendeley.com/documents/?uuid=2b90dde9-b561-3d12-a949-d37b66d9807d" ] }, { "id" : "ITEM-2", "itemData" : { "DOI" : "10.1037/0278-7393.25.4.923", "ISBN" : "0278-7393 (Print)\\r0278-7393 (Linking)", "ISSN" : "0278-7393", "PMID" : "10439501", "abstract" : "In immediate free recall, words recalled successively tend to come from nearby serial positions. M. J. Kahana (1996) documented this effect and showed that this tendency, which the authors refer to as the lag recency effect, is well described by a variant of the search of associative memory (SAM) model (J. G. W. Raaijmakers &amp; R. M. Shiffrin, 1980, 1981). In 2 experiments, participants performed immediate, delayed, and continuous distractor free recall under conditions designed to minimize rehearsal. The lag recency effect, previously observed in immediate free recall, was also observed in delayed and continuous distractor free recall. Although two-store memory models, such as SAM, readily account for the end-of-list recency effect in immediate free recall, and its attenuation in delayed free recall, these models fail to account for the long-term recency effect. By means of analytic simulations, the authors show that both the end of list recency effect and the lag recency effect, across all distractor conditions, can be explained by a single-store model in which context, retrieved with each recalled item, serves as a cue for subsequent recalls.", "author" : [ { "dropping-particle" : "", "family" : "Howard", "given" : "Marc W", "non-dropping-particle" : "", "parse-names" : false, "suffix" : "" }, { "dropping-particle" : "", "family" : "Kahana", "given" : "M J", "non-dropping-particle" : "", "parse-names" : false, "suffix" : "" } ], "container-title" : "Journal of experimental psychology. Learning, memory, and cognition", "id" : "ITEM-2", "issue" : "4", "issued" : { "date-parts" : [ [ "1999" ] ] }, "page" : "923-941", "title" : "Contextual variability and serial position effects in free recall.", "type" : "article-journal", "volume" : "25" }, "uris" : [ "http://www.mendeley.com/documents/?uuid=931cfa87-db28-4551-8688-696dcd462ba2" ] } ], "mendeley" : { "formattedCitation" : "(Howard &amp; Kahana, 1999, 2002a)", "plainTextFormattedCitation" : "(Howard &amp; Kahana, 1999, 2002a)", "previouslyFormattedCitation" : "(Howard &amp; Kahana, 1999, 2002a)" }, "properties" : { "noteIndex" : 0 }, "schema" : "https://github.com/citation-style-language/schema/raw/master/csl-citation.json" }</w:instrText>
      </w:r>
      <w:r w:rsidR="001D3C85" w:rsidRPr="004946F6">
        <w:fldChar w:fldCharType="separate"/>
      </w:r>
      <w:r w:rsidR="00E6413F" w:rsidRPr="004946F6">
        <w:rPr>
          <w:noProof/>
        </w:rPr>
        <w:t>(Howard &amp; Kahana, 1999, 2002a)</w:t>
      </w:r>
      <w:r w:rsidR="001D3C85" w:rsidRPr="004946F6">
        <w:fldChar w:fldCharType="end"/>
      </w:r>
      <w:r w:rsidR="001D3C85" w:rsidRPr="004946F6">
        <w:t xml:space="preserve">. </w:t>
      </w:r>
      <w:r w:rsidR="00E6413F" w:rsidRPr="004946F6">
        <w:t xml:space="preserve">If eCMR could simulate the excellent recall of the oddball item, then </w:t>
      </w:r>
      <w:r w:rsidR="001D3C85" w:rsidRPr="004946F6">
        <w:t xml:space="preserve">recall </w:t>
      </w:r>
      <w:r w:rsidR="002C0B41">
        <w:t xml:space="preserve">the oddball </w:t>
      </w:r>
      <w:r w:rsidR="001D3C85" w:rsidRPr="004946F6">
        <w:t xml:space="preserve">will promote the recall of </w:t>
      </w:r>
      <w:r w:rsidR="002C0B41">
        <w:t>its nearest neighbours</w:t>
      </w:r>
      <w:r w:rsidR="001D3C85" w:rsidRPr="004946F6">
        <w:t xml:space="preserve"> (oddball-1 and oddball+1)</w:t>
      </w:r>
      <w:r w:rsidRPr="004946F6">
        <w:t xml:space="preserve">. </w:t>
      </w:r>
      <w:r w:rsidR="00E123D5" w:rsidRPr="004946F6">
        <w:t xml:space="preserve">Yet this prediction is exactly the opposite of the retrograde and anterograde amnesia aspects of the empirical oddball effect, which is thought to be even more accentuated when the oddballs are emotional </w:t>
      </w:r>
      <w:r w:rsidR="00E123D5" w:rsidRPr="004946F6">
        <w:fldChar w:fldCharType="begin" w:fldLock="1"/>
      </w:r>
      <w:r w:rsidR="008C25E5" w:rsidRPr="004946F6">
        <w:instrText>ADDIN CSL_CITATION { "citationItems" : [ { "id" : "ITEM-1", "itemData" : { "DOI" : "10.1523/JNEUROSCI.0228-05.2005", "ISSN" : "0270-6474", "PMID" : "16000624", "abstract" : "We used a free-recall paradigm to establish a behavioral index of the retrograde and anterograde interference of emotion with episodic memory encoding. In two experiments involving 78 subjects, we show that negatively valenced items elicit retrograde amnesia, whereas positively valenced items elicit retrograde hypermnesia. These data indicate item valence is critical in determining retrograde amnesia and retrograde hypermnesia. In contrast, we show that item arousal induces an anterograde amnesic effect, consistent with the idea that a valence-evoked arousal mechanism compromises anterograde episodic encoding. Randomized double-blind administration of the beta-adrenoceptor antagonist propranolol compared with the selective norepinephrine (NE) reuptake-inhibitor reboxetine, and placebo, demonstrated that the magnitude of this emotional amnesia and hypermnesia can be upregulated and downregulated as a function of emotional arousal and central NE signaling. We conclude that a differential processing of emotional arousal and valence influences how the brain remembers and forgets.", "author" : [ { "dropping-particle" : "", "family" : "Hurlemann", "given" : "Ren\u00e9.", "non-dropping-particle" : "", "parse-names" : false, "suffix" : "" }, { "dropping-particle" : "", "family" : "Hawellek", "given" : "Barbara", "non-dropping-particle" : "", "parse-names" : false, "suffix" : "" }, { "dropping-particle" : "", "family" : "Matusch", "given" : "Andreas", "non-dropping-particle" : "", "parse-names" : false, "suffix" : "" }, { "dropping-particle" : "", "family" : "Kolsch", "given" : "Heike", "non-dropping-particle" : "", "parse-names" : false, "suffix" : "" }, { "dropping-particle" : "", "family" : "Wollersen", "given" : "Heike", "non-dropping-particle" : "", "parse-names" : false, "suffix" : "" }, { "dropping-particle" : "", "family" : "Madea", "given" : "Burkhard", "non-dropping-particle" : "", "parse-names" : false, "suffix" : "" }, { "dropping-particle" : "", "family" : "Vogeley", "given" : "Kai", "non-dropping-particle" : "", "parse-names" : false, "suffix" : "" }, { "dropping-particle" : "", "family" : "Maier", "given" : "Wolfgang", "non-dropping-particle" : "", "parse-names" : false, "suffix" : "" }, { "dropping-particle" : "", "family" : "Dolan", "given" : "Raymond J", "non-dropping-particle" : "", "parse-names" : false, "suffix" : "" } ], "container-title" : "Journal of Neuroscience", "id" : "ITEM-1", "issue" : "27", "issued" : { "date-parts" : [ [ "2005", "7", "6" ] ] }, "page" : "6343-6349", "title" : "Noradrenergic Modulation of Emotion-Induced Forgetting and Remembering", "type" : "article-journal", "volume" : "25" }, "uris" : [ "http://www.mendeley.com/documents/?uuid=28c3c055-0ac7-35c5-9d6d-f18498f7f2a3" ] }, { "id" : "ITEM-2", "itemData" : { "DOI" : "10.1016/j.neuropsychologia.2006.08.027", "ISBN" : "0028-3932 (Print)\\r0028-3932 (Linking)", "ISSN" : "00283932", "PMID" : "17027866", "abstract" : "When presented in a neutral context, emotional items interfere with episodic encoding of temporally contiguous non-emotional items, resulting in dissociable valence-dependent retrograde and arousal-dependent anterograde modulatory effects. By studying two rare patients with congenital lipoid proteinosis (Urbach-Wiethe) and a focal disease emphasis on the basolateral amygdala (BLA), we demonstrate that this bidirectional modification of episodic encoding by emotion depends on the integrity of the amygdala, as both retrograde and anterograde modulatory effects are absent. Our findings implicate the amygdala in a neural circuitry that orchestrates rapid retrograde and anterograde regulation of episodic memory access upon criteria of behavioral significance. \u00a9 2006 Elsevier Ltd. All rights reserved.", "author" : [ { "dropping-particle" : "", "family" : "Hurlemann", "given" : "Ren\u00e9", "non-dropping-particle" : "", "parse-names" : false, "suffix" : "" }, { "dropping-particle" : "", "family" : "Wagner", "given" : "Michael", "non-dropping-particle" : "", "parse-names" : false, "suffix" : "" }, { "dropping-particle" : "", "family" : "Hawellek", "given" : "Barbara", "non-dropping-particle" : "", "parse-names" : false, "suffix" : "" }, { "dropping-particle" : "", "family" : "Reich", "given" : "Harald", "non-dropping-particle" : "", "parse-names" : false, "suffix" : "" }, { "dropping-particle" : "", "family" : "Pieperhoff", "given" : "Peter", "non-dropping-particle" : "", "parse-names" : false, "suffix" : "" }, { "dropping-particle" : "", "family" : "Amunts", "given" : "Katrin", "non-dropping-particle" : "", "parse-names" : false, "suffix" : "" }, { "dropping-particle" : "", "family" : "Oros-Peusquens", "given" : "Ana Maria", "non-dropping-particle" : "", "parse-names" : false, "suffix" : "" }, { "dropping-particle" : "", "family" : "Shah", "given" : "Nadim J.", "non-dropping-particle" : "", "parse-names" : false, "suffix" : "" }, { "dropping-particle" : "", "family" : "Maier", "given" : "Wolfgang", "non-dropping-particle" : "", "parse-names" : false, "suffix" : "" }, { "dropping-particle" : "", "family" : "Dolan", "given" : "Raymond J.", "non-dropping-particle" : "", "parse-names" : false, "suffix" : "" } ], "container-title" : "Neuropsychologia", "id" : "ITEM-2", "issue" : "5", "issued" : { "date-parts" : [ [ "2007" ] ] }, "page" : "877-884", "title" : "Amygdala control of emotion-induced forgetting and remembering: Evidence from Urbach-Wiethe disease", "type" : "article-journal", "volume" : "45" }, "uris" : [ "http://www.mendeley.com/documents/?uuid=89c23835-0d87-485c-8f22-75b30c8eb6b8" ] }, { "id" : "ITEM-3", "itemData" : { "DOI" : "10.1037/a0017281.Reconciling", "author" : [ { "dropping-particle" : "", "family" : "Mather", "given" : "Mara", "non-dropping-particle" : "", "parse-names" : false, "suffix" : "" }, { "dropping-particle" : "", "family" : "Knight", "given" : "Marisa", "non-dropping-particle" : "", "parse-names" : false, "suffix" : "" } ], "container-title" : "Emotion", "id" : "ITEM-3", "issue" : "6", "issued" : { "date-parts" : [ [ "2009" ] ] }, "page" : "763-781", "title" : "Reconciling findings of emotion-induced memory enhancement and impairment of preceding items", "type" : "article-journal", "volume" : "9" }, "uris" : [ "http://www.mendeley.com/documents/?uuid=e685f4d7-d96a-4500-962b-d457ebbe985d" ] }, { "id" : "ITEM-4", "itemData" : { "author" : [ { "dropping-particle" : "", "family" : "Strange", "given" : "B A", "non-dropping-particle" : "", "parse-names" : false, "suffix" : "" }, { "dropping-particle" : "", "family" : "Hurlemann", "given" : "R", "non-dropping-particle" : "", "parse-names" : false, "suffix" : "" }, { "dropping-particle" : "", "family" : "Dolan", "given" : "R J", "non-dropping-particle" : "", "parse-names" : false, "suffix" : "" } ], "container-title" : "Proceedings of the National Academy of Sciences", "id" : "ITEM-4", "issue" : "23", "issued" : { "date-parts" : [ [ "2003" ] ] }, "page" : "13626-13631", "title" : "An emotion-induced retrograde amnesia in humans is amygdala- and \u2424 -adrenergic-dependent", "type" : "article-journal", "volume" : "100" }, "uris" : [ "http://www.mendeley.com/documents/?uuid=74eee76d-1c8c-4616-820d-b106fc35cd72" ] } ], "mendeley" : { "formattedCitation" : "(Hurlemann et al., 2005, 2007; Mather &amp; Knight, 2009; Strange et al., 2003)", "plainTextFormattedCitation" : "(Hurlemann et al., 2005, 2007; Mather &amp; Knight, 2009; Strange et al., 2003)", "previouslyFormattedCitation" : "(Hurlemann et al., 2005, 2007; Mather &amp; Knight, 2009; Strange et al., 2003)" }, "properties" : { "noteIndex" : 0 }, "schema" : "https://github.com/citation-style-language/schema/raw/master/csl-citation.json" }</w:instrText>
      </w:r>
      <w:r w:rsidR="00E123D5" w:rsidRPr="004946F6">
        <w:fldChar w:fldCharType="separate"/>
      </w:r>
      <w:r w:rsidR="00E123D5" w:rsidRPr="004946F6">
        <w:rPr>
          <w:noProof/>
        </w:rPr>
        <w:t>(Hurlemann et al., 2005, 2007; Mather &amp; Knight, 2009; Strange et al., 2003)</w:t>
      </w:r>
      <w:r w:rsidR="00E123D5" w:rsidRPr="004946F6">
        <w:fldChar w:fldCharType="end"/>
      </w:r>
      <w:r w:rsidR="00E123D5" w:rsidRPr="004946F6">
        <w:t>.</w:t>
      </w:r>
      <w:r w:rsidR="00930557" w:rsidRPr="004946F6">
        <w:t xml:space="preserve"> </w:t>
      </w:r>
      <w:r w:rsidR="00E123D5" w:rsidRPr="004946F6">
        <w:t xml:space="preserve">Admittedly, the exact pattern of oddball-induced retrograde and anterograde amnesia vary; there have been reports of retrograde without anterograde amnesia </w:t>
      </w:r>
      <w:r w:rsidR="00E123D5" w:rsidRPr="004946F6">
        <w:fldChar w:fldCharType="begin" w:fldLock="1"/>
      </w:r>
      <w:r w:rsidR="008C25E5" w:rsidRPr="004946F6">
        <w:instrText>ADDIN CSL_CITATION { "citationItems" : [ { "id" : "ITEM-1", "itemData" : { "DOI" : "10.1037/h0020071", "ISBN" : "9781424450404", "ISSN" : "0033-295X", "abstract" : "Recent changes in prctheorclical orientation toward problems of human memory have brought with them a concern with retrieval processes, and a number of early versions of theories of retrieval have been constructed. This paper describes and evaluates explanations offered by these theories to ac- count for the effect of extralist cuing, facilitation of recall of list items by non- list items. Experiments designed to test the currently most popular theory of retrieval, the generation-recognition theory, yielded results incompatible not only with generation-recognition models, but most other theories as well: under certain conditions subjects consistently failed to recognize many recallable list words. Several tentative explanations of this phenomenon of recognition failure were subsumed under the encoding specificity principle according to which the memory trace of an event and hence the properties of effective retrieval cue are determined by the specific encoding operations performed by the system on the input stimuli.", "author" : [ { "dropping-particle" : "", "family" : "Tulving", "given" : "Endel", "non-dropping-particle" : "", "parse-names" : false, "suffix" : "" }, { "dropping-particle" : "", "family" : "Thomson", "given" : "Donald M.", "non-dropping-particle" : "", "parse-names" : false, "suffix" : "" } ], "container-title" : "Psychological Review", "id" : "ITEM-1", "issue" : "5", "issued" : { "date-parts" : [ [ "1973" ] ] }, "page" : "352-373", "title" : "Encoding specificity and retrieval processes in episodic memory.", "type" : "article-journal", "volume" : "80" }, "uris" : [ "http://www.mendeley.com/documents/?uuid=8d18f3ab-bcc1-4350-9cdf-0071fa1f2abe" ] } ], "mendeley" : { "formattedCitation" : "(Tulving &amp; Thomson, 1973)", "plainTextFormattedCitation" : "(Tulving &amp; Thomson, 1973)", "previouslyFormattedCitation" : "(Tulving &amp; Thomson, 1973)" }, "properties" : { "noteIndex" : 0 }, "schema" : "https://github.com/citation-style-language/schema/raw/master/csl-citation.json" }</w:instrText>
      </w:r>
      <w:r w:rsidR="00E123D5" w:rsidRPr="004946F6">
        <w:fldChar w:fldCharType="separate"/>
      </w:r>
      <w:r w:rsidR="00E123D5" w:rsidRPr="004946F6">
        <w:rPr>
          <w:noProof/>
        </w:rPr>
        <w:t>(Tulving &amp; Thomson, 1973)</w:t>
      </w:r>
      <w:r w:rsidR="00E123D5" w:rsidRPr="004946F6">
        <w:fldChar w:fldCharType="end"/>
      </w:r>
      <w:r w:rsidR="00E123D5" w:rsidRPr="004946F6">
        <w:t xml:space="preserve">, anterograde without retrograde amnesia </w:t>
      </w:r>
      <w:r w:rsidR="00E123D5" w:rsidRPr="004946F6">
        <w:fldChar w:fldCharType="begin" w:fldLock="1"/>
      </w:r>
      <w:r w:rsidR="008C25E5" w:rsidRPr="004946F6">
        <w:instrText>ADDIN CSL_CITATION { "citationItems" : [ { "id" : "ITEM-1", "itemData" : { "DOI" : "10.1037/0278-7393.28.2.353", "ISBN" : "0278-7393", "ISSN" : "0278-7393", "PMID" : "11911390", "abstract" : "A picture of a nude isolated in a series of pictures of clothed models was quite memorable, but when compared with a clothed picture, the nude impaired memory for background picture derails as well as pictures immediately following the nude (anterograde amnesia). Recall of details given picture-gist recall, as well as recognition of person details, were equivalent in the clothed and nude conditions. A clothed picture isolated in a series of nudes did not hurt memory for background information, nor did it produce anterograde amnesia. Apparently, distinctiveness supports good memory for the gist of the nude or clothed pictures. However, distinctiveness is not responsible for the anterograde amnesia and poor memory for background details found with nudes.", "author" : [ { "dropping-particle" : "", "family" : "Schmidt", "given" : "Stephen R", "non-dropping-particle" : "", "parse-names" : false, "suffix" : "" } ], "container-title" : "Journal of experimental psychology. Learning, memory, and cognition", "id" : "ITEM-1", "issue" : "2", "issued" : { "date-parts" : [ [ "2002" ] ] }, "page" : "353-361", "title" : "Outstanding memories: the positive and negative effects of nudes on memory.", "type" : "article-journal", "volume" : "28" }, "uris" : [ "http://www.mendeley.com/documents/?uuid=aabf0c5d-0e35-4796-8748-6d50348ea5e4" ] } ], "mendeley" : { "formattedCitation" : "(Schmidt, 2002)", "plainTextFormattedCitation" : "(Schmidt, 2002)", "previouslyFormattedCitation" : "(Schmidt, 2002)" }, "properties" : { "noteIndex" : 0 }, "schema" : "https://github.com/citation-style-language/schema/raw/master/csl-citation.json" }</w:instrText>
      </w:r>
      <w:r w:rsidR="00E123D5" w:rsidRPr="004946F6">
        <w:fldChar w:fldCharType="separate"/>
      </w:r>
      <w:r w:rsidR="00E123D5" w:rsidRPr="004946F6">
        <w:rPr>
          <w:noProof/>
        </w:rPr>
        <w:t>(Schmidt, 2002)</w:t>
      </w:r>
      <w:r w:rsidR="00E123D5" w:rsidRPr="004946F6">
        <w:fldChar w:fldCharType="end"/>
      </w:r>
      <w:r w:rsidR="00E123D5" w:rsidRPr="004946F6">
        <w:t xml:space="preserve">, or both anterograde and retrograde amnesia </w:t>
      </w:r>
      <w:r w:rsidR="00E123D5" w:rsidRPr="004946F6">
        <w:fldChar w:fldCharType="begin" w:fldLock="1"/>
      </w:r>
      <w:r w:rsidR="008C25E5" w:rsidRPr="004946F6">
        <w:instrText>ADDIN CSL_CITATION { "citationItems" : [ { "id" : "ITEM-1", "itemData" : { "DOI" : "10.1037/h0033629", "ISBN" : "0022-1015", "ISSN" : "0022-1015", "PMID" : "5071912", "abstract" : "(unassigned) Required a total of 240 undergraduates in 2 experiments to free recall lists of line drawings of common objects. Some of the lists contained a critical item, a photograph of nudes, in place of the middle item. In addition, instructions regarding rehearsal, rate of presentation of list items, and exposure duration of the critical item were varied. The critical item produced a von Restorff effect accompanied by substantial anterograde and retrograde induced amnesia. Instructions minimizing rehearsal had no effect on retrograde amnesia but increased anterograde amnesia. Faster rates of presentation increased only anterograde amnesia, while longer exposure durations of the critical item increased only retrograde amnesia. Results are interpreted as suggesting separate causal factors for retrograde and anterograde amnesia. Retrograde amnesia seemed best explained in terms of retrieval failure and anterograde amnesia in terms of encoding failure. (PsycINFO Database Record (c) 2000 APA, all rights reserved)", "author" : [ { "dropping-particle" : "", "family" : "Detterman", "given" : "Douglas K", "non-dropping-particle" : "", "parse-names" : false, "suffix" : "" }, { "dropping-particle" : "", "family" : "Ellis", "given" : "Norman R", "non-dropping-particle" : "", "parse-names" : false, "suffix" : "" } ], "container-title" : "Journal of Experimental Psychology", "id" : "ITEM-1", "issue" : "2", "issued" : { "date-parts" : [ [ "1972" ] ] }, "page" : "308-316", "title" : "Determinants of induced amnesia in short-term memory.", "type" : "article-journal", "volume" : "Vol. 95" }, "uris" : [ "http://www.mendeley.com/documents/?uuid=64648182-751b-4aab-ba98-80cc630fe032" ] } ], "mendeley" : { "formattedCitation" : "(Detterman &amp; Ellis, 1972)", "plainTextFormattedCitation" : "(Detterman &amp; Ellis, 1972)", "previouslyFormattedCitation" : "(Detterman &amp; Ellis, 1972)" }, "properties" : { "noteIndex" : 0 }, "schema" : "https://github.com/citation-style-language/schema/raw/master/csl-citation.json" }</w:instrText>
      </w:r>
      <w:r w:rsidR="00E123D5" w:rsidRPr="004946F6">
        <w:fldChar w:fldCharType="separate"/>
      </w:r>
      <w:r w:rsidR="00E123D5" w:rsidRPr="004946F6">
        <w:rPr>
          <w:noProof/>
        </w:rPr>
        <w:t>(Detterman &amp; Ellis, 1972)</w:t>
      </w:r>
      <w:r w:rsidR="00E123D5" w:rsidRPr="004946F6">
        <w:fldChar w:fldCharType="end"/>
      </w:r>
      <w:r w:rsidR="00E123D5" w:rsidRPr="004946F6">
        <w:t xml:space="preserve">. </w:t>
      </w:r>
      <w:r w:rsidR="001E7B64" w:rsidRPr="004946F6">
        <w:t xml:space="preserve">But </w:t>
      </w:r>
      <w:r w:rsidR="001E401F" w:rsidRPr="004946F6">
        <w:fldChar w:fldCharType="begin" w:fldLock="1"/>
      </w:r>
      <w:r w:rsidR="008C25E5" w:rsidRPr="004946F6">
        <w:instrText>ADDIN CSL_CITATION { "citationItems" : [ { "id" : "ITEM-1", "itemData" : { "DOI" : "10.1080/09658211.2015.1059859", "ISSN" : "0965-8211", "author" : [ { "dropping-particle" : "", "family" : "Schmidt", "given" : "Stephen R.", "non-dropping-particle" : "", "parse-names" : false, "suffix" : "" }, { "dropping-particle" : "", "family" : "Schmidt", "given" : "Constance R.", "non-dropping-particle" : "", "parse-names" : false, "suffix" : "" } ], "container-title" : "Memory", "id" : "ITEM-1", "issue" : "September", "issued" : { "date-parts" : [ [ "2016" ] ] }, "page" : "1-23", "publisher" : "Taylor &amp; Francis", "title" : "The emotional carryover effect in memory for words", "type" : "article-journal", "volume" : "8211" }, "uris" : [ "http://www.mendeley.com/documents/?uuid=fd9edae4-f23d-43c8-bebd-281f1eb545d3" ] } ], "mendeley" : { "formattedCitation" : "(Schmidt &amp; Schmidt, 2016)", "manualFormatting" : "Schmidt and Schmidt (2016)", "plainTextFormattedCitation" : "(Schmidt &amp; Schmidt, 2016)", "previouslyFormattedCitation" : "(Schmidt &amp; Schmidt, 2016)" }, "properties" : { "noteIndex" : 0 }, "schema" : "https://github.com/citation-style-language/schema/raw/master/csl-citation.json" }</w:instrText>
      </w:r>
      <w:r w:rsidR="001E401F" w:rsidRPr="004946F6">
        <w:fldChar w:fldCharType="separate"/>
      </w:r>
      <w:r w:rsidR="001E401F" w:rsidRPr="004946F6">
        <w:rPr>
          <w:noProof/>
        </w:rPr>
        <w:t xml:space="preserve">Schmidt </w:t>
      </w:r>
      <w:r w:rsidR="00F04A06" w:rsidRPr="004946F6">
        <w:rPr>
          <w:noProof/>
        </w:rPr>
        <w:t xml:space="preserve">and </w:t>
      </w:r>
      <w:r w:rsidR="001E401F" w:rsidRPr="004946F6">
        <w:rPr>
          <w:noProof/>
        </w:rPr>
        <w:t>Schmidt</w:t>
      </w:r>
      <w:r w:rsidR="00F04A06" w:rsidRPr="004946F6">
        <w:rPr>
          <w:noProof/>
        </w:rPr>
        <w:t xml:space="preserve"> (</w:t>
      </w:r>
      <w:r w:rsidR="001E401F" w:rsidRPr="004946F6">
        <w:rPr>
          <w:noProof/>
        </w:rPr>
        <w:t>2016)</w:t>
      </w:r>
      <w:r w:rsidR="001E401F" w:rsidRPr="004946F6">
        <w:fldChar w:fldCharType="end"/>
      </w:r>
      <w:r w:rsidR="001E401F" w:rsidRPr="004946F6">
        <w:t xml:space="preserve"> review the literature on the emotional oddball</w:t>
      </w:r>
      <w:r w:rsidR="001E7B64" w:rsidRPr="004946F6">
        <w:t>, and</w:t>
      </w:r>
      <w:r w:rsidR="001E401F" w:rsidRPr="004946F6">
        <w:t xml:space="preserve"> </w:t>
      </w:r>
      <w:r w:rsidR="001E7B64" w:rsidRPr="004946F6">
        <w:t xml:space="preserve">conclude </w:t>
      </w:r>
      <w:r w:rsidR="001E401F" w:rsidRPr="004946F6">
        <w:t xml:space="preserve">that </w:t>
      </w:r>
      <w:r w:rsidR="001E7B64" w:rsidRPr="004946F6">
        <w:t>amnesia effects in tasks such as immediate free recall are robust. Specifically, they suggest that a</w:t>
      </w:r>
      <w:r w:rsidR="001E401F" w:rsidRPr="004946F6">
        <w:t xml:space="preserve">nterograde amnesia effects are robust across stimulus types and types of test (recall and recognition), </w:t>
      </w:r>
      <w:r w:rsidR="001E7B64" w:rsidRPr="004946F6">
        <w:t xml:space="preserve">and that </w:t>
      </w:r>
      <w:r w:rsidR="001E401F" w:rsidRPr="004946F6">
        <w:t xml:space="preserve">retrograde amnesia effects are </w:t>
      </w:r>
      <w:r w:rsidR="001E7B64" w:rsidRPr="004946F6">
        <w:t xml:space="preserve">observed consistently in </w:t>
      </w:r>
      <w:r w:rsidR="001E401F" w:rsidRPr="004946F6">
        <w:t>recall tests that take place shortly after encoding</w:t>
      </w:r>
      <w:r w:rsidR="001D3C85" w:rsidRPr="004946F6">
        <w:t>, as in the cases we simulate here</w:t>
      </w:r>
      <w:r w:rsidR="001E401F" w:rsidRPr="004946F6">
        <w:t xml:space="preserve">. </w:t>
      </w:r>
    </w:p>
    <w:p w14:paraId="2540CCC3" w14:textId="0B6F1849" w:rsidR="00F04A06" w:rsidRPr="004946F6" w:rsidRDefault="006172D7">
      <w:pPr>
        <w:spacing w:line="480" w:lineRule="auto"/>
        <w:jc w:val="both"/>
      </w:pPr>
      <w:r w:rsidRPr="004946F6">
        <w:t xml:space="preserve">In eCMR we have a ready mechanism to implement increased attention, which could go some way to counteract the dissimilarity of the oddball to the context, and boost its recall. </w:t>
      </w:r>
      <w:r w:rsidR="00E828D7" w:rsidRPr="004946F6">
        <w:t xml:space="preserve">Yet boosting the recall of the oddball is unlikely to address the problem of anterograde and retrograde amnesia </w:t>
      </w:r>
      <w:r w:rsidR="001A25A3" w:rsidRPr="004946F6">
        <w:t>for items near the oddball</w:t>
      </w:r>
      <w:r w:rsidR="002C0B41">
        <w:t>, for the reasons discussed above</w:t>
      </w:r>
      <w:r w:rsidR="00E828D7" w:rsidRPr="004946F6">
        <w:t xml:space="preserve">. </w:t>
      </w:r>
      <w:r w:rsidR="00F905EE" w:rsidRPr="004946F6">
        <w:t xml:space="preserve">One possible resolution to this discrepancy between the emotional oddball effect and the generic predictions of retrieved-context theory has to do with </w:t>
      </w:r>
      <w:r w:rsidRPr="004946F6">
        <w:t xml:space="preserve">the </w:t>
      </w:r>
      <w:r w:rsidR="00703541" w:rsidRPr="004946F6">
        <w:t>assumption of CMR that the temporal context is disrupted whenever item sources change</w:t>
      </w:r>
      <w:r w:rsidR="00E6413F" w:rsidRPr="004946F6">
        <w:t xml:space="preserve">, </w:t>
      </w:r>
      <w:r w:rsidR="001A25A3" w:rsidRPr="004946F6">
        <w:t xml:space="preserve">something that occurs when an emotional item is presented after a series of neutral items, or vice versa. </w:t>
      </w:r>
      <w:r w:rsidR="00703541" w:rsidRPr="004946F6">
        <w:t>We examine th</w:t>
      </w:r>
      <w:r w:rsidRPr="004946F6">
        <w:t>e</w:t>
      </w:r>
      <w:r w:rsidR="00703541" w:rsidRPr="004946F6">
        <w:t>s</w:t>
      </w:r>
      <w:r w:rsidRPr="004946F6">
        <w:t>e</w:t>
      </w:r>
      <w:r w:rsidR="00703541" w:rsidRPr="004946F6">
        <w:t xml:space="preserve"> solution</w:t>
      </w:r>
      <w:r w:rsidRPr="004946F6">
        <w:t>s</w:t>
      </w:r>
      <w:r w:rsidR="00703541" w:rsidRPr="004946F6">
        <w:t xml:space="preserve"> below. </w:t>
      </w:r>
      <w:r w:rsidR="00224DB0" w:rsidRPr="004946F6">
        <w:t xml:space="preserve">Our main aim in this section is to </w:t>
      </w:r>
      <w:r w:rsidR="00D252CD" w:rsidRPr="004946F6">
        <w:t xml:space="preserve">see what mechanisms </w:t>
      </w:r>
      <w:r w:rsidR="002C0B41">
        <w:t>permit</w:t>
      </w:r>
      <w:r w:rsidR="001127E3" w:rsidRPr="004946F6">
        <w:t xml:space="preserve"> eCMR </w:t>
      </w:r>
      <w:r w:rsidR="002C0B41">
        <w:t xml:space="preserve">to simulate </w:t>
      </w:r>
      <w:r w:rsidR="00F04A06" w:rsidRPr="004946F6">
        <w:t xml:space="preserve">the superior memory for an outstanding isolate, and </w:t>
      </w:r>
      <w:r w:rsidR="00D309A5" w:rsidRPr="004946F6">
        <w:t>examine wh</w:t>
      </w:r>
      <w:r w:rsidR="009B460A" w:rsidRPr="004946F6">
        <w:t xml:space="preserve">ich of these also impair </w:t>
      </w:r>
      <w:r w:rsidR="00D309A5" w:rsidRPr="004946F6">
        <w:t>memory for items in close</w:t>
      </w:r>
      <w:r w:rsidR="00F04A06" w:rsidRPr="004946F6">
        <w:t xml:space="preserve"> </w:t>
      </w:r>
      <w:r w:rsidR="009B460A" w:rsidRPr="004946F6">
        <w:t xml:space="preserve">serial </w:t>
      </w:r>
      <w:r w:rsidR="00F04A06" w:rsidRPr="004946F6">
        <w:t xml:space="preserve">positions. </w:t>
      </w:r>
      <w:r w:rsidR="00D309A5" w:rsidRPr="004946F6">
        <w:t xml:space="preserve">By examining what elements of eCMR need to change in order to reproduce the emotional oddball effect we may develop deeper understanding </w:t>
      </w:r>
      <w:r w:rsidR="009B460A" w:rsidRPr="004946F6">
        <w:t>of the empirical effect</w:t>
      </w:r>
      <w:r w:rsidR="00D309A5" w:rsidRPr="004946F6">
        <w:t xml:space="preserve">. </w:t>
      </w:r>
    </w:p>
    <w:p w14:paraId="0D35F6D7" w14:textId="40036789" w:rsidR="00437057" w:rsidRPr="004946F6" w:rsidRDefault="00F0282F">
      <w:pPr>
        <w:spacing w:line="480" w:lineRule="auto"/>
        <w:jc w:val="both"/>
        <w:rPr>
          <w:b/>
          <w:bCs/>
          <w:i/>
          <w:iCs/>
        </w:rPr>
      </w:pPr>
      <w:r w:rsidRPr="004946F6">
        <w:rPr>
          <w:b/>
          <w:bCs/>
          <w:i/>
          <w:iCs/>
        </w:rPr>
        <w:t>4</w:t>
      </w:r>
      <w:r w:rsidR="00437057" w:rsidRPr="004946F6">
        <w:rPr>
          <w:b/>
          <w:bCs/>
          <w:i/>
          <w:iCs/>
        </w:rPr>
        <w:t xml:space="preserve">.1 Simulation </w:t>
      </w:r>
      <w:r w:rsidR="00113C0E">
        <w:rPr>
          <w:b/>
          <w:bCs/>
          <w:i/>
          <w:iCs/>
        </w:rPr>
        <w:t>4 and 4A</w:t>
      </w:r>
      <w:r w:rsidR="00437057" w:rsidRPr="004946F6">
        <w:rPr>
          <w:b/>
          <w:bCs/>
          <w:i/>
          <w:iCs/>
        </w:rPr>
        <w:t>:</w:t>
      </w:r>
      <w:r w:rsidR="006E738D" w:rsidRPr="004946F6">
        <w:rPr>
          <w:b/>
          <w:bCs/>
          <w:i/>
          <w:iCs/>
        </w:rPr>
        <w:t xml:space="preserve"> </w:t>
      </w:r>
      <w:r w:rsidR="00437057" w:rsidRPr="004946F6">
        <w:rPr>
          <w:b/>
          <w:bCs/>
          <w:i/>
          <w:iCs/>
        </w:rPr>
        <w:t>Representing an oddball in eCMR</w:t>
      </w:r>
    </w:p>
    <w:p w14:paraId="1DFA95F6" w14:textId="1F4EBA3E" w:rsidR="00437057" w:rsidRPr="004946F6" w:rsidRDefault="00437057">
      <w:pPr>
        <w:spacing w:line="480" w:lineRule="auto"/>
        <w:jc w:val="both"/>
      </w:pPr>
      <w:r w:rsidRPr="004946F6">
        <w:t xml:space="preserve">By definition, an oddball is an item that is </w:t>
      </w:r>
      <w:r w:rsidRPr="004946F6">
        <w:rPr>
          <w:i/>
          <w:iCs/>
        </w:rPr>
        <w:t>different</w:t>
      </w:r>
      <w:r w:rsidRPr="004946F6">
        <w:t xml:space="preserve"> from the standard list items</w:t>
      </w:r>
      <w:r w:rsidR="00247F71">
        <w:t xml:space="preserve">, and therefore likely to </w:t>
      </w:r>
      <w:r w:rsidR="00247F71" w:rsidRPr="004946F6">
        <w:t>trigger different internal operations than the standards</w:t>
      </w:r>
      <w:r w:rsidRPr="004946F6">
        <w:t xml:space="preserve">. This can be readily operationalised in eCMR through oddball and standards having different source contexts. Notably, so far we have only considered source contexts that are emotional and neutral, but the same approach can be used to represent other differences in the encoding of standards and oddballs, such as the difference between </w:t>
      </w:r>
      <w:r w:rsidR="00247F71">
        <w:t xml:space="preserve">line drawing standards </w:t>
      </w:r>
      <w:r w:rsidRPr="004946F6">
        <w:t xml:space="preserve">and an oddball picture, for example. Because the test context will be dominated by the source context of the standards, an oddball with a different source context should be recalled less well. Additionally, an oddball may also be less related to standard items on a certain dimension, such as its pre-experimental semantic associations. This is certainly the case for mixed lists of emotional and neutral items, where even if these two item categories are equally cohesive, they are less related to each other. </w:t>
      </w:r>
      <w:r w:rsidR="00247F71">
        <w:t>D</w:t>
      </w:r>
      <w:r w:rsidRPr="004946F6">
        <w:t xml:space="preserve">ecreased </w:t>
      </w:r>
      <w:r w:rsidR="00247F71">
        <w:t xml:space="preserve">semantic </w:t>
      </w:r>
      <w:r w:rsidRPr="004946F6">
        <w:t xml:space="preserve">similarity will </w:t>
      </w:r>
      <w:r w:rsidR="00247F71">
        <w:t xml:space="preserve">also </w:t>
      </w:r>
      <w:r w:rsidRPr="004946F6">
        <w:t>hinder the recall of oddballs. Emotional oddballs would attract attention both because they are emotional and because they are unexpected</w:t>
      </w:r>
      <w:r w:rsidR="0042033F" w:rsidRPr="004946F6">
        <w:t xml:space="preserve">; </w:t>
      </w:r>
      <w:r w:rsidRPr="004946F6">
        <w:t xml:space="preserve">unexpected items are attended and processed preferentially </w:t>
      </w:r>
      <w:r w:rsidR="0042033F" w:rsidRPr="004946F6">
        <w:fldChar w:fldCharType="begin" w:fldLock="1"/>
      </w:r>
      <w:r w:rsidR="008C25E5" w:rsidRPr="004946F6">
        <w:instrText>ADDIN CSL_CITATION { "citationItems" : [ { "id" : "ITEM-1", "itemData" : { "DOI" : "10.1093/cercor/bhr310", "author" : [ { "dropping-particle" : "", "family" : "Kok", "given" : "Peter", "non-dropping-particle" : "", "parse-names" : false, "suffix" : "" }, { "dropping-particle" : "", "family" : "Rahnev", "given" : "Dobromir", "non-dropping-particle" : "", "parse-names" : false, "suffix" : "" }, { "dropping-particle" : "", "family" : "Jehee", "given" : "Janneke F. M.", "non-dropping-particle" : "", "parse-names" : false, "suffix" : "" }, { "dropping-particle" : "", "family" : "Lau", "given" : "Hakwan C.", "non-dropping-particle" : "", "parse-names" : false, "suffix" : "" }, { "dropping-particle" : "", "family" : "Lange", "given" : "Floris P.", "non-dropping-particle" : "de", "parse-names" : false, "suffix" : "" } ], "container-title" : "Cerebral Cortex", "id" : "ITEM-1", "issue" : "9", "issued" : { "date-parts" : [ [ "2012", "9", "1" ] ] }, "page" : "2197-2206", "publisher" : "Oxford University Press", "title" : "Attention Reverses the Effect of Prediction in Silencing Sensory Signals", "type" : "article-journal", "volume" : "22" }, "uris" : [ "http://www.mendeley.com/documents/?uuid=eca1cc7f-68e9-3d56-9d6e-a2a896fa4335" ] } ], "mendeley" : { "formattedCitation" : "(Kok, Rahnev, Jehee, Lau, &amp; de Lange, 2012)", "plainTextFormattedCitation" : "(Kok, Rahnev, Jehee, Lau, &amp; de Lange, 2012)", "previouslyFormattedCitation" : "(Kok, Rahnev, Jehee, Lau, &amp; de Lange, 2012)" }, "properties" : { "noteIndex" : 0 }, "schema" : "https://github.com/citation-style-language/schema/raw/master/csl-citation.json" }</w:instrText>
      </w:r>
      <w:r w:rsidR="0042033F" w:rsidRPr="004946F6">
        <w:fldChar w:fldCharType="separate"/>
      </w:r>
      <w:r w:rsidR="0042033F" w:rsidRPr="004946F6">
        <w:rPr>
          <w:noProof/>
        </w:rPr>
        <w:t>(Kok, Rahnev, Jehee, Lau, &amp; de Lange, 2012)</w:t>
      </w:r>
      <w:r w:rsidR="0042033F" w:rsidRPr="004946F6">
        <w:fldChar w:fldCharType="end"/>
      </w:r>
      <w:r w:rsidRPr="004946F6">
        <w:t xml:space="preserve">. </w:t>
      </w:r>
      <w:r w:rsidR="00247F71">
        <w:t>I</w:t>
      </w:r>
      <w:r w:rsidR="00247F71" w:rsidRPr="004946F6">
        <w:t xml:space="preserve">ncreased attention to the oddball </w:t>
      </w:r>
      <w:r w:rsidR="00247F71">
        <w:t xml:space="preserve">will increase its link to the temporal context, help its recall, and could even </w:t>
      </w:r>
      <w:r w:rsidR="00247F71" w:rsidRPr="004946F6">
        <w:t xml:space="preserve">counteract the </w:t>
      </w:r>
      <w:r w:rsidR="00247F71">
        <w:t>impact of decreased source and semantic similarity</w:t>
      </w:r>
      <w:r w:rsidR="00247F71" w:rsidRPr="004946F6">
        <w:t>.</w:t>
      </w:r>
      <w:r w:rsidR="00204C2E">
        <w:t xml:space="preserve"> T</w:t>
      </w:r>
      <w:r w:rsidRPr="004946F6">
        <w:t xml:space="preserve">he balance between </w:t>
      </w:r>
      <w:r w:rsidR="00204C2E">
        <w:t xml:space="preserve">these effects of similarity and attention </w:t>
      </w:r>
      <w:r w:rsidRPr="004946F6">
        <w:t xml:space="preserve">would determine how well an oddball is remembered. </w:t>
      </w:r>
      <w:r w:rsidR="00204C2E">
        <w:t xml:space="preserve">This balance will depend on aspects of the experimental set-up, such a type of oddball used. </w:t>
      </w:r>
    </w:p>
    <w:p w14:paraId="6A4B4263" w14:textId="2679E348" w:rsidR="00437057" w:rsidRPr="004946F6" w:rsidRDefault="00487DD3">
      <w:pPr>
        <w:spacing w:line="480" w:lineRule="auto"/>
        <w:jc w:val="both"/>
      </w:pPr>
      <w:r>
        <w:t>W</w:t>
      </w:r>
      <w:r w:rsidR="00437057" w:rsidRPr="004946F6">
        <w:t xml:space="preserve">e simulated lists of </w:t>
      </w:r>
      <w:r>
        <w:t>15</w:t>
      </w:r>
      <w:r w:rsidR="00437057" w:rsidRPr="004946F6">
        <w:t xml:space="preserve"> neutral</w:t>
      </w:r>
      <w:r>
        <w:t xml:space="preserve"> items and </w:t>
      </w:r>
      <w:r w:rsidR="00437057" w:rsidRPr="004946F6">
        <w:t xml:space="preserve">a single emotional item in position 9. </w:t>
      </w:r>
      <w:r w:rsidR="0042033F" w:rsidRPr="004946F6">
        <w:t xml:space="preserve">The same list length was used in Simulation 2; this list </w:t>
      </w:r>
      <w:r w:rsidR="00204C2E">
        <w:t>length and the serial position of the oddball are also</w:t>
      </w:r>
      <w:r w:rsidR="0042033F" w:rsidRPr="004946F6">
        <w:t xml:space="preserve"> similar to the one used by Ellis </w:t>
      </w:r>
      <w:r w:rsidR="00204C2E">
        <w:t>et al.</w:t>
      </w:r>
      <w:r w:rsidR="0042033F" w:rsidRPr="004946F6">
        <w:t xml:space="preserve"> </w:t>
      </w:r>
      <w:r w:rsidR="0042033F" w:rsidRPr="004946F6">
        <w:fldChar w:fldCharType="begin" w:fldLock="1"/>
      </w:r>
      <w:r w:rsidR="00204C2E">
        <w:instrText>ADDIN CSL_CITATION { "citationItems" : [ { "id" : "ITEM-1", "itemData" : { "author" : [ { "dropping-particle" : "", "family" : "Ellis", "given" : "NR", "non-dropping-particle" : "", "parse-names" : false, "suffix" : "" }, { "dropping-particle" : "", "family" : "Detterman", "given" : "DK", "non-dropping-particle" : "", "parse-names" : false, "suffix" : "" }, { "dropping-particle" : "", "family" : "Runcie", "given" : "D", "non-dropping-particle" : "", "parse-names" : false, "suffix" : "" }, { "dropping-particle" : "", "family" : "McCarver", "given" : "RB", "non-dropping-particle" : "", "parse-names" : false, "suffix" : "" }, { "dropping-particle" : "", "family" : "Craig", "given" : "EM.", "non-dropping-particle" : "", "parse-names" : false, "suffix" : "" } ], "container-title" : "Journal of Experimental Psychology", "id" : "ITEM-1", "issue" : "2", "issued" : { "date-parts" : [ [ "1971" ] ] }, "page" : "357-61", "title" : "Amnesic effects in short-term memory.", "type" : "article-journal", "volume" : "89" }, "uris" : [ "http://www.mendeley.com/documents/?uuid=4e43d9b5-2318-43cc-9bad-c3e71ffabbd5" ] } ], "mendeley" : { "formattedCitation" : "(Ellis et al., 1971)", "manualFormatting" : "(1971)", "plainTextFormattedCitation" : "(Ellis et al., 1971)", "previouslyFormattedCitation" : "(Ellis et al., 1971)" }, "properties" : { "noteIndex" : 0 }, "schema" : "https://github.com/citation-style-language/schema/raw/master/csl-citation.json" }</w:instrText>
      </w:r>
      <w:r w:rsidR="0042033F" w:rsidRPr="004946F6">
        <w:fldChar w:fldCharType="separate"/>
      </w:r>
      <w:r w:rsidR="00855330" w:rsidRPr="004946F6">
        <w:rPr>
          <w:noProof/>
        </w:rPr>
        <w:t>(1971)</w:t>
      </w:r>
      <w:r w:rsidR="0042033F" w:rsidRPr="004946F6">
        <w:fldChar w:fldCharType="end"/>
      </w:r>
      <w:r w:rsidR="0042033F" w:rsidRPr="004946F6">
        <w:t xml:space="preserve">. </w:t>
      </w:r>
      <w:r w:rsidR="00437057" w:rsidRPr="004946F6">
        <w:t>We also simulated control lists</w:t>
      </w:r>
      <w:r>
        <w:t xml:space="preserve"> with</w:t>
      </w:r>
      <w:r w:rsidR="00437057" w:rsidRPr="004946F6">
        <w:t xml:space="preserve"> 16 neutral items. Simulation 5 </w:t>
      </w:r>
      <w:r w:rsidR="00AE0544" w:rsidRPr="004946F6">
        <w:t xml:space="preserve">used the </w:t>
      </w:r>
      <w:r w:rsidR="00204C2E">
        <w:t xml:space="preserve">parameters </w:t>
      </w:r>
      <w:r w:rsidR="00AE0544" w:rsidRPr="004946F6">
        <w:t xml:space="preserve">of eCMR </w:t>
      </w:r>
      <w:r w:rsidR="00204C2E">
        <w:t xml:space="preserve">from section 2, </w:t>
      </w:r>
      <w:r w:rsidR="00437057" w:rsidRPr="004946F6">
        <w:t xml:space="preserve">apart from the degree of reliance on the semantic associations, which was </w:t>
      </w:r>
      <w:r w:rsidR="00204C2E">
        <w:t xml:space="preserve">mid-way between </w:t>
      </w:r>
      <w:r w:rsidR="00437057" w:rsidRPr="004946F6">
        <w:t xml:space="preserve">Simulation 2, where we simulated cohesive lists, </w:t>
      </w:r>
      <w:r w:rsidR="00204C2E">
        <w:t xml:space="preserve">and </w:t>
      </w:r>
      <w:r w:rsidR="00437057" w:rsidRPr="004946F6">
        <w:t xml:space="preserve">Simulation 3, where we simulated randomly-selected lists. </w:t>
      </w:r>
      <w:r w:rsidR="00113C0E">
        <w:t>Simulation 4</w:t>
      </w:r>
      <w:r w:rsidR="00437057" w:rsidRPr="004946F6">
        <w:t xml:space="preserve"> did not predict superior memory for the oddball compared to standards, but the reverse</w:t>
      </w:r>
      <w:r w:rsidR="00113C0E">
        <w:t xml:space="preserve"> - </w:t>
      </w:r>
      <w:r w:rsidR="00437057" w:rsidRPr="004946F6">
        <w:t>a dip in memory for the oddball (</w:t>
      </w:r>
      <w:r w:rsidR="00437057" w:rsidRPr="004946F6">
        <w:fldChar w:fldCharType="begin"/>
      </w:r>
      <w:r w:rsidR="00437057" w:rsidRPr="004946F6">
        <w:instrText xml:space="preserve"> REF Table5 \h </w:instrText>
      </w:r>
      <w:r w:rsidR="008523C1" w:rsidRPr="004946F6">
        <w:instrText xml:space="preserve"> \* MERGEFORMAT </w:instrText>
      </w:r>
      <w:r w:rsidR="00437057" w:rsidRPr="004946F6">
        <w:fldChar w:fldCharType="separate"/>
      </w:r>
      <w:r w:rsidR="00437057" w:rsidRPr="004946F6">
        <w:rPr>
          <w:b/>
          <w:bCs/>
          <w:i/>
          <w:iCs/>
        </w:rPr>
        <w:t>TABLE 5</w:t>
      </w:r>
      <w:r w:rsidR="00437057" w:rsidRPr="004946F6">
        <w:fldChar w:fldCharType="end"/>
      </w:r>
      <w:r w:rsidR="00437057" w:rsidRPr="004946F6">
        <w:t>).</w:t>
      </w:r>
      <w:r w:rsidR="00437057" w:rsidRPr="004946F6">
        <w:rPr>
          <w:lang w:bidi="he-IL"/>
        </w:rPr>
        <w:t xml:space="preserve"> </w:t>
      </w:r>
      <w:r w:rsidR="00113C0E">
        <w:rPr>
          <w:lang w:bidi="he-IL"/>
        </w:rPr>
        <w:t xml:space="preserve">This Simulation is useful because it </w:t>
      </w:r>
      <w:r w:rsidR="00437057" w:rsidRPr="004946F6">
        <w:t xml:space="preserve">exposes the challenge that the emotional oddball effect poses for eCMR. </w:t>
      </w:r>
    </w:p>
    <w:p w14:paraId="4B8909C8" w14:textId="7EBC5A10" w:rsidR="00AE0544" w:rsidRPr="004946F6" w:rsidRDefault="00AE0544">
      <w:pPr>
        <w:spacing w:line="480" w:lineRule="auto"/>
        <w:jc w:val="both"/>
        <w:rPr>
          <w:lang w:bidi="he-IL"/>
        </w:rPr>
      </w:pPr>
      <w:r w:rsidRPr="004946F6">
        <w:rPr>
          <w:lang w:bidi="he-IL"/>
        </w:rPr>
        <w:t xml:space="preserve">In Simulation </w:t>
      </w:r>
      <w:r w:rsidR="001E6688" w:rsidRPr="004946F6">
        <w:rPr>
          <w:lang w:bidi="he-IL"/>
        </w:rPr>
        <w:t>4A</w:t>
      </w:r>
      <w:r w:rsidRPr="004946F6">
        <w:rPr>
          <w:lang w:bidi="he-IL"/>
        </w:rPr>
        <w:t xml:space="preserve"> we shifted the balance</w:t>
      </w:r>
      <w:r w:rsidR="004257F0" w:rsidRPr="004946F6">
        <w:rPr>
          <w:lang w:bidi="he-IL"/>
        </w:rPr>
        <w:t xml:space="preserve"> between the various mechanisms that implement the oddball</w:t>
      </w:r>
      <w:r w:rsidRPr="004946F6">
        <w:rPr>
          <w:lang w:bidi="he-IL"/>
        </w:rPr>
        <w:t xml:space="preserve"> by simulating an oddball that attracts more attention than emotional items in mixed lists. Simulation </w:t>
      </w:r>
      <w:r w:rsidR="001E6688" w:rsidRPr="004946F6">
        <w:rPr>
          <w:lang w:bidi="he-IL"/>
        </w:rPr>
        <w:t>4A</w:t>
      </w:r>
      <w:r w:rsidRPr="004946F6">
        <w:rPr>
          <w:lang w:bidi="he-IL"/>
        </w:rPr>
        <w:t xml:space="preserve"> captured the idealised pattern we described as the emotional oddball effect: excellent memory for the oddball itself, accompanied by worse memory for items in other list positions, compared to control lists without oddballs (</w:t>
      </w:r>
      <w:r w:rsidR="004257F0" w:rsidRPr="004946F6">
        <w:rPr>
          <w:lang w:bidi="he-IL"/>
        </w:rPr>
        <w:fldChar w:fldCharType="begin"/>
      </w:r>
      <w:r w:rsidR="004257F0" w:rsidRPr="004946F6">
        <w:rPr>
          <w:lang w:bidi="he-IL"/>
        </w:rPr>
        <w:instrText xml:space="preserve"> REF Figure8 \h </w:instrText>
      </w:r>
      <w:r w:rsidR="008523C1" w:rsidRPr="004946F6">
        <w:rPr>
          <w:lang w:bidi="he-IL"/>
        </w:rPr>
        <w:instrText xml:space="preserve"> \* MERGEFORMAT </w:instrText>
      </w:r>
      <w:r w:rsidR="004257F0" w:rsidRPr="004946F6">
        <w:rPr>
          <w:lang w:bidi="he-IL"/>
        </w:rPr>
      </w:r>
      <w:r w:rsidR="004257F0" w:rsidRPr="004946F6">
        <w:rPr>
          <w:lang w:bidi="he-IL"/>
        </w:rPr>
        <w:fldChar w:fldCharType="separate"/>
      </w:r>
      <w:r w:rsidR="004257F0" w:rsidRPr="004946F6">
        <w:rPr>
          <w:b/>
          <w:bCs/>
          <w:i/>
          <w:iCs/>
          <w:lang w:bidi="he-IL"/>
        </w:rPr>
        <w:t>FIGURE 8</w:t>
      </w:r>
      <w:r w:rsidR="004257F0" w:rsidRPr="004946F6">
        <w:rPr>
          <w:lang w:bidi="he-IL"/>
        </w:rPr>
        <w:fldChar w:fldCharType="end"/>
      </w:r>
      <w:r w:rsidRPr="004946F6">
        <w:rPr>
          <w:lang w:bidi="he-IL"/>
        </w:rPr>
        <w:t>)</w:t>
      </w:r>
      <w:r w:rsidRPr="004946F6">
        <w:rPr>
          <w:lang w:bidi="he-IL"/>
        </w:rPr>
        <w:fldChar w:fldCharType="begin"/>
      </w:r>
      <w:r w:rsidRPr="004946F6">
        <w:rPr>
          <w:lang w:bidi="he-IL"/>
        </w:rPr>
        <w:instrText xml:space="preserve"> REF Figure9 \h </w:instrText>
      </w:r>
      <w:r w:rsidR="008523C1" w:rsidRPr="004946F6">
        <w:rPr>
          <w:lang w:bidi="he-IL"/>
        </w:rPr>
        <w:instrText xml:space="preserve"> \* MERGEFORMAT </w:instrText>
      </w:r>
      <w:r w:rsidRPr="004946F6">
        <w:rPr>
          <w:lang w:bidi="he-IL"/>
        </w:rPr>
      </w:r>
      <w:r w:rsidRPr="004946F6">
        <w:rPr>
          <w:lang w:bidi="he-IL"/>
        </w:rPr>
        <w:fldChar w:fldCharType="end"/>
      </w:r>
      <w:r w:rsidRPr="004946F6">
        <w:rPr>
          <w:lang w:bidi="he-IL"/>
        </w:rPr>
        <w:t xml:space="preserve">. Memory for items near the oddball was particularly impaired, a result that amounts to anterograde and retrograde amnesia effects for items near the oddball. In the next section we turn to empirical data, to reveal </w:t>
      </w:r>
      <w:r w:rsidR="00113C0E">
        <w:rPr>
          <w:lang w:bidi="he-IL"/>
        </w:rPr>
        <w:t>which of</w:t>
      </w:r>
      <w:r w:rsidRPr="004946F6">
        <w:rPr>
          <w:lang w:bidi="he-IL"/>
        </w:rPr>
        <w:t xml:space="preserve"> the mechanisms we used to simulate the oddball </w:t>
      </w:r>
      <w:r w:rsidR="00517E15" w:rsidRPr="004946F6">
        <w:rPr>
          <w:lang w:bidi="he-IL"/>
        </w:rPr>
        <w:t xml:space="preserve">in Simulation </w:t>
      </w:r>
      <w:r w:rsidR="001E6688" w:rsidRPr="004946F6">
        <w:rPr>
          <w:lang w:bidi="he-IL"/>
        </w:rPr>
        <w:t>4A</w:t>
      </w:r>
      <w:r w:rsidR="00517E15" w:rsidRPr="004946F6">
        <w:rPr>
          <w:lang w:bidi="he-IL"/>
        </w:rPr>
        <w:t xml:space="preserve"> is specific to emotional oddballs. </w:t>
      </w:r>
    </w:p>
    <w:p w14:paraId="643EB737" w14:textId="77777777" w:rsidR="00437057" w:rsidRPr="004946F6" w:rsidRDefault="00437057" w:rsidP="00437057">
      <w:pPr>
        <w:spacing w:line="480" w:lineRule="auto"/>
        <w:jc w:val="both"/>
      </w:pPr>
    </w:p>
    <w:p w14:paraId="55079E5C" w14:textId="77777777" w:rsidR="00437057" w:rsidRPr="004946F6" w:rsidRDefault="00437057" w:rsidP="00437057">
      <w:pPr>
        <w:spacing w:line="480" w:lineRule="auto"/>
        <w:jc w:val="both"/>
        <w:rPr>
          <w:b/>
          <w:bCs/>
          <w:i/>
          <w:iCs/>
        </w:rPr>
      </w:pPr>
      <w:bookmarkStart w:id="12" w:name="Table5"/>
      <w:r w:rsidRPr="004946F6">
        <w:rPr>
          <w:b/>
          <w:bCs/>
          <w:i/>
          <w:iCs/>
        </w:rPr>
        <w:t>TABLE 5</w:t>
      </w:r>
      <w:bookmarkEnd w:id="12"/>
      <w:r w:rsidRPr="004946F6">
        <w:rPr>
          <w:b/>
          <w:bCs/>
          <w:i/>
          <w:iCs/>
        </w:rPr>
        <w:t xml:space="preserve">. Recall (%) in Simulation 5. </w:t>
      </w:r>
    </w:p>
    <w:tbl>
      <w:tblPr>
        <w:tblStyle w:val="TableGrid"/>
        <w:tblW w:w="0" w:type="auto"/>
        <w:tblLook w:val="04A0" w:firstRow="1" w:lastRow="0" w:firstColumn="1" w:lastColumn="0" w:noHBand="0" w:noVBand="1"/>
      </w:tblPr>
      <w:tblGrid>
        <w:gridCol w:w="3227"/>
        <w:gridCol w:w="1759"/>
        <w:gridCol w:w="1643"/>
      </w:tblGrid>
      <w:tr w:rsidR="00437057" w:rsidRPr="004946F6" w14:paraId="079738F9" w14:textId="77777777" w:rsidTr="00E54FAD">
        <w:tc>
          <w:tcPr>
            <w:tcW w:w="3227" w:type="dxa"/>
          </w:tcPr>
          <w:p w14:paraId="2053000C" w14:textId="77777777" w:rsidR="00437057" w:rsidRPr="004946F6" w:rsidRDefault="00437057" w:rsidP="00FA068B">
            <w:pPr>
              <w:spacing w:line="480" w:lineRule="auto"/>
              <w:jc w:val="both"/>
              <w:rPr>
                <w:b/>
                <w:bCs/>
                <w:i/>
                <w:iCs/>
              </w:rPr>
            </w:pPr>
          </w:p>
        </w:tc>
        <w:tc>
          <w:tcPr>
            <w:tcW w:w="1759" w:type="dxa"/>
          </w:tcPr>
          <w:p w14:paraId="2B3590EC" w14:textId="77777777" w:rsidR="00437057" w:rsidRPr="004946F6" w:rsidRDefault="00437057" w:rsidP="00FA068B">
            <w:pPr>
              <w:spacing w:line="480" w:lineRule="auto"/>
              <w:jc w:val="both"/>
              <w:rPr>
                <w:b/>
                <w:bCs/>
                <w:i/>
                <w:iCs/>
              </w:rPr>
            </w:pPr>
            <w:r w:rsidRPr="004946F6">
              <w:rPr>
                <w:b/>
                <w:bCs/>
                <w:i/>
                <w:iCs/>
              </w:rPr>
              <w:t>Oddball list</w:t>
            </w:r>
          </w:p>
        </w:tc>
        <w:tc>
          <w:tcPr>
            <w:tcW w:w="1643" w:type="dxa"/>
          </w:tcPr>
          <w:p w14:paraId="410568EE" w14:textId="77777777" w:rsidR="00437057" w:rsidRPr="004946F6" w:rsidRDefault="00437057" w:rsidP="00FA068B">
            <w:pPr>
              <w:spacing w:line="480" w:lineRule="auto"/>
              <w:jc w:val="both"/>
              <w:rPr>
                <w:b/>
                <w:bCs/>
                <w:i/>
                <w:iCs/>
              </w:rPr>
            </w:pPr>
            <w:r w:rsidRPr="004946F6">
              <w:rPr>
                <w:b/>
                <w:bCs/>
                <w:i/>
                <w:iCs/>
              </w:rPr>
              <w:t>Control list</w:t>
            </w:r>
          </w:p>
        </w:tc>
      </w:tr>
      <w:tr w:rsidR="00437057" w:rsidRPr="004946F6" w14:paraId="6C93875C" w14:textId="77777777" w:rsidTr="00E54FAD">
        <w:tc>
          <w:tcPr>
            <w:tcW w:w="3227" w:type="dxa"/>
          </w:tcPr>
          <w:p w14:paraId="4F715903" w14:textId="77777777" w:rsidR="00437057" w:rsidRPr="004946F6" w:rsidRDefault="00437057" w:rsidP="00FA068B">
            <w:pPr>
              <w:spacing w:line="480" w:lineRule="auto"/>
              <w:jc w:val="both"/>
              <w:rPr>
                <w:b/>
                <w:bCs/>
                <w:i/>
                <w:iCs/>
              </w:rPr>
            </w:pPr>
            <w:r w:rsidRPr="004946F6">
              <w:rPr>
                <w:b/>
                <w:bCs/>
                <w:i/>
                <w:iCs/>
              </w:rPr>
              <w:t>Positions 1-8</w:t>
            </w:r>
          </w:p>
        </w:tc>
        <w:tc>
          <w:tcPr>
            <w:tcW w:w="1759" w:type="dxa"/>
            <w:vAlign w:val="bottom"/>
          </w:tcPr>
          <w:p w14:paraId="4A70968A" w14:textId="77777777" w:rsidR="00437057" w:rsidRPr="004946F6" w:rsidRDefault="00437057" w:rsidP="00FA068B">
            <w:pPr>
              <w:spacing w:line="480" w:lineRule="auto"/>
              <w:jc w:val="center"/>
              <w:rPr>
                <w:b/>
                <w:bCs/>
                <w:i/>
                <w:iCs/>
              </w:rPr>
            </w:pPr>
            <w:r w:rsidRPr="004946F6">
              <w:rPr>
                <w:rFonts w:ascii="Calibri" w:hAnsi="Calibri"/>
                <w:color w:val="000000"/>
              </w:rPr>
              <w:t>76.22</w:t>
            </w:r>
          </w:p>
        </w:tc>
        <w:tc>
          <w:tcPr>
            <w:tcW w:w="1643" w:type="dxa"/>
            <w:vAlign w:val="bottom"/>
          </w:tcPr>
          <w:p w14:paraId="5C4C0CCA" w14:textId="77777777" w:rsidR="00437057" w:rsidRPr="004946F6" w:rsidRDefault="00437057" w:rsidP="00FA068B">
            <w:pPr>
              <w:spacing w:line="480" w:lineRule="auto"/>
              <w:jc w:val="center"/>
              <w:rPr>
                <w:b/>
                <w:bCs/>
                <w:i/>
                <w:iCs/>
              </w:rPr>
            </w:pPr>
            <w:r w:rsidRPr="004946F6">
              <w:rPr>
                <w:rFonts w:ascii="Calibri" w:hAnsi="Calibri"/>
                <w:color w:val="000000"/>
              </w:rPr>
              <w:t>75.30</w:t>
            </w:r>
          </w:p>
        </w:tc>
      </w:tr>
      <w:tr w:rsidR="00437057" w:rsidRPr="004946F6" w14:paraId="28BB00E2" w14:textId="77777777" w:rsidTr="00E54FAD">
        <w:tc>
          <w:tcPr>
            <w:tcW w:w="3227" w:type="dxa"/>
          </w:tcPr>
          <w:p w14:paraId="72BCB66D" w14:textId="77777777" w:rsidR="00437057" w:rsidRPr="004946F6" w:rsidRDefault="00437057" w:rsidP="00FA068B">
            <w:pPr>
              <w:spacing w:line="480" w:lineRule="auto"/>
              <w:jc w:val="both"/>
              <w:rPr>
                <w:b/>
                <w:bCs/>
                <w:i/>
                <w:iCs/>
              </w:rPr>
            </w:pPr>
            <w:r w:rsidRPr="004946F6">
              <w:rPr>
                <w:b/>
                <w:bCs/>
                <w:i/>
                <w:iCs/>
              </w:rPr>
              <w:t>Oddball (position 9)</w:t>
            </w:r>
          </w:p>
        </w:tc>
        <w:tc>
          <w:tcPr>
            <w:tcW w:w="1759" w:type="dxa"/>
            <w:vAlign w:val="bottom"/>
          </w:tcPr>
          <w:p w14:paraId="4CAF63EA" w14:textId="77777777" w:rsidR="00437057" w:rsidRPr="004946F6" w:rsidRDefault="00437057" w:rsidP="00FA068B">
            <w:pPr>
              <w:spacing w:line="480" w:lineRule="auto"/>
              <w:jc w:val="center"/>
              <w:rPr>
                <w:b/>
                <w:bCs/>
                <w:i/>
                <w:iCs/>
              </w:rPr>
            </w:pPr>
            <w:r w:rsidRPr="004946F6">
              <w:rPr>
                <w:rFonts w:ascii="Calibri" w:hAnsi="Calibri"/>
                <w:color w:val="000000"/>
              </w:rPr>
              <w:t>29.24</w:t>
            </w:r>
          </w:p>
        </w:tc>
        <w:tc>
          <w:tcPr>
            <w:tcW w:w="1643" w:type="dxa"/>
            <w:vAlign w:val="bottom"/>
          </w:tcPr>
          <w:p w14:paraId="7F98ECA2" w14:textId="77777777" w:rsidR="00437057" w:rsidRPr="004946F6" w:rsidRDefault="00437057" w:rsidP="00FA068B">
            <w:pPr>
              <w:spacing w:line="480" w:lineRule="auto"/>
              <w:jc w:val="center"/>
              <w:rPr>
                <w:b/>
                <w:bCs/>
                <w:i/>
                <w:iCs/>
              </w:rPr>
            </w:pPr>
            <w:r w:rsidRPr="004946F6">
              <w:rPr>
                <w:rFonts w:ascii="Calibri" w:hAnsi="Calibri"/>
                <w:color w:val="000000"/>
              </w:rPr>
              <w:t>66.10</w:t>
            </w:r>
          </w:p>
        </w:tc>
      </w:tr>
      <w:tr w:rsidR="00437057" w:rsidRPr="004946F6" w14:paraId="17C40981" w14:textId="77777777" w:rsidTr="00E54FAD">
        <w:tc>
          <w:tcPr>
            <w:tcW w:w="3227" w:type="dxa"/>
          </w:tcPr>
          <w:p w14:paraId="291DA583" w14:textId="77777777" w:rsidR="00437057" w:rsidRPr="004946F6" w:rsidRDefault="00437057" w:rsidP="00FA068B">
            <w:pPr>
              <w:spacing w:line="480" w:lineRule="auto"/>
              <w:jc w:val="both"/>
              <w:rPr>
                <w:b/>
                <w:bCs/>
                <w:i/>
                <w:iCs/>
              </w:rPr>
            </w:pPr>
            <w:r w:rsidRPr="004946F6">
              <w:rPr>
                <w:b/>
                <w:bCs/>
                <w:i/>
                <w:iCs/>
              </w:rPr>
              <w:t>Positions 10-16</w:t>
            </w:r>
          </w:p>
        </w:tc>
        <w:tc>
          <w:tcPr>
            <w:tcW w:w="1759" w:type="dxa"/>
            <w:vAlign w:val="bottom"/>
          </w:tcPr>
          <w:p w14:paraId="71634A09" w14:textId="77777777" w:rsidR="00437057" w:rsidRPr="004946F6" w:rsidRDefault="00437057" w:rsidP="00FA068B">
            <w:pPr>
              <w:spacing w:line="480" w:lineRule="auto"/>
              <w:jc w:val="center"/>
              <w:rPr>
                <w:b/>
                <w:bCs/>
                <w:i/>
                <w:iCs/>
              </w:rPr>
            </w:pPr>
            <w:r w:rsidRPr="004946F6">
              <w:rPr>
                <w:rFonts w:ascii="Calibri" w:hAnsi="Calibri"/>
                <w:color w:val="000000"/>
              </w:rPr>
              <w:t>63.46</w:t>
            </w:r>
          </w:p>
        </w:tc>
        <w:tc>
          <w:tcPr>
            <w:tcW w:w="1643" w:type="dxa"/>
            <w:vAlign w:val="bottom"/>
          </w:tcPr>
          <w:p w14:paraId="091C24FF" w14:textId="77777777" w:rsidR="00437057" w:rsidRPr="004946F6" w:rsidRDefault="00437057" w:rsidP="00FA068B">
            <w:pPr>
              <w:spacing w:line="480" w:lineRule="auto"/>
              <w:jc w:val="center"/>
              <w:rPr>
                <w:b/>
                <w:bCs/>
                <w:i/>
                <w:iCs/>
              </w:rPr>
            </w:pPr>
            <w:r w:rsidRPr="004946F6">
              <w:rPr>
                <w:rFonts w:ascii="Calibri" w:hAnsi="Calibri"/>
                <w:color w:val="000000"/>
              </w:rPr>
              <w:t>64.66</w:t>
            </w:r>
          </w:p>
        </w:tc>
      </w:tr>
    </w:tbl>
    <w:p w14:paraId="31A11F2E" w14:textId="77777777" w:rsidR="00437057" w:rsidRPr="004946F6" w:rsidRDefault="00437057">
      <w:pPr>
        <w:spacing w:line="480" w:lineRule="auto"/>
        <w:jc w:val="both"/>
      </w:pPr>
    </w:p>
    <w:tbl>
      <w:tblPr>
        <w:tblStyle w:val="TableGrid"/>
        <w:tblW w:w="0" w:type="auto"/>
        <w:tblInd w:w="25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576"/>
      </w:tblGrid>
      <w:tr w:rsidR="00D57F32" w:rsidRPr="004946F6" w14:paraId="60AC6EAE" w14:textId="77777777" w:rsidTr="00E54FAD">
        <w:tc>
          <w:tcPr>
            <w:tcW w:w="9356" w:type="dxa"/>
          </w:tcPr>
          <w:p w14:paraId="4A4553CB" w14:textId="55E16BAE" w:rsidR="00D57F32" w:rsidRPr="004946F6" w:rsidRDefault="00A54409" w:rsidP="00FA068B">
            <w:pPr>
              <w:spacing w:line="480" w:lineRule="auto"/>
              <w:jc w:val="center"/>
              <w:rPr>
                <w:lang w:bidi="he-IL"/>
              </w:rPr>
            </w:pPr>
            <w:r w:rsidRPr="004946F6">
              <w:rPr>
                <w:noProof/>
                <w:lang w:eastAsia="en-GB" w:bidi="he-IL"/>
              </w:rPr>
              <w:drawing>
                <wp:inline distT="0" distB="0" distL="0" distR="0" wp14:anchorId="0F60F969" wp14:editId="164CE5D2">
                  <wp:extent cx="5943600" cy="4172585"/>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0"/>
                          <a:stretch>
                            <a:fillRect/>
                          </a:stretch>
                        </pic:blipFill>
                        <pic:spPr>
                          <a:xfrm>
                            <a:off x="0" y="0"/>
                            <a:ext cx="5943600" cy="4172585"/>
                          </a:xfrm>
                          <a:prstGeom prst="rect">
                            <a:avLst/>
                          </a:prstGeom>
                        </pic:spPr>
                      </pic:pic>
                    </a:graphicData>
                  </a:graphic>
                </wp:inline>
              </w:drawing>
            </w:r>
          </w:p>
        </w:tc>
      </w:tr>
      <w:tr w:rsidR="00D57F32" w:rsidRPr="004946F6" w14:paraId="0AFE2197" w14:textId="77777777" w:rsidTr="00E54FAD">
        <w:tc>
          <w:tcPr>
            <w:tcW w:w="9356" w:type="dxa"/>
          </w:tcPr>
          <w:p w14:paraId="521F048B" w14:textId="6EA3E7B7" w:rsidR="00D57F32" w:rsidRPr="004946F6" w:rsidRDefault="00FA2CFF" w:rsidP="00FA068B">
            <w:pPr>
              <w:spacing w:line="480" w:lineRule="auto"/>
              <w:jc w:val="center"/>
              <w:rPr>
                <w:lang w:bidi="he-IL"/>
              </w:rPr>
            </w:pPr>
            <w:r w:rsidRPr="004946F6">
              <w:rPr>
                <w:noProof/>
                <w:lang w:eastAsia="en-GB" w:bidi="he-IL"/>
              </w:rPr>
              <w:drawing>
                <wp:inline distT="0" distB="0" distL="0" distR="0" wp14:anchorId="02DBBC19" wp14:editId="42CBB86A">
                  <wp:extent cx="4362450" cy="202043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1"/>
                          <a:stretch>
                            <a:fillRect/>
                          </a:stretch>
                        </pic:blipFill>
                        <pic:spPr>
                          <a:xfrm>
                            <a:off x="0" y="0"/>
                            <a:ext cx="4362450" cy="2020430"/>
                          </a:xfrm>
                          <a:prstGeom prst="rect">
                            <a:avLst/>
                          </a:prstGeom>
                        </pic:spPr>
                      </pic:pic>
                    </a:graphicData>
                  </a:graphic>
                </wp:inline>
              </w:drawing>
            </w:r>
          </w:p>
        </w:tc>
      </w:tr>
      <w:tr w:rsidR="00D57F32" w:rsidRPr="004946F6" w14:paraId="1D168739" w14:textId="77777777" w:rsidTr="00E54FAD">
        <w:tc>
          <w:tcPr>
            <w:tcW w:w="9356" w:type="dxa"/>
          </w:tcPr>
          <w:p w14:paraId="525B5035" w14:textId="0E2043F7" w:rsidR="00D57F32" w:rsidRPr="004946F6" w:rsidRDefault="00D57F32">
            <w:pPr>
              <w:spacing w:line="480" w:lineRule="auto"/>
              <w:jc w:val="both"/>
              <w:rPr>
                <w:b/>
                <w:bCs/>
                <w:i/>
                <w:iCs/>
              </w:rPr>
            </w:pPr>
            <w:bookmarkStart w:id="13" w:name="Figure8"/>
            <w:r w:rsidRPr="004946F6">
              <w:rPr>
                <w:b/>
                <w:bCs/>
                <w:i/>
                <w:iCs/>
                <w:lang w:bidi="he-IL"/>
              </w:rPr>
              <w:t xml:space="preserve">FIGURE </w:t>
            </w:r>
            <w:r w:rsidR="004257F0" w:rsidRPr="004946F6">
              <w:rPr>
                <w:b/>
                <w:bCs/>
                <w:i/>
                <w:iCs/>
                <w:lang w:bidi="he-IL"/>
              </w:rPr>
              <w:t>8</w:t>
            </w:r>
            <w:bookmarkEnd w:id="13"/>
            <w:r w:rsidRPr="004946F6">
              <w:rPr>
                <w:b/>
                <w:bCs/>
                <w:i/>
                <w:iCs/>
                <w:lang w:bidi="he-IL"/>
              </w:rPr>
              <w:t xml:space="preserve">. </w:t>
            </w:r>
            <w:r w:rsidRPr="004946F6">
              <w:rPr>
                <w:b/>
                <w:bCs/>
                <w:i/>
                <w:iCs/>
              </w:rPr>
              <w:t xml:space="preserve">The emotional oddball effect. </w:t>
            </w:r>
          </w:p>
          <w:p w14:paraId="1420DD7E" w14:textId="0D545C78" w:rsidR="00D57F32" w:rsidRPr="004946F6" w:rsidRDefault="00D57F32">
            <w:pPr>
              <w:spacing w:line="480" w:lineRule="auto"/>
              <w:jc w:val="both"/>
              <w:rPr>
                <w:lang w:bidi="he-IL"/>
              </w:rPr>
            </w:pPr>
            <w:r w:rsidRPr="004946F6">
              <w:rPr>
                <w:b/>
                <w:bCs/>
                <w:i/>
                <w:iCs/>
              </w:rPr>
              <w:t xml:space="preserve">Top. </w:t>
            </w:r>
            <w:r w:rsidRPr="004946F6">
              <w:rPr>
                <w:i/>
                <w:iCs/>
              </w:rPr>
              <w:t xml:space="preserve">Predicted recall in Simulation </w:t>
            </w:r>
            <w:r w:rsidR="001E6688" w:rsidRPr="004946F6">
              <w:rPr>
                <w:i/>
                <w:iCs/>
              </w:rPr>
              <w:t>4A</w:t>
            </w:r>
            <w:r w:rsidRPr="004946F6">
              <w:rPr>
                <w:i/>
                <w:iCs/>
              </w:rPr>
              <w:t xml:space="preserve"> and </w:t>
            </w:r>
            <w:r w:rsidR="001E6688" w:rsidRPr="004946F6">
              <w:rPr>
                <w:i/>
                <w:iCs/>
              </w:rPr>
              <w:t>4AD</w:t>
            </w:r>
            <w:r w:rsidRPr="004946F6">
              <w:rPr>
                <w:i/>
                <w:iCs/>
              </w:rPr>
              <w:t xml:space="preserve"> for lists that included a single oddball item in position 9 and for control lists comprised of standard items only, as a function of serial position. Simulations </w:t>
            </w:r>
            <w:r w:rsidR="001E6688" w:rsidRPr="004946F6">
              <w:rPr>
                <w:i/>
                <w:iCs/>
              </w:rPr>
              <w:t>4A</w:t>
            </w:r>
            <w:r w:rsidRPr="004946F6">
              <w:rPr>
                <w:i/>
                <w:iCs/>
              </w:rPr>
              <w:t xml:space="preserve"> and </w:t>
            </w:r>
            <w:r w:rsidR="001E6688" w:rsidRPr="004946F6">
              <w:rPr>
                <w:i/>
                <w:iCs/>
              </w:rPr>
              <w:t>4AD</w:t>
            </w:r>
            <w:r w:rsidRPr="004946F6">
              <w:rPr>
                <w:i/>
                <w:iCs/>
              </w:rPr>
              <w:t xml:space="preserve"> differed in the degree to which the oddball disrupted the temporal context</w:t>
            </w:r>
            <w:r w:rsidR="00113C0E">
              <w:rPr>
                <w:i/>
                <w:iCs/>
              </w:rPr>
              <w:t xml:space="preserve">, with </w:t>
            </w:r>
            <w:r w:rsidR="001E6688" w:rsidRPr="004946F6">
              <w:rPr>
                <w:i/>
                <w:iCs/>
              </w:rPr>
              <w:t>4A</w:t>
            </w:r>
            <w:r w:rsidRPr="004946F6">
              <w:rPr>
                <w:i/>
                <w:iCs/>
              </w:rPr>
              <w:t xml:space="preserve"> simulat</w:t>
            </w:r>
            <w:r w:rsidR="00113C0E">
              <w:rPr>
                <w:i/>
                <w:iCs/>
              </w:rPr>
              <w:t>ing</w:t>
            </w:r>
            <w:r w:rsidRPr="004946F6">
              <w:rPr>
                <w:i/>
                <w:iCs/>
              </w:rPr>
              <w:t xml:space="preserve"> the neutral oddball and </w:t>
            </w:r>
            <w:r w:rsidR="001E6688" w:rsidRPr="004946F6">
              <w:rPr>
                <w:i/>
                <w:iCs/>
              </w:rPr>
              <w:t>4AD</w:t>
            </w:r>
            <w:r w:rsidRPr="004946F6">
              <w:rPr>
                <w:i/>
                <w:iCs/>
              </w:rPr>
              <w:t xml:space="preserve"> the emotional oddball. </w:t>
            </w:r>
          </w:p>
          <w:p w14:paraId="4BDDF540" w14:textId="67CD0265" w:rsidR="00D57F32" w:rsidRPr="004946F6" w:rsidRDefault="00D57F32">
            <w:pPr>
              <w:spacing w:line="480" w:lineRule="auto"/>
              <w:jc w:val="both"/>
              <w:rPr>
                <w:lang w:bidi="he-IL"/>
              </w:rPr>
            </w:pPr>
            <w:r w:rsidRPr="004946F6">
              <w:rPr>
                <w:b/>
                <w:bCs/>
                <w:i/>
                <w:iCs/>
                <w:lang w:bidi="he-IL"/>
              </w:rPr>
              <w:t xml:space="preserve">Bottom. </w:t>
            </w:r>
            <w:r w:rsidRPr="004946F6">
              <w:rPr>
                <w:i/>
                <w:iCs/>
                <w:lang w:bidi="he-IL"/>
              </w:rPr>
              <w:t>Predicted conditional recall probability as a function of lag, depicting transitions from the emotional (black</w:t>
            </w:r>
            <w:r w:rsidR="00113C0E">
              <w:rPr>
                <w:i/>
                <w:iCs/>
                <w:lang w:bidi="he-IL"/>
              </w:rPr>
              <w:t xml:space="preserve">, Simulation 4AD) </w:t>
            </w:r>
            <w:r w:rsidRPr="004946F6">
              <w:rPr>
                <w:i/>
                <w:iCs/>
                <w:lang w:bidi="he-IL"/>
              </w:rPr>
              <w:t>or neutral (grey</w:t>
            </w:r>
            <w:r w:rsidR="00113C0E">
              <w:rPr>
                <w:i/>
                <w:iCs/>
                <w:lang w:bidi="he-IL"/>
              </w:rPr>
              <w:t>, Simulation 4A)</w:t>
            </w:r>
            <w:r w:rsidRPr="004946F6">
              <w:rPr>
                <w:i/>
                <w:iCs/>
                <w:lang w:bidi="he-IL"/>
              </w:rPr>
              <w:t xml:space="preserve"> oddball. The plot shows </w:t>
            </w:r>
            <w:r w:rsidR="00113C0E">
              <w:rPr>
                <w:i/>
                <w:iCs/>
                <w:lang w:bidi="he-IL"/>
              </w:rPr>
              <w:t xml:space="preserve">a </w:t>
            </w:r>
            <w:r w:rsidRPr="004946F6">
              <w:rPr>
                <w:i/>
                <w:iCs/>
                <w:lang w:bidi="he-IL"/>
              </w:rPr>
              <w:t>decreased tendency to retrieve the item that follows the emotional oddball.</w:t>
            </w:r>
            <w:r w:rsidR="006E738D" w:rsidRPr="004946F6">
              <w:rPr>
                <w:i/>
                <w:iCs/>
                <w:lang w:bidi="he-IL"/>
              </w:rPr>
              <w:t xml:space="preserve"> </w:t>
            </w:r>
          </w:p>
        </w:tc>
      </w:tr>
    </w:tbl>
    <w:p w14:paraId="1AA5D553" w14:textId="77777777" w:rsidR="001127E3" w:rsidRPr="004946F6" w:rsidRDefault="001127E3">
      <w:pPr>
        <w:spacing w:line="480" w:lineRule="auto"/>
        <w:jc w:val="both"/>
      </w:pPr>
    </w:p>
    <w:p w14:paraId="43C0E30A" w14:textId="516A5FC5" w:rsidR="00AE0544" w:rsidRPr="004946F6" w:rsidRDefault="00F0282F">
      <w:pPr>
        <w:spacing w:line="480" w:lineRule="auto"/>
        <w:jc w:val="both"/>
        <w:rPr>
          <w:b/>
          <w:bCs/>
          <w:i/>
          <w:iCs/>
        </w:rPr>
      </w:pPr>
      <w:r w:rsidRPr="004946F6">
        <w:rPr>
          <w:b/>
          <w:bCs/>
          <w:i/>
          <w:iCs/>
        </w:rPr>
        <w:t>4</w:t>
      </w:r>
      <w:r w:rsidR="00AE0544" w:rsidRPr="004946F6">
        <w:rPr>
          <w:b/>
          <w:bCs/>
          <w:i/>
          <w:iCs/>
        </w:rPr>
        <w:t>.2 C</w:t>
      </w:r>
      <w:r w:rsidR="00AE0544" w:rsidRPr="004946F6">
        <w:rPr>
          <w:b/>
          <w:bCs/>
          <w:lang w:bidi="he-IL"/>
        </w:rPr>
        <w:t>omparing emotional and neutral oddball effects</w:t>
      </w:r>
      <w:r w:rsidR="00AE0544" w:rsidRPr="004946F6">
        <w:rPr>
          <w:b/>
          <w:bCs/>
        </w:rPr>
        <w:t xml:space="preserve">: Simulations </w:t>
      </w:r>
      <w:r w:rsidR="001E6688" w:rsidRPr="004946F6">
        <w:rPr>
          <w:b/>
          <w:bCs/>
        </w:rPr>
        <w:t>4A</w:t>
      </w:r>
      <w:r w:rsidR="00AE0544" w:rsidRPr="004946F6">
        <w:rPr>
          <w:b/>
          <w:bCs/>
        </w:rPr>
        <w:t xml:space="preserve">A and </w:t>
      </w:r>
      <w:r w:rsidR="001E6688" w:rsidRPr="004946F6">
        <w:rPr>
          <w:b/>
          <w:bCs/>
        </w:rPr>
        <w:t>4AD</w:t>
      </w:r>
    </w:p>
    <w:p w14:paraId="0978A7DC" w14:textId="0E652DC8" w:rsidR="00517E15" w:rsidRPr="004946F6" w:rsidRDefault="005C2A4E">
      <w:pPr>
        <w:spacing w:line="480" w:lineRule="auto"/>
        <w:jc w:val="both"/>
        <w:rPr>
          <w:b/>
          <w:bCs/>
          <w:i/>
          <w:iCs/>
        </w:rPr>
      </w:pPr>
      <w:r w:rsidRPr="004946F6">
        <w:t xml:space="preserve">Unexpected neutral and emotional items have </w:t>
      </w:r>
      <w:r w:rsidR="0051472B" w:rsidRPr="004946F6">
        <w:t xml:space="preserve">both </w:t>
      </w:r>
      <w:r w:rsidRPr="004946F6">
        <w:t xml:space="preserve">been linked to a similar neurobiological mechanism involving temporo-parietal activity and the neurotransmitter noradrenalin </w:t>
      </w:r>
      <w:r w:rsidRPr="004946F6">
        <w:fldChar w:fldCharType="begin" w:fldLock="1"/>
      </w:r>
      <w:r w:rsidR="008C25E5" w:rsidRPr="004946F6">
        <w:instrText>ADDIN CSL_CITATION { "citationItems" : [ { "id" : "ITEM-1", "itemData" : { "DOI" : "10.1016/j.clinph.2007.04.019", "ISSN" : "13882457", "abstract" : "The empirical and theoretical development of the P300 event-related brain potential (ERP) is reviewed by considering factors that contribute to its amplitude, latency, and general characteristics. The neuropsychological origins of the P3a and P3b subcomponents are detailed, and how target/standard discrimination difficulty modulates scalp topography is discussed. The neural loci of P3a and P3b generation are outlined, and a cognitive model is proffered: P3a originates from stimulus-driven frontal attention mechanisms during task processing, whereas P3b originates from temporal\u2013parietal activity associated with attention and appears related to subsequent memory processing. Neurotransmitter actions associating P3a to frontal/dopaminergic and P3b to parietal/norepinephrine pathways are highlighted. Neuroinhibition is suggested as an overarching theoretical mechanism for P300, which is elicited when stimulus detection engages memory operations.", "author" : [ { "dropping-particle" : "", "family" : "Polich", "given" : "John", "non-dropping-particle" : "", "parse-names" : false, "suffix" : "" } ], "container-title" : "Clinical Neurophysiology", "id" : "ITEM-1", "issue" : "10", "issued" : { "date-parts" : [ [ "2007" ] ] }, "page" : "2128-2148", "title" : "Updating P300: An integrative theory of P3a and P3b", "type" : "article-journal", "volume" : "118" }, "uris" : [ "http://www.mendeley.com/documents/?uuid=2c55b294-5b99-3353-9522-fed044119927" ] }, { "id" : "ITEM-2", "itemData" : { "DOI" : "10.1017/S0140525X15000667", "abstract" : "Emotional arousal enhances perception and memory of high-priority information but impairs processing of other information. Here, we propose that, under arousal, local glutamate levels signal the current strength of a representation and interact with norepinephrine (NE) to enhance high priority representations and out-compete or suppress lower priority representations. In our \"glutamate amplifies noradrenergic effects\" (GANE) model, high glutamate at the site of prioritized representations increases local NE release from the locus coeruleus (LC) to generate \" NE hotspots. \" At these NE hotspots, local glutamate and NE release are mutually enhancing and amplify activation of prioritized representations. In contrast, arousal-induced LC activity inhibits less active representations via two mechanisms: 1) Where there are hotspots, lateral inhibition is amplified; 2) Where no hotspots emerge, NE levels are only high enough to activate low-threshold inhibitory adrenoreceptors. Thus, LC activation promotes a few hotspots of excitation in the context of widespread suppression, enhancing high priority representations while suppressing the rest. Hotspots also help synchronize oscillations across neural ensembles transmitting high-priority information. Furthermore, brain structures that detect stimulus priority interact with phasic NE release to preferentially route such information through large-scale functional brain networks. A surge of NE before, during, or after encoding enhances synaptic plasticity at NE hotspots, triggering local protein synthesis processes that enhance selective memory consolidation. Together, these noradrenergic mechanisms promote selective attention and memory under arousal. GANE not only reconciles apparently contradictory findings in the emotion-cognition literature but also extends previous influential theories of LC neuromodulation by proposing specific mechanisms for how LC-NE activity increases neural gain.", "author" : [ { "dropping-particle" : "", "family" : "Mather", "given" : "Mara", "non-dropping-particle" : "", "parse-names" : false, "suffix" : "" }, { "dropping-particle" : "", "family" : "Clewett", "given" : "David", "non-dropping-particle" : "", "parse-names" : false, "suffix" : "" }, { "dropping-particle" : "", "family" : "Sakaki", "given" : "Michiko", "non-dropping-particle" : "", "parse-names" : false, "suffix" : "" }, { "dropping-particle" : "", "family" : "Harley", "given" : "Carolyn W", "non-dropping-particle" : "", "parse-names" : false, "suffix" : "" } ], "id" : "ITEM-2", "issued" : { "date-parts" : [ [ "2017" ] ] }, "title" : "Norepinephrine ignites local hotspots of neuronal excitation: How arousal amplifies selectivity in perception and memory", "type" : "article-journal" }, "uris" : [ "http://www.mendeley.com/documents/?uuid=f547019a-d31d-34ed-9068-ba5542f71855" ] } ], "mendeley" : { "formattedCitation" : "(Mather, Clewett, Sakaki, &amp; Harley, 2017; Polich, 2007)", "plainTextFormattedCitation" : "(Mather, Clewett, Sakaki, &amp; Harley, 2017; Polich, 2007)", "previouslyFormattedCitation" : "(Mather, Clewett, Sakaki, &amp; Harley, 2017; Polich, 2007)" }, "properties" : { "noteIndex" : 0 }, "schema" : "https://github.com/citation-style-language/schema/raw/master/csl-citation.json" }</w:instrText>
      </w:r>
      <w:r w:rsidRPr="004946F6">
        <w:fldChar w:fldCharType="separate"/>
      </w:r>
      <w:r w:rsidRPr="004946F6">
        <w:rPr>
          <w:noProof/>
        </w:rPr>
        <w:t>(Mather, Clewett, Sakaki, &amp; Harley, 2017; Polich, 2007)</w:t>
      </w:r>
      <w:r w:rsidRPr="004946F6">
        <w:fldChar w:fldCharType="end"/>
      </w:r>
      <w:r w:rsidRPr="004946F6">
        <w:t xml:space="preserve">. </w:t>
      </w:r>
      <w:r w:rsidR="00517E15" w:rsidRPr="004946F6">
        <w:t xml:space="preserve">To decide which aspect of the emotional oddball effect is specific to emotional oddballs, compared to neutral ones, we refer to </w:t>
      </w:r>
      <w:r w:rsidR="00517E15" w:rsidRPr="004946F6">
        <w:rPr>
          <w:lang w:bidi="he-IL"/>
        </w:rPr>
        <w:t xml:space="preserve">a set of empirical investigations of the emotional oddball, unique in that the same procedures were repeated across two laboratories in three different studies </w:t>
      </w:r>
      <w:r w:rsidR="00517E15" w:rsidRPr="004946F6">
        <w:fldChar w:fldCharType="begin" w:fldLock="1"/>
      </w:r>
      <w:r w:rsidR="008C25E5" w:rsidRPr="004946F6">
        <w:instrText>ADDIN CSL_CITATION { "citationItems" : [ { "id" : "ITEM-1", "itemData" : { "DOI" : "10.1523/JNEUROSCI.0228-05.2005", "ISSN" : "0270-6474", "PMID" : "16000624", "abstract" : "We used a free-recall paradigm to establish a behavioral index of the retrograde and anterograde interference of emotion with episodic memory encoding. In two experiments involving 78 subjects, we show that negatively valenced items elicit retrograde amnesia, whereas positively valenced items elicit retrograde hypermnesia. These data indicate item valence is critical in determining retrograde amnesia and retrograde hypermnesia. In contrast, we show that item arousal induces an anterograde amnesic effect, consistent with the idea that a valence-evoked arousal mechanism compromises anterograde episodic encoding. Randomized double-blind administration of the beta-adrenoceptor antagonist propranolol compared with the selective norepinephrine (NE) reuptake-inhibitor reboxetine, and placebo, demonstrated that the magnitude of this emotional amnesia and hypermnesia can be upregulated and downregulated as a function of emotional arousal and central NE signaling. We conclude that a differential processing of emotional arousal and valence influences how the brain remembers and forgets.", "author" : [ { "dropping-particle" : "", "family" : "Hurlemann", "given" : "Ren\u00e9.", "non-dropping-particle" : "", "parse-names" : false, "suffix" : "" }, { "dropping-particle" : "", "family" : "Hawellek", "given" : "Barbara", "non-dropping-particle" : "", "parse-names" : false, "suffix" : "" }, { "dropping-particle" : "", "family" : "Matusch", "given" : "Andreas", "non-dropping-particle" : "", "parse-names" : false, "suffix" : "" }, { "dropping-particle" : "", "family" : "Kolsch", "given" : "Heike", "non-dropping-particle" : "", "parse-names" : false, "suffix" : "" }, { "dropping-particle" : "", "family" : "Wollersen", "given" : "Heike", "non-dropping-particle" : "", "parse-names" : false, "suffix" : "" }, { "dropping-particle" : "", "family" : "Madea", "given" : "Burkhard", "non-dropping-particle" : "", "parse-names" : false, "suffix" : "" }, { "dropping-particle" : "", "family" : "Vogeley", "given" : "Kai", "non-dropping-particle" : "", "parse-names" : false, "suffix" : "" }, { "dropping-particle" : "", "family" : "Maier", "given" : "Wolfgang", "non-dropping-particle" : "", "parse-names" : false, "suffix" : "" }, { "dropping-particle" : "", "family" : "Dolan", "given" : "Raymond J", "non-dropping-particle" : "", "parse-names" : false, "suffix" : "" } ], "container-title" : "Journal of Neuroscience", "id" : "ITEM-1", "issue" : "27", "issued" : { "date-parts" : [ [ "2005", "7", "6" ] ] }, "page" : "6343-6349", "title" : "Noradrenergic Modulation of Emotion-Induced Forgetting and Remembering", "type" : "article-journal", "volume" : "25" }, "uris" : [ "http://www.mendeley.com/documents/?uuid=28c3c055-0ac7-35c5-9d6d-f18498f7f2a3" ] }, { "id" : "ITEM-2", "itemData" : { "DOI" : "10.1016/j.neuropsychologia.2006.08.027", "ISBN" : "0028-3932 (Print)\\r0028-3932 (Linking)", "ISSN" : "00283932", "PMID" : "17027866", "abstract" : "When presented in a neutral context, emotional items interfere with episodic encoding of temporally contiguous non-emotional items, resulting in dissociable valence-dependent retrograde and arousal-dependent anterograde modulatory effects. By studying two rare patients with congenital lipoid proteinosis (Urbach-Wiethe) and a focal disease emphasis on the basolateral amygdala (BLA), we demonstrate that this bidirectional modification of episodic encoding by emotion depends on the integrity of the amygdala, as both retrograde and anterograde modulatory effects are absent. Our findings implicate the amygdala in a neural circuitry that orchestrates rapid retrograde and anterograde regulation of episodic memory access upon criteria of behavioral significance. \u00a9 2006 Elsevier Ltd. All rights reserved.", "author" : [ { "dropping-particle" : "", "family" : "Hurlemann", "given" : "Ren\u00e9", "non-dropping-particle" : "", "parse-names" : false, "suffix" : "" }, { "dropping-particle" : "", "family" : "Wagner", "given" : "Michael", "non-dropping-particle" : "", "parse-names" : false, "suffix" : "" }, { "dropping-particle" : "", "family" : "Hawellek", "given" : "Barbara", "non-dropping-particle" : "", "parse-names" : false, "suffix" : "" }, { "dropping-particle" : "", "family" : "Reich", "given" : "Harald", "non-dropping-particle" : "", "parse-names" : false, "suffix" : "" }, { "dropping-particle" : "", "family" : "Pieperhoff", "given" : "Peter", "non-dropping-particle" : "", "parse-names" : false, "suffix" : "" }, { "dropping-particle" : "", "family" : "Amunts", "given" : "Katrin", "non-dropping-particle" : "", "parse-names" : false, "suffix" : "" }, { "dropping-particle" : "", "family" : "Oros-Peusquens", "given" : "Ana Maria", "non-dropping-particle" : "", "parse-names" : false, "suffix" : "" }, { "dropping-particle" : "", "family" : "Shah", "given" : "Nadim J.", "non-dropping-particle" : "", "parse-names" : false, "suffix" : "" }, { "dropping-particle" : "", "family" : "Maier", "given" : "Wolfgang", "non-dropping-particle" : "", "parse-names" : false, "suffix" : "" }, { "dropping-particle" : "", "family" : "Dolan", "given" : "Raymond J.", "non-dropping-particle" : "", "parse-names" : false, "suffix" : "" } ], "container-title" : "Neuropsychologia", "id" : "ITEM-2", "issue" : "5", "issued" : { "date-parts" : [ [ "2007" ] ] }, "page" : "877-884", "title" : "Amygdala control of emotion-induced forgetting and remembering: Evidence from Urbach-Wiethe disease", "type" : "article-journal", "volume" : "45" }, "uris" : [ "http://www.mendeley.com/documents/?uuid=89c23835-0d87-485c-8f22-75b30c8eb6b8" ] }, { "id" : "ITEM-3", "itemData" : { "DOI" : "10.1037/a0017281.Reconciling", "author" : [ { "dropping-particle" : "", "family" : "Mather", "given" : "Mara", "non-dropping-particle" : "", "parse-names" : false, "suffix" : "" }, { "dropping-particle" : "", "family" : "Knight", "given" : "Marisa", "non-dropping-particle" : "", "parse-names" : false, "suffix" : "" } ], "container-title" : "Emotion", "id" : "ITEM-3", "issue" : "6", "issued" : { "date-parts" : [ [ "2009" ] ] }, "page" : "763-781", "title" : "Reconciling findings of emotion-induced memory enhancement and impairment of preceding items", "type" : "article-journal", "volume" : "9" }, "uris" : [ "http://www.mendeley.com/documents/?uuid=e685f4d7-d96a-4500-962b-d457ebbe985d" ] } ], "mendeley" : { "formattedCitation" : "(Hurlemann et al., 2005, 2007; Mather &amp; Knight, 2009)", "plainTextFormattedCitation" : "(Hurlemann et al., 2005, 2007; Mather &amp; Knight, 2009)", "previouslyFormattedCitation" : "(Hurlemann et al., 2005, 2007; Mather &amp; Knight, 2009)" }, "properties" : { "noteIndex" : 0 }, "schema" : "https://github.com/citation-style-language/schema/raw/master/csl-citation.json" }</w:instrText>
      </w:r>
      <w:r w:rsidR="00517E15" w:rsidRPr="004946F6">
        <w:fldChar w:fldCharType="separate"/>
      </w:r>
      <w:r w:rsidR="00517E15" w:rsidRPr="004946F6">
        <w:rPr>
          <w:noProof/>
        </w:rPr>
        <w:t>(Hurlemann et al., 2005, 2007; Mather &amp; Knight, 2009)</w:t>
      </w:r>
      <w:r w:rsidR="00517E15" w:rsidRPr="004946F6">
        <w:fldChar w:fldCharType="end"/>
      </w:r>
      <w:r w:rsidR="00517E15" w:rsidRPr="004946F6">
        <w:t xml:space="preserve">. </w:t>
      </w:r>
      <w:r w:rsidR="00517E15" w:rsidRPr="004946F6">
        <w:rPr>
          <w:lang w:bidi="he-IL"/>
        </w:rPr>
        <w:t>P</w:t>
      </w:r>
      <w:r w:rsidR="00517E15" w:rsidRPr="004946F6">
        <w:rPr>
          <w:rFonts w:eastAsia="Times New Roman"/>
        </w:rPr>
        <w:t>articipants in these studies encoded 9 pictures in each list: 8 pictures of everyday objects, and a single emotional or neutral oddball picture in the middle of the list,</w:t>
      </w:r>
      <w:r w:rsidR="00517E15" w:rsidRPr="004946F6">
        <w:rPr>
          <w:lang w:bidi="he-IL"/>
        </w:rPr>
        <w:t xml:space="preserve"> depicting people in emotional or neutral scenes. A free recall test was administered after a short distractor task. The key findings </w:t>
      </w:r>
      <w:r w:rsidR="001B202A">
        <w:rPr>
          <w:lang w:bidi="he-IL"/>
        </w:rPr>
        <w:t xml:space="preserve">of these experiments </w:t>
      </w:r>
      <w:r w:rsidR="00517E15" w:rsidRPr="004946F6">
        <w:rPr>
          <w:lang w:bidi="he-IL"/>
        </w:rPr>
        <w:t xml:space="preserve">were superior memory for oddballs, both emotional and neutral; and an impairment in memory for the items presented </w:t>
      </w:r>
      <w:r w:rsidR="001B202A">
        <w:rPr>
          <w:lang w:bidi="he-IL"/>
        </w:rPr>
        <w:t>near</w:t>
      </w:r>
      <w:r w:rsidR="00517E15" w:rsidRPr="004946F6">
        <w:rPr>
          <w:lang w:bidi="he-IL"/>
        </w:rPr>
        <w:t xml:space="preserve"> the emotional oddball, compared to items presented </w:t>
      </w:r>
      <w:r w:rsidR="001B202A">
        <w:rPr>
          <w:lang w:bidi="he-IL"/>
        </w:rPr>
        <w:t>near</w:t>
      </w:r>
      <w:r w:rsidR="00517E15" w:rsidRPr="004946F6">
        <w:rPr>
          <w:lang w:bidi="he-IL"/>
        </w:rPr>
        <w:t xml:space="preserve"> the neutral oddball</w:t>
      </w:r>
      <w:r w:rsidR="00517E15" w:rsidRPr="004946F6">
        <w:t xml:space="preserve"> (</w:t>
      </w:r>
      <w:r w:rsidR="004257F0" w:rsidRPr="004946F6">
        <w:fldChar w:fldCharType="begin"/>
      </w:r>
      <w:r w:rsidR="004257F0" w:rsidRPr="004946F6">
        <w:instrText xml:space="preserve"> REF Figure9 \h </w:instrText>
      </w:r>
      <w:r w:rsidR="008523C1" w:rsidRPr="004946F6">
        <w:instrText xml:space="preserve"> \* MERGEFORMAT </w:instrText>
      </w:r>
      <w:r w:rsidR="004257F0" w:rsidRPr="004946F6">
        <w:fldChar w:fldCharType="separate"/>
      </w:r>
      <w:r w:rsidR="004257F0" w:rsidRPr="004946F6">
        <w:rPr>
          <w:b/>
          <w:bCs/>
          <w:i/>
          <w:iCs/>
          <w:lang w:bidi="he-IL"/>
        </w:rPr>
        <w:t>FIGURE 9</w:t>
      </w:r>
      <w:r w:rsidR="004257F0" w:rsidRPr="004946F6">
        <w:fldChar w:fldCharType="end"/>
      </w:r>
      <w:r w:rsidR="00517E15" w:rsidRPr="004946F6">
        <w:t>).</w:t>
      </w:r>
    </w:p>
    <w:p w14:paraId="19DE8028" w14:textId="7AB5BF42" w:rsidR="0033216D" w:rsidRPr="004946F6" w:rsidRDefault="008F3386">
      <w:pPr>
        <w:spacing w:line="480" w:lineRule="auto"/>
        <w:jc w:val="both"/>
        <w:rPr>
          <w:lang w:bidi="he-IL"/>
        </w:rPr>
      </w:pPr>
      <w:r w:rsidRPr="004946F6">
        <w:t xml:space="preserve">We have </w:t>
      </w:r>
      <w:r w:rsidR="004257F0" w:rsidRPr="004946F6">
        <w:t xml:space="preserve">discussed the </w:t>
      </w:r>
      <w:r w:rsidRPr="004946F6">
        <w:t xml:space="preserve">ways in which oddballs in eCMR are different from standards. </w:t>
      </w:r>
      <w:r w:rsidR="00F70E46">
        <w:t>H</w:t>
      </w:r>
      <w:r w:rsidRPr="004946F6">
        <w:t xml:space="preserve">aving a different source, </w:t>
      </w:r>
      <w:r w:rsidR="00F70549">
        <w:t xml:space="preserve">being less related, or more attended, </w:t>
      </w:r>
      <w:r w:rsidR="00F70549" w:rsidRPr="004946F6">
        <w:t>influence memory for the oddball itself</w:t>
      </w:r>
      <w:r w:rsidR="00F70E46">
        <w:t xml:space="preserve">; but </w:t>
      </w:r>
      <w:r w:rsidRPr="004946F6">
        <w:t>the disruption to the temporal context occasioned by source context switches</w:t>
      </w:r>
      <w:r w:rsidR="00F70E46">
        <w:t xml:space="preserve"> </w:t>
      </w:r>
      <w:r w:rsidR="00F70E46" w:rsidRPr="004946F6">
        <w:t xml:space="preserve">is </w:t>
      </w:r>
      <w:r w:rsidR="00F70E46">
        <w:t xml:space="preserve">also </w:t>
      </w:r>
      <w:r w:rsidR="00F70E46" w:rsidRPr="004946F6">
        <w:t>relevant to memory for nearby positions</w:t>
      </w:r>
      <w:r w:rsidRPr="004946F6">
        <w:t xml:space="preserve">. As discussed in section 1, CMR assumed that switching between source contexts disrupts the temporal context, making it more difficult to retrieve items that were presented </w:t>
      </w:r>
      <w:r w:rsidR="00F70E46">
        <w:t>close</w:t>
      </w:r>
      <w:r w:rsidRPr="004946F6">
        <w:t xml:space="preserve"> in time</w:t>
      </w:r>
      <w:r w:rsidR="00F70E46">
        <w:t>,</w:t>
      </w:r>
      <w:r w:rsidRPr="004946F6">
        <w:t xml:space="preserve"> but have a different source context. This assumption was retained in eCMR, but so far we have assumed that </w:t>
      </w:r>
      <w:r w:rsidR="00F70E46">
        <w:t xml:space="preserve">the degree of </w:t>
      </w:r>
      <w:r w:rsidR="00F70E46" w:rsidRPr="004946F6">
        <w:t>disruption</w:t>
      </w:r>
      <w:r w:rsidR="00F70E46">
        <w:t>,</w:t>
      </w:r>
      <w:r w:rsidR="00F70E46" w:rsidRPr="004946F6">
        <w:t xml:space="preserve"> controlled by parameter </w:t>
      </w:r>
      <m:oMath>
        <m:r>
          <w:rPr>
            <w:rFonts w:ascii="Cambria Math" w:hAnsi="Cambria Math"/>
          </w:rPr>
          <m:t>d</m:t>
        </m:r>
      </m:oMath>
      <w:r w:rsidR="00F70E46">
        <w:t xml:space="preserve">, </w:t>
      </w:r>
      <w:r w:rsidRPr="004946F6">
        <w:t xml:space="preserve">was </w:t>
      </w:r>
      <w:r w:rsidR="00224A8A" w:rsidRPr="004946F6">
        <w:t>not strong</w:t>
      </w:r>
      <w:r w:rsidRPr="004946F6">
        <w:t xml:space="preserve">. Simulation </w:t>
      </w:r>
      <w:r w:rsidR="001E6688" w:rsidRPr="004946F6">
        <w:t>4AD</w:t>
      </w:r>
      <w:r w:rsidRPr="004946F6">
        <w:t xml:space="preserve"> considers a more pronounced disruption</w:t>
      </w:r>
      <w:r w:rsidR="00470B9A" w:rsidRPr="004946F6">
        <w:t xml:space="preserve"> by increasing </w:t>
      </w:r>
      <m:oMath>
        <m:r>
          <w:rPr>
            <w:rFonts w:ascii="Cambria Math" w:hAnsi="Cambria Math"/>
          </w:rPr>
          <m:t>d</m:t>
        </m:r>
      </m:oMath>
      <w:r w:rsidRPr="004946F6">
        <w:t xml:space="preserve">. That temporal context disruption plays a larger role in emotional oddball lists compared to mixed lists is consistent with the intuition that a single oddball is more surprising to participants, and therefore results in more unique encoding operations that resemble a task-switch, compared to alternations that occur throughout the entire list, </w:t>
      </w:r>
      <w:r w:rsidR="00F70E46">
        <w:t xml:space="preserve">such as </w:t>
      </w:r>
      <w:r w:rsidRPr="004946F6">
        <w:t xml:space="preserve">when half the list items are emotional and half are neutral. </w:t>
      </w:r>
      <w:r w:rsidR="00F70E46">
        <w:t xml:space="preserve">Note that disruptions to the </w:t>
      </w:r>
      <w:r w:rsidR="0033216D" w:rsidRPr="004946F6">
        <w:rPr>
          <w:lang w:bidi="he-IL"/>
        </w:rPr>
        <w:t xml:space="preserve">temporal context around an emotional oddball do not </w:t>
      </w:r>
      <w:r w:rsidR="00F70E46">
        <w:rPr>
          <w:lang w:bidi="he-IL"/>
        </w:rPr>
        <w:t xml:space="preserve">impinge on </w:t>
      </w:r>
      <w:r w:rsidR="0033216D" w:rsidRPr="004946F6">
        <w:rPr>
          <w:lang w:bidi="he-IL"/>
        </w:rPr>
        <w:t>the source context. Thus</w:t>
      </w:r>
      <w:r w:rsidR="00F70E46">
        <w:rPr>
          <w:lang w:bidi="he-IL"/>
        </w:rPr>
        <w:t>,</w:t>
      </w:r>
      <w:r w:rsidR="0033216D" w:rsidRPr="004946F6">
        <w:rPr>
          <w:lang w:bidi="he-IL"/>
        </w:rPr>
        <w:t xml:space="preserve"> the emotional repercussions of viewing a </w:t>
      </w:r>
      <w:r w:rsidR="00F70E46">
        <w:rPr>
          <w:lang w:bidi="he-IL"/>
        </w:rPr>
        <w:t>‘sun-tanning’</w:t>
      </w:r>
      <w:r w:rsidR="0033216D" w:rsidRPr="004946F6">
        <w:rPr>
          <w:lang w:bidi="he-IL"/>
        </w:rPr>
        <w:t xml:space="preserve"> model continue to colour the emotional context </w:t>
      </w:r>
      <w:r w:rsidR="00F70E46">
        <w:rPr>
          <w:lang w:bidi="he-IL"/>
        </w:rPr>
        <w:t xml:space="preserve">during the encoding of </w:t>
      </w:r>
      <w:r w:rsidR="0033216D" w:rsidRPr="004946F6">
        <w:rPr>
          <w:lang w:bidi="he-IL"/>
        </w:rPr>
        <w:t xml:space="preserve">items that follow the oddball. </w:t>
      </w:r>
    </w:p>
    <w:p w14:paraId="47B59E50" w14:textId="26472A43" w:rsidR="0087641C" w:rsidRPr="004946F6" w:rsidRDefault="007D608D">
      <w:pPr>
        <w:spacing w:line="480" w:lineRule="auto"/>
        <w:jc w:val="both"/>
        <w:rPr>
          <w:lang w:bidi="he-IL"/>
        </w:rPr>
      </w:pPr>
      <w:r w:rsidRPr="004946F6">
        <w:rPr>
          <w:lang w:bidi="he-IL"/>
        </w:rPr>
        <w:t xml:space="preserve">The comparison between Simulation </w:t>
      </w:r>
      <w:r w:rsidR="001E6688" w:rsidRPr="004946F6">
        <w:rPr>
          <w:lang w:bidi="he-IL"/>
        </w:rPr>
        <w:t>4A</w:t>
      </w:r>
      <w:r w:rsidRPr="004946F6">
        <w:rPr>
          <w:lang w:bidi="he-IL"/>
        </w:rPr>
        <w:t xml:space="preserve"> and </w:t>
      </w:r>
      <w:r w:rsidR="001E6688" w:rsidRPr="004946F6">
        <w:rPr>
          <w:lang w:bidi="he-IL"/>
        </w:rPr>
        <w:t>4AD</w:t>
      </w:r>
      <w:r w:rsidRPr="004946F6">
        <w:rPr>
          <w:lang w:bidi="he-IL"/>
        </w:rPr>
        <w:t xml:space="preserve"> </w:t>
      </w:r>
      <w:r w:rsidR="008F3386" w:rsidRPr="004946F6">
        <w:rPr>
          <w:lang w:bidi="he-IL"/>
        </w:rPr>
        <w:t xml:space="preserve">will help </w:t>
      </w:r>
      <w:r w:rsidRPr="004946F6">
        <w:rPr>
          <w:lang w:bidi="he-IL"/>
        </w:rPr>
        <w:t>clarif</w:t>
      </w:r>
      <w:r w:rsidR="008F3386" w:rsidRPr="004946F6">
        <w:rPr>
          <w:lang w:bidi="he-IL"/>
        </w:rPr>
        <w:t>y</w:t>
      </w:r>
      <w:r w:rsidR="00A22027" w:rsidRPr="004946F6">
        <w:rPr>
          <w:lang w:bidi="he-IL"/>
        </w:rPr>
        <w:t xml:space="preserve"> the predictions of eCMR for a </w:t>
      </w:r>
      <w:r w:rsidRPr="004946F6">
        <w:rPr>
          <w:lang w:bidi="he-IL"/>
        </w:rPr>
        <w:t xml:space="preserve">neutral and an emotional oddball that are equally attended, but where </w:t>
      </w:r>
      <w:r w:rsidR="005C2A4E" w:rsidRPr="004946F6">
        <w:rPr>
          <w:lang w:bidi="he-IL"/>
        </w:rPr>
        <w:t xml:space="preserve">the </w:t>
      </w:r>
      <w:r w:rsidR="008F3386" w:rsidRPr="004946F6">
        <w:rPr>
          <w:lang w:bidi="he-IL"/>
        </w:rPr>
        <w:t xml:space="preserve">emotional oddball </w:t>
      </w:r>
      <w:r w:rsidR="00524EF0">
        <w:rPr>
          <w:lang w:bidi="he-IL"/>
        </w:rPr>
        <w:t xml:space="preserve">(Simulation 4AD) </w:t>
      </w:r>
      <w:r w:rsidRPr="004946F6">
        <w:rPr>
          <w:lang w:bidi="he-IL"/>
        </w:rPr>
        <w:t>disrupt</w:t>
      </w:r>
      <w:r w:rsidR="008F3386" w:rsidRPr="004946F6">
        <w:rPr>
          <w:lang w:bidi="he-IL"/>
        </w:rPr>
        <w:t>s</w:t>
      </w:r>
      <w:r w:rsidRPr="004946F6">
        <w:rPr>
          <w:lang w:bidi="he-IL"/>
        </w:rPr>
        <w:t xml:space="preserve"> the temporal context </w:t>
      </w:r>
      <w:r w:rsidR="008F3386" w:rsidRPr="004946F6">
        <w:rPr>
          <w:lang w:bidi="he-IL"/>
        </w:rPr>
        <w:t xml:space="preserve">more than </w:t>
      </w:r>
      <w:r w:rsidR="0051472B" w:rsidRPr="004946F6">
        <w:rPr>
          <w:lang w:bidi="he-IL"/>
        </w:rPr>
        <w:t>the neutral oddball</w:t>
      </w:r>
      <w:r w:rsidR="00524EF0">
        <w:rPr>
          <w:lang w:bidi="he-IL"/>
        </w:rPr>
        <w:t xml:space="preserve"> (Simulation 4A)</w:t>
      </w:r>
      <w:r w:rsidR="00D57F32" w:rsidRPr="004946F6">
        <w:rPr>
          <w:lang w:bidi="he-IL"/>
        </w:rPr>
        <w:t xml:space="preserve">.  Memory for the </w:t>
      </w:r>
      <w:r w:rsidR="00524EF0">
        <w:rPr>
          <w:lang w:bidi="he-IL"/>
        </w:rPr>
        <w:t xml:space="preserve">‘emotional’ </w:t>
      </w:r>
      <w:r w:rsidR="00D57F32" w:rsidRPr="004946F6">
        <w:rPr>
          <w:lang w:bidi="he-IL"/>
        </w:rPr>
        <w:t xml:space="preserve">oddball resembled memory for the </w:t>
      </w:r>
      <w:r w:rsidR="00524EF0">
        <w:rPr>
          <w:lang w:bidi="he-IL"/>
        </w:rPr>
        <w:t xml:space="preserve">‘neutral’ </w:t>
      </w:r>
      <w:r w:rsidR="00D57F32" w:rsidRPr="004946F6">
        <w:rPr>
          <w:lang w:bidi="he-IL"/>
        </w:rPr>
        <w:t xml:space="preserve">oddball, but the </w:t>
      </w:r>
      <w:r w:rsidR="00524EF0">
        <w:rPr>
          <w:lang w:bidi="he-IL"/>
        </w:rPr>
        <w:t>former</w:t>
      </w:r>
      <w:r w:rsidR="00D57F32" w:rsidRPr="004946F6">
        <w:rPr>
          <w:lang w:bidi="he-IL"/>
        </w:rPr>
        <w:t xml:space="preserve"> caused a decrease in memory for nearby list items (</w:t>
      </w:r>
      <w:r w:rsidR="00D57F32" w:rsidRPr="004946F6">
        <w:rPr>
          <w:lang w:bidi="he-IL"/>
        </w:rPr>
        <w:fldChar w:fldCharType="begin"/>
      </w:r>
      <w:r w:rsidR="00D57F32" w:rsidRPr="004946F6">
        <w:rPr>
          <w:lang w:bidi="he-IL"/>
        </w:rPr>
        <w:instrText xml:space="preserve"> REF Figure8 \h </w:instrText>
      </w:r>
      <w:r w:rsidR="008523C1" w:rsidRPr="004946F6">
        <w:rPr>
          <w:lang w:bidi="he-IL"/>
        </w:rPr>
        <w:instrText xml:space="preserve"> \* MERGEFORMAT </w:instrText>
      </w:r>
      <w:r w:rsidR="00D57F32" w:rsidRPr="004946F6">
        <w:rPr>
          <w:lang w:bidi="he-IL"/>
        </w:rPr>
      </w:r>
      <w:r w:rsidR="00D57F32" w:rsidRPr="004946F6">
        <w:rPr>
          <w:lang w:bidi="he-IL"/>
        </w:rPr>
        <w:fldChar w:fldCharType="separate"/>
      </w:r>
      <w:r w:rsidR="00D57F32" w:rsidRPr="004946F6">
        <w:rPr>
          <w:b/>
          <w:bCs/>
          <w:i/>
          <w:iCs/>
          <w:lang w:bidi="he-IL"/>
        </w:rPr>
        <w:t>FIGURE 8</w:t>
      </w:r>
      <w:r w:rsidR="00D57F32" w:rsidRPr="004946F6">
        <w:rPr>
          <w:lang w:bidi="he-IL"/>
        </w:rPr>
        <w:fldChar w:fldCharType="end"/>
      </w:r>
      <w:r w:rsidR="00D57F32" w:rsidRPr="004946F6">
        <w:rPr>
          <w:lang w:bidi="he-IL"/>
        </w:rPr>
        <w:t>). This pair of simulations therefore captured the empirical findings (</w:t>
      </w:r>
      <w:r w:rsidR="00D57F32" w:rsidRPr="004946F6">
        <w:fldChar w:fldCharType="begin"/>
      </w:r>
      <w:r w:rsidR="00D57F32" w:rsidRPr="004946F6">
        <w:instrText xml:space="preserve"> REF Figure9 \h </w:instrText>
      </w:r>
      <w:r w:rsidR="008523C1" w:rsidRPr="004946F6">
        <w:instrText xml:space="preserve"> \* MERGEFORMAT </w:instrText>
      </w:r>
      <w:r w:rsidR="00D57F32" w:rsidRPr="004946F6">
        <w:fldChar w:fldCharType="separate"/>
      </w:r>
      <w:r w:rsidR="00D57F32" w:rsidRPr="004946F6">
        <w:rPr>
          <w:b/>
          <w:bCs/>
          <w:i/>
          <w:iCs/>
          <w:lang w:bidi="he-IL"/>
        </w:rPr>
        <w:t>FIGURE 9</w:t>
      </w:r>
      <w:r w:rsidR="00D57F32" w:rsidRPr="004946F6">
        <w:fldChar w:fldCharType="end"/>
      </w:r>
      <w:r w:rsidR="00D57F32" w:rsidRPr="004946F6">
        <w:t xml:space="preserve">), suggesting </w:t>
      </w:r>
      <w:r w:rsidR="0087641C" w:rsidRPr="004946F6">
        <w:t xml:space="preserve">that the </w:t>
      </w:r>
      <w:r w:rsidR="00D57F32" w:rsidRPr="004946F6">
        <w:t xml:space="preserve">empirical </w:t>
      </w:r>
      <w:r w:rsidR="0087641C" w:rsidRPr="004946F6">
        <w:t xml:space="preserve">difference between emotional and neutral oddballs </w:t>
      </w:r>
      <w:r w:rsidR="00D57F32" w:rsidRPr="004946F6">
        <w:fldChar w:fldCharType="begin" w:fldLock="1"/>
      </w:r>
      <w:r w:rsidR="008C25E5" w:rsidRPr="004946F6">
        <w:instrText>ADDIN CSL_CITATION { "citationItems" : [ { "id" : "ITEM-1", "itemData" : { "DOI" : "10.1523/JNEUROSCI.0228-05.2005", "ISSN" : "0270-6474", "PMID" : "16000624", "abstract" : "We used a free-recall paradigm to establish a behavioral index of the retrograde and anterograde interference of emotion with episodic memory encoding. In two experiments involving 78 subjects, we show that negatively valenced items elicit retrograde amnesia, whereas positively valenced items elicit retrograde hypermnesia. These data indicate item valence is critical in determining retrograde amnesia and retrograde hypermnesia. In contrast, we show that item arousal induces an anterograde amnesic effect, consistent with the idea that a valence-evoked arousal mechanism compromises anterograde episodic encoding. Randomized double-blind administration of the beta-adrenoceptor antagonist propranolol compared with the selective norepinephrine (NE) reuptake-inhibitor reboxetine, and placebo, demonstrated that the magnitude of this emotional amnesia and hypermnesia can be upregulated and downregulated as a function of emotional arousal and central NE signaling. We conclude that a differential processing of emotional arousal and valence influences how the brain remembers and forgets.", "author" : [ { "dropping-particle" : "", "family" : "Hurlemann", "given" : "Ren\u00e9.", "non-dropping-particle" : "", "parse-names" : false, "suffix" : "" }, { "dropping-particle" : "", "family" : "Hawellek", "given" : "Barbara", "non-dropping-particle" : "", "parse-names" : false, "suffix" : "" }, { "dropping-particle" : "", "family" : "Matusch", "given" : "Andreas", "non-dropping-particle" : "", "parse-names" : false, "suffix" : "" }, { "dropping-particle" : "", "family" : "Kolsch", "given" : "Heike", "non-dropping-particle" : "", "parse-names" : false, "suffix" : "" }, { "dropping-particle" : "", "family" : "Wollersen", "given" : "Heike", "non-dropping-particle" : "", "parse-names" : false, "suffix" : "" }, { "dropping-particle" : "", "family" : "Madea", "given" : "Burkhard", "non-dropping-particle" : "", "parse-names" : false, "suffix" : "" }, { "dropping-particle" : "", "family" : "Vogeley", "given" : "Kai", "non-dropping-particle" : "", "parse-names" : false, "suffix" : "" }, { "dropping-particle" : "", "family" : "Maier", "given" : "Wolfgang", "non-dropping-particle" : "", "parse-names" : false, "suffix" : "" }, { "dropping-particle" : "", "family" : "Dolan", "given" : "Raymond J", "non-dropping-particle" : "", "parse-names" : false, "suffix" : "" } ], "container-title" : "Journal of Neuroscience", "id" : "ITEM-1", "issue" : "27", "issued" : { "date-parts" : [ [ "2005", "7", "6" ] ] }, "page" : "6343-6349", "title" : "Noradrenergic Modulation of Emotion-Induced Forgetting and Remembering", "type" : "article-journal", "volume" : "25" }, "uris" : [ "http://www.mendeley.com/documents/?uuid=28c3c055-0ac7-35c5-9d6d-f18498f7f2a3" ] }, { "id" : "ITEM-2", "itemData" : { "DOI" : "10.1016/j.neuropsychologia.2006.08.027", "ISBN" : "0028-3932 (Print)\\r0028-3932 (Linking)", "ISSN" : "00283932", "PMID" : "17027866", "abstract" : "When presented in a neutral context, emotional items interfere with episodic encoding of temporally contiguous non-emotional items, resulting in dissociable valence-dependent retrograde and arousal-dependent anterograde modulatory effects. By studying two rare patients with congenital lipoid proteinosis (Urbach-Wiethe) and a focal disease emphasis on the basolateral amygdala (BLA), we demonstrate that this bidirectional modification of episodic encoding by emotion depends on the integrity of the amygdala, as both retrograde and anterograde modulatory effects are absent. Our findings implicate the amygdala in a neural circuitry that orchestrates rapid retrograde and anterograde regulation of episodic memory access upon criteria of behavioral significance. \u00a9 2006 Elsevier Ltd. All rights reserved.", "author" : [ { "dropping-particle" : "", "family" : "Hurlemann", "given" : "Ren\u00e9", "non-dropping-particle" : "", "parse-names" : false, "suffix" : "" }, { "dropping-particle" : "", "family" : "Wagner", "given" : "Michael", "non-dropping-particle" : "", "parse-names" : false, "suffix" : "" }, { "dropping-particle" : "", "family" : "Hawellek", "given" : "Barbara", "non-dropping-particle" : "", "parse-names" : false, "suffix" : "" }, { "dropping-particle" : "", "family" : "Reich", "given" : "Harald", "non-dropping-particle" : "", "parse-names" : false, "suffix" : "" }, { "dropping-particle" : "", "family" : "Pieperhoff", "given" : "Peter", "non-dropping-particle" : "", "parse-names" : false, "suffix" : "" }, { "dropping-particle" : "", "family" : "Amunts", "given" : "Katrin", "non-dropping-particle" : "", "parse-names" : false, "suffix" : "" }, { "dropping-particle" : "", "family" : "Oros-Peusquens", "given" : "Ana Maria", "non-dropping-particle" : "", "parse-names" : false, "suffix" : "" }, { "dropping-particle" : "", "family" : "Shah", "given" : "Nadim J.", "non-dropping-particle" : "", "parse-names" : false, "suffix" : "" }, { "dropping-particle" : "", "family" : "Maier", "given" : "Wolfgang", "non-dropping-particle" : "", "parse-names" : false, "suffix" : "" }, { "dropping-particle" : "", "family" : "Dolan", "given" : "Raymond J.", "non-dropping-particle" : "", "parse-names" : false, "suffix" : "" } ], "container-title" : "Neuropsychologia", "id" : "ITEM-2", "issue" : "5", "issued" : { "date-parts" : [ [ "2007" ] ] }, "page" : "877-884", "title" : "Amygdala control of emotion-induced forgetting and remembering: Evidence from Urbach-Wiethe disease", "type" : "article-journal", "volume" : "45" }, "uris" : [ "http://www.mendeley.com/documents/?uuid=89c23835-0d87-485c-8f22-75b30c8eb6b8" ] }, { "id" : "ITEM-3", "itemData" : { "DOI" : "10.1037/a0017281.Reconciling", "author" : [ { "dropping-particle" : "", "family" : "Mather", "given" : "Mara", "non-dropping-particle" : "", "parse-names" : false, "suffix" : "" }, { "dropping-particle" : "", "family" : "Knight", "given" : "Marisa", "non-dropping-particle" : "", "parse-names" : false, "suffix" : "" } ], "container-title" : "Emotion", "id" : "ITEM-3", "issue" : "6", "issued" : { "date-parts" : [ [ "2009" ] ] }, "page" : "763-781", "title" : "Reconciling findings of emotion-induced memory enhancement and impairment of preceding items", "type" : "article-journal", "volume" : "9" }, "uris" : [ "http://www.mendeley.com/documents/?uuid=e685f4d7-d96a-4500-962b-d457ebbe985d" ] } ], "mendeley" : { "formattedCitation" : "(Hurlemann et al., 2005, 2007; Mather &amp; Knight, 2009)", "plainTextFormattedCitation" : "(Hurlemann et al., 2005, 2007; Mather &amp; Knight, 2009)", "previouslyFormattedCitation" : "(Hurlemann et al., 2005, 2007; Mather &amp; Knight, 2009)" }, "properties" : { "noteIndex" : 0 }, "schema" : "https://github.com/citation-style-language/schema/raw/master/csl-citation.json" }</w:instrText>
      </w:r>
      <w:r w:rsidR="00D57F32" w:rsidRPr="004946F6">
        <w:fldChar w:fldCharType="separate"/>
      </w:r>
      <w:r w:rsidR="00D57F32" w:rsidRPr="004946F6">
        <w:rPr>
          <w:noProof/>
        </w:rPr>
        <w:t>(Hurlemann et al., 2005, 2007; Mather &amp; Knight, 2009)</w:t>
      </w:r>
      <w:r w:rsidR="00D57F32" w:rsidRPr="004946F6">
        <w:fldChar w:fldCharType="end"/>
      </w:r>
      <w:r w:rsidR="0087641C" w:rsidRPr="004946F6">
        <w:t xml:space="preserve"> has to do with the degree of disruption to the temporal context when the source context switches</w:t>
      </w:r>
      <w:r w:rsidR="00D57F32" w:rsidRPr="004946F6">
        <w:t xml:space="preserve"> between emotional and neutral sources</w:t>
      </w:r>
      <w:r w:rsidR="0087641C" w:rsidRPr="004946F6">
        <w:t xml:space="preserve">. </w:t>
      </w:r>
    </w:p>
    <w:p w14:paraId="3EF2052F" w14:textId="473C1BFF" w:rsidR="00A22027" w:rsidRPr="004946F6" w:rsidRDefault="00B41ABB">
      <w:pPr>
        <w:spacing w:line="480" w:lineRule="auto"/>
        <w:jc w:val="both"/>
        <w:rPr>
          <w:lang w:bidi="he-IL"/>
        </w:rPr>
      </w:pPr>
      <w:r w:rsidRPr="004946F6">
        <w:rPr>
          <w:lang w:bidi="he-IL"/>
        </w:rPr>
        <w:t>T</w:t>
      </w:r>
      <w:r w:rsidR="005A1665" w:rsidRPr="004946F6">
        <w:rPr>
          <w:lang w:bidi="he-IL"/>
        </w:rPr>
        <w:t xml:space="preserve">he temporal organisation of simulated recall </w:t>
      </w:r>
      <w:r w:rsidRPr="004946F6">
        <w:rPr>
          <w:lang w:bidi="he-IL"/>
        </w:rPr>
        <w:t>suggested that</w:t>
      </w:r>
      <w:r w:rsidR="005A1665" w:rsidRPr="004946F6">
        <w:rPr>
          <w:lang w:bidi="he-IL"/>
        </w:rPr>
        <w:t xml:space="preserve"> neutral and emotional oddballs were recalled early</w:t>
      </w:r>
      <w:r w:rsidRPr="004946F6">
        <w:rPr>
          <w:lang w:bidi="he-IL"/>
        </w:rPr>
        <w:t xml:space="preserve">, in agreement with the predictions the model made for the list composition task, and with empirical data </w:t>
      </w:r>
      <w:r w:rsidRPr="004946F6">
        <w:rPr>
          <w:lang w:bidi="he-IL"/>
        </w:rPr>
        <w:fldChar w:fldCharType="begin" w:fldLock="1"/>
      </w:r>
      <w:r w:rsidR="008C25E5" w:rsidRPr="004946F6">
        <w:rPr>
          <w:lang w:bidi="he-IL"/>
        </w:rPr>
        <w:instrText>ADDIN CSL_CITATION { "citationItems" : [ { "id" : "ITEM-1", "itemData" : { "DOI" : "10.3389/fnhum.2014.00410", "PMID" : "25018721", "abstract" : "Evidence from neuropsychology and neuroimaging indicate that the pre-frontal cortex (PFC) plays an important role in human memory. Although frontal patients are able to form new memories, these memories appear qualitatively different from those of controls by lacking distinctiveness. Neuroimaging studies of memory indicate activation in the PFC under deep encoding conditions, and under conditions of semantic elaboration. Based on these results, we hypothesize that the PFC enhances memory by extracting differences and commonalities in the studied material. To test this hypothesis, we carried out an experimental investigation to test the relationship between the PFC-dependent factors and semantic factors associated with common and specific features of words. These experiments were performed using Free-Recall of word lists with healthy adults, exploiting the correlation between PFC function and fluid intelligence. As predicted, a correlation was found between fluid intelligence and the Von-Restorff effect (better memory for semantic isolates, e.g., isolate \"cat\" within category members of \"fruit\"). Moreover, memory for the semantic isolate was found to depend on the isolate's serial position. The isolate item tends to be recalled first, in comparison to non-isolates, suggesting that the process interacts with short term memory. These results are captured within a computational model of free recall, which includes a PFC mechanism that is sensitive to both commonality and distinctiveness, sustaining a trade-off between the two.", "author" : [ { "dropping-particle" : "", "family" : "Elhalal", "given" : "Anat", "non-dropping-particle" : "", "parse-names" : false, "suffix" : "" }, { "dropping-particle" : "", "family" : "Davelaar", "given" : "Eddy J", "non-dropping-particle" : "", "parse-names" : false, "suffix" : "" }, { "dropping-particle" : "", "family" : "Usher", "given" : "Marius", "non-dropping-particle" : "", "parse-names" : false, "suffix" : "" } ], "container-title" : "Frontiers in human neuroscience", "id" : "ITEM-1", "issued" : { "date-parts" : [ [ "2014" ] ] }, "page" : "410", "publisher" : "Frontiers Media SA", "title" : "The role of the frontal cortex in memory: an investigation of the Von Restorff effect.", "type" : "article-journal", "volume" : "8" }, "uris" : [ "http://www.mendeley.com/documents/?uuid=63d93d78-f99e-35a0-b811-049030ca426b" ] } ], "mendeley" : { "formattedCitation" : "(Elhalal, Davelaar, &amp; Usher, 2014)", "plainTextFormattedCitation" : "(Elhalal, Davelaar, &amp; Usher, 2014)", "previouslyFormattedCitation" : "(Elhalal, Davelaar, &amp; Usher, 2014)" }, "properties" : { "noteIndex" : 0 }, "schema" : "https://github.com/citation-style-language/schema/raw/master/csl-citation.json" }</w:instrText>
      </w:r>
      <w:r w:rsidRPr="004946F6">
        <w:rPr>
          <w:lang w:bidi="he-IL"/>
        </w:rPr>
        <w:fldChar w:fldCharType="separate"/>
      </w:r>
      <w:r w:rsidRPr="004946F6">
        <w:rPr>
          <w:noProof/>
          <w:lang w:bidi="he-IL"/>
        </w:rPr>
        <w:t>(Elhalal, Davelaar, &amp; Usher, 2014)</w:t>
      </w:r>
      <w:r w:rsidRPr="004946F6">
        <w:rPr>
          <w:lang w:bidi="he-IL"/>
        </w:rPr>
        <w:fldChar w:fldCharType="end"/>
      </w:r>
      <w:r w:rsidRPr="004946F6">
        <w:rPr>
          <w:lang w:bidi="he-IL"/>
        </w:rPr>
        <w:t>.</w:t>
      </w:r>
      <w:r w:rsidR="005A1665" w:rsidRPr="004946F6">
        <w:rPr>
          <w:lang w:bidi="he-IL"/>
        </w:rPr>
        <w:t xml:space="preserve"> In </w:t>
      </w:r>
      <w:r w:rsidR="00852F27" w:rsidRPr="004946F6">
        <w:rPr>
          <w:lang w:bidi="he-IL"/>
        </w:rPr>
        <w:t xml:space="preserve">the control lists of </w:t>
      </w:r>
      <w:r w:rsidR="005A1665" w:rsidRPr="004946F6">
        <w:rPr>
          <w:lang w:bidi="he-IL"/>
        </w:rPr>
        <w:t xml:space="preserve">Simulations </w:t>
      </w:r>
      <w:r w:rsidRPr="004946F6">
        <w:rPr>
          <w:lang w:bidi="he-IL"/>
        </w:rPr>
        <w:t>5</w:t>
      </w:r>
      <w:r w:rsidR="00D57F32" w:rsidRPr="004946F6">
        <w:rPr>
          <w:lang w:bidi="he-IL"/>
        </w:rPr>
        <w:t>A</w:t>
      </w:r>
      <w:r w:rsidR="00852F27" w:rsidRPr="004946F6">
        <w:rPr>
          <w:lang w:bidi="he-IL"/>
        </w:rPr>
        <w:t xml:space="preserve"> and </w:t>
      </w:r>
      <w:r w:rsidR="001E6688" w:rsidRPr="004946F6">
        <w:rPr>
          <w:lang w:bidi="he-IL"/>
        </w:rPr>
        <w:t>4AD</w:t>
      </w:r>
      <w:r w:rsidR="00852F27" w:rsidRPr="004946F6">
        <w:rPr>
          <w:lang w:bidi="he-IL"/>
        </w:rPr>
        <w:t xml:space="preserve"> </w:t>
      </w:r>
      <w:r w:rsidR="005A1665" w:rsidRPr="004946F6">
        <w:rPr>
          <w:lang w:bidi="he-IL"/>
        </w:rPr>
        <w:t xml:space="preserve">the </w:t>
      </w:r>
      <w:r w:rsidR="00852F27" w:rsidRPr="004946F6">
        <w:rPr>
          <w:lang w:bidi="he-IL"/>
        </w:rPr>
        <w:t>item in position 9 was recalled first around 5%</w:t>
      </w:r>
      <w:r w:rsidR="00D57F32" w:rsidRPr="004946F6">
        <w:rPr>
          <w:lang w:bidi="he-IL"/>
        </w:rPr>
        <w:t>-6%</w:t>
      </w:r>
      <w:r w:rsidR="00852F27" w:rsidRPr="004946F6">
        <w:rPr>
          <w:lang w:bidi="he-IL"/>
        </w:rPr>
        <w:t xml:space="preserve"> of the time. By contrast, the ‘neutral’ </w:t>
      </w:r>
      <w:r w:rsidR="005A1665" w:rsidRPr="004946F6">
        <w:rPr>
          <w:lang w:bidi="he-IL"/>
        </w:rPr>
        <w:t xml:space="preserve">oddball </w:t>
      </w:r>
      <w:r w:rsidR="00852F27" w:rsidRPr="004946F6">
        <w:rPr>
          <w:lang w:bidi="he-IL"/>
        </w:rPr>
        <w:t xml:space="preserve">in </w:t>
      </w:r>
      <w:r w:rsidR="001E6688" w:rsidRPr="004946F6">
        <w:rPr>
          <w:lang w:bidi="he-IL"/>
        </w:rPr>
        <w:t>4A</w:t>
      </w:r>
      <w:r w:rsidR="00852F27" w:rsidRPr="004946F6">
        <w:rPr>
          <w:lang w:bidi="he-IL"/>
        </w:rPr>
        <w:t xml:space="preserve"> was </w:t>
      </w:r>
      <w:r w:rsidR="005A1665" w:rsidRPr="004946F6">
        <w:rPr>
          <w:lang w:bidi="he-IL"/>
        </w:rPr>
        <w:t xml:space="preserve">recalled first </w:t>
      </w:r>
      <w:r w:rsidR="00D57F32" w:rsidRPr="004946F6">
        <w:rPr>
          <w:lang w:bidi="he-IL"/>
        </w:rPr>
        <w:t>21</w:t>
      </w:r>
      <w:r w:rsidR="005A1665" w:rsidRPr="004946F6">
        <w:rPr>
          <w:lang w:bidi="he-IL"/>
        </w:rPr>
        <w:t xml:space="preserve">% of the time, </w:t>
      </w:r>
      <w:r w:rsidR="00852F27" w:rsidRPr="004946F6">
        <w:rPr>
          <w:lang w:bidi="he-IL"/>
        </w:rPr>
        <w:t xml:space="preserve">and the ‘emotional’ oddball in 5E was recalled first </w:t>
      </w:r>
      <w:r w:rsidR="00D57F32" w:rsidRPr="004946F6">
        <w:rPr>
          <w:lang w:bidi="he-IL"/>
        </w:rPr>
        <w:t>53</w:t>
      </w:r>
      <w:r w:rsidR="00852F27" w:rsidRPr="004946F6">
        <w:rPr>
          <w:lang w:bidi="he-IL"/>
        </w:rPr>
        <w:t xml:space="preserve">% of the time. </w:t>
      </w:r>
      <w:r w:rsidR="004257F0" w:rsidRPr="004946F6">
        <w:rPr>
          <w:lang w:bidi="he-IL"/>
        </w:rPr>
        <w:t>Finally, we examined which items the model tends to recall after it recalls the oddball</w:t>
      </w:r>
      <w:r w:rsidR="0051472B" w:rsidRPr="004946F6">
        <w:rPr>
          <w:lang w:bidi="he-IL"/>
        </w:rPr>
        <w:t xml:space="preserve"> (</w:t>
      </w:r>
      <w:r w:rsidR="0051472B" w:rsidRPr="004946F6">
        <w:rPr>
          <w:lang w:bidi="he-IL"/>
        </w:rPr>
        <w:fldChar w:fldCharType="begin"/>
      </w:r>
      <w:r w:rsidR="0051472B" w:rsidRPr="004946F6">
        <w:rPr>
          <w:lang w:bidi="he-IL"/>
        </w:rPr>
        <w:instrText xml:space="preserve"> REF Figure8 \h  \* MERGEFORMAT </w:instrText>
      </w:r>
      <w:r w:rsidR="0051472B" w:rsidRPr="004946F6">
        <w:rPr>
          <w:lang w:bidi="he-IL"/>
        </w:rPr>
      </w:r>
      <w:r w:rsidR="0051472B" w:rsidRPr="004946F6">
        <w:rPr>
          <w:lang w:bidi="he-IL"/>
        </w:rPr>
        <w:fldChar w:fldCharType="separate"/>
      </w:r>
      <w:r w:rsidR="0051472B" w:rsidRPr="004946F6">
        <w:rPr>
          <w:b/>
          <w:bCs/>
          <w:i/>
          <w:iCs/>
          <w:lang w:bidi="he-IL"/>
        </w:rPr>
        <w:t>FIGURE 8</w:t>
      </w:r>
      <w:r w:rsidR="0051472B" w:rsidRPr="004946F6">
        <w:rPr>
          <w:lang w:bidi="he-IL"/>
        </w:rPr>
        <w:fldChar w:fldCharType="end"/>
      </w:r>
      <w:r w:rsidR="0051472B" w:rsidRPr="004946F6">
        <w:rPr>
          <w:lang w:bidi="he-IL"/>
        </w:rPr>
        <w:t>)</w:t>
      </w:r>
      <w:r w:rsidR="004257F0" w:rsidRPr="004946F6">
        <w:rPr>
          <w:lang w:bidi="he-IL"/>
        </w:rPr>
        <w:t>.</w:t>
      </w:r>
      <w:r w:rsidR="0051472B" w:rsidRPr="004946F6">
        <w:rPr>
          <w:lang w:bidi="he-IL"/>
        </w:rPr>
        <w:t xml:space="preserve"> </w:t>
      </w:r>
      <w:r w:rsidR="004257F0" w:rsidRPr="004946F6">
        <w:rPr>
          <w:lang w:bidi="he-IL"/>
        </w:rPr>
        <w:t xml:space="preserve">This analysis </w:t>
      </w:r>
      <w:r w:rsidR="00D57F32" w:rsidRPr="004946F6">
        <w:rPr>
          <w:lang w:bidi="he-IL"/>
        </w:rPr>
        <w:t>suggests that t</w:t>
      </w:r>
      <w:r w:rsidR="005A1665" w:rsidRPr="004946F6">
        <w:rPr>
          <w:lang w:bidi="he-IL"/>
        </w:rPr>
        <w:t>he disrupted temporal context</w:t>
      </w:r>
      <w:r w:rsidR="00852F27" w:rsidRPr="004946F6">
        <w:rPr>
          <w:lang w:bidi="he-IL"/>
        </w:rPr>
        <w:t xml:space="preserve"> around the emotional oddball decreased </w:t>
      </w:r>
      <w:r w:rsidR="00D57F32" w:rsidRPr="004946F6">
        <w:rPr>
          <w:lang w:bidi="he-IL"/>
        </w:rPr>
        <w:t xml:space="preserve">forward </w:t>
      </w:r>
      <w:r w:rsidR="00852F27" w:rsidRPr="004946F6">
        <w:rPr>
          <w:lang w:bidi="he-IL"/>
        </w:rPr>
        <w:t>transitions to nearby items</w:t>
      </w:r>
      <w:r w:rsidR="005A1665" w:rsidRPr="004946F6">
        <w:rPr>
          <w:lang w:bidi="he-IL"/>
        </w:rPr>
        <w:t xml:space="preserve">. </w:t>
      </w:r>
    </w:p>
    <w:p w14:paraId="776BD95A" w14:textId="0EE9EB3C" w:rsidR="005A1665" w:rsidRPr="004946F6" w:rsidRDefault="005A1665">
      <w:pPr>
        <w:spacing w:line="480" w:lineRule="auto"/>
        <w:jc w:val="both"/>
        <w:rPr>
          <w:lang w:bidi="he-IL"/>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766"/>
      </w:tblGrid>
      <w:tr w:rsidR="00AE0544" w:rsidRPr="004946F6" w14:paraId="53028951" w14:textId="77777777" w:rsidTr="001B202A">
        <w:tc>
          <w:tcPr>
            <w:tcW w:w="9766" w:type="dxa"/>
          </w:tcPr>
          <w:p w14:paraId="3D4D2148" w14:textId="132D1DA4" w:rsidR="00AE0544" w:rsidRPr="004946F6" w:rsidRDefault="001B202A" w:rsidP="00FA068B">
            <w:pPr>
              <w:spacing w:line="480" w:lineRule="auto"/>
              <w:jc w:val="both"/>
              <w:rPr>
                <w:lang w:bidi="he-IL"/>
              </w:rPr>
            </w:pPr>
            <w:r>
              <w:rPr>
                <w:noProof/>
                <w:lang w:eastAsia="en-GB" w:bidi="he-IL"/>
              </w:rPr>
              <w:t xml:space="preserve"> </w:t>
            </w:r>
            <w:r>
              <w:rPr>
                <w:noProof/>
                <w:lang w:eastAsia="en-GB" w:bidi="he-IL"/>
              </w:rPr>
              <w:drawing>
                <wp:inline distT="0" distB="0" distL="0" distR="0" wp14:anchorId="08E8604D" wp14:editId="1F9441DA">
                  <wp:extent cx="5943600" cy="3923030"/>
                  <wp:effectExtent l="0" t="0" r="19050" b="20320"/>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tc>
      </w:tr>
      <w:tr w:rsidR="00AE0544" w:rsidRPr="004946F6" w14:paraId="6E1782A3" w14:textId="77777777" w:rsidTr="00E54FAD">
        <w:tc>
          <w:tcPr>
            <w:tcW w:w="9766" w:type="dxa"/>
          </w:tcPr>
          <w:p w14:paraId="235AD12D" w14:textId="4B5A1861" w:rsidR="00AE0544" w:rsidRPr="004946F6" w:rsidRDefault="00AE0544">
            <w:pPr>
              <w:spacing w:line="480" w:lineRule="auto"/>
              <w:jc w:val="both"/>
              <w:rPr>
                <w:i/>
                <w:iCs/>
                <w:lang w:bidi="he-IL"/>
              </w:rPr>
            </w:pPr>
            <w:bookmarkStart w:id="14" w:name="Figure9"/>
            <w:r w:rsidRPr="004946F6">
              <w:rPr>
                <w:b/>
                <w:bCs/>
                <w:i/>
                <w:iCs/>
                <w:lang w:bidi="he-IL"/>
              </w:rPr>
              <w:t xml:space="preserve">FIGURE </w:t>
            </w:r>
            <w:r w:rsidR="004257F0" w:rsidRPr="004946F6">
              <w:rPr>
                <w:b/>
                <w:bCs/>
                <w:i/>
                <w:iCs/>
                <w:lang w:bidi="he-IL"/>
              </w:rPr>
              <w:t>9</w:t>
            </w:r>
            <w:bookmarkEnd w:id="14"/>
            <w:r w:rsidRPr="004946F6">
              <w:rPr>
                <w:b/>
                <w:bCs/>
                <w:i/>
                <w:iCs/>
                <w:lang w:bidi="he-IL"/>
              </w:rPr>
              <w:t xml:space="preserve">. Empirical and simulated results depicting memory for an emotional and neutral oddball and surrounding items. </w:t>
            </w:r>
            <w:r w:rsidRPr="004946F6">
              <w:rPr>
                <w:i/>
                <w:iCs/>
                <w:lang w:bidi="he-IL"/>
              </w:rPr>
              <w:t xml:space="preserve">The simulated data refers to the predictions of Simulation </w:t>
            </w:r>
            <w:r w:rsidR="001E6688" w:rsidRPr="004946F6">
              <w:rPr>
                <w:i/>
                <w:iCs/>
                <w:lang w:bidi="he-IL"/>
              </w:rPr>
              <w:t>4A</w:t>
            </w:r>
            <w:r w:rsidRPr="004946F6">
              <w:rPr>
                <w:i/>
                <w:iCs/>
                <w:lang w:bidi="he-IL"/>
              </w:rPr>
              <w:t xml:space="preserve"> (for the neutral oddball) and </w:t>
            </w:r>
            <w:r w:rsidR="001E6688" w:rsidRPr="004946F6">
              <w:rPr>
                <w:i/>
                <w:iCs/>
                <w:lang w:bidi="he-IL"/>
              </w:rPr>
              <w:t>4AD</w:t>
            </w:r>
            <w:r w:rsidRPr="004946F6">
              <w:rPr>
                <w:i/>
                <w:iCs/>
                <w:lang w:bidi="he-IL"/>
              </w:rPr>
              <w:t xml:space="preserve"> (for the emotional oddball). </w:t>
            </w:r>
          </w:p>
        </w:tc>
      </w:tr>
    </w:tbl>
    <w:p w14:paraId="310C2C62" w14:textId="77777777" w:rsidR="005A1665" w:rsidRPr="004946F6" w:rsidRDefault="005A1665" w:rsidP="005A1665">
      <w:pPr>
        <w:spacing w:line="480" w:lineRule="auto"/>
        <w:jc w:val="both"/>
        <w:rPr>
          <w:lang w:bidi="he-IL"/>
        </w:rPr>
      </w:pPr>
    </w:p>
    <w:p w14:paraId="613914BB" w14:textId="65D8C13D" w:rsidR="005A1665" w:rsidRPr="004946F6" w:rsidRDefault="00F0282F">
      <w:pPr>
        <w:spacing w:line="480" w:lineRule="auto"/>
        <w:jc w:val="both"/>
        <w:rPr>
          <w:b/>
          <w:bCs/>
          <w:i/>
          <w:iCs/>
        </w:rPr>
      </w:pPr>
      <w:r w:rsidRPr="004946F6">
        <w:rPr>
          <w:b/>
          <w:bCs/>
          <w:i/>
          <w:iCs/>
        </w:rPr>
        <w:t>4</w:t>
      </w:r>
      <w:r w:rsidR="005A1665" w:rsidRPr="004946F6">
        <w:rPr>
          <w:b/>
          <w:bCs/>
          <w:i/>
          <w:iCs/>
        </w:rPr>
        <w:t>.</w:t>
      </w:r>
      <w:r w:rsidR="00914380" w:rsidRPr="004946F6">
        <w:rPr>
          <w:b/>
          <w:bCs/>
          <w:i/>
          <w:iCs/>
        </w:rPr>
        <w:t>3</w:t>
      </w:r>
      <w:r w:rsidR="005A1665" w:rsidRPr="004946F6">
        <w:rPr>
          <w:b/>
          <w:bCs/>
          <w:i/>
          <w:iCs/>
        </w:rPr>
        <w:t xml:space="preserve"> Summary</w:t>
      </w:r>
    </w:p>
    <w:p w14:paraId="0220665F" w14:textId="2BAD1431" w:rsidR="0061296A" w:rsidRPr="004946F6" w:rsidRDefault="00901655">
      <w:pPr>
        <w:spacing w:line="480" w:lineRule="auto"/>
        <w:jc w:val="both"/>
        <w:rPr>
          <w:lang w:bidi="he-IL"/>
        </w:rPr>
      </w:pPr>
      <w:r w:rsidRPr="004946F6">
        <w:rPr>
          <w:lang w:bidi="he-IL"/>
        </w:rPr>
        <w:t xml:space="preserve">In contrast to perfectly mixed lists with an equal number of neutral and emotional stimuli, here we consider </w:t>
      </w:r>
      <w:r w:rsidR="0061296A" w:rsidRPr="004946F6">
        <w:rPr>
          <w:lang w:bidi="he-IL"/>
        </w:rPr>
        <w:t xml:space="preserve">lists </w:t>
      </w:r>
      <w:r w:rsidRPr="004946F6">
        <w:rPr>
          <w:lang w:bidi="he-IL"/>
        </w:rPr>
        <w:t>wh</w:t>
      </w:r>
      <w:r w:rsidR="0061296A" w:rsidRPr="004946F6">
        <w:rPr>
          <w:lang w:bidi="he-IL"/>
        </w:rPr>
        <w:t>ich include</w:t>
      </w:r>
      <w:r w:rsidRPr="004946F6">
        <w:rPr>
          <w:lang w:bidi="he-IL"/>
        </w:rPr>
        <w:t xml:space="preserve"> a single emotional “oddball” item. </w:t>
      </w:r>
      <w:r w:rsidR="004257F0" w:rsidRPr="004946F6">
        <w:rPr>
          <w:lang w:bidi="he-IL"/>
        </w:rPr>
        <w:t>It was important to consider t</w:t>
      </w:r>
      <w:r w:rsidR="0061296A" w:rsidRPr="004946F6">
        <w:rPr>
          <w:lang w:bidi="he-IL"/>
        </w:rPr>
        <w:t xml:space="preserve">he </w:t>
      </w:r>
      <w:r w:rsidR="004257F0" w:rsidRPr="004946F6">
        <w:rPr>
          <w:lang w:bidi="he-IL"/>
        </w:rPr>
        <w:t xml:space="preserve">emotional </w:t>
      </w:r>
      <w:r w:rsidR="0061296A" w:rsidRPr="004946F6">
        <w:rPr>
          <w:lang w:bidi="he-IL"/>
        </w:rPr>
        <w:t>oddball effect</w:t>
      </w:r>
      <w:r w:rsidR="004257F0" w:rsidRPr="004946F6">
        <w:rPr>
          <w:lang w:bidi="he-IL"/>
        </w:rPr>
        <w:t>,</w:t>
      </w:r>
      <w:r w:rsidR="0061296A" w:rsidRPr="004946F6">
        <w:rPr>
          <w:lang w:bidi="he-IL"/>
        </w:rPr>
        <w:t xml:space="preserve"> because it appeared potentially challenging to eCMR. </w:t>
      </w:r>
      <w:r w:rsidR="0051472B" w:rsidRPr="004946F6">
        <w:rPr>
          <w:lang w:bidi="he-IL"/>
        </w:rPr>
        <w:t>Indeed, we saw that with the parameter values used to simulate the list</w:t>
      </w:r>
      <w:r w:rsidR="00591C10">
        <w:rPr>
          <w:lang w:bidi="he-IL"/>
        </w:rPr>
        <w:t>-</w:t>
      </w:r>
      <w:r w:rsidR="0051472B" w:rsidRPr="004946F6">
        <w:rPr>
          <w:lang w:bidi="he-IL"/>
        </w:rPr>
        <w:t xml:space="preserve">composition effect we did not obtain an oddball effect. </w:t>
      </w:r>
      <w:r w:rsidR="0061296A" w:rsidRPr="004946F6">
        <w:rPr>
          <w:lang w:bidi="he-IL"/>
        </w:rPr>
        <w:t>Our aim in this section was to show that eCMR</w:t>
      </w:r>
      <w:r w:rsidR="0061296A" w:rsidRPr="0003785C">
        <w:rPr>
          <w:i/>
          <w:iCs/>
          <w:lang w:bidi="he-IL"/>
        </w:rPr>
        <w:t xml:space="preserve"> </w:t>
      </w:r>
      <w:r w:rsidR="004257F0" w:rsidRPr="0003785C">
        <w:rPr>
          <w:i/>
          <w:iCs/>
          <w:lang w:bidi="he-IL"/>
        </w:rPr>
        <w:t>can</w:t>
      </w:r>
      <w:r w:rsidR="0061296A" w:rsidRPr="004946F6">
        <w:rPr>
          <w:lang w:bidi="he-IL"/>
        </w:rPr>
        <w:t xml:space="preserve"> simulate th</w:t>
      </w:r>
      <w:r w:rsidR="004257F0" w:rsidRPr="004946F6">
        <w:rPr>
          <w:lang w:bidi="he-IL"/>
        </w:rPr>
        <w:t>is</w:t>
      </w:r>
      <w:r w:rsidR="0061296A" w:rsidRPr="004946F6">
        <w:rPr>
          <w:lang w:bidi="he-IL"/>
        </w:rPr>
        <w:t xml:space="preserve"> effect, and offer insights as to the factors that might </w:t>
      </w:r>
      <w:r w:rsidR="0051472B" w:rsidRPr="004946F6">
        <w:rPr>
          <w:lang w:bidi="he-IL"/>
        </w:rPr>
        <w:t>allow it to do so</w:t>
      </w:r>
      <w:r w:rsidR="0061296A" w:rsidRPr="004946F6">
        <w:rPr>
          <w:lang w:bidi="he-IL"/>
        </w:rPr>
        <w:t>.</w:t>
      </w:r>
      <w:r w:rsidR="004257F0" w:rsidRPr="004946F6">
        <w:rPr>
          <w:lang w:bidi="he-IL"/>
        </w:rPr>
        <w:t xml:space="preserve"> We focused on identifying the elements of the oddball effect that were specific to emotional, compared to neutral oddballs. </w:t>
      </w:r>
      <w:r w:rsidR="007D57DE" w:rsidRPr="004946F6">
        <w:rPr>
          <w:lang w:bidi="he-IL"/>
        </w:rPr>
        <w:t xml:space="preserve">eCMR provided a good qualitative fit to a </w:t>
      </w:r>
      <w:r w:rsidR="00591C10">
        <w:rPr>
          <w:lang w:bidi="he-IL"/>
        </w:rPr>
        <w:t xml:space="preserve">robust </w:t>
      </w:r>
      <w:r w:rsidR="007D57DE" w:rsidRPr="004946F6">
        <w:rPr>
          <w:lang w:bidi="he-IL"/>
        </w:rPr>
        <w:t>set of results that have been replicated several times in different laboratories.</w:t>
      </w:r>
    </w:p>
    <w:p w14:paraId="65DD4257" w14:textId="63CF03F0" w:rsidR="005A1665" w:rsidRPr="004946F6" w:rsidRDefault="00591C10" w:rsidP="003F7BE3">
      <w:pPr>
        <w:spacing w:line="480" w:lineRule="auto"/>
        <w:jc w:val="both"/>
        <w:rPr>
          <w:lang w:bidi="he-IL"/>
        </w:rPr>
      </w:pPr>
      <w:r>
        <w:rPr>
          <w:lang w:bidi="he-IL"/>
        </w:rPr>
        <w:t>T</w:t>
      </w:r>
      <w:r w:rsidR="003261FF" w:rsidRPr="004946F6">
        <w:rPr>
          <w:lang w:bidi="he-IL"/>
        </w:rPr>
        <w:t xml:space="preserve">he simulations conducted here provided </w:t>
      </w:r>
      <w:r w:rsidR="003B31F5" w:rsidRPr="004946F6">
        <w:rPr>
          <w:lang w:bidi="he-IL"/>
        </w:rPr>
        <w:t xml:space="preserve">novel predictions that can be tested </w:t>
      </w:r>
      <w:r w:rsidR="003261FF" w:rsidRPr="004946F6">
        <w:rPr>
          <w:lang w:bidi="he-IL"/>
        </w:rPr>
        <w:t>empirical</w:t>
      </w:r>
      <w:r w:rsidR="003B31F5" w:rsidRPr="004946F6">
        <w:rPr>
          <w:lang w:bidi="he-IL"/>
        </w:rPr>
        <w:t>ly</w:t>
      </w:r>
      <w:r w:rsidR="003261FF" w:rsidRPr="004946F6">
        <w:rPr>
          <w:lang w:bidi="he-IL"/>
        </w:rPr>
        <w:t xml:space="preserve">. First, </w:t>
      </w:r>
      <w:r w:rsidR="00E8115E" w:rsidRPr="004946F6">
        <w:rPr>
          <w:lang w:bidi="he-IL"/>
        </w:rPr>
        <w:t>eCMR could capture superior memory for oddballs</w:t>
      </w:r>
      <w:r w:rsidR="0061296A" w:rsidRPr="004946F6">
        <w:rPr>
          <w:lang w:bidi="he-IL"/>
        </w:rPr>
        <w:t xml:space="preserve"> compared to standards</w:t>
      </w:r>
      <w:r w:rsidR="00E8115E" w:rsidRPr="004946F6">
        <w:rPr>
          <w:lang w:bidi="he-IL"/>
        </w:rPr>
        <w:t xml:space="preserve"> </w:t>
      </w:r>
      <w:r w:rsidR="0061296A" w:rsidRPr="004946F6">
        <w:rPr>
          <w:lang w:bidi="he-IL"/>
        </w:rPr>
        <w:t xml:space="preserve">only when oddballs were simulated as attracting more attention than emotional items in mixed lists. </w:t>
      </w:r>
      <w:r w:rsidR="003F7BE3" w:rsidRPr="004946F6">
        <w:rPr>
          <w:lang w:bidi="he-IL"/>
        </w:rPr>
        <w:t xml:space="preserve">To test this prediction future research could manipulate the proportion of emotional items in the list and measure attention empirically by using a divided attention task or EEG recordings </w:t>
      </w:r>
      <w:r w:rsidR="003F7BE3" w:rsidRPr="004946F6">
        <w:rPr>
          <w:lang w:bidi="he-IL"/>
        </w:rPr>
        <w:fldChar w:fldCharType="begin" w:fldLock="1"/>
      </w:r>
      <w:r w:rsidR="008C25E5" w:rsidRPr="004946F6">
        <w:rPr>
          <w:lang w:bidi="he-IL"/>
        </w:rPr>
        <w:instrText>ADDIN CSL_CITATION { "citationItems" : [ { "id" : "ITEM-1", "itemData" : { "DOI" : "10.1037/1528-3542.7.1.89", "ISBN" : "1528-3542 (Print)", "ISSN" : "1528-3542", "PMID" : "17352566", "abstract" : "Examining the positive and negative pictures separately revealed that emotionally enhanced memory (EEM) for positive pictures was mediated by attention, with no significant influence of emotional arousal, whereas the reverse was true of negative pictures. Consistent with this finding, in Experiment 2 EEM for negative pictures was found even when task emphasis was manipulated so that equivalent attention was allocated to negative and neutral pictures. The results show that attention and semantic relatedness contribute to EEM, with the extent varying with emotional valence. Negative emotion can influence memory independently of these 2 factors.", "author" : [ { "dropping-particle" : "", "family" : "Talmi", "given" : "Deborah", "non-dropping-particle" : "", "parse-names" : false, "suffix" : "" }, { "dropping-particle" : "", "family" : "Schimmack", "given" : "Ulrich", "non-dropping-particle" : "", "parse-names" : false, "suffix" : "" }, { "dropping-particle" : "", "family" : "Paterson", "given" : "Theone", "non-dropping-particle" : "", "parse-names" : false, "suffix" : "" }, { "dropping-particle" : "", "family" : "Moscovitch", "given" : "Morris", "non-dropping-particle" : "", "parse-names" : false, "suffix" : "" } ], "container-title" : "Emotion (Washington, D.C.)", "id" : "ITEM-1", "issue" : "1", "issued" : { "date-parts" : [ [ "2007" ] ] }, "page" : "89-102", "title" : "The role of attention and relatedness in emotionally enhanced memory.", "type" : "article-journal", "volume" : "7" }, "uris" : [ "http://www.mendeley.com/documents/?uuid=e7ef3af2-792a-4752-bf01-e0a55c46ec7f" ] }, { "id" : "ITEM-2", "itemData" : { "DOI" : "10.1037/a0024574", "ISBN" : "1528-3542", "ISSN" : "1528-3542", "PMID" : "22059519", "abstract" : "The emotional enhancement of memory is often thought to be determined by attention. However, recent evidence using divided attention paradigms suggests that attention does not play a significant role in the formation of memories for aversive pictures. We report a study that investigated this question using a paradigm in which participants had to encode lists of randomly intermixed negative and neutral pictures under conditions of full attention and divided attention followed by a free recall test. Attention was divided by a highly demanding concurrent task tapping visual processing resources. Results showed that the advantage in recall for aversive pictures was still present in the DA condition. However, mediation analyses also revealed that concurrent task performance significantly mediated the emotional enhancement of memory under divided attention. This finding suggests that visual attentional processes play a significant role in the formation of emotional memories.", "author" : [ { "dropping-particle" : "", "family" : "Pottage", "given" : "C.L.", "non-dropping-particle" : "", "parse-names" : false, "suffix" : "" }, { "dropping-particle" : "", "family" : "Schaefer", "given" : "a.", "non-dropping-particle" : "", "parse-names" : false, "suffix" : "" } ], "container-title" : "Emotion", "id" : "ITEM-2", "issue" : "1", "issued" : { "date-parts" : [ [ "2012" ] ] }, "page" : "33-38", "title" : "Visual attention and emotional memory: recall of aversive pictures is partially mediated by concurrent task performance.", "type" : "article-journal", "volume" : "12" }, "uris" : [ "http://www.mendeley.com/documents/?uuid=fe78a2b2-a16c-4297-b5f5-3b0376383ceb" ] }, { "id" : "ITEM-3", "itemData" : { "DOI" : "10.1111/psyp.13014", "ISSN" : "00485772", "author" : [ { "dropping-particle" : "", "family" : "Barnacle", "given" : "Gemma E", "non-dropping-particle" : "", "parse-names" : false, "suffix" : "" }, { "dropping-particle" : "", "family" : "Tsivilis", "given" : "Dimitris", "non-dropping-particle" : "", "parse-names" : false, "suffix" : "" }, { "dropping-particle" : "", "family" : "Schaefer", "given" : "Alexandre", "non-dropping-particle" : "", "parse-names" : false, "suffix" : "" }, { "dropping-particle" : "", "family" : "Talmi", "given" : "Deborah", "non-dropping-particle" : "", "parse-names" : false, "suffix" : "" } ], "container-title" : "Psychophysiology", "id" : "ITEM-3", "issue" : "0161", "issued" : { "date-parts" : [ [ "2018" ] ] }, "page" : "1-35", "title" : "Local context influences memory for emotional stimuli but not electrophysiological markers of emotion-dependent attention.", "type" : "article-journal" }, "uris" : [ "http://www.mendeley.com/documents/?uuid=cb6744e5-43fc-4a9e-8dc9-c2e92972a1a6" ] } ], "mendeley" : { "formattedCitation" : "(Barnacle et al., 2018; Pottage &amp; Schaefer, 2012; Talmi, Schimmack, et al., 2007)", "plainTextFormattedCitation" : "(Barnacle et al., 2018; Pottage &amp; Schaefer, 2012; Talmi, Schimmack, et al., 2007)", "previouslyFormattedCitation" : "(Barnacle et al., 2018; Pottage &amp; Schaefer, 2012; Talmi, Schimmack, et al., 2007)" }, "properties" : { "noteIndex" : 0 }, "schema" : "https://github.com/citation-style-language/schema/raw/master/csl-citation.json" }</w:instrText>
      </w:r>
      <w:r w:rsidR="003F7BE3" w:rsidRPr="004946F6">
        <w:rPr>
          <w:lang w:bidi="he-IL"/>
        </w:rPr>
        <w:fldChar w:fldCharType="separate"/>
      </w:r>
      <w:r w:rsidR="003F7BE3" w:rsidRPr="004946F6">
        <w:rPr>
          <w:noProof/>
          <w:lang w:bidi="he-IL"/>
        </w:rPr>
        <w:t>(Barnacle et al., 2018; Pottage &amp; Schaefer, 2012; Talmi, Schimmack, et al., 2007)</w:t>
      </w:r>
      <w:r w:rsidR="003F7BE3" w:rsidRPr="004946F6">
        <w:rPr>
          <w:lang w:bidi="he-IL"/>
        </w:rPr>
        <w:fldChar w:fldCharType="end"/>
      </w:r>
      <w:r w:rsidR="003F7BE3" w:rsidRPr="004946F6">
        <w:rPr>
          <w:lang w:bidi="he-IL"/>
        </w:rPr>
        <w:t xml:space="preserve">. </w:t>
      </w:r>
      <w:r w:rsidR="0061296A" w:rsidRPr="004946F6">
        <w:rPr>
          <w:lang w:bidi="he-IL"/>
        </w:rPr>
        <w:t xml:space="preserve">Second, the degree of impairment to </w:t>
      </w:r>
      <w:r w:rsidR="007D57DE" w:rsidRPr="004946F6">
        <w:rPr>
          <w:lang w:bidi="he-IL"/>
        </w:rPr>
        <w:t xml:space="preserve">recall of items before and after the oddball in lists that included an oddball, and in control lists, </w:t>
      </w:r>
      <w:r w:rsidR="0061296A" w:rsidRPr="004946F6">
        <w:rPr>
          <w:lang w:bidi="he-IL"/>
        </w:rPr>
        <w:t>was affected by the degree of disruption to the temporal context</w:t>
      </w:r>
      <w:r w:rsidR="0051472B" w:rsidRPr="004946F6">
        <w:rPr>
          <w:lang w:bidi="he-IL"/>
        </w:rPr>
        <w:t>, not by increased attention to the oddball</w:t>
      </w:r>
      <w:r w:rsidR="0061296A" w:rsidRPr="004946F6">
        <w:rPr>
          <w:lang w:bidi="he-IL"/>
        </w:rPr>
        <w:t xml:space="preserve">. </w:t>
      </w:r>
      <w:r w:rsidR="003F7BE3" w:rsidRPr="004946F6">
        <w:rPr>
          <w:lang w:bidi="he-IL"/>
        </w:rPr>
        <w:t xml:space="preserve">The degree to which oddballs disrupt the temporal context can also be measured empirically using subjective time estimations </w:t>
      </w:r>
      <w:r w:rsidR="003F7BE3" w:rsidRPr="004946F6">
        <w:rPr>
          <w:lang w:bidi="he-IL"/>
        </w:rPr>
        <w:fldChar w:fldCharType="begin" w:fldLock="1"/>
      </w:r>
      <w:r w:rsidR="008C25E5" w:rsidRPr="004946F6">
        <w:rPr>
          <w:lang w:bidi="he-IL"/>
        </w:rPr>
        <w:instrText>ADDIN CSL_CITATION { "citationItems" : [ { "id" : "ITEM-1", "itemData" : { "DOI" : "10.1037/a0034250", "PMID" : "23957367", "abstract" : "This investigation aimed to establish retrospective time judgments as markers of internal context change across 2 memory paradigms, the effects of which have been attributed to internal context change by some researchers. Experiment 1 involved the list-method directed forgetting paradigm and established that the forget group significantly overestimated the duration of the experiment compared with the remember group. Experiment 2 involved the list-before-last paradigm, whereby participants studied 3 lists, and in between encoding of List 2 and List 3, some participants retrieved List 1, whereas the control participants restudied List 1. The results showed that the retrieval group significantly overestimated the duration of the experiment compared with the restudy group. Overall, these results support the context-change interpretation of these paradigms, and they also support the contextual-change hypothesis of retrospective timing (Block &amp; Reed, 1978).", "author" : [ { "dropping-particle" : "", "family" : "Sahakyan", "given" : "Lili", "non-dropping-particle" : "", "parse-names" : false, "suffix" : "" }, { "dropping-particle" : "", "family" : "Smith", "given" : "James R.", "non-dropping-particle" : "", "parse-names" : false, "suffix" : "" } ], "container-title" : "Journal of Experimental Psychology: Learning, Memory, and Cognition", "id" : "ITEM-1", "issue" : "1", "issued" : { "date-parts" : [ [ "2014", "1" ] ] }, "page" : "86-93", "title" : "&amp;quot;A long time ago, in a context far, far away&amp;quot;: Retrospective time estimates and internal context change.", "type" : "article-journal", "volume" : "40" }, "uris" : [ "http://www.mendeley.com/documents/?uuid=f2831ce0-f569-38af-9826-a4eccb71373c" ] }, { "id" : "ITEM-2", "itemData" : { "DOI" : "10.1037/0278-7393.4.6.656", "author" : [ { "dropping-particle" : "", "family" : "Block", "given" : "Richard A.", "non-dropping-particle" : "", "parse-names" : false, "suffix" : "" }, { "dropping-particle" : "", "family" : "Reed", "given" : "Marjorie A.", "non-dropping-particle" : "", "parse-names" : false, "suffix" : "" } ], "container-title" : "Journal of Experimental Psychology: Human Learning &amp; Memory", "id" : "ITEM-2", "issue" : "6", "issued" : { "date-parts" : [ [ "1978" ] ] }, "page" : "656-665", "title" : "Remembered duration: Evidence for a contextual-change hypothesis.", "type" : "article-journal", "volume" : "4" }, "uris" : [ "http://www.mendeley.com/documents/?uuid=0636e6b8-6953-37b8-bf80-3b3f1b09d917" ] } ], "mendeley" : { "formattedCitation" : "(Block &amp; Reed, 1978; Sahakyan &amp; Smith, 2014)", "plainTextFormattedCitation" : "(Block &amp; Reed, 1978; Sahakyan &amp; Smith, 2014)", "previouslyFormattedCitation" : "(Block &amp; Reed, 1978; Sahakyan &amp; Smith, 2014)" }, "properties" : { "noteIndex" : 0 }, "schema" : "https://github.com/citation-style-language/schema/raw/master/csl-citation.json" }</w:instrText>
      </w:r>
      <w:r w:rsidR="003F7BE3" w:rsidRPr="004946F6">
        <w:rPr>
          <w:lang w:bidi="he-IL"/>
        </w:rPr>
        <w:fldChar w:fldCharType="separate"/>
      </w:r>
      <w:r w:rsidR="003F7BE3" w:rsidRPr="004946F6">
        <w:rPr>
          <w:noProof/>
          <w:lang w:bidi="he-IL"/>
        </w:rPr>
        <w:t>(Block &amp; Reed, 1978; Sahakyan &amp; Smith, 2014)</w:t>
      </w:r>
      <w:r w:rsidR="003F7BE3" w:rsidRPr="004946F6">
        <w:rPr>
          <w:lang w:bidi="he-IL"/>
        </w:rPr>
        <w:fldChar w:fldCharType="end"/>
      </w:r>
      <w:r w:rsidR="003F7BE3" w:rsidRPr="004946F6">
        <w:rPr>
          <w:lang w:bidi="he-IL"/>
        </w:rPr>
        <w:t>.</w:t>
      </w:r>
    </w:p>
    <w:p w14:paraId="3D8109BE" w14:textId="24CA7342" w:rsidR="00BB2A2B" w:rsidRPr="004946F6" w:rsidRDefault="00BB2A2B">
      <w:pPr>
        <w:jc w:val="center"/>
      </w:pPr>
    </w:p>
    <w:p w14:paraId="05B47AC7" w14:textId="7E2602D6" w:rsidR="00BB2A2B" w:rsidRPr="004946F6" w:rsidRDefault="00BB2A2B">
      <w:r w:rsidRPr="004946F6">
        <w:br w:type="page"/>
      </w:r>
    </w:p>
    <w:p w14:paraId="07D64D2D" w14:textId="77777777" w:rsidR="00A91CFD" w:rsidRPr="004946F6" w:rsidRDefault="006150D9" w:rsidP="00AE588A">
      <w:pPr>
        <w:jc w:val="center"/>
        <w:rPr>
          <w:b/>
          <w:bCs/>
        </w:rPr>
      </w:pPr>
      <w:bookmarkStart w:id="15" w:name="Discussion"/>
      <w:r w:rsidRPr="004946F6">
        <w:rPr>
          <w:b/>
          <w:bCs/>
        </w:rPr>
        <w:t>5</w:t>
      </w:r>
      <w:r w:rsidR="00BA2BC7" w:rsidRPr="004946F6">
        <w:rPr>
          <w:b/>
          <w:bCs/>
        </w:rPr>
        <w:t xml:space="preserve">. </w:t>
      </w:r>
      <w:r w:rsidR="00223D25" w:rsidRPr="004946F6">
        <w:rPr>
          <w:b/>
          <w:bCs/>
        </w:rPr>
        <w:t>Discussion</w:t>
      </w:r>
      <w:bookmarkEnd w:id="15"/>
    </w:p>
    <w:p w14:paraId="302C7EBB" w14:textId="77777777" w:rsidR="00A95BBF" w:rsidRPr="004946F6" w:rsidRDefault="00A95BBF" w:rsidP="00BE3E45">
      <w:pPr>
        <w:spacing w:line="480" w:lineRule="auto"/>
        <w:jc w:val="both"/>
        <w:rPr>
          <w:b/>
          <w:bCs/>
        </w:rPr>
      </w:pPr>
    </w:p>
    <w:p w14:paraId="25A50C3F" w14:textId="27FBD9BB" w:rsidR="00E62362" w:rsidRPr="004946F6" w:rsidRDefault="00E62362">
      <w:pPr>
        <w:spacing w:line="480" w:lineRule="auto"/>
        <w:jc w:val="both"/>
      </w:pPr>
      <w:r w:rsidRPr="004946F6">
        <w:t xml:space="preserve">The work presented in this paper proposes a shift in the way we understand </w:t>
      </w:r>
      <w:r w:rsidR="003E4D59" w:rsidRPr="004946F6">
        <w:t xml:space="preserve">memory for </w:t>
      </w:r>
      <w:r w:rsidRPr="004946F6">
        <w:t xml:space="preserve">important </w:t>
      </w:r>
      <w:r w:rsidR="003E4D59" w:rsidRPr="004946F6">
        <w:t>experiences</w:t>
      </w:r>
      <w:r w:rsidR="00FA068B" w:rsidRPr="004946F6">
        <w:t>, those that trigger emotional arousal</w:t>
      </w:r>
      <w:r w:rsidR="003E4D59" w:rsidRPr="004946F6">
        <w:t xml:space="preserve">. It is well-established that some experiences attract attention and are processed preferentially: those with certain features that </w:t>
      </w:r>
      <w:r w:rsidR="00FA068B" w:rsidRPr="004946F6">
        <w:t>our</w:t>
      </w:r>
      <w:r w:rsidR="002B1C5C" w:rsidRPr="004946F6">
        <w:t xml:space="preserve"> </w:t>
      </w:r>
      <w:r w:rsidR="003E4D59" w:rsidRPr="004946F6">
        <w:t xml:space="preserve">species </w:t>
      </w:r>
      <w:r w:rsidR="002B1C5C" w:rsidRPr="004946F6">
        <w:t>has</w:t>
      </w:r>
      <w:r w:rsidR="003E4D59" w:rsidRPr="004946F6">
        <w:t xml:space="preserve"> evolved to prioritise, those previously associated with reward or punishment, and those that </w:t>
      </w:r>
      <w:r w:rsidR="00C52F6B" w:rsidRPr="004946F6">
        <w:t xml:space="preserve">appear to promote </w:t>
      </w:r>
      <w:r w:rsidR="003E4D59" w:rsidRPr="004946F6">
        <w:t xml:space="preserve">our </w:t>
      </w:r>
      <w:r w:rsidR="002B1C5C" w:rsidRPr="004946F6">
        <w:t>current goals</w:t>
      </w:r>
      <w:r w:rsidR="003E4D59" w:rsidRPr="004946F6">
        <w:t xml:space="preserve">. It has previously been thought that the memory traces laid </w:t>
      </w:r>
      <w:r w:rsidR="00C52F6B" w:rsidRPr="004946F6">
        <w:t>down</w:t>
      </w:r>
      <w:r w:rsidR="003E4D59" w:rsidRPr="004946F6">
        <w:t xml:space="preserve"> during the encoding of emotionally</w:t>
      </w:r>
      <w:r w:rsidR="00C52F6B" w:rsidRPr="004946F6">
        <w:t>-</w:t>
      </w:r>
      <w:r w:rsidR="003E4D59" w:rsidRPr="004946F6">
        <w:t xml:space="preserve">arousing experiences are maintained in a special way so that important events will have the best chance of influencing later fitness-related decisions. </w:t>
      </w:r>
      <w:r w:rsidR="00052A2D">
        <w:t xml:space="preserve">Our simulations </w:t>
      </w:r>
      <w:r w:rsidR="00F41ECD" w:rsidRPr="004946F6">
        <w:t xml:space="preserve">show that </w:t>
      </w:r>
      <w:r w:rsidR="00AB18F6" w:rsidRPr="004946F6">
        <w:t>the nature of the memory traces themselves – the increased binding between them and the</w:t>
      </w:r>
      <w:r w:rsidR="00C52F6B" w:rsidRPr="004946F6">
        <w:t>ir</w:t>
      </w:r>
      <w:r w:rsidR="00AB18F6" w:rsidRPr="004946F6">
        <w:t xml:space="preserve"> </w:t>
      </w:r>
      <w:r w:rsidR="00FA068B" w:rsidRPr="004946F6">
        <w:t>encoding</w:t>
      </w:r>
      <w:r w:rsidR="00AB18F6" w:rsidRPr="004946F6">
        <w:t xml:space="preserve"> context, and their inherent associations to other emotionally</w:t>
      </w:r>
      <w:r w:rsidR="00F0278E" w:rsidRPr="004946F6">
        <w:t xml:space="preserve"> </w:t>
      </w:r>
      <w:r w:rsidR="00AB18F6" w:rsidRPr="004946F6">
        <w:t>arousing and semantically</w:t>
      </w:r>
      <w:r w:rsidR="00DF49D0" w:rsidRPr="004946F6">
        <w:t xml:space="preserve"> </w:t>
      </w:r>
      <w:r w:rsidR="00AB18F6" w:rsidRPr="004946F6">
        <w:t xml:space="preserve">related memory traces – </w:t>
      </w:r>
      <w:r w:rsidR="00052A2D">
        <w:t>may be</w:t>
      </w:r>
      <w:r w:rsidR="00AB18F6" w:rsidRPr="004946F6">
        <w:t xml:space="preserve"> sufficient to give them an advantage during test, </w:t>
      </w:r>
      <w:r w:rsidR="00FA068B" w:rsidRPr="004946F6">
        <w:t>which is amplified in</w:t>
      </w:r>
      <w:r w:rsidR="00AB18F6" w:rsidRPr="004946F6">
        <w:t xml:space="preserve"> delayed tests, </w:t>
      </w:r>
      <w:r w:rsidR="00052A2D">
        <w:t xml:space="preserve">and especially </w:t>
      </w:r>
      <w:r w:rsidR="00AB18F6" w:rsidRPr="004946F6">
        <w:t xml:space="preserve">when they compete for retrieval with neutral items. </w:t>
      </w:r>
      <w:r w:rsidR="00C52F6B" w:rsidRPr="004946F6">
        <w:t>D</w:t>
      </w:r>
      <w:r w:rsidR="00AB18F6" w:rsidRPr="004946F6">
        <w:t>ifference</w:t>
      </w:r>
      <w:r w:rsidR="00C52F6B" w:rsidRPr="004946F6">
        <w:t>s</w:t>
      </w:r>
      <w:r w:rsidR="00AB18F6" w:rsidRPr="004946F6">
        <w:t xml:space="preserve"> that </w:t>
      </w:r>
      <w:r w:rsidR="00C52F6B" w:rsidRPr="004946F6">
        <w:t>are</w:t>
      </w:r>
      <w:r w:rsidR="00AB18F6" w:rsidRPr="004946F6">
        <w:t xml:space="preserve"> already evident at encoding between emotional and neutral items protect and promote them whenever there is a competition for retrieval later on, </w:t>
      </w:r>
      <w:r w:rsidR="002B1C5C" w:rsidRPr="004946F6">
        <w:t xml:space="preserve">and give rise to </w:t>
      </w:r>
      <w:r w:rsidR="00BB081D" w:rsidRPr="004946F6">
        <w:t>emotion-enhanced memory</w:t>
      </w:r>
      <w:r w:rsidR="002B1C5C" w:rsidRPr="004946F6">
        <w:t xml:space="preserve"> </w:t>
      </w:r>
      <w:r w:rsidR="00AB18F6" w:rsidRPr="004946F6">
        <w:t xml:space="preserve">even </w:t>
      </w:r>
      <w:r w:rsidR="002B1C5C" w:rsidRPr="004946F6">
        <w:t xml:space="preserve">without </w:t>
      </w:r>
      <w:r w:rsidR="00AB18F6" w:rsidRPr="004946F6">
        <w:t xml:space="preserve">further </w:t>
      </w:r>
      <w:r w:rsidR="00FA068B" w:rsidRPr="004946F6">
        <w:t>post-encoding</w:t>
      </w:r>
      <w:r w:rsidR="0034719A" w:rsidRPr="004946F6">
        <w:t xml:space="preserve"> </w:t>
      </w:r>
      <w:r w:rsidR="00AB18F6" w:rsidRPr="004946F6">
        <w:t xml:space="preserve">advantages. </w:t>
      </w:r>
      <w:r w:rsidR="003C25BB" w:rsidRPr="004946F6">
        <w:t>T</w:t>
      </w:r>
      <w:r w:rsidR="00AB18F6" w:rsidRPr="004946F6">
        <w:t xml:space="preserve">he dynamics of retrieval </w:t>
      </w:r>
      <w:r w:rsidR="002B1C5C" w:rsidRPr="004946F6">
        <w:t xml:space="preserve">determine the magnitude of </w:t>
      </w:r>
      <w:r w:rsidR="00AB18F6" w:rsidRPr="004946F6">
        <w:t>this advantage</w:t>
      </w:r>
      <w:r w:rsidR="002B1C5C" w:rsidRPr="004946F6">
        <w:t xml:space="preserve"> and could increase or decrease it</w:t>
      </w:r>
      <w:r w:rsidR="00AB18F6" w:rsidRPr="004946F6">
        <w:t>.</w:t>
      </w:r>
      <w:r w:rsidR="002B1C5C" w:rsidRPr="004946F6">
        <w:t xml:space="preserve"> </w:t>
      </w:r>
      <w:r w:rsidR="005B5101" w:rsidRPr="004946F6">
        <w:t>eCMR therefore highlights the exquisite sensitivity of memory to the situation in which an agent finds itself</w:t>
      </w:r>
      <w:r w:rsidR="005F57C9" w:rsidRPr="004946F6">
        <w:t xml:space="preserve"> – in eCMR, the retrieval context of the memory test – by</w:t>
      </w:r>
      <w:r w:rsidR="005B5101" w:rsidRPr="004946F6">
        <w:t xml:space="preserve"> provid</w:t>
      </w:r>
      <w:r w:rsidR="005F57C9" w:rsidRPr="004946F6">
        <w:t>ing</w:t>
      </w:r>
      <w:r w:rsidR="005B5101" w:rsidRPr="004946F6">
        <w:t xml:space="preserve"> mechanisms which prioritise the retrieval of experiences that best match th</w:t>
      </w:r>
      <w:r w:rsidR="005F57C9" w:rsidRPr="004946F6">
        <w:t>at</w:t>
      </w:r>
      <w:r w:rsidR="005B5101" w:rsidRPr="004946F6">
        <w:t xml:space="preserve"> test context across multiple dimensions. </w:t>
      </w:r>
    </w:p>
    <w:p w14:paraId="47D3A467" w14:textId="1CD89C42" w:rsidR="004D756F" w:rsidRPr="004946F6" w:rsidRDefault="00A455B8">
      <w:pPr>
        <w:spacing w:line="480" w:lineRule="auto"/>
        <w:jc w:val="both"/>
      </w:pPr>
      <w:r w:rsidRPr="004946F6">
        <w:t>eCMR</w:t>
      </w:r>
      <w:r w:rsidR="00BD2BDB" w:rsidRPr="004946F6">
        <w:t xml:space="preserve"> is the first quantitative model of the emotional enhancement of memory. It</w:t>
      </w:r>
      <w:r w:rsidR="002F7159" w:rsidRPr="004946F6">
        <w:t xml:space="preserve"> </w:t>
      </w:r>
      <w:r w:rsidR="005F57C9" w:rsidRPr="004946F6">
        <w:t>explain</w:t>
      </w:r>
      <w:r w:rsidRPr="004946F6">
        <w:t>s t</w:t>
      </w:r>
      <w:r w:rsidR="00DE7601" w:rsidRPr="004946F6">
        <w:t>h</w:t>
      </w:r>
      <w:r w:rsidR="00BD2BDB" w:rsidRPr="004946F6">
        <w:t>e improvement in remembering emotionally</w:t>
      </w:r>
      <w:r w:rsidR="00F0278E" w:rsidRPr="004946F6">
        <w:t xml:space="preserve"> </w:t>
      </w:r>
      <w:r w:rsidR="00BD2BDB" w:rsidRPr="004946F6">
        <w:t xml:space="preserve">arousing stimuli </w:t>
      </w:r>
      <w:r w:rsidR="00DE7601" w:rsidRPr="004946F6">
        <w:t xml:space="preserve">as arising from the operation and modulation of </w:t>
      </w:r>
      <w:r w:rsidR="00BD2BDB" w:rsidRPr="004946F6">
        <w:t xml:space="preserve">retrieved </w:t>
      </w:r>
      <w:r w:rsidR="00DE7601" w:rsidRPr="004946F6">
        <w:t>context mechanisms</w:t>
      </w:r>
      <w:r w:rsidR="00BD2BDB" w:rsidRPr="004946F6">
        <w:t xml:space="preserve"> during encoding, maintenance and retrieval</w:t>
      </w:r>
      <w:r w:rsidR="00DE7601" w:rsidRPr="004946F6">
        <w:t xml:space="preserve">. </w:t>
      </w:r>
      <w:r w:rsidR="00B80228" w:rsidRPr="004946F6">
        <w:t>We assumed, in agreement with the consensus in the literature (reviewed, for example, in</w:t>
      </w:r>
      <w:r w:rsidR="00BD2BDB" w:rsidRPr="004946F6">
        <w:t xml:space="preserve"> </w:t>
      </w:r>
      <w:r w:rsidR="00BD2BDB" w:rsidRPr="004946F6">
        <w:fldChar w:fldCharType="begin" w:fldLock="1"/>
      </w:r>
      <w:r w:rsidR="008C25E5" w:rsidRPr="004946F6">
        <w:instrText>ADDIN CSL_CITATION { "citationItems" : [ { "id" : "ITEM-1", "itemData" : { "DOI" : "10.1177/1745691611400234", "ISBN" : "1745-6916\\n1745-6924", "ISSN" : "1745-6916", "PMID" : "21660127", "abstract" : "Our everyday surroundings besiege us with information. The battle is for a share of our limited attention and memory, with the brain selecting the winners and discarding the losers. Previous research shows that both bottom-up and top-down factors bias competition in favor of high priority stimuli. We propose that arousal during an event increases this bias both in perception and in long-term memory of the event. Arousal-biased competition theory provides specific predictions about when arousal will enhance memory for events and when it will impair it, which accounts for some puzzling contradictions in the emotional memory literature.", "author" : [ { "dropping-particle" : "", "family" : "Mather", "given" : "Mara", "non-dropping-particle" : "", "parse-names" : false, "suffix" : "" }, { "dropping-particle" : "", "family" : "Sutherland", "given" : "Matthew R", "non-dropping-particle" : "", "parse-names" : false, "suffix" : "" } ], "container-title" : "Perspectives on psychological science : a journal of the Association for Psychological Science", "id" : "ITEM-1", "issue" : "2", "issued" : { "date-parts" : [ [ "2011" ] ] }, "page" : "114-33", "title" : "Arousal-Biased Competition in Perception and Memory.", "type" : "article-journal", "volume" : "6" }, "uris" : [ "http://www.mendeley.com/documents/?uuid=844c474a-a2ec-4ba0-94de-bc3c64374056" ] }, { "id" : "ITEM-2", "itemData" : { "DOI" : "10.1016/j.biopsycho.2012.02.007", "ISBN" : "0301-0511", "ISSN" : "03010511", "PMID" : "22373657", "abstract" : "The rapid and efficient selection of emotionally salient or goal-relevant stimuli in the environment is crucial for flexible and adaptive behaviors. Converging data from neuroscience and psychology have accrued during the last decade to identify brain systems involved in emotion processing, selective attention, and their interaction, which together act to extract the emotional or motivational value of sensory events and respond appropriately. An important hub in these systems is the amygdala, which may not only monitor the emotional value of stimuli, but also readily project to several other areas and send feedback to sensory pathways (including striate and extrastriate visual cortex). This system generates saliency signals that modulate perceptual, motor, as well as memory processes, and thus in turn regulate behavior appropriately. Here, we review our current views on the function and properties of these brain systems, with an emphasis on their involvement in the rapid and/or preferential processing of threat-relevant stimuli. We suggest that emotion signals may enhance processing efficiency and competitive strength of emotionally significant events through gain control mechanisms similar to those of other (e.g. endogenous) attentional systems, but mediated by distinct neural mechanisms in amygdala and interconnected prefrontal areas. Alterations in these brain mechanisms might be associated with psychopathological conditions, such as anxiety or phobia. We conclude that attention selection and awareness are determined by multiple attention gain control systems that may operate in parallel and use different sensory cues but act on a common perceptual pathway. ?? 2012 Elsevier B.V.", "author" : [ { "dropping-particle" : "", "family" : "Pourtois", "given" : "Gilles", "non-dropping-particle" : "", "parse-names" : false, "suffix" : "" }, { "dropping-particle" : "", "family" : "Schettino", "given" : "Antonio", "non-dropping-particle" : "", "parse-names" : false, "suffix" : "" }, { "dropping-particle" : "", "family" : "Vuilleumier", "given" : "Patrik", "non-dropping-particle" : "", "parse-names" : false, "suffix" : "" } ], "container-title" : "Biological Psychology", "id" : "ITEM-2", "issue" : "3", "issued" : { "date-parts" : [ [ "2013" ] ] }, "page" : "492-512", "title" : "Brain mechanisms for emotional influences on perception and attention: What is magic and what is not", "type" : "article", "volume" : "92" }, "uris" : [ "http://www.mendeley.com/documents/?uuid=5c8e27ac-8fbb-4186-8a73-bf6394acc8bb" ] } ], "mendeley" : { "formattedCitation" : "(Mather &amp; Sutherland, 2011; Pourtois et al., 2013)", "manualFormatting" : "Mather &amp; Sutherland, 2011; Pourtois et al., 2013)", "plainTextFormattedCitation" : "(Mather &amp; Sutherland, 2011; Pourtois et al., 2013)", "previouslyFormattedCitation" : "(Mather &amp; Sutherland, 2011; Pourtois et al., 2013)" }, "properties" : { "noteIndex" : 0 }, "schema" : "https://github.com/citation-style-language/schema/raw/master/csl-citation.json" }</w:instrText>
      </w:r>
      <w:r w:rsidR="00BD2BDB" w:rsidRPr="004946F6">
        <w:fldChar w:fldCharType="separate"/>
      </w:r>
      <w:r w:rsidR="00B80228" w:rsidRPr="004946F6">
        <w:rPr>
          <w:noProof/>
        </w:rPr>
        <w:t>Mather &amp; Sutherland, 2011; Pourtois et al., 2013)</w:t>
      </w:r>
      <w:r w:rsidR="00BD2BDB" w:rsidRPr="004946F6">
        <w:fldChar w:fldCharType="end"/>
      </w:r>
      <w:r w:rsidR="00B80228" w:rsidRPr="004946F6">
        <w:t xml:space="preserve"> and our own previous findings </w:t>
      </w:r>
      <w:r w:rsidR="00B80228" w:rsidRPr="004946F6">
        <w:fldChar w:fldCharType="begin" w:fldLock="1"/>
      </w:r>
      <w:r w:rsidR="008C25E5" w:rsidRPr="004946F6">
        <w:instrText>ADDIN CSL_CITATION { "citationItems" : [ { "id" : "ITEM-1", "itemData" : { "DOI" : "10.1016/j.jml.2011.07.009", "ISBN" : "0749-596X", "ISSN" : "0749596X", "abstract" : "Memory for emotional events is usually very good even when tested shortly after study, before it is altered by the influence of emotional arousal on consolidation. Immediate emotion-enhanced memory may stem from the influence of emotion on cognitive processes at encoding and retrieval. Our goal was to test which cognitive factors are necessary and sufficient to account for EEM, with a specific focus on clarifying the contribution of attention to this effect. In two experiments, participants encoded negative-arousing and neutral pictures. In Experiment 1, under divided-attention conditions, negative pictures were better attended and recalled even when they were matched with neutral pictures on semantic relatedness and distinctiveness, and attention at encoding predicted subsequent emotion-enhanced memory. The memory advantage for emotional stimuli was only abolished when attention to emotional and neutral stimuli was also matched, under full-attention in Experiment 1 and under divided-attention in Experiment 2. Emotional memory enhancement was larger in Experiment 1 when the control of organization and distinctiveness was relaxed. These findings suggest that attention, organization and distinctiveness provide a necessary and sufficient account for immediate emotion-enhanced free recall memory. \u00a9 2011 Elsevier Inc.", "author" : [ { "dropping-particle" : "", "family" : "Talmi", "given" : "Deborah", "non-dropping-particle" : "", "parse-names" : false, "suffix" : "" }, { "dropping-particle" : "", "family" : "McGarry", "given" : "Lucy M.", "non-dropping-particle" : "", "parse-names" : false, "suffix" : "" } ], "container-title" : "Journal of Memory and Language", "id" : "ITEM-1", "issue" : "1", "issued" : { "date-parts" : [ [ "2012" ] ] }, "page" : "93-108", "publisher" : "Elsevier Inc.", "title" : "Accounting for immediate emotional memory enhancement", "type" : "article-journal", "volume" : "66" }, "uris" : [ "http://www.mendeley.com/documents/?uuid=97f0e13d-8640-4b52-b53c-49419fe1f6a8" ] }, { "id" : "ITEM-2", "itemData" : { "DOI" : "10.1037/1528-3542.7.1.89", "ISBN" : "1528-3542 (Print)", "ISSN" : "1528-3542", "PMID" : "17352566", "abstract" : "Examining the positive and negative pictures separately revealed that emotionally enhanced memory (EEM) for positive pictures was mediated by attention, with no significant influence of emotional arousal, whereas the reverse was true of negative pictures. Consistent with this finding, in Experiment 2 EEM for negative pictures was found even when task emphasis was manipulated so that equivalent attention was allocated to negative and neutral pictures. The results show that attention and semantic relatedness contribute to EEM, with the extent varying with emotional valence. Negative emotion can influence memory independently of these 2 factors.", "author" : [ { "dropping-particle" : "", "family" : "Talmi", "given" : "Deborah", "non-dropping-particle" : "", "parse-names" : false, "suffix" : "" }, { "dropping-particle" : "", "family" : "Schimmack", "given" : "Ulrich", "non-dropping-particle" : "", "parse-names" : false, "suffix" : "" }, { "dropping-particle" : "", "family" : "Paterson", "given" : "Theone", "non-dropping-particle" : "", "parse-names" : false, "suffix" : "" }, { "dropping-particle" : "", "family" : "Moscovitch", "given" : "Morris", "non-dropping-particle" : "", "parse-names" : false, "suffix" : "" } ], "container-title" : "Emotion (Washington, D.C.)", "id" : "ITEM-2", "issue" : "1", "issued" : { "date-parts" : [ [ "2007" ] ] }, "page" : "89-102", "title" : "The role of attention and relatedness in emotionally enhanced memory.", "type" : "article-journal", "volume" : "7" }, "uris" : [ "http://www.mendeley.com/documents/?uuid=e7ef3af2-792a-4752-bf01-e0a55c46ec7f" ] } ], "mendeley" : { "formattedCitation" : "(Talmi &amp; McGarry, 2012; Talmi, Schimmack, et al., 2007)", "plainTextFormattedCitation" : "(Talmi &amp; McGarry, 2012; Talmi, Schimmack, et al., 2007)", "previouslyFormattedCitation" : "(Talmi &amp; McGarry, 2012; Talmi, Schimmack, et al., 2007)" }, "properties" : { "noteIndex" : 0 }, "schema" : "https://github.com/citation-style-language/schema/raw/master/csl-citation.json" }</w:instrText>
      </w:r>
      <w:r w:rsidR="00B80228" w:rsidRPr="004946F6">
        <w:fldChar w:fldCharType="separate"/>
      </w:r>
      <w:r w:rsidR="00B6325F" w:rsidRPr="004946F6">
        <w:rPr>
          <w:noProof/>
        </w:rPr>
        <w:t>(Talmi &amp; McGarry, 2012; Talmi, Schimmack, et al., 2007)</w:t>
      </w:r>
      <w:r w:rsidR="00B80228" w:rsidRPr="004946F6">
        <w:fldChar w:fldCharType="end"/>
      </w:r>
      <w:r w:rsidR="00B80228" w:rsidRPr="004946F6">
        <w:t xml:space="preserve">, that stimuli that trigger emotional arousal attract attention obligatorily. Building on previous work, </w:t>
      </w:r>
      <w:r w:rsidR="00591DC7" w:rsidRPr="004946F6">
        <w:t xml:space="preserve">extra attention </w:t>
      </w:r>
      <w:r w:rsidR="008D41F4" w:rsidRPr="004946F6">
        <w:t>was</w:t>
      </w:r>
      <w:r w:rsidR="00591DC7" w:rsidRPr="004946F6">
        <w:t xml:space="preserve"> described </w:t>
      </w:r>
      <w:r w:rsidR="008D41F4" w:rsidRPr="004946F6">
        <w:t xml:space="preserve">in the model </w:t>
      </w:r>
      <w:r w:rsidR="00591DC7" w:rsidRPr="004946F6">
        <w:t>as the strengthening of associations between attended item</w:t>
      </w:r>
      <w:r w:rsidR="00052A2D">
        <w:t>s</w:t>
      </w:r>
      <w:r w:rsidR="00591DC7" w:rsidRPr="004946F6">
        <w:t xml:space="preserve"> and </w:t>
      </w:r>
      <w:r w:rsidR="00052A2D">
        <w:t>their</w:t>
      </w:r>
      <w:r w:rsidR="00591DC7" w:rsidRPr="004946F6">
        <w:t xml:space="preserve"> </w:t>
      </w:r>
      <w:r w:rsidR="00FA068B" w:rsidRPr="004946F6">
        <w:t>encoding</w:t>
      </w:r>
      <w:r w:rsidR="00591DC7" w:rsidRPr="004946F6">
        <w:t xml:space="preserve"> context </w:t>
      </w:r>
      <w:r w:rsidR="00591DC7" w:rsidRPr="004946F6">
        <w:fldChar w:fldCharType="begin" w:fldLock="1"/>
      </w:r>
      <w:r w:rsidR="008C25E5" w:rsidRPr="004946F6">
        <w:instrText>ADDIN CSL_CITATION { "citationItems" : [ { "id" : "ITEM-1", "itemData" : { "DOI" : "10.1006", "abstract" : "The principles of recency and contiguity are two cornerstones of the theoretical and empirical analysis of human memory. Recency has been alternatively explained by mechanisms of decay, displacement, and retroac-tive interference. Another account of recency is based on the idea of variable context (Estes, 1955; Mensink &amp; Raaijmakers, 1989). Such notions are typi-cally cast in terms of a randomly fluctuating population of elements reflective of subtle changes in the environment or in the subjects' mental state. This random context view has recently been incorporated into distributed and neural network memory models (Murdock, 1997; Murdock, Smith, &amp; Bai, 2001). Here we propose an alternative model. Rather than being driven by random fluctuations, this formulation, the temporal context model (TCM), uses retrieval of prior contextual states to drive contextual drift. In TCM, retrieved context is an inherently asymmetric retrieval cue. This allows the model to provide a principled explanation of the widespread advantage for forward recalls in free and serial recall. Modeling data from single-trial free recall, we demonstrate that TCM can simultaneously explain recency and contiguity effects across time scales.", "author" : [ { "dropping-particle" : "", "family" : "Howard", "given" : "Marc W", "non-dropping-particle" : "", "parse-names" : false, "suffix" : "" }, { "dropping-particle" : "", "family" : "Kahana", "given" : "Michael J", "non-dropping-particle" : "", "parse-names" : false, "suffix" : "" } ], "container-title" : "Journal of Mathematical Psychology", "id" : "ITEM-1", "issue" : "3", "issued" : { "date-parts" : [ [ "2002" ] ] }, "page" : "269-299", "title" : "A Distributed Representation of Temporal Context", "type" : "article-journal", "volume" : "46" }, "uris" : [ "http://www.mendeley.com/documents/?uuid=2b90dde9-b561-3d12-a949-d37b66d9807d" ] }, { "id" : "ITEM-2", "itemData" : { "DOI" : "10.1037/a0039036", "ISSN" : "0033295X", "PMID" : "25844876", "abstract" : "The human memory system is remarkable in its capacity to focus its search on items learned in a given context. This capacity can be so precise that many leading models of human memory assume that only those items learned in the context of a recently studied list compete for recall. We sought to extend the explanatory scope of these models to include not only intralist phenomena, such as primacy and recency effects, but also interlist phenomena such as proactive and retroactive interference. Building on retrieved temporal context models of memory search (e.g., Polyn, Norman, &amp; Kahana, 2009), we present a substantially revised theory in which memory accumulates across multiple experimental lists, and temporal context is used both to focus retrieval on a target list, and to censor retrieved information when its match to the current context indicates that it was learned in a nontarget list. We show how the resulting model can simultaneously account for a wide range of intralist and interlist phenomena, including the pattern of prior-list intrusions observed in free recall, build-up of and release from proactive interference, and the ability to selectively target retrieval of items on specific prior lists (Jang &amp; Huber, 2008; Shiffrin, 1970). In a new experiment, we verify that subjects\u2019 error monitoring processes are consistent with those predicted by the model.", "author" : [ { "dropping-particle" : "", "family" : "Lohnas", "given" : "Lynn J", "non-dropping-particle" : "", "parse-names" : false, "suffix" : "" }, { "dropping-particle" : "", "family" : "Polyn", "given" : "Sean M", "non-dropping-particle" : "", "parse-names" : false, "suffix" : "" }, { "dropping-particle" : "", "family" : "Kahana", "given" : "Michael Jacob", "non-dropping-particle" : "", "parse-names" : false, "suffix" : "" } ], "container-title" : "Psychological Review", "id" : "ITEM-2", "issue" : "2", "issued" : { "date-parts" : [ [ "2015" ] ] }, "page" : "337-363", "title" : "Expanding the Scope of Memory Search: Modeling Intralist and Interlist Effects in Free Recall", "type" : "article-journal", "volume" : "122" }, "uris" : [ "http://www.mendeley.com/documents/?uuid=e1456abe-962f-46fa-9814-1941586b7e2b" ] }, { "id" : "ITEM-3", "itemData" : { "DOI" : "10.1037/a0014420.A", "author" : [ { "dropping-particle" : "", "family" : "Polyn", "given" : "Sean M", "non-dropping-particle" : "", "parse-names" : false, "suffix" : "" }, { "dropping-particle" : "", "family" : "Norman", "given" : "Kenneth A", "non-dropping-particle" : "", "parse-names" : false, "suffix" : "" }, { "dropping-particle" : "", "family" : "Kahana", "given" : "Michael J", "non-dropping-particle" : "", "parse-names" : false, "suffix" : "" } ], "id" : "ITEM-3", "issue" : "1", "issued" : { "date-parts" : [ [ "2009" ] ] }, "page" : "129-156", "title" : "A context maintenance and retrieval model of organizational processes in free recall", "type" : "article-journal", "volume" : "116" }, "uris" : [ "http://www.mendeley.com/documents/?uuid=332b768b-157f-44b6-b42c-04445440d695" ] } ], "mendeley" : { "formattedCitation" : "(Howard &amp; Kahana, 2002a; Lohnas et al., 2015; Polyn et al., 2009)", "plainTextFormattedCitation" : "(Howard &amp; Kahana, 2002a; Lohnas et al., 2015; Polyn et al., 2009)", "previouslyFormattedCitation" : "(Howard &amp; Kahana, 2002a; Lohnas et al., 2015; Polyn et al., 2009)" }, "properties" : { "noteIndex" : 0 }, "schema" : "https://github.com/citation-style-language/schema/raw/master/csl-citation.json" }</w:instrText>
      </w:r>
      <w:r w:rsidR="00591DC7" w:rsidRPr="004946F6">
        <w:fldChar w:fldCharType="separate"/>
      </w:r>
      <w:r w:rsidR="00EF5E2B" w:rsidRPr="004946F6">
        <w:rPr>
          <w:noProof/>
        </w:rPr>
        <w:t>(Howard &amp; Kahana, 2002a; Lohnas et al., 2015; Polyn et al., 2009)</w:t>
      </w:r>
      <w:r w:rsidR="00591DC7" w:rsidRPr="004946F6">
        <w:fldChar w:fldCharType="end"/>
      </w:r>
      <w:r w:rsidR="00052A2D">
        <w:t>, here specifically the source context</w:t>
      </w:r>
      <w:r w:rsidR="008D41F4" w:rsidRPr="004946F6">
        <w:t>. eCMR therefore is compatible with the</w:t>
      </w:r>
      <w:r w:rsidR="00591DC7" w:rsidRPr="004946F6">
        <w:t xml:space="preserve"> suggestion that emotional stimuli are bound more strongly to their context </w:t>
      </w:r>
      <w:r w:rsidR="00591DC7" w:rsidRPr="004946F6">
        <w:fldChar w:fldCharType="begin" w:fldLock="1"/>
      </w:r>
      <w:r w:rsidR="001D24FF">
        <w:instrText>ADDIN CSL_CITATION { "citationItems" : [ { "id" : "ITEM-1", "itemData" : { "DOI" : "10.3758/BF03195840", "ISBN" : "0090-502X", "ISSN" : "0090-502X", "PMID" : "15285130", "abstract" : "This article reports five experiments demonstrating theoretically coherent effects of emotion on memory and attention. Experiments 1-3 demonstrated three taboo Stroop effects that occur when people name the color of taboo words. One effect is longer color-naming times for taboo than for neutral words, an effect that diminishes with word repetition. The second effect is superior recall of taboo words in surprise memory tests following color naming. The third effect is better recognition memory for colors consistently associated with taboo words rather than with neutral words. None of these effects was due to retrieval factors, attentional disengagement processes, response inhibition, or strategic attention shifts. Experiments 4 and 5 demonstrated that taboo words impair immediate recall of the preceding and succeeding words in rapidly presented lists but do not impair lexical decision times. We argue that taboo words trigger specific emotional reactions that facilitate the binding of taboo word meaning to salient contextual aspects, such as occurrence in a task and font color in taboo Stroop tasks.", "author" : [ { "dropping-particle" : "", "family" : "MacKay", "given" : "Donald G", "non-dropping-particle" : "", "parse-names" : false, "suffix" : "" }, { "dropping-particle" : "", "family" : "Shafto", "given" : "Meredith", "non-dropping-particle" : "", "parse-names" : false, "suffix" : "" }, { "dropping-particle" : "", "family" : "Taylor", "given" : "Jennifer K", "non-dropping-particle" : "", "parse-names" : false, "suffix" : "" }, { "dropping-particle" : "", "family" : "Marian", "given" : "Diane E", "non-dropping-particle" : "", "parse-names" : false, "suffix" : "" }, { "dropping-particle" : "", "family" : "Abrams", "given" : "Lise", "non-dropping-particle" : "", "parse-names" : false, "suffix" : "" }, { "dropping-particle" : "", "family" : "Dyer", "given" : "Jennifer R", "non-dropping-particle" : "", "parse-names" : false, "suffix" : "" } ], "container-title" : "Memory &amp; cognition", "id" : "ITEM-1", "issue" : "3", "issued" : { "date-parts" : [ [ "2004" ] ] }, "page" : "474-488", "title" : "Relations between emotion, memory, and attention: evidence from taboo stroop, lexical decision, and immediate memory tasks.", "type" : "article-journal", "volume" : "32" }, "uris" : [ "http://www.mendeley.com/documents/?uuid=3b8049ad-5db0-4a06-bef0-d168e3dac90e" ] }, { "id" : "ITEM-2", "itemData" : { "DOI" : "10.1037/0278-7393.32.1.79", "ISBN" : "0278-7393", "ISSN" : "0278-7393", "PMID" : "16478342", "abstract" : "People recall taboo words better than neutral words in many experimental contexts. The present rapid serial visual presentation (RSVP) experiments demonstrated this taboo-superiority effect for immediate recall of mixed lists containing taboo and neutral words matched for familiarity, length, and category coherence. Under binding theory (MacKay et al., 2004), taboo superiority reflects an interference effect: Because the emotional reaction system prioritizes binding mechanisms for linking the source of an emotion to its context, taboo words capture the mechanisms for encoding list context in mixed lists, impairing the encoding of adjacent neutral words when RSVP rates are sufficiently rapid. However, for pure or unmixed lists, binding theory predicted no better recall of taboo-only than of neutral-only lists at fast or slow rates. Present results supported this prediction, suggesting that taboo superiority in immediate recall reflects context-specific binding processes, rather than context-free arousal effects, or emotion-linked differences in rehearsal, processing time, output interference, time-based decay, or guessing biases.", "author" : [ { "dropping-particle" : "", "family" : "Hadley", "given" : "Christopher B", "non-dropping-particle" : "", "parse-names" : false, "suffix" : "" }, { "dropping-particle" : "", "family" : "MacKay", "given" : "Donald G", "non-dropping-particle" : "", "parse-names" : false, "suffix" : "" } ], "container-title" : "Journal of Experimental Psychology: Learning, Memory, and Cognition", "id" : "ITEM-2", "issue" : "1", "issued" : { "date-parts" : [ [ "2006" ] ] }, "page" : "79-88", "title" : "Does emotion help or hinder immediate memory? Arousal versus priority-binding mechanisms.", "type" : "article-journal", "volume" : "32" }, "uris" : [ "http://www.mendeley.com/documents/?uuid=c199cda2-d224-4e03-8392-8c9c5f89ca2c" ] }, { "id" : "ITEM-3", "itemData" : { "DOI" : "10.1111/j.0956-7976.2005.00776.x", "ISBN" : "0956-7976", "ISSN" : "09567976", "PMID" : "15660848", "abstract" : "This study tested the binding hypothesis: that emotional reactions trigger binding mechanisms that link an emotional event to salient contextual features such as event location, a frequently recalled aspect of naturally occurring flash-bulb memories. Our emotional events were taboo words in a Stroop color-naming task, and event location was manipulated by presenting the words in different task-irrelevant screen locations. Seventy-two participants named the font color of taboo and neutral words, with instructions to ignore word meaning; in one condition, several words were location consistent (i.e., always occupied the same screen location), whereas in another condition, several colors were location consistent. Then, in a surprise recognition memory test, participants recalled the locations of location-consistent words or colors. Although attention enhanced overall location memory for colors (the attended dimension during color naming), emotion (taboo vs. neutral words) enhanced location memory for words but not colors. These results support the binding hypothesis but contradict the hypothesis that emotional events induce image-like memories more often than non-emotional events.", "author" : [ { "dropping-particle" : "", "family" : "MacKay", "given" : "Donald G.", "non-dropping-particle" : "", "parse-names" : false, "suffix" : "" }, { "dropping-particle" : "V.", "family" : "Ahmetzanov", "given" : "Marat", "non-dropping-particle" : "", "parse-names" : false, "suffix" : "" } ], "container-title" : "Psychological Science", "id" : "ITEM-3", "issue" : "1", "issued" : { "date-parts" : [ [ "2005" ] ] }, "page" : "25-32", "title" : "Emotion, memory, and attention in the taboo stroop paradigm an experimental analogue of flashbulb memories", "type" : "article-journal", "volume" : "16" }, "uris" : [ "http://www.mendeley.com/documents/?uuid=0b5f6cec-16b8-4e58-bdbe-8558cad8cbb3" ] } ], "mendeley" : { "formattedCitation" : "(Hadley &amp; MacKay, 2006; MacKay et al., 2004; MacKay &amp; Ahmetzanov, 2005)", "plainTextFormattedCitation" : "(Hadley &amp; MacKay, 2006; MacKay et al., 2004; MacKay &amp; Ahmetzanov, 2005)", "previouslyFormattedCitation" : "(Hadley &amp; MacKay, 2006; MacKay et al., 2004; MacKay &amp; Ahmetzanov, 2005)" }, "properties" : { "noteIndex" : 0 }, "schema" : "https://github.com/citation-style-language/schema/raw/master/csl-citation.json" }</w:instrText>
      </w:r>
      <w:r w:rsidR="00591DC7" w:rsidRPr="004946F6">
        <w:fldChar w:fldCharType="separate"/>
      </w:r>
      <w:r w:rsidR="00AB7648" w:rsidRPr="00AB7648">
        <w:rPr>
          <w:noProof/>
        </w:rPr>
        <w:t>(Hadley &amp; MacKay, 2006; MacKay et al., 2004; MacKay &amp; Ahmetzanov, 2005)</w:t>
      </w:r>
      <w:r w:rsidR="00591DC7" w:rsidRPr="004946F6">
        <w:fldChar w:fldCharType="end"/>
      </w:r>
      <w:r w:rsidR="008D41F4" w:rsidRPr="004946F6">
        <w:t xml:space="preserve">, although it specifies that the increased binding is with the </w:t>
      </w:r>
      <w:r w:rsidR="00FA068B" w:rsidRPr="004946F6">
        <w:t>sub-region of the encoding context that represented the items’ source</w:t>
      </w:r>
      <w:r w:rsidRPr="004946F6">
        <w:t>.</w:t>
      </w:r>
      <w:r w:rsidR="00E64298" w:rsidRPr="004946F6">
        <w:t xml:space="preserve"> </w:t>
      </w:r>
      <w:r w:rsidR="00591DC7" w:rsidRPr="004946F6">
        <w:t>C</w:t>
      </w:r>
      <w:r w:rsidR="00DE7601" w:rsidRPr="004946F6">
        <w:t>rucially</w:t>
      </w:r>
      <w:r w:rsidR="00591DC7" w:rsidRPr="004946F6">
        <w:t>, eCMR</w:t>
      </w:r>
      <w:r w:rsidR="00DE7601" w:rsidRPr="004946F6">
        <w:t xml:space="preserve"> goes </w:t>
      </w:r>
      <w:r w:rsidR="00E64298" w:rsidRPr="004946F6">
        <w:t xml:space="preserve">beyond </w:t>
      </w:r>
      <w:r w:rsidR="008D41F4" w:rsidRPr="004946F6">
        <w:t>previous</w:t>
      </w:r>
      <w:r w:rsidR="00E64298" w:rsidRPr="004946F6">
        <w:t xml:space="preserve"> work, </w:t>
      </w:r>
      <w:r w:rsidRPr="004946F6">
        <w:t xml:space="preserve">revealing </w:t>
      </w:r>
      <w:r w:rsidR="000265F9" w:rsidRPr="004946F6">
        <w:t xml:space="preserve">that </w:t>
      </w:r>
      <w:r w:rsidR="00BB081D" w:rsidRPr="004946F6">
        <w:t>emotion-enhanced memory</w:t>
      </w:r>
      <w:r w:rsidR="000265F9" w:rsidRPr="004946F6">
        <w:t xml:space="preserve"> is not solely a result of </w:t>
      </w:r>
      <w:r w:rsidR="00591DC7" w:rsidRPr="004946F6">
        <w:t xml:space="preserve">prioritised </w:t>
      </w:r>
      <w:r w:rsidR="000265F9" w:rsidRPr="004946F6">
        <w:t>encoding</w:t>
      </w:r>
      <w:r w:rsidR="00B72B93" w:rsidRPr="004946F6">
        <w:t xml:space="preserve">, but is also the result of retrieval competition, </w:t>
      </w:r>
      <w:r w:rsidR="00753544" w:rsidRPr="004946F6">
        <w:t xml:space="preserve">extending to this situation </w:t>
      </w:r>
      <w:r w:rsidR="00B72B93" w:rsidRPr="004946F6">
        <w:t>the logic of CMR (Polyn et al., 2009) and its predecessors</w:t>
      </w:r>
      <w:r w:rsidR="00E64298" w:rsidRPr="004946F6">
        <w:t xml:space="preserve">. </w:t>
      </w:r>
      <w:r w:rsidRPr="004946F6">
        <w:t xml:space="preserve">The increased </w:t>
      </w:r>
      <w:r w:rsidR="00B72B93" w:rsidRPr="004946F6">
        <w:t xml:space="preserve">association strength between </w:t>
      </w:r>
      <w:r w:rsidRPr="004946F6">
        <w:t xml:space="preserve">emotional </w:t>
      </w:r>
      <w:r w:rsidR="004D756F" w:rsidRPr="004946F6">
        <w:t xml:space="preserve">stimuli </w:t>
      </w:r>
      <w:r w:rsidR="00B72B93" w:rsidRPr="004946F6">
        <w:t>and their</w:t>
      </w:r>
      <w:r w:rsidR="004D756F" w:rsidRPr="004946F6">
        <w:t xml:space="preserve"> </w:t>
      </w:r>
      <w:r w:rsidR="003B40B3" w:rsidRPr="004946F6">
        <w:t>source</w:t>
      </w:r>
      <w:r w:rsidR="004D756F" w:rsidRPr="004946F6">
        <w:t xml:space="preserve"> context</w:t>
      </w:r>
      <w:r w:rsidR="00B72B93" w:rsidRPr="004946F6">
        <w:t xml:space="preserve">, </w:t>
      </w:r>
      <w:r w:rsidR="008D41F4" w:rsidRPr="004946F6">
        <w:t xml:space="preserve">and the shared </w:t>
      </w:r>
      <w:r w:rsidR="003B40B3" w:rsidRPr="004946F6">
        <w:t>source</w:t>
      </w:r>
      <w:r w:rsidRPr="004946F6">
        <w:t xml:space="preserve"> context </w:t>
      </w:r>
      <w:r w:rsidR="008D41F4" w:rsidRPr="004946F6">
        <w:t xml:space="preserve">among </w:t>
      </w:r>
      <w:r w:rsidR="00B72B93" w:rsidRPr="004946F6">
        <w:t>emotional items, render emotional items more competitive during retrieval</w:t>
      </w:r>
      <w:r w:rsidR="003B09AB" w:rsidRPr="004946F6">
        <w:t xml:space="preserve"> even when their semantic cohesiveness is equated with that of neutral stimuli</w:t>
      </w:r>
      <w:r w:rsidR="00B72B93" w:rsidRPr="004946F6">
        <w:t xml:space="preserve">. </w:t>
      </w:r>
      <w:r w:rsidR="00052A2D">
        <w:t>W</w:t>
      </w:r>
      <w:r w:rsidR="00B72B93" w:rsidRPr="004946F6">
        <w:t>hen the model attempts to retrieve emotional and neutral items that were encoded together</w:t>
      </w:r>
      <w:r w:rsidR="008D41F4" w:rsidRPr="004946F6">
        <w:t xml:space="preserve"> in mixed lists</w:t>
      </w:r>
      <w:r w:rsidR="00753544" w:rsidRPr="004946F6">
        <w:t>,</w:t>
      </w:r>
      <w:r w:rsidR="00B72B93" w:rsidRPr="004946F6">
        <w:t xml:space="preserve"> the e</w:t>
      </w:r>
      <w:r w:rsidR="004D756F" w:rsidRPr="004946F6">
        <w:t xml:space="preserve">motional </w:t>
      </w:r>
      <w:r w:rsidR="00B72B93" w:rsidRPr="004946F6">
        <w:t xml:space="preserve">ones </w:t>
      </w:r>
      <w:r w:rsidR="004D756F" w:rsidRPr="004946F6">
        <w:t xml:space="preserve">are recalled early and promote each other’s recall, which interferes with </w:t>
      </w:r>
      <w:r w:rsidR="008D41F4" w:rsidRPr="004946F6">
        <w:t xml:space="preserve">and delays </w:t>
      </w:r>
      <w:r w:rsidR="004D756F" w:rsidRPr="004946F6">
        <w:t xml:space="preserve">the recall of neutral stimuli. </w:t>
      </w:r>
      <w:r w:rsidR="0005680D" w:rsidRPr="004946F6">
        <w:t xml:space="preserve">When </w:t>
      </w:r>
      <w:r w:rsidR="008D41F4" w:rsidRPr="004946F6">
        <w:t>the memory test takes place after a prolonged interval</w:t>
      </w:r>
      <w:r w:rsidR="00C27DAB" w:rsidRPr="004946F6">
        <w:t>,</w:t>
      </w:r>
      <w:r w:rsidR="008D41F4" w:rsidRPr="004946F6">
        <w:t xml:space="preserve"> </w:t>
      </w:r>
      <w:r w:rsidR="0005680D" w:rsidRPr="004946F6">
        <w:t>the model assumes that the temporal context is less diagnostic</w:t>
      </w:r>
      <w:r w:rsidR="003C25BB" w:rsidRPr="004946F6">
        <w:t>, so</w:t>
      </w:r>
      <w:r w:rsidR="008D41F4" w:rsidRPr="004946F6">
        <w:t xml:space="preserve"> </w:t>
      </w:r>
      <w:r w:rsidR="0005680D" w:rsidRPr="004946F6">
        <w:t xml:space="preserve">non-temporal context features </w:t>
      </w:r>
      <w:r w:rsidR="008D41F4" w:rsidRPr="004946F6">
        <w:t>such as shared emotional context and the oft-stronger semantic associations between emotionally</w:t>
      </w:r>
      <w:r w:rsidR="00F0278E" w:rsidRPr="004946F6">
        <w:t xml:space="preserve"> </w:t>
      </w:r>
      <w:r w:rsidR="008D41F4" w:rsidRPr="004946F6">
        <w:t>arousing stimuli</w:t>
      </w:r>
      <w:r w:rsidR="00C27DAB" w:rsidRPr="004946F6">
        <w:t xml:space="preserve"> </w:t>
      </w:r>
      <w:r w:rsidR="004D756F" w:rsidRPr="004946F6">
        <w:t xml:space="preserve">boost retrieval chances even more. </w:t>
      </w:r>
      <w:r w:rsidR="003C25BB" w:rsidRPr="004946F6">
        <w:t xml:space="preserve">But when emotional items compete against </w:t>
      </w:r>
      <w:r w:rsidR="003B09AB" w:rsidRPr="004946F6">
        <w:t>other</w:t>
      </w:r>
      <w:r w:rsidR="003C25BB" w:rsidRPr="004946F6">
        <w:t xml:space="preserve"> highly-attended emotional items, the extra attention they receive at encoding does not help very much at retrieval, so that, recall of pure emotional lists </w:t>
      </w:r>
      <w:r w:rsidR="003B09AB" w:rsidRPr="004946F6">
        <w:t>is a lot closer to</w:t>
      </w:r>
      <w:r w:rsidR="003C25BB" w:rsidRPr="004946F6">
        <w:t xml:space="preserve"> recall of pure neutral lists. </w:t>
      </w:r>
      <w:r w:rsidR="00B01DAC" w:rsidRPr="004946F6">
        <w:t>In summary</w:t>
      </w:r>
      <w:r w:rsidR="004D756F" w:rsidRPr="004946F6">
        <w:t xml:space="preserve">, </w:t>
      </w:r>
      <w:r w:rsidR="003C5271" w:rsidRPr="004946F6">
        <w:t xml:space="preserve">eCMR </w:t>
      </w:r>
      <w:r w:rsidR="004D756F" w:rsidRPr="004946F6">
        <w:t xml:space="preserve">uses the established mechanisms of retrieved context models to describe </w:t>
      </w:r>
      <w:r w:rsidR="00BB081D" w:rsidRPr="004946F6">
        <w:t>emotion-enhanced memory</w:t>
      </w:r>
      <w:r w:rsidR="004D756F" w:rsidRPr="004946F6">
        <w:t xml:space="preserve"> as a consequence the interplay between encoding</w:t>
      </w:r>
      <w:r w:rsidR="00840BC3" w:rsidRPr="004946F6">
        <w:t>, maintenance,</w:t>
      </w:r>
      <w:r w:rsidR="004D756F" w:rsidRPr="004946F6">
        <w:t xml:space="preserve"> and retrieval effects.</w:t>
      </w:r>
    </w:p>
    <w:p w14:paraId="1D56E341" w14:textId="3CEF439A" w:rsidR="008D41F4" w:rsidRPr="004946F6" w:rsidRDefault="004D756F">
      <w:pPr>
        <w:spacing w:line="480" w:lineRule="auto"/>
        <w:jc w:val="both"/>
      </w:pPr>
      <w:r w:rsidRPr="004946F6">
        <w:t>T</w:t>
      </w:r>
      <w:r w:rsidR="00E64298" w:rsidRPr="004946F6">
        <w:t xml:space="preserve">he data presented here </w:t>
      </w:r>
      <w:r w:rsidR="00DE7601" w:rsidRPr="004946F6">
        <w:t xml:space="preserve">support eCMR as a model of </w:t>
      </w:r>
      <w:r w:rsidR="009359CC" w:rsidRPr="004946F6">
        <w:t xml:space="preserve">the effect of emotional arousal on </w:t>
      </w:r>
      <w:r w:rsidR="008D41F4" w:rsidRPr="004946F6">
        <w:t>immediate free recall</w:t>
      </w:r>
      <w:r w:rsidR="00B55463" w:rsidRPr="004946F6">
        <w:t xml:space="preserve">. </w:t>
      </w:r>
      <w:r w:rsidR="003964E5" w:rsidRPr="004946F6">
        <w:t xml:space="preserve">eCMR provided a good qualitative fit for the emotional list composition effect and the emotional oddball effect, phenomena related to differences between the average recall of emotional and neutral stimuli. </w:t>
      </w:r>
      <w:r w:rsidR="003B09AB" w:rsidRPr="004946F6">
        <w:t>In the recall of mixed lists the increased average strength of associations between emotional items and the</w:t>
      </w:r>
      <w:r w:rsidR="003B40B3" w:rsidRPr="004946F6">
        <w:t>ir</w:t>
      </w:r>
      <w:r w:rsidR="003B09AB" w:rsidRPr="004946F6">
        <w:t xml:space="preserve"> context support</w:t>
      </w:r>
      <w:r w:rsidR="003B40B3" w:rsidRPr="004946F6">
        <w:t>ed</w:t>
      </w:r>
      <w:r w:rsidR="003B09AB" w:rsidRPr="004946F6">
        <w:t xml:space="preserve"> their enhanced recall, while in the recall of pure lists </w:t>
      </w:r>
      <w:r w:rsidR="006F387C" w:rsidRPr="004946F6">
        <w:t xml:space="preserve">the increase in </w:t>
      </w:r>
      <w:r w:rsidR="003B40B3" w:rsidRPr="004946F6">
        <w:t xml:space="preserve">the strength of </w:t>
      </w:r>
      <w:r w:rsidR="006F387C" w:rsidRPr="004946F6">
        <w:t>average association</w:t>
      </w:r>
      <w:r w:rsidR="003B40B3" w:rsidRPr="004946F6">
        <w:t xml:space="preserve">s between items and their context </w:t>
      </w:r>
      <w:r w:rsidR="006F387C" w:rsidRPr="004946F6">
        <w:t>no longer matter</w:t>
      </w:r>
      <w:r w:rsidR="003B40B3" w:rsidRPr="004946F6">
        <w:t>ed</w:t>
      </w:r>
      <w:r w:rsidR="003B09AB" w:rsidRPr="004946F6">
        <w:t xml:space="preserve">. </w:t>
      </w:r>
      <w:r w:rsidR="003B40B3" w:rsidRPr="004946F6">
        <w:t xml:space="preserve">In reality, </w:t>
      </w:r>
      <w:r w:rsidR="006F387C" w:rsidRPr="004946F6">
        <w:t xml:space="preserve">what would matter </w:t>
      </w:r>
      <w:r w:rsidR="003B40B3" w:rsidRPr="004946F6">
        <w:t xml:space="preserve">for recall of pure lists </w:t>
      </w:r>
      <w:r w:rsidR="006F387C" w:rsidRPr="004946F6">
        <w:t>would be the fluctuation in attention that individual participants may allocate to individual items. This realisation now provides an explanation to a finding we reported a</w:t>
      </w:r>
      <w:r w:rsidR="00326FE7" w:rsidRPr="004946F6">
        <w:t xml:space="preserve"> few years back, </w:t>
      </w:r>
      <w:r w:rsidR="003B09AB" w:rsidRPr="004946F6">
        <w:t xml:space="preserve">when we </w:t>
      </w:r>
      <w:r w:rsidR="00326FE7" w:rsidRPr="004946F6">
        <w:t>us</w:t>
      </w:r>
      <w:r w:rsidR="003B09AB" w:rsidRPr="004946F6">
        <w:t>ed</w:t>
      </w:r>
      <w:r w:rsidR="00326FE7" w:rsidRPr="004946F6">
        <w:t xml:space="preserve"> structural equation modelling to relate attention at encoding and free recall performance </w:t>
      </w:r>
      <w:r w:rsidR="00326FE7" w:rsidRPr="004946F6">
        <w:fldChar w:fldCharType="begin" w:fldLock="1"/>
      </w:r>
      <w:r w:rsidR="008C25E5" w:rsidRPr="004946F6">
        <w:instrText>ADDIN CSL_CITATION { "citationItems" : [ { "id" : "ITEM-1", "itemData" : { "DOI" : "10.1016/j.jml.2011.07.009", "ISBN" : "0749-596X", "ISSN" : "0749596X", "abstract" : "Memory for emotional events is usually very good even when tested shortly after study, before it is altered by the influence of emotional arousal on consolidation. Immediate emotion-enhanced memory may stem from the influence of emotion on cognitive processes at encoding and retrieval. Our goal was to test which cognitive factors are necessary and sufficient to account for EEM, with a specific focus on clarifying the contribution of attention to this effect. In two experiments, participants encoded negative-arousing and neutral pictures. In Experiment 1, under divided-attention conditions, negative pictures were better attended and recalled even when they were matched with neutral pictures on semantic relatedness and distinctiveness, and attention at encoding predicted subsequent emotion-enhanced memory. The memory advantage for emotional stimuli was only abolished when attention to emotional and neutral stimuli was also matched, under full-attention in Experiment 1 and under divided-attention in Experiment 2. Emotional memory enhancement was larger in Experiment 1 when the control of organization and distinctiveness was relaxed. These findings suggest that attention, organization and distinctiveness provide a necessary and sufficient account for immediate emotion-enhanced free recall memory. \u00a9 2011 Elsevier Inc.", "author" : [ { "dropping-particle" : "", "family" : "Talmi", "given" : "Deborah", "non-dropping-particle" : "", "parse-names" : false, "suffix" : "" }, { "dropping-particle" : "", "family" : "McGarry", "given" : "Lucy M.", "non-dropping-particle" : "", "parse-names" : false, "suffix" : "" } ], "container-title" : "Journal of Memory and Language", "id" : "ITEM-1", "issue" : "1", "issued" : { "date-parts" : [ [ "2012" ] ] }, "page" : "93-108", "publisher" : "Elsevier Inc.", "title" : "Accounting for immediate emotional memory enhancement", "type" : "article-journal", "volume" : "66" }, "uris" : [ "http://www.mendeley.com/documents/?uuid=97f0e13d-8640-4b52-b53c-49419fe1f6a8" ] } ], "mendeley" : { "formattedCitation" : "(Talmi &amp; McGarry, 2012)", "plainTextFormattedCitation" : "(Talmi &amp; McGarry, 2012)", "previouslyFormattedCitation" : "(Talmi &amp; McGarry, 2012)" }, "properties" : { "noteIndex" : 0 }, "schema" : "https://github.com/citation-style-language/schema/raw/master/csl-citation.json" }</w:instrText>
      </w:r>
      <w:r w:rsidR="00326FE7" w:rsidRPr="004946F6">
        <w:fldChar w:fldCharType="separate"/>
      </w:r>
      <w:r w:rsidR="00326FE7" w:rsidRPr="004946F6">
        <w:rPr>
          <w:noProof/>
        </w:rPr>
        <w:t>(Talmi &amp; McGarry, 2012)</w:t>
      </w:r>
      <w:r w:rsidR="00326FE7" w:rsidRPr="004946F6">
        <w:fldChar w:fldCharType="end"/>
      </w:r>
      <w:r w:rsidR="00326FE7" w:rsidRPr="004946F6">
        <w:t>. Participants in that study encoded pure and mixed lists of emotional and neutral pictures under full or divided attention. Performance on the concurrent task worsened in terms of accuracy and reaction time when participants encoded emotional, compared to neutral pictures</w:t>
      </w:r>
      <w:r w:rsidR="00836FDB" w:rsidRPr="004946F6">
        <w:t>, regardless of list composition</w:t>
      </w:r>
      <w:r w:rsidR="00326FE7" w:rsidRPr="004946F6">
        <w:t xml:space="preserve">. We </w:t>
      </w:r>
      <w:r w:rsidR="000D1E16" w:rsidRPr="004946F6">
        <w:t>used performance on the concurrent task to compute an attention score for every picture (across participants)</w:t>
      </w:r>
      <w:r w:rsidR="00326FE7" w:rsidRPr="004946F6">
        <w:t xml:space="preserve">, a measure which correlated with the arousal ratings </w:t>
      </w:r>
      <w:r w:rsidR="000D1E16" w:rsidRPr="004946F6">
        <w:t>each picture received</w:t>
      </w:r>
      <w:r w:rsidR="00326FE7" w:rsidRPr="004946F6">
        <w:t xml:space="preserve">. Intriguingly, we found that in </w:t>
      </w:r>
      <w:r w:rsidR="00345F3D" w:rsidRPr="004946F6">
        <w:t xml:space="preserve">free recall of </w:t>
      </w:r>
      <w:r w:rsidR="00326FE7" w:rsidRPr="004946F6">
        <w:t xml:space="preserve">mixed lists arousal ratings predicted recall directly, </w:t>
      </w:r>
      <w:r w:rsidR="000D1E16" w:rsidRPr="004946F6">
        <w:t xml:space="preserve">an effect which was not </w:t>
      </w:r>
      <w:r w:rsidR="00326FE7" w:rsidRPr="004946F6">
        <w:t>mediated by attention</w:t>
      </w:r>
      <w:r w:rsidR="00836FDB" w:rsidRPr="004946F6">
        <w:t>;</w:t>
      </w:r>
      <w:r w:rsidR="00326FE7" w:rsidRPr="004946F6">
        <w:t xml:space="preserve"> but in pure lists the effect of arousal on memory was completely mediated by attention. </w:t>
      </w:r>
      <w:r w:rsidR="00C27DAB" w:rsidRPr="004946F6">
        <w:t>The current modelling explains th</w:t>
      </w:r>
      <w:r w:rsidR="00BE3E45" w:rsidRPr="004946F6">
        <w:t>e</w:t>
      </w:r>
      <w:r w:rsidR="00C27DAB" w:rsidRPr="004946F6">
        <w:t>s</w:t>
      </w:r>
      <w:r w:rsidR="00BE3E45" w:rsidRPr="004946F6">
        <w:t>e</w:t>
      </w:r>
      <w:r w:rsidR="00C27DAB" w:rsidRPr="004946F6">
        <w:t xml:space="preserve"> findings because a little more</w:t>
      </w:r>
      <w:r w:rsidR="000D1E16" w:rsidRPr="004946F6">
        <w:t xml:space="preserve"> attention to particularly arousing pictures </w:t>
      </w:r>
      <w:r w:rsidR="003B40B3" w:rsidRPr="004946F6">
        <w:t xml:space="preserve">in a pure list </w:t>
      </w:r>
      <w:r w:rsidR="000D1E16" w:rsidRPr="004946F6">
        <w:t xml:space="preserve">can certainly boost retrieval success, but its impact will be drowned out in mixed lists when all emotional items are attended </w:t>
      </w:r>
      <w:r w:rsidR="003B40B3" w:rsidRPr="004946F6">
        <w:t xml:space="preserve">a lot </w:t>
      </w:r>
      <w:r w:rsidR="000D1E16" w:rsidRPr="004946F6">
        <w:t xml:space="preserve">more than all neutral items. </w:t>
      </w:r>
    </w:p>
    <w:p w14:paraId="631D938B" w14:textId="4A2B9E3B" w:rsidR="00DA6A43" w:rsidRPr="004946F6" w:rsidRDefault="00276F98">
      <w:pPr>
        <w:spacing w:line="480" w:lineRule="auto"/>
        <w:jc w:val="both"/>
        <w:rPr>
          <w:lang w:bidi="he-IL"/>
        </w:rPr>
      </w:pPr>
      <w:r w:rsidRPr="004946F6">
        <w:t>A list with one emotional oddball is also, in a way, a mixed list. eCMR capture</w:t>
      </w:r>
      <w:r w:rsidR="00403EDD" w:rsidRPr="004946F6">
        <w:t>d</w:t>
      </w:r>
      <w:r w:rsidRPr="004946F6">
        <w:t xml:space="preserve"> the emotional oddball effect too, under the assumption that </w:t>
      </w:r>
      <w:r w:rsidR="00DE1AE5" w:rsidRPr="004946F6">
        <w:t xml:space="preserve">an </w:t>
      </w:r>
      <w:r w:rsidRPr="004946F6">
        <w:t xml:space="preserve">oddball </w:t>
      </w:r>
      <w:r w:rsidR="003B40B3" w:rsidRPr="004946F6">
        <w:t xml:space="preserve">attracts more attention than </w:t>
      </w:r>
      <w:r w:rsidR="00DE1AE5" w:rsidRPr="004946F6">
        <w:t xml:space="preserve">an emotional </w:t>
      </w:r>
      <w:r w:rsidR="003B40B3" w:rsidRPr="004946F6">
        <w:t>item in a list with many other emotional items</w:t>
      </w:r>
      <w:r w:rsidR="00DE1AE5" w:rsidRPr="004946F6">
        <w:t xml:space="preserve"> – an assumption that should be investigated empirically</w:t>
      </w:r>
      <w:r w:rsidRPr="004946F6">
        <w:t xml:space="preserve">. </w:t>
      </w:r>
      <w:r w:rsidR="00961C1B" w:rsidRPr="004946F6">
        <w:t>Without that assumption the recall of oddballs was poor</w:t>
      </w:r>
      <w:r w:rsidR="00DE1AE5" w:rsidRPr="004946F6">
        <w:t>er than the recall of control items</w:t>
      </w:r>
      <w:r w:rsidR="00961C1B" w:rsidRPr="004946F6">
        <w:t xml:space="preserve">; but increased attention </w:t>
      </w:r>
      <w:r w:rsidR="00DE1AE5" w:rsidRPr="004946F6">
        <w:t xml:space="preserve">to the oddball </w:t>
      </w:r>
      <w:r w:rsidR="00961C1B" w:rsidRPr="004946F6">
        <w:t xml:space="preserve">resulted in good memory for </w:t>
      </w:r>
      <w:r w:rsidR="00DE1AE5" w:rsidRPr="004946F6">
        <w:t>it</w:t>
      </w:r>
      <w:r w:rsidR="00961C1B" w:rsidRPr="004946F6">
        <w:t xml:space="preserve">, </w:t>
      </w:r>
      <w:r w:rsidR="00DE1AE5" w:rsidRPr="004946F6">
        <w:t xml:space="preserve">as well as </w:t>
      </w:r>
      <w:r w:rsidR="00961C1B" w:rsidRPr="004946F6">
        <w:t xml:space="preserve">a decrease in memory for items in nearby positions. </w:t>
      </w:r>
      <w:r w:rsidR="00DE1AE5" w:rsidRPr="004946F6">
        <w:t xml:space="preserve">Empirical data suggested that only the latter was </w:t>
      </w:r>
      <w:r w:rsidR="00961C1B" w:rsidRPr="004946F6">
        <w:t>specific to emotional oddballs</w:t>
      </w:r>
      <w:r w:rsidR="00CD6939">
        <w:t xml:space="preserve">, such that </w:t>
      </w:r>
      <w:r w:rsidR="00DE1AE5" w:rsidRPr="004946F6">
        <w:t xml:space="preserve"> </w:t>
      </w:r>
      <w:r w:rsidR="00CD6939">
        <w:t xml:space="preserve">anterograte and retrograde amnesia around the oddball </w:t>
      </w:r>
      <w:r w:rsidR="00DE1AE5" w:rsidRPr="004946F6">
        <w:t xml:space="preserve">only </w:t>
      </w:r>
      <w:r w:rsidR="00CD6939">
        <w:t>occur</w:t>
      </w:r>
      <w:r w:rsidR="00DE1AE5" w:rsidRPr="004946F6">
        <w:t xml:space="preserve"> </w:t>
      </w:r>
      <w:r w:rsidR="00CD6939">
        <w:t xml:space="preserve">because </w:t>
      </w:r>
      <w:r w:rsidR="00DA6A43" w:rsidRPr="004946F6">
        <w:t xml:space="preserve">an </w:t>
      </w:r>
      <w:r w:rsidR="00DE1AE5" w:rsidRPr="004946F6">
        <w:t xml:space="preserve">emotional </w:t>
      </w:r>
      <w:r w:rsidR="00DA6A43" w:rsidRPr="004946F6">
        <w:t xml:space="preserve">oddball disrupts the temporal context </w:t>
      </w:r>
      <w:r w:rsidR="00DE1AE5" w:rsidRPr="004946F6">
        <w:t xml:space="preserve">more than a neutral oddball - </w:t>
      </w:r>
      <w:r w:rsidR="00DA6A43" w:rsidRPr="004946F6">
        <w:t>a novel prediction</w:t>
      </w:r>
      <w:r w:rsidR="00DE1AE5" w:rsidRPr="004946F6">
        <w:t>. This prediction can</w:t>
      </w:r>
      <w:r w:rsidR="00DA6A43" w:rsidRPr="004946F6">
        <w:t xml:space="preserve"> be tested empirically</w:t>
      </w:r>
      <w:r w:rsidR="00DE1AE5" w:rsidRPr="004946F6">
        <w:t xml:space="preserve"> through </w:t>
      </w:r>
      <w:r w:rsidR="00DE1AE5" w:rsidRPr="004946F6">
        <w:rPr>
          <w:lang w:bidi="he-IL"/>
        </w:rPr>
        <w:t>r</w:t>
      </w:r>
      <w:r w:rsidR="00DA6A43" w:rsidRPr="004946F6">
        <w:rPr>
          <w:lang w:bidi="he-IL"/>
        </w:rPr>
        <w:t>etrospective time estimations</w:t>
      </w:r>
      <w:r w:rsidR="00DE1AE5" w:rsidRPr="004946F6">
        <w:rPr>
          <w:lang w:bidi="he-IL"/>
        </w:rPr>
        <w:t>,</w:t>
      </w:r>
      <w:r w:rsidR="00DA6A43" w:rsidRPr="004946F6">
        <w:rPr>
          <w:lang w:bidi="he-IL"/>
        </w:rPr>
        <w:t xml:space="preserve"> </w:t>
      </w:r>
      <w:r w:rsidR="003F7BE3" w:rsidRPr="004946F6">
        <w:rPr>
          <w:lang w:bidi="he-IL"/>
        </w:rPr>
        <w:t xml:space="preserve">which </w:t>
      </w:r>
      <w:r w:rsidR="00DA6A43" w:rsidRPr="004946F6">
        <w:rPr>
          <w:lang w:bidi="he-IL"/>
        </w:rPr>
        <w:t xml:space="preserve">are sensitive to the number of different patterns that are encoded into episodic memory </w:t>
      </w:r>
      <w:r w:rsidR="00DA6A43" w:rsidRPr="004946F6">
        <w:rPr>
          <w:lang w:bidi="he-IL"/>
        </w:rPr>
        <w:fldChar w:fldCharType="begin" w:fldLock="1"/>
      </w:r>
      <w:r w:rsidR="008C25E5" w:rsidRPr="004946F6">
        <w:rPr>
          <w:lang w:bidi="he-IL"/>
        </w:rPr>
        <w:instrText>ADDIN CSL_CITATION { "citationItems" : [ { "id" : "ITEM-1", "itemData" : { "abstract" : "When remembering an event, not only do we recollect what happened, when and where it happened, but also how it unfolded over time. What aspects of events are encoded in memory to support this recollection? This question is central for understanding the nature of event memories and our reconstruction of the time passed. In this article, we investigate how the spontaneous encoding of unfamiliar animations during learning influences the recollection of how these animations unfold. Specifically, we examine two structural properties of dynamic event sequences known to modulate the amount of information encoded in memory: the perceived number of sub-events and their perceived similarity. We found that despite clock duration remaining constant, more sub-events and less similar ones led to longer recognition memory latencies, duration judgments and mental event replaying. In particular, across stimulus animations, both the perceived number of sub-events and their degree of similarity contributed to the prediction of duration judgments and the length of mental event reproductions. Results indicate that the number and nature of sub-events in a sequence modulate how we reconstruct its duration and temporal unfolding, thus suggesting that these event properties, which mediate the amount of information encoded for an event, modulate the subsequent recollection of its temporal unfolding.", "author" : [ { "dropping-particle" : "", "family" : "Faber", "given" : "M.", "non-dropping-particle" : "", "parse-names" : false, "suffix" : "" }, { "dropping-particle" : "", "family" : "Gennari", "given" : "S.P.", "non-dropping-particle" : "", "parse-names" : false, "suffix" : "" } ], "container-title" : "Cognition", "id" : "ITEM-1", "issued" : { "date-parts" : [ [ "2015" ] ] }, "page" : "193-202", "title" : "In search of lost time: reconstructing the unfolding of events from memory", "type" : "article-journal", "volume" : "143" }, "uris" : [ "http://www.mendeley.com/documents/?uuid=6a44e345-14cf-4711-8f7e-2118882fee71" ] } ], "mendeley" : { "formattedCitation" : "(Faber &amp; Gennari, 2015)", "plainTextFormattedCitation" : "(Faber &amp; Gennari, 2015)", "previouslyFormattedCitation" : "(Faber &amp; Gennari, 2015)" }, "properties" : { "noteIndex" : 0 }, "schema" : "https://github.com/citation-style-language/schema/raw/master/csl-citation.json" }</w:instrText>
      </w:r>
      <w:r w:rsidR="00DA6A43" w:rsidRPr="004946F6">
        <w:rPr>
          <w:lang w:bidi="he-IL"/>
        </w:rPr>
        <w:fldChar w:fldCharType="separate"/>
      </w:r>
      <w:r w:rsidR="00DA6A43" w:rsidRPr="004946F6">
        <w:rPr>
          <w:noProof/>
          <w:lang w:bidi="he-IL"/>
        </w:rPr>
        <w:t>(Faber &amp; Gennari, 2015)</w:t>
      </w:r>
      <w:r w:rsidR="00DA6A43" w:rsidRPr="004946F6">
        <w:rPr>
          <w:lang w:bidi="he-IL"/>
        </w:rPr>
        <w:fldChar w:fldCharType="end"/>
      </w:r>
      <w:r w:rsidR="00DA6A43" w:rsidRPr="004946F6">
        <w:rPr>
          <w:lang w:bidi="he-IL"/>
        </w:rPr>
        <w:t xml:space="preserve"> and are thought to index the magnitude of drift of temporal context</w:t>
      </w:r>
      <w:r w:rsidR="006E738D" w:rsidRPr="004946F6">
        <w:rPr>
          <w:lang w:bidi="he-IL"/>
        </w:rPr>
        <w:t xml:space="preserve"> </w:t>
      </w:r>
      <w:r w:rsidR="00DA6A43" w:rsidRPr="004946F6">
        <w:rPr>
          <w:lang w:bidi="he-IL"/>
        </w:rPr>
        <w:fldChar w:fldCharType="begin" w:fldLock="1"/>
      </w:r>
      <w:r w:rsidR="008C25E5" w:rsidRPr="004946F6">
        <w:rPr>
          <w:lang w:bidi="he-IL"/>
        </w:rPr>
        <w:instrText>ADDIN CSL_CITATION { "citationItems" : [ { "id" : "ITEM-1", "itemData" : { "DOI" : "10.1037/a0034250", "PMID" : "23957367", "abstract" : "This investigation aimed to establish retrospective time judgments as markers of internal context change across 2 memory paradigms, the effects of which have been attributed to internal context change by some researchers. Experiment 1 involved the list-method directed forgetting paradigm and established that the forget group significantly overestimated the duration of the experiment compared with the remember group. Experiment 2 involved the list-before-last paradigm, whereby participants studied 3 lists, and in between encoding of List 2 and List 3, some participants retrieved List 1, whereas the control participants restudied List 1. The results showed that the retrieval group significantly overestimated the duration of the experiment compared with the restudy group. Overall, these results support the context-change interpretation of these paradigms, and they also support the contextual-change hypothesis of retrospective timing (Block &amp; Reed, 1978).", "author" : [ { "dropping-particle" : "", "family" : "Sahakyan", "given" : "Lili", "non-dropping-particle" : "", "parse-names" : false, "suffix" : "" }, { "dropping-particle" : "", "family" : "Smith", "given" : "James R.", "non-dropping-particle" : "", "parse-names" : false, "suffix" : "" } ], "container-title" : "Journal of Experimental Psychology: Learning, Memory, and Cognition", "id" : "ITEM-1", "issue" : "1", "issued" : { "date-parts" : [ [ "2014", "1" ] ] }, "page" : "86-93", "title" : "&amp;quot;A long time ago, in a context far, far away&amp;quot;: Retrospective time estimates and internal context change.", "type" : "article-journal", "volume" : "40" }, "uris" : [ "http://www.mendeley.com/documents/?uuid=f2831ce0-f569-38af-9826-a4eccb71373c" ] }, { "id" : "ITEM-2", "itemData" : { "DOI" : "10.1037/0278-7393.4.6.656", "author" : [ { "dropping-particle" : "", "family" : "Block", "given" : "Richard A.", "non-dropping-particle" : "", "parse-names" : false, "suffix" : "" }, { "dropping-particle" : "", "family" : "Reed", "given" : "Marjorie A.", "non-dropping-particle" : "", "parse-names" : false, "suffix" : "" } ], "container-title" : "Journal of Experimental Psychology: Human Learning &amp; Memory", "id" : "ITEM-2", "issue" : "6", "issued" : { "date-parts" : [ [ "1978" ] ] }, "page" : "656-665", "title" : "Remembered duration: Evidence for a contextual-change hypothesis.", "type" : "article-journal", "volume" : "4" }, "uris" : [ "http://www.mendeley.com/documents/?uuid=0636e6b8-6953-37b8-bf80-3b3f1b09d917" ] } ], "mendeley" : { "formattedCitation" : "(Block &amp; Reed, 1978; Sahakyan &amp; Smith, 2014)", "plainTextFormattedCitation" : "(Block &amp; Reed, 1978; Sahakyan &amp; Smith, 2014)", "previouslyFormattedCitation" : "(Block &amp; Reed, 1978; Sahakyan &amp; Smith, 2014)" }, "properties" : { "noteIndex" : 0 }, "schema" : "https://github.com/citation-style-language/schema/raw/master/csl-citation.json" }</w:instrText>
      </w:r>
      <w:r w:rsidR="00DA6A43" w:rsidRPr="004946F6">
        <w:rPr>
          <w:lang w:bidi="he-IL"/>
        </w:rPr>
        <w:fldChar w:fldCharType="separate"/>
      </w:r>
      <w:r w:rsidR="003F7BE3" w:rsidRPr="004946F6">
        <w:rPr>
          <w:noProof/>
          <w:lang w:bidi="he-IL"/>
        </w:rPr>
        <w:t>(Block &amp; Reed, 1978; Sahakyan &amp; Smith, 2014)</w:t>
      </w:r>
      <w:r w:rsidR="00DA6A43" w:rsidRPr="004946F6">
        <w:rPr>
          <w:lang w:bidi="he-IL"/>
        </w:rPr>
        <w:fldChar w:fldCharType="end"/>
      </w:r>
      <w:r w:rsidR="00DA6A43" w:rsidRPr="004946F6">
        <w:rPr>
          <w:lang w:bidi="he-IL"/>
        </w:rPr>
        <w:t xml:space="preserve">. </w:t>
      </w:r>
      <w:r w:rsidR="00DE1AE5" w:rsidRPr="004946F6">
        <w:rPr>
          <w:lang w:bidi="he-IL"/>
        </w:rPr>
        <w:t xml:space="preserve">Recently, </w:t>
      </w:r>
      <w:r w:rsidR="00CD6939">
        <w:rPr>
          <w:lang w:bidi="he-IL"/>
        </w:rPr>
        <w:t xml:space="preserve">evidence emerged </w:t>
      </w:r>
      <w:r w:rsidR="00DA6A43" w:rsidRPr="004946F6">
        <w:rPr>
          <w:lang w:bidi="he-IL"/>
        </w:rPr>
        <w:fldChar w:fldCharType="begin" w:fldLock="1"/>
      </w:r>
      <w:r w:rsidR="008C25E5" w:rsidRPr="004946F6">
        <w:rPr>
          <w:lang w:bidi="he-IL"/>
        </w:rPr>
        <w:instrText>ADDIN CSL_CITATION { "citationItems" : [ { "id" : "ITEM-1", "itemData" : { "abstract" : "This study examined duration judgments for taboo and neutral words in prospective and retrospective timing tasks. In the prospective task, participants attended to time from the beginning and generated shorter duration estimates for taboo than neutral words and for words that they subsequently recalled in a surprise free recall task. These findings suggested that memory encoding took priority over estimating durations, directing attention away from time and causing better recall but shorter perceived durations for taboo than neutral words. However, in the retrospective task, participants only judged durations in a surprise test at the end, and their duration estimates were longer for taboo than neutral words. Present findings therefore suggest that the same emotion-linked memory encoding processes can cause underestimation of durations in prospective tasks but overestimation in retrospective tasks, as if emotion enhances recall of ongoing events but causes overestimation of the durations of those events", "author" : [ { "dropping-particle" : "", "family" : "Johnson", "given" : "Laura W", "non-dropping-particle" : "", "parse-names" : false, "suffix" : "" }, { "dropping-particle" : "", "family" : "Mackay", "given" : "Donald G", "non-dropping-particle" : "", "parse-names" : false, "suffix" : "" } ], "id" : "ITEM-1", "issued" : { "date-parts" : [ [ "0" ] ] }, "title" : "Relations Between Emotion, Memory Encoding, and Time Perception", "type" : "article-journal" }, "uris" : [ "http://www.mendeley.com/documents/?uuid=85343537-4085-3017-81ce-3637f0b7f332" ] } ], "mendeley" : { "formattedCitation" : "(Johnson &amp; Mackay, n.d.)", "plainTextFormattedCitation" : "(Johnson &amp; Mackay, n.d.)", "previouslyFormattedCitation" : "(Johnson &amp; Mackay, n.d.)" }, "properties" : { "noteIndex" : 0 }, "schema" : "https://github.com/citation-style-language/schema/raw/master/csl-citation.json" }</w:instrText>
      </w:r>
      <w:r w:rsidR="00DA6A43" w:rsidRPr="004946F6">
        <w:rPr>
          <w:lang w:bidi="he-IL"/>
        </w:rPr>
        <w:fldChar w:fldCharType="separate"/>
      </w:r>
      <w:r w:rsidR="00DA6A43" w:rsidRPr="004946F6">
        <w:rPr>
          <w:noProof/>
          <w:lang w:bidi="he-IL"/>
        </w:rPr>
        <w:t>(Johnson &amp; Mackay, n.d.)</w:t>
      </w:r>
      <w:r w:rsidR="00DA6A43" w:rsidRPr="004946F6">
        <w:rPr>
          <w:lang w:bidi="he-IL"/>
        </w:rPr>
        <w:fldChar w:fldCharType="end"/>
      </w:r>
      <w:r w:rsidR="00DA6A43" w:rsidRPr="004946F6">
        <w:rPr>
          <w:lang w:bidi="he-IL"/>
        </w:rPr>
        <w:t xml:space="preserve"> </w:t>
      </w:r>
      <w:r w:rsidR="00DE1AE5" w:rsidRPr="004946F6">
        <w:rPr>
          <w:lang w:bidi="he-IL"/>
        </w:rPr>
        <w:t xml:space="preserve">that emotional oddballs disrupt the temporal context. They </w:t>
      </w:r>
      <w:r w:rsidR="00DA6A43" w:rsidRPr="004946F6">
        <w:rPr>
          <w:lang w:bidi="he-IL"/>
        </w:rPr>
        <w:t>presented participants with a list of 6 words</w:t>
      </w:r>
      <w:r w:rsidR="00CD6939">
        <w:rPr>
          <w:lang w:bidi="he-IL"/>
        </w:rPr>
        <w:t>.</w:t>
      </w:r>
      <w:r w:rsidR="00DA6A43" w:rsidRPr="004946F6">
        <w:rPr>
          <w:lang w:bidi="he-IL"/>
        </w:rPr>
        <w:t xml:space="preserve"> At the end of the list participants were asked to estimate the duration of the last word, which was either a taboo word or a neutral word. </w:t>
      </w:r>
      <w:r w:rsidR="00CD6939">
        <w:rPr>
          <w:lang w:bidi="he-IL"/>
        </w:rPr>
        <w:t>Participants estimated t</w:t>
      </w:r>
      <w:r w:rsidR="00DA6A43" w:rsidRPr="004946F6">
        <w:rPr>
          <w:lang w:bidi="he-IL"/>
        </w:rPr>
        <w:t xml:space="preserve">he duration of the taboo word </w:t>
      </w:r>
      <w:r w:rsidR="00CD6939">
        <w:rPr>
          <w:lang w:bidi="he-IL"/>
        </w:rPr>
        <w:t>as</w:t>
      </w:r>
      <w:r w:rsidR="00DE1AE5" w:rsidRPr="004946F6">
        <w:rPr>
          <w:lang w:bidi="he-IL"/>
        </w:rPr>
        <w:t xml:space="preserve"> </w:t>
      </w:r>
      <w:r w:rsidR="00DA6A43" w:rsidRPr="004946F6">
        <w:rPr>
          <w:lang w:bidi="he-IL"/>
        </w:rPr>
        <w:t>longer than the duration of the neutral word</w:t>
      </w:r>
      <w:r w:rsidR="00DE1AE5" w:rsidRPr="004946F6">
        <w:rPr>
          <w:lang w:bidi="he-IL"/>
        </w:rPr>
        <w:t xml:space="preserve">. More direct evidence for </w:t>
      </w:r>
      <w:r w:rsidR="00DA6A43" w:rsidRPr="004946F6">
        <w:rPr>
          <w:lang w:bidi="he-IL"/>
        </w:rPr>
        <w:t>the prediction</w:t>
      </w:r>
      <w:r w:rsidR="00DE1AE5" w:rsidRPr="004946F6">
        <w:rPr>
          <w:lang w:bidi="he-IL"/>
        </w:rPr>
        <w:t>s</w:t>
      </w:r>
      <w:r w:rsidR="00DA6A43" w:rsidRPr="004946F6">
        <w:rPr>
          <w:lang w:bidi="he-IL"/>
        </w:rPr>
        <w:t xml:space="preserve"> of eCMR</w:t>
      </w:r>
      <w:r w:rsidR="00DE1AE5" w:rsidRPr="004946F6">
        <w:rPr>
          <w:lang w:bidi="he-IL"/>
        </w:rPr>
        <w:t xml:space="preserve"> that emotional oddballs disrupt the temporal context more than neutral oddballs will require comparing the taboo word to a neutrally-valenced oddball word</w:t>
      </w:r>
      <w:r w:rsidR="00DA6A43" w:rsidRPr="004946F6">
        <w:rPr>
          <w:lang w:bidi="he-IL"/>
        </w:rPr>
        <w:t xml:space="preserve">. </w:t>
      </w:r>
    </w:p>
    <w:p w14:paraId="54A116F2" w14:textId="69FA2431" w:rsidR="000265F9" w:rsidRPr="004946F6" w:rsidRDefault="003964E5">
      <w:pPr>
        <w:spacing w:line="480" w:lineRule="auto"/>
        <w:jc w:val="both"/>
      </w:pPr>
      <w:r w:rsidRPr="004946F6">
        <w:t xml:space="preserve">eCMR also </w:t>
      </w:r>
      <w:r w:rsidR="009F5A98" w:rsidRPr="004946F6">
        <w:t xml:space="preserve">captured </w:t>
      </w:r>
      <w:r w:rsidRPr="004946F6">
        <w:t>well the dynamics of recall. T</w:t>
      </w:r>
      <w:r w:rsidR="001105C0" w:rsidRPr="004946F6">
        <w:t>he stronger association between emotional stimuli and their context</w:t>
      </w:r>
      <w:r w:rsidR="00403EDD" w:rsidRPr="004946F6">
        <w:t xml:space="preserve"> </w:t>
      </w:r>
      <w:r w:rsidR="007B3E1E" w:rsidRPr="004946F6">
        <w:t xml:space="preserve">in eCMR </w:t>
      </w:r>
      <w:r w:rsidR="001105C0" w:rsidRPr="004946F6">
        <w:t>increase</w:t>
      </w:r>
      <w:r w:rsidR="007B3E1E" w:rsidRPr="004946F6">
        <w:t>s</w:t>
      </w:r>
      <w:r w:rsidR="001105C0" w:rsidRPr="004946F6">
        <w:t xml:space="preserve"> the chances that emotional items will win the retrieval competition early in recall</w:t>
      </w:r>
      <w:r w:rsidR="00403EDD" w:rsidRPr="004946F6">
        <w:t xml:space="preserve">, so the model </w:t>
      </w:r>
      <w:r w:rsidR="00DA6A43" w:rsidRPr="004946F6">
        <w:t xml:space="preserve">predicted </w:t>
      </w:r>
      <w:r w:rsidR="00403EDD" w:rsidRPr="004946F6">
        <w:t xml:space="preserve">earlier </w:t>
      </w:r>
      <w:r w:rsidR="00DA6A43" w:rsidRPr="004946F6">
        <w:t xml:space="preserve">recall </w:t>
      </w:r>
      <w:r w:rsidR="00403EDD" w:rsidRPr="004946F6">
        <w:t xml:space="preserve">of emotional stimuli </w:t>
      </w:r>
      <w:r w:rsidR="00DA6A43" w:rsidRPr="004946F6">
        <w:t>studied in</w:t>
      </w:r>
      <w:r w:rsidR="00403EDD" w:rsidRPr="004946F6">
        <w:t xml:space="preserve"> mixed lists </w:t>
      </w:r>
      <w:r w:rsidR="007B3E1E" w:rsidRPr="004946F6">
        <w:t xml:space="preserve">and </w:t>
      </w:r>
      <w:r w:rsidR="00403EDD" w:rsidRPr="004946F6">
        <w:t>the earlier output of oddball stimuli</w:t>
      </w:r>
      <w:r w:rsidR="001105C0" w:rsidRPr="004946F6">
        <w:t xml:space="preserve">. </w:t>
      </w:r>
      <w:r w:rsidR="00DA6A43" w:rsidRPr="004946F6">
        <w:t xml:space="preserve">This prediction has also been confirmed empirically, as shown here for the list composition effect using a number of different datasets, and reported in the literature on the emotional oddball </w:t>
      </w:r>
      <w:r w:rsidR="00CD6939">
        <w:fldChar w:fldCharType="begin" w:fldLock="1"/>
      </w:r>
      <w:r w:rsidR="00CD6939">
        <w:instrText>ADDIN CSL_CITATION { "citationItems" : [ { "id" : "ITEM-1", "itemData" : { "DOI" : "10.3389/fnhum.2014.00410", "PMID" : "25018721", "abstract" : "Evidence from neuropsychology and neuroimaging indicate that the pre-frontal cortex (PFC) plays an important role in human memory. Although frontal patients are able to form new memories, these memories appear qualitatively different from those of controls by lacking distinctiveness. Neuroimaging studies of memory indicate activation in the PFC under deep encoding conditions, and under conditions of semantic elaboration. Based on these results, we hypothesize that the PFC enhances memory by extracting differences and commonalities in the studied material. To test this hypothesis, we carried out an experimental investigation to test the relationship between the PFC-dependent factors and semantic factors associated with common and specific features of words. These experiments were performed using Free-Recall of word lists with healthy adults, exploiting the correlation between PFC function and fluid intelligence. As predicted, a correlation was found between fluid intelligence and the Von-Restorff effect (better memory for semantic isolates, e.g., isolate \"cat\" within category members of \"fruit\"). Moreover, memory for the semantic isolate was found to depend on the isolate's serial position. The isolate item tends to be recalled first, in comparison to non-isolates, suggesting that the process interacts with short term memory. These results are captured within a computational model of free recall, which includes a PFC mechanism that is sensitive to both commonality and distinctiveness, sustaining a trade-off between the two.", "author" : [ { "dropping-particle" : "", "family" : "Elhalal", "given" : "Anat", "non-dropping-particle" : "", "parse-names" : false, "suffix" : "" }, { "dropping-particle" : "", "family" : "Davelaar", "given" : "Eddy J", "non-dropping-particle" : "", "parse-names" : false, "suffix" : "" }, { "dropping-particle" : "", "family" : "Usher", "given" : "Marius", "non-dropping-particle" : "", "parse-names" : false, "suffix" : "" } ], "container-title" : "Frontiers in human neuroscience", "id" : "ITEM-1", "issued" : { "date-parts" : [ [ "2014" ] ] }, "page" : "410", "publisher" : "Frontiers Media SA", "title" : "The role of the frontal cortex in memory: an investigation of the Von Restorff effect.", "type" : "article-journal", "volume" : "8" }, "uris" : [ "http://www.mendeley.com/documents/?uuid=63d93d78-f99e-35a0-b811-049030ca426b" ] } ], "mendeley" : { "formattedCitation" : "(Elhalal et al., 2014)", "plainTextFormattedCitation" : "(Elhalal et al., 2014)", "previouslyFormattedCitation" : "(Elhalal et al., 2014)" }, "properties" : { "noteIndex" : 0 }, "schema" : "https://github.com/citation-style-language/schema/raw/master/csl-citation.json" }</w:instrText>
      </w:r>
      <w:r w:rsidR="00CD6939">
        <w:fldChar w:fldCharType="separate"/>
      </w:r>
      <w:r w:rsidR="00CD6939" w:rsidRPr="00CD6939">
        <w:rPr>
          <w:noProof/>
        </w:rPr>
        <w:t>(Elhalal et al., 2014)</w:t>
      </w:r>
      <w:r w:rsidR="00CD6939">
        <w:fldChar w:fldCharType="end"/>
      </w:r>
      <w:r w:rsidR="00DA6A43" w:rsidRPr="004946F6">
        <w:t xml:space="preserve">. </w:t>
      </w:r>
      <w:r w:rsidR="00CD6939">
        <w:t>When there are more than one of them in the list, e</w:t>
      </w:r>
      <w:r w:rsidR="007B3E1E" w:rsidRPr="004946F6">
        <w:t>motional and semantic associations between emotional stimuli help them promote each other re</w:t>
      </w:r>
      <w:r w:rsidR="00763577" w:rsidRPr="004946F6">
        <w:t xml:space="preserve">call, </w:t>
      </w:r>
      <w:r w:rsidR="00905A9B" w:rsidRPr="004946F6">
        <w:t xml:space="preserve">and therefore the model predicted above-chance </w:t>
      </w:r>
      <w:r w:rsidR="00763577" w:rsidRPr="004946F6">
        <w:t xml:space="preserve">transitions </w:t>
      </w:r>
      <w:r w:rsidR="00905A9B" w:rsidRPr="004946F6">
        <w:t xml:space="preserve">based on the emotional context of </w:t>
      </w:r>
      <w:r w:rsidR="00763577" w:rsidRPr="004946F6">
        <w:t>stimuli</w:t>
      </w:r>
      <w:r w:rsidR="00905A9B" w:rsidRPr="004946F6">
        <w:t xml:space="preserve">. This prediction, too, was confirmed, both in previous data where </w:t>
      </w:r>
      <w:r w:rsidR="00403EDD" w:rsidRPr="004946F6">
        <w:t>cluster</w:t>
      </w:r>
      <w:r w:rsidR="00763577" w:rsidRPr="004946F6">
        <w:t>ing</w:t>
      </w:r>
      <w:r w:rsidR="00403EDD" w:rsidRPr="004946F6">
        <w:t xml:space="preserve"> recall around the emotional category</w:t>
      </w:r>
      <w:r w:rsidR="00905A9B" w:rsidRPr="004946F6">
        <w:t xml:space="preserve"> was observed</w:t>
      </w:r>
      <w:r w:rsidR="00CD6939">
        <w:t xml:space="preserve"> </w:t>
      </w:r>
      <w:r w:rsidR="00CD6939">
        <w:fldChar w:fldCharType="begin" w:fldLock="1"/>
      </w:r>
      <w:r w:rsidR="00BF1D00">
        <w:instrText>ADDIN CSL_CITATION { "citationItems" : [ { "id" : "ITEM-1", "itemData" : { "DOI" : "10.3758/s13423-014-0791-2", "ISSN" : "1069-9384", "PMID" : "25604771", "abstract" : "Memory is often better for emotional rather than neutral stimuli. The benefit for emotional items could be the result of an associative mechanism whereby items are associated to a slowly updating context. Through this process, emotional features are integrated with context during study, and are reactivated during test. The presence of emotion in context would both provide a stronger retrieval cue, enhancing memory of emotional items, as well as lead to emotional clustering, whereby emotionally similar items are recalled consecutively. To measure whether associative mechanisms can explain the enhancement for emotional items, we conducted a free recall study in which most items were emotionally neutral to minimize effects of mood induction and to more closely reflect naturalistic settings. We found that emotional items were significantly more likely to be recalled than neutral items and that participants were more likely to transition between emotional items rather than between emotional and neutral items. Together, these results suggest that contextual encoding and retrieval mechanisms may drive the benefit for emotional items both within and outside the laboratory. \u00a9 2015, Psychonomic Society, Inc.", "author" : [ { "dropping-particle" : "", "family" : "Long", "given" : "N M", "non-dropping-particle" : "", "parse-names" : false, "suffix" : "" }, { "dropping-particle" : "", "family" : "Danoff", "given" : "M S", "non-dropping-particle" : "", "parse-names" : false, "suffix" : "" }, { "dropping-particle" : "", "family" : "Kahana", "given" : "M J", "non-dropping-particle" : "", "parse-names" : false, "suffix" : "" } ], "container-title" : "Psychonomic Bulletin and Review", "id" : "ITEM-1", "issue" : "5", "issued" : { "date-parts" : [ [ "2015" ] ] }, "page" : "1328-1333", "title" : "Recall dynamics reveal the retrieval of emotional context", "type" : "article-journal", "volume" : "22" }, "uris" : [ "http://www.mendeley.com/documents/?uuid=e177819e-d1c8-4aa7-a12a-8b6c6fd6ed02" ] }, { "id" : "ITEM-2", "itemData" : { "DOI" : "10.3758/s13421-011-0125-9", "ISSN" : "0090-502X", "PMID" : "21713561", "abstract" : "Typically, research has shown that emotional words are remembered better than neutral words; however, most studies have reported only the mean proportion of correctly recalled words. The present study looked at various dependent measures used by search models to determine whether emotion can influence the search process as well. The results from Experiment 2 showed that when emotionality was made salient, participants were able to utilize emotional associations, in addition to temporal associations, to cue retrieval of additional emotional words during subsequent sampling but relied mainly on temporal context when the emotional information was not made salient (Experiment 1). Additionally, both experiments showed that emotional words were more likely to be output earlier in the recall sequence, which would suggest that emotion also serves to boost relative strength during initial sampling. Overall, the results suggest that emotion contributes to enhanced memory dynamically by influencing the probability of sampling an item during the search process--specifically, by boosting relative strength and strengthening interitem associations.", "author" : [ { "dropping-particle" : "", "family" : "Siddiqui", "given" : "Aisha P.", "non-dropping-particle" : "", "parse-names" : false, "suffix" : "" }, { "dropping-particle" : "", "family" : "Unsworth", "given" : "Nash", "non-dropping-particle" : "", "parse-names" : false, "suffix" : "" } ], "container-title" : "Memory &amp; Cognition", "id" : "ITEM-2", "issue" : "8", "issued" : { "date-parts" : [ [ "2011" ] ] }, "page" : "1387-1400", "title" : "Investigating the role of emotion during the search process in free recall", "type" : "article-journal", "volume" : "39" }, "uris" : [ "http://www.mendeley.com/documents/?uuid=dc9e2aa0-20dc-4caf-87f8-b86b098f9811" ] }, { "id" : "ITEM-3", "itemData" : { "DOI" : "10.1016/j.jml.2007.01.002", "ISBN" : "0749-596X", "ISSN" : "0749596X", "abstract" : "Emotional events are more organized and distinctive than neutral events. We asked whether organization and distinctiveness can account for emotionally-enhanced memory. To examine organization, we compared memory for arousing, negatively-valenced pictures, and inter-related neutral pictures. To examine distinctiveness, we manipulated list composition, and compared mixed lists, which contained emotional and neutral items, to pure lists, which contained only items of a single type and removed the relative-distinctiveness advantage of emotional items. We show that emotional memory is enhanced in immediate memory tests as long as either organization or distinctiveness is allowed to play a role. When these effects are removed, in the comparison of emotional and related neutral items in pure lists, the emotional memory advantage is eliminated. Examining the contribution of mediating cognitive factors at a behavioral and neural level is crucial if we are to understand how emotion influences memory. ?? 2007 Elsevier Inc. All rights reserved.", "author" : [ { "dropping-particle" : "", "family" : "Talmi", "given" : "Deborah", "non-dropping-particle" : "", "parse-names" : false, "suffix" : "" }, { "dropping-particle" : "", "family" : "Luk", "given" : "Betty T C", "non-dropping-particle" : "", "parse-names" : false, "suffix" : "" }, { "dropping-particle" : "", "family" : "McGarry", "given" : "Lucy M.", "non-dropping-particle" : "", "parse-names" : false, "suffix" : "" }, { "dropping-particle" : "", "family" : "Moscovitch", "given" : "Morris", "non-dropping-particle" : "", "parse-names" : false, "suffix" : "" } ], "container-title" : "Journal of Memory and Language", "id" : "ITEM-3", "issue" : "4", "issued" : { "date-parts" : [ [ "2007" ] ] }, "page" : "555-574", "title" : "The contribution of relatedness and distinctiveness to emotionally-enhanced memory", "type" : "article-journal", "volume" : "56" }, "uris" : [ "http://www.mendeley.com/documents/?uuid=9a6a0a7b-63c2-4a1c-b0eb-8121f6c33e18" ] } ], "mendeley" : { "formattedCitation" : "(Long et al., 2015; Siddiqui &amp; Unsworth, 2011; Talmi, Luk, et al., 2007)", "plainTextFormattedCitation" : "(Long et al., 2015; Siddiqui &amp; Unsworth, 2011; Talmi, Luk, et al., 2007)", "previouslyFormattedCitation" : "(Long et al., 2015; Siddiqui &amp; Unsworth, 2011; Talmi, Luk, et al., 2007)" }, "properties" : { "noteIndex" : 0 }, "schema" : "https://github.com/citation-style-language/schema/raw/master/csl-citation.json" }</w:instrText>
      </w:r>
      <w:r w:rsidR="00CD6939">
        <w:fldChar w:fldCharType="separate"/>
      </w:r>
      <w:r w:rsidR="00CD6939" w:rsidRPr="00CD6939">
        <w:rPr>
          <w:noProof/>
        </w:rPr>
        <w:t>(Long et al., 2015; Siddiqui &amp; Unsworth, 2011; Talmi, Luk, et al., 2007)</w:t>
      </w:r>
      <w:r w:rsidR="00CD6939">
        <w:fldChar w:fldCharType="end"/>
      </w:r>
      <w:r w:rsidR="00905A9B" w:rsidRPr="004946F6">
        <w:t xml:space="preserve">, and in new analysis of data from </w:t>
      </w:r>
      <w:r w:rsidR="00CD6939">
        <w:t>Barnacle et al. (2018)</w:t>
      </w:r>
      <w:r w:rsidR="00403EDD" w:rsidRPr="004946F6">
        <w:t xml:space="preserve">. </w:t>
      </w:r>
      <w:r w:rsidR="00905A9B" w:rsidRPr="004946F6">
        <w:t xml:space="preserve">Biasing the model so that recall begins with a more neutral context </w:t>
      </w:r>
      <w:r w:rsidR="00BB081D" w:rsidRPr="004946F6">
        <w:t>prevent</w:t>
      </w:r>
      <w:r w:rsidR="00CD6939">
        <w:t>ed</w:t>
      </w:r>
      <w:r w:rsidR="00BB081D" w:rsidRPr="004946F6">
        <w:t xml:space="preserve"> the</w:t>
      </w:r>
      <w:r w:rsidR="00905A9B" w:rsidRPr="004946F6">
        <w:t xml:space="preserve"> model</w:t>
      </w:r>
      <w:r w:rsidR="00BB081D" w:rsidRPr="004946F6">
        <w:t xml:space="preserve"> from </w:t>
      </w:r>
      <w:r w:rsidR="003617E9" w:rsidRPr="004946F6">
        <w:t>recall</w:t>
      </w:r>
      <w:r w:rsidR="00BB081D" w:rsidRPr="004946F6">
        <w:t>ing</w:t>
      </w:r>
      <w:r w:rsidR="003617E9" w:rsidRPr="004946F6">
        <w:t xml:space="preserve"> emotional items first, </w:t>
      </w:r>
      <w:r w:rsidR="00885951" w:rsidRPr="004946F6">
        <w:t xml:space="preserve">but </w:t>
      </w:r>
      <w:r w:rsidR="00905A9B" w:rsidRPr="004946F6">
        <w:t xml:space="preserve">they </w:t>
      </w:r>
      <w:r w:rsidR="00885951" w:rsidRPr="004946F6">
        <w:t>gain</w:t>
      </w:r>
      <w:r w:rsidR="00FE1A8A" w:rsidRPr="004946F6">
        <w:t>ed</w:t>
      </w:r>
      <w:r w:rsidR="00885951" w:rsidRPr="004946F6">
        <w:t xml:space="preserve"> the upper hand very quickly</w:t>
      </w:r>
      <w:r w:rsidR="00905A9B" w:rsidRPr="004946F6">
        <w:t xml:space="preserve">. </w:t>
      </w:r>
      <w:r w:rsidR="00BB081D" w:rsidRPr="004946F6">
        <w:t xml:space="preserve">This occurs </w:t>
      </w:r>
      <w:r w:rsidR="00CD6939">
        <w:t xml:space="preserve">because </w:t>
      </w:r>
      <w:r w:rsidR="00885951" w:rsidRPr="004946F6">
        <w:t>when</w:t>
      </w:r>
      <w:r w:rsidR="00BB081D" w:rsidRPr="004946F6">
        <w:t xml:space="preserve"> </w:t>
      </w:r>
      <w:r w:rsidR="00FE1A8A" w:rsidRPr="004946F6">
        <w:t xml:space="preserve">neutral items are recalled they </w:t>
      </w:r>
      <w:r w:rsidR="00885951" w:rsidRPr="004946F6">
        <w:t>retrieve</w:t>
      </w:r>
      <w:r w:rsidR="00BB081D" w:rsidRPr="004946F6">
        <w:t xml:space="preserve"> their</w:t>
      </w:r>
      <w:r w:rsidR="00885951" w:rsidRPr="004946F6">
        <w:t xml:space="preserve"> context</w:t>
      </w:r>
      <w:r w:rsidR="00BB081D" w:rsidRPr="004946F6">
        <w:t xml:space="preserve">, which helps them promote the recall of items </w:t>
      </w:r>
      <w:r w:rsidR="00FE1A8A" w:rsidRPr="004946F6">
        <w:t xml:space="preserve">more strongly bound to that context – the emotional items. Emotional items then further promote the recall of items </w:t>
      </w:r>
      <w:r w:rsidR="00BB081D" w:rsidRPr="004946F6">
        <w:t>that share their emotional and semantic context</w:t>
      </w:r>
      <w:r w:rsidR="00885951" w:rsidRPr="004946F6">
        <w:t>.</w:t>
      </w:r>
      <w:r w:rsidR="00905A9B" w:rsidRPr="004946F6">
        <w:t xml:space="preserve"> </w:t>
      </w:r>
      <w:r w:rsidR="005F0CA2" w:rsidRPr="004946F6">
        <w:t>The prediction that emotional items will be recalled better than neutral ones even when the initial retrieval context is biased against them is in keeping with new data</w:t>
      </w:r>
      <w:r w:rsidR="00CD6939">
        <w:t xml:space="preserve"> we reported here</w:t>
      </w:r>
      <w:r w:rsidR="005F0CA2" w:rsidRPr="004946F6">
        <w:t xml:space="preserve">, from an experiment where participants encoded mixed lists, and then were instructed which item type to recall. More emotional items were recalled than neutral ones both in the first recall test </w:t>
      </w:r>
      <w:r w:rsidR="005F0CA2" w:rsidRPr="004946F6">
        <w:rPr>
          <w:i/>
          <w:iCs/>
        </w:rPr>
        <w:t>and</w:t>
      </w:r>
      <w:r w:rsidR="005F0CA2" w:rsidRPr="004946F6">
        <w:t xml:space="preserve"> in the second recall test, where the instructions switched to the other item type</w:t>
      </w:r>
      <w:r w:rsidR="00905A9B" w:rsidRPr="004946F6">
        <w:t>.</w:t>
      </w:r>
      <w:r w:rsidR="006E738D" w:rsidRPr="004946F6">
        <w:t xml:space="preserve"> </w:t>
      </w:r>
      <w:r w:rsidR="00905A9B" w:rsidRPr="004946F6">
        <w:t>In summary, t</w:t>
      </w:r>
      <w:r w:rsidR="00885951" w:rsidRPr="004946F6">
        <w:t>his investigation shows a multiply</w:t>
      </w:r>
      <w:r w:rsidR="00DF49D0" w:rsidRPr="004946F6">
        <w:t xml:space="preserve"> </w:t>
      </w:r>
      <w:r w:rsidR="00885951" w:rsidRPr="004946F6">
        <w:t xml:space="preserve">determined </w:t>
      </w:r>
      <w:r w:rsidR="00F555D8" w:rsidRPr="004946F6">
        <w:t xml:space="preserve">effect </w:t>
      </w:r>
      <w:r w:rsidR="00885951" w:rsidRPr="004946F6">
        <w:t xml:space="preserve">of emotion on </w:t>
      </w:r>
      <w:r w:rsidR="00F555D8" w:rsidRPr="004946F6">
        <w:t xml:space="preserve">retrieval dynamics, </w:t>
      </w:r>
      <w:r w:rsidR="00617803" w:rsidRPr="004946F6">
        <w:t>which</w:t>
      </w:r>
      <w:r w:rsidR="00F555D8" w:rsidRPr="004946F6">
        <w:t xml:space="preserve"> together with enhanced attention at encoding gives rise to the robust </w:t>
      </w:r>
      <w:r w:rsidR="00BB081D" w:rsidRPr="004946F6">
        <w:t xml:space="preserve">emotional memory enhancement </w:t>
      </w:r>
      <w:r w:rsidR="00F555D8" w:rsidRPr="004946F6">
        <w:t>in immediate free recall</w:t>
      </w:r>
      <w:r w:rsidR="00BB081D" w:rsidRPr="004946F6">
        <w:t xml:space="preserve"> of mixed lists</w:t>
      </w:r>
      <w:r w:rsidR="00F555D8" w:rsidRPr="004946F6">
        <w:t xml:space="preserve">. </w:t>
      </w:r>
    </w:p>
    <w:p w14:paraId="4D0191FF" w14:textId="0EA55DC6" w:rsidR="004A3CBA" w:rsidRPr="004946F6" w:rsidRDefault="00FE1A8A">
      <w:pPr>
        <w:spacing w:line="480" w:lineRule="auto"/>
        <w:jc w:val="both"/>
      </w:pPr>
      <w:r w:rsidRPr="004946F6">
        <w:t>Our simulations showed that eCMR predicts increased retrieval success when the context of encoding and test is similar</w:t>
      </w:r>
      <w:r w:rsidR="002911E5" w:rsidRPr="004946F6">
        <w:t xml:space="preserve">. This occurred </w:t>
      </w:r>
      <w:r w:rsidRPr="004946F6">
        <w:t xml:space="preserve">when </w:t>
      </w:r>
      <w:r w:rsidR="002911E5" w:rsidRPr="004946F6">
        <w:t xml:space="preserve">memory for emotional (neutral) items that were encoded in mixed lists improved when </w:t>
      </w:r>
      <w:r w:rsidRPr="004946F6">
        <w:t xml:space="preserve">the source context of the test </w:t>
      </w:r>
      <w:r w:rsidR="002911E5" w:rsidRPr="004946F6">
        <w:t>was</w:t>
      </w:r>
      <w:r w:rsidRPr="004946F6">
        <w:t xml:space="preserve"> biased towards emotional </w:t>
      </w:r>
      <w:r w:rsidR="002911E5" w:rsidRPr="004946F6">
        <w:t>(</w:t>
      </w:r>
      <w:r w:rsidRPr="004946F6">
        <w:t>neutral</w:t>
      </w:r>
      <w:r w:rsidR="002911E5" w:rsidRPr="004946F6">
        <w:t>)</w:t>
      </w:r>
      <w:r w:rsidRPr="004946F6">
        <w:t xml:space="preserve"> items. This is reminiscent of state-dependent memory effects – the established improvement of memory performance when participants are in the same ‘state’ at encoding and retrieval </w:t>
      </w:r>
      <w:r w:rsidRPr="004946F6">
        <w:fldChar w:fldCharType="begin" w:fldLock="1"/>
      </w:r>
      <w:r w:rsidR="008C25E5" w:rsidRPr="004946F6">
        <w:instrText>ADDIN CSL_CITATION { "citationItems" : [ { "id" : "ITEM-1", "itemData" : { "ISSN" : "1069-9384", "PMID" : "11495110", "abstract" : "To address questions about human memory's dependence on the coincidental environmental contexts in which events occur, we review studies of incidental environmental context-dependent memory in humans and report a meta-analysis. Our theoretical approach to the issue stems from Glenberg's (1997) contention that introspective thought (e.g., remembering, conceptualizing) requires cognitive resources normally used to represent the immediate environment. We propose that if tasks encourage processing of noncontextual information (i.e., introspective thought) at input and/or at test, then both learning and memory will be less dependent on the ambient environmental contexts in which those activities occur. The meta-analysis showed that across all studies, environmental context effects were reliable, and furthermore, that the use of noncontextual cues during learning (overshadowing) and at test (outshining), as well as mental reinstatement of appropriate context cues at test, all reduce the effect of environmental manipulations. We conclude that environmental context-dependent memory effects are less likely to occur under conditions in which the immediate environment is likely to be suppressed.", "author" : [ { "dropping-particle" : "", "family" : "Smith", "given" : "S M", "non-dropping-particle" : "", "parse-names" : false, "suffix" : "" }, { "dropping-particle" : "", "family" : "Vela", "given" : "E", "non-dropping-particle" : "", "parse-names" : false, "suffix" : "" } ], "container-title" : "Psychonomic bulletin &amp; review", "id" : "ITEM-1", "issue" : "2", "issued" : { "date-parts" : [ [ "2001", "6" ] ] }, "page" : "203-20", "title" : "Environmental context-dependent memory: a review and meta-analysis.", "type" : "article-journal", "volume" : "8" }, "uris" : [ "http://www.mendeley.com/documents/?uuid=f5cc84c5-aad9-344a-bfc5-a3408dfc1daf" ] } ], "mendeley" : { "formattedCitation" : "(Smith &amp; Vela, 2001)", "plainTextFormattedCitation" : "(Smith &amp; Vela, 2001)", "previouslyFormattedCitation" : "(Smith &amp; Vela, 2001)" }, "properties" : { "noteIndex" : 0 }, "schema" : "https://github.com/citation-style-language/schema/raw/master/csl-citation.json" }</w:instrText>
      </w:r>
      <w:r w:rsidRPr="004946F6">
        <w:fldChar w:fldCharType="separate"/>
      </w:r>
      <w:r w:rsidRPr="004946F6">
        <w:rPr>
          <w:noProof/>
        </w:rPr>
        <w:t>(Smith &amp; Vela, 2001)</w:t>
      </w:r>
      <w:r w:rsidRPr="004946F6">
        <w:fldChar w:fldCharType="end"/>
      </w:r>
      <w:r w:rsidRPr="004946F6">
        <w:t xml:space="preserve">. States can physiological, e.g. when induced through psychopharmacological manipulations, or psychological, for example through mood inductions </w:t>
      </w:r>
      <w:r w:rsidRPr="004946F6">
        <w:fldChar w:fldCharType="begin" w:fldLock="1"/>
      </w:r>
      <w:r w:rsidR="008C25E5" w:rsidRPr="004946F6">
        <w:instrText>ADDIN CSL_CITATION { "citationItems" : [ { "id" : "ITEM-1", "itemData" : { "DOI" : "10.1037/0033-2909.99.2.229", "ISBN" : "0033-2909 (Print)\\n0033-2909 (Linking)", "ISSN" : "0033-2909", "PMID" : "3515383", "abstract" : "Reviews, critically, the empirical literature on the role of depression and elation in biasing mnemonic processing. Two classes of effects\u2014state dependence and mood congruence\u2014are examined. The latter, which involves the enhanced encoding and/or retrieval of material the affective valence of which is congruent with ongoing mood, is the more extensively researched of the two and is thus the focus of much of the review. Although the support for claims of such a phenomenon is impressive in its size, consistency, and diversity, a number of questions remain. These include whether such effects are linked to mood states per se and the possible role that such effects may play in the development of persistent depression.", "author" : [ { "dropping-particle" : "", "family" : "Blaney", "given" : "P H", "non-dropping-particle" : "", "parse-names" : false, "suffix" : "" } ], "container-title" : "Psychological bulletin", "id" : "ITEM-1", "issue" : "2", "issued" : { "date-parts" : [ [ "1986" ] ] }, "page" : "229-246", "title" : "Affect and memory: a review.", "type" : "article-journal", "volume" : "99" }, "uris" : [ "http://www.mendeley.com/documents/?uuid=3ee1fc66-ad5e-4e3c-ab89-846d7d1c3683" ] }, { "id" : "ITEM-2", "itemData" : { "DOI" : "10.1080/02699938908408077", "abstract" : "Published research (from 1975 to 1985) on mood state-dependent memory is examined with meta-analytical techniques. Research on mood-congruent memory is also examined when relevant to a mood state-dependent hypothesis. Effect sizes are shown to vary systematically as a function of several variables. Mood state-dependent memory is more often observed with positive rather then negative moods. Also, the strongest effects were found in studies that: (a) used real-life events as the material to be retrieved; (b) selected contrasting moods, i.e. positive vs. negative rather than simply positive or negative vs. neutral moods; (c) used mood states that were specific to the items; (d) lasted longer; (e) had smaller sample size; (f) selected subjects according to direct mood criteria; (g) paid subjects for their participation in the experiment; and (h) used adults rather than students or children. Present findings are consistent with other reviews and with common theories of mood state-dependent memory. However, the findings also highlight the importance of methodological variables, more particularly variables related to the degree of commitment of subjects to the experiment, and variables related to the nature and complexity of the experimental environment. Two dimensions, realism of the experiment and demand sensitivity, compete to account for the methodological results and for some of the theoretical results. I", "author" : [ { "dropping-particle" : "", "family" : "Ucros", "given" : "C.G.", "non-dropping-particle" : "", "parse-names" : false, "suffix" : "" } ], "container-title" : "Cognition and Emotion", "id" : "ITEM-2", "issue" : "2", "issued" : { "date-parts" : [ [ "1989" ] ] }, "page" : "139-169", "title" : "Mood state-dependent memory: A meta-analysis", "type" : "article-journal", "volume" : "3" }, "uris" : [ "http://www.mendeley.com/documents/?uuid=23b69690-0556-3341-9438-ddf50dcbd0e5", "http://www.mendeley.com/documents/?uuid=6d4e6316-61eb-4ca7-97bd-8ca395bc8f59" ] }, { "id" : "ITEM-3", "itemData" : { "abstract" : "This article describes experiments in which happy or sad moods were induced in subjects by hyp-notic suggestion to investigate the influence of emo-tions on memory and thinking. One result was that subjects exhibited mood-state-dependent memory in", "author" : [ { "dropping-particle" : "", "family" : "Bower", "given" : "Gordon H", "non-dropping-particle" : "", "parse-names" : false, "suffix" : "" } ], "container-title" : "American Psychologist", "id" : "ITEM-3", "issue" : "2", "issued" : { "date-parts" : [ [ "1981" ] ] }, "page" : "129-148", "title" : "Mood and Memory", "type" : "article-journal", "volume" : "36" }, "uris" : [ "http://www.mendeley.com/documents/?uuid=6a67e613-097d-3778-8aed-9865740485c6" ] } ], "mendeley" : { "formattedCitation" : "(Blaney, 1986; Bower, 1981; Ucros, 1989)", "plainTextFormattedCitation" : "(Blaney, 1986; Bower, 1981; Ucros, 1989)", "previouslyFormattedCitation" : "(Blaney, 1986; Bower, 1981; Ucros, 1989)" }, "properties" : { "noteIndex" : 0 }, "schema" : "https://github.com/citation-style-language/schema/raw/master/csl-citation.json" }</w:instrText>
      </w:r>
      <w:r w:rsidRPr="004946F6">
        <w:fldChar w:fldCharType="separate"/>
      </w:r>
      <w:r w:rsidRPr="004946F6">
        <w:rPr>
          <w:noProof/>
        </w:rPr>
        <w:t>(Blaney, 1986; Bower, 1981; Ucros, 1989)</w:t>
      </w:r>
      <w:r w:rsidRPr="004946F6">
        <w:fldChar w:fldCharType="end"/>
      </w:r>
      <w:r w:rsidRPr="004946F6">
        <w:t xml:space="preserve">. </w:t>
      </w:r>
      <w:r w:rsidR="002911E5" w:rsidRPr="004946F6">
        <w:t xml:space="preserve">eCMR predicts enhanced recall when the emotionality of the retrieval state matches the emotionality of the encoding context, suggesting that it may be able to </w:t>
      </w:r>
      <w:r w:rsidRPr="004946F6">
        <w:t xml:space="preserve">capture state-dependent effects. Although here the dynamics of recall meant that their impact dwindled quickly, so the initial state had only a limited impact on average recall, it could have a larger impact </w:t>
      </w:r>
      <w:r w:rsidR="002911E5" w:rsidRPr="004946F6">
        <w:t xml:space="preserve">in situations where </w:t>
      </w:r>
      <w:r w:rsidRPr="004946F6">
        <w:t>the original context is less accessible.</w:t>
      </w:r>
    </w:p>
    <w:p w14:paraId="70C1E84E" w14:textId="77777777" w:rsidR="002911E5" w:rsidRPr="004946F6" w:rsidRDefault="002911E5">
      <w:pPr>
        <w:spacing w:line="480" w:lineRule="auto"/>
        <w:jc w:val="both"/>
      </w:pPr>
    </w:p>
    <w:p w14:paraId="48C31C5A" w14:textId="7809BCD3" w:rsidR="007170AF" w:rsidRPr="004946F6" w:rsidRDefault="007170AF" w:rsidP="00AE588A">
      <w:pPr>
        <w:spacing w:line="480" w:lineRule="auto"/>
        <w:jc w:val="both"/>
        <w:rPr>
          <w:b/>
          <w:bCs/>
          <w:i/>
          <w:iCs/>
        </w:rPr>
      </w:pPr>
      <w:r w:rsidRPr="004946F6">
        <w:rPr>
          <w:b/>
          <w:bCs/>
          <w:i/>
          <w:iCs/>
        </w:rPr>
        <w:t>5.1 Relating eCMR to other models</w:t>
      </w:r>
    </w:p>
    <w:p w14:paraId="1F78D0D7" w14:textId="1AC7A200" w:rsidR="00EC160C" w:rsidRDefault="00297948" w:rsidP="0003785C">
      <w:pPr>
        <w:spacing w:line="480" w:lineRule="auto"/>
        <w:jc w:val="both"/>
      </w:pPr>
      <w:r w:rsidRPr="004946F6">
        <w:t xml:space="preserve">The model we developed here is useful because it can account for many emotional memory phenomena. </w:t>
      </w:r>
      <w:r w:rsidR="00410D4B" w:rsidRPr="004946F6">
        <w:t>Some of t</w:t>
      </w:r>
      <w:r w:rsidRPr="004946F6">
        <w:t xml:space="preserve">he effects the model describes, which have been </w:t>
      </w:r>
      <w:r w:rsidR="00410D4B" w:rsidRPr="004946F6">
        <w:t xml:space="preserve">discussed </w:t>
      </w:r>
      <w:r w:rsidRPr="004946F6">
        <w:t xml:space="preserve">in previous work </w:t>
      </w:r>
      <w:r w:rsidR="00410D4B" w:rsidRPr="004946F6">
        <w:t xml:space="preserve">in terms of the contribution of </w:t>
      </w:r>
      <w:r w:rsidRPr="004946F6">
        <w:t xml:space="preserve">emotional arousal, are </w:t>
      </w:r>
      <w:r w:rsidR="00C27DAB" w:rsidRPr="004946F6">
        <w:t xml:space="preserve">here revealed as </w:t>
      </w:r>
      <w:r w:rsidRPr="004946F6">
        <w:t xml:space="preserve">similar to non-emotional effects. </w:t>
      </w:r>
      <w:r w:rsidR="007170AF" w:rsidRPr="004946F6">
        <w:t>T</w:t>
      </w:r>
      <w:r w:rsidRPr="004946F6">
        <w:t>he emotional list composition effect is</w:t>
      </w:r>
      <w:r w:rsidR="00B8126E" w:rsidRPr="004946F6">
        <w:t>, of course,</w:t>
      </w:r>
      <w:r w:rsidRPr="004946F6">
        <w:t xml:space="preserve"> reminiscent of list composition effects that arise from non-emotional manipulations of </w:t>
      </w:r>
      <w:r w:rsidR="00CD6939">
        <w:t xml:space="preserve">item typicality </w:t>
      </w:r>
      <w:r w:rsidR="00B8126E" w:rsidRPr="004946F6">
        <w:fldChar w:fldCharType="begin" w:fldLock="1"/>
      </w:r>
      <w:r w:rsidR="008C25E5" w:rsidRPr="004946F6">
        <w:instrText>ADDIN CSL_CITATION { "citationItems" : [ { "id" : "ITEM-1", "itemData" : { "DOI" : "10.3758/PBR.15.2.237", "ISBN" : "1069-9384", "ISSN" : "1069-9384", "PMID" : "18488637", "abstract" : "In mixed lists, stable free recall advantages are observed for encoding conditions that are unusual, bizarre, or attract extensive individual item elaboration relative to more common encoding conditions; but this recall advantage is often eliminated or reversed in pure lists. We attempt to explain this ubiquitous memory puzzle with an item-order account that assumes that (1) free recall of unrelated lists depends on order and item information; (2) unusual items attract greater individual item-processing but disrupt order encoding regardless of list composition; and (3) list composition determines differences in order encoding across unusual and common items. We show that the item-order account provides a unifying explanation of five memory phenomena for which the requisite data exist. The account also successfully anticipates pure-list reversals, in which the standard mixed-list recall pattern is obtained in pure, structured lists, a finding that competing accounts cannot handle. Extending the item-order account to other \"established\" recall phenomena may prove fruitful.", "author" : [ { "dropping-particle" : "", "family" : "McDaniel", "given" : "Mark A.", "non-dropping-particle" : "", "parse-names" : false, "suffix" : "" }, { "dropping-particle" : "", "family" : "Bugg", "given" : "Julie M.", "non-dropping-particle" : "", "parse-names" : false, "suffix" : "" } ], "container-title" : "Psychonomic Bulletin &amp; Review", "id" : "ITEM-1", "issue" : "2", "issued" : { "date-parts" : [ [ "2008" ] ] }, "page" : "237-255", "title" : "Instability in memory phenomena: A common puzzle and a unifying explanation", "type" : "article-journal", "volume" : "15" }, "uris" : [ "http://www.mendeley.com/documents/?uuid=9d9a4071-4b55-43cb-a5b2-872f30dd9e8c" ] } ], "mendeley" : { "formattedCitation" : "(McDaniel &amp; Bugg, 2008)", "plainTextFormattedCitation" : "(McDaniel &amp; Bugg, 2008)", "previouslyFormattedCitation" : "(McDaniel &amp; Bugg, 2008)" }, "properties" : { "noteIndex" : 0 }, "schema" : "https://github.com/citation-style-language/schema/raw/master/csl-citation.json" }</w:instrText>
      </w:r>
      <w:r w:rsidR="00B8126E" w:rsidRPr="004946F6">
        <w:fldChar w:fldCharType="separate"/>
      </w:r>
      <w:r w:rsidR="00B8126E" w:rsidRPr="004946F6">
        <w:rPr>
          <w:noProof/>
        </w:rPr>
        <w:t>(McDaniel &amp; Bugg, 2008)</w:t>
      </w:r>
      <w:r w:rsidR="00B8126E" w:rsidRPr="004946F6">
        <w:fldChar w:fldCharType="end"/>
      </w:r>
      <w:r w:rsidR="00410D4B" w:rsidRPr="004946F6">
        <w:t xml:space="preserve">. </w:t>
      </w:r>
      <w:r w:rsidR="006F731B" w:rsidRPr="004946F6">
        <w:t xml:space="preserve">The increased item-to-context associations, which in eCMR are discussed as a consequence of emotional arousal, may also be true for other </w:t>
      </w:r>
      <w:r w:rsidR="00CD6939">
        <w:t xml:space="preserve">atypical </w:t>
      </w:r>
      <w:r w:rsidR="006F731B" w:rsidRPr="004946F6">
        <w:t xml:space="preserve">neutral categories, such as enacted or generated items. </w:t>
      </w:r>
      <w:r w:rsidR="00410D4B" w:rsidRPr="004946F6">
        <w:t xml:space="preserve">Whether eCMR can account for </w:t>
      </w:r>
      <w:r w:rsidR="006F731B" w:rsidRPr="004946F6">
        <w:t xml:space="preserve">non-emotional list-composition effects </w:t>
      </w:r>
      <w:r w:rsidR="00410D4B" w:rsidRPr="004946F6">
        <w:t xml:space="preserve">depends on whether additional attention </w:t>
      </w:r>
      <w:r w:rsidR="00C27DAB" w:rsidRPr="004946F6">
        <w:t xml:space="preserve">is </w:t>
      </w:r>
      <w:r w:rsidR="00410D4B" w:rsidRPr="004946F6">
        <w:t>allocated to each one of the unusual stimuli</w:t>
      </w:r>
      <w:r w:rsidR="006F731B" w:rsidRPr="004946F6">
        <w:t>,</w:t>
      </w:r>
      <w:r w:rsidR="00410D4B" w:rsidRPr="004946F6">
        <w:t xml:space="preserve"> </w:t>
      </w:r>
      <w:r w:rsidR="006F731B" w:rsidRPr="004946F6">
        <w:t xml:space="preserve">and </w:t>
      </w:r>
      <w:r w:rsidR="00113ED0" w:rsidRPr="004946F6">
        <w:t xml:space="preserve">on </w:t>
      </w:r>
      <w:r w:rsidR="00EB0100" w:rsidRPr="004946F6">
        <w:t xml:space="preserve">the </w:t>
      </w:r>
      <w:r w:rsidR="006F731B" w:rsidRPr="004946F6">
        <w:t xml:space="preserve">semantic associations between </w:t>
      </w:r>
      <w:r w:rsidR="00EB0100" w:rsidRPr="004946F6">
        <w:t>all of the items</w:t>
      </w:r>
      <w:r w:rsidR="006F387C" w:rsidRPr="004946F6">
        <w:t xml:space="preserve">. </w:t>
      </w:r>
      <w:r w:rsidR="003069DC" w:rsidRPr="004946F6">
        <w:t xml:space="preserve">eCMR can perhaps be seen as an extension and quantification of the item-order account, where </w:t>
      </w:r>
      <w:r w:rsidR="00113ED0" w:rsidRPr="004946F6">
        <w:t xml:space="preserve">various item dimensions that receive attention at encoding can balance out memory </w:t>
      </w:r>
      <w:r w:rsidR="004A3CBA" w:rsidRPr="004946F6">
        <w:t>impairment</w:t>
      </w:r>
      <w:r w:rsidR="00113ED0" w:rsidRPr="004946F6">
        <w:t xml:space="preserve"> stemming from reduced attention to others. </w:t>
      </w:r>
    </w:p>
    <w:p w14:paraId="560D76DB" w14:textId="5591C0DD" w:rsidR="00822EF3" w:rsidRPr="004946F6" w:rsidRDefault="00822EF3" w:rsidP="0003785C">
      <w:pPr>
        <w:spacing w:line="480" w:lineRule="auto"/>
        <w:jc w:val="both"/>
      </w:pPr>
      <w:r w:rsidRPr="004946F6">
        <w:t>The success of eCMR in modelling the emotional list composition effect can be contrasted with the predictions we can extract from the Scale Invariant Memory and Perceptual Learning model (S</w:t>
      </w:r>
      <w:r w:rsidRPr="004946F6">
        <w:fldChar w:fldCharType="begin" w:fldLock="1"/>
      </w:r>
      <w:r w:rsidRPr="004946F6">
        <w:instrText>ADDIN CSL_CITATION { "citationItems" : [ { "id" : "ITEM-1", "itemData" : { "DOI" : "10.1037/0033-295X.114.3.539", "ISBN" : "0033-295X U6 - ctx_ver=Z39.88-2004&amp;ctx_enc=info%3Aofi%2Fenc%3AUTF-8&amp;rfr_id=info:sid/summon.serialssolutions.com&amp;rft_val_fmt=info:ofi/fmt:kev:mtx:journal&amp;rft.genre=article&amp;rft.atitle=A+Temporal+Ratio+Model+of+Memory&amp;rft.jtitle=Psychological+Review&amp;rft.au=Brown%2C+Gordon+D.+A&amp;rft.au=Neath%2C+Ian&amp;rft.au=Chater%2C+Nick&amp;rft.date=2007-07-01&amp;rft.pub=American+Psychological+Association&amp;rft.issn=0033-295X&amp;rft.volume=114&amp;rft.issue=3&amp;rft.spage=539&amp;rft.epage=576&amp;rft_id=info:doi/10.1037%2F0033-295X.114.3.539&amp;", "ISSN" : "0033-295X", "PMID" : "17638496", "abstract" : "A model of memory retrieval is described. The model embodies 4 main claims: (a) temporal memory--traces of items are represented in memory partly in terms of their temporal distance from the present; (b) scale-similarity--similar mechanisms govern retrieval from memory over many different timescales; (c) local distinctiveness--performance on a range of memory tasks is determined by interference from near psychological neighbors; and (d) interference-based forgetting--all memory loss is due to interference and not trace decay. The model is applied to data on free recall and serial recall. The account emphasizes qualitative similarity in the retrieval principles involved in memory performance at all timescales, contrary to models that emphasize distinctions between short-term and long-term memory. (PsycINFO Database Record (c) 2013 APA, all rights reserved). (journal abstract)", "author" : [ { "dropping-particle" : "", "family" : "Brown", "given" : "Gordon D. A.", "non-dropping-particle" : "", "parse-names" : false, "suffix" : "" }, { "dropping-particle" : "", "family" : "Neath", "given" : "Ian", "non-dropping-particle" : "", "parse-names" : false, "suffix" : "" }, { "dropping-particle" : "", "family" : "Chater", "given" : "Nick", "non-dropping-particle" : "", "parse-names" : false, "suffix" : "" } ], "container-title" : "Psychological Review", "id" : "ITEM-1", "issue" : "3", "issued" : { "date-parts" : [ [ "2007" ] ] }, "page" : "539-576", "title" : "A temporal ratio model of memory", "type" : "article-journal", "volume" : "114" }, "uris" : [ "http://www.mendeley.com/documents/?uuid=ff742eda-fd95-441b-99c7-d53f0b42ce8e" ] } ], "mendeley" : { "formattedCitation" : "(Brown, Neath, &amp; Chater, 2007)", "manualFormatting" : "IMPLE; Brown, Neath, &amp; Chater, 2007)", "plainTextFormattedCitation" : "(Brown, Neath, &amp; Chater, 2007)", "previouslyFormattedCitation" : "(Brown, Neath, &amp; Chater, 2007)" }, "properties" : { "noteIndex" : 0 }, "schema" : "https://github.com/citation-style-language/schema/raw/master/csl-citation.json" }</w:instrText>
      </w:r>
      <w:r w:rsidRPr="004946F6">
        <w:fldChar w:fldCharType="separate"/>
      </w:r>
      <w:r w:rsidRPr="004946F6">
        <w:rPr>
          <w:noProof/>
        </w:rPr>
        <w:t>IMPLE; Brown, Neath, &amp; Chater, 2007)</w:t>
      </w:r>
      <w:r w:rsidRPr="004946F6">
        <w:fldChar w:fldCharType="end"/>
      </w:r>
      <w:r w:rsidRPr="004946F6">
        <w:t xml:space="preserve">. Neath and Brown </w:t>
      </w:r>
      <w:r w:rsidRPr="004946F6">
        <w:fldChar w:fldCharType="begin" w:fldLock="1"/>
      </w:r>
      <w:r w:rsidRPr="004946F6">
        <w:instrText>ADDIN CSL_CITATION { "citationItems" : [ { "id" : "ITEM-1", "itemData" : { "author" : [ { "dropping-particle" : "", "family" : "Neath", "given" : "I.", "non-dropping-particle" : "", "parse-names" : false, "suffix" : "" }, { "dropping-particle" : "", "family" : "Brown", "given" : "G.D.A.", "non-dropping-particle" : "", "parse-names" : false, "suffix" : "" } ], "container-title" : "The psychology of learning and motivation", "id" : "ITEM-1", "issued" : { "date-parts" : [ [ "2006" ] ] }, "title" : "SIMPLE: Further applications of a local distinctiveness model of memory", "type" : "article-journal", "volume" : "46" }, "uris" : [ "http://www.mendeley.com/documents/?uuid=ef2fa249-903b-4b71-8c71-84d3715f58cd" ] } ], "mendeley" : { "formattedCitation" : "(Neath &amp; Brown, 2006)", "plainTextFormattedCitation" : "(Neath &amp; Brown, 2006)", "previouslyFormattedCitation" : "(Neath &amp; Brown, 2006)" }, "properties" : { "noteIndex" : 0 }, "schema" : "https://github.com/citation-style-language/schema/raw/master/csl-citation.json" }</w:instrText>
      </w:r>
      <w:r w:rsidRPr="004946F6">
        <w:fldChar w:fldCharType="separate"/>
      </w:r>
      <w:r w:rsidRPr="004946F6">
        <w:rPr>
          <w:noProof/>
        </w:rPr>
        <w:t>(Neath &amp; Brown, 2006)</w:t>
      </w:r>
      <w:r w:rsidRPr="004946F6">
        <w:fldChar w:fldCharType="end"/>
      </w:r>
      <w:r w:rsidRPr="004946F6">
        <w:t xml:space="preserve"> </w:t>
      </w:r>
      <w:r>
        <w:t xml:space="preserve">set out to explore the list-composition effect in the recall of short and long words. To do so, they </w:t>
      </w:r>
      <w:r w:rsidRPr="004946F6">
        <w:t xml:space="preserve">proposed that short words are </w:t>
      </w:r>
      <w:r>
        <w:t xml:space="preserve">more distinctive than long words because they are easier to comprehend. Distinctiveness was the main mechanism that allowed SIMPLE to </w:t>
      </w:r>
      <w:r w:rsidRPr="004946F6">
        <w:t xml:space="preserve">capture the findings that memory for a pure list of short words is better than memory for a pure list of long words, and that in mixed lists of short and long words, memory for short and long words is equivalent, and is at the level of memory for a pure list of short words </w:t>
      </w:r>
      <w:r w:rsidRPr="004946F6">
        <w:fldChar w:fldCharType="begin" w:fldLock="1"/>
      </w:r>
      <w:r w:rsidRPr="004946F6">
        <w:instrText>ADDIN CSL_CITATION { "citationItems" : [ { "id" : "ITEM-1", "itemData" : { "DOI" : "10.1037/0278-7393.30.1.98", "ISSN" : "02787393", "PMID" : "14736299", "abstract" : "Reports two experiments that compare the recall of long and short words in pure and mixed lists. Observation that in pure lists, long words were poorly remembered than short words while in mixed lists, this word-length effect was abolished and both the long and short words were recalled as well as short words in pure lists; Assessment that the findings contradict models that seek to explain word-length effect in terms of item-based effects such as difficulty in assembling items, or in terms of list-based accounts of rehearsal speed.", "author" : [ { "dropping-particle" : "", "family" : "Hulme", "given" : "Charles", "non-dropping-particle" : "", "parse-names" : false, "suffix" : "" }, { "dropping-particle" : "", "family" : "Stuart", "given" : "George", "non-dropping-particle" : "", "parse-names" : false, "suffix" : "" }, { "dropping-particle" : "", "family" : "Suprenant", "given" : "Aimee M", "non-dropping-particle" : "", "parse-names" : false, "suffix" : "" }, { "dropping-particle" : "", "family" : "Bireta", "given" : "Tamra J", "non-dropping-particle" : "", "parse-names" : false, "suffix" : "" }, { "dropping-particle" : "", "family" : "Neath", "given" : "Ian", "non-dropping-particle" : "", "parse-names" : false, "suffix" : "" } ], "container-title" : "Journal of Experimental Psychology.Learning, Memory &amp; Cognition", "id" : "ITEM-1", "issue" : "1", "issued" : { "date-parts" : [ [ "2004" ] ] }, "page" : "98-106", "title" : "Abolishing the Word-Length Effect", "type" : "article-journal", "volume" : "30" }, "uris" : [ "http://www.mendeley.com/documents/?uuid=093bdd32-b581-4337-ba7c-5d5ebea28c44" ] } ], "mendeley" : { "formattedCitation" : "(Hulme, Stuart, Suprenant, Bireta, &amp; Neath, 2004)", "plainTextFormattedCitation" : "(Hulme, Stuart, Suprenant, Bireta, &amp; Neath, 2004)", "previouslyFormattedCitation" : "(Hulme, Stuart, Suprenant, Bireta, &amp; Neath, 2004)" }, "properties" : { "noteIndex" : 0 }, "schema" : "https://github.com/citation-style-language/schema/raw/master/csl-citation.json" }</w:instrText>
      </w:r>
      <w:r w:rsidRPr="004946F6">
        <w:fldChar w:fldCharType="separate"/>
      </w:r>
      <w:r w:rsidRPr="004946F6">
        <w:rPr>
          <w:noProof/>
        </w:rPr>
        <w:t>(Hulme, Stuart, Suprenant, Bireta, &amp; Neath, 2004)</w:t>
      </w:r>
      <w:r w:rsidRPr="004946F6">
        <w:fldChar w:fldCharType="end"/>
      </w:r>
      <w:r w:rsidRPr="004946F6">
        <w:t xml:space="preserve">. </w:t>
      </w:r>
      <w:r>
        <w:t xml:space="preserve">Why is that relevant for emotional memory? Because like short words, emotional items are also more distinctive than neutral items, due to </w:t>
      </w:r>
      <w:r w:rsidRPr="004946F6">
        <w:t xml:space="preserve">the unique </w:t>
      </w:r>
      <w:r>
        <w:t xml:space="preserve">cognitive and affective processes they trigger during </w:t>
      </w:r>
      <w:r w:rsidRPr="004946F6">
        <w:t xml:space="preserve">encoding. </w:t>
      </w:r>
      <w:r>
        <w:t xml:space="preserve">If we take this analogy seriously (Brown, personal communication) it would seem that </w:t>
      </w:r>
      <w:r w:rsidRPr="004946F6">
        <w:t>SIMPLE predict</w:t>
      </w:r>
      <w:r>
        <w:t>s</w:t>
      </w:r>
      <w:r w:rsidRPr="004946F6">
        <w:t xml:space="preserve"> the mirror image of the empirical emotional list composition effect: that memory for memory for pure neutral lists will be decreased, compared to all other conditions</w:t>
      </w:r>
      <w:r>
        <w:t xml:space="preserve">, just as memory for pure lists of long words is decreased compared to all other conditions. </w:t>
      </w:r>
    </w:p>
    <w:p w14:paraId="26121165" w14:textId="5A8D3A2D" w:rsidR="00C152D9" w:rsidRPr="004946F6" w:rsidRDefault="007170AF">
      <w:pPr>
        <w:spacing w:line="480" w:lineRule="auto"/>
        <w:jc w:val="both"/>
        <w:rPr>
          <w:lang w:bidi="he-IL"/>
        </w:rPr>
      </w:pPr>
      <w:r w:rsidRPr="004946F6">
        <w:t>T</w:t>
      </w:r>
      <w:r w:rsidR="00EE7A9B" w:rsidRPr="004946F6">
        <w:t>he emotional oddball effect is also reminiscent of semantic and perceptual oddball effects</w:t>
      </w:r>
      <w:r w:rsidRPr="004946F6">
        <w:t>. I</w:t>
      </w:r>
      <w:r w:rsidR="00EE7A9B" w:rsidRPr="004946F6">
        <w:t xml:space="preserve">n a striking demonstration, the same oddball effects are observed either when a picture of a nude model is the oddball item </w:t>
      </w:r>
      <w:r w:rsidR="002D025B" w:rsidRPr="004946F6">
        <w:t xml:space="preserve">within a list of </w:t>
      </w:r>
      <w:r w:rsidR="00EE7A9B" w:rsidRPr="004946F6">
        <w:t>pictures of clothed models</w:t>
      </w:r>
      <w:r w:rsidR="002D025B" w:rsidRPr="004946F6">
        <w:t xml:space="preserve"> (the standard items)</w:t>
      </w:r>
      <w:r w:rsidR="00EE7A9B" w:rsidRPr="004946F6">
        <w:t xml:space="preserve">, or vice versa. Therefore, it is reasonable to ask whether models </w:t>
      </w:r>
      <w:r w:rsidR="0052178E">
        <w:t xml:space="preserve">that were </w:t>
      </w:r>
      <w:r w:rsidR="00EE7A9B" w:rsidRPr="004946F6">
        <w:t>developed to explain the generic oddball effect –</w:t>
      </w:r>
      <w:r w:rsidR="0052178E">
        <w:t xml:space="preserve"> </w:t>
      </w:r>
      <w:r w:rsidR="00EE7A9B" w:rsidRPr="004946F6">
        <w:t xml:space="preserve">including </w:t>
      </w:r>
      <w:r w:rsidR="00AE4EC9" w:rsidRPr="004946F6">
        <w:t xml:space="preserve">the categorization-activation-novelty model, </w:t>
      </w:r>
      <w:r w:rsidR="00EE7A9B" w:rsidRPr="004946F6">
        <w:t xml:space="preserve">CAN </w:t>
      </w:r>
      <w:r w:rsidR="00EE7A9B" w:rsidRPr="004946F6">
        <w:fldChar w:fldCharType="begin" w:fldLock="1"/>
      </w:r>
      <w:r w:rsidR="008C25E5" w:rsidRPr="004946F6">
        <w:instrText>ADDIN CSL_CITATION { "citationItems" : [ { "id" : "ITEM-1", "itemData" : { "DOI" : "10.3389/fnhum.2014.00410", "PMID" : "25018721", "abstract" : "Evidence from neuropsychology and neuroimaging indicate that the pre-frontal cortex (PFC) plays an important role in human memory. Although frontal patients are able to form new memories, these memories appear qualitatively different from those of controls by lacking distinctiveness. Neuroimaging studies of memory indicate activation in the PFC under deep encoding conditions, and under conditions of semantic elaboration. Based on these results, we hypothesize that the PFC enhances memory by extracting differences and commonalities in the studied material. To test this hypothesis, we carried out an experimental investigation to test the relationship between the PFC-dependent factors and semantic factors associated with common and specific features of words. These experiments were performed using Free-Recall of word lists with healthy adults, exploiting the correlation between PFC function and fluid intelligence. As predicted, a correlation was found between fluid intelligence and the Von-Restorff effect (better memory for semantic isolates, e.g., isolate \"cat\" within category members of \"fruit\"). Moreover, memory for the semantic isolate was found to depend on the isolate's serial position. The isolate item tends to be recalled first, in comparison to non-isolates, suggesting that the process interacts with short term memory. These results are captured within a computational model of free recall, which includes a PFC mechanism that is sensitive to both commonality and distinctiveness, sustaining a trade-off between the two.", "author" : [ { "dropping-particle" : "", "family" : "Elhalal", "given" : "Anat", "non-dropping-particle" : "", "parse-names" : false, "suffix" : "" }, { "dropping-particle" : "", "family" : "Davelaar", "given" : "Eddy J", "non-dropping-particle" : "", "parse-names" : false, "suffix" : "" }, { "dropping-particle" : "", "family" : "Usher", "given" : "Marius", "non-dropping-particle" : "", "parse-names" : false, "suffix" : "" } ], "container-title" : "Frontiers in human neuroscience", "id" : "ITEM-1", "issued" : { "date-parts" : [ [ "2014" ] ] }, "page" : "410", "publisher" : "Frontiers Media SA", "title" : "The role of the frontal cortex in memory: an investigation of the Von Restorff effect.", "type" : "article-journal", "volume" : "8" }, "uris" : [ "http://www.mendeley.com/documents/?uuid=63d93d78-f99e-35a0-b811-049030ca426b" ] } ], "mendeley" : { "formattedCitation" : "(Elhalal et al., 2014)", "plainTextFormattedCitation" : "(Elhalal et al., 2014)", "previouslyFormattedCitation" : "(Elhalal et al., 2014)" }, "properties" : { "noteIndex" : 0 }, "schema" : "https://github.com/citation-style-language/schema/raw/master/csl-citation.json" }</w:instrText>
      </w:r>
      <w:r w:rsidR="00EE7A9B" w:rsidRPr="004946F6">
        <w:fldChar w:fldCharType="separate"/>
      </w:r>
      <w:r w:rsidR="00EE7A9B" w:rsidRPr="004946F6">
        <w:rPr>
          <w:noProof/>
        </w:rPr>
        <w:t>(Elhalal et al., 2014)</w:t>
      </w:r>
      <w:r w:rsidR="00EE7A9B" w:rsidRPr="004946F6">
        <w:fldChar w:fldCharType="end"/>
      </w:r>
      <w:r w:rsidR="00EE7A9B" w:rsidRPr="004946F6">
        <w:t xml:space="preserve"> and SIMPLE </w:t>
      </w:r>
      <w:r w:rsidR="00EE7A9B" w:rsidRPr="004946F6">
        <w:fldChar w:fldCharType="begin" w:fldLock="1"/>
      </w:r>
      <w:r w:rsidR="008C25E5" w:rsidRPr="004946F6">
        <w:instrText>ADDIN CSL_CITATION { "citationItems" : [ { "id" : "ITEM-1", "itemData" : { "DOI" : "10.1037/0033-295X.114.3.539", "ISBN" : "0033-295X U6 - ctx_ver=Z39.88-2004&amp;ctx_enc=info%3Aofi%2Fenc%3AUTF-8&amp;rfr_id=info:sid/summon.serialssolutions.com&amp;rft_val_fmt=info:ofi/fmt:kev:mtx:journal&amp;rft.genre=article&amp;rft.atitle=A+Temporal+Ratio+Model+of+Memory&amp;rft.jtitle=Psychological+Review&amp;rft.au=Brown%2C+Gordon+D.+A&amp;rft.au=Neath%2C+Ian&amp;rft.au=Chater%2C+Nick&amp;rft.date=2007-07-01&amp;rft.pub=American+Psychological+Association&amp;rft.issn=0033-295X&amp;rft.volume=114&amp;rft.issue=3&amp;rft.spage=539&amp;rft.epage=576&amp;rft_id=info:doi/10.1037%2F0033-295X.114.3.539&amp;", "ISSN" : "0033-295X", "PMID" : "17638496", "abstract" : "A model of memory retrieval is described. The model embodies 4 main claims: (a) temporal memory--traces of items are represented in memory partly in terms of their temporal distance from the present; (b) scale-similarity--similar mechanisms govern retrieval from memory over many different timescales; (c) local distinctiveness--performance on a range of memory tasks is determined by interference from near psychological neighbors; and (d) interference-based forgetting--all memory loss is due to interference and not trace decay. The model is applied to data on free recall and serial recall. The account emphasizes qualitative similarity in the retrieval principles involved in memory performance at all timescales, contrary to models that emphasize distinctions between short-term and long-term memory. (PsycINFO Database Record (c) 2013 APA, all rights reserved). (journal abstract)", "author" : [ { "dropping-particle" : "", "family" : "Brown", "given" : "Gordon D. A.", "non-dropping-particle" : "", "parse-names" : false, "suffix" : "" }, { "dropping-particle" : "", "family" : "Neath", "given" : "Ian", "non-dropping-particle" : "", "parse-names" : false, "suffix" : "" }, { "dropping-particle" : "", "family" : "Chater", "given" : "Nick", "non-dropping-particle" : "", "parse-names" : false, "suffix" : "" } ], "container-title" : "Psychological Review", "id" : "ITEM-1", "issue" : "3", "issued" : { "date-parts" : [ [ "2007" ] ] }, "page" : "539-576", "title" : "A temporal ratio model of memory", "type" : "article-journal", "volume" : "114" }, "uris" : [ "http://www.mendeley.com/documents/?uuid=ff742eda-fd95-441b-99c7-d53f0b42ce8e" ] } ], "mendeley" : { "formattedCitation" : "(Brown et al., 2007)", "plainTextFormattedCitation" : "(Brown et al., 2007)", "previouslyFormattedCitation" : "(Brown et al., 2007)" }, "properties" : { "noteIndex" : 0 }, "schema" : "https://github.com/citation-style-language/schema/raw/master/csl-citation.json" }</w:instrText>
      </w:r>
      <w:r w:rsidR="00EE7A9B" w:rsidRPr="004946F6">
        <w:fldChar w:fldCharType="separate"/>
      </w:r>
      <w:r w:rsidR="006A42DA" w:rsidRPr="004946F6">
        <w:rPr>
          <w:noProof/>
        </w:rPr>
        <w:t>(Brown et al., 2007)</w:t>
      </w:r>
      <w:r w:rsidR="00EE7A9B" w:rsidRPr="004946F6">
        <w:fldChar w:fldCharType="end"/>
      </w:r>
      <w:r w:rsidR="00EE7A9B" w:rsidRPr="004946F6">
        <w:t xml:space="preserve"> - </w:t>
      </w:r>
      <w:r w:rsidR="0052178E" w:rsidRPr="004946F6">
        <w:t>can also explain the emotional oddball effect</w:t>
      </w:r>
      <w:r w:rsidR="0052178E">
        <w:t>, and</w:t>
      </w:r>
      <w:r w:rsidR="00EE7A9B" w:rsidRPr="004946F6">
        <w:t xml:space="preserve"> whether eCMR can account for non-emotional oddball effects. </w:t>
      </w:r>
      <w:r w:rsidRPr="004946F6">
        <w:t>W</w:t>
      </w:r>
      <w:r w:rsidR="002B71C7" w:rsidRPr="004946F6">
        <w:rPr>
          <w:lang w:bidi="he-IL"/>
        </w:rPr>
        <w:t xml:space="preserve">e did not conduct a model comparison and cannot therefore comment on whether eCMR </w:t>
      </w:r>
      <w:r w:rsidR="00A13640" w:rsidRPr="004946F6">
        <w:rPr>
          <w:lang w:bidi="he-IL"/>
        </w:rPr>
        <w:t>is better or worse in capturing oddball effects compared to CAN and SIMPLE</w:t>
      </w:r>
      <w:r w:rsidR="00536980" w:rsidRPr="004946F6">
        <w:rPr>
          <w:lang w:bidi="he-IL"/>
        </w:rPr>
        <w:t>. The s</w:t>
      </w:r>
      <w:r w:rsidRPr="004946F6">
        <w:rPr>
          <w:lang w:bidi="he-IL"/>
        </w:rPr>
        <w:t xml:space="preserve">imulation </w:t>
      </w:r>
      <w:r w:rsidR="00536980" w:rsidRPr="004946F6">
        <w:rPr>
          <w:lang w:bidi="he-IL"/>
        </w:rPr>
        <w:t>we reported here suggests that the mechanism</w:t>
      </w:r>
      <w:r w:rsidR="00BE3E45" w:rsidRPr="004946F6">
        <w:rPr>
          <w:lang w:bidi="he-IL"/>
        </w:rPr>
        <w:t>s</w:t>
      </w:r>
      <w:r w:rsidR="00536980" w:rsidRPr="004946F6">
        <w:rPr>
          <w:lang w:bidi="he-IL"/>
        </w:rPr>
        <w:t xml:space="preserve"> that drive both may be similar, and distinguished only in the degree of attention allocated to the oddball, and the degree to which it disrupts the temporal context of encoding. These dimensions can be crossed in an empirical investigation, for example using emotional and neutral oddballs that attract varied amount of attention and disrupt the temporal context to varying degrees. eCMR</w:t>
      </w:r>
      <w:r w:rsidRPr="004946F6">
        <w:rPr>
          <w:lang w:bidi="he-IL"/>
        </w:rPr>
        <w:t xml:space="preserve"> did make some unique predictions that could be tested empirically to </w:t>
      </w:r>
      <w:r w:rsidR="00536980" w:rsidRPr="004946F6">
        <w:rPr>
          <w:lang w:bidi="he-IL"/>
        </w:rPr>
        <w:t>support it against competing models</w:t>
      </w:r>
      <w:r w:rsidR="00EC6BA2" w:rsidRPr="004946F6">
        <w:rPr>
          <w:lang w:bidi="he-IL"/>
        </w:rPr>
        <w:t xml:space="preserve"> of the oddball effect</w:t>
      </w:r>
      <w:r w:rsidR="002B71C7" w:rsidRPr="004946F6">
        <w:rPr>
          <w:lang w:bidi="he-IL"/>
        </w:rPr>
        <w:t xml:space="preserve">. </w:t>
      </w:r>
      <w:r w:rsidRPr="004946F6">
        <w:rPr>
          <w:lang w:bidi="he-IL"/>
        </w:rPr>
        <w:t>First, eCMR predicted increased retrospective</w:t>
      </w:r>
      <w:r w:rsidR="00A13640" w:rsidRPr="004946F6">
        <w:rPr>
          <w:lang w:bidi="he-IL"/>
        </w:rPr>
        <w:t xml:space="preserve"> </w:t>
      </w:r>
      <w:r w:rsidR="009A2377" w:rsidRPr="004946F6">
        <w:rPr>
          <w:lang w:bidi="he-IL"/>
        </w:rPr>
        <w:t xml:space="preserve">time estimation </w:t>
      </w:r>
      <w:r w:rsidRPr="004946F6">
        <w:rPr>
          <w:lang w:bidi="he-IL"/>
        </w:rPr>
        <w:t>in oddball compared to control lists</w:t>
      </w:r>
      <w:r w:rsidR="00536980" w:rsidRPr="004946F6">
        <w:rPr>
          <w:lang w:bidi="he-IL"/>
        </w:rPr>
        <w:t>, which could be modulated by emotionality</w:t>
      </w:r>
      <w:r w:rsidR="009A2377" w:rsidRPr="004946F6">
        <w:rPr>
          <w:lang w:bidi="he-IL"/>
        </w:rPr>
        <w:t xml:space="preserve">. </w:t>
      </w:r>
      <w:r w:rsidRPr="004946F6">
        <w:rPr>
          <w:lang w:bidi="he-IL"/>
        </w:rPr>
        <w:t xml:space="preserve">Second, while memory impairment for items nearest the oddball is common to many models, eCMR uniquely predicted that </w:t>
      </w:r>
      <w:r w:rsidR="00536980" w:rsidRPr="004946F6">
        <w:rPr>
          <w:lang w:bidi="he-IL"/>
        </w:rPr>
        <w:t xml:space="preserve">this impairment is not a result of </w:t>
      </w:r>
      <w:r w:rsidRPr="004946F6">
        <w:rPr>
          <w:lang w:bidi="he-IL"/>
        </w:rPr>
        <w:t xml:space="preserve">increased attention to the oddball. </w:t>
      </w:r>
      <w:r w:rsidR="00C152D9" w:rsidRPr="004946F6">
        <w:rPr>
          <w:lang w:bidi="he-IL"/>
        </w:rPr>
        <w:t xml:space="preserve">Ultimately, the success of eCMR compared to other models will be revealed by data that test </w:t>
      </w:r>
      <w:r w:rsidR="00536980" w:rsidRPr="004946F6">
        <w:rPr>
          <w:lang w:bidi="he-IL"/>
        </w:rPr>
        <w:t>these</w:t>
      </w:r>
      <w:r w:rsidR="00C152D9" w:rsidRPr="004946F6">
        <w:rPr>
          <w:lang w:bidi="he-IL"/>
        </w:rPr>
        <w:t xml:space="preserve"> novel predictions.</w:t>
      </w:r>
      <w:r w:rsidR="006E738D" w:rsidRPr="004946F6">
        <w:rPr>
          <w:lang w:bidi="he-IL"/>
        </w:rPr>
        <w:t xml:space="preserve"> </w:t>
      </w:r>
    </w:p>
    <w:p w14:paraId="2AA59CCF" w14:textId="77777777" w:rsidR="00D4067B" w:rsidRPr="004946F6" w:rsidRDefault="00D4067B" w:rsidP="00D4067B">
      <w:pPr>
        <w:jc w:val="center"/>
        <w:rPr>
          <w:b/>
          <w:bCs/>
          <w:i/>
          <w:iCs/>
        </w:rPr>
      </w:pPr>
    </w:p>
    <w:p w14:paraId="11CB7313" w14:textId="1FDA5AE0" w:rsidR="007170AF" w:rsidRPr="004946F6" w:rsidRDefault="00FB66D3" w:rsidP="00AE588A">
      <w:pPr>
        <w:spacing w:line="480" w:lineRule="auto"/>
        <w:jc w:val="both"/>
        <w:rPr>
          <w:b/>
          <w:bCs/>
          <w:i/>
          <w:iCs/>
        </w:rPr>
      </w:pPr>
      <w:r w:rsidRPr="004946F6">
        <w:rPr>
          <w:b/>
          <w:bCs/>
          <w:i/>
          <w:iCs/>
        </w:rPr>
        <w:t>5.2 Limitations of the modelling approach and plans for future resea</w:t>
      </w:r>
      <w:r w:rsidR="00C152D9" w:rsidRPr="004946F6">
        <w:rPr>
          <w:b/>
          <w:bCs/>
          <w:i/>
          <w:iCs/>
        </w:rPr>
        <w:t>r</w:t>
      </w:r>
      <w:r w:rsidRPr="004946F6">
        <w:rPr>
          <w:b/>
          <w:bCs/>
          <w:i/>
          <w:iCs/>
        </w:rPr>
        <w:t>ch</w:t>
      </w:r>
    </w:p>
    <w:p w14:paraId="1AF16AF3" w14:textId="7C3A67D2" w:rsidR="00BF1D00" w:rsidRDefault="00F0282F">
      <w:pPr>
        <w:tabs>
          <w:tab w:val="left" w:pos="426"/>
        </w:tabs>
        <w:spacing w:line="480" w:lineRule="auto"/>
        <w:jc w:val="both"/>
      </w:pPr>
      <w:r w:rsidRPr="004946F6">
        <w:t xml:space="preserve">The emotional experiences of our lives are rich with personal meaning that defines us as people and connects us to others and to the cultures we live in. They can be positive or negative, happy or calm, </w:t>
      </w:r>
      <w:r w:rsidR="003E75CE">
        <w:t>threatening</w:t>
      </w:r>
      <w:r w:rsidRPr="004946F6">
        <w:t xml:space="preserve"> or disgusting, and motivate us to approach, avoid, or otherwise behave in multiple bewildering ways. The controversy around defining emotion is well-known </w:t>
      </w:r>
      <w:r w:rsidRPr="004946F6">
        <w:fldChar w:fldCharType="begin" w:fldLock="1"/>
      </w:r>
      <w:r w:rsidR="008C25E5" w:rsidRPr="004946F6">
        <w:instrText>ADDIN CSL_CITATION { "citationItems" : [ { "id" : "ITEM-1", "itemData" : { "DOI" : "10.1177/1754073910374661", "ISBN" : "17540739", "ISSN" : "1754-0739", "abstract" : "Many psychological scientists and behavioral neuroscientists affirm that \"emotion\" influences thinking, decision-making, actions, social relationships, well-being, and physical and mental health. Yet there is no consensus on a definition of the word \"emotion,\" and the present data suggest that it cannot be defined as a unitary concept. Theorists and researchers attribute quite different yet heuristic meanings to \"emotion.\" They show considerable agreement about emotion activation, functions, and regulation. The central goal of this article is to alert researchers, students, and other consumers of \"emotion\" research to the multiple meanings or aspects that distinguished scientists attribute to \"emotion,\" increase appreciation of its interesting and challenging complexity, and sharpen perspectives on \"emotion\" and the associated body of literature that is of critical significance to science and society.", "author" : [ { "dropping-particle" : "", "family" : "Izard", "given" : "Carroll E.", "non-dropping-particle" : "", "parse-names" : false, "suffix" : "" } ], "container-title" : "Emotion Review", "id" : "ITEM-1", "issue" : "4", "issued" : { "date-parts" : [ [ "2010" ] ] }, "page" : "363-370", "title" : "The Many Meanings/Aspects of Emotion: Definitions, Functions, Activation, and Regulation", "type" : "article-journal", "volume" : "2" }, "uris" : [ "http://www.mendeley.com/documents/?uuid=88ea2e29-5645-4798-8404-033a038038f4" ] } ], "mendeley" : { "formattedCitation" : "(Izard, 2010)", "plainTextFormattedCitation" : "(Izard, 2010)", "previouslyFormattedCitation" : "(Izard, 2010)" }, "properties" : { "noteIndex" : 0 }, "schema" : "https://github.com/citation-style-language/schema/raw/master/csl-citation.json" }</w:instrText>
      </w:r>
      <w:r w:rsidRPr="004946F6">
        <w:fldChar w:fldCharType="separate"/>
      </w:r>
      <w:r w:rsidRPr="004946F6">
        <w:rPr>
          <w:noProof/>
        </w:rPr>
        <w:t>(Izard, 2010)</w:t>
      </w:r>
      <w:r w:rsidRPr="004946F6">
        <w:fldChar w:fldCharType="end"/>
      </w:r>
      <w:r w:rsidRPr="004946F6">
        <w:t xml:space="preserve"> and there is no sign yet for an umbrella theory that can bridge the gaps between the different theoretical positions that give rise to the disparate definitions. eCMR simplifies matter by considering only two aspects of emotional experiences – the semantic association between them and their increased intensity </w:t>
      </w:r>
      <w:r w:rsidRPr="004946F6">
        <w:fldChar w:fldCharType="begin" w:fldLock="1"/>
      </w:r>
      <w:r w:rsidR="008C25E5" w:rsidRPr="004946F6">
        <w:instrText>ADDIN CSL_CITATION { "citationItems" : [ { "id" : "ITEM-1", "itemData" : { "DOI" : "10.1037/h0077714", "ISBN" : "0022-3514", "ISSN" : "0022-3514", "PMID" : "2764020961044689222", "abstract" : "Factor-analytic evidence has led most psychologists to describe affect as a set of dimensions, such as displeasure, distress, depression, excitement, and so on, with each dimension varying independently of the others. However, there is other evidence that rather than being independent, these affective dimensions are interrelated in a highly systematic fashion. The evidence suggests that these interrelationships can be represented by a spatial model in which affective concepts fall in a circle in the following order: pleasure (0\u00b0), excitement (45\u00b0), arousal (90\u00b0), distress (135\u00b0), displeasure (180\u00b0), depression (225\u00b0), sleepiness (270\u00b0), and relaxation (315\u00b0). This model was offered both as a way psychologists can represent the structure of affective experience, as assessed through self-report, and as a representation of the cognitive structure that laymen utilize in conceptualizing affect. Supportive evidence was obtained by scaling 28 emotiondenoting adjectives in four different ways: Ross' technique for a circular ordering of variables, a multidimensional scaling procedure based on perceived similarity among the terms, a unidimensional scaling on hypothesized pleasure-displeasure and degree-of-arousal dimensions, and a principal-components analysis of 343 subjects' self-reports of their current affective states.", "author" : [ { "dropping-particle" : "", "family" : "Russell", "given" : "James A.", "non-dropping-particle" : "", "parse-names" : false, "suffix" : "" } ], "container-title" : "Journal of Personality and Social Psychology", "id" : "ITEM-1", "issue" : "6", "issued" : { "date-parts" : [ [ "1980" ] ] }, "page" : "1161-1178", "title" : "A circumplex model of affect.", "type" : "article-journal", "volume" : "39" }, "uris" : [ "http://www.mendeley.com/documents/?uuid=b6cad574-344b-4140-8592-9ac3b3bd263a" ] }, { "id" : "ITEM-2", "itemData" : { "DOI" : "10.1093/scan/nsw154", "abstract" : "The science of emotion has been using folk psychology categories derived from philosophy to search for the brain basis of emotion. The last two decades of neuroscience research have brought us to the brink of a paradigm shift in understanding the workings of the brain, however, setting the stage to revolutionize our understanding of what emotions are and how they work. In this article, we begin with the structure and function of the brain, and from there deduce what the biological basis of emotions might be. The answer is a brain-based, computational account called the theory of constructed emotion.", "author" : [ { "dropping-particle" : "", "family" : "Feldman Barrett", "given" : "Lisa", "non-dropping-particle" : "", "parse-names" : false, "suffix" : "" } ], "container-title" : "Social Cognitive and Affective Neuroscience", "id" : "ITEM-2", "issued" : { "date-parts" : [ [ "2016" ] ] }, "page" : "1-23", "title" : "The theory of constructed emotion: an active inference account of interoception and categorization", "type" : "article-journal" }, "uris" : [ "http://www.mendeley.com/documents/?uuid=68ca1ef9-1fbc-37ef-928f-a1969f243159" ] }, { "id" : "ITEM-3", "itemData" : { "DOI" : "10.1093/cercor/bhv001", "ISBN" : "1460-2199 (Electronic)\\r1047-3211 (Linking)", "ISSN" : "1460-2199", "PMID" : "25631056", "abstract" : "The ability to experience pleasant or unpleasant feelings or to represent objects as \"positive\" or \"negative\" is known as representing hedonic \"valence.\" Although scientists overwhelmingly agree that valence is a basic psychological phenomenon, debate continues about how to best conceptualize it scientifically. We used a meta-analysis of 397 functional magnetic resonance imaging (fMRI) and positron emission tomography studies (containing 914 experimental contrasts and 6827 participants) to test 3 competing hypotheses about the brain basis of valence: the bipolarity hypothesis that positive and negative affect are supported by a brain system that monotonically increases and/or decreases along the valence dimension, the bivalent hypothesis that positive and negative affect are supported by independent brain systems, and the affective workspace hypothesis that positive and negative affect are supported by a flexible set of valence-general regions. We found little evidence for the bipolar or bivalent hypotheses. Findings instead supported the hypothesis that, at the level of brain activity measurable by fMRI, valence is flexibly implemented across instances by a set of valence-general limbic and paralimbic brain regions.", "author" : [ { "dropping-particle" : "", "family" : "Lindquist", "given" : "Kristen A", "non-dropping-particle" : "", "parse-names" : false, "suffix" : "" }, { "dropping-particle" : "", "family" : "Satpute", "given" : "Ajay B", "non-dropping-particle" : "", "parse-names" : false, "suffix" : "" }, { "dropping-particle" : "", "family" : "Wager", "given" : "Tor D", "non-dropping-particle" : "", "parse-names" : false, "suffix" : "" }, { "dropping-particle" : "", "family" : "Weber", "given" : "Jochen", "non-dropping-particle" : "", "parse-names" : false, "suffix" : "" }, { "dropping-particle" : "", "family" : "Barrett", "given" : "Lisa Feldman", "non-dropping-particle" : "", "parse-names" : false, "suffix" : "" } ], "container-title" : "Cerebral cortex (New York, N.Y. : 1991)", "id" : "ITEM-3", "issued" : { "date-parts" : [ [ "2015" ] ] }, "page" : "1910-1922", "title" : "The Brain Basis of Positive and Negative Affect: Evidence from a Meta-Analysis of the Human Neuroimaging Literature.", "type" : "article-journal", "volume" : "26" }, "uris" : [ "http://www.mendeley.com/documents/?uuid=3ec35569-3903-4c15-a477-e69f92afc919" ] }, { "id" : "ITEM-4", "itemData" : { "DOI" : "10.1016/0005-7916(94)90063-9", "ISBN" : "0005-7916 (Print)\\n0005-7916 (Linking)", "ISSN" : "00057916", "PMID" : "7962581", "abstract" : "The Self-Assessment Manikin (SAM) is a non-verbal pictorial assessment technique that directly measures the pleasure, arousal, and dominance associated with a person's affective reaction to a wide variety of stimuli. In this experiment, we compare reports of affective experience obtained using SAM, which requires only three simple judgments, to the Semantic Differential scale devised by Mehrabian and Russell (An approach to environmental psychology, 1974) which requires 18 different ratings. Subjective reports were measured to a series of pictures that varied in both affective valence and intensity. Correlations across the two rating methods were high both for reports of experienced pleasure and felt arousal. Differences obtained in the dominance dimension of the two instruments suggest that SAM may better track the personal response to an affective stimulus. SAM is an inexpensive, easy method for quickly assessing reports of affective response in many contexts.", "author" : [ { "dropping-particle" : "", "family" : "Bradley", "given" : "M", "non-dropping-particle" : "", "parse-names" : false, "suffix" : "" }, { "dropping-particle" : "", "family" : "Lang", "given" : "Peter J", "non-dropping-particle" : "", "parse-names" : false, "suffix" : "" } ], "container-title" : "Journal of Behavior Therapy and Experimental Psychiatry", "id" : "ITEM-4", "issue" : "I", "issued" : { "date-parts" : [ [ "1994" ] ] }, "page" : "49-59", "title" : "Measuring Emotion: The Self-Assessment Semantic Differential Manikin and the", "type" : "article-journal", "volume" : "25" }, "uris" : [ "http://www.mendeley.com/documents/?uuid=992fcdfd-a997-40f7-8001-952c7c311616" ] } ], "mendeley" : { "formattedCitation" : "(M. Bradley &amp; Lang, 1994; Feldman Barrett, 2016; Lindquist, Satpute, Wager, Weber, &amp; Barrett, 2015; Russell, 1980)", "manualFormatting" : "(Bradley &amp; Lang, 1994; Feldman Barrett, 2016; Lindquist, Satpute, Wager, Weber, &amp; Barrett, 2015; Russell, 1980)", "plainTextFormattedCitation" : "(M. Bradley &amp; Lang, 1994; Feldman Barrett, 2016; Lindquist, Satpute, Wager, Weber, &amp; Barrett, 2015; Russell, 1980)", "previouslyFormattedCitation" : "(M. Bradley &amp; Lang, 1994; Feldman Barrett, 2016; Lindquist, Satpute, Wager, Weber, &amp; Barrett, 2015; Russell, 1980)" }, "properties" : { "noteIndex" : 0 }, "schema" : "https://github.com/citation-style-language/schema/raw/master/csl-citation.json" }</w:instrText>
      </w:r>
      <w:r w:rsidRPr="004946F6">
        <w:fldChar w:fldCharType="separate"/>
      </w:r>
      <w:r w:rsidRPr="004946F6">
        <w:rPr>
          <w:noProof/>
        </w:rPr>
        <w:t>(Bradley &amp; Lang, 1994; Feldman Barrett, 2016; Lindquist, Satpute, Wager, Weber, &amp; Barrett, 2015; Russell, 1980)</w:t>
      </w:r>
      <w:r w:rsidRPr="004946F6">
        <w:fldChar w:fldCharType="end"/>
      </w:r>
      <w:r w:rsidRPr="004946F6">
        <w:t>. Yet even arousal was only represented in eCMR inasmuch as it drove enhanced attention</w:t>
      </w:r>
      <w:r w:rsidR="00BF1D00">
        <w:t xml:space="preserve">, an operationalisation most closely related to the ‘relevance detection’ appraisal </w:t>
      </w:r>
      <w:r w:rsidR="00BF1D00">
        <w:fldChar w:fldCharType="begin" w:fldLock="1"/>
      </w:r>
      <w:r w:rsidR="00BF1D00">
        <w:instrText>ADDIN CSL_CITATION { "citationItems" : [ { "id" : "ITEM-1", "itemData" : { "DOI" : "10.1016/j.neunet.2005.03.001", "ISBN" : "0893-6080 (Print)\\n0893-6080 (Linking)", "ISSN" : "08936080", "PMID" : "15936172", "abstract" : "While artificial neural networks are regularly employed in modeling the perception of facial and vocal emotion expression as well as in automatic expression decoding by artificial agents, this approach is yet to be extended to the modeling of emotion elicitation and differentiation. In part, this may be due to the dominance of discrete and dimensional emotion models, which have not encouraged computational modeling. This situation has changed with the advent of appraisal theories of emotion and a number of attempts to develop rule-based models can be found in the literature. However, most of these models operate at a high level of conceptual abstraction and rarely include the underlying neural architecture. In this contribution, an appraisal-based emotion theory, the Component Process Model (CPM), is described that seems particularly suited to modeling with the help of artificial neural network approaches. This is due to its high degree of specificity in postulating underlying mechanisms including efferent physiological and behavioral manifestations as well as to the possibility of linking the theoretical assumptions to underlying neural architectures and dynamic processes. This paper provides a brief overview of the model, suggests constraints imposed by neural circuits, and provides examples on how the temporal unfolding of emotion can be conceptualized and experimentally tested. In addition, it is shown that the specific characteristics of emotion episodes can be profitably explored with the help of non-linear dynamic systems theory. \u00a9 2005 Elsevier Ltd. All rights reserved.", "author" : [ { "dropping-particle" : "", "family" : "Sander", "given" : "David", "non-dropping-particle" : "", "parse-names" : false, "suffix" : "" }, { "dropping-particle" : "", "family" : "Grandjean", "given" : "Didier", "non-dropping-particle" : "", "parse-names" : false, "suffix" : "" }, { "dropping-particle" : "", "family" : "Scherer", "given" : "Klaus R.", "non-dropping-particle" : "", "parse-names" : false, "suffix" : "" } ], "container-title" : "Neural Networks", "id" : "ITEM-1", "issue" : "4", "issued" : { "date-parts" : [ [ "2005" ] ] }, "page" : "317-352", "title" : "A systems approach to appraisal mechanisms in emotion", "type" : "article", "volume" : "18" }, "uris" : [ "http://www.mendeley.com/documents/?uuid=851605fd-d29c-4e4e-8c08-39b9cdc28f6b" ] } ], "mendeley" : { "formattedCitation" : "(Sander, Grandjean, &amp; Scherer, 2005)", "plainTextFormattedCitation" : "(Sander, Grandjean, &amp; Scherer, 2005)" }, "properties" : { "noteIndex" : 0 }, "schema" : "https://github.com/citation-style-language/schema/raw/master/csl-citation.json" }</w:instrText>
      </w:r>
      <w:r w:rsidR="00BF1D00">
        <w:fldChar w:fldCharType="separate"/>
      </w:r>
      <w:r w:rsidR="00BF1D00" w:rsidRPr="00BF1D00">
        <w:rPr>
          <w:noProof/>
        </w:rPr>
        <w:t>(Sander, Grandjean, &amp; Scherer, 2005)</w:t>
      </w:r>
      <w:r w:rsidR="00BF1D00">
        <w:fldChar w:fldCharType="end"/>
      </w:r>
      <w:r w:rsidR="00BF1D00">
        <w:t xml:space="preserve"> than to other theoretical treatments</w:t>
      </w:r>
      <w:r w:rsidRPr="004946F6">
        <w:t xml:space="preserve">. </w:t>
      </w:r>
    </w:p>
    <w:p w14:paraId="52D77C21" w14:textId="01090B44" w:rsidR="00F0282F" w:rsidRPr="004946F6" w:rsidRDefault="00F0282F">
      <w:pPr>
        <w:tabs>
          <w:tab w:val="left" w:pos="426"/>
        </w:tabs>
        <w:spacing w:line="480" w:lineRule="auto"/>
        <w:jc w:val="both"/>
      </w:pPr>
      <w:r w:rsidRPr="004946F6">
        <w:t xml:space="preserve">One aspect of emotional experience that deserves additional consideration is valence, because there is evidence that negatively-valenced stimuli are remembered better than positive ones even when attention is controlled </w:t>
      </w:r>
      <w:r w:rsidRPr="004946F6">
        <w:fldChar w:fldCharType="begin" w:fldLock="1"/>
      </w:r>
      <w:r w:rsidR="008C25E5" w:rsidRPr="004946F6">
        <w:instrText>ADDIN CSL_CITATION { "citationItems" : [ { "id" : "ITEM-1", "itemData" : { "DOI" : "10.1177/1754073908100432", "ISSN" : "1754-0739", "abstract" : "Though emotion conveys memory benefits, it does not enhance memory equally for all aspects of an experience, nor for all types of emotional events. In this review, I outline the behavioral evidence for arousal's focal enhancements of memory and describe the neural processes that may support those focal enhancements. I also present behavioral evidence to suggest that these focal enhancements occur more often for negative experiences than for positive ones. This result appears to arise because of valence-dependent effects on the neural processes recruited during episodic encoding and retrieval, with negative affect associated with increased engagement of sensory processes, and positive affect leading to enhanced recruitment of conceptual processes.", "author" : [ { "dropping-particle" : "", "family" : "Kensinger", "given" : "Elizabeth A.", "non-dropping-particle" : "", "parse-names" : false, "suffix" : "" } ], "container-title" : "Emotion Review", "id" : "ITEM-1", "issue" : "2", "issued" : { "date-parts" : [ [ "2009", "4" ] ] }, "page" : "99-113", "publisher" : "SAGE PublicationsSage UK: London, England", "title" : "Remembering the Details: Effects of Emotion", "type" : "article-journal", "volume" : "1" }, "uris" : [ "http://www.mendeley.com/documents/?uuid=cdb7284c-c1ba-356d-ace5-3e83375bf91f" ] } ], "mendeley" : { "formattedCitation" : "(Kensinger, 2009a)", "plainTextFormattedCitation" : "(Kensinger, 2009a)", "previouslyFormattedCitation" : "(Kensinger, 2009a)" }, "properties" : { "noteIndex" : 0 }, "schema" : "https://github.com/citation-style-language/schema/raw/master/csl-citation.json" }</w:instrText>
      </w:r>
      <w:r w:rsidRPr="004946F6">
        <w:fldChar w:fldCharType="separate"/>
      </w:r>
      <w:r w:rsidRPr="004946F6">
        <w:rPr>
          <w:noProof/>
        </w:rPr>
        <w:t>(Kensinger, 2009a)</w:t>
      </w:r>
      <w:r w:rsidRPr="004946F6">
        <w:fldChar w:fldCharType="end"/>
      </w:r>
      <w:r w:rsidRPr="004946F6">
        <w:t xml:space="preserve"> and that valence may modulate some of the effects we discussed, including the relationship between attention and memory in mixed lists </w:t>
      </w:r>
      <w:r w:rsidRPr="004946F6">
        <w:fldChar w:fldCharType="begin" w:fldLock="1"/>
      </w:r>
      <w:r w:rsidR="008C25E5" w:rsidRPr="004946F6">
        <w:instrText>ADDIN CSL_CITATION { "citationItems" : [ { "id" : "ITEM-1", "itemData" : { "DOI" : "10.1037/1528-3542.7.1.89", "ISBN" : "1528-3542 (Print)", "ISSN" : "1528-3542", "PMID" : "17352566", "abstract" : "Examining the positive and negative pictures separately revealed that emotionally enhanced memory (EEM) for positive pictures was mediated by attention, with no significant influence of emotional arousal, whereas the reverse was true of negative pictures. Consistent with this finding, in Experiment 2 EEM for negative pictures was found even when task emphasis was manipulated so that equivalent attention was allocated to negative and neutral pictures. The results show that attention and semantic relatedness contribute to EEM, with the extent varying with emotional valence. Negative emotion can influence memory independently of these 2 factors.", "author" : [ { "dropping-particle" : "", "family" : "Talmi", "given" : "Deborah", "non-dropping-particle" : "", "parse-names" : false, "suffix" : "" }, { "dropping-particle" : "", "family" : "Schimmack", "given" : "Ulrich", "non-dropping-particle" : "", "parse-names" : false, "suffix" : "" }, { "dropping-particle" : "", "family" : "Paterson", "given" : "Theone", "non-dropping-particle" : "", "parse-names" : false, "suffix" : "" }, { "dropping-particle" : "", "family" : "Moscovitch", "given" : "Morris", "non-dropping-particle" : "", "parse-names" : false, "suffix" : "" } ], "container-title" : "Emotion (Washington, D.C.)", "id" : "ITEM-1", "issue" : "1", "issued" : { "date-parts" : [ [ "2007" ] ] }, "page" : "89-102", "title" : "The role of attention and relatedness in emotionally enhanced memory.", "type" : "article-journal", "volume" : "7" }, "uris" : [ "http://www.mendeley.com/documents/?uuid=e7ef3af2-792a-4752-bf01-e0a55c46ec7f" ] } ], "mendeley" : { "formattedCitation" : "(Talmi, Schimmack, et al., 2007)", "plainTextFormattedCitation" : "(Talmi, Schimmack, et al., 2007)", "previouslyFormattedCitation" : "(Talmi, Schimmack, et al., 2007)" }, "properties" : { "noteIndex" : 0 }, "schema" : "https://github.com/citation-style-language/schema/raw/master/csl-citation.json" }</w:instrText>
      </w:r>
      <w:r w:rsidRPr="004946F6">
        <w:fldChar w:fldCharType="separate"/>
      </w:r>
      <w:r w:rsidRPr="004946F6">
        <w:rPr>
          <w:noProof/>
        </w:rPr>
        <w:t>(Talmi, Schimmack, et al., 2007)</w:t>
      </w:r>
      <w:r w:rsidRPr="004946F6">
        <w:fldChar w:fldCharType="end"/>
      </w:r>
      <w:r w:rsidRPr="004946F6">
        <w:t xml:space="preserve"> and the effect of oddballs on </w:t>
      </w:r>
      <w:r w:rsidR="00BF1D00">
        <w:t xml:space="preserve">preceding </w:t>
      </w:r>
      <w:r w:rsidRPr="004946F6">
        <w:t xml:space="preserve">items </w:t>
      </w:r>
      <w:r w:rsidRPr="004946F6">
        <w:fldChar w:fldCharType="begin" w:fldLock="1"/>
      </w:r>
      <w:r w:rsidR="008C25E5" w:rsidRPr="004946F6">
        <w:instrText>ADDIN CSL_CITATION { "citationItems" : [ { "id" : "ITEM-1", "itemData" : { "DOI" : "10.1523/JNEUROSCI.0228-05.2005", "ISSN" : "0270-6474", "PMID" : "16000624", "abstract" : "We used a free-recall paradigm to establish a behavioral index of the retrograde and anterograde interference of emotion with episodic memory encoding. In two experiments involving 78 subjects, we show that negatively valenced items elicit retrograde amnesia, whereas positively valenced items elicit retrograde hypermnesia. These data indicate item valence is critical in determining retrograde amnesia and retrograde hypermnesia. In contrast, we show that item arousal induces an anterograde amnesic effect, consistent with the idea that a valence-evoked arousal mechanism compromises anterograde episodic encoding. Randomized double-blind administration of the beta-adrenoceptor antagonist propranolol compared with the selective norepinephrine (NE) reuptake-inhibitor reboxetine, and placebo, demonstrated that the magnitude of this emotional amnesia and hypermnesia can be upregulated and downregulated as a function of emotional arousal and central NE signaling. We conclude that a differential processing of emotional arousal and valence influences how the brain remembers and forgets.", "author" : [ { "dropping-particle" : "", "family" : "Hurlemann", "given" : "Ren\u00e9.", "non-dropping-particle" : "", "parse-names" : false, "suffix" : "" }, { "dropping-particle" : "", "family" : "Hawellek", "given" : "Barbara", "non-dropping-particle" : "", "parse-names" : false, "suffix" : "" }, { "dropping-particle" : "", "family" : "Matusch", "given" : "Andreas", "non-dropping-particle" : "", "parse-names" : false, "suffix" : "" }, { "dropping-particle" : "", "family" : "Kolsch", "given" : "Heike", "non-dropping-particle" : "", "parse-names" : false, "suffix" : "" }, { "dropping-particle" : "", "family" : "Wollersen", "given" : "Heike", "non-dropping-particle" : "", "parse-names" : false, "suffix" : "" }, { "dropping-particle" : "", "family" : "Madea", "given" : "Burkhard", "non-dropping-particle" : "", "parse-names" : false, "suffix" : "" }, { "dropping-particle" : "", "family" : "Vogeley", "given" : "Kai", "non-dropping-particle" : "", "parse-names" : false, "suffix" : "" }, { "dropping-particle" : "", "family" : "Maier", "given" : "Wolfgang", "non-dropping-particle" : "", "parse-names" : false, "suffix" : "" }, { "dropping-particle" : "", "family" : "Dolan", "given" : "Raymond J", "non-dropping-particle" : "", "parse-names" : false, "suffix" : "" } ], "container-title" : "Journal of Neuroscience", "id" : "ITEM-1", "issue" : "27", "issued" : { "date-parts" : [ [ "2005", "7", "6" ] ] }, "page" : "6343-6349", "title" : "Noradrenergic Modulation of Emotion-Induced Forgetting and Remembering", "type" : "article-journal", "volume" : "25" }, "uris" : [ "http://www.mendeley.com/documents/?uuid=28c3c055-0ac7-35c5-9d6d-f18498f7f2a3" ] } ], "mendeley" : { "formattedCitation" : "(Hurlemann et al., 2005)", "plainTextFormattedCitation" : "(Hurlemann et al., 2005)", "previouslyFormattedCitation" : "(Hurlemann et al., 2005)" }, "properties" : { "noteIndex" : 0 }, "schema" : "https://github.com/citation-style-language/schema/raw/master/csl-citation.json" }</w:instrText>
      </w:r>
      <w:r w:rsidRPr="004946F6">
        <w:fldChar w:fldCharType="separate"/>
      </w:r>
      <w:r w:rsidRPr="004946F6">
        <w:rPr>
          <w:noProof/>
        </w:rPr>
        <w:t>(Hurlemann et al., 2005)</w:t>
      </w:r>
      <w:r w:rsidRPr="004946F6">
        <w:fldChar w:fldCharType="end"/>
      </w:r>
      <w:r w:rsidRPr="004946F6">
        <w:t>. Future research should test whether the empirical results that we drew on here replicate with positive, arousing stimuli. eCMR can be extended to represent a valence dimension of context, if such results imply that this is necessary. I</w:t>
      </w:r>
      <w:r w:rsidR="00BF1D00">
        <w:t>n that case, i</w:t>
      </w:r>
      <w:r w:rsidRPr="004946F6">
        <w:t xml:space="preserve">t would be important for future research to control the semantic associations within and across valence categories, because there is evidence that positive stimuli are judged to be more similar to each other than negative </w:t>
      </w:r>
      <w:r w:rsidR="00BF1D00">
        <w:t>ones</w:t>
      </w:r>
      <w:r w:rsidRPr="004946F6">
        <w:t xml:space="preserve"> </w:t>
      </w:r>
      <w:r w:rsidRPr="004946F6">
        <w:fldChar w:fldCharType="begin" w:fldLock="1"/>
      </w:r>
      <w:r w:rsidR="008C25E5" w:rsidRPr="004946F6">
        <w:instrText>ADDIN CSL_CITATION { "citationItems" : [ { "id" : "ITEM-1", "itemData" : { "DOI" : "10.1037/xlm0000243", "abstract" : "The density hypothesis (Unkelbach, Fiedler, Bayer, Stegm\u00fcller, &amp; Danner, 2008) claims a general higher similarity of positive information to other positive information compared with the similarity of negative information to other negative information. This similarity asymmetry might explain valence asymmetries on all levels of cognitive processing. The available empirical evidence for this general valence asymmetry in similarity suffers from a lack of direct tests, low representativeness, and possible confounding variables (e.g., differential valence intensity, frequency, familiarity, or concreteness of positive and negative stimuli). To address these problems, Study 1 first validated the spatial arrangement method (SpAM) as a similarity measure. Using SpAM, Studies 2\u2013 6 found the proposed valence asymmetry in large, representative samples of self-and other-generated words (Studies 2a/2b), for words of consensual and idiosyncratic valence (Study 3), for words from 1 and many independent information sources (Study 4), for real-life experiences (Study 5), and for large data sets of verbal (i.e., \u03f314,000 words reported by Warriner, Kuperman, &amp; Brysbaert, 2013) and visual information (i.e., \u03f31,000 pictures reported in the IAPS; Lang, Bradley, &amp; Cuthbert, 2005; Study 6). Together, these data support a general valence asymmetry in similarity, namely that good is more alike than bad. Positively and negatively evaluated information differentially in-fluences all stages of information processing\u2014from attention (e.g., Pratto &amp; John, 1991) to categorization (e.g., Billig &amp; Tajfel, 1973) to memory (e.g., Alves et al., 2015). Traditionally, these influences are explained by negative information's higher emotional and motiva-tional significance due to basic survival needs (Baumeister, Brat-slavsky, Finkenauer, &amp; Vohs, 2001; Rozin &amp; Royzman, 2001; Taylor, 1991). While emotional and motivational effects are uncontested, Unkelbach, Fiedler, Bayer, Stegm\u00fcller, and Danner (2008) formulated the density hypothesis as an informational explanation of valence asymmetries in information processing. The density hypothesis states that positive information is generally more similar to other positive information compared to negative information's similarity to other negative information; in visualizations of mental representations, pos-itive information is thus more densely clustered. In other words, they hypothesized a general valence asymmetry in stimulus similarity. And as inter\u2026", "author" : [ { "dropping-particle" : "", "family" : "Koch", "given" : "Alex", "non-dropping-particle" : "", "parse-names" : false, "suffix" : "" }, { "dropping-particle" : "", "family" : "Alves", "given" : "Hans", "non-dropping-particle" : "", "parse-names" : false, "suffix" : "" }, { "dropping-particle" : "", "family" : "Kr\u00fcger", "given" : "Tobias", "non-dropping-particle" : "", "parse-names" : false, "suffix" : "" }, { "dropping-particle" : "", "family" : "Unkelbach", "given" : "Christian", "non-dropping-particle" : "", "parse-names" : false, "suffix" : "" } ], "container-title" : "Journal of experimental psychology. Learning, memory, and cognitionournal of Experimental Psychology:Learning, Memory, and Cognition", "id" : "ITEM-1", "issue" : "8", "issued" : { "date-parts" : [ [ "2016" ] ] }, "page" : "1171\u20131192", "title" : "A General Valence Asymmetry in Similarity: Good Is More Alike Than Bad", "type" : "article-journal", "volume" : "42" }, "uris" : [ "http://www.mendeley.com/documents/?uuid=c0cfcc88-d56b-35cf-a345-a0313d1adf4a" ] } ], "mendeley" : { "formattedCitation" : "(Koch, Alves, Kr\u00fcger, &amp; Unkelbach, 2016)", "plainTextFormattedCitation" : "(Koch, Alves, Kr\u00fcger, &amp; Unkelbach, 2016)", "previouslyFormattedCitation" : "(Koch, Alves, Kr\u00fcger, &amp; Unkelbach, 2016)" }, "properties" : { "noteIndex" : 0 }, "schema" : "https://github.com/citation-style-language/schema/raw/master/csl-citation.json" }</w:instrText>
      </w:r>
      <w:r w:rsidRPr="004946F6">
        <w:fldChar w:fldCharType="separate"/>
      </w:r>
      <w:r w:rsidRPr="004946F6">
        <w:rPr>
          <w:noProof/>
        </w:rPr>
        <w:t>(Koch, Alves, Krüger, &amp; Unkelbach, 2016)</w:t>
      </w:r>
      <w:r w:rsidRPr="004946F6">
        <w:fldChar w:fldCharType="end"/>
      </w:r>
      <w:r w:rsidRPr="004946F6">
        <w:t>.</w:t>
      </w:r>
      <w:r w:rsidR="006E738D" w:rsidRPr="004946F6">
        <w:t xml:space="preserve"> </w:t>
      </w:r>
    </w:p>
    <w:p w14:paraId="2FC1CCD0" w14:textId="5E33A0AB" w:rsidR="00F0282F" w:rsidRPr="004946F6" w:rsidRDefault="00F0282F">
      <w:pPr>
        <w:spacing w:line="480" w:lineRule="auto"/>
        <w:jc w:val="both"/>
      </w:pPr>
      <w:r w:rsidRPr="004946F6">
        <w:rPr>
          <w:lang w:bidi="he-IL"/>
        </w:rPr>
        <w:t xml:space="preserve">The concept of an emotional dimension of similarity, which has been so useful in eCMR, </w:t>
      </w:r>
      <w:r w:rsidR="00BF1D00">
        <w:rPr>
          <w:lang w:bidi="he-IL"/>
        </w:rPr>
        <w:t xml:space="preserve">also </w:t>
      </w:r>
      <w:r w:rsidRPr="004946F6">
        <w:rPr>
          <w:lang w:bidi="he-IL"/>
        </w:rPr>
        <w:t xml:space="preserve">deserves further research. Our previous work </w:t>
      </w:r>
      <w:r w:rsidRPr="004946F6">
        <w:rPr>
          <w:lang w:bidi="he-IL"/>
        </w:rPr>
        <w:fldChar w:fldCharType="begin" w:fldLock="1"/>
      </w:r>
      <w:r w:rsidR="008C25E5" w:rsidRPr="004946F6">
        <w:rPr>
          <w:lang w:bidi="he-IL"/>
        </w:rPr>
        <w:instrText>ADDIN CSL_CITATION { "citationItems" : [ { "id" : "ITEM-1", "itemData" : { "DOI" : "10.3758/BF03195864", "ISBN" : "0090-502X", "ISSN" : "0090-502X", "PMID" : "15552351", "abstract" : "Memory for emotional items is often better than memory for neutral items. In three experiments, we examined whether this typical finding is due to the higher semantic relatedness inherent to emotional items, a confound in previous studies. We also controlled for other possible confounding variables, such as imagery. In Experiments 1 and 2, participants encoded lists of emotional and categorized neutral words equivalent in semantic relatedness, as well as lists of random neutral words with lower semantic relatedness. In Experiment 3, the lists were mixed, containing words from all the conditions. Surprise free recall was tested after a 40- to 55-min retention interval. Free recall of emotional words was better than that of random neutral words, replicating the classic effect. Importantly, categorized words were recalled better than random neutral words, and not worse than emotional words. These results emphasize the important role of semantic relatedness in the classic effect and suggest that organizational processes operate alongside arousal-related ones to enhance memory for emotional material.", "author" : [ { "dropping-particle" : "", "family" : "Talmi", "given" : "Deborah", "non-dropping-particle" : "", "parse-names" : false, "suffix" : "" }, { "dropping-particle" : "", "family" : "Moscovitch", "given" : "Morris", "non-dropping-particle" : "", "parse-names" : false, "suffix" : "" } ], "container-title" : "Memory &amp; cognition", "id" : "ITEM-1", "issue" : "5", "issued" : { "date-parts" : [ [ "2004" ] ] }, "page" : "742-751", "title" : "Can semantic relatedness explain the enhancement of memory for emotional words?", "type" : "article-journal", "volume" : "32" }, "uris" : [ "http://www.mendeley.com/documents/?uuid=88c4bcd6-e969-4855-8742-18230ec41a9b" ] } ], "mendeley" : { "formattedCitation" : "(Talmi &amp; Moscovitch, 2004)", "plainTextFormattedCitation" : "(Talmi &amp; Moscovitch, 2004)", "previouslyFormattedCitation" : "(Talmi &amp; Moscovitch, 2004)" }, "properties" : { "noteIndex" : 0 }, "schema" : "https://github.com/citation-style-language/schema/raw/master/csl-citation.json" }</w:instrText>
      </w:r>
      <w:r w:rsidRPr="004946F6">
        <w:rPr>
          <w:lang w:bidi="he-IL"/>
        </w:rPr>
        <w:fldChar w:fldCharType="separate"/>
      </w:r>
      <w:r w:rsidRPr="004946F6">
        <w:rPr>
          <w:noProof/>
          <w:lang w:bidi="he-IL"/>
        </w:rPr>
        <w:t>(Talmi &amp; Moscovitch, 2004)</w:t>
      </w:r>
      <w:r w:rsidRPr="004946F6">
        <w:rPr>
          <w:lang w:bidi="he-IL"/>
        </w:rPr>
        <w:fldChar w:fldCharType="end"/>
      </w:r>
      <w:r w:rsidRPr="004946F6">
        <w:rPr>
          <w:lang w:bidi="he-IL"/>
        </w:rPr>
        <w:t xml:space="preserve"> inspired researchers to equate the semantic relatedness of the emotional and neutral stimuli they use. </w:t>
      </w:r>
      <w:r w:rsidRPr="004946F6">
        <w:t xml:space="preserve">The problem with this approach, which we have used extensively ourselves, is that when stimuli are emotional, semantic relatedness ratings may reflect a different construct than they do when stimuli are neutral. Judgements of similarity may be influenced both by semantic associations and by emotional associations related to how stimuli make participants feel. Participants may therefore rate two negative stimuli, for example, two sad facial expressions belonging to two different people, as more related than a sad and a neutral expression belonging to the same person. </w:t>
      </w:r>
      <w:r w:rsidR="00226018">
        <w:t>These open questions notwithstanding</w:t>
      </w:r>
      <w:r w:rsidRPr="004946F6">
        <w:t>, the qualitative mechanisms of binding and competition that we investigate here are robust to quantitative variation in the degree of similarity across items.</w:t>
      </w:r>
    </w:p>
    <w:p w14:paraId="16142BA0" w14:textId="7E73BDC9" w:rsidR="00297948" w:rsidRPr="004946F6" w:rsidRDefault="009F7D22">
      <w:pPr>
        <w:spacing w:line="480" w:lineRule="auto"/>
        <w:jc w:val="both"/>
      </w:pPr>
      <w:r w:rsidRPr="004946F6">
        <w:t>eCMR was confined to the simulation of free recall</w:t>
      </w:r>
      <w:r w:rsidR="005D4DCE" w:rsidRPr="004946F6">
        <w:t>, and in that, like other models, it neglects influences that arise from the nature of the memory test</w:t>
      </w:r>
      <w:r w:rsidRPr="004946F6">
        <w:t xml:space="preserve">. The advantage of emotional stimuli </w:t>
      </w:r>
      <w:r w:rsidR="005D4DCE" w:rsidRPr="004946F6">
        <w:t xml:space="preserve">that we highlighted here </w:t>
      </w:r>
      <w:r w:rsidRPr="004946F6">
        <w:t xml:space="preserve">would, however, </w:t>
      </w:r>
      <w:r w:rsidR="005D4DCE" w:rsidRPr="004946F6">
        <w:t xml:space="preserve">influence </w:t>
      </w:r>
      <w:r w:rsidR="00B46032" w:rsidRPr="004946F6">
        <w:t>any</w:t>
      </w:r>
      <w:r w:rsidRPr="004946F6">
        <w:t xml:space="preserve"> test that benefit</w:t>
      </w:r>
      <w:r w:rsidR="00B46032" w:rsidRPr="004946F6">
        <w:t>s</w:t>
      </w:r>
      <w:r w:rsidRPr="004946F6">
        <w:t xml:space="preserve"> from memory for the temporal context of encoding. </w:t>
      </w:r>
      <w:r w:rsidR="00B46032" w:rsidRPr="004946F6">
        <w:t xml:space="preserve">Although items </w:t>
      </w:r>
      <w:r w:rsidR="00BD2CB1" w:rsidRPr="004946F6">
        <w:t xml:space="preserve">may </w:t>
      </w:r>
      <w:r w:rsidR="00B46032" w:rsidRPr="004946F6">
        <w:t xml:space="preserve">not compete with each other in a recognition test as they do in free recall, the decision to classify a memory trace as a ‘Remember’ response is inherently </w:t>
      </w:r>
      <w:r w:rsidR="00EC572E">
        <w:t xml:space="preserve">linked to </w:t>
      </w:r>
      <w:r w:rsidR="00B46032" w:rsidRPr="004946F6">
        <w:t xml:space="preserve">the </w:t>
      </w:r>
      <w:r w:rsidR="00EC572E">
        <w:t xml:space="preserve">extent </w:t>
      </w:r>
      <w:r w:rsidR="00B46032" w:rsidRPr="004946F6">
        <w:t xml:space="preserve">to which the encoding context is retrieved at test. </w:t>
      </w:r>
      <w:r w:rsidRPr="004946F6">
        <w:t xml:space="preserve">This may explain why </w:t>
      </w:r>
      <w:r w:rsidR="00BB081D" w:rsidRPr="004946F6">
        <w:t xml:space="preserve">emotion enhances </w:t>
      </w:r>
      <w:r w:rsidRPr="004946F6">
        <w:t xml:space="preserve">measures of recollection </w:t>
      </w:r>
      <w:r w:rsidR="00BB081D" w:rsidRPr="004946F6">
        <w:t>more</w:t>
      </w:r>
      <w:r w:rsidRPr="004946F6">
        <w:t xml:space="preserve"> than familiarity </w:t>
      </w:r>
      <w:r w:rsidR="00FB66D3" w:rsidRPr="004946F6">
        <w:t>(</w:t>
      </w:r>
      <w:r w:rsidRPr="004946F6">
        <w:t xml:space="preserve">reviewed by Yonelinas </w:t>
      </w:r>
      <w:r w:rsidR="00FB66D3" w:rsidRPr="004946F6">
        <w:t>&amp;</w:t>
      </w:r>
      <w:r w:rsidRPr="004946F6">
        <w:t xml:space="preserve"> Ritchey</w:t>
      </w:r>
      <w:r w:rsidR="00FB66D3" w:rsidRPr="004946F6">
        <w:t>,</w:t>
      </w:r>
      <w:r w:rsidRPr="004946F6">
        <w:t xml:space="preserve"> 2015). </w:t>
      </w:r>
      <w:r w:rsidR="00297948" w:rsidRPr="004946F6">
        <w:t>The integration of emotion into retrieved context models help us decipher an intriguing, recent dataset, where neutral stimuli that were encoded after a block of emotional stimuli were recollected better than neutral stimuli encoded before a block of emotional stimuli</w:t>
      </w:r>
      <w:r w:rsidR="00E33744" w:rsidRPr="004946F6">
        <w:t xml:space="preserve">, before a block of neutral stimuli, or after a block of neutral stimuli </w:t>
      </w:r>
      <w:r w:rsidR="00297948" w:rsidRPr="004946F6">
        <w:fldChar w:fldCharType="begin" w:fldLock="1"/>
      </w:r>
      <w:r w:rsidR="008C25E5" w:rsidRPr="004946F6">
        <w:instrText>ADDIN CSL_CITATION { "citationItems" : [ { "id" : "ITEM-1", "itemData" : { "author" : [ { "dropping-particle" : "", "family" : "Tambini", "given" : "A.", "non-dropping-particle" : "", "parse-names" : false, "suffix" : "" }, { "dropping-particle" : "", "family" : "Rimmele", "given" : "U.", "non-dropping-particle" : "", "parse-names" : false, "suffix" : "" }, { "dropping-particle" : "", "family" : "Phelps", "given" : "E.A.", "non-dropping-particle" : "", "parse-names" : false, "suffix" : "" }, { "dropping-particle" : "", "family" : "Davachi", "given" : "L.", "non-dropping-particle" : "", "parse-names" : false, "suffix" : "" } ], "container-title" : "Nature Neuroscience, 1-8.", "id" : "ITEM-1", "issue" : "8", "issued" : { "date-parts" : [ [ "2017" ] ] }, "title" : "Emotional brain states carry over and enhance future memory formation", "type" : "article-journal", "volume" : "1" }, "uris" : [ "http://www.mendeley.com/documents/?uuid=b2d45184-e6d5-4914-bf22-c78afc5b254d" ] } ], "mendeley" : { "formattedCitation" : "(Tambini et al., 2017)", "plainTextFormattedCitation" : "(Tambini et al., 2017)", "previouslyFormattedCitation" : "(Tambini et al., 2017)" }, "properties" : { "noteIndex" : 0 }, "schema" : "https://github.com/citation-style-language/schema/raw/master/csl-citation.json" }</w:instrText>
      </w:r>
      <w:r w:rsidR="00297948" w:rsidRPr="004946F6">
        <w:fldChar w:fldCharType="separate"/>
      </w:r>
      <w:r w:rsidR="00AB19E0" w:rsidRPr="004946F6">
        <w:rPr>
          <w:noProof/>
        </w:rPr>
        <w:t>(Tambini et al., 2017)</w:t>
      </w:r>
      <w:r w:rsidR="00297948" w:rsidRPr="004946F6">
        <w:fldChar w:fldCharType="end"/>
      </w:r>
      <w:r w:rsidR="00297948" w:rsidRPr="004946F6">
        <w:t xml:space="preserve">. </w:t>
      </w:r>
      <w:r w:rsidR="00AA13F3" w:rsidRPr="004946F6">
        <w:t xml:space="preserve">We comment on this study because </w:t>
      </w:r>
      <w:r w:rsidR="00C906EF" w:rsidRPr="004946F6">
        <w:t xml:space="preserve">as in </w:t>
      </w:r>
      <w:r w:rsidR="00AA13F3" w:rsidRPr="004946F6">
        <w:t>the emot</w:t>
      </w:r>
      <w:r w:rsidR="00E33744" w:rsidRPr="004946F6">
        <w:t>ional list composition</w:t>
      </w:r>
      <w:r w:rsidR="00C906EF" w:rsidRPr="004946F6">
        <w:t xml:space="preserve"> effect, here, too, the key comparisons are between conditions that include only neutral items and those that mix emotional and neutral ones, and neutral memory change</w:t>
      </w:r>
      <w:r w:rsidR="00B46032" w:rsidRPr="004946F6">
        <w:t>d</w:t>
      </w:r>
      <w:r w:rsidR="00C906EF" w:rsidRPr="004946F6">
        <w:t xml:space="preserve"> based on the presence of emotional items. </w:t>
      </w:r>
      <w:r w:rsidR="00701B94" w:rsidRPr="004946F6">
        <w:t>Following principles of retrieved context models</w:t>
      </w:r>
      <w:r w:rsidR="00A670A8" w:rsidRPr="004946F6">
        <w:t xml:space="preserve">, </w:t>
      </w:r>
      <w:r w:rsidR="00E33744" w:rsidRPr="004946F6">
        <w:t xml:space="preserve">when emotional stimuli retrieve their </w:t>
      </w:r>
      <w:r w:rsidR="00866510" w:rsidRPr="004946F6">
        <w:t>temporal context</w:t>
      </w:r>
      <w:r w:rsidR="00E33744" w:rsidRPr="004946F6">
        <w:t xml:space="preserve"> during the recognition test, t</w:t>
      </w:r>
      <w:r w:rsidR="00866510" w:rsidRPr="004946F6">
        <w:t xml:space="preserve">his </w:t>
      </w:r>
      <w:r w:rsidR="00E33744" w:rsidRPr="004946F6">
        <w:t>might help items that share the</w:t>
      </w:r>
      <w:r w:rsidR="00C120B3" w:rsidRPr="004946F6">
        <w:t>ir</w:t>
      </w:r>
      <w:r w:rsidR="00E33744" w:rsidRPr="004946F6">
        <w:t xml:space="preserve"> </w:t>
      </w:r>
      <w:r w:rsidR="00C120B3" w:rsidRPr="004946F6">
        <w:t xml:space="preserve">encoding </w:t>
      </w:r>
      <w:r w:rsidR="00E33744" w:rsidRPr="004946F6">
        <w:t xml:space="preserve">context retrieve </w:t>
      </w:r>
      <w:r w:rsidR="00C120B3" w:rsidRPr="004946F6">
        <w:t>it during the test</w:t>
      </w:r>
      <w:r w:rsidR="00E33744" w:rsidRPr="004946F6">
        <w:t>. This could increase the recollection of neutral items that are</w:t>
      </w:r>
      <w:r w:rsidR="00866510" w:rsidRPr="004946F6">
        <w:t xml:space="preserve"> studied </w:t>
      </w:r>
      <w:r w:rsidR="00EC6BA2" w:rsidRPr="004946F6">
        <w:t xml:space="preserve">close </w:t>
      </w:r>
      <w:r w:rsidR="00866510" w:rsidRPr="004946F6">
        <w:t>after, but not before, the emotional items</w:t>
      </w:r>
      <w:r w:rsidR="00E33744" w:rsidRPr="004946F6">
        <w:t>, because only those share the temporal context of emotional items</w:t>
      </w:r>
      <w:r w:rsidR="00866510" w:rsidRPr="004946F6">
        <w:t>. In addition, it is likely that participants were still aroused when they encoded neutral items after an emotional block, because the physiological effects of</w:t>
      </w:r>
      <w:r w:rsidR="00297948" w:rsidRPr="004946F6">
        <w:t xml:space="preserve"> emotional arousal linger for many minutes</w:t>
      </w:r>
      <w:r w:rsidR="00C87CDC" w:rsidRPr="004946F6">
        <w:t xml:space="preserve"> </w:t>
      </w:r>
      <w:r w:rsidR="002F6264" w:rsidRPr="004946F6">
        <w:fldChar w:fldCharType="begin" w:fldLock="1"/>
      </w:r>
      <w:r w:rsidR="008C25E5" w:rsidRPr="004946F6">
        <w:instrText>ADDIN CSL_CITATION { "citationItems" : [ { "id" : "ITEM-1", "itemData" : { "DOI" : "10.1037/0033-2909.130.3.355", "ISBN" : "0033-2909 (Print)\\n0033-2909 (Linking)", "ISSN" : "0033-2909", "PMID" : "15122924", "abstract" : "This meta-analysis reviews 208 laboratory studies of acute psychological stressors and tests a theoretical model delineating conditions capable of eliciting cortisol responses. Psychological stressors increased cortisol levels; however, effects varied widely across tasks. Consistent with the theoretical model, motivated performance tasks elicited cortisol responses if they were uncontrollable or characterized by social-evaluative threat (task performance could be negatively judged by others), when methodological factors and other stressor characteristics were controlled for. Tasks containing both uncontrollable and social-evaluative elements were associated with the largest cortisol and adrenocorticotropin hormone changes and the longest times to recovery. These findings are consistent with the animal literature on the physiological effects of uncontrollable social threat and contradict the belief that cortisol is responsive to all types of stressors.", "author" : [ { "dropping-particle" : "", "family" : "Dickerson", "given" : "Sally S.", "non-dropping-particle" : "", "parse-names" : false, "suffix" : "" }, { "dropping-particle" : "", "family" : "Kemeny", "given" : "Margaret E.", "non-dropping-particle" : "", "parse-names" : false, "suffix" : "" } ], "container-title" : "Psychological Bulletin", "id" : "ITEM-1", "issue" : "3", "issued" : { "date-parts" : [ [ "2004" ] ] }, "page" : "355-391", "title" : "Acute Stressors and Cortisol Responses: A Theoretical Integration and Synthesis of Laboratory Research.", "type" : "article-journal", "volume" : "130" }, "uris" : [ "http://www.mendeley.com/documents/?uuid=b66a9fda-04d1-4a42-bdda-b1751513b4b2" ] } ], "mendeley" : { "formattedCitation" : "(Dickerson &amp; Kemeny, 2004)", "plainTextFormattedCitation" : "(Dickerson &amp; Kemeny, 2004)", "previouslyFormattedCitation" : "(Dickerson &amp; Kemeny, 2004)" }, "properties" : { "noteIndex" : 0 }, "schema" : "https://github.com/citation-style-language/schema/raw/master/csl-citation.json" }</w:instrText>
      </w:r>
      <w:r w:rsidR="002F6264" w:rsidRPr="004946F6">
        <w:fldChar w:fldCharType="separate"/>
      </w:r>
      <w:r w:rsidR="002F6264" w:rsidRPr="004946F6">
        <w:rPr>
          <w:noProof/>
        </w:rPr>
        <w:t>(Dickerson &amp; Kemeny, 2004)</w:t>
      </w:r>
      <w:r w:rsidR="002F6264" w:rsidRPr="004946F6">
        <w:fldChar w:fldCharType="end"/>
      </w:r>
      <w:r w:rsidR="00E33744" w:rsidRPr="004946F6">
        <w:t>, resulting in shared source context as well</w:t>
      </w:r>
      <w:r w:rsidR="00866510" w:rsidRPr="004946F6">
        <w:t xml:space="preserve">; and that </w:t>
      </w:r>
      <w:r w:rsidR="00E33744" w:rsidRPr="004946F6">
        <w:t xml:space="preserve">the </w:t>
      </w:r>
      <w:r w:rsidR="00866510" w:rsidRPr="004946F6">
        <w:t xml:space="preserve">arousal </w:t>
      </w:r>
      <w:r w:rsidR="00E33744" w:rsidRPr="004946F6">
        <w:t xml:space="preserve">state </w:t>
      </w:r>
      <w:r w:rsidR="00866510" w:rsidRPr="004946F6">
        <w:t>will have</w:t>
      </w:r>
      <w:r w:rsidR="00B8126E" w:rsidRPr="004946F6">
        <w:t xml:space="preserve"> </w:t>
      </w:r>
      <w:r w:rsidR="00866510" w:rsidRPr="004946F6">
        <w:t xml:space="preserve">increased attention </w:t>
      </w:r>
      <w:r w:rsidR="00E33744" w:rsidRPr="004946F6">
        <w:t>participants allocated to</w:t>
      </w:r>
      <w:r w:rsidR="00EC6BA2" w:rsidRPr="004946F6">
        <w:t xml:space="preserve"> retrieved memory traces</w:t>
      </w:r>
      <w:r w:rsidR="00866510" w:rsidRPr="004946F6">
        <w:t xml:space="preserve"> </w:t>
      </w:r>
      <w:r w:rsidR="00B8126E" w:rsidRPr="004946F6">
        <w:fldChar w:fldCharType="begin" w:fldLock="1"/>
      </w:r>
      <w:r w:rsidR="008C25E5" w:rsidRPr="004946F6">
        <w:instrText>ADDIN CSL_CITATION { "citationItems" : [ { "id" : "ITEM-1", "itemData" : { "DOI" : "10.1017/S0140525X15000667", "ISBN" : "1469-1825 (Electronic)\\r0140-525X (Linking)", "ISSN" : "0140-525X", "PMID" : "26126507", "abstract" : "Existing brain-based emotion-cognition theories fail to explain arousal's ability to both enhance and impair cognitive processing. In the Glutamate Amplifies Noradrenergic Effects (GANE) model outlined in this paper, we propose that arousal-induced norepinephrine (NE) released from the locus coeruleus (LC) biases perception and memory in favor of salient, high priority representations at the expense of lower priority representations. This increase in gain under phasic arousal occurs via synaptic self-regulation of NE based on glutamate levels. When the LC is phasically active, elevated levels of glutamate at the site of prioritized representations increase local NE release, creating \u201cNE hot spots.\u201d At these local hot spots, glutamate and NE release are mutually enhancing and amplify activation of prioritized representations. This excitatory effect contrasts with widespread NE suppression of weaker representations via lateral and auto-inhibitory processes. On a broader scale, hot spots increase oscillatory synchronization across neural ensembles transmitting high priority information. Furthermore, key brain structures that detect or pre-determine stimulus priority interact with phasic NE release to preferentially route such information through large-scale functional brain networks. A surge of NE before, during or after encoding enhances synaptic plasticity at sites of high glutamate activity, triggering local protein synthesis processes that enhance selective memory consolidation. Together, these noradrenergic mechanisms increase perceptual and memory selectivity under arousal. Beyond explaining discrepancies in the emotion-cognition literature, GANE reconciles and extends previous influential theories of LC neuromodulation by highlighting how NE can produce such different outcomes in processing based on priority.", "author" : [ { "dropping-particle" : "", "family" : "Mather", "given" : "Mara", "non-dropping-particle" : "", "parse-names" : false, "suffix" : "" }, { "dropping-particle" : "", "family" : "Clewett", "given" : "David", "non-dropping-particle" : "", "parse-names" : false, "suffix" : "" }, { "dropping-particle" : "", "family" : "Sakaki", "given" : "Michiko", "non-dropping-particle" : "", "parse-names" : false, "suffix" : "" }, { "dropping-particle" : "", "family" : "Harley", "given" : "Carolyn W", "non-dropping-particle" : "", "parse-names" : false, "suffix" : "" } ], "container-title" : "Behavioral and Brain Sciences", "id" : "ITEM-1", "issue" : "June", "issued" : { "date-parts" : [ [ "2015" ] ] }, "page" : "1-100", "title" : "Norepinephrine ignites local hot spots of neuronal excitation: How arousal amplifies selectivity in perception and memory", "type" : "article-journal" }, "uris" : [ "http://www.mendeley.com/documents/?uuid=ff7fa74a-ac48-4f5c-aa27-01f0e454fffd" ] } ], "mendeley" : { "formattedCitation" : "(Mather et al., 2015)", "plainTextFormattedCitation" : "(Mather et al., 2015)", "previouslyFormattedCitation" : "(Mather et al., 2015)" }, "properties" : { "noteIndex" : 0 }, "schema" : "https://github.com/citation-style-language/schema/raw/master/csl-citation.json" }</w:instrText>
      </w:r>
      <w:r w:rsidR="00B8126E" w:rsidRPr="004946F6">
        <w:fldChar w:fldCharType="separate"/>
      </w:r>
      <w:r w:rsidR="00B8126E" w:rsidRPr="004946F6">
        <w:rPr>
          <w:noProof/>
        </w:rPr>
        <w:t>(Mather et al., 2015)</w:t>
      </w:r>
      <w:r w:rsidR="00B8126E" w:rsidRPr="004946F6">
        <w:fldChar w:fldCharType="end"/>
      </w:r>
      <w:r w:rsidR="00297948" w:rsidRPr="004946F6">
        <w:t xml:space="preserve">. </w:t>
      </w:r>
      <w:r w:rsidR="00E33744" w:rsidRPr="004946F6">
        <w:t>Therefore, there are a number of reasons compatible with eCMR that could account for the findings, but t</w:t>
      </w:r>
      <w:r w:rsidR="00866510" w:rsidRPr="004946F6">
        <w:t xml:space="preserve">hese speculations could </w:t>
      </w:r>
      <w:r w:rsidR="00E33744" w:rsidRPr="004946F6">
        <w:t xml:space="preserve">only be </w:t>
      </w:r>
      <w:r w:rsidR="00866510" w:rsidRPr="004946F6">
        <w:t xml:space="preserve">examined </w:t>
      </w:r>
      <w:r w:rsidR="00E33744" w:rsidRPr="004946F6">
        <w:t>when eCMR is extended to recognition memory tests</w:t>
      </w:r>
      <w:r w:rsidR="00866510" w:rsidRPr="004946F6">
        <w:t xml:space="preserve">. </w:t>
      </w:r>
    </w:p>
    <w:p w14:paraId="33556AC2" w14:textId="3944C500" w:rsidR="00E8141C" w:rsidRPr="004946F6" w:rsidRDefault="00345F3D">
      <w:pPr>
        <w:spacing w:line="480" w:lineRule="auto"/>
        <w:jc w:val="both"/>
      </w:pPr>
      <w:r w:rsidRPr="004946F6">
        <w:t xml:space="preserve">Another major avenue for future development of eCMR is to </w:t>
      </w:r>
      <w:r w:rsidR="0042763F" w:rsidRPr="004946F6">
        <w:t xml:space="preserve">simulate </w:t>
      </w:r>
      <w:r w:rsidRPr="004946F6">
        <w:t>the effect of emotion on associative memory</w:t>
      </w:r>
      <w:r w:rsidR="0042763F" w:rsidRPr="004946F6">
        <w:t>.</w:t>
      </w:r>
      <w:r w:rsidR="00C152D9" w:rsidRPr="004946F6">
        <w:t xml:space="preserve"> </w:t>
      </w:r>
      <w:r w:rsidR="00EC22B6" w:rsidRPr="004946F6">
        <w:rPr>
          <w:rFonts w:eastAsia="Times New Roman"/>
        </w:rPr>
        <w:t>The main challenge is to understand the fact that when participants are re-presented with an emotional item that they have encoded earlier, they are better at retrieving some aspects of the context of encoding, with a consequent increase in accurate Remember judgments</w:t>
      </w:r>
      <w:r w:rsidR="000F669A" w:rsidRPr="004946F6">
        <w:rPr>
          <w:rFonts w:eastAsia="Times New Roman"/>
        </w:rPr>
        <w:t>,</w:t>
      </w:r>
      <w:r w:rsidR="00EC22B6" w:rsidRPr="004946F6">
        <w:rPr>
          <w:rFonts w:eastAsia="Times New Roman"/>
        </w:rPr>
        <w:t xml:space="preserve"> but not other aspects of the context, such as the orienting task that was performed during encoding, or other items that were encoded close in time and space </w:t>
      </w:r>
      <w:r w:rsidR="00EC22B6" w:rsidRPr="004946F6">
        <w:rPr>
          <w:rFonts w:eastAsia="Times New Roman"/>
        </w:rPr>
        <w:fldChar w:fldCharType="begin" w:fldLock="1"/>
      </w:r>
      <w:r w:rsidR="00AB7648">
        <w:rPr>
          <w:rFonts w:eastAsia="Times New Roman"/>
        </w:rPr>
        <w:instrText>ADDIN CSL_CITATION { "citationItems" : [ { "id" : "ITEM-1", "itemData" : { "DOI" : "10.1016/j.neuroimage.2017.04.065", "abstract" : "Emotional arousal is well-known to enhance memory for individual items or events, whereas it can impair association memory. The neural mechanism of this association memory impairment by emotion is not known: In response to emotionally arousing information, amygdala activity may interfere with hippocampal associative encoding (e.g., via prefrontal cortex). Alternatively, emotional information may be harder to unitize, resulting in reduced availability of extra-hippocampal medial temporal lobe support for emotional than neutral associations. To test these opposing hypotheses, we compared neural processes underlying successful and unsuccessful encoding of emotional and neutral associations. Participants intentionally studied pairs of neutral and negative pictures (Experiments 1\u20133). We found reduced association-memory for negative pictures in all experiments, accompanied by item-memory increases in Experiment 2. High-resolution fMRI (Experiment 3) indicated that reductions in associative encoding of emotional information are localizable to an area in ventral-lateral amygdala, driven by attentional/salience effects in the central amygdala. Hippocampal activity was similar during both pair types, but a left hippocampal cluster related to successful encoding was observed only for negative pairs. Extra-hippocampal associative memory processes (e.g., unitization) were more effective for neutral than emotional materials. Our findings suggest that reduced emotional association memory is accompanied by increases in activity and functional coupling within the amygdala. This did not disrupt hippocampal association-memory processes, which indeed were critical for successful emotional association memory formation.", "author" : [ { "dropping-particle" : "", "family" : "Madan", "given" : "Christopher R.", "non-dropping-particle" : "", "parse-names" : false, "suffix" : "" }, { "dropping-particle" : "", "family" : "Fujiwara", "given" : "Esther", "non-dropping-particle" : "", "parse-names" : false, "suffix" : "" }, { "dropping-particle" : "", "family" : "Caplan", "given" : "Jeremy B.", "non-dropping-particle" : "", "parse-names" : false, "suffix" : "" }, { "dropping-particle" : "", "family" : "Sommer", "given" : "Tobias", "non-dropping-particle" : "", "parse-names" : false, "suffix" : "" } ], "container-title" : "NeuroImage", "id" : "ITEM-1", "issued" : { "date-parts" : [ [ "2017" ] ] }, "page" : "14-28", "title" : "Emotional arousal impairs association-memory: Roles of amygdala and hippocampus", "type" : "article-journal", "volume" : "156" }, "uris" : [ "http://www.mendeley.com/documents/?uuid=34495a05-9f23-375b-98ae-fd9ffa68d157" ] }, { "id" : "ITEM-2", "itemData" : { "DOI" : "10.1016/j.jml.2012.04.001", "abstract" : "a b s t r a c t Emotionally arousing information is remembered better than neutral information. This enhancement effect has been shown for memory for items. In contrast, studies of associa-tion-memory have found both impairments and enhancements of association-memory by arousal. We aimed to resolve these conflicting results by using a cued-recall paradigm combined with a model-based data analysis method (Madan, Glaholt, &amp; Caplan, 2010) that simultaneously obtains separate estimates of arousal effects on memory for associations and memory for items. Participants studied sequentially presented words in pairs that were pure (NEGATIVE\u2013NEGATIVE or NEUTRAL\u2013NEUTRAL) or mixed (NEGATIVE\u2013NEUTRAL or NEUTRAL\u2013NEGATIVE). Cued recall tests had NEUTRAL or NEGATIVE probes and NEUTRAL or NEGATIVE targets. We found impaired memory for associations involving neg-ative words despite enhanced item-memory (more retrievable targets). A category-list control condition explained away the item-memory enhancement but could not explain the impairment of association-memory due to arousal. A second experiment with identical structure but using higher-arousing taboo words revealed increased cued recall of taboo than neutral words. However, this was exclusively mediated by item-memory effects with neither enhancement nor impairment of association-memory. Thus, cued recall was lower for pure negative pairs and higher for pure taboo pairs, but our modeling approach deter-mined a different locus of action for these memory impairing or increasing effects: Although item memory was increased by arousal, association-memory was impaired by negative words and unaffected by taboo words. Our results suggest that previous results reporting an enhancement of association-memory due to arousal may have instead been solely driven by enhanced item-memory.", "author" : [ { "dropping-particle" : "", "family" : "Madan", "given" : "Christopher R", "non-dropping-particle" : "", "parse-names" : false, "suffix" : "" }, { "dropping-particle" : "", "family" : "Caplan", "given" : "Jeremy B", "non-dropping-particle" : "", "parse-names" : false, "suffix" : "" }, { "dropping-particle" : "", "family" : "Lau", "given" : "Christine S M", "non-dropping-particle" : "", "parse-names" : false, "suffix" : "" }, { "dropping-particle" : "", "family" : "Fujiwara", "given" : "Esther", "non-dropping-particle" : "", "parse-names" : false, "suffix" : "" } ], "id" : "ITEM-2", "issued" : { "date-parts" : [ [ "2012" ] ] }, "title" : "Emotional arousal does not enhance association-memory", "type" : "article-journal" }, "uris" : [ "http://www.mendeley.com/documents/?uuid=177cca8e-9e63-3a55-9885-1cbe156a0efe" ] }, { "id" : "ITEM-3", "itemData" : { "DOI" : "10.1101/lm.032409.113", "PMID" : "24345636", "abstract" : "The formation of associations between items and their context has been proposed to rely on mechanisms distinct from those supporting memory for a single item. Although emotional experiences can profoundly affect memory, our understanding of how it interacts with different aspects of memory remains unclear. We performed three experiments to examine the effects of emotion on memory for items and their associations. By presenting neutral and negative items with background contexts, Experiment 1 demonstrated that item memory was facilitated by emotional affect, whereas memory for an associated context was reduced. In Experiment 2, arousal was manipulated independently of the memoranda, by a threat of shock, whereby encoding trials occurred under conditions of threat or safety. Memory for context was equally impaired by the presence of negative affect, whether induced by threat of shock or a negative item, relative to retrieval of the context of a neutral item in safety. In Experiment 3, participants were presented with neutral and negative items as paired associates, including all combinations of neutral and negative items. The results showed both above effects: compared to a neutral item, memory for the associate of a negative item (a second item here, context in Experiments 1 and 2) is impaired, whereas retrieval of the item itself is enhanced. Our findings suggest that negative affect impairs associative memory while recognition of a negative item is enhanced. They support dual-processing models in which negative affect or stress impairs hippocampal-dependent associative memory while the storage of negative sensory/perceptual representations is spared or even strengthened.", "author" : [ { "dropping-particle" : "", "family" : "Bisby", "given" : "James A", "non-dropping-particle" : "", "parse-names" : false, "suffix" : "" }, { "dropping-particle" : "", "family" : "Burgess", "given" : "Neil", "non-dropping-particle" : "", "parse-names" : false, "suffix" : "" } ], "container-title" : "Learning &amp; memory (Cold Spring Harbor, N.Y.)", "id" : "ITEM-3", "issue" : "1", "issued" : { "date-parts" : [ [ "2013", "12", "17" ] ] }, "page" : "21-7", "publisher" : "Cold Spring Harbor Laboratory Press", "title" : "Negative affect impairs associative memory but not item memory.", "type" : "article-journal", "volume" : "21" }, "uris" : [ "http://www.mendeley.com/documents/?uuid=b434700c-d152-3766-a8b2-4899a15ed8c2" ] }, { "id" : "ITEM-4", "itemData" : { "DOI" : "10.1016/j.cognition.2007.03.002", "ISBN" : "0010-0277 (Print)\\r0010-0277 (Linking)", "ISSN" : "00100277", "PMID" : "17451666", "abstract" : "Emotion has been suggested to slow forgetting via a mechanism that enhances memory consolidation. Here, we investigate whether this time dependent process influences the subjective experience of recollection as well as the ability to retrieve specific contextual details of the study event. To do so we examined recognition for emotional and neutral pictures at two retention intervals and collected remember/know reports and reports about the task that had been performed with the item during encoding. Recollective experience was enhanced for emotional compared to neutral photos after a 24-h delay, but not immediately after encoding. In contrast, memory for the task performed during encoding did not differ between emotional and neutral photos at either time point. The findings indicate that emotion slows the effects of forgetting on the recollective experience associated with studied events, without necessarily slowing the forgetting of specific contextual details of those events. ?? 2007 Elsevier B.V. All rights reserved.", "author" : [ { "dropping-particle" : "", "family" : "Sharot", "given" : "T", "non-dropping-particle" : "", "parse-names" : false, "suffix" : "" }, { "dropping-particle" : "", "family" : "Yonelinas", "given" : "A P.", "non-dropping-particle" : "", "parse-names" : false, "suffix" : "" } ], "container-title" : "Cognition", "id" : "ITEM-4", "issue" : "1", "issued" : { "date-parts" : [ [ "2008" ] ] }, "page" : "538-547", "title" : "Differential time-dependent effects of emotion on recollective experience and memory for contextual information", "type" : "article-journal", "volume" : "106" }, "uris" : [ "http://www.mendeley.com/documents/?uuid=cade4c60-71ed-4291-b2f8-9b1053f69e92" ] }, { "id" : "ITEM-5", "itemData" : { "DOI" : "10.1016/j.tics.2015.02.009", "ISBN" : "1879-307X (Electronic)\\r1364-6613 (Linking)", "ISSN" : "1879307X", "PMID" : "25836045", "abstract" : "Emotional events are remembered better than neutral events, and this emotion advantage becomes particularly pronounced over time. The time-dependent effects of emotion impact upon recollection rather than on familiarity-based recognition, and they influence the recollection of item-specific details rather than contextual details. Moreover, the amygdala, but not the hippocampus, is crucial for producing these effects. Time-dependent effects of emotion have been attributed to an emotional consolidation process whereby the amygdala gradually facilitates the storage of emotional memories by other medial temporal lobe regions. However, we propose that these effects can be better understood by an emotional binding account whereby the amygdala mediates the recollection of item-emotion bindings that are forgotten more slowly than item-context bindings supported by the hippocampus.", "author" : [ { "dropping-particle" : "", "family" : "Yonelinas", "given" : "Andrew P.", "non-dropping-particle" : "", "parse-names" : false, "suffix" : "" }, { "dropping-particle" : "", "family" : "Ritchey", "given" : "Maureen", "non-dropping-particle" : "", "parse-names" : false, "suffix" : "" } ], "container-title" : "Trends in Cognitive Sciences", "id" : "ITEM-5", "issue" : "5", "issued" : { "date-parts" : [ [ "2015" ] ] }, "page" : "259-267", "publisher" : "Elsevier Ltd", "title" : "The slow forgetting of emotional episodic memories: An emotional binding account", "type" : "article-journal", "volume" : "19" }, "uris" : [ "http://www.mendeley.com/documents/?uuid=b2c9465d-ace6-4f5e-a6bf-323b66b58ed5" ] } ], "mendeley" : { "formattedCitation" : "(Bisby &amp; Burgess, 2013; Madan et al., 2012, 2017; Sharot &amp; Yonelinas, 2008; Yonelinas &amp; Ritchey, 2015)", "plainTextFormattedCitation" : "(Bisby &amp; Burgess, 2013; Madan et al., 2012, 2017; Sharot &amp; Yonelinas, 2008; Yonelinas &amp; Ritchey, 2015)", "previouslyFormattedCitation" : "(Bisby &amp; Burgess, 2013; Madan et al., 2012, 2017; Sharot &amp; Yonelinas, 2008; Yonelinas &amp; Ritchey, 2015)" }, "properties" : { "noteIndex" : 0 }, "schema" : "https://github.com/citation-style-language/schema/raw/master/csl-citation.json" }</w:instrText>
      </w:r>
      <w:r w:rsidR="00EC22B6" w:rsidRPr="004946F6">
        <w:rPr>
          <w:rFonts w:eastAsia="Times New Roman"/>
        </w:rPr>
        <w:fldChar w:fldCharType="separate"/>
      </w:r>
      <w:r w:rsidR="008C25E5" w:rsidRPr="004946F6">
        <w:rPr>
          <w:rFonts w:eastAsia="Times New Roman"/>
          <w:noProof/>
        </w:rPr>
        <w:t>(Bisby &amp; Burgess, 2013; Madan et al., 2012, 2017; Sharot &amp; Yonelinas, 2008; Yonelinas &amp; Ritchey, 2015)</w:t>
      </w:r>
      <w:r w:rsidR="00EC22B6" w:rsidRPr="004946F6">
        <w:rPr>
          <w:rFonts w:eastAsia="Times New Roman"/>
        </w:rPr>
        <w:fldChar w:fldCharType="end"/>
      </w:r>
      <w:r w:rsidR="00EC22B6" w:rsidRPr="004946F6">
        <w:rPr>
          <w:rFonts w:eastAsia="Times New Roman"/>
        </w:rPr>
        <w:t xml:space="preserve">. </w:t>
      </w:r>
      <w:r w:rsidR="00FB211B" w:rsidRPr="004946F6">
        <w:rPr>
          <w:rFonts w:eastAsia="Times New Roman"/>
        </w:rPr>
        <w:t xml:space="preserve">These latter results appear to challenge eCMR because of the key role that increased item-context binding plays in the model. </w:t>
      </w:r>
      <w:r w:rsidR="00C152D9" w:rsidRPr="004946F6">
        <w:rPr>
          <w:rFonts w:eastAsia="Times New Roman"/>
        </w:rPr>
        <w:t xml:space="preserve">Retrieved context models </w:t>
      </w:r>
      <w:r w:rsidR="00EC572E">
        <w:rPr>
          <w:rFonts w:eastAsia="Times New Roman"/>
        </w:rPr>
        <w:t>can</w:t>
      </w:r>
      <w:r w:rsidR="00D42F2C" w:rsidRPr="004946F6">
        <w:rPr>
          <w:rFonts w:eastAsia="Times New Roman"/>
        </w:rPr>
        <w:t xml:space="preserve">not, </w:t>
      </w:r>
      <w:r w:rsidR="00C152D9" w:rsidRPr="004946F6">
        <w:rPr>
          <w:rFonts w:eastAsia="Times New Roman"/>
        </w:rPr>
        <w:t>at present</w:t>
      </w:r>
      <w:r w:rsidR="00EC572E">
        <w:rPr>
          <w:rFonts w:eastAsia="Times New Roman"/>
        </w:rPr>
        <w:t>,</w:t>
      </w:r>
      <w:r w:rsidR="00C152D9" w:rsidRPr="004946F6">
        <w:rPr>
          <w:rFonts w:eastAsia="Times New Roman"/>
        </w:rPr>
        <w:t xml:space="preserve"> provide a </w:t>
      </w:r>
      <w:r w:rsidR="00D42F2C" w:rsidRPr="004946F6">
        <w:rPr>
          <w:rFonts w:eastAsia="Times New Roman"/>
        </w:rPr>
        <w:t xml:space="preserve">comprehensive </w:t>
      </w:r>
      <w:r w:rsidR="00C152D9" w:rsidRPr="004946F6">
        <w:rPr>
          <w:rFonts w:eastAsia="Times New Roman"/>
        </w:rPr>
        <w:t xml:space="preserve">account for associative memory, although there has been preliminary attempts to do so </w:t>
      </w:r>
      <w:r w:rsidR="00D42F2C" w:rsidRPr="004946F6">
        <w:rPr>
          <w:rFonts w:eastAsia="Times New Roman"/>
        </w:rPr>
        <w:fldChar w:fldCharType="begin" w:fldLock="1"/>
      </w:r>
      <w:r w:rsidR="008C25E5" w:rsidRPr="004946F6">
        <w:rPr>
          <w:rFonts w:eastAsia="Times New Roman"/>
        </w:rPr>
        <w:instrText>ADDIN CSL_CITATION { "citationItems" : [ { "id" : "ITEM-1", "itemData" : { "DOI" : "10.3758/PBR.15.1.64", "PMID" : "18605481", "abstract" : "Although much is known about the factors that influence the acquisition and retention of individual paired associates, the existence of temporally defined associations spanning multiple pairs has not been demonstrated. We report two experiments in which subjects studied randomly paired nouns for a subsequent cued recall test. When subjects recalled nontarget items, their intrusions tended to come from nearby pairs. This across-pair contiguity effect was graded, spanning noncontiguously studied word pairs. The existence of such long-range temporally defined associations lends further support to contextual-retrieval models of episodic association.", "author" : [ { "dropping-particle" : "", "family" : "Davis", "given" : "Orin C", "non-dropping-particle" : "", "parse-names" : false, "suffix" : "" }, { "dropping-particle" : "", "family" : "Geller", "given" : "Aaron S", "non-dropping-particle" : "", "parse-names" : false, "suffix" : "" }, { "dropping-particle" : "", "family" : "Rizzuto", "given" : "Daniel S", "non-dropping-particle" : "", "parse-names" : false, "suffix" : "" }, { "dropping-particle" : "", "family" : "Kahana", "given" : "Michael J", "non-dropping-particle" : "", "parse-names" : false, "suffix" : "" } ], "container-title" : "Psychonomic bulletin &amp; review", "id" : "ITEM-1", "issue" : "1", "issued" : { "date-parts" : [ [ "2008", "2" ] ] }, "page" : "64-9", "publisher" : "NIH Public Access", "title" : "Temporal associative processes revealed by intrusions in paired-associate recall.", "type" : "article-journal", "volume" : "15" }, "uris" : [ "http://www.mendeley.com/documents/?uuid=4df87e89-6bd0-3e49-98c7-e84e27911a5f" ] }, { "id" : "ITEM-2", "itemData" : { "DOI" : "10.1037/a0015002", "PMID" : "19271854", "abstract" : "In episodic memory tasks, associations are formed between items presented close together in time. The temporal context model (TCM) hypothesizes that this contiguity effect is a consequence of shared temporal context rather than temporal proximity per se. Using double-function lists of paired associates (e.g., A-B, B-C) presented in a random order, the authors examined associations between items that were not presented close together in time but that were presented in similar temporal contexts. After learning, across-pair associations fell off with distance in the list, as if subjects had integrated the pairs into a coherent memory structure. Within-pair associations (e.g., A-B) were strongly asymmetric favoring forward transitions; across-pair associations (e.g., A-C) showed no evidence of asymmetry. While this pattern of results presented a stern challenge for a heteroassociative mediated chaining model, TCM provided an excellent fit to the data. These findings suggest that contiguity effects in episodic memory do not reflect direct associations between items but rather a process of binding, encoding, and retrieval of a gradually changing representation of temporal context.", "author" : [ { "dropping-particle" : "", "family" : "Howard", "given" : "Marc W.", "non-dropping-particle" : "", "parse-names" : false, "suffix" : "" }, { "dropping-particle" : "", "family" : "Jing", "given" : "Bing", "non-dropping-particle" : "", "parse-names" : false, "suffix" : "" }, { "dropping-particle" : "", "family" : "Rao", "given" : "Vinayak A.", "non-dropping-particle" : "", "parse-names" : false, "suffix" : "" }, { "dropping-particle" : "", "family" : "Provyn", "given" : "Jennifer P.", "non-dropping-particle" : "", "parse-names" : false, "suffix" : "" }, { "dropping-particle" : "V.", "family" : "Datey", "given" : "Aditya", "non-dropping-particle" : "", "parse-names" : false, "suffix" : "" } ], "container-title" : "Journal of Experimental Psychology: Learning, Memory, and Cognition", "id" : "ITEM-2", "issue" : "2", "issued" : { "date-parts" : [ [ "2009", "3" ] ] }, "page" : "391-407", "title" : "Bridging the gap: Transitive associations between items presented in similar temporal contexts.", "type" : "article-journal", "volume" : "35" }, "uris" : [ "http://www.mendeley.com/documents/?uuid=187058f3-9b86-3d1e-9bfd-0723e1d734b9" ] } ], "mendeley" : { "formattedCitation" : "(Davis, Geller, Rizzuto, &amp; Kahana, 2008; Howard, Jing, Rao, Provyn, &amp; Datey, 2009)", "plainTextFormattedCitation" : "(Davis, Geller, Rizzuto, &amp; Kahana, 2008; Howard, Jing, Rao, Provyn, &amp; Datey, 2009)", "previouslyFormattedCitation" : "(Davis, Geller, Rizzuto, &amp; Kahana, 2008; Howard, Jing, Rao, Provyn, &amp; Datey, 2009)" }, "properties" : { "noteIndex" : 0 }, "schema" : "https://github.com/citation-style-language/schema/raw/master/csl-citation.json" }</w:instrText>
      </w:r>
      <w:r w:rsidR="00D42F2C" w:rsidRPr="004946F6">
        <w:rPr>
          <w:rFonts w:eastAsia="Times New Roman"/>
        </w:rPr>
        <w:fldChar w:fldCharType="separate"/>
      </w:r>
      <w:r w:rsidR="00D42F2C" w:rsidRPr="004946F6">
        <w:rPr>
          <w:rFonts w:eastAsia="Times New Roman"/>
          <w:noProof/>
        </w:rPr>
        <w:t>(Davis, Geller, Rizzuto, &amp; Kahana, 2008; Howard, Jing, Rao, Provyn, &amp; Datey, 2009)</w:t>
      </w:r>
      <w:r w:rsidR="00D42F2C" w:rsidRPr="004946F6">
        <w:rPr>
          <w:rFonts w:eastAsia="Times New Roman"/>
        </w:rPr>
        <w:fldChar w:fldCharType="end"/>
      </w:r>
      <w:r w:rsidR="00D42F2C" w:rsidRPr="004946F6">
        <w:rPr>
          <w:rFonts w:eastAsia="Times New Roman"/>
        </w:rPr>
        <w:t xml:space="preserve">. Because we did not simulate Remember-Know or cued-recall tests, eCMR cannot directly speak to these points. Yet it is important to consider that the predictions of eCMR depend on the interplay of encoding and retrieval effects, and that, crucially, participants encode all aspects of the context of emotionally-arousing items differently than they do the context of neutral items. For example, an emotional element of a complex stimulus is thought to deprioritise other elements of the stimulus </w:t>
      </w:r>
      <w:r w:rsidR="000D3B0F" w:rsidRPr="004946F6">
        <w:rPr>
          <w:rFonts w:eastAsia="Times New Roman"/>
        </w:rPr>
        <w:fldChar w:fldCharType="begin" w:fldLock="1"/>
      </w:r>
      <w:r w:rsidR="008C25E5" w:rsidRPr="004946F6">
        <w:rPr>
          <w:rFonts w:eastAsia="Times New Roman"/>
        </w:rPr>
        <w:instrText>ADDIN CSL_CITATION { "citationItems" : [ { "id" : "ITEM-1", "itemData" : { "DOI" : "10.1177/1745691611400234", "ISBN" : "1745-6916\\n1745-6924", "ISSN" : "1745-6916", "PMID" : "21660127", "abstract" : "Our everyday surroundings besiege us with information. The battle is for a share of our limited attention and memory, with the brain selecting the winners and discarding the losers. Previous research shows that both bottom-up and top-down factors bias competition in favor of high priority stimuli. We propose that arousal during an event increases this bias both in perception and in long-term memory of the event. Arousal-biased competition theory provides specific predictions about when arousal will enhance memory for events and when it will impair it, which accounts for some puzzling contradictions in the emotional memory literature.", "author" : [ { "dropping-particle" : "", "family" : "Mather", "given" : "Mara", "non-dropping-particle" : "", "parse-names" : false, "suffix" : "" }, { "dropping-particle" : "", "family" : "Sutherland", "given" : "Matthew R", "non-dropping-particle" : "", "parse-names" : false, "suffix" : "" } ], "container-title" : "Perspectives on psychological science : a journal of the Association for Psychological Science", "id" : "ITEM-1", "issue" : "2", "issued" : { "date-parts" : [ [ "2011" ] ] }, "page" : "114-33", "title" : "Arousal-Biased Competition in Perception and Memory.", "type" : "article-journal", "volume" : "6" }, "uris" : [ "http://www.mendeley.com/documents/?uuid=844c474a-a2ec-4ba0-94de-bc3c64374056" ] }, { "id" : "ITEM-2", "itemData" : { "DOI" : "10.1017/S0140525X15000667", "abstract" : "Emotional arousal enhances perception and memory of high-priority information but impairs processing of other information. Here, we propose that, under arousal, local glutamate levels signal the current strength of a representation and interact with norepinephrine (NE) to enhance high priority representations and out-compete or suppress lower priority representations. In our \"glutamate amplifies noradrenergic effects\" (GANE) model, high glutamate at the site of prioritized representations increases local NE release from the locus coeruleus (LC) to generate \" NE hotspots. \" At these NE hotspots, local glutamate and NE release are mutually enhancing and amplify activation of prioritized representations. In contrast, arousal-induced LC activity inhibits less active representations via two mechanisms: 1) Where there are hotspots, lateral inhibition is amplified; 2) Where no hotspots emerge, NE levels are only high enough to activate low-threshold inhibitory adrenoreceptors. Thus, LC activation promotes a few hotspots of excitation in the context of widespread suppression, enhancing high priority representations while suppressing the rest. Hotspots also help synchronize oscillations across neural ensembles transmitting high-priority information. Furthermore, brain structures that detect stimulus priority interact with phasic NE release to preferentially route such information through large-scale functional brain networks. A surge of NE before, during, or after encoding enhances synaptic plasticity at NE hotspots, triggering local protein synthesis processes that enhance selective memory consolidation. Together, these noradrenergic mechanisms promote selective attention and memory under arousal. GANE not only reconciles apparently contradictory findings in the emotion-cognition literature but also extends previous influential theories of LC neuromodulation by proposing specific mechanisms for how LC-NE activity increases neural gain.", "author" : [ { "dropping-particle" : "", "family" : "Mather", "given" : "Mara", "non-dropping-particle" : "", "parse-names" : false, "suffix" : "" }, { "dropping-particle" : "", "family" : "Clewett", "given" : "David", "non-dropping-particle" : "", "parse-names" : false, "suffix" : "" }, { "dropping-particle" : "", "family" : "Sakaki", "given" : "Michiko", "non-dropping-particle" : "", "parse-names" : false, "suffix" : "" }, { "dropping-particle" : "", "family" : "Harley", "given" : "Carolyn W", "non-dropping-particle" : "", "parse-names" : false, "suffix" : "" } ], "id" : "ITEM-2", "issued" : { "date-parts" : [ [ "2017" ] ] }, "title" : "Norepinephrine ignites local hotspots of neuronal excitation: How arousal amplifies selectivity in perception and memory", "type" : "article-journal" }, "uris" : [ "http://www.mendeley.com/documents/?uuid=f547019a-d31d-34ed-9068-ba5542f71855" ] } ], "mendeley" : { "formattedCitation" : "(Mather et al., 2017; Mather &amp; Sutherland, 2011)", "plainTextFormattedCitation" : "(Mather et al., 2017; Mather &amp; Sutherland, 2011)", "previouslyFormattedCitation" : "(Mather et al., 2017; Mather &amp; Sutherland, 2011)" }, "properties" : { "noteIndex" : 0 }, "schema" : "https://github.com/citation-style-language/schema/raw/master/csl-citation.json" }</w:instrText>
      </w:r>
      <w:r w:rsidR="000D3B0F" w:rsidRPr="004946F6">
        <w:rPr>
          <w:rFonts w:eastAsia="Times New Roman"/>
        </w:rPr>
        <w:fldChar w:fldCharType="separate"/>
      </w:r>
      <w:r w:rsidR="005C2A4E" w:rsidRPr="004946F6">
        <w:rPr>
          <w:rFonts w:eastAsia="Times New Roman"/>
          <w:noProof/>
        </w:rPr>
        <w:t>(Mather et al., 2017; Mather &amp; Sutherland, 2011)</w:t>
      </w:r>
      <w:r w:rsidR="000D3B0F" w:rsidRPr="004946F6">
        <w:rPr>
          <w:rFonts w:eastAsia="Times New Roman"/>
        </w:rPr>
        <w:fldChar w:fldCharType="end"/>
      </w:r>
      <w:r w:rsidR="00D42F2C" w:rsidRPr="004946F6">
        <w:rPr>
          <w:rFonts w:eastAsia="Times New Roman"/>
        </w:rPr>
        <w:t>. Wh</w:t>
      </w:r>
      <w:r w:rsidR="000F669A" w:rsidRPr="004946F6">
        <w:rPr>
          <w:rFonts w:eastAsia="Times New Roman"/>
        </w:rPr>
        <w:t>en</w:t>
      </w:r>
      <w:r w:rsidR="00D42F2C" w:rsidRPr="004946F6">
        <w:rPr>
          <w:rFonts w:eastAsia="Times New Roman"/>
        </w:rPr>
        <w:t xml:space="preserve"> an emotional item itself captures attention, this take</w:t>
      </w:r>
      <w:r w:rsidR="000F669A" w:rsidRPr="004946F6">
        <w:rPr>
          <w:rFonts w:eastAsia="Times New Roman"/>
        </w:rPr>
        <w:t>s</w:t>
      </w:r>
      <w:r w:rsidR="00D42F2C" w:rsidRPr="004946F6">
        <w:rPr>
          <w:rFonts w:eastAsia="Times New Roman"/>
        </w:rPr>
        <w:t xml:space="preserve"> away from the attention allocated to other stimuli in the same scene </w:t>
      </w:r>
      <w:r w:rsidR="00D42F2C" w:rsidRPr="004946F6">
        <w:rPr>
          <w:rFonts w:eastAsia="Times New Roman"/>
        </w:rPr>
        <w:fldChar w:fldCharType="begin" w:fldLock="1"/>
      </w:r>
      <w:r w:rsidR="008C25E5" w:rsidRPr="004946F6">
        <w:rPr>
          <w:rFonts w:eastAsia="Times New Roman"/>
        </w:rPr>
        <w:instrText>ADDIN CSL_CITATION { "citationItems" : [ { "id" : "ITEM-1", "itemData" : { "DOI" : "10.1037/a0022591", "ISBN" : "1931-1516", "ISSN" : "15283542", "PMID" : "21517167", "abstract" : "The presence of emotional stimuli results in a central/peripheral tradeoff effect in memory: memory for central details is enhanced at the cost of peripheral items. It has been assumed that emotion-modulated differences in memory are the result of differences in attention, but this has not been tested directly. The present experiment used eye movement monitoring as an index of overt attention allocation and mediation analysis to determine whether differences in attention were related to subsequent memory. Participants viewed negative and neutral scenes surrounded by three neutral objects and were then given a recognition memory test. The results revealed evidence in support of a central/peripheral tradeoff in both attention and memory. However, contrary with previous assumptions, whereas attention partially mediated emotion-enhanced memory for central pictures, it did not explain the entire relationship. Further, although centrally presented emotional stimuli led to decreased number of eye fixations toward the periphery, these differences in viewing did not contribute to emotion-impaired memory for specific details pertaining to the periphery. These findings suggest that the differential influence of negative emotion on central versus peripheral memory may result from other cognitive influences in addition to overt visual attention or on postencoding processes. (PsycINFO Database Record (c) 2011 APA, all rights reserved).", "author" : [ { "dropping-particle" : "", "family" : "Riggs", "given" : "Lily", "non-dropping-particle" : "", "parse-names" : false, "suffix" : "" }, { "dropping-particle" : "", "family" : "McQuiggan", "given" : "Douglas A.", "non-dropping-particle" : "", "parse-names" : false, "suffix" : "" }, { "dropping-particle" : "", "family" : "Farb", "given" : "Norman", "non-dropping-particle" : "", "parse-names" : false, "suffix" : "" }, { "dropping-particle" : "", "family" : "Anderson", "given" : "Adam K.", "non-dropping-particle" : "", "parse-names" : false, "suffix" : "" }, { "dropping-particle" : "", "family" : "Ryan", "given" : "Jennifer D.", "non-dropping-particle" : "", "parse-names" : false, "suffix" : "" } ], "container-title" : "Emotion", "id" : "ITEM-1", "issue" : "4", "issued" : { "date-parts" : [ [ "2011" ] ] }, "page" : "776-785", "title" : "The Role of Overt Attention in Emotion-Modulated Memory", "type" : "article-journal", "volume" : "11" }, "uris" : [ "http://www.mendeley.com/documents/?uuid=d69361c9-decc-4773-ac9c-1f13431b68ea" ] }, { "id" : "ITEM-2", "itemData" : { "DOI" : "10.1016/j.jml.2006.05.004", "ISSN" : "0749596X", "author" : [ { "dropping-particle" : "", "family" : "Kensinger", "given" : "Elizabeth A.", "non-dropping-particle" : "", "parse-names" : false, "suffix" : "" }, { "dropping-particle" : "", "family" : "Garoff-Eaton", "given" : "Rachel J.", "non-dropping-particle" : "", "parse-names" : false, "suffix" : "" }, { "dropping-particle" : "", "family" : "Schacter", "given" : "Daniel L.", "non-dropping-particle" : "", "parse-names" : false, "suffix" : "" } ], "container-title" : "Journal of Memory and Language", "id" : "ITEM-2", "issue" : "4", "issued" : { "date-parts" : [ [ "2007", "5" ] ] }, "page" : "575-591", "title" : "Effects of emotion on memory specificity: Memory trade-offs elicited by negative visually arousing stimuli", "type" : "article-journal", "volume" : "56" }, "uris" : [ "http://www.mendeley.com/documents/?uuid=2d5a0c63-d154-3fcd-ad45-6f34163cf89f" ] } ], "mendeley" : { "formattedCitation" : "(Kensinger, Garoff-Eaton, &amp; Schacter, 2007; Riggs, McQuiggan, Farb, Anderson, &amp; Ryan, 2011)", "plainTextFormattedCitation" : "(Kensinger, Garoff-Eaton, &amp; Schacter, 2007; Riggs, McQuiggan, Farb, Anderson, &amp; Ryan, 2011)", "previouslyFormattedCitation" : "(Kensinger, Garoff-Eaton, &amp; Schacter, 2007; Riggs, McQuiggan, Farb, Anderson, &amp; Ryan, 2011)" }, "properties" : { "noteIndex" : 0 }, "schema" : "https://github.com/citation-style-language/schema/raw/master/csl-citation.json" }</w:instrText>
      </w:r>
      <w:r w:rsidR="00D42F2C" w:rsidRPr="004946F6">
        <w:rPr>
          <w:rFonts w:eastAsia="Times New Roman"/>
        </w:rPr>
        <w:fldChar w:fldCharType="separate"/>
      </w:r>
      <w:r w:rsidR="00D42F2C" w:rsidRPr="004946F6">
        <w:rPr>
          <w:rFonts w:eastAsia="Times New Roman"/>
          <w:noProof/>
        </w:rPr>
        <w:t>(Kensinger, Garoff-Eaton, &amp; Schacter, 2007; Riggs, McQuiggan, Farb, Anderson, &amp; Ryan, 2011)</w:t>
      </w:r>
      <w:r w:rsidR="00D42F2C" w:rsidRPr="004946F6">
        <w:rPr>
          <w:rFonts w:eastAsia="Times New Roman"/>
        </w:rPr>
        <w:fldChar w:fldCharType="end"/>
      </w:r>
      <w:r w:rsidR="00D42F2C" w:rsidRPr="004946F6">
        <w:rPr>
          <w:rFonts w:eastAsia="Times New Roman"/>
        </w:rPr>
        <w:t xml:space="preserve">. Even the effort participants spend on integrating the emotional item with another member of the same pair is altered </w:t>
      </w:r>
      <w:r w:rsidR="00D42F2C" w:rsidRPr="004946F6">
        <w:rPr>
          <w:rFonts w:eastAsia="Times New Roman"/>
        </w:rPr>
        <w:fldChar w:fldCharType="begin" w:fldLock="1"/>
      </w:r>
      <w:r w:rsidR="008C25E5" w:rsidRPr="004946F6">
        <w:rPr>
          <w:rFonts w:eastAsia="Times New Roman"/>
        </w:rPr>
        <w:instrText>ADDIN CSL_CITATION { "citationItems" : [ { "id" : "ITEM-1", "itemData" : { "DOI" : "10.3758/s13421-012-0215-3", "author" : [ { "dropping-particle" : "", "family" : "Murray", "given" : "Brendan D.", "non-dropping-particle" : "", "parse-names" : false, "suffix" : "" }, { "dropping-particle" : "", "family" : "Kensinger", "given" : "Elizabeth A.", "non-dropping-particle" : "", "parse-names" : false, "suffix" : "" } ], "container-title" : "Memory &amp; Cognition", "id" : "ITEM-1", "issue" : "7", "issued" : { "date-parts" : [ [ "2012", "10", "17" ] ] }, "page" : "1056-1069", "publisher" : "Springer-Verlag", "title" : "The effects of emotion and encoding strategy on associative memory", "type" : "article-journal", "volume" : "40" }, "uris" : [ "http://www.mendeley.com/documents/?uuid=01e798c2-6c97-34bc-89bb-7bfdb7ab4fba" ] } ], "mendeley" : { "formattedCitation" : "(Murray &amp; Kensinger, 2012)", "plainTextFormattedCitation" : "(Murray &amp; Kensinger, 2012)", "previouslyFormattedCitation" : "(Murray &amp; Kensinger, 2012)" }, "properties" : { "noteIndex" : 0 }, "schema" : "https://github.com/citation-style-language/schema/raw/master/csl-citation.json" }</w:instrText>
      </w:r>
      <w:r w:rsidR="00D42F2C" w:rsidRPr="004946F6">
        <w:rPr>
          <w:rFonts w:eastAsia="Times New Roman"/>
        </w:rPr>
        <w:fldChar w:fldCharType="separate"/>
      </w:r>
      <w:r w:rsidR="00D42F2C" w:rsidRPr="004946F6">
        <w:rPr>
          <w:rFonts w:eastAsia="Times New Roman"/>
          <w:noProof/>
        </w:rPr>
        <w:t>(Murray &amp; Kensinger, 2012)</w:t>
      </w:r>
      <w:r w:rsidR="00D42F2C" w:rsidRPr="004946F6">
        <w:rPr>
          <w:rFonts w:eastAsia="Times New Roman"/>
        </w:rPr>
        <w:fldChar w:fldCharType="end"/>
      </w:r>
      <w:r w:rsidR="00D42F2C" w:rsidRPr="004946F6">
        <w:rPr>
          <w:rFonts w:eastAsia="Times New Roman"/>
        </w:rPr>
        <w:t>.</w:t>
      </w:r>
      <w:r w:rsidR="00D42F2C" w:rsidRPr="004946F6" w:rsidDel="00D42F2C">
        <w:rPr>
          <w:rFonts w:eastAsia="Times New Roman"/>
        </w:rPr>
        <w:t xml:space="preserve"> </w:t>
      </w:r>
      <w:r w:rsidR="00D42F2C" w:rsidRPr="004946F6">
        <w:rPr>
          <w:rFonts w:eastAsia="Times New Roman"/>
        </w:rPr>
        <w:t xml:space="preserve">It would be important to clarify how these altered encoding processes influence the parameters in eCMR before we can relate our results to findings from the associative memory literature. </w:t>
      </w:r>
    </w:p>
    <w:p w14:paraId="680798BD" w14:textId="4BA3F0CC" w:rsidR="00FB66D3" w:rsidRPr="004946F6" w:rsidRDefault="0020021C">
      <w:pPr>
        <w:spacing w:line="480" w:lineRule="auto"/>
        <w:jc w:val="both"/>
      </w:pPr>
      <w:r w:rsidRPr="004946F6">
        <w:t>Finally, retrieved context models do not have a dedicated consolidation module</w:t>
      </w:r>
      <w:r w:rsidR="00BD2CB1" w:rsidRPr="004946F6">
        <w:t xml:space="preserve"> (but see Sederberg et al., 2011)</w:t>
      </w:r>
      <w:r w:rsidRPr="004946F6">
        <w:t xml:space="preserve">. The core claim is that at the algorithmic level of explanation, time-dependent interference and context changes and reinstatement are sufficient to explain the behavioural phenomena that are typically attributed to consolidation. Retrieved context models are models of the information processing considerations that give rise to memory performance, which therefore can be implemented in various ways neurobiologically. Thus, we by no means intend to deny the contribution of mechanisms such as replay or time- or sleep-dependent change in the brain structures that maintain memory traces and even the very structures of synapses that store individual memories </w:t>
      </w:r>
      <w:r w:rsidRPr="004946F6">
        <w:fldChar w:fldCharType="begin" w:fldLock="1"/>
      </w:r>
      <w:r w:rsidR="008C25E5" w:rsidRPr="004946F6">
        <w:instrText>ADDIN CSL_CITATION { "citationItems" : [ { "id" : "ITEM-1", "itemData" : { "DOI" : "10.1016/j.neuron.2011.06.037", "ISSN" : "1097-4199", "PMID" : "21791282", "abstract" : "Most studies on memory consolidation consider the new information as if it were imposed on a tabula rasa, but considerable evidence indicates that new memories must be interleaved within a large network of relevant pre-existing knowledge. Early studies on reconsolidation highlighted that a newly consolidated memory could be erased after reactivation, but new evidence has shown that an effective reactivation experience must also involve memory reorganization to incorporate new learning. The combination of these observations on consolidation and reconsolidation highlights the fundamental similarities of both phenomena as the integration of new information and old, and it suggests reconsolidation = consolidation as a neverending process of schema modification.", "author" : [ { "dropping-particle" : "", "family" : "McKenzie", "given" : "Sam", "non-dropping-particle" : "", "parse-names" : false, "suffix" : "" }, { "dropping-particle" : "", "family" : "Eichenbaum", "given" : "Howard", "non-dropping-particle" : "", "parse-names" : false, "suffix" : "" } ], "container-title" : "Neuron", "id" : "ITEM-1", "issue" : "2", "issued" : { "date-parts" : [ [ "2011", "7", "28" ] ] }, "page" : "224-33", "publisher" : "NIH Public Access", "title" : "Consolidation and reconsolidation: two lives of memories?", "type" : "article-journal", "volume" : "71" }, "uris" : [ "http://www.mendeley.com/documents/?uuid=cb0d7020-28da-3ea8-af6b-232374d5060b" ] } ], "mendeley" : { "formattedCitation" : "(McKenzie &amp; Eichenbaum, 2011)", "plainTextFormattedCitation" : "(McKenzie &amp; Eichenbaum, 2011)", "previouslyFormattedCitation" : "(McKenzie &amp; Eichenbaum, 2011)" }, "properties" : { "noteIndex" : 0 }, "schema" : "https://github.com/citation-style-language/schema/raw/master/csl-citation.json" }</w:instrText>
      </w:r>
      <w:r w:rsidRPr="004946F6">
        <w:fldChar w:fldCharType="separate"/>
      </w:r>
      <w:r w:rsidRPr="004946F6">
        <w:rPr>
          <w:noProof/>
        </w:rPr>
        <w:t>(McKenzie &amp; Eichenbaum, 2011)</w:t>
      </w:r>
      <w:r w:rsidRPr="004946F6">
        <w:fldChar w:fldCharType="end"/>
      </w:r>
      <w:r w:rsidRPr="004946F6">
        <w:t>. These are simply outside the scope of our model. Future, more neurobiologically</w:t>
      </w:r>
      <w:r w:rsidR="00EC572E">
        <w:t>-</w:t>
      </w:r>
      <w:r w:rsidRPr="004946F6">
        <w:t>minded work might clarify how the</w:t>
      </w:r>
      <w:r w:rsidR="00EC572E">
        <w:t xml:space="preserve"> brain</w:t>
      </w:r>
      <w:r w:rsidRPr="004946F6">
        <w:t xml:space="preserve"> might implement the computations proposed in eCMR, and conversely the eCMR computations might inform the investigation of the neurobiological mechanism. The step we took in section 3, where we ask how delay might change the nature of memory traces and the operation of retrieval mechanisms, has been inspired by behavioural and neurobiological findings about the way that memories are transformed with time delay, but is similarly blind to the actual mechanism that implement such transformations. Instead, the possibility that an increased reliance on non-temporal dimensions of similarity renders memories more schematic with time can be best tested by its fit to behavioural data, even if it is fundamentally inspired by findings that older memory traces rely less on the hippocampus and more on the neocortex </w:t>
      </w:r>
      <w:r w:rsidRPr="004946F6">
        <w:fldChar w:fldCharType="begin" w:fldLock="1"/>
      </w:r>
      <w:r w:rsidR="008C25E5" w:rsidRPr="004946F6">
        <w:instrText>ADDIN CSL_CITATION { "citationItems" : [ { "id" : "ITEM-1", "itemData" : { "DOI" : "10.1146/annurev-psych-113011-143733", "ISBN" : "0000000000000", "ISSN" : "0066-4308", "PMID" : "26726963", "abstract" : "The last decade has seen dramatic technological and conceptual changes in research on episodic memory and the brain. New technologies, and in- creased use of more naturalistic observations, have enabled investigators to delve deeply into the structures that mediate episodic memory, particularly the hippocampus, and to track functional and structural interactions among brain regions that support it. Conceptually, episodic memory is increasingly being viewed as subject to lifelong transformations that are reflected in the neural substrates that mediate it. In keeping with this dynamic perspective, research on episodicmemory(and the hippocampus) has infiltrated domains, from perception to language and from empathy to problem solving, that were once considered outside its boundaries. Using the component process model as a framework, and focusing on the hippocampus, its subfields, and special- ization along its longitudinal axis, along with its interaction with other brain regions, we consider these new developments and their implications for the organization of episodic memory and its contribution to functions in other domains.", "author" : [ { "dropping-particle" : "", "family" : "Moscovitch", "given" : "Morris", "non-dropping-particle" : "", "parse-names" : false, "suffix" : "" }, { "dropping-particle" : "", "family" : "Cabeza", "given" : "Roberto", "non-dropping-particle" : "", "parse-names" : false, "suffix" : "" }, { "dropping-particle" : "", "family" : "Winocur", "given" : "Gordon", "non-dropping-particle" : "", "parse-names" : false, "suffix" : "" }, { "dropping-particle" : "", "family" : "Nadel", "given" : "Lynn", "non-dropping-particle" : "", "parse-names" : false, "suffix" : "" } ], "container-title" : "Annual Review of Psychology", "id" : "ITEM-1", "issue" : "1", "issued" : { "date-parts" : [ [ "2016" ] ] }, "page" : "105-134", "title" : "Episodic Memory and Beyond: The Hippocampus and Neocortex in Transformation", "type" : "article-journal", "volume" : "67" }, "uris" : [ "http://www.mendeley.com/documents/?uuid=ddd33948-209f-45e2-b69a-9c96607b76f0" ] } ], "mendeley" : { "formattedCitation" : "(Moscovitch et al., 2016)", "plainTextFormattedCitation" : "(Moscovitch et al., 2016)", "previouslyFormattedCitation" : "(Moscovitch et al., 2016)" }, "properties" : { "noteIndex" : 0 }, "schema" : "https://github.com/citation-style-language/schema/raw/master/csl-citation.json" }</w:instrText>
      </w:r>
      <w:r w:rsidRPr="004946F6">
        <w:fldChar w:fldCharType="separate"/>
      </w:r>
      <w:r w:rsidRPr="004946F6">
        <w:rPr>
          <w:noProof/>
        </w:rPr>
        <w:t>(Moscovitch et al., 2016)</w:t>
      </w:r>
      <w:r w:rsidRPr="004946F6">
        <w:fldChar w:fldCharType="end"/>
      </w:r>
      <w:r w:rsidRPr="004946F6">
        <w:t>. Crucially, because eCMR can explain both immediate and delayed effects of emotion, it is the first model of emotional memory that encompasses both parsimoniously, but at the cost of a disconnection from the implementation level of explanation.</w:t>
      </w:r>
    </w:p>
    <w:p w14:paraId="4660F1B0" w14:textId="77777777" w:rsidR="0020021C" w:rsidRPr="004946F6" w:rsidRDefault="0020021C" w:rsidP="00BB081D">
      <w:pPr>
        <w:spacing w:line="480" w:lineRule="auto"/>
        <w:jc w:val="both"/>
      </w:pPr>
    </w:p>
    <w:p w14:paraId="067B7669" w14:textId="77777777" w:rsidR="00FB66D3" w:rsidRPr="004946F6" w:rsidRDefault="00FB66D3" w:rsidP="00BB081D">
      <w:pPr>
        <w:spacing w:line="480" w:lineRule="auto"/>
        <w:jc w:val="both"/>
        <w:rPr>
          <w:b/>
          <w:bCs/>
          <w:i/>
          <w:iCs/>
        </w:rPr>
      </w:pPr>
      <w:r w:rsidRPr="004946F6">
        <w:rPr>
          <w:b/>
          <w:bCs/>
          <w:i/>
          <w:iCs/>
        </w:rPr>
        <w:t>5.3 Concluding remarks</w:t>
      </w:r>
    </w:p>
    <w:p w14:paraId="6EED73EF" w14:textId="6D35C756" w:rsidR="00260DD5" w:rsidRPr="004946F6" w:rsidRDefault="00572176" w:rsidP="00572176">
      <w:pPr>
        <w:spacing w:line="480" w:lineRule="auto"/>
        <w:jc w:val="both"/>
      </w:pPr>
      <w:r w:rsidRPr="004946F6">
        <w:t xml:space="preserve">We know that memory performance is not simply a read-out of encoding and maintenance operations, but a reconstruction on the past in the service of current goals </w:t>
      </w:r>
      <w:r w:rsidRPr="004946F6">
        <w:fldChar w:fldCharType="begin" w:fldLock="1"/>
      </w:r>
      <w:r w:rsidR="008C25E5" w:rsidRPr="004946F6">
        <w:instrText>ADDIN CSL_CITATION { "citationItems" : [ { "id" : "ITEM-1", "itemData" : { "DOI" : "10.1098/rstb.2007.2087", "ISSN" : "0962-8436", "PMID" : "17395575", "abstract" : "Episodic memory is widely conceived as a fundamentally constructive, rather than reproductive, process that is prone to various kinds of errors and illusions. With a view towards examining the functions served by a constructive episodic memory system, we consider recent neuropsychological and neuroimaging studies indicating that some types of memory distortions reflect the operation of adaptive processes. An important function of a constructive episodic memory is to allow individuals to simulate or imagine future episodes, happenings and scenarios. Since the future is not an exact repetition of the past, simulation of future episodes requires a system that can draw on the past in a manner that flexibly extracts and recombines elements of previous experiences. Consistent with this constructive episodic simulation hypothesis, we consider cognitive, neuropsychological and neuroimaging evidence showing that there is considerable overlap in the psychological and neural processes involved in remembering the past and imagining the future.", "author" : [ { "dropping-particle" : "", "family" : "Schacter", "given" : "Daniel L", "non-dropping-particle" : "", "parse-names" : false, "suffix" : "" }, { "dropping-particle" : "", "family" : "Addis", "given" : "Donna Rose", "non-dropping-particle" : "", "parse-names" : false, "suffix" : "" } ], "container-title" : "Philosophical transactions of the Royal Society of London. Series B, Biological sciences", "id" : "ITEM-1", "issue" : "1481", "issued" : { "date-parts" : [ [ "2007", "5", "29" ] ] }, "page" : "773-86", "publisher" : "The Royal Society", "title" : "The cognitive neuroscience of constructive memory: remembering the past and imagining the future.", "type" : "article-journal", "volume" : "362" }, "uris" : [ "http://www.mendeley.com/documents/?uuid=1f8a696d-5c47-3fd0-bfae-d11e0cf0d7f9" ] } ], "mendeley" : { "formattedCitation" : "(Schacter &amp; Addis, 2007)", "plainTextFormattedCitation" : "(Schacter &amp; Addis, 2007)", "previouslyFormattedCitation" : "(Schacter &amp; Addis, 2007)" }, "properties" : { "noteIndex" : 0 }, "schema" : "https://github.com/citation-style-language/schema/raw/master/csl-citation.json" }</w:instrText>
      </w:r>
      <w:r w:rsidRPr="004946F6">
        <w:fldChar w:fldCharType="separate"/>
      </w:r>
      <w:r w:rsidRPr="004946F6">
        <w:rPr>
          <w:noProof/>
        </w:rPr>
        <w:t>(Schacter &amp; Addis, 2007)</w:t>
      </w:r>
      <w:r w:rsidRPr="004946F6">
        <w:fldChar w:fldCharType="end"/>
      </w:r>
      <w:r w:rsidRPr="004946F6">
        <w:t xml:space="preserve">. </w:t>
      </w:r>
      <w:r w:rsidR="00FB66D3" w:rsidRPr="004946F6">
        <w:t>T</w:t>
      </w:r>
      <w:r w:rsidR="00260DD5" w:rsidRPr="004946F6">
        <w:t xml:space="preserve">he current modelling suggests new directions for understanding the adaptive role of emotional memory enhancement in guiding behaviour. These effects have long been understood in terms of prioritizing which individual items to encode and maintain, but situating them within retrieved context models sheds new light on how </w:t>
      </w:r>
      <w:r w:rsidRPr="004946F6">
        <w:t>emotional</w:t>
      </w:r>
      <w:r w:rsidR="00260DD5" w:rsidRPr="004946F6">
        <w:t xml:space="preserve"> effects on retrieved memories might support decision making. We have already noted the striking formal correspondence between item-context associations (as inferred from recall tasks and embodied in retrieved context models) and predictive world models that have been separately proposed (and verified;</w:t>
      </w:r>
      <w:r w:rsidR="00E0388D" w:rsidRPr="004946F6">
        <w:t xml:space="preserve"> </w:t>
      </w:r>
      <w:r w:rsidR="00E0388D" w:rsidRPr="004946F6">
        <w:fldChar w:fldCharType="begin" w:fldLock="1"/>
      </w:r>
      <w:r w:rsidR="008C25E5" w:rsidRPr="004946F6">
        <w:instrText>ADDIN CSL_CITATION { "citationItems" : [ { "id" : "ITEM-1", "itemData" : { "author" : [ { "dropping-particle" : "", "family" : "Momennejad", "given" : "I.", "non-dropping-particle" : "", "parse-names" : false, "suffix" : "" }, { "dropping-particle" : "", "family" : "Russek", "given" : "E.", "non-dropping-particle" : "", "parse-names" : false, "suffix" : "" }, { "dropping-particle" : "", "family" : "Cheong", "given" : "J.H.", "non-dropping-particle" : "", "parse-names" : false, "suffix" : "" }, { "dropping-particle" : "", "family" : "Botvinick", "given" : "M.M.", "non-dropping-particle" : "", "parse-names" : false, "suffix" : "" }, { "dropping-particle" : "", "family" : "Daw", "given" : "N.D.", "non-dropping-particle" : "", "parse-names" : false, "suffix" : "" }, { "dropping-particle" : "", "family" : "Gershman", "given" : "S.J.", "non-dropping-particle" : "", "parse-names" : false, "suffix" : "" } ], "container-title" : "Nature Human Behaviour", "id" : "ITEM-1", "issue" : "9", "issued" : { "date-parts" : [ [ "2017" ] ] }, "page" : "680", "title" : "The successor representation in human reinforcement learning.", "type" : "article-journal", "volume" : "1" }, "uris" : [ "http://www.mendeley.com/documents/?uuid=28bdf68a-e0dd-4088-a252-91a5899737b4" ] } ], "mendeley" : { "formattedCitation" : "(Momennejad et al., 2017)", "manualFormatting" : "Momennejad et al., n.d.)", "plainTextFormattedCitation" : "(Momennejad et al., 2017)", "previouslyFormattedCitation" : "(Momennejad et al., 2017)" }, "properties" : { "noteIndex" : 0 }, "schema" : "https://github.com/citation-style-language/schema/raw/master/csl-citation.json" }</w:instrText>
      </w:r>
      <w:r w:rsidR="00E0388D" w:rsidRPr="004946F6">
        <w:fldChar w:fldCharType="separate"/>
      </w:r>
      <w:r w:rsidR="00E0388D" w:rsidRPr="004946F6">
        <w:rPr>
          <w:noProof/>
        </w:rPr>
        <w:t>Momennejad et al., n.d.)</w:t>
      </w:r>
      <w:r w:rsidR="00E0388D" w:rsidRPr="004946F6">
        <w:fldChar w:fldCharType="end"/>
      </w:r>
      <w:r w:rsidR="00260DD5" w:rsidRPr="004946F6">
        <w:t xml:space="preserve"> to underlie the evaluation of candidate actions in decision tasks </w:t>
      </w:r>
      <w:r w:rsidR="00260DD5" w:rsidRPr="004946F6">
        <w:fldChar w:fldCharType="begin" w:fldLock="1"/>
      </w:r>
      <w:r w:rsidR="008C25E5" w:rsidRPr="004946F6">
        <w:instrText>ADDIN CSL_CITATION { "citationItems" : [ { "id" : "ITEM-1", "itemData" : { "DOI" : "10.1162/NECO_a_00282", "ISBN" : "10.1162/NECO_a_00282", "ISSN" : "0899-7667", "PMID" : "22364500", "abstract" : "The successor representation was introduced into reinforcement learning by Dayan ( 1993 ) as a means of facilitating generalization between states with similar successors. Although reinforcement learning in general has been used extensively as a model of psychological and neural processes, the psychological validity of the successor representation has yet to be explored. An interesting possibility is that the successor representation can be used not only for reinforcement learning but for episodic learning as well. Our main contribution is to show that a variant of the temporal context model (TCM; Howard &amp; Kahana, 2002 ), an influential model of episodic memory, can be understood as directly estimating the successor representation using the temporal difference learning algorithm (Sutton &amp; Barto, 1998 ). This insight leads to a generalization of TCM and new experimental predictions. In addition to casting a new normative light on TCM, this equivalence suggests a previously unexplored point of contact between different learning systems.", "author" : [ { "dropping-particle" : "", "family" : "Gershman", "given" : "S J.", "non-dropping-particle" : "", "parse-names" : false, "suffix" : "" }, { "dropping-particle" : "", "family" : "Moore", "given" : "C D.", "non-dropping-particle" : "", "parse-names" : false, "suffix" : "" }, { "dropping-particle" : "", "family" : "Todd", "given" : "M T.", "non-dropping-particle" : "", "parse-names" : false, "suffix" : "" }, { "dropping-particle" : "", "family" : "Norman", "given" : "K A .", "non-dropping-particle" : "", "parse-names" : false, "suffix" : "" }, { "dropping-particle" : "", "family" : "Sederberg", "given" : "P B", "non-dropping-particle" : "", "parse-names" : false, "suffix" : "" } ], "container-title" : "Neural Computation", "id" : "ITEM-1", "issue" : "6", "issued" : { "date-parts" : [ [ "2012" ] ] }, "page" : "1553-1568", "title" : "The Successor Representation and Temporal Context", "type" : "article-journal", "volume" : "24" }, "uris" : [ "http://www.mendeley.com/documents/?uuid=427efa40-29a5-42e7-b784-39ed4f5dca4d" ] } ], "mendeley" : { "formattedCitation" : "(Gershman et al., 2012)", "plainTextFormattedCitation" : "(Gershman et al., 2012)", "previouslyFormattedCitation" : "(Gershman et al., 2012)" }, "properties" : { "noteIndex" : 0 }, "schema" : "https://github.com/citation-style-language/schema/raw/master/csl-citation.json" }</w:instrText>
      </w:r>
      <w:r w:rsidR="00260DD5" w:rsidRPr="004946F6">
        <w:fldChar w:fldCharType="separate"/>
      </w:r>
      <w:r w:rsidR="00260DD5" w:rsidRPr="004946F6">
        <w:rPr>
          <w:noProof/>
        </w:rPr>
        <w:t>(Gershman et al., 2012)</w:t>
      </w:r>
      <w:r w:rsidR="00260DD5" w:rsidRPr="004946F6">
        <w:fldChar w:fldCharType="end"/>
      </w:r>
      <w:r w:rsidR="00260DD5" w:rsidRPr="004946F6">
        <w:t xml:space="preserve">. In </w:t>
      </w:r>
      <w:r w:rsidRPr="004946F6">
        <w:t>brief</w:t>
      </w:r>
      <w:r w:rsidR="00260DD5" w:rsidRPr="004946F6">
        <w:t xml:space="preserve">, </w:t>
      </w:r>
      <w:r w:rsidRPr="004946F6">
        <w:t xml:space="preserve">the stored learned </w:t>
      </w:r>
      <w:r w:rsidR="00260DD5" w:rsidRPr="004946F6">
        <w:t xml:space="preserve">set of item-context associations amounts to a predictive world model </w:t>
      </w:r>
      <w:r w:rsidR="00331D02" w:rsidRPr="004946F6">
        <w:t xml:space="preserve">that </w:t>
      </w:r>
      <w:r w:rsidR="00260DD5" w:rsidRPr="004946F6">
        <w:t>connect</w:t>
      </w:r>
      <w:r w:rsidR="00331D02" w:rsidRPr="004946F6">
        <w:t>s</w:t>
      </w:r>
      <w:r w:rsidR="00260DD5" w:rsidRPr="004946F6">
        <w:t xml:space="preserve"> items, situations or events to others they tend to predict</w:t>
      </w:r>
      <w:r w:rsidR="00331D02" w:rsidRPr="004946F6">
        <w:t>. I</w:t>
      </w:r>
      <w:r w:rsidR="00260DD5" w:rsidRPr="004946F6">
        <w:t xml:space="preserve">n a decision task, these links can be retrieved at choice time to support a mental simulation of the likely consequences of candidate actions </w:t>
      </w:r>
      <w:r w:rsidR="00331D02" w:rsidRPr="004946F6">
        <w:fldChar w:fldCharType="begin" w:fldLock="1"/>
      </w:r>
      <w:r w:rsidR="008C25E5" w:rsidRPr="004946F6">
        <w:instrText>ADDIN CSL_CITATION { "citationItems" : [ { "id" : "ITEM-1", "itemData" : { "DOI" : "10.1016/j.cobeha.2015.08.010", "ISBN" : "23521546", "ISSN" : "23521546", "PMID" : "1000200970", "abstract" : "Adaptive decisions are guided by past experience. Yet, decisions are often made between alternatives that have not been directly experienced before, requiring the integration of memories across multiple past events. We review emerging findings supporting at least two seemingly distinct mechanisms for how the brain draws on memories in the service of choice. Prospective integration is triggered when a new decision is faced, allowing inferences to be drawn on the spot. A complementary retrospective mechanism integrates existing memories into a network of related experiences before a decision is actually faced. We discuss evidence supporting each of these mechanisms and the implications for understanding the role of memory in decision-making.", "author" : [ { "dropping-particle" : "", "family" : "Shohamy", "given" : "Daphna", "non-dropping-particle" : "", "parse-names" : false, "suffix" : "" }, { "dropping-particle" : "", "family" : "Daw", "given" : "Nathaniel D.", "non-dropping-particle" : "", "parse-names" : false, "suffix" : "" } ], "container-title" : "Current Opinion in Behavioral Sciences", "id" : "ITEM-1", "issued" : { "date-parts" : [ [ "2015" ] ] }, "page" : "85-90", "title" : "Integrating memories to guide decisions", "type" : "article", "volume" : "5" }, "uris" : [ "http://www.mendeley.com/documents/?uuid=d5f8bef2-c729-4a84-bd93-0e9ba87ca8fe" ] } ], "mendeley" : { "formattedCitation" : "(Shohamy &amp; Daw, 2015)", "plainTextFormattedCitation" : "(Shohamy &amp; Daw, 2015)", "previouslyFormattedCitation" : "(Shohamy &amp; Daw, 2015)" }, "properties" : { "noteIndex" : 0 }, "schema" : "https://github.com/citation-style-language/schema/raw/master/csl-citation.json" }</w:instrText>
      </w:r>
      <w:r w:rsidR="00331D02" w:rsidRPr="004946F6">
        <w:fldChar w:fldCharType="separate"/>
      </w:r>
      <w:r w:rsidR="00331D02" w:rsidRPr="004946F6">
        <w:rPr>
          <w:noProof/>
        </w:rPr>
        <w:t>(Shohamy &amp; Daw, 2015)</w:t>
      </w:r>
      <w:r w:rsidR="00331D02" w:rsidRPr="004946F6">
        <w:fldChar w:fldCharType="end"/>
      </w:r>
      <w:r w:rsidR="00260DD5" w:rsidRPr="004946F6">
        <w:t xml:space="preserve">. In this framework, the new effect here of emotional modulation of these associations in eCMR would serve to highlight emotionally salient consequences, tending to give them a larger effect on one’s deliberations. This, in turn, formally relates these emotional memory enhancements to a set of computational mechanisms and empirical effects (e.g., </w:t>
      </w:r>
      <w:r w:rsidR="00331D02" w:rsidRPr="004946F6">
        <w:fldChar w:fldCharType="begin" w:fldLock="1"/>
      </w:r>
      <w:r w:rsidR="008C25E5" w:rsidRPr="004946F6">
        <w:instrText>ADDIN CSL_CITATION { "citationItems" : [ { "id" : "ITEM-1", "itemData" : { "DOI" : "10.1371/journal.pcbi.1002410", "ISBN" : "1553-7358 (Electronic)\\r1553-734X (Linking)", "ISSN" : "1553734X", "PMID" : "22412360", "abstract" : "Author Summary Planning is tricky because choices we make now affect future choices, and future choices and outcomes should guide current choices. Because there are exponentially many combinations of future choices and actions, brute-force approaches that consider all possible combinations work only for trivially small problems. Here, we describe how humans use a simple Pavlovian strategy to cut an expanding decision tree down to a computationally manageable size. We find that humans use this strategy even when it is disadvantageous, and that the tendency to use it is related to mild depressive symptoms. The findings, we suggest, can be interpreted within a theoretical framework which relates Pavlovian behavioural inhibition to serotonin and mood disorders.", "author" : [ { "dropping-particle" : "", "family" : "Huys", "given" : "Quentin J M", "non-dropping-particle" : "", "parse-names" : false, "suffix" : "" }, { "dropping-particle" : "", "family" : "Eshel", "given" : "Neir", "non-dropping-particle" : "", "parse-names" : false, "suffix" : "" }, { "dropping-particle" : "", "family" : "O'Nions", "given" : "Elizabeth", "non-dropping-particle" : "", "parse-names" : false, "suffix" : "" }, { "dropping-particle" : "", "family" : "Sheridan", "given" : "Luke", "non-dropping-particle" : "", "parse-names" : false, "suffix" : "" }, { "dropping-particle" : "", "family" : "Dayan", "given" : "Peter", "non-dropping-particle" : "", "parse-names" : false, "suffix" : "" }, { "dropping-particle" : "", "family" : "Roiser", "given" : "Jonathan P.", "non-dropping-particle" : "", "parse-names" : false, "suffix" : "" } ], "container-title" : "PLoS Computational Biology", "id" : "ITEM-1", "issue" : "3", "issued" : { "date-parts" : [ [ "2012" ] ] }, "title" : "Bonsai trees in your head: How the pavlovian system sculpts goal-directed choices by pruning decision trees", "type" : "article-journal", "volume" : "8" }, "uris" : [ "http://www.mendeley.com/documents/?uuid=c09cc475-9b9e-4227-8561-ce7266639933" ] } ], "mendeley" : { "formattedCitation" : "(Huys et al., 2012)", "manualFormatting" : "Huys et al., 2012)", "plainTextFormattedCitation" : "(Huys et al., 2012)", "previouslyFormattedCitation" : "(Huys et al., 2012)" }, "properties" : { "noteIndex" : 0 }, "schema" : "https://github.com/citation-style-language/schema/raw/master/csl-citation.json" }</w:instrText>
      </w:r>
      <w:r w:rsidR="00331D02" w:rsidRPr="004946F6">
        <w:fldChar w:fldCharType="separate"/>
      </w:r>
      <w:r w:rsidR="00331D02" w:rsidRPr="004946F6">
        <w:rPr>
          <w:noProof/>
        </w:rPr>
        <w:t>Huys et al., 2012)</w:t>
      </w:r>
      <w:r w:rsidR="00331D02" w:rsidRPr="004946F6">
        <w:fldChar w:fldCharType="end"/>
      </w:r>
      <w:r w:rsidR="00331D02" w:rsidRPr="004946F6">
        <w:t xml:space="preserve"> </w:t>
      </w:r>
      <w:r w:rsidR="00260DD5" w:rsidRPr="004946F6">
        <w:t xml:space="preserve">that have been proposed to underlie both adaptive control of prospection and maladaptive dysfunction, such as rumination and worry </w:t>
      </w:r>
      <w:r w:rsidR="00331D02" w:rsidRPr="004946F6">
        <w:fldChar w:fldCharType="begin" w:fldLock="1"/>
      </w:r>
      <w:r w:rsidR="008C25E5" w:rsidRPr="004946F6">
        <w:instrText>ADDIN CSL_CITATION { "citationItems" : [ { "id" : "ITEM-1", "itemData" : { "DOI" : "10.1146/annurev-neuro-071714-033928", "ISBN" : "978-0-8243-2438-4", "ISSN" : "0147-006X", "PMID" : "25705929", "abstract" : "The manifold symptoms of depression are common and often transient features of healthy life that are likely to be adaptive in difficult circumstances. It is when these symptoms enter a seemingly self-propelling spiral that the maladaptive features of a disorder emerge. We examine this malignant transformation from the perspective of the computational neuroscience of decision making, investigating how dysfunction of the brain's mechanisms of evaluation might lie at its heart. We start by considering the behavioral implications of pessimistic evaluations of decision variables. We then provide a selective review of work suggesting how such pessimism might arise via specific failures of the mechanisms of evaluation or state estimation. Finally, we analyze ways that miscalibration between the subject and environment may be self-perpetuating. We employ the formal framework of Bayesian decision theory as a foundation for this study, showing how most of the problems arise from one of its broad algorithmic facets,...", "author" : [ { "dropping-particle" : "", "family" : "Huys", "given" : "Quentin J.M.", "non-dropping-particle" : "", "parse-names" : false, "suffix" : "" }, { "dropping-particle" : "", "family" : "Daw", "given" : "Nathaniel D.", "non-dropping-particle" : "", "parse-names" : false, "suffix" : "" }, { "dropping-particle" : "", "family" : "Dayan", "given" : "Peter", "non-dropping-particle" : "", "parse-names" : false, "suffix" : "" } ], "container-title" : "Annual Review of Neuroscience", "id" : "ITEM-1", "issue" : "1", "issued" : { "date-parts" : [ [ "2015" ] ] }, "page" : "1-23", "title" : "Depression: A Decision-Theoretic Analysis", "type" : "article-journal", "volume" : "38" }, "uris" : [ "http://www.mendeley.com/documents/?uuid=0ef9dac3-7437-484b-b7f4-10aebc4f8c5a" ] }, { "id" : "ITEM-2", "itemData" : { "DOI" : "10.1017/S0140525X15001776", "ISSN" : "0140-525X", "abstract" : "Previous work has suggested that an interaction between local selective (e.g., glutamatergic) excitation and global gain modulation (via norepinephrine) amplifies selectivity in information processing. Mather et al. extend this existing theory by suggesting that localized gain modulation may further mediate this effect \u2013 an interesting prospect that invites new theoretical and experimental work.", "author" : [ { "dropping-particle" : "", "family" : "Eldar", "given" : "Eran", "non-dropping-particle" : "", "parse-names" : false, "suffix" : "" }, { "dropping-particle" : "", "family" : "Cohen", "given" : "Jonathan D.", "non-dropping-particle" : "", "parse-names" : false, "suffix" : "" }, { "dropping-particle" : "", "family" : "Niv", "given" : "Yael", "non-dropping-particle" : "", "parse-names" : false, "suffix" : "" }, { "dropping-particle" : "", "family" : "Eldar", "given" : "Eran", "non-dropping-particle" : "", "parse-names" : false, "suffix" : "" }, { "dropping-particle" : "", "family" : "Niv", "given" : "Yael", "non-dropping-particle" : "", "parse-names" : false, "suffix" : "" }, { "dropping-particle" : "", "family" : "Cohen", "given" : "Jonathan D.", "non-dropping-particle" : "", "parse-names" : false, "suffix" : "" } ], "container-title" : "Behavioral and Brain Sciences", "id" : "ITEM-2", "issue" : "12", "issued" : { "date-parts" : [ [ "2016" ] ] }, "page" : "e206", "title" : "Amplified selectivity in cognitive processing implements the neural gain model of norepinephrine function", "type" : "article-journal", "volume" : "39" }, "uris" : [ "http://www.mendeley.com/documents/?uuid=45437d94-1f50-454e-845a-8369e41f2210" ] } ], "mendeley" : { "formattedCitation" : "(Eldar et al., 2016; Huys, Daw, &amp; Dayan, 2015)", "plainTextFormattedCitation" : "(Eldar et al., 2016; Huys, Daw, &amp; Dayan, 2015)", "previouslyFormattedCitation" : "(Eldar et al., 2016; Huys, Daw, &amp; Dayan, 2015)" }, "properties" : { "noteIndex" : 0 }, "schema" : "https://github.com/citation-style-language/schema/raw/master/csl-citation.json" }</w:instrText>
      </w:r>
      <w:r w:rsidR="00331D02" w:rsidRPr="004946F6">
        <w:fldChar w:fldCharType="separate"/>
      </w:r>
      <w:r w:rsidR="00331D02" w:rsidRPr="004946F6">
        <w:rPr>
          <w:noProof/>
        </w:rPr>
        <w:t>(Eldar et al., 2016; Huys, Daw, &amp; Dayan, 2015)</w:t>
      </w:r>
      <w:r w:rsidR="00331D02" w:rsidRPr="004946F6">
        <w:fldChar w:fldCharType="end"/>
      </w:r>
      <w:r w:rsidR="00260DD5" w:rsidRPr="004946F6">
        <w:t xml:space="preserve"> in disorders of mood.</w:t>
      </w:r>
    </w:p>
    <w:p w14:paraId="6AC1FD58" w14:textId="50B8AD57" w:rsidR="00CE7326" w:rsidRPr="004946F6" w:rsidRDefault="00572176" w:rsidP="00F16D36">
      <w:pPr>
        <w:spacing w:line="480" w:lineRule="auto"/>
        <w:jc w:val="both"/>
      </w:pPr>
      <w:r w:rsidRPr="004946F6">
        <w:t>The core claim of retrieved-</w:t>
      </w:r>
      <w:r w:rsidR="00FE1A8A" w:rsidRPr="004946F6">
        <w:t>context theory</w:t>
      </w:r>
      <w:r w:rsidRPr="004946F6">
        <w:t>,</w:t>
      </w:r>
      <w:r w:rsidR="00FE1A8A" w:rsidRPr="004946F6">
        <w:t xml:space="preserve"> that the </w:t>
      </w:r>
      <w:r w:rsidRPr="004946F6">
        <w:t xml:space="preserve">conditions of </w:t>
      </w:r>
      <w:r w:rsidR="00FE1A8A" w:rsidRPr="004946F6">
        <w:t>retrieval crucially influence which items are recalled</w:t>
      </w:r>
      <w:r w:rsidRPr="004946F6">
        <w:t>, was extended here to memories that are have a personal, emotional meaning. The important role of the retrieval stage</w:t>
      </w:r>
      <w:r w:rsidR="00FE1A8A" w:rsidRPr="004946F6">
        <w:t xml:space="preserve"> </w:t>
      </w:r>
      <w:r w:rsidRPr="004946F6">
        <w:t xml:space="preserve">in accessing these memories </w:t>
      </w:r>
      <w:r w:rsidR="00FE1A8A" w:rsidRPr="004946F6">
        <w:t xml:space="preserve">resonates particularly well with the motivations that drive much emotional memory research: to relieve the suffering that sometimes results from aversive emotional memories, on the one hand, and to extract neutral information about events that are dominated by emotional experiences, on the other. </w:t>
      </w:r>
      <w:r w:rsidR="00F16D36" w:rsidRPr="004946F6">
        <w:t>T</w:t>
      </w:r>
      <w:r w:rsidR="00FE1A8A" w:rsidRPr="004946F6">
        <w:t xml:space="preserve">he applied clinical and forensic value of our modelling approach stems from its potential to inspire psychological manipulations to alter the accessibility of emotional and neutral memories, even long after the original experiences. </w:t>
      </w:r>
      <w:r w:rsidR="00CE7326" w:rsidRPr="004946F6">
        <w:br w:type="page"/>
      </w:r>
    </w:p>
    <w:p w14:paraId="2F210A43" w14:textId="77777777" w:rsidR="00CE7326" w:rsidRPr="004946F6" w:rsidRDefault="00F92851" w:rsidP="00F92851">
      <w:pPr>
        <w:rPr>
          <w:b/>
          <w:bCs/>
        </w:rPr>
      </w:pPr>
      <w:r w:rsidRPr="004946F6">
        <w:rPr>
          <w:b/>
          <w:bCs/>
        </w:rPr>
        <w:t>Authors note</w:t>
      </w:r>
    </w:p>
    <w:p w14:paraId="21937865" w14:textId="43ECCFF2" w:rsidR="00CE7326" w:rsidRPr="004946F6" w:rsidRDefault="00CE7326" w:rsidP="00E71AD7">
      <w:pPr>
        <w:spacing w:line="480" w:lineRule="auto"/>
        <w:rPr>
          <w:b/>
          <w:bCs/>
        </w:rPr>
      </w:pPr>
      <w:r w:rsidRPr="004946F6">
        <w:t>This work was supported by the Wellcome Trust [105610/Z/14/Z] and the Royal Society [IE160027]. We thank R. Fox</w:t>
      </w:r>
      <w:r w:rsidR="00BA7202" w:rsidRPr="004946F6">
        <w:t>,</w:t>
      </w:r>
      <w:r w:rsidRPr="004946F6">
        <w:t xml:space="preserve"> R. El-Nagib</w:t>
      </w:r>
      <w:r w:rsidR="00BA7202" w:rsidRPr="004946F6">
        <w:t>,</w:t>
      </w:r>
      <w:r w:rsidRPr="004946F6">
        <w:t xml:space="preserve"> </w:t>
      </w:r>
      <w:r w:rsidR="00BA7202" w:rsidRPr="004946F6">
        <w:t xml:space="preserve">G. Barnacle, </w:t>
      </w:r>
      <w:r w:rsidRPr="004946F6">
        <w:t>E. McManus</w:t>
      </w:r>
      <w:r w:rsidR="009D226C" w:rsidRPr="004946F6">
        <w:t xml:space="preserve">, </w:t>
      </w:r>
      <w:r w:rsidR="00BA7202" w:rsidRPr="004946F6">
        <w:t>M. Slapkova</w:t>
      </w:r>
      <w:r w:rsidR="009D226C" w:rsidRPr="004946F6">
        <w:t xml:space="preserve"> and K. Lutor</w:t>
      </w:r>
      <w:r w:rsidRPr="004946F6">
        <w:t xml:space="preserve"> for </w:t>
      </w:r>
      <w:r w:rsidR="00BA7202" w:rsidRPr="004946F6">
        <w:t>data collection and processing</w:t>
      </w:r>
      <w:r w:rsidRPr="004946F6">
        <w:t>. We thank M</w:t>
      </w:r>
      <w:r w:rsidR="001F5420" w:rsidRPr="004946F6">
        <w:t>.</w:t>
      </w:r>
      <w:r w:rsidRPr="004946F6">
        <w:t xml:space="preserve"> Moscovitch,</w:t>
      </w:r>
      <w:r w:rsidR="00C25B13" w:rsidRPr="004946F6">
        <w:t xml:space="preserve"> J. Caplan,</w:t>
      </w:r>
      <w:r w:rsidRPr="004946F6">
        <w:t xml:space="preserve"> </w:t>
      </w:r>
      <w:r w:rsidR="00802BE6" w:rsidRPr="004946F6">
        <w:t>and K. Norman</w:t>
      </w:r>
      <w:r w:rsidRPr="004946F6">
        <w:t xml:space="preserve"> for their helpful comments.</w:t>
      </w:r>
      <w:r w:rsidR="00F92851" w:rsidRPr="004946F6">
        <w:t xml:space="preserve"> Part of this paper was presented at the Context and Episodic Memory Symposi</w:t>
      </w:r>
      <w:r w:rsidR="00B24371" w:rsidRPr="004946F6">
        <w:t>a (2017, 2018) and Learning and Memory (2018)</w:t>
      </w:r>
      <w:r w:rsidR="00F92851" w:rsidRPr="004946F6">
        <w:t xml:space="preserve">. A pre-print of this manuscript was published on BioRxiv. </w:t>
      </w:r>
    </w:p>
    <w:p w14:paraId="317E7C2E" w14:textId="77777777" w:rsidR="00CE7326" w:rsidRPr="004946F6" w:rsidRDefault="00CE7326">
      <w:pPr>
        <w:rPr>
          <w:b/>
          <w:bCs/>
        </w:rPr>
      </w:pPr>
      <w:r w:rsidRPr="004946F6">
        <w:rPr>
          <w:b/>
          <w:bCs/>
        </w:rPr>
        <w:br w:type="page"/>
      </w:r>
    </w:p>
    <w:p w14:paraId="5C6EC11C" w14:textId="77777777" w:rsidR="003E3F8C" w:rsidRPr="004946F6" w:rsidRDefault="003E3F8C" w:rsidP="00B91D78">
      <w:pPr>
        <w:spacing w:line="480" w:lineRule="auto"/>
        <w:rPr>
          <w:b/>
          <w:bCs/>
        </w:rPr>
      </w:pPr>
      <w:r w:rsidRPr="004946F6">
        <w:rPr>
          <w:b/>
          <w:bCs/>
        </w:rPr>
        <w:t>References</w:t>
      </w:r>
    </w:p>
    <w:p w14:paraId="4ADAA4EC" w14:textId="60C59F29" w:rsidR="00BF1D00" w:rsidRPr="00BF1D00" w:rsidRDefault="003E3F8C" w:rsidP="00BF1D00">
      <w:pPr>
        <w:widowControl w:val="0"/>
        <w:autoSpaceDE w:val="0"/>
        <w:autoSpaceDN w:val="0"/>
        <w:adjustRightInd w:val="0"/>
        <w:spacing w:line="480" w:lineRule="auto"/>
        <w:ind w:left="480" w:hanging="480"/>
        <w:rPr>
          <w:rFonts w:ascii="Calibri" w:hAnsi="Calibri" w:cs="Times New Roman"/>
          <w:noProof/>
          <w:szCs w:val="24"/>
        </w:rPr>
      </w:pPr>
      <w:r w:rsidRPr="004946F6">
        <w:rPr>
          <w:b/>
          <w:bCs/>
        </w:rPr>
        <w:fldChar w:fldCharType="begin" w:fldLock="1"/>
      </w:r>
      <w:r w:rsidRPr="004946F6">
        <w:rPr>
          <w:b/>
          <w:bCs/>
        </w:rPr>
        <w:instrText xml:space="preserve">ADDIN Mendeley Bibliography CSL_BIBLIOGRAPHY </w:instrText>
      </w:r>
      <w:r w:rsidRPr="004946F6">
        <w:rPr>
          <w:b/>
          <w:bCs/>
        </w:rPr>
        <w:fldChar w:fldCharType="separate"/>
      </w:r>
      <w:r w:rsidR="00BF1D00" w:rsidRPr="00BF1D00">
        <w:rPr>
          <w:rFonts w:ascii="Calibri" w:hAnsi="Calibri" w:cs="Times New Roman"/>
          <w:noProof/>
          <w:szCs w:val="24"/>
        </w:rPr>
        <w:t xml:space="preserve">Alba, J. W., &amp; Hasher, L. (1983). Is memory schematic? </w:t>
      </w:r>
      <w:r w:rsidR="00BF1D00" w:rsidRPr="00BF1D00">
        <w:rPr>
          <w:rFonts w:ascii="Calibri" w:hAnsi="Calibri" w:cs="Times New Roman"/>
          <w:i/>
          <w:iCs/>
          <w:noProof/>
          <w:szCs w:val="24"/>
        </w:rPr>
        <w:t>Psychological Bulletin</w:t>
      </w:r>
      <w:r w:rsidR="00BF1D00" w:rsidRPr="00BF1D00">
        <w:rPr>
          <w:rFonts w:ascii="Calibri" w:hAnsi="Calibri" w:cs="Times New Roman"/>
          <w:noProof/>
          <w:szCs w:val="24"/>
        </w:rPr>
        <w:t xml:space="preserve">, </w:t>
      </w:r>
      <w:r w:rsidR="00BF1D00" w:rsidRPr="00BF1D00">
        <w:rPr>
          <w:rFonts w:ascii="Calibri" w:hAnsi="Calibri" w:cs="Times New Roman"/>
          <w:i/>
          <w:iCs/>
          <w:noProof/>
          <w:szCs w:val="24"/>
        </w:rPr>
        <w:t>93</w:t>
      </w:r>
      <w:r w:rsidR="00BF1D00" w:rsidRPr="00BF1D00">
        <w:rPr>
          <w:rFonts w:ascii="Calibri" w:hAnsi="Calibri" w:cs="Times New Roman"/>
          <w:noProof/>
          <w:szCs w:val="24"/>
        </w:rPr>
        <w:t>(2), 203–231. https://doi.org/10.1037/0033-2909.93.2.203</w:t>
      </w:r>
    </w:p>
    <w:p w14:paraId="40F5DA69"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Anderson, A. K. (2005). Affective influences on the attentional dynamics supporting awareness. </w:t>
      </w:r>
      <w:r w:rsidRPr="00BF1D00">
        <w:rPr>
          <w:rFonts w:ascii="Calibri" w:hAnsi="Calibri" w:cs="Times New Roman"/>
          <w:i/>
          <w:iCs/>
          <w:noProof/>
          <w:szCs w:val="24"/>
        </w:rPr>
        <w:t>Journal of Experimental Psychology. General</w:t>
      </w:r>
      <w:r w:rsidRPr="00BF1D00">
        <w:rPr>
          <w:rFonts w:ascii="Calibri" w:hAnsi="Calibri" w:cs="Times New Roman"/>
          <w:noProof/>
          <w:szCs w:val="24"/>
        </w:rPr>
        <w:t xml:space="preserve">, </w:t>
      </w:r>
      <w:r w:rsidRPr="00BF1D00">
        <w:rPr>
          <w:rFonts w:ascii="Calibri" w:hAnsi="Calibri" w:cs="Times New Roman"/>
          <w:i/>
          <w:iCs/>
          <w:noProof/>
          <w:szCs w:val="24"/>
        </w:rPr>
        <w:t>134</w:t>
      </w:r>
      <w:r w:rsidRPr="00BF1D00">
        <w:rPr>
          <w:rFonts w:ascii="Calibri" w:hAnsi="Calibri" w:cs="Times New Roman"/>
          <w:noProof/>
          <w:szCs w:val="24"/>
        </w:rPr>
        <w:t>(2), 258–281. https://doi.org/10.1037/0096-3445.134.2.258</w:t>
      </w:r>
    </w:p>
    <w:p w14:paraId="32C8BE78"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Asch, S. E., &amp; Ebenholtz, S. M. (1962). The Process of Free Recall: Evidence for Non-Associative Factors in Acquisition and Retention. </w:t>
      </w:r>
      <w:r w:rsidRPr="00BF1D00">
        <w:rPr>
          <w:rFonts w:ascii="Calibri" w:hAnsi="Calibri" w:cs="Times New Roman"/>
          <w:i/>
          <w:iCs/>
          <w:noProof/>
          <w:szCs w:val="24"/>
        </w:rPr>
        <w:t>The Journal of Psychology</w:t>
      </w:r>
      <w:r w:rsidRPr="00BF1D00">
        <w:rPr>
          <w:rFonts w:ascii="Calibri" w:hAnsi="Calibri" w:cs="Times New Roman"/>
          <w:noProof/>
          <w:szCs w:val="24"/>
        </w:rPr>
        <w:t xml:space="preserve">, </w:t>
      </w:r>
      <w:r w:rsidRPr="00BF1D00">
        <w:rPr>
          <w:rFonts w:ascii="Calibri" w:hAnsi="Calibri" w:cs="Times New Roman"/>
          <w:i/>
          <w:iCs/>
          <w:noProof/>
          <w:szCs w:val="24"/>
        </w:rPr>
        <w:t>54</w:t>
      </w:r>
      <w:r w:rsidRPr="00BF1D00">
        <w:rPr>
          <w:rFonts w:ascii="Calibri" w:hAnsi="Calibri" w:cs="Times New Roman"/>
          <w:noProof/>
          <w:szCs w:val="24"/>
        </w:rPr>
        <w:t>(1), 3–31. https://doi.org/10.1080/00223980.1962.9713093</w:t>
      </w:r>
    </w:p>
    <w:p w14:paraId="5A3FD0A4"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Barnacle, G. E. (2015). </w:t>
      </w:r>
      <w:r w:rsidRPr="00BF1D00">
        <w:rPr>
          <w:rFonts w:ascii="Calibri" w:hAnsi="Calibri" w:cs="Times New Roman"/>
          <w:i/>
          <w:iCs/>
          <w:noProof/>
          <w:szCs w:val="24"/>
        </w:rPr>
        <w:t>Understanding Emotional Memory: Cognitive Factors</w:t>
      </w:r>
      <w:r w:rsidRPr="00BF1D00">
        <w:rPr>
          <w:rFonts w:ascii="Calibri" w:hAnsi="Calibri" w:cs="Times New Roman"/>
          <w:noProof/>
          <w:szCs w:val="24"/>
        </w:rPr>
        <w:t>. University of Manchester. Retrieved from https://www.research.manchester.ac.uk/portal/files/54582781/FULL_TEXT.PDF</w:t>
      </w:r>
    </w:p>
    <w:p w14:paraId="5D34159E"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Barnacle, G. E., Montaldi, D., Talmi, D., &amp; Sommer, T. (2016). The list-composition effect in memory for emotional and neutral pictures: Differential contribution of ventral and dorsal attention networks to successful encoding. </w:t>
      </w:r>
      <w:r w:rsidRPr="00BF1D00">
        <w:rPr>
          <w:rFonts w:ascii="Calibri" w:hAnsi="Calibri" w:cs="Times New Roman"/>
          <w:i/>
          <w:iCs/>
          <w:noProof/>
          <w:szCs w:val="24"/>
        </w:rPr>
        <w:t>Neuropsychologia</w:t>
      </w:r>
      <w:r w:rsidRPr="00BF1D00">
        <w:rPr>
          <w:rFonts w:ascii="Calibri" w:hAnsi="Calibri" w:cs="Times New Roman"/>
          <w:noProof/>
          <w:szCs w:val="24"/>
        </w:rPr>
        <w:t xml:space="preserve">, </w:t>
      </w:r>
      <w:r w:rsidRPr="00BF1D00">
        <w:rPr>
          <w:rFonts w:ascii="Calibri" w:hAnsi="Calibri" w:cs="Times New Roman"/>
          <w:i/>
          <w:iCs/>
          <w:noProof/>
          <w:szCs w:val="24"/>
        </w:rPr>
        <w:t>90</w:t>
      </w:r>
      <w:r w:rsidRPr="00BF1D00">
        <w:rPr>
          <w:rFonts w:ascii="Calibri" w:hAnsi="Calibri" w:cs="Times New Roman"/>
          <w:noProof/>
          <w:szCs w:val="24"/>
        </w:rPr>
        <w:t>, 125–135. https://doi.org/10.1016/j.neuropsychologia.2016.06.023</w:t>
      </w:r>
    </w:p>
    <w:p w14:paraId="322E39C6"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Barnacle, G. E., &amp; Talmi, D. (2016). Emotionally arousing context modulates the ERP correlates of neutral picture processing: An ERP test of the “Glutamate Amplifies Noradrenergic Effects (GANE)” model. Commentary proposal on Mather et al. </w:t>
      </w:r>
      <w:r w:rsidRPr="00BF1D00">
        <w:rPr>
          <w:rFonts w:ascii="Calibri" w:hAnsi="Calibri" w:cs="Times New Roman"/>
          <w:i/>
          <w:iCs/>
          <w:noProof/>
          <w:szCs w:val="24"/>
        </w:rPr>
        <w:t>Behavioural Brain Research</w:t>
      </w:r>
      <w:r w:rsidRPr="00BF1D00">
        <w:rPr>
          <w:rFonts w:ascii="Calibri" w:hAnsi="Calibri" w:cs="Times New Roman"/>
          <w:noProof/>
          <w:szCs w:val="24"/>
        </w:rPr>
        <w:t xml:space="preserve">, </w:t>
      </w:r>
      <w:r w:rsidRPr="00BF1D00">
        <w:rPr>
          <w:rFonts w:ascii="Calibri" w:hAnsi="Calibri" w:cs="Times New Roman"/>
          <w:i/>
          <w:iCs/>
          <w:noProof/>
          <w:szCs w:val="24"/>
        </w:rPr>
        <w:t>39</w:t>
      </w:r>
      <w:r w:rsidRPr="00BF1D00">
        <w:rPr>
          <w:rFonts w:ascii="Calibri" w:hAnsi="Calibri" w:cs="Times New Roman"/>
          <w:noProof/>
          <w:szCs w:val="24"/>
        </w:rPr>
        <w:t>, e225. Retrieved from 10.1017/S0140525X1500196X</w:t>
      </w:r>
    </w:p>
    <w:p w14:paraId="326B1F92"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Barnacle, G. E., Tsivilis, D., Schaefer, A., &amp; Talmi, D. (2017). 1 Local context influences memory for emotional stimuli but not electrophysiological markers of emotion-dependent attention Gemma E. Barnacle, (0161), 1–35. https://doi.org/10.1111/psyp.13014</w:t>
      </w:r>
    </w:p>
    <w:p w14:paraId="52A6F82F"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Barnacle, G. E., Tsivilis, D., Schaefer, A., &amp; Talmi, D. (2018). Local context influences memory for emotional stimuli but not electrophysiological markers of emotion-dependent attention. </w:t>
      </w:r>
      <w:r w:rsidRPr="00BF1D00">
        <w:rPr>
          <w:rFonts w:ascii="Calibri" w:hAnsi="Calibri" w:cs="Times New Roman"/>
          <w:i/>
          <w:iCs/>
          <w:noProof/>
          <w:szCs w:val="24"/>
        </w:rPr>
        <w:t>Psychophysiology</w:t>
      </w:r>
      <w:r w:rsidRPr="00BF1D00">
        <w:rPr>
          <w:rFonts w:ascii="Calibri" w:hAnsi="Calibri" w:cs="Times New Roman"/>
          <w:noProof/>
          <w:szCs w:val="24"/>
        </w:rPr>
        <w:t>, (0161), 1–35. https://doi.org/10.1111/psyp.13014</w:t>
      </w:r>
    </w:p>
    <w:p w14:paraId="6A8BFC3D"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Bisby, J. A., &amp; Burgess, N. (2013). Negative affect impairs associative memory but not item memory. </w:t>
      </w:r>
      <w:r w:rsidRPr="00BF1D00">
        <w:rPr>
          <w:rFonts w:ascii="Calibri" w:hAnsi="Calibri" w:cs="Times New Roman"/>
          <w:i/>
          <w:iCs/>
          <w:noProof/>
          <w:szCs w:val="24"/>
        </w:rPr>
        <w:t>Learning &amp; Memory (Cold Spring Harbor, N.Y.)</w:t>
      </w:r>
      <w:r w:rsidRPr="00BF1D00">
        <w:rPr>
          <w:rFonts w:ascii="Calibri" w:hAnsi="Calibri" w:cs="Times New Roman"/>
          <w:noProof/>
          <w:szCs w:val="24"/>
        </w:rPr>
        <w:t xml:space="preserve">, </w:t>
      </w:r>
      <w:r w:rsidRPr="00BF1D00">
        <w:rPr>
          <w:rFonts w:ascii="Calibri" w:hAnsi="Calibri" w:cs="Times New Roman"/>
          <w:i/>
          <w:iCs/>
          <w:noProof/>
          <w:szCs w:val="24"/>
        </w:rPr>
        <w:t>21</w:t>
      </w:r>
      <w:r w:rsidRPr="00BF1D00">
        <w:rPr>
          <w:rFonts w:ascii="Calibri" w:hAnsi="Calibri" w:cs="Times New Roman"/>
          <w:noProof/>
          <w:szCs w:val="24"/>
        </w:rPr>
        <w:t>(1), 21–7. https://doi.org/10.1101/lm.032409.113</w:t>
      </w:r>
    </w:p>
    <w:p w14:paraId="17588FD9"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Bisby, J. A., Horner, A. J., Hørlyck, L. D., &amp; Burgess, N. (2016). Opposing effects of negative emotion on amygdalar and hippocampal memory for items and associations. </w:t>
      </w:r>
      <w:r w:rsidRPr="00BF1D00">
        <w:rPr>
          <w:rFonts w:ascii="Calibri" w:hAnsi="Calibri" w:cs="Times New Roman"/>
          <w:i/>
          <w:iCs/>
          <w:noProof/>
          <w:szCs w:val="24"/>
        </w:rPr>
        <w:t>Social Cognitive and Affective Neuroscience</w:t>
      </w:r>
      <w:r w:rsidRPr="00BF1D00">
        <w:rPr>
          <w:rFonts w:ascii="Calibri" w:hAnsi="Calibri" w:cs="Times New Roman"/>
          <w:noProof/>
          <w:szCs w:val="24"/>
        </w:rPr>
        <w:t xml:space="preserve">, </w:t>
      </w:r>
      <w:r w:rsidRPr="00BF1D00">
        <w:rPr>
          <w:rFonts w:ascii="Calibri" w:hAnsi="Calibri" w:cs="Times New Roman"/>
          <w:i/>
          <w:iCs/>
          <w:noProof/>
          <w:szCs w:val="24"/>
        </w:rPr>
        <w:t>11</w:t>
      </w:r>
      <w:r w:rsidRPr="00BF1D00">
        <w:rPr>
          <w:rFonts w:ascii="Calibri" w:hAnsi="Calibri" w:cs="Times New Roman"/>
          <w:noProof/>
          <w:szCs w:val="24"/>
        </w:rPr>
        <w:t>(6), 981–90. https://doi.org/10.1093/scan/nsw028</w:t>
      </w:r>
    </w:p>
    <w:p w14:paraId="3B932996"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Blaney, P. H. (1986). Affect and memory: a review. </w:t>
      </w:r>
      <w:r w:rsidRPr="00BF1D00">
        <w:rPr>
          <w:rFonts w:ascii="Calibri" w:hAnsi="Calibri" w:cs="Times New Roman"/>
          <w:i/>
          <w:iCs/>
          <w:noProof/>
          <w:szCs w:val="24"/>
        </w:rPr>
        <w:t>Psychological Bulletin</w:t>
      </w:r>
      <w:r w:rsidRPr="00BF1D00">
        <w:rPr>
          <w:rFonts w:ascii="Calibri" w:hAnsi="Calibri" w:cs="Times New Roman"/>
          <w:noProof/>
          <w:szCs w:val="24"/>
        </w:rPr>
        <w:t xml:space="preserve">, </w:t>
      </w:r>
      <w:r w:rsidRPr="00BF1D00">
        <w:rPr>
          <w:rFonts w:ascii="Calibri" w:hAnsi="Calibri" w:cs="Times New Roman"/>
          <w:i/>
          <w:iCs/>
          <w:noProof/>
          <w:szCs w:val="24"/>
        </w:rPr>
        <w:t>99</w:t>
      </w:r>
      <w:r w:rsidRPr="00BF1D00">
        <w:rPr>
          <w:rFonts w:ascii="Calibri" w:hAnsi="Calibri" w:cs="Times New Roman"/>
          <w:noProof/>
          <w:szCs w:val="24"/>
        </w:rPr>
        <w:t>(2), 229–246. https://doi.org/10.1037/0033-2909.99.2.229</w:t>
      </w:r>
    </w:p>
    <w:p w14:paraId="17AF2A59"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Block, R. A., &amp; Reed, M. A. (1978). Remembered duration: Evidence for a contextual-change hypothesis. </w:t>
      </w:r>
      <w:r w:rsidRPr="00BF1D00">
        <w:rPr>
          <w:rFonts w:ascii="Calibri" w:hAnsi="Calibri" w:cs="Times New Roman"/>
          <w:i/>
          <w:iCs/>
          <w:noProof/>
          <w:szCs w:val="24"/>
        </w:rPr>
        <w:t>Journal of Experimental Psychology: Human Learning &amp; Memory</w:t>
      </w:r>
      <w:r w:rsidRPr="00BF1D00">
        <w:rPr>
          <w:rFonts w:ascii="Calibri" w:hAnsi="Calibri" w:cs="Times New Roman"/>
          <w:noProof/>
          <w:szCs w:val="24"/>
        </w:rPr>
        <w:t xml:space="preserve">, </w:t>
      </w:r>
      <w:r w:rsidRPr="00BF1D00">
        <w:rPr>
          <w:rFonts w:ascii="Calibri" w:hAnsi="Calibri" w:cs="Times New Roman"/>
          <w:i/>
          <w:iCs/>
          <w:noProof/>
          <w:szCs w:val="24"/>
        </w:rPr>
        <w:t>4</w:t>
      </w:r>
      <w:r w:rsidRPr="00BF1D00">
        <w:rPr>
          <w:rFonts w:ascii="Calibri" w:hAnsi="Calibri" w:cs="Times New Roman"/>
          <w:noProof/>
          <w:szCs w:val="24"/>
        </w:rPr>
        <w:t>(6), 656–665. https://doi.org/10.1037/0278-7393.4.6.656</w:t>
      </w:r>
    </w:p>
    <w:p w14:paraId="35F85D6B"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Bonasia, K., Sekeres, M., Gilboa, A., Grady, C., Winocur, G., &amp; Moscovitch, M. (n.d.). Event typicality and memory: prior knowledge and novelty interact to modulate memory for complex events.</w:t>
      </w:r>
    </w:p>
    <w:p w14:paraId="1424977C"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Boureau, Y. L., Sokol-Hessner, P., &amp; Daw, N. D. (2015). Deciding How To Decide: Self-Control and Meta-Decision Making. </w:t>
      </w:r>
      <w:r w:rsidRPr="00BF1D00">
        <w:rPr>
          <w:rFonts w:ascii="Calibri" w:hAnsi="Calibri" w:cs="Times New Roman"/>
          <w:i/>
          <w:iCs/>
          <w:noProof/>
          <w:szCs w:val="24"/>
        </w:rPr>
        <w:t>Trends in Cognitive Sciences</w:t>
      </w:r>
      <w:r w:rsidRPr="00BF1D00">
        <w:rPr>
          <w:rFonts w:ascii="Calibri" w:hAnsi="Calibri" w:cs="Times New Roman"/>
          <w:noProof/>
          <w:szCs w:val="24"/>
        </w:rPr>
        <w:t xml:space="preserve">, </w:t>
      </w:r>
      <w:r w:rsidRPr="00BF1D00">
        <w:rPr>
          <w:rFonts w:ascii="Calibri" w:hAnsi="Calibri" w:cs="Times New Roman"/>
          <w:i/>
          <w:iCs/>
          <w:noProof/>
          <w:szCs w:val="24"/>
        </w:rPr>
        <w:t>19</w:t>
      </w:r>
      <w:r w:rsidRPr="00BF1D00">
        <w:rPr>
          <w:rFonts w:ascii="Calibri" w:hAnsi="Calibri" w:cs="Times New Roman"/>
          <w:noProof/>
          <w:szCs w:val="24"/>
        </w:rPr>
        <w:t>(11), 700–710. https://doi.org/10.1016/j.tics.2015.08.013</w:t>
      </w:r>
    </w:p>
    <w:p w14:paraId="5AD419B5"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Bower, G. H. (1967). A Multicomponent Theory of The Memory Trace. </w:t>
      </w:r>
      <w:r w:rsidRPr="00BF1D00">
        <w:rPr>
          <w:rFonts w:ascii="Calibri" w:hAnsi="Calibri" w:cs="Times New Roman"/>
          <w:i/>
          <w:iCs/>
          <w:noProof/>
          <w:szCs w:val="24"/>
        </w:rPr>
        <w:t>Psychology of Learning and Motivation - Advances in Research and Theory</w:t>
      </w:r>
      <w:r w:rsidRPr="00BF1D00">
        <w:rPr>
          <w:rFonts w:ascii="Calibri" w:hAnsi="Calibri" w:cs="Times New Roman"/>
          <w:noProof/>
          <w:szCs w:val="24"/>
        </w:rPr>
        <w:t xml:space="preserve">, </w:t>
      </w:r>
      <w:r w:rsidRPr="00BF1D00">
        <w:rPr>
          <w:rFonts w:ascii="Calibri" w:hAnsi="Calibri" w:cs="Times New Roman"/>
          <w:i/>
          <w:iCs/>
          <w:noProof/>
          <w:szCs w:val="24"/>
        </w:rPr>
        <w:t>1</w:t>
      </w:r>
      <w:r w:rsidRPr="00BF1D00">
        <w:rPr>
          <w:rFonts w:ascii="Calibri" w:hAnsi="Calibri" w:cs="Times New Roman"/>
          <w:noProof/>
          <w:szCs w:val="24"/>
        </w:rPr>
        <w:t>(C), 229–325. https://doi.org/10.1016/S0079-7421(08)60515-0</w:t>
      </w:r>
    </w:p>
    <w:p w14:paraId="15EB0E4C"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Bower, G. H. (1981). Mood and Memory. </w:t>
      </w:r>
      <w:r w:rsidRPr="00BF1D00">
        <w:rPr>
          <w:rFonts w:ascii="Calibri" w:hAnsi="Calibri" w:cs="Times New Roman"/>
          <w:i/>
          <w:iCs/>
          <w:noProof/>
          <w:szCs w:val="24"/>
        </w:rPr>
        <w:t>American Psychologist</w:t>
      </w:r>
      <w:r w:rsidRPr="00BF1D00">
        <w:rPr>
          <w:rFonts w:ascii="Calibri" w:hAnsi="Calibri" w:cs="Times New Roman"/>
          <w:noProof/>
          <w:szCs w:val="24"/>
        </w:rPr>
        <w:t xml:space="preserve">, </w:t>
      </w:r>
      <w:r w:rsidRPr="00BF1D00">
        <w:rPr>
          <w:rFonts w:ascii="Calibri" w:hAnsi="Calibri" w:cs="Times New Roman"/>
          <w:i/>
          <w:iCs/>
          <w:noProof/>
          <w:szCs w:val="24"/>
        </w:rPr>
        <w:t>36</w:t>
      </w:r>
      <w:r w:rsidRPr="00BF1D00">
        <w:rPr>
          <w:rFonts w:ascii="Calibri" w:hAnsi="Calibri" w:cs="Times New Roman"/>
          <w:noProof/>
          <w:szCs w:val="24"/>
        </w:rPr>
        <w:t>(2), 129–148. Retrieved from https://web.stanford.edu/~gbower/1981/Mood_Memory_in_American_Psychologist.pdf</w:t>
      </w:r>
    </w:p>
    <w:p w14:paraId="75902F68"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Bradley, M., &amp; Lang, P. J. (1994). Measuring Emotion: The Self-Assessment Semantic Differential Manikin and the. </w:t>
      </w:r>
      <w:r w:rsidRPr="00BF1D00">
        <w:rPr>
          <w:rFonts w:ascii="Calibri" w:hAnsi="Calibri" w:cs="Times New Roman"/>
          <w:i/>
          <w:iCs/>
          <w:noProof/>
          <w:szCs w:val="24"/>
        </w:rPr>
        <w:t>Journal of Behavior Therapy and Experimental Psychiatry</w:t>
      </w:r>
      <w:r w:rsidRPr="00BF1D00">
        <w:rPr>
          <w:rFonts w:ascii="Calibri" w:hAnsi="Calibri" w:cs="Times New Roman"/>
          <w:noProof/>
          <w:szCs w:val="24"/>
        </w:rPr>
        <w:t xml:space="preserve">, </w:t>
      </w:r>
      <w:r w:rsidRPr="00BF1D00">
        <w:rPr>
          <w:rFonts w:ascii="Calibri" w:hAnsi="Calibri" w:cs="Times New Roman"/>
          <w:i/>
          <w:iCs/>
          <w:noProof/>
          <w:szCs w:val="24"/>
        </w:rPr>
        <w:t>25</w:t>
      </w:r>
      <w:r w:rsidRPr="00BF1D00">
        <w:rPr>
          <w:rFonts w:ascii="Calibri" w:hAnsi="Calibri" w:cs="Times New Roman"/>
          <w:noProof/>
          <w:szCs w:val="24"/>
        </w:rPr>
        <w:t>(I), 49–59. https://doi.org/10.1016/0005-7916(94)90063-9</w:t>
      </w:r>
    </w:p>
    <w:p w14:paraId="377792A8"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Bradley, M. M., Greenwald, M. K., Petry, M. C., &amp; Lang, P. J. (1992). Remembering pictures: pleasure and arousal in memory. </w:t>
      </w:r>
      <w:r w:rsidRPr="00BF1D00">
        <w:rPr>
          <w:rFonts w:ascii="Calibri" w:hAnsi="Calibri" w:cs="Times New Roman"/>
          <w:i/>
          <w:iCs/>
          <w:noProof/>
          <w:szCs w:val="24"/>
        </w:rPr>
        <w:t>Journal of Experimental Psychology. Learning, Memory, and Cognition</w:t>
      </w:r>
      <w:r w:rsidRPr="00BF1D00">
        <w:rPr>
          <w:rFonts w:ascii="Calibri" w:hAnsi="Calibri" w:cs="Times New Roman"/>
          <w:noProof/>
          <w:szCs w:val="24"/>
        </w:rPr>
        <w:t xml:space="preserve">, </w:t>
      </w:r>
      <w:r w:rsidRPr="00BF1D00">
        <w:rPr>
          <w:rFonts w:ascii="Calibri" w:hAnsi="Calibri" w:cs="Times New Roman"/>
          <w:i/>
          <w:iCs/>
          <w:noProof/>
          <w:szCs w:val="24"/>
        </w:rPr>
        <w:t>18</w:t>
      </w:r>
      <w:r w:rsidRPr="00BF1D00">
        <w:rPr>
          <w:rFonts w:ascii="Calibri" w:hAnsi="Calibri" w:cs="Times New Roman"/>
          <w:noProof/>
          <w:szCs w:val="24"/>
        </w:rPr>
        <w:t>(2), 379–90.</w:t>
      </w:r>
    </w:p>
    <w:p w14:paraId="014203D6"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Bradley, M. M., Lang, P. J., &amp; Cuthbert, B. N. (1993). Emotion, Novelty, and the Startle Reflex: Habituation in Humans. </w:t>
      </w:r>
      <w:r w:rsidRPr="00BF1D00">
        <w:rPr>
          <w:rFonts w:ascii="Calibri" w:hAnsi="Calibri" w:cs="Times New Roman"/>
          <w:i/>
          <w:iCs/>
          <w:noProof/>
          <w:szCs w:val="24"/>
        </w:rPr>
        <w:t>Behavioural Neuroscience</w:t>
      </w:r>
      <w:r w:rsidRPr="00BF1D00">
        <w:rPr>
          <w:rFonts w:ascii="Calibri" w:hAnsi="Calibri" w:cs="Times New Roman"/>
          <w:noProof/>
          <w:szCs w:val="24"/>
        </w:rPr>
        <w:t xml:space="preserve">, </w:t>
      </w:r>
      <w:r w:rsidRPr="00BF1D00">
        <w:rPr>
          <w:rFonts w:ascii="Calibri" w:hAnsi="Calibri" w:cs="Times New Roman"/>
          <w:i/>
          <w:iCs/>
          <w:noProof/>
          <w:szCs w:val="24"/>
        </w:rPr>
        <w:t>107</w:t>
      </w:r>
      <w:r w:rsidRPr="00BF1D00">
        <w:rPr>
          <w:rFonts w:ascii="Calibri" w:hAnsi="Calibri" w:cs="Times New Roman"/>
          <w:noProof/>
          <w:szCs w:val="24"/>
        </w:rPr>
        <w:t>(6), 970–980.</w:t>
      </w:r>
    </w:p>
    <w:p w14:paraId="5C99E32F"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Brown, G. D. A., Neath, I., &amp; Chater, N. (2007). A temporal ratio model of memory. </w:t>
      </w:r>
      <w:r w:rsidRPr="00BF1D00">
        <w:rPr>
          <w:rFonts w:ascii="Calibri" w:hAnsi="Calibri" w:cs="Times New Roman"/>
          <w:i/>
          <w:iCs/>
          <w:noProof/>
          <w:szCs w:val="24"/>
        </w:rPr>
        <w:t>Psychological Review</w:t>
      </w:r>
      <w:r w:rsidRPr="00BF1D00">
        <w:rPr>
          <w:rFonts w:ascii="Calibri" w:hAnsi="Calibri" w:cs="Times New Roman"/>
          <w:noProof/>
          <w:szCs w:val="24"/>
        </w:rPr>
        <w:t xml:space="preserve">, </w:t>
      </w:r>
      <w:r w:rsidRPr="00BF1D00">
        <w:rPr>
          <w:rFonts w:ascii="Calibri" w:hAnsi="Calibri" w:cs="Times New Roman"/>
          <w:i/>
          <w:iCs/>
          <w:noProof/>
          <w:szCs w:val="24"/>
        </w:rPr>
        <w:t>114</w:t>
      </w:r>
      <w:r w:rsidRPr="00BF1D00">
        <w:rPr>
          <w:rFonts w:ascii="Calibri" w:hAnsi="Calibri" w:cs="Times New Roman"/>
          <w:noProof/>
          <w:szCs w:val="24"/>
        </w:rPr>
        <w:t>(3), 539–576. https://doi.org/10.1037/0033-295X.114.3.539</w:t>
      </w:r>
    </w:p>
    <w:p w14:paraId="16AD75FE"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Butter, M. J., Training, D., &amp; Kaplan, G. H. D. S. (1970). DIFFERENTIAL RECALL OF PAIRED ASSOCIATES AS A FUNCTION OF AROUSAL AND CONCRETENESS-IMAGERY LEVELS 1 on memory using galvanic skin response ( GSR ) as an index of arousal . In par- ticular , Kleinsmith and Kaplan ( 1963 , 1964 ) found that PAs with low-aro, (2), 252–256.</w:t>
      </w:r>
    </w:p>
    <w:p w14:paraId="17945024"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Cahill, L., Gorski, L., &amp; Le, K. (2003). Enhanced human memory consolidation with post-learning stress: interaction with the degree of arousal at encoding. </w:t>
      </w:r>
      <w:r w:rsidRPr="00BF1D00">
        <w:rPr>
          <w:rFonts w:ascii="Calibri" w:hAnsi="Calibri" w:cs="Times New Roman"/>
          <w:i/>
          <w:iCs/>
          <w:noProof/>
          <w:szCs w:val="24"/>
        </w:rPr>
        <w:t>Learning &amp; Memory (Cold Spring Harbor, N.Y.)</w:t>
      </w:r>
      <w:r w:rsidRPr="00BF1D00">
        <w:rPr>
          <w:rFonts w:ascii="Calibri" w:hAnsi="Calibri" w:cs="Times New Roman"/>
          <w:noProof/>
          <w:szCs w:val="24"/>
        </w:rPr>
        <w:t xml:space="preserve">, </w:t>
      </w:r>
      <w:r w:rsidRPr="00BF1D00">
        <w:rPr>
          <w:rFonts w:ascii="Calibri" w:hAnsi="Calibri" w:cs="Times New Roman"/>
          <w:i/>
          <w:iCs/>
          <w:noProof/>
          <w:szCs w:val="24"/>
        </w:rPr>
        <w:t>10</w:t>
      </w:r>
      <w:r w:rsidRPr="00BF1D00">
        <w:rPr>
          <w:rFonts w:ascii="Calibri" w:hAnsi="Calibri" w:cs="Times New Roman"/>
          <w:noProof/>
          <w:szCs w:val="24"/>
        </w:rPr>
        <w:t>(4), 270–4. https://doi.org/10.1101/lm.62403</w:t>
      </w:r>
    </w:p>
    <w:p w14:paraId="2FD337C4"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Cahill, L., &amp; McGaugh, J. L. (1998). Mechanisms of emotional arousal and lasting declarative memory. </w:t>
      </w:r>
      <w:r w:rsidRPr="00BF1D00">
        <w:rPr>
          <w:rFonts w:ascii="Calibri" w:hAnsi="Calibri" w:cs="Times New Roman"/>
          <w:i/>
          <w:iCs/>
          <w:noProof/>
          <w:szCs w:val="24"/>
        </w:rPr>
        <w:t>Trends in Neurosciences</w:t>
      </w:r>
      <w:r w:rsidRPr="00BF1D00">
        <w:rPr>
          <w:rFonts w:ascii="Calibri" w:hAnsi="Calibri" w:cs="Times New Roman"/>
          <w:noProof/>
          <w:szCs w:val="24"/>
        </w:rPr>
        <w:t>. https://doi.org/10.1016/S0166-2236(97)01214-9</w:t>
      </w:r>
    </w:p>
    <w:p w14:paraId="550F2701"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Cai, D. J., Aharoni, D., Shuman, T., Shobe, J., Biane, J., Song, W., … Silva, A. J. (2016). A shared neural ensemble links distinct contextual memories encoded close in time. </w:t>
      </w:r>
      <w:r w:rsidRPr="00BF1D00">
        <w:rPr>
          <w:rFonts w:ascii="Calibri" w:hAnsi="Calibri" w:cs="Times New Roman"/>
          <w:i/>
          <w:iCs/>
          <w:noProof/>
          <w:szCs w:val="24"/>
        </w:rPr>
        <w:t>Nature 2016 534:7605</w:t>
      </w:r>
      <w:r w:rsidRPr="00BF1D00">
        <w:rPr>
          <w:rFonts w:ascii="Calibri" w:hAnsi="Calibri" w:cs="Times New Roman"/>
          <w:noProof/>
          <w:szCs w:val="24"/>
        </w:rPr>
        <w:t xml:space="preserve">, </w:t>
      </w:r>
      <w:r w:rsidRPr="00BF1D00">
        <w:rPr>
          <w:rFonts w:ascii="Calibri" w:hAnsi="Calibri" w:cs="Times New Roman"/>
          <w:i/>
          <w:iCs/>
          <w:noProof/>
          <w:szCs w:val="24"/>
        </w:rPr>
        <w:t>534</w:t>
      </w:r>
      <w:r w:rsidRPr="00BF1D00">
        <w:rPr>
          <w:rFonts w:ascii="Calibri" w:hAnsi="Calibri" w:cs="Times New Roman"/>
          <w:noProof/>
          <w:szCs w:val="24"/>
        </w:rPr>
        <w:t>(7605), 115. https://doi.org/10.1038/nature17955</w:t>
      </w:r>
    </w:p>
    <w:p w14:paraId="4158322C"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Chen, Y. Y., Lithgow, K., Hemmerich, J. A., &amp; Caplan, J. B. (2014). Is what goes in what comes out? Encoding and retrieval event-related potentials together determine memory outcome. </w:t>
      </w:r>
      <w:r w:rsidRPr="00BF1D00">
        <w:rPr>
          <w:rFonts w:ascii="Calibri" w:hAnsi="Calibri" w:cs="Times New Roman"/>
          <w:i/>
          <w:iCs/>
          <w:noProof/>
          <w:szCs w:val="24"/>
        </w:rPr>
        <w:t>Experimental Brain Research</w:t>
      </w:r>
      <w:r w:rsidRPr="00BF1D00">
        <w:rPr>
          <w:rFonts w:ascii="Calibri" w:hAnsi="Calibri" w:cs="Times New Roman"/>
          <w:noProof/>
          <w:szCs w:val="24"/>
        </w:rPr>
        <w:t xml:space="preserve">, </w:t>
      </w:r>
      <w:r w:rsidRPr="00BF1D00">
        <w:rPr>
          <w:rFonts w:ascii="Calibri" w:hAnsi="Calibri" w:cs="Times New Roman"/>
          <w:i/>
          <w:iCs/>
          <w:noProof/>
          <w:szCs w:val="24"/>
        </w:rPr>
        <w:t>232</w:t>
      </w:r>
      <w:r w:rsidRPr="00BF1D00">
        <w:rPr>
          <w:rFonts w:ascii="Calibri" w:hAnsi="Calibri" w:cs="Times New Roman"/>
          <w:noProof/>
          <w:szCs w:val="24"/>
        </w:rPr>
        <w:t>(10), 3175–3190. https://doi.org/10.1007/s00221-014-4002-1</w:t>
      </w:r>
    </w:p>
    <w:p w14:paraId="6F898F88"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Christianson, S. (1984). The relationship between induced emotional arousal and amnesia. </w:t>
      </w:r>
      <w:r w:rsidRPr="00BF1D00">
        <w:rPr>
          <w:rFonts w:ascii="Calibri" w:hAnsi="Calibri" w:cs="Times New Roman"/>
          <w:i/>
          <w:iCs/>
          <w:noProof/>
          <w:szCs w:val="24"/>
        </w:rPr>
        <w:t>Scandinavian Journal of Psychology</w:t>
      </w:r>
      <w:r w:rsidRPr="00BF1D00">
        <w:rPr>
          <w:rFonts w:ascii="Calibri" w:hAnsi="Calibri" w:cs="Times New Roman"/>
          <w:noProof/>
          <w:szCs w:val="24"/>
        </w:rPr>
        <w:t xml:space="preserve">, </w:t>
      </w:r>
      <w:r w:rsidRPr="00BF1D00">
        <w:rPr>
          <w:rFonts w:ascii="Calibri" w:hAnsi="Calibri" w:cs="Times New Roman"/>
          <w:i/>
          <w:iCs/>
          <w:noProof/>
          <w:szCs w:val="24"/>
        </w:rPr>
        <w:t>25</w:t>
      </w:r>
      <w:r w:rsidRPr="00BF1D00">
        <w:rPr>
          <w:rFonts w:ascii="Calibri" w:hAnsi="Calibri" w:cs="Times New Roman"/>
          <w:noProof/>
          <w:szCs w:val="24"/>
        </w:rPr>
        <w:t>(2), 147–160. https://doi.org/10.1111/j.1467-9450.1984.tb01007.x</w:t>
      </w:r>
    </w:p>
    <w:p w14:paraId="0B54548A"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Christianson, S., &amp; Loftus, E. F. (1987). Memory for traumatic events. </w:t>
      </w:r>
      <w:r w:rsidRPr="00BF1D00">
        <w:rPr>
          <w:rFonts w:ascii="Calibri" w:hAnsi="Calibri" w:cs="Times New Roman"/>
          <w:i/>
          <w:iCs/>
          <w:noProof/>
          <w:szCs w:val="24"/>
        </w:rPr>
        <w:t>Applied Cognitive Psychology</w:t>
      </w:r>
      <w:r w:rsidRPr="00BF1D00">
        <w:rPr>
          <w:rFonts w:ascii="Calibri" w:hAnsi="Calibri" w:cs="Times New Roman"/>
          <w:noProof/>
          <w:szCs w:val="24"/>
        </w:rPr>
        <w:t xml:space="preserve">, </w:t>
      </w:r>
      <w:r w:rsidRPr="00BF1D00">
        <w:rPr>
          <w:rFonts w:ascii="Calibri" w:hAnsi="Calibri" w:cs="Times New Roman"/>
          <w:i/>
          <w:iCs/>
          <w:noProof/>
          <w:szCs w:val="24"/>
        </w:rPr>
        <w:t>1</w:t>
      </w:r>
      <w:r w:rsidRPr="00BF1D00">
        <w:rPr>
          <w:rFonts w:ascii="Calibri" w:hAnsi="Calibri" w:cs="Times New Roman"/>
          <w:noProof/>
          <w:szCs w:val="24"/>
        </w:rPr>
        <w:t>(4), 225–239. https://doi.org/10.1002/acp.2350010402</w:t>
      </w:r>
    </w:p>
    <w:p w14:paraId="3D3BD679"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Craik, F. I. M., &amp; Blankenstein, K. R. (1975). Psychophysiology and human memory. In P. H. Venables &amp; M. J. Christie (Eds.), </w:t>
      </w:r>
      <w:r w:rsidRPr="00BF1D00">
        <w:rPr>
          <w:rFonts w:ascii="Calibri" w:hAnsi="Calibri" w:cs="Times New Roman"/>
          <w:i/>
          <w:iCs/>
          <w:noProof/>
          <w:szCs w:val="24"/>
        </w:rPr>
        <w:t>Research in Psychophysiology</w:t>
      </w:r>
      <w:r w:rsidRPr="00BF1D00">
        <w:rPr>
          <w:rFonts w:ascii="Calibri" w:hAnsi="Calibri" w:cs="Times New Roman"/>
          <w:noProof/>
          <w:szCs w:val="24"/>
        </w:rPr>
        <w:t xml:space="preserve"> (pp. 388–417). New York: Wiley.</w:t>
      </w:r>
    </w:p>
    <w:p w14:paraId="3B9FBD78"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Cushman, F., &amp; Morris, A. (2015). Habitual control of goal selection in humans. </w:t>
      </w:r>
      <w:r w:rsidRPr="00BF1D00">
        <w:rPr>
          <w:rFonts w:ascii="Calibri" w:hAnsi="Calibri" w:cs="Times New Roman"/>
          <w:i/>
          <w:iCs/>
          <w:noProof/>
          <w:szCs w:val="24"/>
        </w:rPr>
        <w:t>Proceedings of the National Academy of Sciences</w:t>
      </w:r>
      <w:r w:rsidRPr="00BF1D00">
        <w:rPr>
          <w:rFonts w:ascii="Calibri" w:hAnsi="Calibri" w:cs="Times New Roman"/>
          <w:noProof/>
          <w:szCs w:val="24"/>
        </w:rPr>
        <w:t xml:space="preserve">, </w:t>
      </w:r>
      <w:r w:rsidRPr="00BF1D00">
        <w:rPr>
          <w:rFonts w:ascii="Calibri" w:hAnsi="Calibri" w:cs="Times New Roman"/>
          <w:i/>
          <w:iCs/>
          <w:noProof/>
          <w:szCs w:val="24"/>
        </w:rPr>
        <w:t>112</w:t>
      </w:r>
      <w:r w:rsidRPr="00BF1D00">
        <w:rPr>
          <w:rFonts w:ascii="Calibri" w:hAnsi="Calibri" w:cs="Times New Roman"/>
          <w:noProof/>
          <w:szCs w:val="24"/>
        </w:rPr>
        <w:t>(45), 201506367. https://doi.org/10.1073/pnas.1506367112</w:t>
      </w:r>
    </w:p>
    <w:p w14:paraId="7A347271"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Danker, J. F., &amp; Anderson, J. R. (2010). The ghosts of brain states past: remembering reactivates the brain regions engaged during encoding. </w:t>
      </w:r>
      <w:r w:rsidRPr="00BF1D00">
        <w:rPr>
          <w:rFonts w:ascii="Calibri" w:hAnsi="Calibri" w:cs="Times New Roman"/>
          <w:i/>
          <w:iCs/>
          <w:noProof/>
          <w:szCs w:val="24"/>
        </w:rPr>
        <w:t>Psychological Bulletin</w:t>
      </w:r>
      <w:r w:rsidRPr="00BF1D00">
        <w:rPr>
          <w:rFonts w:ascii="Calibri" w:hAnsi="Calibri" w:cs="Times New Roman"/>
          <w:noProof/>
          <w:szCs w:val="24"/>
        </w:rPr>
        <w:t xml:space="preserve">, </w:t>
      </w:r>
      <w:r w:rsidRPr="00BF1D00">
        <w:rPr>
          <w:rFonts w:ascii="Calibri" w:hAnsi="Calibri" w:cs="Times New Roman"/>
          <w:i/>
          <w:iCs/>
          <w:noProof/>
          <w:szCs w:val="24"/>
        </w:rPr>
        <w:t>136</w:t>
      </w:r>
      <w:r w:rsidRPr="00BF1D00">
        <w:rPr>
          <w:rFonts w:ascii="Calibri" w:hAnsi="Calibri" w:cs="Times New Roman"/>
          <w:noProof/>
          <w:szCs w:val="24"/>
        </w:rPr>
        <w:t>(1), 87–102. https://doi.org/10.1037/a0017937</w:t>
      </w:r>
    </w:p>
    <w:p w14:paraId="49174EB0"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Davis, O. C., Geller, A. S., Rizzuto, D. S., &amp; Kahana, M. J. (2008). Temporal associative processes revealed by intrusions in paired-associate recall. </w:t>
      </w:r>
      <w:r w:rsidRPr="00BF1D00">
        <w:rPr>
          <w:rFonts w:ascii="Calibri" w:hAnsi="Calibri" w:cs="Times New Roman"/>
          <w:i/>
          <w:iCs/>
          <w:noProof/>
          <w:szCs w:val="24"/>
        </w:rPr>
        <w:t>Psychonomic Bulletin &amp; Review</w:t>
      </w:r>
      <w:r w:rsidRPr="00BF1D00">
        <w:rPr>
          <w:rFonts w:ascii="Calibri" w:hAnsi="Calibri" w:cs="Times New Roman"/>
          <w:noProof/>
          <w:szCs w:val="24"/>
        </w:rPr>
        <w:t xml:space="preserve">, </w:t>
      </w:r>
      <w:r w:rsidRPr="00BF1D00">
        <w:rPr>
          <w:rFonts w:ascii="Calibri" w:hAnsi="Calibri" w:cs="Times New Roman"/>
          <w:i/>
          <w:iCs/>
          <w:noProof/>
          <w:szCs w:val="24"/>
        </w:rPr>
        <w:t>15</w:t>
      </w:r>
      <w:r w:rsidRPr="00BF1D00">
        <w:rPr>
          <w:rFonts w:ascii="Calibri" w:hAnsi="Calibri" w:cs="Times New Roman"/>
          <w:noProof/>
          <w:szCs w:val="24"/>
        </w:rPr>
        <w:t>(1), 64–9. https://doi.org/10.3758/PBR.15.1.64</w:t>
      </w:r>
    </w:p>
    <w:p w14:paraId="1E329686"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Dayan, P., Kakade, S., &amp; Montague, P. R. (2000). Learning and selective attention. </w:t>
      </w:r>
      <w:r w:rsidRPr="00BF1D00">
        <w:rPr>
          <w:rFonts w:ascii="Calibri" w:hAnsi="Calibri" w:cs="Times New Roman"/>
          <w:i/>
          <w:iCs/>
          <w:noProof/>
          <w:szCs w:val="24"/>
        </w:rPr>
        <w:t>Nature Neuroscience</w:t>
      </w:r>
      <w:r w:rsidRPr="00BF1D00">
        <w:rPr>
          <w:rFonts w:ascii="Calibri" w:hAnsi="Calibri" w:cs="Times New Roman"/>
          <w:noProof/>
          <w:szCs w:val="24"/>
        </w:rPr>
        <w:t xml:space="preserve">, </w:t>
      </w:r>
      <w:r w:rsidRPr="00BF1D00">
        <w:rPr>
          <w:rFonts w:ascii="Calibri" w:hAnsi="Calibri" w:cs="Times New Roman"/>
          <w:i/>
          <w:iCs/>
          <w:noProof/>
          <w:szCs w:val="24"/>
        </w:rPr>
        <w:t>3 Suppl</w:t>
      </w:r>
      <w:r w:rsidRPr="00BF1D00">
        <w:rPr>
          <w:rFonts w:ascii="Calibri" w:hAnsi="Calibri" w:cs="Times New Roman"/>
          <w:noProof/>
          <w:szCs w:val="24"/>
        </w:rPr>
        <w:t>(Supp), 1218–1223. https://doi.org/10.1038/81504</w:t>
      </w:r>
    </w:p>
    <w:p w14:paraId="15C54B54"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Deco, G., &amp; Kringelbach, M. L. (2017). Hierarchy of Information Processing in the Brain: A Novel ‘Intrinsic Ignition’ Framework. </w:t>
      </w:r>
      <w:r w:rsidRPr="00BF1D00">
        <w:rPr>
          <w:rFonts w:ascii="Calibri" w:hAnsi="Calibri" w:cs="Times New Roman"/>
          <w:i/>
          <w:iCs/>
          <w:noProof/>
          <w:szCs w:val="24"/>
        </w:rPr>
        <w:t>Neuron</w:t>
      </w:r>
      <w:r w:rsidRPr="00BF1D00">
        <w:rPr>
          <w:rFonts w:ascii="Calibri" w:hAnsi="Calibri" w:cs="Times New Roman"/>
          <w:noProof/>
          <w:szCs w:val="24"/>
        </w:rPr>
        <w:t xml:space="preserve">, </w:t>
      </w:r>
      <w:r w:rsidRPr="00BF1D00">
        <w:rPr>
          <w:rFonts w:ascii="Calibri" w:hAnsi="Calibri" w:cs="Times New Roman"/>
          <w:i/>
          <w:iCs/>
          <w:noProof/>
          <w:szCs w:val="24"/>
        </w:rPr>
        <w:t>94</w:t>
      </w:r>
      <w:r w:rsidRPr="00BF1D00">
        <w:rPr>
          <w:rFonts w:ascii="Calibri" w:hAnsi="Calibri" w:cs="Times New Roman"/>
          <w:noProof/>
          <w:szCs w:val="24"/>
        </w:rPr>
        <w:t>(5), 961–968. https://doi.org/10.1016/j.neuron.2017.03.028</w:t>
      </w:r>
    </w:p>
    <w:p w14:paraId="4CE79547"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Detterman, D. K., &amp; Ellis, N. R. (1972). Determinants of induced amnesia in short-term memory. </w:t>
      </w:r>
      <w:r w:rsidRPr="00BF1D00">
        <w:rPr>
          <w:rFonts w:ascii="Calibri" w:hAnsi="Calibri" w:cs="Times New Roman"/>
          <w:i/>
          <w:iCs/>
          <w:noProof/>
          <w:szCs w:val="24"/>
        </w:rPr>
        <w:t>Journal of Experimental Psychology</w:t>
      </w:r>
      <w:r w:rsidRPr="00BF1D00">
        <w:rPr>
          <w:rFonts w:ascii="Calibri" w:hAnsi="Calibri" w:cs="Times New Roman"/>
          <w:noProof/>
          <w:szCs w:val="24"/>
        </w:rPr>
        <w:t xml:space="preserve">, </w:t>
      </w:r>
      <w:r w:rsidRPr="00BF1D00">
        <w:rPr>
          <w:rFonts w:ascii="Calibri" w:hAnsi="Calibri" w:cs="Times New Roman"/>
          <w:i/>
          <w:iCs/>
          <w:noProof/>
          <w:szCs w:val="24"/>
        </w:rPr>
        <w:t>Vol. 95</w:t>
      </w:r>
      <w:r w:rsidRPr="00BF1D00">
        <w:rPr>
          <w:rFonts w:ascii="Calibri" w:hAnsi="Calibri" w:cs="Times New Roman"/>
          <w:noProof/>
          <w:szCs w:val="24"/>
        </w:rPr>
        <w:t>(2), 308–316. https://doi.org/10.1037/h0033629</w:t>
      </w:r>
    </w:p>
    <w:p w14:paraId="6B56B4BC"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Dewhurst, S. A., &amp; Parry, L. A. (2000). Emotionality, distinctiveness, and recollective experience. </w:t>
      </w:r>
      <w:r w:rsidRPr="00BF1D00">
        <w:rPr>
          <w:rFonts w:ascii="Calibri" w:hAnsi="Calibri" w:cs="Times New Roman"/>
          <w:i/>
          <w:iCs/>
          <w:noProof/>
          <w:szCs w:val="24"/>
        </w:rPr>
        <w:t>European Journal of Cognitive Psychology</w:t>
      </w:r>
      <w:r w:rsidRPr="00BF1D00">
        <w:rPr>
          <w:rFonts w:ascii="Calibri" w:hAnsi="Calibri" w:cs="Times New Roman"/>
          <w:noProof/>
          <w:szCs w:val="24"/>
        </w:rPr>
        <w:t xml:space="preserve">, </w:t>
      </w:r>
      <w:r w:rsidRPr="00BF1D00">
        <w:rPr>
          <w:rFonts w:ascii="Calibri" w:hAnsi="Calibri" w:cs="Times New Roman"/>
          <w:i/>
          <w:iCs/>
          <w:noProof/>
          <w:szCs w:val="24"/>
        </w:rPr>
        <w:t>12</w:t>
      </w:r>
      <w:r w:rsidRPr="00BF1D00">
        <w:rPr>
          <w:rFonts w:ascii="Calibri" w:hAnsi="Calibri" w:cs="Times New Roman"/>
          <w:noProof/>
          <w:szCs w:val="24"/>
        </w:rPr>
        <w:t>(4), 541–551. https://doi.org/10.1080/095414400750050222</w:t>
      </w:r>
    </w:p>
    <w:p w14:paraId="7860785F"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Dickerson, S. S., &amp; Kemeny, M. E. (2004). Acute Stressors and Cortisol Responses: A Theoretical Integration and Synthesis of Laboratory Research. </w:t>
      </w:r>
      <w:r w:rsidRPr="00BF1D00">
        <w:rPr>
          <w:rFonts w:ascii="Calibri" w:hAnsi="Calibri" w:cs="Times New Roman"/>
          <w:i/>
          <w:iCs/>
          <w:noProof/>
          <w:szCs w:val="24"/>
        </w:rPr>
        <w:t>Psychological Bulletin</w:t>
      </w:r>
      <w:r w:rsidRPr="00BF1D00">
        <w:rPr>
          <w:rFonts w:ascii="Calibri" w:hAnsi="Calibri" w:cs="Times New Roman"/>
          <w:noProof/>
          <w:szCs w:val="24"/>
        </w:rPr>
        <w:t xml:space="preserve">, </w:t>
      </w:r>
      <w:r w:rsidRPr="00BF1D00">
        <w:rPr>
          <w:rFonts w:ascii="Calibri" w:hAnsi="Calibri" w:cs="Times New Roman"/>
          <w:i/>
          <w:iCs/>
          <w:noProof/>
          <w:szCs w:val="24"/>
        </w:rPr>
        <w:t>130</w:t>
      </w:r>
      <w:r w:rsidRPr="00BF1D00">
        <w:rPr>
          <w:rFonts w:ascii="Calibri" w:hAnsi="Calibri" w:cs="Times New Roman"/>
          <w:noProof/>
          <w:szCs w:val="24"/>
        </w:rPr>
        <w:t>(3), 355–391. https://doi.org/10.1037/0033-2909.130.3.355</w:t>
      </w:r>
    </w:p>
    <w:p w14:paraId="27F6B9E4"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Dolcos, F., LaBar, K. S., &amp; Cabeza, R. (2004). Interaction between the amygdala and the medial temporal lobe memory system predicts better memory for emotional events. </w:t>
      </w:r>
      <w:r w:rsidRPr="00BF1D00">
        <w:rPr>
          <w:rFonts w:ascii="Calibri" w:hAnsi="Calibri" w:cs="Times New Roman"/>
          <w:i/>
          <w:iCs/>
          <w:noProof/>
          <w:szCs w:val="24"/>
        </w:rPr>
        <w:t>Neuron</w:t>
      </w:r>
      <w:r w:rsidRPr="00BF1D00">
        <w:rPr>
          <w:rFonts w:ascii="Calibri" w:hAnsi="Calibri" w:cs="Times New Roman"/>
          <w:noProof/>
          <w:szCs w:val="24"/>
        </w:rPr>
        <w:t xml:space="preserve">, </w:t>
      </w:r>
      <w:r w:rsidRPr="00BF1D00">
        <w:rPr>
          <w:rFonts w:ascii="Calibri" w:hAnsi="Calibri" w:cs="Times New Roman"/>
          <w:i/>
          <w:iCs/>
          <w:noProof/>
          <w:szCs w:val="24"/>
        </w:rPr>
        <w:t>42</w:t>
      </w:r>
      <w:r w:rsidRPr="00BF1D00">
        <w:rPr>
          <w:rFonts w:ascii="Calibri" w:hAnsi="Calibri" w:cs="Times New Roman"/>
          <w:noProof/>
          <w:szCs w:val="24"/>
        </w:rPr>
        <w:t>(5), 855–863. https://doi.org/10.1016/S0896-6273(04)00289-2</w:t>
      </w:r>
    </w:p>
    <w:p w14:paraId="3F463087"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Dougal, S., &amp; Rotello, C. M. (2007). “Remembering” emotional words is based on response bias, not recollection. </w:t>
      </w:r>
      <w:r w:rsidRPr="00BF1D00">
        <w:rPr>
          <w:rFonts w:ascii="Calibri" w:hAnsi="Calibri" w:cs="Times New Roman"/>
          <w:i/>
          <w:iCs/>
          <w:noProof/>
          <w:szCs w:val="24"/>
        </w:rPr>
        <w:t>Psychonomic Bulletin &amp; Review</w:t>
      </w:r>
      <w:r w:rsidRPr="00BF1D00">
        <w:rPr>
          <w:rFonts w:ascii="Calibri" w:hAnsi="Calibri" w:cs="Times New Roman"/>
          <w:noProof/>
          <w:szCs w:val="24"/>
        </w:rPr>
        <w:t xml:space="preserve">, </w:t>
      </w:r>
      <w:r w:rsidRPr="00BF1D00">
        <w:rPr>
          <w:rFonts w:ascii="Calibri" w:hAnsi="Calibri" w:cs="Times New Roman"/>
          <w:i/>
          <w:iCs/>
          <w:noProof/>
          <w:szCs w:val="24"/>
        </w:rPr>
        <w:t>14</w:t>
      </w:r>
      <w:r w:rsidRPr="00BF1D00">
        <w:rPr>
          <w:rFonts w:ascii="Calibri" w:hAnsi="Calibri" w:cs="Times New Roman"/>
          <w:noProof/>
          <w:szCs w:val="24"/>
        </w:rPr>
        <w:t>(3), 423–429. https://doi.org/10.3758/BF03194083</w:t>
      </w:r>
    </w:p>
    <w:p w14:paraId="02C07693"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DuBrow, S., Rouhani, N., Niv, Y., &amp; Norman, K. A. (2017). Does mental context drift or shift? </w:t>
      </w:r>
      <w:r w:rsidRPr="00BF1D00">
        <w:rPr>
          <w:rFonts w:ascii="Calibri" w:hAnsi="Calibri" w:cs="Times New Roman"/>
          <w:i/>
          <w:iCs/>
          <w:noProof/>
          <w:szCs w:val="24"/>
        </w:rPr>
        <w:t>Current Opinion in Behavioral Sciences</w:t>
      </w:r>
      <w:r w:rsidRPr="00BF1D00">
        <w:rPr>
          <w:rFonts w:ascii="Calibri" w:hAnsi="Calibri" w:cs="Times New Roman"/>
          <w:noProof/>
          <w:szCs w:val="24"/>
        </w:rPr>
        <w:t xml:space="preserve">, </w:t>
      </w:r>
      <w:r w:rsidRPr="00BF1D00">
        <w:rPr>
          <w:rFonts w:ascii="Calibri" w:hAnsi="Calibri" w:cs="Times New Roman"/>
          <w:i/>
          <w:iCs/>
          <w:noProof/>
          <w:szCs w:val="24"/>
        </w:rPr>
        <w:t>17</w:t>
      </w:r>
      <w:r w:rsidRPr="00BF1D00">
        <w:rPr>
          <w:rFonts w:ascii="Calibri" w:hAnsi="Calibri" w:cs="Times New Roman"/>
          <w:noProof/>
          <w:szCs w:val="24"/>
        </w:rPr>
        <w:t>, 141–146. Retrieved from http://www.ncbi.nlm.nih.gov/pubmed/29335678</w:t>
      </w:r>
    </w:p>
    <w:p w14:paraId="2C919C7A"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Dunsmoor, J. E., Murty, V. P., Davachi, L., &amp; Phelps, E. A. (2015). Emotional learning selectively and retroactively strengthens memories for related events. </w:t>
      </w:r>
      <w:r w:rsidRPr="00BF1D00">
        <w:rPr>
          <w:rFonts w:ascii="Calibri" w:hAnsi="Calibri" w:cs="Times New Roman"/>
          <w:i/>
          <w:iCs/>
          <w:noProof/>
          <w:szCs w:val="24"/>
        </w:rPr>
        <w:t>Nature</w:t>
      </w:r>
      <w:r w:rsidRPr="00BF1D00">
        <w:rPr>
          <w:rFonts w:ascii="Calibri" w:hAnsi="Calibri" w:cs="Times New Roman"/>
          <w:noProof/>
          <w:szCs w:val="24"/>
        </w:rPr>
        <w:t xml:space="preserve">, </w:t>
      </w:r>
      <w:r w:rsidRPr="00BF1D00">
        <w:rPr>
          <w:rFonts w:ascii="Calibri" w:hAnsi="Calibri" w:cs="Times New Roman"/>
          <w:i/>
          <w:iCs/>
          <w:noProof/>
          <w:szCs w:val="24"/>
        </w:rPr>
        <w:t>520</w:t>
      </w:r>
      <w:r w:rsidRPr="00BF1D00">
        <w:rPr>
          <w:rFonts w:ascii="Calibri" w:hAnsi="Calibri" w:cs="Times New Roman"/>
          <w:noProof/>
          <w:szCs w:val="24"/>
        </w:rPr>
        <w:t>(7547), 345–8. https://doi.org/10.1038/nature14106</w:t>
      </w:r>
    </w:p>
    <w:p w14:paraId="692CBB34"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Eldar, E., Cohen, J. D., Niv, Y., Eldar, E., Niv, Y., &amp; Cohen, J. D. (2016). Amplified selectivity in cognitive processing implements the neural gain model of norepinephrine function. </w:t>
      </w:r>
      <w:r w:rsidRPr="00BF1D00">
        <w:rPr>
          <w:rFonts w:ascii="Calibri" w:hAnsi="Calibri" w:cs="Times New Roman"/>
          <w:i/>
          <w:iCs/>
          <w:noProof/>
          <w:szCs w:val="24"/>
        </w:rPr>
        <w:t>Behavioral and Brain Sciences</w:t>
      </w:r>
      <w:r w:rsidRPr="00BF1D00">
        <w:rPr>
          <w:rFonts w:ascii="Calibri" w:hAnsi="Calibri" w:cs="Times New Roman"/>
          <w:noProof/>
          <w:szCs w:val="24"/>
        </w:rPr>
        <w:t xml:space="preserve">, </w:t>
      </w:r>
      <w:r w:rsidRPr="00BF1D00">
        <w:rPr>
          <w:rFonts w:ascii="Calibri" w:hAnsi="Calibri" w:cs="Times New Roman"/>
          <w:i/>
          <w:iCs/>
          <w:noProof/>
          <w:szCs w:val="24"/>
        </w:rPr>
        <w:t>39</w:t>
      </w:r>
      <w:r w:rsidRPr="00BF1D00">
        <w:rPr>
          <w:rFonts w:ascii="Calibri" w:hAnsi="Calibri" w:cs="Times New Roman"/>
          <w:noProof/>
          <w:szCs w:val="24"/>
        </w:rPr>
        <w:t>(12), e206. https://doi.org/10.1017/S0140525X15001776</w:t>
      </w:r>
    </w:p>
    <w:p w14:paraId="7416A449"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Elhalal, A., Davelaar, E. J., &amp; Usher, M. (2014). The role of the frontal cortex in memory: an investigation of the Von Restorff effect. </w:t>
      </w:r>
      <w:r w:rsidRPr="00BF1D00">
        <w:rPr>
          <w:rFonts w:ascii="Calibri" w:hAnsi="Calibri" w:cs="Times New Roman"/>
          <w:i/>
          <w:iCs/>
          <w:noProof/>
          <w:szCs w:val="24"/>
        </w:rPr>
        <w:t>Frontiers in Human Neuroscience</w:t>
      </w:r>
      <w:r w:rsidRPr="00BF1D00">
        <w:rPr>
          <w:rFonts w:ascii="Calibri" w:hAnsi="Calibri" w:cs="Times New Roman"/>
          <w:noProof/>
          <w:szCs w:val="24"/>
        </w:rPr>
        <w:t xml:space="preserve">, </w:t>
      </w:r>
      <w:r w:rsidRPr="00BF1D00">
        <w:rPr>
          <w:rFonts w:ascii="Calibri" w:hAnsi="Calibri" w:cs="Times New Roman"/>
          <w:i/>
          <w:iCs/>
          <w:noProof/>
          <w:szCs w:val="24"/>
        </w:rPr>
        <w:t>8</w:t>
      </w:r>
      <w:r w:rsidRPr="00BF1D00">
        <w:rPr>
          <w:rFonts w:ascii="Calibri" w:hAnsi="Calibri" w:cs="Times New Roman"/>
          <w:noProof/>
          <w:szCs w:val="24"/>
        </w:rPr>
        <w:t>, 410. https://doi.org/10.3389/fnhum.2014.00410</w:t>
      </w:r>
    </w:p>
    <w:p w14:paraId="23A98207"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Ellenbogen, J. M., Hu, P. T., Payne, J. D., Titone, D., &amp; Walker, M. P. (2007). Human relational memory requires time and sleep. </w:t>
      </w:r>
      <w:r w:rsidRPr="00BF1D00">
        <w:rPr>
          <w:rFonts w:ascii="Calibri" w:hAnsi="Calibri" w:cs="Times New Roman"/>
          <w:i/>
          <w:iCs/>
          <w:noProof/>
          <w:szCs w:val="24"/>
        </w:rPr>
        <w:t>Proceedings of the National Academy of Sciences of the United States of America</w:t>
      </w:r>
      <w:r w:rsidRPr="00BF1D00">
        <w:rPr>
          <w:rFonts w:ascii="Calibri" w:hAnsi="Calibri" w:cs="Times New Roman"/>
          <w:noProof/>
          <w:szCs w:val="24"/>
        </w:rPr>
        <w:t xml:space="preserve">, </w:t>
      </w:r>
      <w:r w:rsidRPr="00BF1D00">
        <w:rPr>
          <w:rFonts w:ascii="Calibri" w:hAnsi="Calibri" w:cs="Times New Roman"/>
          <w:i/>
          <w:iCs/>
          <w:noProof/>
          <w:szCs w:val="24"/>
        </w:rPr>
        <w:t>104</w:t>
      </w:r>
      <w:r w:rsidRPr="00BF1D00">
        <w:rPr>
          <w:rFonts w:ascii="Calibri" w:hAnsi="Calibri" w:cs="Times New Roman"/>
          <w:noProof/>
          <w:szCs w:val="24"/>
        </w:rPr>
        <w:t>(18), 7723–8. https://doi.org/10.1073/pnas.0700094104</w:t>
      </w:r>
    </w:p>
    <w:p w14:paraId="38EE039C"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Ellis, N., Detterman, D., Runcie, D., McCarver, R., &amp; Craig, E. (1971). Amnesic effects in short-term memory. </w:t>
      </w:r>
      <w:r w:rsidRPr="00BF1D00">
        <w:rPr>
          <w:rFonts w:ascii="Calibri" w:hAnsi="Calibri" w:cs="Times New Roman"/>
          <w:i/>
          <w:iCs/>
          <w:noProof/>
          <w:szCs w:val="24"/>
        </w:rPr>
        <w:t>Journal of Experimental Psychology</w:t>
      </w:r>
      <w:r w:rsidRPr="00BF1D00">
        <w:rPr>
          <w:rFonts w:ascii="Calibri" w:hAnsi="Calibri" w:cs="Times New Roman"/>
          <w:noProof/>
          <w:szCs w:val="24"/>
        </w:rPr>
        <w:t xml:space="preserve">, </w:t>
      </w:r>
      <w:r w:rsidRPr="00BF1D00">
        <w:rPr>
          <w:rFonts w:ascii="Calibri" w:hAnsi="Calibri" w:cs="Times New Roman"/>
          <w:i/>
          <w:iCs/>
          <w:noProof/>
          <w:szCs w:val="24"/>
        </w:rPr>
        <w:t>89</w:t>
      </w:r>
      <w:r w:rsidRPr="00BF1D00">
        <w:rPr>
          <w:rFonts w:ascii="Calibri" w:hAnsi="Calibri" w:cs="Times New Roman"/>
          <w:noProof/>
          <w:szCs w:val="24"/>
        </w:rPr>
        <w:t>(2), 357–61.</w:t>
      </w:r>
    </w:p>
    <w:p w14:paraId="1E0D52F0"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Estes, W. K. (1955). Statistical theory of distributional phenomena in learning. </w:t>
      </w:r>
      <w:r w:rsidRPr="00BF1D00">
        <w:rPr>
          <w:rFonts w:ascii="Calibri" w:hAnsi="Calibri" w:cs="Times New Roman"/>
          <w:i/>
          <w:iCs/>
          <w:noProof/>
          <w:szCs w:val="24"/>
        </w:rPr>
        <w:t>Psychological Review</w:t>
      </w:r>
      <w:r w:rsidRPr="00BF1D00">
        <w:rPr>
          <w:rFonts w:ascii="Calibri" w:hAnsi="Calibri" w:cs="Times New Roman"/>
          <w:noProof/>
          <w:szCs w:val="24"/>
        </w:rPr>
        <w:t xml:space="preserve">, </w:t>
      </w:r>
      <w:r w:rsidRPr="00BF1D00">
        <w:rPr>
          <w:rFonts w:ascii="Calibri" w:hAnsi="Calibri" w:cs="Times New Roman"/>
          <w:i/>
          <w:iCs/>
          <w:noProof/>
          <w:szCs w:val="24"/>
        </w:rPr>
        <w:t>62</w:t>
      </w:r>
      <w:r w:rsidRPr="00BF1D00">
        <w:rPr>
          <w:rFonts w:ascii="Calibri" w:hAnsi="Calibri" w:cs="Times New Roman"/>
          <w:noProof/>
          <w:szCs w:val="24"/>
        </w:rPr>
        <w:t>(5), 369–377. https://doi.org/10.1037/h0046888</w:t>
      </w:r>
    </w:p>
    <w:p w14:paraId="00337DCF"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Faber, M., &amp; Gennari, S. P. (2015). In search of lost time: reconstructing the unfolding of events from memory. </w:t>
      </w:r>
      <w:r w:rsidRPr="00BF1D00">
        <w:rPr>
          <w:rFonts w:ascii="Calibri" w:hAnsi="Calibri" w:cs="Times New Roman"/>
          <w:i/>
          <w:iCs/>
          <w:noProof/>
          <w:szCs w:val="24"/>
        </w:rPr>
        <w:t>Cognition</w:t>
      </w:r>
      <w:r w:rsidRPr="00BF1D00">
        <w:rPr>
          <w:rFonts w:ascii="Calibri" w:hAnsi="Calibri" w:cs="Times New Roman"/>
          <w:noProof/>
          <w:szCs w:val="24"/>
        </w:rPr>
        <w:t xml:space="preserve">, </w:t>
      </w:r>
      <w:r w:rsidRPr="00BF1D00">
        <w:rPr>
          <w:rFonts w:ascii="Calibri" w:hAnsi="Calibri" w:cs="Times New Roman"/>
          <w:i/>
          <w:iCs/>
          <w:noProof/>
          <w:szCs w:val="24"/>
        </w:rPr>
        <w:t>143</w:t>
      </w:r>
      <w:r w:rsidRPr="00BF1D00">
        <w:rPr>
          <w:rFonts w:ascii="Calibri" w:hAnsi="Calibri" w:cs="Times New Roman"/>
          <w:noProof/>
          <w:szCs w:val="24"/>
        </w:rPr>
        <w:t>, 193–202. Retrieved from 10.1016/j.cognition.2015.06.014</w:t>
      </w:r>
    </w:p>
    <w:p w14:paraId="526E1FA7"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Farley, F. H. (1973). Memory storage in free recall learning as a function of arousal and time with homogeneous and heterogeneous lists. </w:t>
      </w:r>
      <w:r w:rsidRPr="00BF1D00">
        <w:rPr>
          <w:rFonts w:ascii="Calibri" w:hAnsi="Calibri" w:cs="Times New Roman"/>
          <w:i/>
          <w:iCs/>
          <w:noProof/>
          <w:szCs w:val="24"/>
        </w:rPr>
        <w:t>Bulletin of the Psychonomic Society</w:t>
      </w:r>
      <w:r w:rsidRPr="00BF1D00">
        <w:rPr>
          <w:rFonts w:ascii="Calibri" w:hAnsi="Calibri" w:cs="Times New Roman"/>
          <w:noProof/>
          <w:szCs w:val="24"/>
        </w:rPr>
        <w:t xml:space="preserve">, </w:t>
      </w:r>
      <w:r w:rsidRPr="00BF1D00">
        <w:rPr>
          <w:rFonts w:ascii="Calibri" w:hAnsi="Calibri" w:cs="Times New Roman"/>
          <w:i/>
          <w:iCs/>
          <w:noProof/>
          <w:szCs w:val="24"/>
        </w:rPr>
        <w:t>1</w:t>
      </w:r>
      <w:r w:rsidRPr="00BF1D00">
        <w:rPr>
          <w:rFonts w:ascii="Calibri" w:hAnsi="Calibri" w:cs="Times New Roman"/>
          <w:noProof/>
          <w:szCs w:val="24"/>
        </w:rPr>
        <w:t>(3), 187–189. https://doi.org/10.3758/BF03334336</w:t>
      </w:r>
    </w:p>
    <w:p w14:paraId="65C11F03"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Feldman Barrett, L. (2016). The theory of constructed emotion: an active inference account of interoception and categorization. </w:t>
      </w:r>
      <w:r w:rsidRPr="00BF1D00">
        <w:rPr>
          <w:rFonts w:ascii="Calibri" w:hAnsi="Calibri" w:cs="Times New Roman"/>
          <w:i/>
          <w:iCs/>
          <w:noProof/>
          <w:szCs w:val="24"/>
        </w:rPr>
        <w:t>Social Cognitive and Affective Neuroscience</w:t>
      </w:r>
      <w:r w:rsidRPr="00BF1D00">
        <w:rPr>
          <w:rFonts w:ascii="Calibri" w:hAnsi="Calibri" w:cs="Times New Roman"/>
          <w:noProof/>
          <w:szCs w:val="24"/>
        </w:rPr>
        <w:t>, 1–23. https://doi.org/10.1093/scan/nsw154</w:t>
      </w:r>
    </w:p>
    <w:p w14:paraId="3CCF9A0B"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Gershman, S. J., &amp; Daw, N. D. (2017). Reinforcement Learning and Episodic Memory in Humans and Animals : An Integrative Framework, </w:t>
      </w:r>
      <w:r w:rsidRPr="00BF1D00">
        <w:rPr>
          <w:rFonts w:ascii="Calibri" w:hAnsi="Calibri" w:cs="Times New Roman"/>
          <w:i/>
          <w:iCs/>
          <w:noProof/>
          <w:szCs w:val="24"/>
        </w:rPr>
        <w:t>68</w:t>
      </w:r>
      <w:r w:rsidRPr="00BF1D00">
        <w:rPr>
          <w:rFonts w:ascii="Calibri" w:hAnsi="Calibri" w:cs="Times New Roman"/>
          <w:noProof/>
          <w:szCs w:val="24"/>
        </w:rPr>
        <w:t>(5), 101–128. https://doi.org/10.1146/annurev-psych-122414-033625</w:t>
      </w:r>
    </w:p>
    <w:p w14:paraId="03557DAE"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Gershman, S. J., Moore, C. D., Todd, M. T., Norman, K. A. ., &amp; Sederberg, P. B. (2012). The Successor Representation and Temporal Context. </w:t>
      </w:r>
      <w:r w:rsidRPr="00BF1D00">
        <w:rPr>
          <w:rFonts w:ascii="Calibri" w:hAnsi="Calibri" w:cs="Times New Roman"/>
          <w:i/>
          <w:iCs/>
          <w:noProof/>
          <w:szCs w:val="24"/>
        </w:rPr>
        <w:t>Neural Computation</w:t>
      </w:r>
      <w:r w:rsidRPr="00BF1D00">
        <w:rPr>
          <w:rFonts w:ascii="Calibri" w:hAnsi="Calibri" w:cs="Times New Roman"/>
          <w:noProof/>
          <w:szCs w:val="24"/>
        </w:rPr>
        <w:t xml:space="preserve">, </w:t>
      </w:r>
      <w:r w:rsidRPr="00BF1D00">
        <w:rPr>
          <w:rFonts w:ascii="Calibri" w:hAnsi="Calibri" w:cs="Times New Roman"/>
          <w:i/>
          <w:iCs/>
          <w:noProof/>
          <w:szCs w:val="24"/>
        </w:rPr>
        <w:t>24</w:t>
      </w:r>
      <w:r w:rsidRPr="00BF1D00">
        <w:rPr>
          <w:rFonts w:ascii="Calibri" w:hAnsi="Calibri" w:cs="Times New Roman"/>
          <w:noProof/>
          <w:szCs w:val="24"/>
        </w:rPr>
        <w:t>(6), 1553–1568. https://doi.org/10.1162/NECO_a_00282</w:t>
      </w:r>
    </w:p>
    <w:p w14:paraId="01C31BFC"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Glenberg, A. M., &amp; Swanson, N. G. (1986). A temporal distinctiveness theory of recency and modality effects. </w:t>
      </w:r>
      <w:r w:rsidRPr="00BF1D00">
        <w:rPr>
          <w:rFonts w:ascii="Calibri" w:hAnsi="Calibri" w:cs="Times New Roman"/>
          <w:i/>
          <w:iCs/>
          <w:noProof/>
          <w:szCs w:val="24"/>
        </w:rPr>
        <w:t>Journal of Experimental Psychology: Learning, Memory, and Cognition</w:t>
      </w:r>
      <w:r w:rsidRPr="00BF1D00">
        <w:rPr>
          <w:rFonts w:ascii="Calibri" w:hAnsi="Calibri" w:cs="Times New Roman"/>
          <w:noProof/>
          <w:szCs w:val="24"/>
        </w:rPr>
        <w:t xml:space="preserve">, </w:t>
      </w:r>
      <w:r w:rsidRPr="00BF1D00">
        <w:rPr>
          <w:rFonts w:ascii="Calibri" w:hAnsi="Calibri" w:cs="Times New Roman"/>
          <w:i/>
          <w:iCs/>
          <w:noProof/>
          <w:szCs w:val="24"/>
        </w:rPr>
        <w:t>12</w:t>
      </w:r>
      <w:r w:rsidRPr="00BF1D00">
        <w:rPr>
          <w:rFonts w:ascii="Calibri" w:hAnsi="Calibri" w:cs="Times New Roman"/>
          <w:noProof/>
          <w:szCs w:val="24"/>
        </w:rPr>
        <w:t>(1), 3–15. https://doi.org/10.1037/0278-7393.12.1.3</w:t>
      </w:r>
    </w:p>
    <w:p w14:paraId="3515469F"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Golomb, J., Turk-Browne, N. B., &amp; Chun, M. (2010). A Taxonomy of External and Internal Attention. </w:t>
      </w:r>
      <w:r w:rsidRPr="00BF1D00">
        <w:rPr>
          <w:rFonts w:ascii="Calibri" w:hAnsi="Calibri" w:cs="Times New Roman"/>
          <w:i/>
          <w:iCs/>
          <w:noProof/>
          <w:szCs w:val="24"/>
        </w:rPr>
        <w:t>Dx.Doi.Org.Proxy.Lib.Ohio-State.Edu</w:t>
      </w:r>
      <w:r w:rsidRPr="00BF1D00">
        <w:rPr>
          <w:rFonts w:ascii="Calibri" w:hAnsi="Calibri" w:cs="Times New Roman"/>
          <w:noProof/>
          <w:szCs w:val="24"/>
        </w:rPr>
        <w:t xml:space="preserve">, </w:t>
      </w:r>
      <w:r w:rsidRPr="00BF1D00">
        <w:rPr>
          <w:rFonts w:ascii="Calibri" w:hAnsi="Calibri" w:cs="Times New Roman"/>
          <w:i/>
          <w:iCs/>
          <w:noProof/>
          <w:szCs w:val="24"/>
        </w:rPr>
        <w:t>62</w:t>
      </w:r>
      <w:r w:rsidRPr="00BF1D00">
        <w:rPr>
          <w:rFonts w:ascii="Calibri" w:hAnsi="Calibri" w:cs="Times New Roman"/>
          <w:noProof/>
          <w:szCs w:val="24"/>
        </w:rPr>
        <w:t>(1), 73–101. https://doi.org/10.1146/annurev.psych.093008.100427</w:t>
      </w:r>
    </w:p>
    <w:p w14:paraId="0C4324D3"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Graf, P., &amp; Ryan, L. (1990). Transfer-appropriate processing for implicit and explicit memory. 1990. </w:t>
      </w:r>
      <w:r w:rsidRPr="00BF1D00">
        <w:rPr>
          <w:rFonts w:ascii="Calibri" w:hAnsi="Calibri" w:cs="Times New Roman"/>
          <w:i/>
          <w:iCs/>
          <w:noProof/>
          <w:szCs w:val="24"/>
        </w:rPr>
        <w:t>Journal of Experimental Psychology: Learning, Memory, and Cognition</w:t>
      </w:r>
      <w:r w:rsidRPr="00BF1D00">
        <w:rPr>
          <w:rFonts w:ascii="Calibri" w:hAnsi="Calibri" w:cs="Times New Roman"/>
          <w:noProof/>
          <w:szCs w:val="24"/>
        </w:rPr>
        <w:t xml:space="preserve">, </w:t>
      </w:r>
      <w:r w:rsidRPr="00BF1D00">
        <w:rPr>
          <w:rFonts w:ascii="Calibri" w:hAnsi="Calibri" w:cs="Times New Roman"/>
          <w:i/>
          <w:iCs/>
          <w:noProof/>
          <w:szCs w:val="24"/>
        </w:rPr>
        <w:t>16</w:t>
      </w:r>
      <w:r w:rsidRPr="00BF1D00">
        <w:rPr>
          <w:rFonts w:ascii="Calibri" w:hAnsi="Calibri" w:cs="Times New Roman"/>
          <w:noProof/>
          <w:szCs w:val="24"/>
        </w:rPr>
        <w:t>(6), 978–992. https://doi.org/10.1037//0278-7393.16.6.978</w:t>
      </w:r>
    </w:p>
    <w:p w14:paraId="06E85BB8"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Hadley, C. B., &amp; MacKay, D. G. (2006). Does emotion help or hinder immediate memory? Arousal versus priority-binding mechanisms. </w:t>
      </w:r>
      <w:r w:rsidRPr="00BF1D00">
        <w:rPr>
          <w:rFonts w:ascii="Calibri" w:hAnsi="Calibri" w:cs="Times New Roman"/>
          <w:i/>
          <w:iCs/>
          <w:noProof/>
          <w:szCs w:val="24"/>
        </w:rPr>
        <w:t>Journal of Experimental Psychology: Learning, Memory, and Cognition</w:t>
      </w:r>
      <w:r w:rsidRPr="00BF1D00">
        <w:rPr>
          <w:rFonts w:ascii="Calibri" w:hAnsi="Calibri" w:cs="Times New Roman"/>
          <w:noProof/>
          <w:szCs w:val="24"/>
        </w:rPr>
        <w:t xml:space="preserve">, </w:t>
      </w:r>
      <w:r w:rsidRPr="00BF1D00">
        <w:rPr>
          <w:rFonts w:ascii="Calibri" w:hAnsi="Calibri" w:cs="Times New Roman"/>
          <w:i/>
          <w:iCs/>
          <w:noProof/>
          <w:szCs w:val="24"/>
        </w:rPr>
        <w:t>32</w:t>
      </w:r>
      <w:r w:rsidRPr="00BF1D00">
        <w:rPr>
          <w:rFonts w:ascii="Calibri" w:hAnsi="Calibri" w:cs="Times New Roman"/>
          <w:noProof/>
          <w:szCs w:val="24"/>
        </w:rPr>
        <w:t>(1), 79–88. https://doi.org/10.1037/0278-7393.32.1.79</w:t>
      </w:r>
    </w:p>
    <w:p w14:paraId="1B1343A4"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Howard, M. W., Jing, B., Rao, V. A., Provyn, J. P., &amp; Datey, A. V. (2009). Bridging the gap: Transitive associations between items presented in similar temporal contexts. </w:t>
      </w:r>
      <w:r w:rsidRPr="00BF1D00">
        <w:rPr>
          <w:rFonts w:ascii="Calibri" w:hAnsi="Calibri" w:cs="Times New Roman"/>
          <w:i/>
          <w:iCs/>
          <w:noProof/>
          <w:szCs w:val="24"/>
        </w:rPr>
        <w:t>Journal of Experimental Psychology: Learning, Memory, and Cognition</w:t>
      </w:r>
      <w:r w:rsidRPr="00BF1D00">
        <w:rPr>
          <w:rFonts w:ascii="Calibri" w:hAnsi="Calibri" w:cs="Times New Roman"/>
          <w:noProof/>
          <w:szCs w:val="24"/>
        </w:rPr>
        <w:t xml:space="preserve">, </w:t>
      </w:r>
      <w:r w:rsidRPr="00BF1D00">
        <w:rPr>
          <w:rFonts w:ascii="Calibri" w:hAnsi="Calibri" w:cs="Times New Roman"/>
          <w:i/>
          <w:iCs/>
          <w:noProof/>
          <w:szCs w:val="24"/>
        </w:rPr>
        <w:t>35</w:t>
      </w:r>
      <w:r w:rsidRPr="00BF1D00">
        <w:rPr>
          <w:rFonts w:ascii="Calibri" w:hAnsi="Calibri" w:cs="Times New Roman"/>
          <w:noProof/>
          <w:szCs w:val="24"/>
        </w:rPr>
        <w:t>(2), 391–407. https://doi.org/10.1037/a0015002</w:t>
      </w:r>
    </w:p>
    <w:p w14:paraId="4D169AFB"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Howard, M. W., &amp; Kahana, M. J. (1999). Contextual variability and serial position effects in free recall. </w:t>
      </w:r>
      <w:r w:rsidRPr="00BF1D00">
        <w:rPr>
          <w:rFonts w:ascii="Calibri" w:hAnsi="Calibri" w:cs="Times New Roman"/>
          <w:i/>
          <w:iCs/>
          <w:noProof/>
          <w:szCs w:val="24"/>
        </w:rPr>
        <w:t>Journal of Experimental Psychology. Learning, Memory, and Cognition</w:t>
      </w:r>
      <w:r w:rsidRPr="00BF1D00">
        <w:rPr>
          <w:rFonts w:ascii="Calibri" w:hAnsi="Calibri" w:cs="Times New Roman"/>
          <w:noProof/>
          <w:szCs w:val="24"/>
        </w:rPr>
        <w:t xml:space="preserve">, </w:t>
      </w:r>
      <w:r w:rsidRPr="00BF1D00">
        <w:rPr>
          <w:rFonts w:ascii="Calibri" w:hAnsi="Calibri" w:cs="Times New Roman"/>
          <w:i/>
          <w:iCs/>
          <w:noProof/>
          <w:szCs w:val="24"/>
        </w:rPr>
        <w:t>25</w:t>
      </w:r>
      <w:r w:rsidRPr="00BF1D00">
        <w:rPr>
          <w:rFonts w:ascii="Calibri" w:hAnsi="Calibri" w:cs="Times New Roman"/>
          <w:noProof/>
          <w:szCs w:val="24"/>
        </w:rPr>
        <w:t>(4), 923–941. https://doi.org/10.1037/0278-7393.25.4.923</w:t>
      </w:r>
    </w:p>
    <w:p w14:paraId="7744760F"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Howard, M. W., &amp; Kahana, M. J. (2002a). A Distributed Representation of Temporal Context. </w:t>
      </w:r>
      <w:r w:rsidRPr="00BF1D00">
        <w:rPr>
          <w:rFonts w:ascii="Calibri" w:hAnsi="Calibri" w:cs="Times New Roman"/>
          <w:i/>
          <w:iCs/>
          <w:noProof/>
          <w:szCs w:val="24"/>
        </w:rPr>
        <w:t>Journal of Mathematical Psychology</w:t>
      </w:r>
      <w:r w:rsidRPr="00BF1D00">
        <w:rPr>
          <w:rFonts w:ascii="Calibri" w:hAnsi="Calibri" w:cs="Times New Roman"/>
          <w:noProof/>
          <w:szCs w:val="24"/>
        </w:rPr>
        <w:t xml:space="preserve">, </w:t>
      </w:r>
      <w:r w:rsidRPr="00BF1D00">
        <w:rPr>
          <w:rFonts w:ascii="Calibri" w:hAnsi="Calibri" w:cs="Times New Roman"/>
          <w:i/>
          <w:iCs/>
          <w:noProof/>
          <w:szCs w:val="24"/>
        </w:rPr>
        <w:t>46</w:t>
      </w:r>
      <w:r w:rsidRPr="00BF1D00">
        <w:rPr>
          <w:rFonts w:ascii="Calibri" w:hAnsi="Calibri" w:cs="Times New Roman"/>
          <w:noProof/>
          <w:szCs w:val="24"/>
        </w:rPr>
        <w:t>(3), 269–299. https://doi.org/10.1006</w:t>
      </w:r>
    </w:p>
    <w:p w14:paraId="1872065A"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Howard, M. W., &amp; Kahana, M. J. (2002b). When Does Semantic Similarity Help Episodic Retrieval? Recent years have seen a resurgence of in- terest in the dynamics of retrieval in free recall. </w:t>
      </w:r>
      <w:r w:rsidRPr="00BF1D00">
        <w:rPr>
          <w:rFonts w:ascii="Calibri" w:hAnsi="Calibri" w:cs="Times New Roman"/>
          <w:i/>
          <w:iCs/>
          <w:noProof/>
          <w:szCs w:val="24"/>
        </w:rPr>
        <w:t>Journal of Memory and Language</w:t>
      </w:r>
      <w:r w:rsidRPr="00BF1D00">
        <w:rPr>
          <w:rFonts w:ascii="Calibri" w:hAnsi="Calibri" w:cs="Times New Roman"/>
          <w:noProof/>
          <w:szCs w:val="24"/>
        </w:rPr>
        <w:t xml:space="preserve">, </w:t>
      </w:r>
      <w:r w:rsidRPr="00BF1D00">
        <w:rPr>
          <w:rFonts w:ascii="Calibri" w:hAnsi="Calibri" w:cs="Times New Roman"/>
          <w:i/>
          <w:iCs/>
          <w:noProof/>
          <w:szCs w:val="24"/>
        </w:rPr>
        <w:t>46</w:t>
      </w:r>
      <w:r w:rsidRPr="00BF1D00">
        <w:rPr>
          <w:rFonts w:ascii="Calibri" w:hAnsi="Calibri" w:cs="Times New Roman"/>
          <w:noProof/>
          <w:szCs w:val="24"/>
        </w:rPr>
        <w:t>, 85–98. https://doi.org/10.1006</w:t>
      </w:r>
    </w:p>
    <w:p w14:paraId="696A698F"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Howard, M. W., Kahana, M. J., &amp; Wingfield, A. (2006). Aging and contextual binding: modeling recency and lag recency effects with the temporal context model. </w:t>
      </w:r>
      <w:r w:rsidRPr="00BF1D00">
        <w:rPr>
          <w:rFonts w:ascii="Calibri" w:hAnsi="Calibri" w:cs="Times New Roman"/>
          <w:i/>
          <w:iCs/>
          <w:noProof/>
          <w:szCs w:val="24"/>
        </w:rPr>
        <w:t>Psychonomic Bulletin &amp; Review</w:t>
      </w:r>
      <w:r w:rsidRPr="00BF1D00">
        <w:rPr>
          <w:rFonts w:ascii="Calibri" w:hAnsi="Calibri" w:cs="Times New Roman"/>
          <w:noProof/>
          <w:szCs w:val="24"/>
        </w:rPr>
        <w:t xml:space="preserve">, </w:t>
      </w:r>
      <w:r w:rsidRPr="00BF1D00">
        <w:rPr>
          <w:rFonts w:ascii="Calibri" w:hAnsi="Calibri" w:cs="Times New Roman"/>
          <w:i/>
          <w:iCs/>
          <w:noProof/>
          <w:szCs w:val="24"/>
        </w:rPr>
        <w:t>13</w:t>
      </w:r>
      <w:r w:rsidRPr="00BF1D00">
        <w:rPr>
          <w:rFonts w:ascii="Calibri" w:hAnsi="Calibri" w:cs="Times New Roman"/>
          <w:noProof/>
          <w:szCs w:val="24"/>
        </w:rPr>
        <w:t>(3), 439–45. Retrieved from http://www.ncbi.nlm.nih.gov/pubmed/17048728</w:t>
      </w:r>
    </w:p>
    <w:p w14:paraId="32607C00"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Hulme, C., Stuart, G., Suprenant, A. M., Bireta, T. J., &amp; Neath, I. (2004). Abolishing the Word-Length Effect. </w:t>
      </w:r>
      <w:r w:rsidRPr="00BF1D00">
        <w:rPr>
          <w:rFonts w:ascii="Calibri" w:hAnsi="Calibri" w:cs="Times New Roman"/>
          <w:i/>
          <w:iCs/>
          <w:noProof/>
          <w:szCs w:val="24"/>
        </w:rPr>
        <w:t>Journal of Experimental Psychology.Learning, Memory &amp; Cognition</w:t>
      </w:r>
      <w:r w:rsidRPr="00BF1D00">
        <w:rPr>
          <w:rFonts w:ascii="Calibri" w:hAnsi="Calibri" w:cs="Times New Roman"/>
          <w:noProof/>
          <w:szCs w:val="24"/>
        </w:rPr>
        <w:t xml:space="preserve">, </w:t>
      </w:r>
      <w:r w:rsidRPr="00BF1D00">
        <w:rPr>
          <w:rFonts w:ascii="Calibri" w:hAnsi="Calibri" w:cs="Times New Roman"/>
          <w:i/>
          <w:iCs/>
          <w:noProof/>
          <w:szCs w:val="24"/>
        </w:rPr>
        <w:t>30</w:t>
      </w:r>
      <w:r w:rsidRPr="00BF1D00">
        <w:rPr>
          <w:rFonts w:ascii="Calibri" w:hAnsi="Calibri" w:cs="Times New Roman"/>
          <w:noProof/>
          <w:szCs w:val="24"/>
        </w:rPr>
        <w:t>(1), 98–106. https://doi.org/10.1037/0278-7393.30.1.98</w:t>
      </w:r>
    </w:p>
    <w:p w14:paraId="3A81D8CD"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Hunt, R. R., &amp; McDaniel, M. a. (1993). The Enigma of Organization and Distinctiveness. </w:t>
      </w:r>
      <w:r w:rsidRPr="00BF1D00">
        <w:rPr>
          <w:rFonts w:ascii="Calibri" w:hAnsi="Calibri" w:cs="Times New Roman"/>
          <w:i/>
          <w:iCs/>
          <w:noProof/>
          <w:szCs w:val="24"/>
        </w:rPr>
        <w:t>Journal of Memory and Language</w:t>
      </w:r>
      <w:r w:rsidRPr="00BF1D00">
        <w:rPr>
          <w:rFonts w:ascii="Calibri" w:hAnsi="Calibri" w:cs="Times New Roman"/>
          <w:noProof/>
          <w:szCs w:val="24"/>
        </w:rPr>
        <w:t>. https://doi.org/10.1006/jmla.1993.1023</w:t>
      </w:r>
    </w:p>
    <w:p w14:paraId="22671148"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Hurlemann, R., Hawellek, B., Matusch, A., Kolsch, H., Wollersen, H., Madea, B., … Dolan, R. J. (2005). Noradrenergic Modulation of Emotion-Induced Forgetting and Remembering. </w:t>
      </w:r>
      <w:r w:rsidRPr="00BF1D00">
        <w:rPr>
          <w:rFonts w:ascii="Calibri" w:hAnsi="Calibri" w:cs="Times New Roman"/>
          <w:i/>
          <w:iCs/>
          <w:noProof/>
          <w:szCs w:val="24"/>
        </w:rPr>
        <w:t>Journal of Neuroscience</w:t>
      </w:r>
      <w:r w:rsidRPr="00BF1D00">
        <w:rPr>
          <w:rFonts w:ascii="Calibri" w:hAnsi="Calibri" w:cs="Times New Roman"/>
          <w:noProof/>
          <w:szCs w:val="24"/>
        </w:rPr>
        <w:t xml:space="preserve">, </w:t>
      </w:r>
      <w:r w:rsidRPr="00BF1D00">
        <w:rPr>
          <w:rFonts w:ascii="Calibri" w:hAnsi="Calibri" w:cs="Times New Roman"/>
          <w:i/>
          <w:iCs/>
          <w:noProof/>
          <w:szCs w:val="24"/>
        </w:rPr>
        <w:t>25</w:t>
      </w:r>
      <w:r w:rsidRPr="00BF1D00">
        <w:rPr>
          <w:rFonts w:ascii="Calibri" w:hAnsi="Calibri" w:cs="Times New Roman"/>
          <w:noProof/>
          <w:szCs w:val="24"/>
        </w:rPr>
        <w:t>(27), 6343–6349. https://doi.org/10.1523/JNEUROSCI.0228-05.2005</w:t>
      </w:r>
    </w:p>
    <w:p w14:paraId="670EC4B4"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Hurlemann, R., Wagner, M., Hawellek, B., Reich, H., Pieperhoff, P., Amunts, K., … Dolan, R. J. (2007). Amygdala control of emotion-induced forgetting and remembering: Evidence from Urbach-Wiethe disease. </w:t>
      </w:r>
      <w:r w:rsidRPr="00BF1D00">
        <w:rPr>
          <w:rFonts w:ascii="Calibri" w:hAnsi="Calibri" w:cs="Times New Roman"/>
          <w:i/>
          <w:iCs/>
          <w:noProof/>
          <w:szCs w:val="24"/>
        </w:rPr>
        <w:t>Neuropsychologia</w:t>
      </w:r>
      <w:r w:rsidRPr="00BF1D00">
        <w:rPr>
          <w:rFonts w:ascii="Calibri" w:hAnsi="Calibri" w:cs="Times New Roman"/>
          <w:noProof/>
          <w:szCs w:val="24"/>
        </w:rPr>
        <w:t xml:space="preserve">, </w:t>
      </w:r>
      <w:r w:rsidRPr="00BF1D00">
        <w:rPr>
          <w:rFonts w:ascii="Calibri" w:hAnsi="Calibri" w:cs="Times New Roman"/>
          <w:i/>
          <w:iCs/>
          <w:noProof/>
          <w:szCs w:val="24"/>
        </w:rPr>
        <w:t>45</w:t>
      </w:r>
      <w:r w:rsidRPr="00BF1D00">
        <w:rPr>
          <w:rFonts w:ascii="Calibri" w:hAnsi="Calibri" w:cs="Times New Roman"/>
          <w:noProof/>
          <w:szCs w:val="24"/>
        </w:rPr>
        <w:t>(5), 877–884. https://doi.org/10.1016/j.neuropsychologia.2006.08.027</w:t>
      </w:r>
    </w:p>
    <w:p w14:paraId="3C9D2D85"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Huys, Q. J. M., Daw, N. D., &amp; Dayan, P. (2015). Depression: A Decision-Theoretic Analysis. </w:t>
      </w:r>
      <w:r w:rsidRPr="00BF1D00">
        <w:rPr>
          <w:rFonts w:ascii="Calibri" w:hAnsi="Calibri" w:cs="Times New Roman"/>
          <w:i/>
          <w:iCs/>
          <w:noProof/>
          <w:szCs w:val="24"/>
        </w:rPr>
        <w:t>Annual Review of Neuroscience</w:t>
      </w:r>
      <w:r w:rsidRPr="00BF1D00">
        <w:rPr>
          <w:rFonts w:ascii="Calibri" w:hAnsi="Calibri" w:cs="Times New Roman"/>
          <w:noProof/>
          <w:szCs w:val="24"/>
        </w:rPr>
        <w:t xml:space="preserve">, </w:t>
      </w:r>
      <w:r w:rsidRPr="00BF1D00">
        <w:rPr>
          <w:rFonts w:ascii="Calibri" w:hAnsi="Calibri" w:cs="Times New Roman"/>
          <w:i/>
          <w:iCs/>
          <w:noProof/>
          <w:szCs w:val="24"/>
        </w:rPr>
        <w:t>38</w:t>
      </w:r>
      <w:r w:rsidRPr="00BF1D00">
        <w:rPr>
          <w:rFonts w:ascii="Calibri" w:hAnsi="Calibri" w:cs="Times New Roman"/>
          <w:noProof/>
          <w:szCs w:val="24"/>
        </w:rPr>
        <w:t>(1), 1–23. https://doi.org/10.1146/annurev-neuro-071714-033928</w:t>
      </w:r>
    </w:p>
    <w:p w14:paraId="74E81204"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Huys, Q. J. M., Eshel, N., O’Nions, E., Sheridan, L., Dayan, P., &amp; Roiser, J. P. (2012). Bonsai trees in your head: How the pavlovian system sculpts goal-directed choices by pruning decision trees. </w:t>
      </w:r>
      <w:r w:rsidRPr="00BF1D00">
        <w:rPr>
          <w:rFonts w:ascii="Calibri" w:hAnsi="Calibri" w:cs="Times New Roman"/>
          <w:i/>
          <w:iCs/>
          <w:noProof/>
          <w:szCs w:val="24"/>
        </w:rPr>
        <w:t>PLoS Computational Biology</w:t>
      </w:r>
      <w:r w:rsidRPr="00BF1D00">
        <w:rPr>
          <w:rFonts w:ascii="Calibri" w:hAnsi="Calibri" w:cs="Times New Roman"/>
          <w:noProof/>
          <w:szCs w:val="24"/>
        </w:rPr>
        <w:t xml:space="preserve">, </w:t>
      </w:r>
      <w:r w:rsidRPr="00BF1D00">
        <w:rPr>
          <w:rFonts w:ascii="Calibri" w:hAnsi="Calibri" w:cs="Times New Roman"/>
          <w:i/>
          <w:iCs/>
          <w:noProof/>
          <w:szCs w:val="24"/>
        </w:rPr>
        <w:t>8</w:t>
      </w:r>
      <w:r w:rsidRPr="00BF1D00">
        <w:rPr>
          <w:rFonts w:ascii="Calibri" w:hAnsi="Calibri" w:cs="Times New Roman"/>
          <w:noProof/>
          <w:szCs w:val="24"/>
        </w:rPr>
        <w:t>(3). https://doi.org/10.1371/journal.pcbi.1002410</w:t>
      </w:r>
    </w:p>
    <w:p w14:paraId="06082755"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Izard, C. E. (2010). The Many Meanings/Aspects of Emotion: Definitions, Functions, Activation, and Regulation. </w:t>
      </w:r>
      <w:r w:rsidRPr="00BF1D00">
        <w:rPr>
          <w:rFonts w:ascii="Calibri" w:hAnsi="Calibri" w:cs="Times New Roman"/>
          <w:i/>
          <w:iCs/>
          <w:noProof/>
          <w:szCs w:val="24"/>
        </w:rPr>
        <w:t>Emotion Review</w:t>
      </w:r>
      <w:r w:rsidRPr="00BF1D00">
        <w:rPr>
          <w:rFonts w:ascii="Calibri" w:hAnsi="Calibri" w:cs="Times New Roman"/>
          <w:noProof/>
          <w:szCs w:val="24"/>
        </w:rPr>
        <w:t xml:space="preserve">, </w:t>
      </w:r>
      <w:r w:rsidRPr="00BF1D00">
        <w:rPr>
          <w:rFonts w:ascii="Calibri" w:hAnsi="Calibri" w:cs="Times New Roman"/>
          <w:i/>
          <w:iCs/>
          <w:noProof/>
          <w:szCs w:val="24"/>
        </w:rPr>
        <w:t>2</w:t>
      </w:r>
      <w:r w:rsidRPr="00BF1D00">
        <w:rPr>
          <w:rFonts w:ascii="Calibri" w:hAnsi="Calibri" w:cs="Times New Roman"/>
          <w:noProof/>
          <w:szCs w:val="24"/>
        </w:rPr>
        <w:t>(4), 363–370. https://doi.org/10.1177/1754073910374661</w:t>
      </w:r>
    </w:p>
    <w:p w14:paraId="01D98F5F"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Johnson, L. W., &amp; Mackay, D. G. (n.d.). Relations Between Emotion, Memory Encoding, and Time Perception. Retrieved from http://mc.manuscriptcentral.com/pcem</w:t>
      </w:r>
    </w:p>
    <w:p w14:paraId="125DD86D"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Kensinger, E. A. (2009a). Remembering the Details: Effects of Emotion. </w:t>
      </w:r>
      <w:r w:rsidRPr="00BF1D00">
        <w:rPr>
          <w:rFonts w:ascii="Calibri" w:hAnsi="Calibri" w:cs="Times New Roman"/>
          <w:i/>
          <w:iCs/>
          <w:noProof/>
          <w:szCs w:val="24"/>
        </w:rPr>
        <w:t>Emotion Review</w:t>
      </w:r>
      <w:r w:rsidRPr="00BF1D00">
        <w:rPr>
          <w:rFonts w:ascii="Calibri" w:hAnsi="Calibri" w:cs="Times New Roman"/>
          <w:noProof/>
          <w:szCs w:val="24"/>
        </w:rPr>
        <w:t xml:space="preserve">, </w:t>
      </w:r>
      <w:r w:rsidRPr="00BF1D00">
        <w:rPr>
          <w:rFonts w:ascii="Calibri" w:hAnsi="Calibri" w:cs="Times New Roman"/>
          <w:i/>
          <w:iCs/>
          <w:noProof/>
          <w:szCs w:val="24"/>
        </w:rPr>
        <w:t>1</w:t>
      </w:r>
      <w:r w:rsidRPr="00BF1D00">
        <w:rPr>
          <w:rFonts w:ascii="Calibri" w:hAnsi="Calibri" w:cs="Times New Roman"/>
          <w:noProof/>
          <w:szCs w:val="24"/>
        </w:rPr>
        <w:t>(2), 99–113. https://doi.org/10.1177/1754073908100432</w:t>
      </w:r>
    </w:p>
    <w:p w14:paraId="354487D2"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Kensinger, E. A. (2009b). What factors need to be considered to understand emotional memories? </w:t>
      </w:r>
      <w:r w:rsidRPr="00BF1D00">
        <w:rPr>
          <w:rFonts w:ascii="Calibri" w:hAnsi="Calibri" w:cs="Times New Roman"/>
          <w:i/>
          <w:iCs/>
          <w:noProof/>
          <w:szCs w:val="24"/>
        </w:rPr>
        <w:t>Emotion Review : Journal of the International Society for Research on Emotion</w:t>
      </w:r>
      <w:r w:rsidRPr="00BF1D00">
        <w:rPr>
          <w:rFonts w:ascii="Calibri" w:hAnsi="Calibri" w:cs="Times New Roman"/>
          <w:noProof/>
          <w:szCs w:val="24"/>
        </w:rPr>
        <w:t xml:space="preserve">, </w:t>
      </w:r>
      <w:r w:rsidRPr="00BF1D00">
        <w:rPr>
          <w:rFonts w:ascii="Calibri" w:hAnsi="Calibri" w:cs="Times New Roman"/>
          <w:i/>
          <w:iCs/>
          <w:noProof/>
          <w:szCs w:val="24"/>
        </w:rPr>
        <w:t>1</w:t>
      </w:r>
      <w:r w:rsidRPr="00BF1D00">
        <w:rPr>
          <w:rFonts w:ascii="Calibri" w:hAnsi="Calibri" w:cs="Times New Roman"/>
          <w:noProof/>
          <w:szCs w:val="24"/>
        </w:rPr>
        <w:t>(2), 120–121. https://doi.org/10.1177/1754073908100436</w:t>
      </w:r>
    </w:p>
    <w:p w14:paraId="211B52F1"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Kensinger, E. A., &amp; Corkin, S. (2004). Two routes to emotional memory: Distinct neural processes for valence and arousal. </w:t>
      </w:r>
      <w:r w:rsidRPr="00BF1D00">
        <w:rPr>
          <w:rFonts w:ascii="Calibri" w:hAnsi="Calibri" w:cs="Times New Roman"/>
          <w:i/>
          <w:iCs/>
          <w:noProof/>
          <w:szCs w:val="24"/>
        </w:rPr>
        <w:t>Proc. Natl. Acad. Sci. USA</w:t>
      </w:r>
      <w:r w:rsidRPr="00BF1D00">
        <w:rPr>
          <w:rFonts w:ascii="Calibri" w:hAnsi="Calibri" w:cs="Times New Roman"/>
          <w:noProof/>
          <w:szCs w:val="24"/>
        </w:rPr>
        <w:t xml:space="preserve">, </w:t>
      </w:r>
      <w:r w:rsidRPr="00BF1D00">
        <w:rPr>
          <w:rFonts w:ascii="Calibri" w:hAnsi="Calibri" w:cs="Times New Roman"/>
          <w:i/>
          <w:iCs/>
          <w:noProof/>
          <w:szCs w:val="24"/>
        </w:rPr>
        <w:t>101</w:t>
      </w:r>
      <w:r w:rsidRPr="00BF1D00">
        <w:rPr>
          <w:rFonts w:ascii="Calibri" w:hAnsi="Calibri" w:cs="Times New Roman"/>
          <w:noProof/>
          <w:szCs w:val="24"/>
        </w:rPr>
        <w:t>(Track II), 3310–3315. https://doi.org/10.1073/pnas.0306408101</w:t>
      </w:r>
    </w:p>
    <w:p w14:paraId="30499E40"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Kensinger, E. A., Garoff-Eaton, R. J., &amp; Schacter, D. L. (2007). Effects of emotion on memory specificity: Memory trade-offs elicited by negative visually arousing stimuli. </w:t>
      </w:r>
      <w:r w:rsidRPr="00BF1D00">
        <w:rPr>
          <w:rFonts w:ascii="Calibri" w:hAnsi="Calibri" w:cs="Times New Roman"/>
          <w:i/>
          <w:iCs/>
          <w:noProof/>
          <w:szCs w:val="24"/>
        </w:rPr>
        <w:t>Journal of Memory and Language</w:t>
      </w:r>
      <w:r w:rsidRPr="00BF1D00">
        <w:rPr>
          <w:rFonts w:ascii="Calibri" w:hAnsi="Calibri" w:cs="Times New Roman"/>
          <w:noProof/>
          <w:szCs w:val="24"/>
        </w:rPr>
        <w:t xml:space="preserve">, </w:t>
      </w:r>
      <w:r w:rsidRPr="00BF1D00">
        <w:rPr>
          <w:rFonts w:ascii="Calibri" w:hAnsi="Calibri" w:cs="Times New Roman"/>
          <w:i/>
          <w:iCs/>
          <w:noProof/>
          <w:szCs w:val="24"/>
        </w:rPr>
        <w:t>56</w:t>
      </w:r>
      <w:r w:rsidRPr="00BF1D00">
        <w:rPr>
          <w:rFonts w:ascii="Calibri" w:hAnsi="Calibri" w:cs="Times New Roman"/>
          <w:noProof/>
          <w:szCs w:val="24"/>
        </w:rPr>
        <w:t>(4), 575–591. https://doi.org/10.1016/j.jml.2006.05.004</w:t>
      </w:r>
    </w:p>
    <w:p w14:paraId="1348C7A8"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Kleinsmith, L. J., &amp; Kaplan, S. (1964). Interaction of arousal and recall interval in nonsense syllable paired-associate learning. </w:t>
      </w:r>
      <w:r w:rsidRPr="00BF1D00">
        <w:rPr>
          <w:rFonts w:ascii="Calibri" w:hAnsi="Calibri" w:cs="Times New Roman"/>
          <w:i/>
          <w:iCs/>
          <w:noProof/>
          <w:szCs w:val="24"/>
        </w:rPr>
        <w:t>Journal of Experimental Psychology</w:t>
      </w:r>
      <w:r w:rsidRPr="00BF1D00">
        <w:rPr>
          <w:rFonts w:ascii="Calibri" w:hAnsi="Calibri" w:cs="Times New Roman"/>
          <w:noProof/>
          <w:szCs w:val="24"/>
        </w:rPr>
        <w:t xml:space="preserve">, </w:t>
      </w:r>
      <w:r w:rsidRPr="00BF1D00">
        <w:rPr>
          <w:rFonts w:ascii="Calibri" w:hAnsi="Calibri" w:cs="Times New Roman"/>
          <w:i/>
          <w:iCs/>
          <w:noProof/>
          <w:szCs w:val="24"/>
        </w:rPr>
        <w:t>67</w:t>
      </w:r>
      <w:r w:rsidRPr="00BF1D00">
        <w:rPr>
          <w:rFonts w:ascii="Calibri" w:hAnsi="Calibri" w:cs="Times New Roman"/>
          <w:noProof/>
          <w:szCs w:val="24"/>
        </w:rPr>
        <w:t>(2), 124–126. https://doi.org/10.1037/h0045203</w:t>
      </w:r>
    </w:p>
    <w:p w14:paraId="6A2039AB"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Koch, A., Alves, H., Krüger, T., &amp; Unkelbach, C. (2016). A General Valence Asymmetry in Similarity: Good Is More Alike Than Bad. </w:t>
      </w:r>
      <w:r w:rsidRPr="00BF1D00">
        <w:rPr>
          <w:rFonts w:ascii="Calibri" w:hAnsi="Calibri" w:cs="Times New Roman"/>
          <w:i/>
          <w:iCs/>
          <w:noProof/>
          <w:szCs w:val="24"/>
        </w:rPr>
        <w:t>Journal of Experimental Psychology. Learning, Memory, and Cognitionournal of Experimental Psychology:Learning, Memory, and Cognition</w:t>
      </w:r>
      <w:r w:rsidRPr="00BF1D00">
        <w:rPr>
          <w:rFonts w:ascii="Calibri" w:hAnsi="Calibri" w:cs="Times New Roman"/>
          <w:noProof/>
          <w:szCs w:val="24"/>
        </w:rPr>
        <w:t xml:space="preserve">, </w:t>
      </w:r>
      <w:r w:rsidRPr="00BF1D00">
        <w:rPr>
          <w:rFonts w:ascii="Calibri" w:hAnsi="Calibri" w:cs="Times New Roman"/>
          <w:i/>
          <w:iCs/>
          <w:noProof/>
          <w:szCs w:val="24"/>
        </w:rPr>
        <w:t>42</w:t>
      </w:r>
      <w:r w:rsidRPr="00BF1D00">
        <w:rPr>
          <w:rFonts w:ascii="Calibri" w:hAnsi="Calibri" w:cs="Times New Roman"/>
          <w:noProof/>
          <w:szCs w:val="24"/>
        </w:rPr>
        <w:t>(8), 1171–1192. https://doi.org/10.1037/xlm0000243</w:t>
      </w:r>
    </w:p>
    <w:p w14:paraId="71513374"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Kok, P., Rahnev, D., Jehee, J. F. M., Lau, H. C., &amp; de Lange, F. P. (2012). Attention Reverses the Effect of Prediction in Silencing Sensory Signals. </w:t>
      </w:r>
      <w:r w:rsidRPr="00BF1D00">
        <w:rPr>
          <w:rFonts w:ascii="Calibri" w:hAnsi="Calibri" w:cs="Times New Roman"/>
          <w:i/>
          <w:iCs/>
          <w:noProof/>
          <w:szCs w:val="24"/>
        </w:rPr>
        <w:t>Cerebral Cortex</w:t>
      </w:r>
      <w:r w:rsidRPr="00BF1D00">
        <w:rPr>
          <w:rFonts w:ascii="Calibri" w:hAnsi="Calibri" w:cs="Times New Roman"/>
          <w:noProof/>
          <w:szCs w:val="24"/>
        </w:rPr>
        <w:t xml:space="preserve">, </w:t>
      </w:r>
      <w:r w:rsidRPr="00BF1D00">
        <w:rPr>
          <w:rFonts w:ascii="Calibri" w:hAnsi="Calibri" w:cs="Times New Roman"/>
          <w:i/>
          <w:iCs/>
          <w:noProof/>
          <w:szCs w:val="24"/>
        </w:rPr>
        <w:t>22</w:t>
      </w:r>
      <w:r w:rsidRPr="00BF1D00">
        <w:rPr>
          <w:rFonts w:ascii="Calibri" w:hAnsi="Calibri" w:cs="Times New Roman"/>
          <w:noProof/>
          <w:szCs w:val="24"/>
        </w:rPr>
        <w:t>(9), 2197–2206. https://doi.org/10.1093/cercor/bhr310</w:t>
      </w:r>
    </w:p>
    <w:p w14:paraId="532FDD47"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LaBar, K. S., &amp; Cabeza, R. (2006). Cognitive neuroscience of emotional memory. </w:t>
      </w:r>
      <w:r w:rsidRPr="00BF1D00">
        <w:rPr>
          <w:rFonts w:ascii="Calibri" w:hAnsi="Calibri" w:cs="Times New Roman"/>
          <w:i/>
          <w:iCs/>
          <w:noProof/>
          <w:szCs w:val="24"/>
        </w:rPr>
        <w:t>Nature Reviews Neuroscience</w:t>
      </w:r>
      <w:r w:rsidRPr="00BF1D00">
        <w:rPr>
          <w:rFonts w:ascii="Calibri" w:hAnsi="Calibri" w:cs="Times New Roman"/>
          <w:noProof/>
          <w:szCs w:val="24"/>
        </w:rPr>
        <w:t xml:space="preserve">, </w:t>
      </w:r>
      <w:r w:rsidRPr="00BF1D00">
        <w:rPr>
          <w:rFonts w:ascii="Calibri" w:hAnsi="Calibri" w:cs="Times New Roman"/>
          <w:i/>
          <w:iCs/>
          <w:noProof/>
          <w:szCs w:val="24"/>
        </w:rPr>
        <w:t>7</w:t>
      </w:r>
      <w:r w:rsidRPr="00BF1D00">
        <w:rPr>
          <w:rFonts w:ascii="Calibri" w:hAnsi="Calibri" w:cs="Times New Roman"/>
          <w:noProof/>
          <w:szCs w:val="24"/>
        </w:rPr>
        <w:t>(1), 54–64. https://doi.org/10.1038/nrn1825</w:t>
      </w:r>
    </w:p>
    <w:p w14:paraId="6E48DB76"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LaBar, K. S., &amp; Phelps, E. a. (1998). Arousal-Mediated Memory Consolidation: Role of the Medial Temporal Lobe in Humans. </w:t>
      </w:r>
      <w:r w:rsidRPr="00BF1D00">
        <w:rPr>
          <w:rFonts w:ascii="Calibri" w:hAnsi="Calibri" w:cs="Times New Roman"/>
          <w:i/>
          <w:iCs/>
          <w:noProof/>
          <w:szCs w:val="24"/>
        </w:rPr>
        <w:t>Psychological Science</w:t>
      </w:r>
      <w:r w:rsidRPr="00BF1D00">
        <w:rPr>
          <w:rFonts w:ascii="Calibri" w:hAnsi="Calibri" w:cs="Times New Roman"/>
          <w:noProof/>
          <w:szCs w:val="24"/>
        </w:rPr>
        <w:t xml:space="preserve">, </w:t>
      </w:r>
      <w:r w:rsidRPr="00BF1D00">
        <w:rPr>
          <w:rFonts w:ascii="Calibri" w:hAnsi="Calibri" w:cs="Times New Roman"/>
          <w:i/>
          <w:iCs/>
          <w:noProof/>
          <w:szCs w:val="24"/>
        </w:rPr>
        <w:t>9</w:t>
      </w:r>
      <w:r w:rsidRPr="00BF1D00">
        <w:rPr>
          <w:rFonts w:ascii="Calibri" w:hAnsi="Calibri" w:cs="Times New Roman"/>
          <w:noProof/>
          <w:szCs w:val="24"/>
        </w:rPr>
        <w:t>(6), 490–493. https://doi.org/10.1111/1467-9280.00090</w:t>
      </w:r>
    </w:p>
    <w:p w14:paraId="7C182291"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Lang, P. J., &amp; Bradley, M. M. (2007). The International Affective Picture System (IAPS) in the study of emotion and attention. In </w:t>
      </w:r>
      <w:r w:rsidRPr="00BF1D00">
        <w:rPr>
          <w:rFonts w:ascii="Calibri" w:hAnsi="Calibri" w:cs="Times New Roman"/>
          <w:i/>
          <w:iCs/>
          <w:noProof/>
          <w:szCs w:val="24"/>
        </w:rPr>
        <w:t>Handbook of emotion elicitation and assessment.</w:t>
      </w:r>
      <w:r w:rsidRPr="00BF1D00">
        <w:rPr>
          <w:rFonts w:ascii="Calibri" w:hAnsi="Calibri" w:cs="Times New Roman"/>
          <w:noProof/>
          <w:szCs w:val="24"/>
        </w:rPr>
        <w:t xml:space="preserve"> (pp. 29–46). New York: Oxford University Press.</w:t>
      </w:r>
    </w:p>
    <w:p w14:paraId="44F319AC"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Lieder, F., Griffiths, T. L., &amp; Hsu, M. (2018). Overrepresentation of extreme events in decision making reflects rational use of cognitive resources. </w:t>
      </w:r>
      <w:r w:rsidRPr="00BF1D00">
        <w:rPr>
          <w:rFonts w:ascii="Calibri" w:hAnsi="Calibri" w:cs="Times New Roman"/>
          <w:i/>
          <w:iCs/>
          <w:noProof/>
          <w:szCs w:val="24"/>
        </w:rPr>
        <w:t>Psychological Review</w:t>
      </w:r>
      <w:r w:rsidRPr="00BF1D00">
        <w:rPr>
          <w:rFonts w:ascii="Calibri" w:hAnsi="Calibri" w:cs="Times New Roman"/>
          <w:noProof/>
          <w:szCs w:val="24"/>
        </w:rPr>
        <w:t xml:space="preserve">, </w:t>
      </w:r>
      <w:r w:rsidRPr="00BF1D00">
        <w:rPr>
          <w:rFonts w:ascii="Calibri" w:hAnsi="Calibri" w:cs="Times New Roman"/>
          <w:i/>
          <w:iCs/>
          <w:noProof/>
          <w:szCs w:val="24"/>
        </w:rPr>
        <w:t>125</w:t>
      </w:r>
      <w:r w:rsidRPr="00BF1D00">
        <w:rPr>
          <w:rFonts w:ascii="Calibri" w:hAnsi="Calibri" w:cs="Times New Roman"/>
          <w:noProof/>
          <w:szCs w:val="24"/>
        </w:rPr>
        <w:t>(1), 1–32. https://doi.org/10.1037/rev0000074</w:t>
      </w:r>
    </w:p>
    <w:p w14:paraId="3D2CC535"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Lindquist, K. A., Satpute, A. B., Wager, T. D., Weber, J., &amp; Barrett, L. F. (2015). The Brain Basis of Positive and Negative Affect: Evidence from a Meta-Analysis of the Human Neuroimaging Literature. </w:t>
      </w:r>
      <w:r w:rsidRPr="00BF1D00">
        <w:rPr>
          <w:rFonts w:ascii="Calibri" w:hAnsi="Calibri" w:cs="Times New Roman"/>
          <w:i/>
          <w:iCs/>
          <w:noProof/>
          <w:szCs w:val="24"/>
        </w:rPr>
        <w:t>Cerebral Cortex (New York, N.Y. : 1991)</w:t>
      </w:r>
      <w:r w:rsidRPr="00BF1D00">
        <w:rPr>
          <w:rFonts w:ascii="Calibri" w:hAnsi="Calibri" w:cs="Times New Roman"/>
          <w:noProof/>
          <w:szCs w:val="24"/>
        </w:rPr>
        <w:t xml:space="preserve">, </w:t>
      </w:r>
      <w:r w:rsidRPr="00BF1D00">
        <w:rPr>
          <w:rFonts w:ascii="Calibri" w:hAnsi="Calibri" w:cs="Times New Roman"/>
          <w:i/>
          <w:iCs/>
          <w:noProof/>
          <w:szCs w:val="24"/>
        </w:rPr>
        <w:t>26</w:t>
      </w:r>
      <w:r w:rsidRPr="00BF1D00">
        <w:rPr>
          <w:rFonts w:ascii="Calibri" w:hAnsi="Calibri" w:cs="Times New Roman"/>
          <w:noProof/>
          <w:szCs w:val="24"/>
        </w:rPr>
        <w:t>, 1910–1922. https://doi.org/10.1093/cercor/bhv001</w:t>
      </w:r>
    </w:p>
    <w:p w14:paraId="79966767"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Lohnas, L. J., Polyn, S. M., &amp; Kahana, M. J. (2015). Expanding the Scope of Memory Search: Modeling Intralist and Interlist Effects in Free Recall. </w:t>
      </w:r>
      <w:r w:rsidRPr="00BF1D00">
        <w:rPr>
          <w:rFonts w:ascii="Calibri" w:hAnsi="Calibri" w:cs="Times New Roman"/>
          <w:i/>
          <w:iCs/>
          <w:noProof/>
          <w:szCs w:val="24"/>
        </w:rPr>
        <w:t>Psychological Review</w:t>
      </w:r>
      <w:r w:rsidRPr="00BF1D00">
        <w:rPr>
          <w:rFonts w:ascii="Calibri" w:hAnsi="Calibri" w:cs="Times New Roman"/>
          <w:noProof/>
          <w:szCs w:val="24"/>
        </w:rPr>
        <w:t xml:space="preserve">, </w:t>
      </w:r>
      <w:r w:rsidRPr="00BF1D00">
        <w:rPr>
          <w:rFonts w:ascii="Calibri" w:hAnsi="Calibri" w:cs="Times New Roman"/>
          <w:i/>
          <w:iCs/>
          <w:noProof/>
          <w:szCs w:val="24"/>
        </w:rPr>
        <w:t>122</w:t>
      </w:r>
      <w:r w:rsidRPr="00BF1D00">
        <w:rPr>
          <w:rFonts w:ascii="Calibri" w:hAnsi="Calibri" w:cs="Times New Roman"/>
          <w:noProof/>
          <w:szCs w:val="24"/>
        </w:rPr>
        <w:t>(2), 337–363. https://doi.org/10.1037/a0039036</w:t>
      </w:r>
    </w:p>
    <w:p w14:paraId="1A09E2DD"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Long, N. M., Danoff, M. S., &amp; Kahana, M. J. (2015). Recall dynamics reveal the retrieval of emotional context. </w:t>
      </w:r>
      <w:r w:rsidRPr="00BF1D00">
        <w:rPr>
          <w:rFonts w:ascii="Calibri" w:hAnsi="Calibri" w:cs="Times New Roman"/>
          <w:i/>
          <w:iCs/>
          <w:noProof/>
          <w:szCs w:val="24"/>
        </w:rPr>
        <w:t>Psychonomic Bulletin and Review</w:t>
      </w:r>
      <w:r w:rsidRPr="00BF1D00">
        <w:rPr>
          <w:rFonts w:ascii="Calibri" w:hAnsi="Calibri" w:cs="Times New Roman"/>
          <w:noProof/>
          <w:szCs w:val="24"/>
        </w:rPr>
        <w:t xml:space="preserve">, </w:t>
      </w:r>
      <w:r w:rsidRPr="00BF1D00">
        <w:rPr>
          <w:rFonts w:ascii="Calibri" w:hAnsi="Calibri" w:cs="Times New Roman"/>
          <w:i/>
          <w:iCs/>
          <w:noProof/>
          <w:szCs w:val="24"/>
        </w:rPr>
        <w:t>22</w:t>
      </w:r>
      <w:r w:rsidRPr="00BF1D00">
        <w:rPr>
          <w:rFonts w:ascii="Calibri" w:hAnsi="Calibri" w:cs="Times New Roman"/>
          <w:noProof/>
          <w:szCs w:val="24"/>
        </w:rPr>
        <w:t>(5), 1328–1333. https://doi.org/10.3758/s13423-014-0791-2</w:t>
      </w:r>
    </w:p>
    <w:p w14:paraId="08510949"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MacKay, D. G., &amp; Ahmetzanov, M. V. (2005). Emotion, memory, and attention in the taboo stroop paradigm an experimental analogue of flashbulb memories. </w:t>
      </w:r>
      <w:r w:rsidRPr="00BF1D00">
        <w:rPr>
          <w:rFonts w:ascii="Calibri" w:hAnsi="Calibri" w:cs="Times New Roman"/>
          <w:i/>
          <w:iCs/>
          <w:noProof/>
          <w:szCs w:val="24"/>
        </w:rPr>
        <w:t>Psychological Science</w:t>
      </w:r>
      <w:r w:rsidRPr="00BF1D00">
        <w:rPr>
          <w:rFonts w:ascii="Calibri" w:hAnsi="Calibri" w:cs="Times New Roman"/>
          <w:noProof/>
          <w:szCs w:val="24"/>
        </w:rPr>
        <w:t xml:space="preserve">, </w:t>
      </w:r>
      <w:r w:rsidRPr="00BF1D00">
        <w:rPr>
          <w:rFonts w:ascii="Calibri" w:hAnsi="Calibri" w:cs="Times New Roman"/>
          <w:i/>
          <w:iCs/>
          <w:noProof/>
          <w:szCs w:val="24"/>
        </w:rPr>
        <w:t>16</w:t>
      </w:r>
      <w:r w:rsidRPr="00BF1D00">
        <w:rPr>
          <w:rFonts w:ascii="Calibri" w:hAnsi="Calibri" w:cs="Times New Roman"/>
          <w:noProof/>
          <w:szCs w:val="24"/>
        </w:rPr>
        <w:t>(1), 25–32. https://doi.org/10.1111/j.0956-7976.2005.00776.x</w:t>
      </w:r>
    </w:p>
    <w:p w14:paraId="27DDF68F"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Mackay, D. G., Hadley, C. B., &amp; Schwartz, J. H. (2005). Relations between emotion, illusory word perception, and orthographic repetition blindness: tests of binding theory. </w:t>
      </w:r>
      <w:r w:rsidRPr="00BF1D00">
        <w:rPr>
          <w:rFonts w:ascii="Calibri" w:hAnsi="Calibri" w:cs="Times New Roman"/>
          <w:i/>
          <w:iCs/>
          <w:noProof/>
          <w:szCs w:val="24"/>
        </w:rPr>
        <w:t>The Quarterly Journal of Experimental Psychology. A, Human Experimental Psychology</w:t>
      </w:r>
      <w:r w:rsidRPr="00BF1D00">
        <w:rPr>
          <w:rFonts w:ascii="Calibri" w:hAnsi="Calibri" w:cs="Times New Roman"/>
          <w:noProof/>
          <w:szCs w:val="24"/>
        </w:rPr>
        <w:t xml:space="preserve">, </w:t>
      </w:r>
      <w:r w:rsidRPr="00BF1D00">
        <w:rPr>
          <w:rFonts w:ascii="Calibri" w:hAnsi="Calibri" w:cs="Times New Roman"/>
          <w:i/>
          <w:iCs/>
          <w:noProof/>
          <w:szCs w:val="24"/>
        </w:rPr>
        <w:t>58</w:t>
      </w:r>
      <w:r w:rsidRPr="00BF1D00">
        <w:rPr>
          <w:rFonts w:ascii="Calibri" w:hAnsi="Calibri" w:cs="Times New Roman"/>
          <w:noProof/>
          <w:szCs w:val="24"/>
        </w:rPr>
        <w:t>(8), 1514–1533. https://doi.org/10.1080/02724980443000728</w:t>
      </w:r>
    </w:p>
    <w:p w14:paraId="094898E7"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MacKay, D. G., Shafto, M., Taylor, J. K., Marian, D. E., Abrams, L., &amp; Dyer, J. R. (2004). Relations between emotion, memory, and attention: evidence from taboo stroop, lexical decision, and immediate memory tasks. </w:t>
      </w:r>
      <w:r w:rsidRPr="00BF1D00">
        <w:rPr>
          <w:rFonts w:ascii="Calibri" w:hAnsi="Calibri" w:cs="Times New Roman"/>
          <w:i/>
          <w:iCs/>
          <w:noProof/>
          <w:szCs w:val="24"/>
        </w:rPr>
        <w:t>Memory &amp; Cognition</w:t>
      </w:r>
      <w:r w:rsidRPr="00BF1D00">
        <w:rPr>
          <w:rFonts w:ascii="Calibri" w:hAnsi="Calibri" w:cs="Times New Roman"/>
          <w:noProof/>
          <w:szCs w:val="24"/>
        </w:rPr>
        <w:t xml:space="preserve">, </w:t>
      </w:r>
      <w:r w:rsidRPr="00BF1D00">
        <w:rPr>
          <w:rFonts w:ascii="Calibri" w:hAnsi="Calibri" w:cs="Times New Roman"/>
          <w:i/>
          <w:iCs/>
          <w:noProof/>
          <w:szCs w:val="24"/>
        </w:rPr>
        <w:t>32</w:t>
      </w:r>
      <w:r w:rsidRPr="00BF1D00">
        <w:rPr>
          <w:rFonts w:ascii="Calibri" w:hAnsi="Calibri" w:cs="Times New Roman"/>
          <w:noProof/>
          <w:szCs w:val="24"/>
        </w:rPr>
        <w:t>(3), 474–488. https://doi.org/10.3758/BF03195840</w:t>
      </w:r>
    </w:p>
    <w:p w14:paraId="411E9E4D"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Madan, C. R., Caplan, J. B., Lau, C. S. M., &amp; Fujiwara, E. (2012). Emotional arousal does not enhance association-memory. https://doi.org/10.1016/j.jml.2012.04.001</w:t>
      </w:r>
    </w:p>
    <w:p w14:paraId="4EABB548"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Madan, C. R., Fujiwara, E., Caplan, J. B., &amp; Sommer, T. (2017). Emotional arousal impairs association-memory: Roles of amygdala and hippocampus. </w:t>
      </w:r>
      <w:r w:rsidRPr="00BF1D00">
        <w:rPr>
          <w:rFonts w:ascii="Calibri" w:hAnsi="Calibri" w:cs="Times New Roman"/>
          <w:i/>
          <w:iCs/>
          <w:noProof/>
          <w:szCs w:val="24"/>
        </w:rPr>
        <w:t>NeuroImage</w:t>
      </w:r>
      <w:r w:rsidRPr="00BF1D00">
        <w:rPr>
          <w:rFonts w:ascii="Calibri" w:hAnsi="Calibri" w:cs="Times New Roman"/>
          <w:noProof/>
          <w:szCs w:val="24"/>
        </w:rPr>
        <w:t xml:space="preserve">, </w:t>
      </w:r>
      <w:r w:rsidRPr="00BF1D00">
        <w:rPr>
          <w:rFonts w:ascii="Calibri" w:hAnsi="Calibri" w:cs="Times New Roman"/>
          <w:i/>
          <w:iCs/>
          <w:noProof/>
          <w:szCs w:val="24"/>
        </w:rPr>
        <w:t>156</w:t>
      </w:r>
      <w:r w:rsidRPr="00BF1D00">
        <w:rPr>
          <w:rFonts w:ascii="Calibri" w:hAnsi="Calibri" w:cs="Times New Roman"/>
          <w:noProof/>
          <w:szCs w:val="24"/>
        </w:rPr>
        <w:t>, 14–28. https://doi.org/10.1016/j.neuroimage.2017.04.065</w:t>
      </w:r>
    </w:p>
    <w:p w14:paraId="2C5665AC"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Malmberg, K. J., &amp; Shiffrin, R. M. (2005). The “One-Shot” Hypothesis for Context Storage. </w:t>
      </w:r>
      <w:r w:rsidRPr="00BF1D00">
        <w:rPr>
          <w:rFonts w:ascii="Calibri" w:hAnsi="Calibri" w:cs="Times New Roman"/>
          <w:i/>
          <w:iCs/>
          <w:noProof/>
          <w:szCs w:val="24"/>
        </w:rPr>
        <w:t>Journal of Experimental Psychology: Learning, Memory, and Cognition</w:t>
      </w:r>
      <w:r w:rsidRPr="00BF1D00">
        <w:rPr>
          <w:rFonts w:ascii="Calibri" w:hAnsi="Calibri" w:cs="Times New Roman"/>
          <w:noProof/>
          <w:szCs w:val="24"/>
        </w:rPr>
        <w:t xml:space="preserve">, </w:t>
      </w:r>
      <w:r w:rsidRPr="00BF1D00">
        <w:rPr>
          <w:rFonts w:ascii="Calibri" w:hAnsi="Calibri" w:cs="Times New Roman"/>
          <w:i/>
          <w:iCs/>
          <w:noProof/>
          <w:szCs w:val="24"/>
        </w:rPr>
        <w:t>31</w:t>
      </w:r>
      <w:r w:rsidRPr="00BF1D00">
        <w:rPr>
          <w:rFonts w:ascii="Calibri" w:hAnsi="Calibri" w:cs="Times New Roman"/>
          <w:noProof/>
          <w:szCs w:val="24"/>
        </w:rPr>
        <w:t>(2), 322–336. https://doi.org/10.1037/0278-7393.31.2.322</w:t>
      </w:r>
    </w:p>
    <w:p w14:paraId="09873B26"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Maltzman, I., Kantor, W., &amp; Langdon, B. (1966). Immediate and delayed retention, arousal, and the orienting and defensive reflexes. </w:t>
      </w:r>
      <w:r w:rsidRPr="00BF1D00">
        <w:rPr>
          <w:rFonts w:ascii="Calibri" w:hAnsi="Calibri" w:cs="Times New Roman"/>
          <w:i/>
          <w:iCs/>
          <w:noProof/>
          <w:szCs w:val="24"/>
        </w:rPr>
        <w:t>Psychonomic Science</w:t>
      </w:r>
      <w:r w:rsidRPr="00BF1D00">
        <w:rPr>
          <w:rFonts w:ascii="Calibri" w:hAnsi="Calibri" w:cs="Times New Roman"/>
          <w:noProof/>
          <w:szCs w:val="24"/>
        </w:rPr>
        <w:t xml:space="preserve">, </w:t>
      </w:r>
      <w:r w:rsidRPr="00BF1D00">
        <w:rPr>
          <w:rFonts w:ascii="Calibri" w:hAnsi="Calibri" w:cs="Times New Roman"/>
          <w:i/>
          <w:iCs/>
          <w:noProof/>
          <w:szCs w:val="24"/>
        </w:rPr>
        <w:t>6</w:t>
      </w:r>
      <w:r w:rsidRPr="00BF1D00">
        <w:rPr>
          <w:rFonts w:ascii="Calibri" w:hAnsi="Calibri" w:cs="Times New Roman"/>
          <w:noProof/>
          <w:szCs w:val="24"/>
        </w:rPr>
        <w:t>(10), 445–446. https://doi.org/10.3758/BF03328083</w:t>
      </w:r>
    </w:p>
    <w:p w14:paraId="23F4D51B"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Manns, J. R., Howard, M. W., &amp; Eichenbaum, H. (2007). Gradual changes in hippocampal activity support remembering the order of events. </w:t>
      </w:r>
      <w:r w:rsidRPr="00BF1D00">
        <w:rPr>
          <w:rFonts w:ascii="Calibri" w:hAnsi="Calibri" w:cs="Times New Roman"/>
          <w:i/>
          <w:iCs/>
          <w:noProof/>
          <w:szCs w:val="24"/>
        </w:rPr>
        <w:t>Neuron</w:t>
      </w:r>
      <w:r w:rsidRPr="00BF1D00">
        <w:rPr>
          <w:rFonts w:ascii="Calibri" w:hAnsi="Calibri" w:cs="Times New Roman"/>
          <w:noProof/>
          <w:szCs w:val="24"/>
        </w:rPr>
        <w:t xml:space="preserve">, </w:t>
      </w:r>
      <w:r w:rsidRPr="00BF1D00">
        <w:rPr>
          <w:rFonts w:ascii="Calibri" w:hAnsi="Calibri" w:cs="Times New Roman"/>
          <w:i/>
          <w:iCs/>
          <w:noProof/>
          <w:szCs w:val="24"/>
        </w:rPr>
        <w:t>56</w:t>
      </w:r>
      <w:r w:rsidRPr="00BF1D00">
        <w:rPr>
          <w:rFonts w:ascii="Calibri" w:hAnsi="Calibri" w:cs="Times New Roman"/>
          <w:noProof/>
          <w:szCs w:val="24"/>
        </w:rPr>
        <w:t>(3), 530–40. https://doi.org/10.1016/j.neuron.2007.08.017</w:t>
      </w:r>
    </w:p>
    <w:p w14:paraId="02A03E69"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Mather, M. (2007). Emotional Arousal and Memory Binding: An Object-Based Framework. </w:t>
      </w:r>
      <w:r w:rsidRPr="00BF1D00">
        <w:rPr>
          <w:rFonts w:ascii="Calibri" w:hAnsi="Calibri" w:cs="Times New Roman"/>
          <w:i/>
          <w:iCs/>
          <w:noProof/>
          <w:szCs w:val="24"/>
        </w:rPr>
        <w:t>Perspectives on Psychological Science</w:t>
      </w:r>
      <w:r w:rsidRPr="00BF1D00">
        <w:rPr>
          <w:rFonts w:ascii="Calibri" w:hAnsi="Calibri" w:cs="Times New Roman"/>
          <w:noProof/>
          <w:szCs w:val="24"/>
        </w:rPr>
        <w:t xml:space="preserve">, </w:t>
      </w:r>
      <w:r w:rsidRPr="00BF1D00">
        <w:rPr>
          <w:rFonts w:ascii="Calibri" w:hAnsi="Calibri" w:cs="Times New Roman"/>
          <w:i/>
          <w:iCs/>
          <w:noProof/>
          <w:szCs w:val="24"/>
        </w:rPr>
        <w:t>2</w:t>
      </w:r>
      <w:r w:rsidRPr="00BF1D00">
        <w:rPr>
          <w:rFonts w:ascii="Calibri" w:hAnsi="Calibri" w:cs="Times New Roman"/>
          <w:noProof/>
          <w:szCs w:val="24"/>
        </w:rPr>
        <w:t>(1), 33–52. https://doi.org/10.1111/j.1745-6916.2007.00028.x</w:t>
      </w:r>
    </w:p>
    <w:p w14:paraId="5886EE34"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Mather, M., Clewett, D., Sakaki, M., &amp; Harley, C. W. (2015). Norepinephrine ignites local hot spots of neuronal excitation: How arousal amplifies selectivity in perception and memory. </w:t>
      </w:r>
      <w:r w:rsidRPr="00BF1D00">
        <w:rPr>
          <w:rFonts w:ascii="Calibri" w:hAnsi="Calibri" w:cs="Times New Roman"/>
          <w:i/>
          <w:iCs/>
          <w:noProof/>
          <w:szCs w:val="24"/>
        </w:rPr>
        <w:t>Behavioral and Brain Sciences</w:t>
      </w:r>
      <w:r w:rsidRPr="00BF1D00">
        <w:rPr>
          <w:rFonts w:ascii="Calibri" w:hAnsi="Calibri" w:cs="Times New Roman"/>
          <w:noProof/>
          <w:szCs w:val="24"/>
        </w:rPr>
        <w:t>, (June), 1–100. https://doi.org/10.1017/S0140525X15000667</w:t>
      </w:r>
    </w:p>
    <w:p w14:paraId="4B6D133D"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Mather, M., Clewett, D., Sakaki, M., &amp; Harley, C. W. (2017). Norepinephrine ignites local hotspots of neuronal excitation: How arousal amplifies selectivity in perception and memory. https://doi.org/10.1017/S0140525X15000667</w:t>
      </w:r>
    </w:p>
    <w:p w14:paraId="3287ED8B"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Mather, M., &amp; Knight, M. (2009). Reconciling findings of emotion-induced memory enhancement and impairment of preceding items. </w:t>
      </w:r>
      <w:r w:rsidRPr="00BF1D00">
        <w:rPr>
          <w:rFonts w:ascii="Calibri" w:hAnsi="Calibri" w:cs="Times New Roman"/>
          <w:i/>
          <w:iCs/>
          <w:noProof/>
          <w:szCs w:val="24"/>
        </w:rPr>
        <w:t>Emotion</w:t>
      </w:r>
      <w:r w:rsidRPr="00BF1D00">
        <w:rPr>
          <w:rFonts w:ascii="Calibri" w:hAnsi="Calibri" w:cs="Times New Roman"/>
          <w:noProof/>
          <w:szCs w:val="24"/>
        </w:rPr>
        <w:t xml:space="preserve">, </w:t>
      </w:r>
      <w:r w:rsidRPr="00BF1D00">
        <w:rPr>
          <w:rFonts w:ascii="Calibri" w:hAnsi="Calibri" w:cs="Times New Roman"/>
          <w:i/>
          <w:iCs/>
          <w:noProof/>
          <w:szCs w:val="24"/>
        </w:rPr>
        <w:t>9</w:t>
      </w:r>
      <w:r w:rsidRPr="00BF1D00">
        <w:rPr>
          <w:rFonts w:ascii="Calibri" w:hAnsi="Calibri" w:cs="Times New Roman"/>
          <w:noProof/>
          <w:szCs w:val="24"/>
        </w:rPr>
        <w:t>(6), 763–781. https://doi.org/10.1037/a0017281.Reconciling</w:t>
      </w:r>
    </w:p>
    <w:p w14:paraId="23B0B3EE"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Mather, M., &amp; Sutherland, M. R. (2011). Arousal-Biased Competition in Perception and Memory. </w:t>
      </w:r>
      <w:r w:rsidRPr="00BF1D00">
        <w:rPr>
          <w:rFonts w:ascii="Calibri" w:hAnsi="Calibri" w:cs="Times New Roman"/>
          <w:i/>
          <w:iCs/>
          <w:noProof/>
          <w:szCs w:val="24"/>
        </w:rPr>
        <w:t>Perspectives on Psychological Science : A Journal of the Association for Psychological Science</w:t>
      </w:r>
      <w:r w:rsidRPr="00BF1D00">
        <w:rPr>
          <w:rFonts w:ascii="Calibri" w:hAnsi="Calibri" w:cs="Times New Roman"/>
          <w:noProof/>
          <w:szCs w:val="24"/>
        </w:rPr>
        <w:t xml:space="preserve">, </w:t>
      </w:r>
      <w:r w:rsidRPr="00BF1D00">
        <w:rPr>
          <w:rFonts w:ascii="Calibri" w:hAnsi="Calibri" w:cs="Times New Roman"/>
          <w:i/>
          <w:iCs/>
          <w:noProof/>
          <w:szCs w:val="24"/>
        </w:rPr>
        <w:t>6</w:t>
      </w:r>
      <w:r w:rsidRPr="00BF1D00">
        <w:rPr>
          <w:rFonts w:ascii="Calibri" w:hAnsi="Calibri" w:cs="Times New Roman"/>
          <w:noProof/>
          <w:szCs w:val="24"/>
        </w:rPr>
        <w:t>(2), 114–33. https://doi.org/10.1177/1745691611400234</w:t>
      </w:r>
    </w:p>
    <w:p w14:paraId="4CF38169"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McDaniel, M. A., &amp; Bugg, J. M. (2008). Instability in memory phenomena: A common puzzle and a unifying explanation. </w:t>
      </w:r>
      <w:r w:rsidRPr="00BF1D00">
        <w:rPr>
          <w:rFonts w:ascii="Calibri" w:hAnsi="Calibri" w:cs="Times New Roman"/>
          <w:i/>
          <w:iCs/>
          <w:noProof/>
          <w:szCs w:val="24"/>
        </w:rPr>
        <w:t>Psychonomic Bulletin &amp; Review</w:t>
      </w:r>
      <w:r w:rsidRPr="00BF1D00">
        <w:rPr>
          <w:rFonts w:ascii="Calibri" w:hAnsi="Calibri" w:cs="Times New Roman"/>
          <w:noProof/>
          <w:szCs w:val="24"/>
        </w:rPr>
        <w:t xml:space="preserve">, </w:t>
      </w:r>
      <w:r w:rsidRPr="00BF1D00">
        <w:rPr>
          <w:rFonts w:ascii="Calibri" w:hAnsi="Calibri" w:cs="Times New Roman"/>
          <w:i/>
          <w:iCs/>
          <w:noProof/>
          <w:szCs w:val="24"/>
        </w:rPr>
        <w:t>15</w:t>
      </w:r>
      <w:r w:rsidRPr="00BF1D00">
        <w:rPr>
          <w:rFonts w:ascii="Calibri" w:hAnsi="Calibri" w:cs="Times New Roman"/>
          <w:noProof/>
          <w:szCs w:val="24"/>
        </w:rPr>
        <w:t>(2), 237–255. https://doi.org/10.3758/PBR.15.2.237</w:t>
      </w:r>
    </w:p>
    <w:p w14:paraId="34B86BB7"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McDaniel, M. A., DeLosh, E. L., &amp; Merritt, P. S. (2000). Order information and retrieval distinctiveness: Recall of common versus bizarre material. </w:t>
      </w:r>
      <w:r w:rsidRPr="00BF1D00">
        <w:rPr>
          <w:rFonts w:ascii="Calibri" w:hAnsi="Calibri" w:cs="Times New Roman"/>
          <w:i/>
          <w:iCs/>
          <w:noProof/>
          <w:szCs w:val="24"/>
        </w:rPr>
        <w:t>Journal of Experimental Psychology: Learning, Memory, and Cognition</w:t>
      </w:r>
      <w:r w:rsidRPr="00BF1D00">
        <w:rPr>
          <w:rFonts w:ascii="Calibri" w:hAnsi="Calibri" w:cs="Times New Roman"/>
          <w:noProof/>
          <w:szCs w:val="24"/>
        </w:rPr>
        <w:t xml:space="preserve">, </w:t>
      </w:r>
      <w:r w:rsidRPr="00BF1D00">
        <w:rPr>
          <w:rFonts w:ascii="Calibri" w:hAnsi="Calibri" w:cs="Times New Roman"/>
          <w:i/>
          <w:iCs/>
          <w:noProof/>
          <w:szCs w:val="24"/>
        </w:rPr>
        <w:t>26</w:t>
      </w:r>
      <w:r w:rsidRPr="00BF1D00">
        <w:rPr>
          <w:rFonts w:ascii="Calibri" w:hAnsi="Calibri" w:cs="Times New Roman"/>
          <w:noProof/>
          <w:szCs w:val="24"/>
        </w:rPr>
        <w:t>(4), 1045–1056. https://doi.org/10.1037/0278-7393.26.4.1045</w:t>
      </w:r>
    </w:p>
    <w:p w14:paraId="22092BC4"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McGaugh, J. L., Müller, G. E., Pilzecker, A., Glickman, S. E., Lechner, H. A., Squire, L. R., … Izquierdo, L. A. (2000). Memory--a century of consolidation. </w:t>
      </w:r>
      <w:r w:rsidRPr="00BF1D00">
        <w:rPr>
          <w:rFonts w:ascii="Calibri" w:hAnsi="Calibri" w:cs="Times New Roman"/>
          <w:i/>
          <w:iCs/>
          <w:noProof/>
          <w:szCs w:val="24"/>
        </w:rPr>
        <w:t>Science (New York, N.Y.)</w:t>
      </w:r>
      <w:r w:rsidRPr="00BF1D00">
        <w:rPr>
          <w:rFonts w:ascii="Calibri" w:hAnsi="Calibri" w:cs="Times New Roman"/>
          <w:noProof/>
          <w:szCs w:val="24"/>
        </w:rPr>
        <w:t xml:space="preserve">, </w:t>
      </w:r>
      <w:r w:rsidRPr="00BF1D00">
        <w:rPr>
          <w:rFonts w:ascii="Calibri" w:hAnsi="Calibri" w:cs="Times New Roman"/>
          <w:i/>
          <w:iCs/>
          <w:noProof/>
          <w:szCs w:val="24"/>
        </w:rPr>
        <w:t>287</w:t>
      </w:r>
      <w:r w:rsidRPr="00BF1D00">
        <w:rPr>
          <w:rFonts w:ascii="Calibri" w:hAnsi="Calibri" w:cs="Times New Roman"/>
          <w:noProof/>
          <w:szCs w:val="24"/>
        </w:rPr>
        <w:t>(5451), 248–51. https://doi.org/10.1126/science.287.5451.248</w:t>
      </w:r>
    </w:p>
    <w:p w14:paraId="54E0C157"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McKenzie, S., &amp; Eichenbaum, H. (2011). Consolidation and reconsolidation: two lives of memories? </w:t>
      </w:r>
      <w:r w:rsidRPr="00BF1D00">
        <w:rPr>
          <w:rFonts w:ascii="Calibri" w:hAnsi="Calibri" w:cs="Times New Roman"/>
          <w:i/>
          <w:iCs/>
          <w:noProof/>
          <w:szCs w:val="24"/>
        </w:rPr>
        <w:t>Neuron</w:t>
      </w:r>
      <w:r w:rsidRPr="00BF1D00">
        <w:rPr>
          <w:rFonts w:ascii="Calibri" w:hAnsi="Calibri" w:cs="Times New Roman"/>
          <w:noProof/>
          <w:szCs w:val="24"/>
        </w:rPr>
        <w:t xml:space="preserve">, </w:t>
      </w:r>
      <w:r w:rsidRPr="00BF1D00">
        <w:rPr>
          <w:rFonts w:ascii="Calibri" w:hAnsi="Calibri" w:cs="Times New Roman"/>
          <w:i/>
          <w:iCs/>
          <w:noProof/>
          <w:szCs w:val="24"/>
        </w:rPr>
        <w:t>71</w:t>
      </w:r>
      <w:r w:rsidRPr="00BF1D00">
        <w:rPr>
          <w:rFonts w:ascii="Calibri" w:hAnsi="Calibri" w:cs="Times New Roman"/>
          <w:noProof/>
          <w:szCs w:val="24"/>
        </w:rPr>
        <w:t>(2), 224–33. https://doi.org/10.1016/j.neuron.2011.06.037</w:t>
      </w:r>
    </w:p>
    <w:p w14:paraId="4D65F6DA"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Momennejad, I., Russek, E., Cheong, J. H., Botvinick, M. M., Daw, N. D., &amp; Gershman, S. J. (2017). The successor representation in human reinforcement learning. </w:t>
      </w:r>
      <w:r w:rsidRPr="00BF1D00">
        <w:rPr>
          <w:rFonts w:ascii="Calibri" w:hAnsi="Calibri" w:cs="Times New Roman"/>
          <w:i/>
          <w:iCs/>
          <w:noProof/>
          <w:szCs w:val="24"/>
        </w:rPr>
        <w:t>Nature Human Behaviour</w:t>
      </w:r>
      <w:r w:rsidRPr="00BF1D00">
        <w:rPr>
          <w:rFonts w:ascii="Calibri" w:hAnsi="Calibri" w:cs="Times New Roman"/>
          <w:noProof/>
          <w:szCs w:val="24"/>
        </w:rPr>
        <w:t xml:space="preserve">, </w:t>
      </w:r>
      <w:r w:rsidRPr="00BF1D00">
        <w:rPr>
          <w:rFonts w:ascii="Calibri" w:hAnsi="Calibri" w:cs="Times New Roman"/>
          <w:i/>
          <w:iCs/>
          <w:noProof/>
          <w:szCs w:val="24"/>
        </w:rPr>
        <w:t>1</w:t>
      </w:r>
      <w:r w:rsidRPr="00BF1D00">
        <w:rPr>
          <w:rFonts w:ascii="Calibri" w:hAnsi="Calibri" w:cs="Times New Roman"/>
          <w:noProof/>
          <w:szCs w:val="24"/>
        </w:rPr>
        <w:t>(9), 680.</w:t>
      </w:r>
    </w:p>
    <w:p w14:paraId="5BBBF7A3"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Moscovitch, M., Cabeza, R., Winocur, G., &amp; Nadel, L. (2016). Episodic Memory and Beyond: The Hippocampus and Neocortex in Transformation. </w:t>
      </w:r>
      <w:r w:rsidRPr="00BF1D00">
        <w:rPr>
          <w:rFonts w:ascii="Calibri" w:hAnsi="Calibri" w:cs="Times New Roman"/>
          <w:i/>
          <w:iCs/>
          <w:noProof/>
          <w:szCs w:val="24"/>
        </w:rPr>
        <w:t>Annual Review of Psychology</w:t>
      </w:r>
      <w:r w:rsidRPr="00BF1D00">
        <w:rPr>
          <w:rFonts w:ascii="Calibri" w:hAnsi="Calibri" w:cs="Times New Roman"/>
          <w:noProof/>
          <w:szCs w:val="24"/>
        </w:rPr>
        <w:t xml:space="preserve">, </w:t>
      </w:r>
      <w:r w:rsidRPr="00BF1D00">
        <w:rPr>
          <w:rFonts w:ascii="Calibri" w:hAnsi="Calibri" w:cs="Times New Roman"/>
          <w:i/>
          <w:iCs/>
          <w:noProof/>
          <w:szCs w:val="24"/>
        </w:rPr>
        <w:t>67</w:t>
      </w:r>
      <w:r w:rsidRPr="00BF1D00">
        <w:rPr>
          <w:rFonts w:ascii="Calibri" w:hAnsi="Calibri" w:cs="Times New Roman"/>
          <w:noProof/>
          <w:szCs w:val="24"/>
        </w:rPr>
        <w:t>(1), 105–134. https://doi.org/10.1146/annurev-psych-113011-143733</w:t>
      </w:r>
    </w:p>
    <w:p w14:paraId="55181E60"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Murray, B. D., &amp; Kensinger, E. A. (2012). The effects of emotion and encoding strategy on associative memory. </w:t>
      </w:r>
      <w:r w:rsidRPr="00BF1D00">
        <w:rPr>
          <w:rFonts w:ascii="Calibri" w:hAnsi="Calibri" w:cs="Times New Roman"/>
          <w:i/>
          <w:iCs/>
          <w:noProof/>
          <w:szCs w:val="24"/>
        </w:rPr>
        <w:t>Memory &amp; Cognition</w:t>
      </w:r>
      <w:r w:rsidRPr="00BF1D00">
        <w:rPr>
          <w:rFonts w:ascii="Calibri" w:hAnsi="Calibri" w:cs="Times New Roman"/>
          <w:noProof/>
          <w:szCs w:val="24"/>
        </w:rPr>
        <w:t xml:space="preserve">, </w:t>
      </w:r>
      <w:r w:rsidRPr="00BF1D00">
        <w:rPr>
          <w:rFonts w:ascii="Calibri" w:hAnsi="Calibri" w:cs="Times New Roman"/>
          <w:i/>
          <w:iCs/>
          <w:noProof/>
          <w:szCs w:val="24"/>
        </w:rPr>
        <w:t>40</w:t>
      </w:r>
      <w:r w:rsidRPr="00BF1D00">
        <w:rPr>
          <w:rFonts w:ascii="Calibri" w:hAnsi="Calibri" w:cs="Times New Roman"/>
          <w:noProof/>
          <w:szCs w:val="24"/>
        </w:rPr>
        <w:t>(7), 1056–1069. https://doi.org/10.3758/s13421-012-0215-3</w:t>
      </w:r>
    </w:p>
    <w:p w14:paraId="195233E0"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Neath, I. (1993). Contextual and Distinctive Processes and the Serial Position Function. </w:t>
      </w:r>
      <w:r w:rsidRPr="00BF1D00">
        <w:rPr>
          <w:rFonts w:ascii="Calibri" w:hAnsi="Calibri" w:cs="Times New Roman"/>
          <w:i/>
          <w:iCs/>
          <w:noProof/>
          <w:szCs w:val="24"/>
        </w:rPr>
        <w:t>Journal of Memory and Language</w:t>
      </w:r>
      <w:r w:rsidRPr="00BF1D00">
        <w:rPr>
          <w:rFonts w:ascii="Calibri" w:hAnsi="Calibri" w:cs="Times New Roman"/>
          <w:noProof/>
          <w:szCs w:val="24"/>
        </w:rPr>
        <w:t xml:space="preserve">, </w:t>
      </w:r>
      <w:r w:rsidRPr="00BF1D00">
        <w:rPr>
          <w:rFonts w:ascii="Calibri" w:hAnsi="Calibri" w:cs="Times New Roman"/>
          <w:i/>
          <w:iCs/>
          <w:noProof/>
          <w:szCs w:val="24"/>
        </w:rPr>
        <w:t>32</w:t>
      </w:r>
      <w:r w:rsidRPr="00BF1D00">
        <w:rPr>
          <w:rFonts w:ascii="Calibri" w:hAnsi="Calibri" w:cs="Times New Roman"/>
          <w:noProof/>
          <w:szCs w:val="24"/>
        </w:rPr>
        <w:t>(6), 820–840. https://doi.org/10.1006/jmla.1993.1041</w:t>
      </w:r>
    </w:p>
    <w:p w14:paraId="019CDA8A"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Neath, I., &amp; Brown, G. D. A. (2006). SIMPLE: Further applications of a local distinctiveness model of memory. </w:t>
      </w:r>
      <w:r w:rsidRPr="00BF1D00">
        <w:rPr>
          <w:rFonts w:ascii="Calibri" w:hAnsi="Calibri" w:cs="Times New Roman"/>
          <w:i/>
          <w:iCs/>
          <w:noProof/>
          <w:szCs w:val="24"/>
        </w:rPr>
        <w:t>The Psychology of Learning and Motivation</w:t>
      </w:r>
      <w:r w:rsidRPr="00BF1D00">
        <w:rPr>
          <w:rFonts w:ascii="Calibri" w:hAnsi="Calibri" w:cs="Times New Roman"/>
          <w:noProof/>
          <w:szCs w:val="24"/>
        </w:rPr>
        <w:t xml:space="preserve">, </w:t>
      </w:r>
      <w:r w:rsidRPr="00BF1D00">
        <w:rPr>
          <w:rFonts w:ascii="Calibri" w:hAnsi="Calibri" w:cs="Times New Roman"/>
          <w:i/>
          <w:iCs/>
          <w:noProof/>
          <w:szCs w:val="24"/>
        </w:rPr>
        <w:t>46</w:t>
      </w:r>
      <w:r w:rsidRPr="00BF1D00">
        <w:rPr>
          <w:rFonts w:ascii="Calibri" w:hAnsi="Calibri" w:cs="Times New Roman"/>
          <w:noProof/>
          <w:szCs w:val="24"/>
        </w:rPr>
        <w:t>. Retrieved from http://memory.psych.mun.ca/pubs/articles/j60.shtml</w:t>
      </w:r>
    </w:p>
    <w:p w14:paraId="7978A284"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Patil, A., Murty, V. P., Dunsmoor, J. E., Phelps, E. A., &amp; Davachi, L. (2017). Reward retroactively enhances memory consolidation for related items. </w:t>
      </w:r>
      <w:r w:rsidRPr="00BF1D00">
        <w:rPr>
          <w:rFonts w:ascii="Calibri" w:hAnsi="Calibri" w:cs="Times New Roman"/>
          <w:i/>
          <w:iCs/>
          <w:noProof/>
          <w:szCs w:val="24"/>
        </w:rPr>
        <w:t>Learning &amp; Memory (Cold Spring Harbor, N.Y.)</w:t>
      </w:r>
      <w:r w:rsidRPr="00BF1D00">
        <w:rPr>
          <w:rFonts w:ascii="Calibri" w:hAnsi="Calibri" w:cs="Times New Roman"/>
          <w:noProof/>
          <w:szCs w:val="24"/>
        </w:rPr>
        <w:t xml:space="preserve">, </w:t>
      </w:r>
      <w:r w:rsidRPr="00BF1D00">
        <w:rPr>
          <w:rFonts w:ascii="Calibri" w:hAnsi="Calibri" w:cs="Times New Roman"/>
          <w:i/>
          <w:iCs/>
          <w:noProof/>
          <w:szCs w:val="24"/>
        </w:rPr>
        <w:t>24</w:t>
      </w:r>
      <w:r w:rsidRPr="00BF1D00">
        <w:rPr>
          <w:rFonts w:ascii="Calibri" w:hAnsi="Calibri" w:cs="Times New Roman"/>
          <w:noProof/>
          <w:szCs w:val="24"/>
        </w:rPr>
        <w:t>(1), 65–69. https://doi.org/10.1101/lm.042978.116</w:t>
      </w:r>
    </w:p>
    <w:p w14:paraId="23FF9F9C"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Pearce, J. M., &amp; Hall, G. (1980). A model for Pavlovian learning: Variations in the effectiveness of conditioned but not of unconditioned stimuli. </w:t>
      </w:r>
      <w:r w:rsidRPr="00BF1D00">
        <w:rPr>
          <w:rFonts w:ascii="Calibri" w:hAnsi="Calibri" w:cs="Times New Roman"/>
          <w:i/>
          <w:iCs/>
          <w:noProof/>
          <w:szCs w:val="24"/>
        </w:rPr>
        <w:t>Psychological Review</w:t>
      </w:r>
      <w:r w:rsidRPr="00BF1D00">
        <w:rPr>
          <w:rFonts w:ascii="Calibri" w:hAnsi="Calibri" w:cs="Times New Roman"/>
          <w:noProof/>
          <w:szCs w:val="24"/>
        </w:rPr>
        <w:t xml:space="preserve">, </w:t>
      </w:r>
      <w:r w:rsidRPr="00BF1D00">
        <w:rPr>
          <w:rFonts w:ascii="Calibri" w:hAnsi="Calibri" w:cs="Times New Roman"/>
          <w:i/>
          <w:iCs/>
          <w:noProof/>
          <w:szCs w:val="24"/>
        </w:rPr>
        <w:t>87</w:t>
      </w:r>
      <w:r w:rsidRPr="00BF1D00">
        <w:rPr>
          <w:rFonts w:ascii="Calibri" w:hAnsi="Calibri" w:cs="Times New Roman"/>
          <w:noProof/>
          <w:szCs w:val="24"/>
        </w:rPr>
        <w:t>(6), 532–552. https://doi.org/10.1037/0033-295X.87.6.532</w:t>
      </w:r>
    </w:p>
    <w:p w14:paraId="209AFA11"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Polich, J. (2007). Updating P300: An integrative theory of P3a and P3b. </w:t>
      </w:r>
      <w:r w:rsidRPr="00BF1D00">
        <w:rPr>
          <w:rFonts w:ascii="Calibri" w:hAnsi="Calibri" w:cs="Times New Roman"/>
          <w:i/>
          <w:iCs/>
          <w:noProof/>
          <w:szCs w:val="24"/>
        </w:rPr>
        <w:t>Clinical Neurophysiology</w:t>
      </w:r>
      <w:r w:rsidRPr="00BF1D00">
        <w:rPr>
          <w:rFonts w:ascii="Calibri" w:hAnsi="Calibri" w:cs="Times New Roman"/>
          <w:noProof/>
          <w:szCs w:val="24"/>
        </w:rPr>
        <w:t xml:space="preserve">, </w:t>
      </w:r>
      <w:r w:rsidRPr="00BF1D00">
        <w:rPr>
          <w:rFonts w:ascii="Calibri" w:hAnsi="Calibri" w:cs="Times New Roman"/>
          <w:i/>
          <w:iCs/>
          <w:noProof/>
          <w:szCs w:val="24"/>
        </w:rPr>
        <w:t>118</w:t>
      </w:r>
      <w:r w:rsidRPr="00BF1D00">
        <w:rPr>
          <w:rFonts w:ascii="Calibri" w:hAnsi="Calibri" w:cs="Times New Roman"/>
          <w:noProof/>
          <w:szCs w:val="24"/>
        </w:rPr>
        <w:t>(10), 2128–2148. https://doi.org/10.1016/j.clinph.2007.04.019</w:t>
      </w:r>
    </w:p>
    <w:p w14:paraId="74782235"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Polyn, S. M., Erlikhman, &amp; Kahana, M. (2011). Semantic Cuing and the Scale Insensitivity of Recency and Contiguity, </w:t>
      </w:r>
      <w:r w:rsidRPr="00BF1D00">
        <w:rPr>
          <w:rFonts w:ascii="Calibri" w:hAnsi="Calibri" w:cs="Times New Roman"/>
          <w:i/>
          <w:iCs/>
          <w:noProof/>
          <w:szCs w:val="24"/>
        </w:rPr>
        <w:t>37</w:t>
      </w:r>
      <w:r w:rsidRPr="00BF1D00">
        <w:rPr>
          <w:rFonts w:ascii="Calibri" w:hAnsi="Calibri" w:cs="Times New Roman"/>
          <w:noProof/>
          <w:szCs w:val="24"/>
        </w:rPr>
        <w:t>(3), 766–775. https://doi.org/10.1016/j.pestbp.2011.02.012.Investigations</w:t>
      </w:r>
    </w:p>
    <w:p w14:paraId="3FC548C2"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Polyn, S. M., Norman, K. A., &amp; Kahana, M. J. (2009). A context maintenance and retrieval model of organizational processes in free recall, </w:t>
      </w:r>
      <w:r w:rsidRPr="00BF1D00">
        <w:rPr>
          <w:rFonts w:ascii="Calibri" w:hAnsi="Calibri" w:cs="Times New Roman"/>
          <w:i/>
          <w:iCs/>
          <w:noProof/>
          <w:szCs w:val="24"/>
        </w:rPr>
        <w:t>116</w:t>
      </w:r>
      <w:r w:rsidRPr="00BF1D00">
        <w:rPr>
          <w:rFonts w:ascii="Calibri" w:hAnsi="Calibri" w:cs="Times New Roman"/>
          <w:noProof/>
          <w:szCs w:val="24"/>
        </w:rPr>
        <w:t>(1), 129–156. https://doi.org/10.1037/a0014420.A</w:t>
      </w:r>
    </w:p>
    <w:p w14:paraId="0E851DE9"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Pottage, C. L., &amp; Schaefer,  a. (2012). Visual attention and emotional memory: recall of aversive pictures is partially mediated by concurrent task performance. </w:t>
      </w:r>
      <w:r w:rsidRPr="00BF1D00">
        <w:rPr>
          <w:rFonts w:ascii="Calibri" w:hAnsi="Calibri" w:cs="Times New Roman"/>
          <w:i/>
          <w:iCs/>
          <w:noProof/>
          <w:szCs w:val="24"/>
        </w:rPr>
        <w:t>Emotion</w:t>
      </w:r>
      <w:r w:rsidRPr="00BF1D00">
        <w:rPr>
          <w:rFonts w:ascii="Calibri" w:hAnsi="Calibri" w:cs="Times New Roman"/>
          <w:noProof/>
          <w:szCs w:val="24"/>
        </w:rPr>
        <w:t xml:space="preserve">, </w:t>
      </w:r>
      <w:r w:rsidRPr="00BF1D00">
        <w:rPr>
          <w:rFonts w:ascii="Calibri" w:hAnsi="Calibri" w:cs="Times New Roman"/>
          <w:i/>
          <w:iCs/>
          <w:noProof/>
          <w:szCs w:val="24"/>
        </w:rPr>
        <w:t>12</w:t>
      </w:r>
      <w:r w:rsidRPr="00BF1D00">
        <w:rPr>
          <w:rFonts w:ascii="Calibri" w:hAnsi="Calibri" w:cs="Times New Roman"/>
          <w:noProof/>
          <w:szCs w:val="24"/>
        </w:rPr>
        <w:t>(1), 33–38. https://doi.org/10.1037/a0024574</w:t>
      </w:r>
    </w:p>
    <w:p w14:paraId="23D9288C"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Pourtois, G., Schettino, A., &amp; Vuilleumier, P. (2013). Brain mechanisms for emotional influences on perception and attention: What is magic and what is not. </w:t>
      </w:r>
      <w:r w:rsidRPr="00BF1D00">
        <w:rPr>
          <w:rFonts w:ascii="Calibri" w:hAnsi="Calibri" w:cs="Times New Roman"/>
          <w:i/>
          <w:iCs/>
          <w:noProof/>
          <w:szCs w:val="24"/>
        </w:rPr>
        <w:t>Biological Psychology</w:t>
      </w:r>
      <w:r w:rsidRPr="00BF1D00">
        <w:rPr>
          <w:rFonts w:ascii="Calibri" w:hAnsi="Calibri" w:cs="Times New Roman"/>
          <w:noProof/>
          <w:szCs w:val="24"/>
        </w:rPr>
        <w:t>. https://doi.org/10.1016/j.biopsycho.2012.02.007</w:t>
      </w:r>
    </w:p>
    <w:p w14:paraId="5CF53F7A"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Rao, V. a, &amp; Howard, M. W. (2008). Retrieved context and the discovery of semantic structure. </w:t>
      </w:r>
      <w:r w:rsidRPr="00BF1D00">
        <w:rPr>
          <w:rFonts w:ascii="Calibri" w:hAnsi="Calibri" w:cs="Times New Roman"/>
          <w:i/>
          <w:iCs/>
          <w:noProof/>
          <w:szCs w:val="24"/>
        </w:rPr>
        <w:t>Advances in Neural Information Processing Systems</w:t>
      </w:r>
      <w:r w:rsidRPr="00BF1D00">
        <w:rPr>
          <w:rFonts w:ascii="Calibri" w:hAnsi="Calibri" w:cs="Times New Roman"/>
          <w:noProof/>
          <w:szCs w:val="24"/>
        </w:rPr>
        <w:t xml:space="preserve">, </w:t>
      </w:r>
      <w:r w:rsidRPr="00BF1D00">
        <w:rPr>
          <w:rFonts w:ascii="Calibri" w:hAnsi="Calibri" w:cs="Times New Roman"/>
          <w:i/>
          <w:iCs/>
          <w:noProof/>
          <w:szCs w:val="24"/>
        </w:rPr>
        <w:t>20</w:t>
      </w:r>
      <w:r w:rsidRPr="00BF1D00">
        <w:rPr>
          <w:rFonts w:ascii="Calibri" w:hAnsi="Calibri" w:cs="Times New Roman"/>
          <w:noProof/>
          <w:szCs w:val="24"/>
        </w:rPr>
        <w:t>, 1193–1200. Retrieved from http://www.pubmedcentral.nih.gov/articlerender.fcgi?artid=2600676&amp;tool=pmcentrez&amp;rendertype=abstract</w:t>
      </w:r>
    </w:p>
    <w:p w14:paraId="47910323"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Rashid, A. J., Yan, C., Mercaldo, V., Hsiang, H. L., Park, S., Cole, C. J., … Josselyn, S. A. (2016). Competition between engrams influences fear memory formation and recall. </w:t>
      </w:r>
      <w:r w:rsidRPr="00BF1D00">
        <w:rPr>
          <w:rFonts w:ascii="Calibri" w:hAnsi="Calibri" w:cs="Times New Roman"/>
          <w:i/>
          <w:iCs/>
          <w:noProof/>
          <w:szCs w:val="24"/>
        </w:rPr>
        <w:t>Science</w:t>
      </w:r>
      <w:r w:rsidRPr="00BF1D00">
        <w:rPr>
          <w:rFonts w:ascii="Calibri" w:hAnsi="Calibri" w:cs="Times New Roman"/>
          <w:noProof/>
          <w:szCs w:val="24"/>
        </w:rPr>
        <w:t xml:space="preserve">, </w:t>
      </w:r>
      <w:r w:rsidRPr="00BF1D00">
        <w:rPr>
          <w:rFonts w:ascii="Calibri" w:hAnsi="Calibri" w:cs="Times New Roman"/>
          <w:i/>
          <w:iCs/>
          <w:noProof/>
          <w:szCs w:val="24"/>
        </w:rPr>
        <w:t>353</w:t>
      </w:r>
      <w:r w:rsidRPr="00BF1D00">
        <w:rPr>
          <w:rFonts w:ascii="Calibri" w:hAnsi="Calibri" w:cs="Times New Roman"/>
          <w:noProof/>
          <w:szCs w:val="24"/>
        </w:rPr>
        <w:t>(6297), 383–387. https://doi.org/10.1126/science.aaf0594</w:t>
      </w:r>
    </w:p>
    <w:p w14:paraId="21322B0F"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Ratcliff, R., Clark, S. E., &amp; Shiffrin, R. M. (1990). List-strength effect: I. Data and discussion. </w:t>
      </w:r>
      <w:r w:rsidRPr="00BF1D00">
        <w:rPr>
          <w:rFonts w:ascii="Calibri" w:hAnsi="Calibri" w:cs="Times New Roman"/>
          <w:i/>
          <w:iCs/>
          <w:noProof/>
          <w:szCs w:val="24"/>
        </w:rPr>
        <w:t>Journal of Experimental Psychology: Learning, Memory, and Cognition</w:t>
      </w:r>
      <w:r w:rsidRPr="00BF1D00">
        <w:rPr>
          <w:rFonts w:ascii="Calibri" w:hAnsi="Calibri" w:cs="Times New Roman"/>
          <w:noProof/>
          <w:szCs w:val="24"/>
        </w:rPr>
        <w:t xml:space="preserve">, </w:t>
      </w:r>
      <w:r w:rsidRPr="00BF1D00">
        <w:rPr>
          <w:rFonts w:ascii="Calibri" w:hAnsi="Calibri" w:cs="Times New Roman"/>
          <w:i/>
          <w:iCs/>
          <w:noProof/>
          <w:szCs w:val="24"/>
        </w:rPr>
        <w:t>16</w:t>
      </w:r>
      <w:r w:rsidRPr="00BF1D00">
        <w:rPr>
          <w:rFonts w:ascii="Calibri" w:hAnsi="Calibri" w:cs="Times New Roman"/>
          <w:noProof/>
          <w:szCs w:val="24"/>
        </w:rPr>
        <w:t>, 163–178.</w:t>
      </w:r>
    </w:p>
    <w:p w14:paraId="1CAAB405"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Richards, B. A., Xia, F., Santoro, A., Husse, J., Woodin, M. A., Josselyn, S. A., &amp; Frankland, P. W. (2014). Patterns across multiple memories are identified over time. </w:t>
      </w:r>
      <w:r w:rsidRPr="00BF1D00">
        <w:rPr>
          <w:rFonts w:ascii="Calibri" w:hAnsi="Calibri" w:cs="Times New Roman"/>
          <w:i/>
          <w:iCs/>
          <w:noProof/>
          <w:szCs w:val="24"/>
        </w:rPr>
        <w:t>Nature Neuroscience</w:t>
      </w:r>
      <w:r w:rsidRPr="00BF1D00">
        <w:rPr>
          <w:rFonts w:ascii="Calibri" w:hAnsi="Calibri" w:cs="Times New Roman"/>
          <w:noProof/>
          <w:szCs w:val="24"/>
        </w:rPr>
        <w:t xml:space="preserve">, </w:t>
      </w:r>
      <w:r w:rsidRPr="00BF1D00">
        <w:rPr>
          <w:rFonts w:ascii="Calibri" w:hAnsi="Calibri" w:cs="Times New Roman"/>
          <w:i/>
          <w:iCs/>
          <w:noProof/>
          <w:szCs w:val="24"/>
        </w:rPr>
        <w:t>17</w:t>
      </w:r>
      <w:r w:rsidRPr="00BF1D00">
        <w:rPr>
          <w:rFonts w:ascii="Calibri" w:hAnsi="Calibri" w:cs="Times New Roman"/>
          <w:noProof/>
          <w:szCs w:val="24"/>
        </w:rPr>
        <w:t>(7), 981–986. https://doi.org/10.1038/nn.3736</w:t>
      </w:r>
    </w:p>
    <w:p w14:paraId="5BC8E7ED"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Riggs, L., McQuiggan, D. A., Farb, N., Anderson, A. K., &amp; Ryan, J. D. (2011). The Role of Overt Attention in Emotion-Modulated Memory. </w:t>
      </w:r>
      <w:r w:rsidRPr="00BF1D00">
        <w:rPr>
          <w:rFonts w:ascii="Calibri" w:hAnsi="Calibri" w:cs="Times New Roman"/>
          <w:i/>
          <w:iCs/>
          <w:noProof/>
          <w:szCs w:val="24"/>
        </w:rPr>
        <w:t>Emotion</w:t>
      </w:r>
      <w:r w:rsidRPr="00BF1D00">
        <w:rPr>
          <w:rFonts w:ascii="Calibri" w:hAnsi="Calibri" w:cs="Times New Roman"/>
          <w:noProof/>
          <w:szCs w:val="24"/>
        </w:rPr>
        <w:t xml:space="preserve">, </w:t>
      </w:r>
      <w:r w:rsidRPr="00BF1D00">
        <w:rPr>
          <w:rFonts w:ascii="Calibri" w:hAnsi="Calibri" w:cs="Times New Roman"/>
          <w:i/>
          <w:iCs/>
          <w:noProof/>
          <w:szCs w:val="24"/>
        </w:rPr>
        <w:t>11</w:t>
      </w:r>
      <w:r w:rsidRPr="00BF1D00">
        <w:rPr>
          <w:rFonts w:ascii="Calibri" w:hAnsi="Calibri" w:cs="Times New Roman"/>
          <w:noProof/>
          <w:szCs w:val="24"/>
        </w:rPr>
        <w:t>(4), 776–785. https://doi.org/10.1037/a0022591</w:t>
      </w:r>
    </w:p>
    <w:p w14:paraId="45764D35"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Russell, J. A. (1980). A circumplex model of affect. </w:t>
      </w:r>
      <w:r w:rsidRPr="00BF1D00">
        <w:rPr>
          <w:rFonts w:ascii="Calibri" w:hAnsi="Calibri" w:cs="Times New Roman"/>
          <w:i/>
          <w:iCs/>
          <w:noProof/>
          <w:szCs w:val="24"/>
        </w:rPr>
        <w:t>Journal of Personality and Social Psychology</w:t>
      </w:r>
      <w:r w:rsidRPr="00BF1D00">
        <w:rPr>
          <w:rFonts w:ascii="Calibri" w:hAnsi="Calibri" w:cs="Times New Roman"/>
          <w:noProof/>
          <w:szCs w:val="24"/>
        </w:rPr>
        <w:t xml:space="preserve">, </w:t>
      </w:r>
      <w:r w:rsidRPr="00BF1D00">
        <w:rPr>
          <w:rFonts w:ascii="Calibri" w:hAnsi="Calibri" w:cs="Times New Roman"/>
          <w:i/>
          <w:iCs/>
          <w:noProof/>
          <w:szCs w:val="24"/>
        </w:rPr>
        <w:t>39</w:t>
      </w:r>
      <w:r w:rsidRPr="00BF1D00">
        <w:rPr>
          <w:rFonts w:ascii="Calibri" w:hAnsi="Calibri" w:cs="Times New Roman"/>
          <w:noProof/>
          <w:szCs w:val="24"/>
        </w:rPr>
        <w:t>(6), 1161–1178. https://doi.org/10.1037/h0077714</w:t>
      </w:r>
    </w:p>
    <w:p w14:paraId="667CC97C"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Sahakyan, L., &amp; Smith, J. R. (2014). &amp;quot;A long time ago, in a context far, far away&amp;quot;: Retrospective time estimates and internal context change. </w:t>
      </w:r>
      <w:r w:rsidRPr="00BF1D00">
        <w:rPr>
          <w:rFonts w:ascii="Calibri" w:hAnsi="Calibri" w:cs="Times New Roman"/>
          <w:i/>
          <w:iCs/>
          <w:noProof/>
          <w:szCs w:val="24"/>
        </w:rPr>
        <w:t>Journal of Experimental Psychology: Learning, Memory, and Cognition</w:t>
      </w:r>
      <w:r w:rsidRPr="00BF1D00">
        <w:rPr>
          <w:rFonts w:ascii="Calibri" w:hAnsi="Calibri" w:cs="Times New Roman"/>
          <w:noProof/>
          <w:szCs w:val="24"/>
        </w:rPr>
        <w:t xml:space="preserve">, </w:t>
      </w:r>
      <w:r w:rsidRPr="00BF1D00">
        <w:rPr>
          <w:rFonts w:ascii="Calibri" w:hAnsi="Calibri" w:cs="Times New Roman"/>
          <w:i/>
          <w:iCs/>
          <w:noProof/>
          <w:szCs w:val="24"/>
        </w:rPr>
        <w:t>40</w:t>
      </w:r>
      <w:r w:rsidRPr="00BF1D00">
        <w:rPr>
          <w:rFonts w:ascii="Calibri" w:hAnsi="Calibri" w:cs="Times New Roman"/>
          <w:noProof/>
          <w:szCs w:val="24"/>
        </w:rPr>
        <w:t>(1), 86–93. https://doi.org/10.1037/a0034250</w:t>
      </w:r>
    </w:p>
    <w:p w14:paraId="5C4A9514"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Sander, D., Grandjean, D., &amp; Scherer, K. R. (2005). A systems approach to appraisal mechanisms in emotion. </w:t>
      </w:r>
      <w:r w:rsidRPr="00BF1D00">
        <w:rPr>
          <w:rFonts w:ascii="Calibri" w:hAnsi="Calibri" w:cs="Times New Roman"/>
          <w:i/>
          <w:iCs/>
          <w:noProof/>
          <w:szCs w:val="24"/>
        </w:rPr>
        <w:t>Neural Networks</w:t>
      </w:r>
      <w:r w:rsidRPr="00BF1D00">
        <w:rPr>
          <w:rFonts w:ascii="Calibri" w:hAnsi="Calibri" w:cs="Times New Roman"/>
          <w:noProof/>
          <w:szCs w:val="24"/>
        </w:rPr>
        <w:t>. https://doi.org/10.1016/j.neunet.2005.03.001</w:t>
      </w:r>
    </w:p>
    <w:p w14:paraId="344603D9"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Schacter, D. L., &amp; Addis, D. R. (2007). The cognitive neuroscience of constructive memory: remembering the past and imagining the future. </w:t>
      </w:r>
      <w:r w:rsidRPr="00BF1D00">
        <w:rPr>
          <w:rFonts w:ascii="Calibri" w:hAnsi="Calibri" w:cs="Times New Roman"/>
          <w:i/>
          <w:iCs/>
          <w:noProof/>
          <w:szCs w:val="24"/>
        </w:rPr>
        <w:t>Philosophical Transactions of the Royal Society of London. Series B, Biological Sciences</w:t>
      </w:r>
      <w:r w:rsidRPr="00BF1D00">
        <w:rPr>
          <w:rFonts w:ascii="Calibri" w:hAnsi="Calibri" w:cs="Times New Roman"/>
          <w:noProof/>
          <w:szCs w:val="24"/>
        </w:rPr>
        <w:t xml:space="preserve">, </w:t>
      </w:r>
      <w:r w:rsidRPr="00BF1D00">
        <w:rPr>
          <w:rFonts w:ascii="Calibri" w:hAnsi="Calibri" w:cs="Times New Roman"/>
          <w:i/>
          <w:iCs/>
          <w:noProof/>
          <w:szCs w:val="24"/>
        </w:rPr>
        <w:t>362</w:t>
      </w:r>
      <w:r w:rsidRPr="00BF1D00">
        <w:rPr>
          <w:rFonts w:ascii="Calibri" w:hAnsi="Calibri" w:cs="Times New Roman"/>
          <w:noProof/>
          <w:szCs w:val="24"/>
        </w:rPr>
        <w:t>(1481), 773–86. https://doi.org/10.1098/rstb.2007.2087</w:t>
      </w:r>
    </w:p>
    <w:p w14:paraId="7D0E5EAA"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Schmidt, S. R. (2002). Outstanding memories: the positive and negative effects of nudes on memory. </w:t>
      </w:r>
      <w:r w:rsidRPr="00BF1D00">
        <w:rPr>
          <w:rFonts w:ascii="Calibri" w:hAnsi="Calibri" w:cs="Times New Roman"/>
          <w:i/>
          <w:iCs/>
          <w:noProof/>
          <w:szCs w:val="24"/>
        </w:rPr>
        <w:t>Journal of Experimental Psychology. Learning, Memory, and Cognition</w:t>
      </w:r>
      <w:r w:rsidRPr="00BF1D00">
        <w:rPr>
          <w:rFonts w:ascii="Calibri" w:hAnsi="Calibri" w:cs="Times New Roman"/>
          <w:noProof/>
          <w:szCs w:val="24"/>
        </w:rPr>
        <w:t xml:space="preserve">, </w:t>
      </w:r>
      <w:r w:rsidRPr="00BF1D00">
        <w:rPr>
          <w:rFonts w:ascii="Calibri" w:hAnsi="Calibri" w:cs="Times New Roman"/>
          <w:i/>
          <w:iCs/>
          <w:noProof/>
          <w:szCs w:val="24"/>
        </w:rPr>
        <w:t>28</w:t>
      </w:r>
      <w:r w:rsidRPr="00BF1D00">
        <w:rPr>
          <w:rFonts w:ascii="Calibri" w:hAnsi="Calibri" w:cs="Times New Roman"/>
          <w:noProof/>
          <w:szCs w:val="24"/>
        </w:rPr>
        <w:t>(2), 353–361. https://doi.org/10.1037/0278-7393.28.2.353</w:t>
      </w:r>
    </w:p>
    <w:p w14:paraId="2B52A0DC"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Schmidt, S. R. (2012). </w:t>
      </w:r>
      <w:r w:rsidRPr="00BF1D00">
        <w:rPr>
          <w:rFonts w:ascii="Calibri" w:hAnsi="Calibri" w:cs="Times New Roman"/>
          <w:i/>
          <w:iCs/>
          <w:noProof/>
          <w:szCs w:val="24"/>
        </w:rPr>
        <w:t>Extraordinary Memories for Exceptional Events (Essays in Cognitive Psychology)</w:t>
      </w:r>
      <w:r w:rsidRPr="00BF1D00">
        <w:rPr>
          <w:rFonts w:ascii="Calibri" w:hAnsi="Calibri" w:cs="Times New Roman"/>
          <w:noProof/>
          <w:szCs w:val="24"/>
        </w:rPr>
        <w:t>. New York: Psychology Press.</w:t>
      </w:r>
    </w:p>
    <w:p w14:paraId="1BF1F091"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Schmidt, S. R., &amp; Saari, B. (2007). The emotional memory effect: differential processing or item distinctiveness? </w:t>
      </w:r>
      <w:r w:rsidRPr="00BF1D00">
        <w:rPr>
          <w:rFonts w:ascii="Calibri" w:hAnsi="Calibri" w:cs="Times New Roman"/>
          <w:i/>
          <w:iCs/>
          <w:noProof/>
          <w:szCs w:val="24"/>
        </w:rPr>
        <w:t>Memory &amp; Cognition</w:t>
      </w:r>
      <w:r w:rsidRPr="00BF1D00">
        <w:rPr>
          <w:rFonts w:ascii="Calibri" w:hAnsi="Calibri" w:cs="Times New Roman"/>
          <w:noProof/>
          <w:szCs w:val="24"/>
        </w:rPr>
        <w:t xml:space="preserve">, </w:t>
      </w:r>
      <w:r w:rsidRPr="00BF1D00">
        <w:rPr>
          <w:rFonts w:ascii="Calibri" w:hAnsi="Calibri" w:cs="Times New Roman"/>
          <w:i/>
          <w:iCs/>
          <w:noProof/>
          <w:szCs w:val="24"/>
        </w:rPr>
        <w:t>35</w:t>
      </w:r>
      <w:r w:rsidRPr="00BF1D00">
        <w:rPr>
          <w:rFonts w:ascii="Calibri" w:hAnsi="Calibri" w:cs="Times New Roman"/>
          <w:noProof/>
          <w:szCs w:val="24"/>
        </w:rPr>
        <w:t>(8), 1905–1916. https://doi.org/10.3758/BF03192924</w:t>
      </w:r>
    </w:p>
    <w:p w14:paraId="2BA69995"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Schmidt, S. R., &amp; Schmidt, C. R. (2016). The emotional carryover effect in memory for words. </w:t>
      </w:r>
      <w:r w:rsidRPr="00BF1D00">
        <w:rPr>
          <w:rFonts w:ascii="Calibri" w:hAnsi="Calibri" w:cs="Times New Roman"/>
          <w:i/>
          <w:iCs/>
          <w:noProof/>
          <w:szCs w:val="24"/>
        </w:rPr>
        <w:t>Memory</w:t>
      </w:r>
      <w:r w:rsidRPr="00BF1D00">
        <w:rPr>
          <w:rFonts w:ascii="Calibri" w:hAnsi="Calibri" w:cs="Times New Roman"/>
          <w:noProof/>
          <w:szCs w:val="24"/>
        </w:rPr>
        <w:t xml:space="preserve">, </w:t>
      </w:r>
      <w:r w:rsidRPr="00BF1D00">
        <w:rPr>
          <w:rFonts w:ascii="Calibri" w:hAnsi="Calibri" w:cs="Times New Roman"/>
          <w:i/>
          <w:iCs/>
          <w:noProof/>
          <w:szCs w:val="24"/>
        </w:rPr>
        <w:t>8211</w:t>
      </w:r>
      <w:r w:rsidRPr="00BF1D00">
        <w:rPr>
          <w:rFonts w:ascii="Calibri" w:hAnsi="Calibri" w:cs="Times New Roman"/>
          <w:noProof/>
          <w:szCs w:val="24"/>
        </w:rPr>
        <w:t>(September), 1–23. https://doi.org/10.1080/09658211.2015.1059859</w:t>
      </w:r>
    </w:p>
    <w:p w14:paraId="315EB7BB"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Schneider, D. W., &amp; Logan, G. D. (2006). Priming cue encoding by manipulating transition frequency in explicitly cued task switching. </w:t>
      </w:r>
      <w:r w:rsidRPr="00BF1D00">
        <w:rPr>
          <w:rFonts w:ascii="Calibri" w:hAnsi="Calibri" w:cs="Times New Roman"/>
          <w:i/>
          <w:iCs/>
          <w:noProof/>
          <w:szCs w:val="24"/>
        </w:rPr>
        <w:t>Psychonomic Bulletin &amp; Review</w:t>
      </w:r>
      <w:r w:rsidRPr="00BF1D00">
        <w:rPr>
          <w:rFonts w:ascii="Calibri" w:hAnsi="Calibri" w:cs="Times New Roman"/>
          <w:noProof/>
          <w:szCs w:val="24"/>
        </w:rPr>
        <w:t xml:space="preserve">, </w:t>
      </w:r>
      <w:r w:rsidRPr="00BF1D00">
        <w:rPr>
          <w:rFonts w:ascii="Calibri" w:hAnsi="Calibri" w:cs="Times New Roman"/>
          <w:i/>
          <w:iCs/>
          <w:noProof/>
          <w:szCs w:val="24"/>
        </w:rPr>
        <w:t>13</w:t>
      </w:r>
      <w:r w:rsidRPr="00BF1D00">
        <w:rPr>
          <w:rFonts w:ascii="Calibri" w:hAnsi="Calibri" w:cs="Times New Roman"/>
          <w:noProof/>
          <w:szCs w:val="24"/>
        </w:rPr>
        <w:t>(1), 145–151. Retrieved from https://link.springer.com/content/pdf/10.3758%2FBF03193826.pdf</w:t>
      </w:r>
    </w:p>
    <w:p w14:paraId="19BB492B"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Schooler, L. J., Anderson, J. R., Estes, W., Lovett, M., Murdock, B., Schooler, C., … Wixted, J. (1997). The Role of Process in the Rational Analysis of Memory. </w:t>
      </w:r>
      <w:r w:rsidRPr="00BF1D00">
        <w:rPr>
          <w:rFonts w:ascii="Calibri" w:hAnsi="Calibri" w:cs="Times New Roman"/>
          <w:i/>
          <w:iCs/>
          <w:noProof/>
          <w:szCs w:val="24"/>
        </w:rPr>
        <w:t>COGNITIVE PSYCHOLOGY</w:t>
      </w:r>
      <w:r w:rsidRPr="00BF1D00">
        <w:rPr>
          <w:rFonts w:ascii="Calibri" w:hAnsi="Calibri" w:cs="Times New Roman"/>
          <w:noProof/>
          <w:szCs w:val="24"/>
        </w:rPr>
        <w:t xml:space="preserve">, </w:t>
      </w:r>
      <w:r w:rsidRPr="00BF1D00">
        <w:rPr>
          <w:rFonts w:ascii="Calibri" w:hAnsi="Calibri" w:cs="Times New Roman"/>
          <w:i/>
          <w:iCs/>
          <w:noProof/>
          <w:szCs w:val="24"/>
        </w:rPr>
        <w:t>32</w:t>
      </w:r>
      <w:r w:rsidRPr="00BF1D00">
        <w:rPr>
          <w:rFonts w:ascii="Calibri" w:hAnsi="Calibri" w:cs="Times New Roman"/>
          <w:noProof/>
          <w:szCs w:val="24"/>
        </w:rPr>
        <w:t>, 219–250.</w:t>
      </w:r>
    </w:p>
    <w:p w14:paraId="40F2ADFE"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Schwabe, L., Bohringer, A., Chatterjee, M., &amp; Schachinger, H. (2008). Effects of pre-learning stress on memory for neutral, positive and negative words: Different roles of cortisol and autonomic arousal. </w:t>
      </w:r>
      <w:r w:rsidRPr="00BF1D00">
        <w:rPr>
          <w:rFonts w:ascii="Calibri" w:hAnsi="Calibri" w:cs="Times New Roman"/>
          <w:i/>
          <w:iCs/>
          <w:noProof/>
          <w:szCs w:val="24"/>
        </w:rPr>
        <w:t>Neurobiology of Learning and Memory</w:t>
      </w:r>
      <w:r w:rsidRPr="00BF1D00">
        <w:rPr>
          <w:rFonts w:ascii="Calibri" w:hAnsi="Calibri" w:cs="Times New Roman"/>
          <w:noProof/>
          <w:szCs w:val="24"/>
        </w:rPr>
        <w:t xml:space="preserve">, </w:t>
      </w:r>
      <w:r w:rsidRPr="00BF1D00">
        <w:rPr>
          <w:rFonts w:ascii="Calibri" w:hAnsi="Calibri" w:cs="Times New Roman"/>
          <w:i/>
          <w:iCs/>
          <w:noProof/>
          <w:szCs w:val="24"/>
        </w:rPr>
        <w:t>90</w:t>
      </w:r>
      <w:r w:rsidRPr="00BF1D00">
        <w:rPr>
          <w:rFonts w:ascii="Calibri" w:hAnsi="Calibri" w:cs="Times New Roman"/>
          <w:noProof/>
          <w:szCs w:val="24"/>
        </w:rPr>
        <w:t>(1), 44–53. https://doi.org/10.1016/j.nlm.2008.02.002</w:t>
      </w:r>
    </w:p>
    <w:p w14:paraId="3909CC08"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Sederberg, P. B., Gershman, S. J., Polyn, S. M., &amp; Norman, K. A. (2011). Human memory reconsolidation can be explained using the temporal context model. </w:t>
      </w:r>
      <w:r w:rsidRPr="00BF1D00">
        <w:rPr>
          <w:rFonts w:ascii="Calibri" w:hAnsi="Calibri" w:cs="Times New Roman"/>
          <w:i/>
          <w:iCs/>
          <w:noProof/>
          <w:szCs w:val="24"/>
        </w:rPr>
        <w:t>Psychonomic Bulletin &amp; …</w:t>
      </w:r>
      <w:r w:rsidRPr="00BF1D00">
        <w:rPr>
          <w:rFonts w:ascii="Calibri" w:hAnsi="Calibri" w:cs="Times New Roman"/>
          <w:noProof/>
          <w:szCs w:val="24"/>
        </w:rPr>
        <w:t xml:space="preserve">, </w:t>
      </w:r>
      <w:r w:rsidRPr="00BF1D00">
        <w:rPr>
          <w:rFonts w:ascii="Calibri" w:hAnsi="Calibri" w:cs="Times New Roman"/>
          <w:i/>
          <w:iCs/>
          <w:noProof/>
          <w:szCs w:val="24"/>
        </w:rPr>
        <w:t>18</w:t>
      </w:r>
      <w:r w:rsidRPr="00BF1D00">
        <w:rPr>
          <w:rFonts w:ascii="Calibri" w:hAnsi="Calibri" w:cs="Times New Roman"/>
          <w:noProof/>
          <w:szCs w:val="24"/>
        </w:rPr>
        <w:t>(3), 455–468. https://doi.org/10.3758/s13423-011-0086-9.Human</w:t>
      </w:r>
    </w:p>
    <w:p w14:paraId="47E511D1"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Sederberg, P. B., Howard, M. W., &amp; Kahana, M. J. (2008). A context-based theory of recency and contiguity in free recall, </w:t>
      </w:r>
      <w:r w:rsidRPr="00BF1D00">
        <w:rPr>
          <w:rFonts w:ascii="Calibri" w:hAnsi="Calibri" w:cs="Times New Roman"/>
          <w:i/>
          <w:iCs/>
          <w:noProof/>
          <w:szCs w:val="24"/>
        </w:rPr>
        <w:t>115</w:t>
      </w:r>
      <w:r w:rsidRPr="00BF1D00">
        <w:rPr>
          <w:rFonts w:ascii="Calibri" w:hAnsi="Calibri" w:cs="Times New Roman"/>
          <w:noProof/>
          <w:szCs w:val="24"/>
        </w:rPr>
        <w:t>(4), 893–912. https://doi.org/10.1037/a0013396.A</w:t>
      </w:r>
    </w:p>
    <w:p w14:paraId="39E960A2"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Sederberg, P. B., Miller, J. F., Howard, M. W., &amp; Kahana, M. J. (2010). The temporal contiguity effect predicts episodic memory performance. </w:t>
      </w:r>
      <w:r w:rsidRPr="00BF1D00">
        <w:rPr>
          <w:rFonts w:ascii="Calibri" w:hAnsi="Calibri" w:cs="Times New Roman"/>
          <w:i/>
          <w:iCs/>
          <w:noProof/>
          <w:szCs w:val="24"/>
        </w:rPr>
        <w:t>Memory &amp; Cognition</w:t>
      </w:r>
      <w:r w:rsidRPr="00BF1D00">
        <w:rPr>
          <w:rFonts w:ascii="Calibri" w:hAnsi="Calibri" w:cs="Times New Roman"/>
          <w:noProof/>
          <w:szCs w:val="24"/>
        </w:rPr>
        <w:t xml:space="preserve">, </w:t>
      </w:r>
      <w:r w:rsidRPr="00BF1D00">
        <w:rPr>
          <w:rFonts w:ascii="Calibri" w:hAnsi="Calibri" w:cs="Times New Roman"/>
          <w:i/>
          <w:iCs/>
          <w:noProof/>
          <w:szCs w:val="24"/>
        </w:rPr>
        <w:t>38</w:t>
      </w:r>
      <w:r w:rsidRPr="00BF1D00">
        <w:rPr>
          <w:rFonts w:ascii="Calibri" w:hAnsi="Calibri" w:cs="Times New Roman"/>
          <w:noProof/>
          <w:szCs w:val="24"/>
        </w:rPr>
        <w:t>(6), 689–699. https://doi.org/10.3758/MC.38.6.689</w:t>
      </w:r>
    </w:p>
    <w:p w14:paraId="492CFB4C"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Sekeres, M. J., Bonasia, K., St-Laurent, M., Pishdadian, S., Winocur, G., Grady, C., &amp; Moscovitch, M. (2016). Recovering and preventing loss of detailed memory: differential rates of forgetting for detail types in episodic memory. </w:t>
      </w:r>
      <w:r w:rsidRPr="00BF1D00">
        <w:rPr>
          <w:rFonts w:ascii="Calibri" w:hAnsi="Calibri" w:cs="Times New Roman"/>
          <w:i/>
          <w:iCs/>
          <w:noProof/>
          <w:szCs w:val="24"/>
        </w:rPr>
        <w:t>Learning &amp; Memory</w:t>
      </w:r>
      <w:r w:rsidRPr="00BF1D00">
        <w:rPr>
          <w:rFonts w:ascii="Calibri" w:hAnsi="Calibri" w:cs="Times New Roman"/>
          <w:noProof/>
          <w:szCs w:val="24"/>
        </w:rPr>
        <w:t xml:space="preserve">, </w:t>
      </w:r>
      <w:r w:rsidRPr="00BF1D00">
        <w:rPr>
          <w:rFonts w:ascii="Calibri" w:hAnsi="Calibri" w:cs="Times New Roman"/>
          <w:i/>
          <w:iCs/>
          <w:noProof/>
          <w:szCs w:val="24"/>
        </w:rPr>
        <w:t>23</w:t>
      </w:r>
      <w:r w:rsidRPr="00BF1D00">
        <w:rPr>
          <w:rFonts w:ascii="Calibri" w:hAnsi="Calibri" w:cs="Times New Roman"/>
          <w:noProof/>
          <w:szCs w:val="24"/>
        </w:rPr>
        <w:t>, 72–82. https://doi.org/10.1101/lm.039057</w:t>
      </w:r>
    </w:p>
    <w:p w14:paraId="5DB16148"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Sharot, T., &amp; Phelps, E. A. (2004). How arousal modulates memory: Disentangling the effects of attention and retention. </w:t>
      </w:r>
      <w:r w:rsidRPr="00BF1D00">
        <w:rPr>
          <w:rFonts w:ascii="Calibri" w:hAnsi="Calibri" w:cs="Times New Roman"/>
          <w:i/>
          <w:iCs/>
          <w:noProof/>
          <w:szCs w:val="24"/>
        </w:rPr>
        <w:t>Cognitive Affective &amp; Behavioral Neuroscience</w:t>
      </w:r>
      <w:r w:rsidRPr="00BF1D00">
        <w:rPr>
          <w:rFonts w:ascii="Calibri" w:hAnsi="Calibri" w:cs="Times New Roman"/>
          <w:noProof/>
          <w:szCs w:val="24"/>
        </w:rPr>
        <w:t xml:space="preserve">, </w:t>
      </w:r>
      <w:r w:rsidRPr="00BF1D00">
        <w:rPr>
          <w:rFonts w:ascii="Calibri" w:hAnsi="Calibri" w:cs="Times New Roman"/>
          <w:i/>
          <w:iCs/>
          <w:noProof/>
          <w:szCs w:val="24"/>
        </w:rPr>
        <w:t>4</w:t>
      </w:r>
      <w:r w:rsidRPr="00BF1D00">
        <w:rPr>
          <w:rFonts w:ascii="Calibri" w:hAnsi="Calibri" w:cs="Times New Roman"/>
          <w:noProof/>
          <w:szCs w:val="24"/>
        </w:rPr>
        <w:t>(3), 294–306. https://doi.org/Doi 10.3758/Cabn.4.3.294</w:t>
      </w:r>
    </w:p>
    <w:p w14:paraId="78EDFCB7"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Sharot, T., &amp; Yonelinas, A. P. (2008). Differential time-dependent effects of emotion on recollective experience and memory for contextual information. </w:t>
      </w:r>
      <w:r w:rsidRPr="00BF1D00">
        <w:rPr>
          <w:rFonts w:ascii="Calibri" w:hAnsi="Calibri" w:cs="Times New Roman"/>
          <w:i/>
          <w:iCs/>
          <w:noProof/>
          <w:szCs w:val="24"/>
        </w:rPr>
        <w:t>Cognition</w:t>
      </w:r>
      <w:r w:rsidRPr="00BF1D00">
        <w:rPr>
          <w:rFonts w:ascii="Calibri" w:hAnsi="Calibri" w:cs="Times New Roman"/>
          <w:noProof/>
          <w:szCs w:val="24"/>
        </w:rPr>
        <w:t xml:space="preserve">, </w:t>
      </w:r>
      <w:r w:rsidRPr="00BF1D00">
        <w:rPr>
          <w:rFonts w:ascii="Calibri" w:hAnsi="Calibri" w:cs="Times New Roman"/>
          <w:i/>
          <w:iCs/>
          <w:noProof/>
          <w:szCs w:val="24"/>
        </w:rPr>
        <w:t>106</w:t>
      </w:r>
      <w:r w:rsidRPr="00BF1D00">
        <w:rPr>
          <w:rFonts w:ascii="Calibri" w:hAnsi="Calibri" w:cs="Times New Roman"/>
          <w:noProof/>
          <w:szCs w:val="24"/>
        </w:rPr>
        <w:t>(1), 538–547. https://doi.org/10.1016/j.cognition.2007.03.002</w:t>
      </w:r>
    </w:p>
    <w:p w14:paraId="5D04F875"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Shields, G. S., Sazma, M. A., McCullough, A. M., &amp; Yonelinas, A. P. (2017). The effects of acute stress on episodic memory: A meta-analysis and integrative review. </w:t>
      </w:r>
      <w:r w:rsidRPr="00BF1D00">
        <w:rPr>
          <w:rFonts w:ascii="Calibri" w:hAnsi="Calibri" w:cs="Times New Roman"/>
          <w:i/>
          <w:iCs/>
          <w:noProof/>
          <w:szCs w:val="24"/>
        </w:rPr>
        <w:t>Psychological Bulletin</w:t>
      </w:r>
      <w:r w:rsidRPr="00BF1D00">
        <w:rPr>
          <w:rFonts w:ascii="Calibri" w:hAnsi="Calibri" w:cs="Times New Roman"/>
          <w:noProof/>
          <w:szCs w:val="24"/>
        </w:rPr>
        <w:t xml:space="preserve">, </w:t>
      </w:r>
      <w:r w:rsidRPr="00BF1D00">
        <w:rPr>
          <w:rFonts w:ascii="Calibri" w:hAnsi="Calibri" w:cs="Times New Roman"/>
          <w:i/>
          <w:iCs/>
          <w:noProof/>
          <w:szCs w:val="24"/>
        </w:rPr>
        <w:t>143</w:t>
      </w:r>
      <w:r w:rsidRPr="00BF1D00">
        <w:rPr>
          <w:rFonts w:ascii="Calibri" w:hAnsi="Calibri" w:cs="Times New Roman"/>
          <w:noProof/>
          <w:szCs w:val="24"/>
        </w:rPr>
        <w:t>(6), 636–675. https://doi.org/10.1037/bul0000100</w:t>
      </w:r>
    </w:p>
    <w:p w14:paraId="22BC83A3"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Shiffrin, R. M., &amp; Steyvers, M. (1997). A model for recognition memory: REM—retrieving effectively from memory. </w:t>
      </w:r>
      <w:r w:rsidRPr="00BF1D00">
        <w:rPr>
          <w:rFonts w:ascii="Calibri" w:hAnsi="Calibri" w:cs="Times New Roman"/>
          <w:i/>
          <w:iCs/>
          <w:noProof/>
          <w:szCs w:val="24"/>
        </w:rPr>
        <w:t>Psychonomic Bulletin &amp; Review</w:t>
      </w:r>
      <w:r w:rsidRPr="00BF1D00">
        <w:rPr>
          <w:rFonts w:ascii="Calibri" w:hAnsi="Calibri" w:cs="Times New Roman"/>
          <w:noProof/>
          <w:szCs w:val="24"/>
        </w:rPr>
        <w:t xml:space="preserve">, </w:t>
      </w:r>
      <w:r w:rsidRPr="00BF1D00">
        <w:rPr>
          <w:rFonts w:ascii="Calibri" w:hAnsi="Calibri" w:cs="Times New Roman"/>
          <w:i/>
          <w:iCs/>
          <w:noProof/>
          <w:szCs w:val="24"/>
        </w:rPr>
        <w:t>4</w:t>
      </w:r>
      <w:r w:rsidRPr="00BF1D00">
        <w:rPr>
          <w:rFonts w:ascii="Calibri" w:hAnsi="Calibri" w:cs="Times New Roman"/>
          <w:noProof/>
          <w:szCs w:val="24"/>
        </w:rPr>
        <w:t>(2), 145–166. https://doi.org/10.3758/BF03209391</w:t>
      </w:r>
    </w:p>
    <w:p w14:paraId="3512C39B"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Shohamy, D., &amp; Daw, N. D. (2015). Integrating memories to guide decisions. </w:t>
      </w:r>
      <w:r w:rsidRPr="00BF1D00">
        <w:rPr>
          <w:rFonts w:ascii="Calibri" w:hAnsi="Calibri" w:cs="Times New Roman"/>
          <w:i/>
          <w:iCs/>
          <w:noProof/>
          <w:szCs w:val="24"/>
        </w:rPr>
        <w:t>Current Opinion in Behavioral Sciences</w:t>
      </w:r>
      <w:r w:rsidRPr="00BF1D00">
        <w:rPr>
          <w:rFonts w:ascii="Calibri" w:hAnsi="Calibri" w:cs="Times New Roman"/>
          <w:noProof/>
          <w:szCs w:val="24"/>
        </w:rPr>
        <w:t>. https://doi.org/10.1016/j.cobeha.2015.08.010</w:t>
      </w:r>
    </w:p>
    <w:p w14:paraId="2BE6DE69"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Siddiqui, A. P., &amp; Unsworth, N. (2011). Investigating the role of emotion during the search process in free recall. </w:t>
      </w:r>
      <w:r w:rsidRPr="00BF1D00">
        <w:rPr>
          <w:rFonts w:ascii="Calibri" w:hAnsi="Calibri" w:cs="Times New Roman"/>
          <w:i/>
          <w:iCs/>
          <w:noProof/>
          <w:szCs w:val="24"/>
        </w:rPr>
        <w:t>Memory &amp; Cognition</w:t>
      </w:r>
      <w:r w:rsidRPr="00BF1D00">
        <w:rPr>
          <w:rFonts w:ascii="Calibri" w:hAnsi="Calibri" w:cs="Times New Roman"/>
          <w:noProof/>
          <w:szCs w:val="24"/>
        </w:rPr>
        <w:t xml:space="preserve">, </w:t>
      </w:r>
      <w:r w:rsidRPr="00BF1D00">
        <w:rPr>
          <w:rFonts w:ascii="Calibri" w:hAnsi="Calibri" w:cs="Times New Roman"/>
          <w:i/>
          <w:iCs/>
          <w:noProof/>
          <w:szCs w:val="24"/>
        </w:rPr>
        <w:t>39</w:t>
      </w:r>
      <w:r w:rsidRPr="00BF1D00">
        <w:rPr>
          <w:rFonts w:ascii="Calibri" w:hAnsi="Calibri" w:cs="Times New Roman"/>
          <w:noProof/>
          <w:szCs w:val="24"/>
        </w:rPr>
        <w:t>(8), 1387–1400. https://doi.org/10.3758/s13421-011-0125-9</w:t>
      </w:r>
    </w:p>
    <w:p w14:paraId="52EF3876"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Siegel, L. L., &amp; Kahana, M. J. (2014). A retrieved context account of spacing and repetition effects in free recall. </w:t>
      </w:r>
      <w:r w:rsidRPr="00BF1D00">
        <w:rPr>
          <w:rFonts w:ascii="Calibri" w:hAnsi="Calibri" w:cs="Times New Roman"/>
          <w:i/>
          <w:iCs/>
          <w:noProof/>
          <w:szCs w:val="24"/>
        </w:rPr>
        <w:t>Journal of Experimental Psychology: Learning, Memory, and Cognition</w:t>
      </w:r>
      <w:r w:rsidRPr="00BF1D00">
        <w:rPr>
          <w:rFonts w:ascii="Calibri" w:hAnsi="Calibri" w:cs="Times New Roman"/>
          <w:noProof/>
          <w:szCs w:val="24"/>
        </w:rPr>
        <w:t xml:space="preserve">, </w:t>
      </w:r>
      <w:r w:rsidRPr="00BF1D00">
        <w:rPr>
          <w:rFonts w:ascii="Calibri" w:hAnsi="Calibri" w:cs="Times New Roman"/>
          <w:i/>
          <w:iCs/>
          <w:noProof/>
          <w:szCs w:val="24"/>
        </w:rPr>
        <w:t>40</w:t>
      </w:r>
      <w:r w:rsidRPr="00BF1D00">
        <w:rPr>
          <w:rFonts w:ascii="Calibri" w:hAnsi="Calibri" w:cs="Times New Roman"/>
          <w:noProof/>
          <w:szCs w:val="24"/>
        </w:rPr>
        <w:t>(3), 755–764. https://doi.org/10.1037/a0035585</w:t>
      </w:r>
    </w:p>
    <w:p w14:paraId="3E55EA4C"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Smith, S. M., &amp; Vela, E. (2001). Environmental context-dependent memory: a review and meta-analysis. </w:t>
      </w:r>
      <w:r w:rsidRPr="00BF1D00">
        <w:rPr>
          <w:rFonts w:ascii="Calibri" w:hAnsi="Calibri" w:cs="Times New Roman"/>
          <w:i/>
          <w:iCs/>
          <w:noProof/>
          <w:szCs w:val="24"/>
        </w:rPr>
        <w:t>Psychonomic Bulletin &amp; Review</w:t>
      </w:r>
      <w:r w:rsidRPr="00BF1D00">
        <w:rPr>
          <w:rFonts w:ascii="Calibri" w:hAnsi="Calibri" w:cs="Times New Roman"/>
          <w:noProof/>
          <w:szCs w:val="24"/>
        </w:rPr>
        <w:t xml:space="preserve">, </w:t>
      </w:r>
      <w:r w:rsidRPr="00BF1D00">
        <w:rPr>
          <w:rFonts w:ascii="Calibri" w:hAnsi="Calibri" w:cs="Times New Roman"/>
          <w:i/>
          <w:iCs/>
          <w:noProof/>
          <w:szCs w:val="24"/>
        </w:rPr>
        <w:t>8</w:t>
      </w:r>
      <w:r w:rsidRPr="00BF1D00">
        <w:rPr>
          <w:rFonts w:ascii="Calibri" w:hAnsi="Calibri" w:cs="Times New Roman"/>
          <w:noProof/>
          <w:szCs w:val="24"/>
        </w:rPr>
        <w:t>(2), 203–20. Retrieved from http://www.ncbi.nlm.nih.gov/pubmed/11495110</w:t>
      </w:r>
    </w:p>
    <w:p w14:paraId="010A40E0"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Sommer, T., Gläscher, J., Moritz, S., &amp; Büchel, C. (2008). Emotional enhancement effect of memory : Removing the influence of cognitive factors, 569–573. https://doi.org/10.1101/lm.995108.4</w:t>
      </w:r>
    </w:p>
    <w:p w14:paraId="01678DFF"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Strange, B. A., Hurlemann, R., &amp; Dolan, R. J. (2003). An emotion-induced retrograde amnesia in humans is amygdala- and </w:t>
      </w:r>
      <w:r w:rsidRPr="00BF1D00">
        <w:rPr>
          <w:rFonts w:ascii="Calibri" w:hAnsi="Calibri" w:cs="Arial Unicode MS"/>
          <w:noProof/>
          <w:szCs w:val="24"/>
        </w:rPr>
        <w:t>␤</w:t>
      </w:r>
      <w:r w:rsidRPr="00BF1D00">
        <w:rPr>
          <w:rFonts w:ascii="Calibri" w:hAnsi="Calibri" w:cs="Times New Roman"/>
          <w:noProof/>
          <w:szCs w:val="24"/>
        </w:rPr>
        <w:t xml:space="preserve"> -adrenergic-dependent. </w:t>
      </w:r>
      <w:r w:rsidRPr="00BF1D00">
        <w:rPr>
          <w:rFonts w:ascii="Calibri" w:hAnsi="Calibri" w:cs="Times New Roman"/>
          <w:i/>
          <w:iCs/>
          <w:noProof/>
          <w:szCs w:val="24"/>
        </w:rPr>
        <w:t>Proceedings of the National Academy of Sciences</w:t>
      </w:r>
      <w:r w:rsidRPr="00BF1D00">
        <w:rPr>
          <w:rFonts w:ascii="Calibri" w:hAnsi="Calibri" w:cs="Times New Roman"/>
          <w:noProof/>
          <w:szCs w:val="24"/>
        </w:rPr>
        <w:t xml:space="preserve">, </w:t>
      </w:r>
      <w:r w:rsidRPr="00BF1D00">
        <w:rPr>
          <w:rFonts w:ascii="Calibri" w:hAnsi="Calibri" w:cs="Times New Roman"/>
          <w:i/>
          <w:iCs/>
          <w:noProof/>
          <w:szCs w:val="24"/>
        </w:rPr>
        <w:t>100</w:t>
      </w:r>
      <w:r w:rsidRPr="00BF1D00">
        <w:rPr>
          <w:rFonts w:ascii="Calibri" w:hAnsi="Calibri" w:cs="Times New Roman"/>
          <w:noProof/>
          <w:szCs w:val="24"/>
        </w:rPr>
        <w:t>(23), 13626–13631.</w:t>
      </w:r>
    </w:p>
    <w:p w14:paraId="7CBF2116"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Talmi, D. (2013). Enhanced Emotional Memory: Cognitive and Neural Mechanisms. </w:t>
      </w:r>
      <w:r w:rsidRPr="00BF1D00">
        <w:rPr>
          <w:rFonts w:ascii="Calibri" w:hAnsi="Calibri" w:cs="Times New Roman"/>
          <w:i/>
          <w:iCs/>
          <w:noProof/>
          <w:szCs w:val="24"/>
        </w:rPr>
        <w:t>Current Directions in Psychological Science</w:t>
      </w:r>
      <w:r w:rsidRPr="00BF1D00">
        <w:rPr>
          <w:rFonts w:ascii="Calibri" w:hAnsi="Calibri" w:cs="Times New Roman"/>
          <w:noProof/>
          <w:szCs w:val="24"/>
        </w:rPr>
        <w:t xml:space="preserve">, </w:t>
      </w:r>
      <w:r w:rsidRPr="00BF1D00">
        <w:rPr>
          <w:rFonts w:ascii="Calibri" w:hAnsi="Calibri" w:cs="Times New Roman"/>
          <w:i/>
          <w:iCs/>
          <w:noProof/>
          <w:szCs w:val="24"/>
        </w:rPr>
        <w:t>22</w:t>
      </w:r>
      <w:r w:rsidRPr="00BF1D00">
        <w:rPr>
          <w:rFonts w:ascii="Calibri" w:hAnsi="Calibri" w:cs="Times New Roman"/>
          <w:noProof/>
          <w:szCs w:val="24"/>
        </w:rPr>
        <w:t>(6), 430–436. https://doi.org/10.1177/0963721413498893</w:t>
      </w:r>
    </w:p>
    <w:p w14:paraId="4B655033"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Talmi, D., Luk, B. T. C., McGarry, L. M., &amp; Moscovitch, M. (2007). The contribution of relatedness and distinctiveness to emotionally-enhanced memory. </w:t>
      </w:r>
      <w:r w:rsidRPr="00BF1D00">
        <w:rPr>
          <w:rFonts w:ascii="Calibri" w:hAnsi="Calibri" w:cs="Times New Roman"/>
          <w:i/>
          <w:iCs/>
          <w:noProof/>
          <w:szCs w:val="24"/>
        </w:rPr>
        <w:t>Journal of Memory and Language</w:t>
      </w:r>
      <w:r w:rsidRPr="00BF1D00">
        <w:rPr>
          <w:rFonts w:ascii="Calibri" w:hAnsi="Calibri" w:cs="Times New Roman"/>
          <w:noProof/>
          <w:szCs w:val="24"/>
        </w:rPr>
        <w:t xml:space="preserve">, </w:t>
      </w:r>
      <w:r w:rsidRPr="00BF1D00">
        <w:rPr>
          <w:rFonts w:ascii="Calibri" w:hAnsi="Calibri" w:cs="Times New Roman"/>
          <w:i/>
          <w:iCs/>
          <w:noProof/>
          <w:szCs w:val="24"/>
        </w:rPr>
        <w:t>56</w:t>
      </w:r>
      <w:r w:rsidRPr="00BF1D00">
        <w:rPr>
          <w:rFonts w:ascii="Calibri" w:hAnsi="Calibri" w:cs="Times New Roman"/>
          <w:noProof/>
          <w:szCs w:val="24"/>
        </w:rPr>
        <w:t>(4), 555–574. https://doi.org/10.1016/j.jml.2007.01.002</w:t>
      </w:r>
    </w:p>
    <w:p w14:paraId="08C281C8"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Talmi, D., &amp; McGarry, L. M. (2012). Accounting for immediate emotional memory enhancement. </w:t>
      </w:r>
      <w:r w:rsidRPr="00BF1D00">
        <w:rPr>
          <w:rFonts w:ascii="Calibri" w:hAnsi="Calibri" w:cs="Times New Roman"/>
          <w:i/>
          <w:iCs/>
          <w:noProof/>
          <w:szCs w:val="24"/>
        </w:rPr>
        <w:t>Journal of Memory and Language</w:t>
      </w:r>
      <w:r w:rsidRPr="00BF1D00">
        <w:rPr>
          <w:rFonts w:ascii="Calibri" w:hAnsi="Calibri" w:cs="Times New Roman"/>
          <w:noProof/>
          <w:szCs w:val="24"/>
        </w:rPr>
        <w:t xml:space="preserve">, </w:t>
      </w:r>
      <w:r w:rsidRPr="00BF1D00">
        <w:rPr>
          <w:rFonts w:ascii="Calibri" w:hAnsi="Calibri" w:cs="Times New Roman"/>
          <w:i/>
          <w:iCs/>
          <w:noProof/>
          <w:szCs w:val="24"/>
        </w:rPr>
        <w:t>66</w:t>
      </w:r>
      <w:r w:rsidRPr="00BF1D00">
        <w:rPr>
          <w:rFonts w:ascii="Calibri" w:hAnsi="Calibri" w:cs="Times New Roman"/>
          <w:noProof/>
          <w:szCs w:val="24"/>
        </w:rPr>
        <w:t>(1), 93–108. https://doi.org/10.1016/j.jml.2011.07.009</w:t>
      </w:r>
    </w:p>
    <w:p w14:paraId="28F9938C"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Talmi, D., &amp; Moscovitch, M. (2004). Can semantic relatedness explain the enhancement of memory for emotional words? </w:t>
      </w:r>
      <w:r w:rsidRPr="00BF1D00">
        <w:rPr>
          <w:rFonts w:ascii="Calibri" w:hAnsi="Calibri" w:cs="Times New Roman"/>
          <w:i/>
          <w:iCs/>
          <w:noProof/>
          <w:szCs w:val="24"/>
        </w:rPr>
        <w:t>Memory &amp; Cognition</w:t>
      </w:r>
      <w:r w:rsidRPr="00BF1D00">
        <w:rPr>
          <w:rFonts w:ascii="Calibri" w:hAnsi="Calibri" w:cs="Times New Roman"/>
          <w:noProof/>
          <w:szCs w:val="24"/>
        </w:rPr>
        <w:t xml:space="preserve">, </w:t>
      </w:r>
      <w:r w:rsidRPr="00BF1D00">
        <w:rPr>
          <w:rFonts w:ascii="Calibri" w:hAnsi="Calibri" w:cs="Times New Roman"/>
          <w:i/>
          <w:iCs/>
          <w:noProof/>
          <w:szCs w:val="24"/>
        </w:rPr>
        <w:t>32</w:t>
      </w:r>
      <w:r w:rsidRPr="00BF1D00">
        <w:rPr>
          <w:rFonts w:ascii="Calibri" w:hAnsi="Calibri" w:cs="Times New Roman"/>
          <w:noProof/>
          <w:szCs w:val="24"/>
        </w:rPr>
        <w:t>(5), 742–751. https://doi.org/10.3758/BF03195864</w:t>
      </w:r>
    </w:p>
    <w:p w14:paraId="099E3D0D"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Talmi, D., Schimmack, U., Paterson, T., &amp; Moscovitch, M. (2007). The role of attention and relatedness in emotionally enhanced memory. </w:t>
      </w:r>
      <w:r w:rsidRPr="00BF1D00">
        <w:rPr>
          <w:rFonts w:ascii="Calibri" w:hAnsi="Calibri" w:cs="Times New Roman"/>
          <w:i/>
          <w:iCs/>
          <w:noProof/>
          <w:szCs w:val="24"/>
        </w:rPr>
        <w:t>Emotion (Washington, D.C.)</w:t>
      </w:r>
      <w:r w:rsidRPr="00BF1D00">
        <w:rPr>
          <w:rFonts w:ascii="Calibri" w:hAnsi="Calibri" w:cs="Times New Roman"/>
          <w:noProof/>
          <w:szCs w:val="24"/>
        </w:rPr>
        <w:t xml:space="preserve">, </w:t>
      </w:r>
      <w:r w:rsidRPr="00BF1D00">
        <w:rPr>
          <w:rFonts w:ascii="Calibri" w:hAnsi="Calibri" w:cs="Times New Roman"/>
          <w:i/>
          <w:iCs/>
          <w:noProof/>
          <w:szCs w:val="24"/>
        </w:rPr>
        <w:t>7</w:t>
      </w:r>
      <w:r w:rsidRPr="00BF1D00">
        <w:rPr>
          <w:rFonts w:ascii="Calibri" w:hAnsi="Calibri" w:cs="Times New Roman"/>
          <w:noProof/>
          <w:szCs w:val="24"/>
        </w:rPr>
        <w:t>(1), 89–102. https://doi.org/10.1037/1528-3542.7.1.89</w:t>
      </w:r>
    </w:p>
    <w:p w14:paraId="1698D160"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Tambini, A., Rimmele, U., Phelps, E. A., &amp; Davachi, L. (2017). Emotional brain states carry over and enhance future memory formation. </w:t>
      </w:r>
      <w:r w:rsidRPr="00BF1D00">
        <w:rPr>
          <w:rFonts w:ascii="Calibri" w:hAnsi="Calibri" w:cs="Times New Roman"/>
          <w:i/>
          <w:iCs/>
          <w:noProof/>
          <w:szCs w:val="24"/>
        </w:rPr>
        <w:t>Nature Neuroscience, 1-8.</w:t>
      </w:r>
      <w:r w:rsidRPr="00BF1D00">
        <w:rPr>
          <w:rFonts w:ascii="Calibri" w:hAnsi="Calibri" w:cs="Times New Roman"/>
          <w:noProof/>
          <w:szCs w:val="24"/>
        </w:rPr>
        <w:t xml:space="preserve">, </w:t>
      </w:r>
      <w:r w:rsidRPr="00BF1D00">
        <w:rPr>
          <w:rFonts w:ascii="Calibri" w:hAnsi="Calibri" w:cs="Times New Roman"/>
          <w:i/>
          <w:iCs/>
          <w:noProof/>
          <w:szCs w:val="24"/>
        </w:rPr>
        <w:t>1</w:t>
      </w:r>
      <w:r w:rsidRPr="00BF1D00">
        <w:rPr>
          <w:rFonts w:ascii="Calibri" w:hAnsi="Calibri" w:cs="Times New Roman"/>
          <w:noProof/>
          <w:szCs w:val="24"/>
        </w:rPr>
        <w:t>(8). Retrieved from http://davachilab.org/wp-content/uploads/2017/01/nn.4468.pdf</w:t>
      </w:r>
    </w:p>
    <w:p w14:paraId="7FA50572"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Trope, Y., &amp; Liberman, N. (2003). Temporal Construal. </w:t>
      </w:r>
      <w:r w:rsidRPr="00BF1D00">
        <w:rPr>
          <w:rFonts w:ascii="Calibri" w:hAnsi="Calibri" w:cs="Times New Roman"/>
          <w:i/>
          <w:iCs/>
          <w:noProof/>
          <w:szCs w:val="24"/>
        </w:rPr>
        <w:t>Psychological Review</w:t>
      </w:r>
      <w:r w:rsidRPr="00BF1D00">
        <w:rPr>
          <w:rFonts w:ascii="Calibri" w:hAnsi="Calibri" w:cs="Times New Roman"/>
          <w:noProof/>
          <w:szCs w:val="24"/>
        </w:rPr>
        <w:t xml:space="preserve">, </w:t>
      </w:r>
      <w:r w:rsidRPr="00BF1D00">
        <w:rPr>
          <w:rFonts w:ascii="Calibri" w:hAnsi="Calibri" w:cs="Times New Roman"/>
          <w:i/>
          <w:iCs/>
          <w:noProof/>
          <w:szCs w:val="24"/>
        </w:rPr>
        <w:t>110</w:t>
      </w:r>
      <w:r w:rsidRPr="00BF1D00">
        <w:rPr>
          <w:rFonts w:ascii="Calibri" w:hAnsi="Calibri" w:cs="Times New Roman"/>
          <w:noProof/>
          <w:szCs w:val="24"/>
        </w:rPr>
        <w:t>(3), 403–421. https://doi.org/10.1037/0033-295X.110.3.403</w:t>
      </w:r>
    </w:p>
    <w:p w14:paraId="78CEE1BE"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Tulving, E., &amp; Thomson, D. M. (1973). Encoding specificity and retrieval processes in episodic memory. </w:t>
      </w:r>
      <w:r w:rsidRPr="00BF1D00">
        <w:rPr>
          <w:rFonts w:ascii="Calibri" w:hAnsi="Calibri" w:cs="Times New Roman"/>
          <w:i/>
          <w:iCs/>
          <w:noProof/>
          <w:szCs w:val="24"/>
        </w:rPr>
        <w:t>Psychological Review</w:t>
      </w:r>
      <w:r w:rsidRPr="00BF1D00">
        <w:rPr>
          <w:rFonts w:ascii="Calibri" w:hAnsi="Calibri" w:cs="Times New Roman"/>
          <w:noProof/>
          <w:szCs w:val="24"/>
        </w:rPr>
        <w:t xml:space="preserve">, </w:t>
      </w:r>
      <w:r w:rsidRPr="00BF1D00">
        <w:rPr>
          <w:rFonts w:ascii="Calibri" w:hAnsi="Calibri" w:cs="Times New Roman"/>
          <w:i/>
          <w:iCs/>
          <w:noProof/>
          <w:szCs w:val="24"/>
        </w:rPr>
        <w:t>80</w:t>
      </w:r>
      <w:r w:rsidRPr="00BF1D00">
        <w:rPr>
          <w:rFonts w:ascii="Calibri" w:hAnsi="Calibri" w:cs="Times New Roman"/>
          <w:noProof/>
          <w:szCs w:val="24"/>
        </w:rPr>
        <w:t>(5), 352–373. https://doi.org/10.1037/h0020071</w:t>
      </w:r>
    </w:p>
    <w:p w14:paraId="33B7357A"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Ucros, C. G. (1989). Mood state-dependent memory: A meta-analysis. </w:t>
      </w:r>
      <w:r w:rsidRPr="00BF1D00">
        <w:rPr>
          <w:rFonts w:ascii="Calibri" w:hAnsi="Calibri" w:cs="Times New Roman"/>
          <w:i/>
          <w:iCs/>
          <w:noProof/>
          <w:szCs w:val="24"/>
        </w:rPr>
        <w:t>Cognition and Emotion</w:t>
      </w:r>
      <w:r w:rsidRPr="00BF1D00">
        <w:rPr>
          <w:rFonts w:ascii="Calibri" w:hAnsi="Calibri" w:cs="Times New Roman"/>
          <w:noProof/>
          <w:szCs w:val="24"/>
        </w:rPr>
        <w:t xml:space="preserve">, </w:t>
      </w:r>
      <w:r w:rsidRPr="00BF1D00">
        <w:rPr>
          <w:rFonts w:ascii="Calibri" w:hAnsi="Calibri" w:cs="Times New Roman"/>
          <w:i/>
          <w:iCs/>
          <w:noProof/>
          <w:szCs w:val="24"/>
        </w:rPr>
        <w:t>3</w:t>
      </w:r>
      <w:r w:rsidRPr="00BF1D00">
        <w:rPr>
          <w:rFonts w:ascii="Calibri" w:hAnsi="Calibri" w:cs="Times New Roman"/>
          <w:noProof/>
          <w:szCs w:val="24"/>
        </w:rPr>
        <w:t>(2), 139–169. https://doi.org/10.1080/02699938908408077</w:t>
      </w:r>
    </w:p>
    <w:p w14:paraId="168B621D"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Ventura-Bort, C., Low, A., Wendt, J., Dolcos, F., Hamm, A. O., &amp; Weymar, M. (2016). When neutral turns significant: brain dynamics of rapidly formed associations between neutral stimuli and emotional contexts. </w:t>
      </w:r>
      <w:r w:rsidRPr="00BF1D00">
        <w:rPr>
          <w:rFonts w:ascii="Calibri" w:hAnsi="Calibri" w:cs="Times New Roman"/>
          <w:i/>
          <w:iCs/>
          <w:noProof/>
          <w:szCs w:val="24"/>
        </w:rPr>
        <w:t>European Journal of Neuroscience</w:t>
      </w:r>
      <w:r w:rsidRPr="00BF1D00">
        <w:rPr>
          <w:rFonts w:ascii="Calibri" w:hAnsi="Calibri" w:cs="Times New Roman"/>
          <w:noProof/>
          <w:szCs w:val="24"/>
        </w:rPr>
        <w:t xml:space="preserve">, </w:t>
      </w:r>
      <w:r w:rsidRPr="00BF1D00">
        <w:rPr>
          <w:rFonts w:ascii="Calibri" w:hAnsi="Calibri" w:cs="Times New Roman"/>
          <w:i/>
          <w:iCs/>
          <w:noProof/>
          <w:szCs w:val="24"/>
        </w:rPr>
        <w:t>44</w:t>
      </w:r>
      <w:r w:rsidRPr="00BF1D00">
        <w:rPr>
          <w:rFonts w:ascii="Calibri" w:hAnsi="Calibri" w:cs="Times New Roman"/>
          <w:noProof/>
          <w:szCs w:val="24"/>
        </w:rPr>
        <w:t>(5), 2176–2183. https://doi.org/10.1111/ejn.13319</w:t>
      </w:r>
    </w:p>
    <w:p w14:paraId="7C3FAF60"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Watts, S., Buratto, L. G., Brotherhood, E. V, Barnacle, G. E., &amp; Schaefer, A. (2014). The neural fate of neutral information in emotion-enhanced memory. </w:t>
      </w:r>
      <w:r w:rsidRPr="00BF1D00">
        <w:rPr>
          <w:rFonts w:ascii="Calibri" w:hAnsi="Calibri" w:cs="Times New Roman"/>
          <w:i/>
          <w:iCs/>
          <w:noProof/>
          <w:szCs w:val="24"/>
        </w:rPr>
        <w:t>Psychophysiology</w:t>
      </w:r>
      <w:r w:rsidRPr="00BF1D00">
        <w:rPr>
          <w:rFonts w:ascii="Calibri" w:hAnsi="Calibri" w:cs="Times New Roman"/>
          <w:noProof/>
          <w:szCs w:val="24"/>
        </w:rPr>
        <w:t xml:space="preserve">, </w:t>
      </w:r>
      <w:r w:rsidRPr="00BF1D00">
        <w:rPr>
          <w:rFonts w:ascii="Calibri" w:hAnsi="Calibri" w:cs="Times New Roman"/>
          <w:i/>
          <w:iCs/>
          <w:noProof/>
          <w:szCs w:val="24"/>
        </w:rPr>
        <w:t>51</w:t>
      </w:r>
      <w:r w:rsidRPr="00BF1D00">
        <w:rPr>
          <w:rFonts w:ascii="Calibri" w:hAnsi="Calibri" w:cs="Times New Roman"/>
          <w:noProof/>
          <w:szCs w:val="24"/>
        </w:rPr>
        <w:t>(7), 673–684. https://doi.org/10.1111/psyp.12211</w:t>
      </w:r>
    </w:p>
    <w:p w14:paraId="3237E299"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Wixted, J. T. (1990). Analyzing the empirical course of forgetting. </w:t>
      </w:r>
      <w:r w:rsidRPr="00BF1D00">
        <w:rPr>
          <w:rFonts w:ascii="Calibri" w:hAnsi="Calibri" w:cs="Times New Roman"/>
          <w:i/>
          <w:iCs/>
          <w:noProof/>
          <w:szCs w:val="24"/>
        </w:rPr>
        <w:t>Journal of Experimental Psychology: Learning, Memory, and Cognition</w:t>
      </w:r>
      <w:r w:rsidRPr="00BF1D00">
        <w:rPr>
          <w:rFonts w:ascii="Calibri" w:hAnsi="Calibri" w:cs="Times New Roman"/>
          <w:noProof/>
          <w:szCs w:val="24"/>
        </w:rPr>
        <w:t xml:space="preserve">, </w:t>
      </w:r>
      <w:r w:rsidRPr="00BF1D00">
        <w:rPr>
          <w:rFonts w:ascii="Calibri" w:hAnsi="Calibri" w:cs="Times New Roman"/>
          <w:i/>
          <w:iCs/>
          <w:noProof/>
          <w:szCs w:val="24"/>
        </w:rPr>
        <w:t>16</w:t>
      </w:r>
      <w:r w:rsidRPr="00BF1D00">
        <w:rPr>
          <w:rFonts w:ascii="Calibri" w:hAnsi="Calibri" w:cs="Times New Roman"/>
          <w:noProof/>
          <w:szCs w:val="24"/>
        </w:rPr>
        <w:t>(5), 927–935. https://doi.org/10.1037/0278-7393.16.5.927</w:t>
      </w:r>
    </w:p>
    <w:p w14:paraId="24FCD0A4" w14:textId="77777777" w:rsidR="00BF1D00" w:rsidRPr="00BF1D00" w:rsidRDefault="00BF1D00" w:rsidP="00BF1D00">
      <w:pPr>
        <w:widowControl w:val="0"/>
        <w:autoSpaceDE w:val="0"/>
        <w:autoSpaceDN w:val="0"/>
        <w:adjustRightInd w:val="0"/>
        <w:spacing w:line="480" w:lineRule="auto"/>
        <w:ind w:left="480" w:hanging="480"/>
        <w:rPr>
          <w:rFonts w:ascii="Calibri" w:hAnsi="Calibri" w:cs="Times New Roman"/>
          <w:noProof/>
          <w:szCs w:val="24"/>
        </w:rPr>
      </w:pPr>
      <w:r w:rsidRPr="00BF1D00">
        <w:rPr>
          <w:rFonts w:ascii="Calibri" w:hAnsi="Calibri" w:cs="Times New Roman"/>
          <w:noProof/>
          <w:szCs w:val="24"/>
        </w:rPr>
        <w:t xml:space="preserve">Xie, W., &amp; Zhang, W. (n.d.). Precision, Mood-dependent retrieval in visual long-term memory: dissociable effects on retrieval probability and mnemonic. </w:t>
      </w:r>
      <w:r w:rsidRPr="00BF1D00">
        <w:rPr>
          <w:rFonts w:ascii="Calibri" w:hAnsi="Calibri" w:cs="Times New Roman"/>
          <w:i/>
          <w:iCs/>
          <w:noProof/>
          <w:szCs w:val="24"/>
        </w:rPr>
        <w:t>Cognition &amp; Emotion</w:t>
      </w:r>
      <w:r w:rsidRPr="00BF1D00">
        <w:rPr>
          <w:rFonts w:ascii="Calibri" w:hAnsi="Calibri" w:cs="Times New Roman"/>
          <w:noProof/>
          <w:szCs w:val="24"/>
        </w:rPr>
        <w:t>. Retrieved from http://dx.doi.org/10.1080/02699931.2017.1340261</w:t>
      </w:r>
    </w:p>
    <w:p w14:paraId="11DCDAE1" w14:textId="77777777" w:rsidR="00BF1D00" w:rsidRPr="00BF1D00" w:rsidRDefault="00BF1D00" w:rsidP="00BF1D00">
      <w:pPr>
        <w:widowControl w:val="0"/>
        <w:autoSpaceDE w:val="0"/>
        <w:autoSpaceDN w:val="0"/>
        <w:adjustRightInd w:val="0"/>
        <w:spacing w:line="480" w:lineRule="auto"/>
        <w:ind w:left="480" w:hanging="480"/>
        <w:rPr>
          <w:rFonts w:ascii="Calibri" w:hAnsi="Calibri"/>
          <w:noProof/>
        </w:rPr>
      </w:pPr>
      <w:r w:rsidRPr="00BF1D00">
        <w:rPr>
          <w:rFonts w:ascii="Calibri" w:hAnsi="Calibri" w:cs="Times New Roman"/>
          <w:noProof/>
          <w:szCs w:val="24"/>
        </w:rPr>
        <w:t xml:space="preserve">Yonelinas, A. P., &amp; Ritchey, M. (2015). The slow forgetting of emotional episodic memories: An emotional binding account. </w:t>
      </w:r>
      <w:r w:rsidRPr="00BF1D00">
        <w:rPr>
          <w:rFonts w:ascii="Calibri" w:hAnsi="Calibri" w:cs="Times New Roman"/>
          <w:i/>
          <w:iCs/>
          <w:noProof/>
          <w:szCs w:val="24"/>
        </w:rPr>
        <w:t>Trends in Cognitive Sciences</w:t>
      </w:r>
      <w:r w:rsidRPr="00BF1D00">
        <w:rPr>
          <w:rFonts w:ascii="Calibri" w:hAnsi="Calibri" w:cs="Times New Roman"/>
          <w:noProof/>
          <w:szCs w:val="24"/>
        </w:rPr>
        <w:t xml:space="preserve">, </w:t>
      </w:r>
      <w:r w:rsidRPr="00BF1D00">
        <w:rPr>
          <w:rFonts w:ascii="Calibri" w:hAnsi="Calibri" w:cs="Times New Roman"/>
          <w:i/>
          <w:iCs/>
          <w:noProof/>
          <w:szCs w:val="24"/>
        </w:rPr>
        <w:t>19</w:t>
      </w:r>
      <w:r w:rsidRPr="00BF1D00">
        <w:rPr>
          <w:rFonts w:ascii="Calibri" w:hAnsi="Calibri" w:cs="Times New Roman"/>
          <w:noProof/>
          <w:szCs w:val="24"/>
        </w:rPr>
        <w:t>(5), 259–267. https://doi.org/10.1016/j.tics.2015.02.009</w:t>
      </w:r>
    </w:p>
    <w:p w14:paraId="3C834CF7" w14:textId="67F29C0A" w:rsidR="003E3F8C" w:rsidRPr="004946F6" w:rsidRDefault="003E3F8C" w:rsidP="00BF1D00">
      <w:pPr>
        <w:widowControl w:val="0"/>
        <w:autoSpaceDE w:val="0"/>
        <w:autoSpaceDN w:val="0"/>
        <w:adjustRightInd w:val="0"/>
        <w:spacing w:line="480" w:lineRule="auto"/>
        <w:ind w:left="480" w:hanging="480"/>
        <w:rPr>
          <w:b/>
          <w:bCs/>
        </w:rPr>
      </w:pPr>
      <w:r w:rsidRPr="004946F6">
        <w:rPr>
          <w:b/>
          <w:bCs/>
        </w:rPr>
        <w:fldChar w:fldCharType="end"/>
      </w:r>
      <w:r w:rsidRPr="004946F6">
        <w:rPr>
          <w:b/>
          <w:bCs/>
        </w:rPr>
        <w:br w:type="page"/>
      </w:r>
    </w:p>
    <w:p w14:paraId="142C64F8" w14:textId="77777777" w:rsidR="006F4EE2" w:rsidRPr="004946F6" w:rsidRDefault="006F4EE2" w:rsidP="00BC403A">
      <w:pPr>
        <w:spacing w:line="480" w:lineRule="auto"/>
        <w:rPr>
          <w:b/>
          <w:bCs/>
          <w:caps/>
          <w:noProof/>
          <w:lang w:eastAsia="en-GB" w:bidi="he-IL"/>
        </w:rPr>
      </w:pPr>
      <w:bookmarkStart w:id="16" w:name="Appendix1"/>
      <w:r w:rsidRPr="004946F6">
        <w:rPr>
          <w:b/>
          <w:bCs/>
          <w:caps/>
          <w:noProof/>
          <w:lang w:eastAsia="en-GB" w:bidi="he-IL"/>
        </w:rPr>
        <w:t xml:space="preserve">Appendix </w:t>
      </w:r>
      <w:r w:rsidR="005625B9" w:rsidRPr="004946F6">
        <w:rPr>
          <w:b/>
          <w:bCs/>
          <w:caps/>
          <w:noProof/>
          <w:lang w:eastAsia="en-GB" w:bidi="he-IL"/>
        </w:rPr>
        <w:t>1</w:t>
      </w:r>
      <w:bookmarkEnd w:id="16"/>
      <w:r w:rsidRPr="004946F6">
        <w:rPr>
          <w:b/>
          <w:bCs/>
          <w:caps/>
          <w:noProof/>
          <w:lang w:eastAsia="en-GB" w:bidi="he-IL"/>
        </w:rPr>
        <w:t xml:space="preserve">: Details of methods in Talmi et al.’s (2007) experiment 2, simulated in section 2 </w:t>
      </w:r>
    </w:p>
    <w:p w14:paraId="062A2B48" w14:textId="77777777" w:rsidR="006F4EE2" w:rsidRPr="004946F6" w:rsidRDefault="006F4EE2" w:rsidP="006F4EE2">
      <w:pPr>
        <w:spacing w:line="480" w:lineRule="auto"/>
        <w:jc w:val="both"/>
      </w:pPr>
      <w:r w:rsidRPr="004946F6">
        <w:t>In simulations 1-3 we use three variants of eCMR to capture the average recall data from the emotional and related-neutral conditions in Talmi et al., 2007, Experiment 2. The semantic coherence of the stimuli used in that experiment was matched, first, by selecting neutral items that depicted domestic scenes, and second, by equating the semantic similarity ratings of emotional and neutral stimuli obtained in a separate rating study.</w:t>
      </w:r>
      <w:r w:rsidR="00A6216E" w:rsidRPr="004946F6">
        <w:t xml:space="preserve"> </w:t>
      </w:r>
    </w:p>
    <w:p w14:paraId="1ACB0A94" w14:textId="489CDD98" w:rsidR="006F4EE2" w:rsidRPr="004946F6" w:rsidRDefault="006F4EE2">
      <w:pPr>
        <w:spacing w:line="480" w:lineRule="auto"/>
        <w:jc w:val="both"/>
      </w:pPr>
      <w:r w:rsidRPr="004946F6">
        <w:t xml:space="preserve">In the rating study </w:t>
      </w:r>
      <w:r w:rsidR="00A6216E" w:rsidRPr="004946F6">
        <w:t xml:space="preserve">an independent sample of 13 </w:t>
      </w:r>
      <w:r w:rsidRPr="004946F6">
        <w:t xml:space="preserve">participants were presented with </w:t>
      </w:r>
      <w:r w:rsidR="00101FB6" w:rsidRPr="004946F6">
        <w:t xml:space="preserve">four </w:t>
      </w:r>
      <w:r w:rsidRPr="004946F6">
        <w:t xml:space="preserve">sets of </w:t>
      </w:r>
      <w:r w:rsidR="00101FB6" w:rsidRPr="004946F6">
        <w:t>40</w:t>
      </w:r>
      <w:r w:rsidRPr="004946F6">
        <w:t xml:space="preserve"> pictures</w:t>
      </w:r>
      <w:r w:rsidR="00101FB6" w:rsidRPr="004946F6">
        <w:t>. Each set included 40 pictures:</w:t>
      </w:r>
      <w:r w:rsidR="006E738D" w:rsidRPr="004946F6">
        <w:t xml:space="preserve"> </w:t>
      </w:r>
      <w:r w:rsidR="00101FB6" w:rsidRPr="004946F6">
        <w:t xml:space="preserve">10 </w:t>
      </w:r>
      <w:r w:rsidRPr="004946F6">
        <w:t xml:space="preserve">emotional negative, </w:t>
      </w:r>
      <w:r w:rsidR="00101FB6" w:rsidRPr="004946F6">
        <w:t xml:space="preserve">10 </w:t>
      </w:r>
      <w:r w:rsidRPr="004946F6">
        <w:t xml:space="preserve">related neutral pictures which were all depictions of domestic scenes, </w:t>
      </w:r>
      <w:r w:rsidR="00101FB6" w:rsidRPr="004946F6">
        <w:t xml:space="preserve">10 </w:t>
      </w:r>
      <w:r w:rsidRPr="004946F6">
        <w:t>random neutral pictures</w:t>
      </w:r>
      <w:r w:rsidR="00101FB6" w:rsidRPr="004946F6">
        <w:t>, and 10 positive pictures</w:t>
      </w:r>
      <w:r w:rsidRPr="004946F6">
        <w:t xml:space="preserve">. The pictures were drawn from the IAPS </w:t>
      </w:r>
      <w:r w:rsidRPr="004946F6">
        <w:fldChar w:fldCharType="begin" w:fldLock="1"/>
      </w:r>
      <w:r w:rsidR="008C25E5" w:rsidRPr="004946F6">
        <w:instrText>ADDIN CSL_CITATION { "citationItems" : [ { "id" : "ITEM-1", "itemData" : { "abstract" : "In this chapter, we discuss the development and use of picture stimuli incorporated in the International Affective Picture System (IAPS), a large set of emotionally evocative color photographs that includes pleasure, arousal, and dominance ratings made by men and women. The IAPS is currently used in experimental investigations of emotion and attention worldwide, providing experimental control in the selection of emotional stimuli, facilitating the comparison of results across different studies, and encouraging replication within and across psychological and neuroscience research laboratories. Numerous studies in our laboratory over the past 15 years have explored subjective, psychophysiological, behavioral, and neurophysiological reactions when viewing these affective stimuli. Basic findings from these studies, which will be informative for researchers considering or using the IAPS stimuli, are briefly summarized in this chapter.", "author" : [ { "dropping-particle" : "", "family" : "Lang", "given" : "Peter J.", "non-dropping-particle" : "", "parse-names" : false, "suffix" : "" }, { "dropping-particle" : "", "family" : "Bradley", "given" : "Margaret M.", "non-dropping-particle" : "", "parse-names" : false, "suffix" : "" } ], "chapter-number" : "2", "container-title" : "Handbook of emotion elicitation and assessment.", "id" : "ITEM-1", "issued" : { "date-parts" : [ [ "2007" ] ] }, "page" : "29-46", "publisher" : "Oxford University Press", "publisher-place" : "New York", "title" : "The International Affective Picture System (IAPS) in the study of emotion and attention.", "type" : "chapter" }, "uris" : [ "http://www.mendeley.com/documents/?uuid=c3e354e2-a430-4406-9644-324040fc60ae" ] } ], "mendeley" : { "formattedCitation" : "(Lang &amp; Bradley, 2007)", "plainTextFormattedCitation" : "(Lang &amp; Bradley, 2007)", "previouslyFormattedCitation" : "(Lang &amp; Bradley, 2007)" }, "properties" : { "noteIndex" : 0 }, "schema" : "https://github.com/citation-style-language/schema/raw/master/csl-citation.json" }</w:instrText>
      </w:r>
      <w:r w:rsidRPr="004946F6">
        <w:fldChar w:fldCharType="separate"/>
      </w:r>
      <w:r w:rsidRPr="004946F6">
        <w:rPr>
          <w:noProof/>
        </w:rPr>
        <w:t>(Lang &amp; Bradley, 2007)</w:t>
      </w:r>
      <w:r w:rsidRPr="004946F6">
        <w:fldChar w:fldCharType="end"/>
      </w:r>
      <w:r w:rsidRPr="004946F6">
        <w:t xml:space="preserve"> and supplemented by pictures from the Internet obtained using Google image search. Participants </w:t>
      </w:r>
      <w:r w:rsidR="00101FB6" w:rsidRPr="004946F6">
        <w:t>were given instructions explaining what semantic relatedness</w:t>
      </w:r>
      <w:r w:rsidR="006E738D" w:rsidRPr="004946F6">
        <w:t xml:space="preserve"> </w:t>
      </w:r>
      <w:r w:rsidR="00101FB6" w:rsidRPr="004946F6">
        <w:t xml:space="preserve">meant, contrasting it to perceptual relatedness, and </w:t>
      </w:r>
      <w:r w:rsidRPr="004946F6">
        <w:t>rated all possible pairs within a subset on a 1</w:t>
      </w:r>
      <w:r w:rsidR="00101FB6" w:rsidRPr="004946F6">
        <w:t xml:space="preserve"> (unrelated) </w:t>
      </w:r>
      <w:r w:rsidRPr="004946F6">
        <w:t>-</w:t>
      </w:r>
      <w:r w:rsidR="00A6216E" w:rsidRPr="004946F6">
        <w:t xml:space="preserve"> </w:t>
      </w:r>
      <w:r w:rsidRPr="004946F6">
        <w:t>7</w:t>
      </w:r>
      <w:r w:rsidR="00101FB6" w:rsidRPr="004946F6">
        <w:t xml:space="preserve"> (highly related)</w:t>
      </w:r>
      <w:r w:rsidRPr="004946F6">
        <w:t xml:space="preserve">. </w:t>
      </w:r>
      <w:r w:rsidR="00A6216E" w:rsidRPr="004946F6">
        <w:t>Reliability analysis of ratings within each picture type, across the 4 sets (all negative-to-negative ratings, etc.) resulted in the exclusion of one participant. For the purpose of the 2007 study, several subsets of five pictures from these sets were selected, and a</w:t>
      </w:r>
      <w:r w:rsidRPr="004946F6">
        <w:t xml:space="preserve"> semantic relatedness score was computed for each picture in the subset based on its relatedness to the other 4 pictures in the same subset. Each list in the main experiment included three such subsets. The same pictures were used across the pure and mixed list conditions. The pure lists included 3 subsets of emotional negative pictures; 3 subsets of related neutral pictures; or 3 subsets of randomly selected neutral pictures. The mixed lists included one subset from each of these categories. There was no significant difference between the average semantic relatedness of the emotional and the related-neutral pictures, but the relatedness of random-neutral pictures was lower. The order of pictures in a list was randomised for each participant.</w:t>
      </w:r>
    </w:p>
    <w:p w14:paraId="7A6183B0" w14:textId="76B91AB2" w:rsidR="006F4EE2" w:rsidRPr="004946F6" w:rsidRDefault="006F4EE2" w:rsidP="006F4EE2">
      <w:pPr>
        <w:spacing w:line="480" w:lineRule="auto"/>
        <w:jc w:val="both"/>
      </w:pPr>
      <w:r w:rsidRPr="004946F6">
        <w:t xml:space="preserve">In that experiment two groups of participants studied either 3 pure lists or 3 mixed lists of 15 experimental pictures. Experimental pictures were preceded by two buffer stimuli of the same type (or one emotional and one neutral, in mixed lists), and followed by a minute-long arithmetic distractor task, after which participants recalled the pictures by describing the content of the pictures they have seen in writing. Each recall output was scored as ‘correct’ if two independent raters agreed that the description matches that of one, and only one, of the pictures in the study set. In the rating study participants were presented with subsets of 5 pictures; all pictures in a subset were drawn from the same category (emotional negative, related neutral pictures which were all depictions of domestic scenes, random neutral pictures). The pictures were drawn from the IAPS </w:t>
      </w:r>
      <w:r w:rsidRPr="004946F6">
        <w:fldChar w:fldCharType="begin" w:fldLock="1"/>
      </w:r>
      <w:r w:rsidR="008C25E5" w:rsidRPr="004946F6">
        <w:instrText>ADDIN CSL_CITATION { "citationItems" : [ { "id" : "ITEM-1", "itemData" : { "abstract" : "In this chapter, we discuss the development and use of picture stimuli incorporated in the International Affective Picture System (IAPS), a large set of emotionally evocative color photographs that includes pleasure, arousal, and dominance ratings made by men and women. The IAPS is currently used in experimental investigations of emotion and attention worldwide, providing experimental control in the selection of emotional stimuli, facilitating the comparison of results across different studies, and encouraging replication within and across psychological and neuroscience research laboratories. Numerous studies in our laboratory over the past 15 years have explored subjective, psychophysiological, behavioral, and neurophysiological reactions when viewing these affective stimuli. Basic findings from these studies, which will be informative for researchers considering or using the IAPS stimuli, are briefly summarized in this chapter.", "author" : [ { "dropping-particle" : "", "family" : "Lang", "given" : "Peter J.", "non-dropping-particle" : "", "parse-names" : false, "suffix" : "" }, { "dropping-particle" : "", "family" : "Bradley", "given" : "Margaret M.", "non-dropping-particle" : "", "parse-names" : false, "suffix" : "" } ], "chapter-number" : "2", "container-title" : "Handbook of emotion elicitation and assessment.", "id" : "ITEM-1", "issued" : { "date-parts" : [ [ "2007" ] ] }, "page" : "29-46", "publisher" : "Oxford University Press", "publisher-place" : "New York", "title" : "The International Affective Picture System (IAPS) in the study of emotion and attention.", "type" : "chapter" }, "uris" : [ "http://www.mendeley.com/documents/?uuid=c3e354e2-a430-4406-9644-324040fc60ae" ] } ], "mendeley" : { "formattedCitation" : "(Lang &amp; Bradley, 2007)", "plainTextFormattedCitation" : "(Lang &amp; Bradley, 2007)", "previouslyFormattedCitation" : "(Lang &amp; Bradley, 2007)" }, "properties" : { "noteIndex" : 0 }, "schema" : "https://github.com/citation-style-language/schema/raw/master/csl-citation.json" }</w:instrText>
      </w:r>
      <w:r w:rsidRPr="004946F6">
        <w:fldChar w:fldCharType="separate"/>
      </w:r>
      <w:r w:rsidRPr="004946F6">
        <w:rPr>
          <w:noProof/>
        </w:rPr>
        <w:t>(Lang &amp; Bradley, 2007)</w:t>
      </w:r>
      <w:r w:rsidRPr="004946F6">
        <w:fldChar w:fldCharType="end"/>
      </w:r>
      <w:r w:rsidRPr="004946F6">
        <w:t xml:space="preserve"> and supplemented by pictures from the Internet obtained using Google image search. Participants rated all possible pairs within a subset on a 1-7 scale for their degree of semantic relatedness. A semantic relatedness score was computed for each picture in the subset based on its relatedness to the other 4 pictures in the same subset. Each list in the main experiment included three such subsets. The same pictures were used across the pure and mixed list conditions. The pure lists included 3 subsets of emotional negative pictures; 3 subsets of related neutral pictures; or 3 subsets of randomly selected neutral pictures. The mixed lists included one subset from each of these categories. There was no significant difference between the average semantic relatedness of the emotional and the related-neutral pictures, but the relatedness of random-neutral pictures was lower. The order of pictures in a list was randomised for each participant.</w:t>
      </w:r>
    </w:p>
    <w:p w14:paraId="0A05F26C" w14:textId="77777777" w:rsidR="006F4EE2" w:rsidRPr="004946F6" w:rsidRDefault="006F4EE2" w:rsidP="006F4EE2">
      <w:r w:rsidRPr="004946F6">
        <w:br w:type="page"/>
      </w:r>
    </w:p>
    <w:p w14:paraId="2131D9E6" w14:textId="77777777" w:rsidR="006F4EE2" w:rsidRPr="004946F6" w:rsidRDefault="006F4EE2" w:rsidP="00CF0DE3">
      <w:pPr>
        <w:spacing w:line="480" w:lineRule="auto"/>
        <w:rPr>
          <w:b/>
          <w:bCs/>
          <w:caps/>
          <w:noProof/>
          <w:lang w:eastAsia="en-GB" w:bidi="he-IL"/>
        </w:rPr>
      </w:pPr>
      <w:bookmarkStart w:id="17" w:name="Appendix2"/>
      <w:r w:rsidRPr="004946F6">
        <w:rPr>
          <w:b/>
          <w:bCs/>
          <w:caps/>
          <w:noProof/>
          <w:lang w:eastAsia="en-GB" w:bidi="he-IL"/>
        </w:rPr>
        <w:t>Appendix</w:t>
      </w:r>
      <w:r w:rsidR="005625B9" w:rsidRPr="004946F6">
        <w:rPr>
          <w:b/>
          <w:bCs/>
          <w:caps/>
          <w:noProof/>
          <w:lang w:eastAsia="en-GB" w:bidi="he-IL"/>
        </w:rPr>
        <w:t xml:space="preserve"> 2</w:t>
      </w:r>
      <w:bookmarkEnd w:id="17"/>
      <w:r w:rsidRPr="004946F6">
        <w:rPr>
          <w:b/>
          <w:bCs/>
          <w:caps/>
          <w:noProof/>
          <w:lang w:eastAsia="en-GB" w:bidi="he-IL"/>
        </w:rPr>
        <w:t xml:space="preserve">: </w:t>
      </w:r>
      <w:r w:rsidR="00B72334" w:rsidRPr="004946F6">
        <w:rPr>
          <w:b/>
          <w:bCs/>
          <w:caps/>
          <w:noProof/>
          <w:lang w:eastAsia="en-GB" w:bidi="he-IL"/>
        </w:rPr>
        <w:t xml:space="preserve">Details of methods for the instructed recall experiment, reported in section 2 </w:t>
      </w:r>
    </w:p>
    <w:p w14:paraId="10811D08" w14:textId="72435D7A" w:rsidR="0062667E" w:rsidRPr="004946F6" w:rsidRDefault="006F4EE2" w:rsidP="00BC403A">
      <w:pPr>
        <w:spacing w:line="480" w:lineRule="auto"/>
        <w:jc w:val="both"/>
      </w:pPr>
      <w:r w:rsidRPr="004946F6">
        <w:t xml:space="preserve">We manipulated retrieval of mixed lists of negatively valenced emotional and neutral pictures by asking participants to recall emotional or neutral items first (the ‘emotional first’ and ‘neutral first’ conditions), comparing the results to a ‘natural’ mixed recall where no such instructions were given. Three groups of 18 participants took part in this experiment for course credit. They were 18-35 years old and were screened for neurological and psychiatric history. Each group studied 3 mixed lists of 10 negative and 10 neutral pictures, presented in a random order. </w:t>
      </w:r>
      <w:r w:rsidR="0062667E" w:rsidRPr="004946F6">
        <w:t xml:space="preserve">The first list was always a practice list, and included unrated practice pictures, used in the practice portion of the Talmi et al. (2007) study. Each of the two experimental lists included the ‘emotional negative’ and the ‘related neutral’ pictures from one of the sets produced in the rating study reported in Talmi et al. (2007; describe above in </w:t>
      </w:r>
      <w:r w:rsidR="0062667E" w:rsidRPr="004946F6">
        <w:fldChar w:fldCharType="begin"/>
      </w:r>
      <w:r w:rsidR="0062667E" w:rsidRPr="004946F6">
        <w:instrText xml:space="preserve"> REF Appendix1 \h </w:instrText>
      </w:r>
      <w:r w:rsidR="00AC0EC8" w:rsidRPr="004946F6">
        <w:instrText xml:space="preserve"> \* MERGEFORMAT </w:instrText>
      </w:r>
      <w:r w:rsidR="0062667E" w:rsidRPr="004946F6">
        <w:fldChar w:fldCharType="separate"/>
      </w:r>
      <w:r w:rsidR="0062667E" w:rsidRPr="004946F6">
        <w:rPr>
          <w:b/>
          <w:bCs/>
          <w:caps/>
          <w:noProof/>
          <w:lang w:eastAsia="en-GB" w:bidi="he-IL"/>
        </w:rPr>
        <w:t>Appendix 1</w:t>
      </w:r>
      <w:r w:rsidR="0062667E" w:rsidRPr="004946F6">
        <w:fldChar w:fldCharType="end"/>
      </w:r>
      <w:r w:rsidR="0062667E" w:rsidRPr="004946F6">
        <w:t xml:space="preserve">). A semantic relatedness score was computed for each picture in the list based on its relatedness to the other pictures in the same set. The semantic relatedness of the negative and related-neutral pictures in each experimental list was equivalent. Note that the semantic relatedness score can be computed in multiple ways; if we only consider the relatedness of the negative and realted-neutral pictures (those that were actually included in the experiment), the relatedness of negative pictures was slightly but significantly higher than the relatedness of related-neutral pictures. </w:t>
      </w:r>
    </w:p>
    <w:p w14:paraId="44437287" w14:textId="77777777" w:rsidR="006F4EE2" w:rsidRPr="004946F6" w:rsidRDefault="006F4EE2" w:rsidP="00BC403A">
      <w:pPr>
        <w:spacing w:line="480" w:lineRule="auto"/>
        <w:jc w:val="both"/>
      </w:pPr>
      <w:r w:rsidRPr="004946F6">
        <w:t xml:space="preserve">Participants were informed that they will be viewing negative, arousing pictures and neutral pictures of domestic scenes, and that the order of recall would vary. The first recall in all groups was ‘natural’; data from this practice list was discarded. The next two lists were allocated to the same between-participant condition, either natural, emotional first, or neutral first. </w:t>
      </w:r>
    </w:p>
    <w:p w14:paraId="6A8D8ED7" w14:textId="77777777" w:rsidR="006F4EE2" w:rsidRPr="004946F6" w:rsidRDefault="006F4EE2" w:rsidP="006F4EE2">
      <w:pPr>
        <w:spacing w:line="480" w:lineRule="auto"/>
      </w:pPr>
      <w:r w:rsidRPr="004946F6">
        <w:t xml:space="preserve">When participants encode lists of stimuli that include emotionally arousing ones, the post-encoding emotional context is invariably more emotional than it was before the list was studied. This emotional coloration of the time-of-test context cue before any item is actually retrieved could render emotional stimuli more accessible than a context of a delayed retrieval test, biasing recall to commence with the retrieval of an emotional stimulus first. Therefore, a minute-long arithmetic distractor task separated the study and the picture free recall task to bring the emotional sub-region of the test context back to neutral. </w:t>
      </w:r>
    </w:p>
    <w:p w14:paraId="53ADBA3A" w14:textId="77777777" w:rsidR="006F4EE2" w:rsidRPr="00AC0EC8" w:rsidRDefault="006F4EE2" w:rsidP="006F4EE2">
      <w:pPr>
        <w:spacing w:line="480" w:lineRule="auto"/>
      </w:pPr>
      <w:r w:rsidRPr="004946F6">
        <w:t>The ‘natural’ mixed recall group were given 3 minutes to recall all of the pictures at any order. After those 3 minutes have elapsed, participants were invited to continue recall for another 3 minutes, although most participants could no longer recall anything more at that point, and data for that group was aggregated across these two test periods. The ‘emotional first’ group was given 3 minutes to recall the emotional pictures (first recall test). After 3 minutes, they were asked to recall the neutral pictures for another 3 minutes (second recall test). The ‘neutral-first’ group was asked to recall the neutral pictures first (first recall test). After 3 minutes, they were asked to recall the emotional pictures for 3 minutes (second recall test).</w:t>
      </w:r>
    </w:p>
    <w:p w14:paraId="4ACE2108" w14:textId="77777777" w:rsidR="006F4EE2" w:rsidRPr="00AC0EC8" w:rsidRDefault="006F4EE2" w:rsidP="006F4EE2">
      <w:pPr>
        <w:spacing w:line="480" w:lineRule="auto"/>
        <w:rPr>
          <w:noProof/>
          <w:lang w:eastAsia="en-GB" w:bidi="he-IL"/>
        </w:rPr>
      </w:pPr>
    </w:p>
    <w:p w14:paraId="60D60134" w14:textId="77777777" w:rsidR="005937D1" w:rsidRPr="00AC0EC8" w:rsidRDefault="005937D1" w:rsidP="006F4EE2">
      <w:pPr>
        <w:rPr>
          <w:noProof/>
          <w:lang w:eastAsia="en-GB" w:bidi="he-IL"/>
        </w:rPr>
      </w:pPr>
    </w:p>
    <w:sectPr w:rsidR="005937D1" w:rsidRPr="00AC0EC8" w:rsidSect="001815BD">
      <w:headerReference w:type="default" r:id="rId33"/>
      <w:pgSz w:w="11906" w:h="16838"/>
      <w:pgMar w:top="1440" w:right="1440" w:bottom="1440" w:left="709"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B5E8682" w14:textId="77777777" w:rsidR="00EC1D35" w:rsidRDefault="00EC1D35" w:rsidP="00334367">
      <w:pPr>
        <w:spacing w:after="0" w:line="240" w:lineRule="auto"/>
      </w:pPr>
      <w:r>
        <w:separator/>
      </w:r>
    </w:p>
  </w:endnote>
  <w:endnote w:type="continuationSeparator" w:id="0">
    <w:p w14:paraId="53A56882" w14:textId="77777777" w:rsidR="00EC1D35" w:rsidRDefault="00EC1D35" w:rsidP="0033436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ambria Math">
    <w:panose1 w:val="02040503050406030204"/>
    <w:charset w:val="00"/>
    <w:family w:val="roman"/>
    <w:pitch w:val="variable"/>
    <w:sig w:usb0="E00002FF" w:usb1="420024FF" w:usb2="00000000" w:usb3="00000000" w:csb0="0000019F" w:csb1="00000000"/>
  </w:font>
  <w:font w:name="Times">
    <w:panose1 w:val="02020603050405020304"/>
    <w:charset w:val="00"/>
    <w:family w:val="roman"/>
    <w:pitch w:val="variable"/>
    <w:sig w:usb0="E0002AFF" w:usb1="C0007841" w:usb2="00000009" w:usb3="00000000" w:csb0="000001FF" w:csb1="00000000"/>
  </w:font>
  <w:font w:name="Apple Symbols">
    <w:charset w:val="00"/>
    <w:family w:val="auto"/>
    <w:pitch w:val="variable"/>
    <w:sig w:usb0="00000003" w:usb1="00000000" w:usb2="00000000" w:usb3="00000000" w:csb0="00000001" w:csb1="00000000"/>
  </w:font>
  <w:font w:name="David">
    <w:panose1 w:val="020E0502060401010101"/>
    <w:charset w:val="B1"/>
    <w:family w:val="swiss"/>
    <w:pitch w:val="variable"/>
    <w:sig w:usb0="00000801" w:usb1="00000000" w:usb2="00000000" w:usb3="00000000" w:csb0="00000020" w:csb1="00000000"/>
  </w:font>
  <w:font w:name="Arial Unicode MS">
    <w:panose1 w:val="020B0604020202020204"/>
    <w:charset w:val="00"/>
    <w:family w:val="roman"/>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8187FAF" w14:textId="77777777" w:rsidR="00EC1D35" w:rsidRDefault="00EC1D35" w:rsidP="00334367">
      <w:pPr>
        <w:spacing w:after="0" w:line="240" w:lineRule="auto"/>
      </w:pPr>
      <w:r>
        <w:separator/>
      </w:r>
    </w:p>
  </w:footnote>
  <w:footnote w:type="continuationSeparator" w:id="0">
    <w:p w14:paraId="12680880" w14:textId="77777777" w:rsidR="00EC1D35" w:rsidRDefault="00EC1D35" w:rsidP="0033436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76420304"/>
      <w:docPartObj>
        <w:docPartGallery w:val="Page Numbers (Top of Page)"/>
        <w:docPartUnique/>
      </w:docPartObj>
    </w:sdtPr>
    <w:sdtEndPr>
      <w:rPr>
        <w:noProof/>
      </w:rPr>
    </w:sdtEndPr>
    <w:sdtContent>
      <w:p w14:paraId="0DE7559F" w14:textId="77777777" w:rsidR="0014131C" w:rsidRDefault="0014131C">
        <w:pPr>
          <w:pStyle w:val="Header"/>
          <w:jc w:val="center"/>
        </w:pPr>
        <w:r>
          <w:fldChar w:fldCharType="begin"/>
        </w:r>
        <w:r>
          <w:instrText xml:space="preserve"> PAGE   \* MERGEFORMAT </w:instrText>
        </w:r>
        <w:r>
          <w:fldChar w:fldCharType="separate"/>
        </w:r>
        <w:r w:rsidR="00FF6050">
          <w:rPr>
            <w:noProof/>
          </w:rPr>
          <w:t>2</w:t>
        </w:r>
        <w:r>
          <w:rPr>
            <w:noProof/>
          </w:rPr>
          <w:fldChar w:fldCharType="end"/>
        </w:r>
      </w:p>
    </w:sdtContent>
  </w:sdt>
  <w:p w14:paraId="7ECC6FBA" w14:textId="77777777" w:rsidR="0014131C" w:rsidRDefault="0014131C">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7CD0ED0"/>
    <w:multiLevelType w:val="hybridMultilevel"/>
    <w:tmpl w:val="B982367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323C6F9C"/>
    <w:multiLevelType w:val="hybridMultilevel"/>
    <w:tmpl w:val="8200C6E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5F934984"/>
    <w:multiLevelType w:val="hybridMultilevel"/>
    <w:tmpl w:val="092C60CA"/>
    <w:lvl w:ilvl="0" w:tplc="D4903FC6">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74D2000F"/>
    <w:multiLevelType w:val="multilevel"/>
    <w:tmpl w:val="B8FAF9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2"/>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5"/>
  <w:revisionView w:markup="0"/>
  <w:trackRevisions/>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F493D"/>
    <w:rsid w:val="0000087E"/>
    <w:rsid w:val="00000CE5"/>
    <w:rsid w:val="00001A01"/>
    <w:rsid w:val="00001F6C"/>
    <w:rsid w:val="00002C85"/>
    <w:rsid w:val="000031DE"/>
    <w:rsid w:val="0000462B"/>
    <w:rsid w:val="00004CA6"/>
    <w:rsid w:val="00005B37"/>
    <w:rsid w:val="00006971"/>
    <w:rsid w:val="000076F2"/>
    <w:rsid w:val="00010638"/>
    <w:rsid w:val="00011A07"/>
    <w:rsid w:val="0001288B"/>
    <w:rsid w:val="00012B59"/>
    <w:rsid w:val="000141AC"/>
    <w:rsid w:val="000144FD"/>
    <w:rsid w:val="000151F2"/>
    <w:rsid w:val="00015460"/>
    <w:rsid w:val="00015638"/>
    <w:rsid w:val="00016051"/>
    <w:rsid w:val="00016DD9"/>
    <w:rsid w:val="000176D0"/>
    <w:rsid w:val="0002081F"/>
    <w:rsid w:val="00020944"/>
    <w:rsid w:val="00020970"/>
    <w:rsid w:val="000212E8"/>
    <w:rsid w:val="00021319"/>
    <w:rsid w:val="00022209"/>
    <w:rsid w:val="00022742"/>
    <w:rsid w:val="000244FA"/>
    <w:rsid w:val="0002573B"/>
    <w:rsid w:val="000265F9"/>
    <w:rsid w:val="00027187"/>
    <w:rsid w:val="0002719D"/>
    <w:rsid w:val="00027E99"/>
    <w:rsid w:val="00027F76"/>
    <w:rsid w:val="0003022F"/>
    <w:rsid w:val="00031A42"/>
    <w:rsid w:val="000322C5"/>
    <w:rsid w:val="00032DB9"/>
    <w:rsid w:val="000334E5"/>
    <w:rsid w:val="0003416F"/>
    <w:rsid w:val="00035B7B"/>
    <w:rsid w:val="00035B8A"/>
    <w:rsid w:val="00036D43"/>
    <w:rsid w:val="0003785C"/>
    <w:rsid w:val="00037A70"/>
    <w:rsid w:val="00037EE9"/>
    <w:rsid w:val="0004014C"/>
    <w:rsid w:val="00040A43"/>
    <w:rsid w:val="00040E57"/>
    <w:rsid w:val="00040F02"/>
    <w:rsid w:val="00041152"/>
    <w:rsid w:val="00041284"/>
    <w:rsid w:val="000415D4"/>
    <w:rsid w:val="00041E3A"/>
    <w:rsid w:val="00042B18"/>
    <w:rsid w:val="000430E4"/>
    <w:rsid w:val="0004325E"/>
    <w:rsid w:val="000437A3"/>
    <w:rsid w:val="000447EC"/>
    <w:rsid w:val="00045BB0"/>
    <w:rsid w:val="00045EB1"/>
    <w:rsid w:val="0005028B"/>
    <w:rsid w:val="000519EC"/>
    <w:rsid w:val="00051B98"/>
    <w:rsid w:val="00052A2D"/>
    <w:rsid w:val="00052F73"/>
    <w:rsid w:val="00053085"/>
    <w:rsid w:val="000546FD"/>
    <w:rsid w:val="000547C0"/>
    <w:rsid w:val="000550D7"/>
    <w:rsid w:val="000550F6"/>
    <w:rsid w:val="00055865"/>
    <w:rsid w:val="000565BA"/>
    <w:rsid w:val="0005680D"/>
    <w:rsid w:val="0005745B"/>
    <w:rsid w:val="00057F60"/>
    <w:rsid w:val="00060F39"/>
    <w:rsid w:val="00061C87"/>
    <w:rsid w:val="00061FAA"/>
    <w:rsid w:val="0006352C"/>
    <w:rsid w:val="00063E88"/>
    <w:rsid w:val="0006501A"/>
    <w:rsid w:val="00066412"/>
    <w:rsid w:val="00067666"/>
    <w:rsid w:val="00067DD3"/>
    <w:rsid w:val="0007003E"/>
    <w:rsid w:val="00072D97"/>
    <w:rsid w:val="000733C0"/>
    <w:rsid w:val="000734E9"/>
    <w:rsid w:val="00073FC0"/>
    <w:rsid w:val="0007408C"/>
    <w:rsid w:val="00074239"/>
    <w:rsid w:val="00074589"/>
    <w:rsid w:val="00074CBE"/>
    <w:rsid w:val="00075A1D"/>
    <w:rsid w:val="00075C1F"/>
    <w:rsid w:val="00075CFF"/>
    <w:rsid w:val="000762CC"/>
    <w:rsid w:val="000772E0"/>
    <w:rsid w:val="00077894"/>
    <w:rsid w:val="00081698"/>
    <w:rsid w:val="0008323D"/>
    <w:rsid w:val="000837FE"/>
    <w:rsid w:val="00083C14"/>
    <w:rsid w:val="00083CF3"/>
    <w:rsid w:val="00084B94"/>
    <w:rsid w:val="00085BD0"/>
    <w:rsid w:val="000865F3"/>
    <w:rsid w:val="000871F1"/>
    <w:rsid w:val="00087225"/>
    <w:rsid w:val="000872DD"/>
    <w:rsid w:val="00091CE2"/>
    <w:rsid w:val="00092157"/>
    <w:rsid w:val="00092239"/>
    <w:rsid w:val="00093320"/>
    <w:rsid w:val="000936BC"/>
    <w:rsid w:val="0009395C"/>
    <w:rsid w:val="00094075"/>
    <w:rsid w:val="00094BF4"/>
    <w:rsid w:val="00096290"/>
    <w:rsid w:val="000A0E10"/>
    <w:rsid w:val="000A0F6F"/>
    <w:rsid w:val="000A1137"/>
    <w:rsid w:val="000A14ED"/>
    <w:rsid w:val="000A1921"/>
    <w:rsid w:val="000A4BCF"/>
    <w:rsid w:val="000A57FE"/>
    <w:rsid w:val="000A613E"/>
    <w:rsid w:val="000A67B3"/>
    <w:rsid w:val="000B006B"/>
    <w:rsid w:val="000B05F5"/>
    <w:rsid w:val="000B1AC9"/>
    <w:rsid w:val="000B28EF"/>
    <w:rsid w:val="000B422F"/>
    <w:rsid w:val="000B4379"/>
    <w:rsid w:val="000B4983"/>
    <w:rsid w:val="000B5124"/>
    <w:rsid w:val="000B5209"/>
    <w:rsid w:val="000B5A07"/>
    <w:rsid w:val="000B6150"/>
    <w:rsid w:val="000B6802"/>
    <w:rsid w:val="000B782D"/>
    <w:rsid w:val="000B7C9A"/>
    <w:rsid w:val="000C06F8"/>
    <w:rsid w:val="000C2C66"/>
    <w:rsid w:val="000C2DF9"/>
    <w:rsid w:val="000C4694"/>
    <w:rsid w:val="000C77DE"/>
    <w:rsid w:val="000C7FC4"/>
    <w:rsid w:val="000D0050"/>
    <w:rsid w:val="000D131D"/>
    <w:rsid w:val="000D1E16"/>
    <w:rsid w:val="000D2BA0"/>
    <w:rsid w:val="000D3B0F"/>
    <w:rsid w:val="000D3BD6"/>
    <w:rsid w:val="000D42B1"/>
    <w:rsid w:val="000D7184"/>
    <w:rsid w:val="000D7524"/>
    <w:rsid w:val="000D783B"/>
    <w:rsid w:val="000D7918"/>
    <w:rsid w:val="000E0D5A"/>
    <w:rsid w:val="000E2213"/>
    <w:rsid w:val="000E2C90"/>
    <w:rsid w:val="000E3A75"/>
    <w:rsid w:val="000E4109"/>
    <w:rsid w:val="000E4C7B"/>
    <w:rsid w:val="000E512C"/>
    <w:rsid w:val="000E5C6C"/>
    <w:rsid w:val="000E6277"/>
    <w:rsid w:val="000E64B9"/>
    <w:rsid w:val="000E6695"/>
    <w:rsid w:val="000F0790"/>
    <w:rsid w:val="000F0B23"/>
    <w:rsid w:val="000F1464"/>
    <w:rsid w:val="000F29A6"/>
    <w:rsid w:val="000F409A"/>
    <w:rsid w:val="000F5721"/>
    <w:rsid w:val="000F65B1"/>
    <w:rsid w:val="000F669A"/>
    <w:rsid w:val="000F69F3"/>
    <w:rsid w:val="00100289"/>
    <w:rsid w:val="001006F4"/>
    <w:rsid w:val="00101FB6"/>
    <w:rsid w:val="00102145"/>
    <w:rsid w:val="001039DB"/>
    <w:rsid w:val="00103F3A"/>
    <w:rsid w:val="00104D5B"/>
    <w:rsid w:val="00106F70"/>
    <w:rsid w:val="00107146"/>
    <w:rsid w:val="00107D6A"/>
    <w:rsid w:val="001100F2"/>
    <w:rsid w:val="001103ED"/>
    <w:rsid w:val="001105C0"/>
    <w:rsid w:val="00110847"/>
    <w:rsid w:val="00110B41"/>
    <w:rsid w:val="001111B0"/>
    <w:rsid w:val="001127E3"/>
    <w:rsid w:val="00113615"/>
    <w:rsid w:val="00113A95"/>
    <w:rsid w:val="00113C0E"/>
    <w:rsid w:val="00113C36"/>
    <w:rsid w:val="00113D84"/>
    <w:rsid w:val="00113DA7"/>
    <w:rsid w:val="00113ED0"/>
    <w:rsid w:val="00114DE3"/>
    <w:rsid w:val="00116070"/>
    <w:rsid w:val="0011785B"/>
    <w:rsid w:val="0012015E"/>
    <w:rsid w:val="00120485"/>
    <w:rsid w:val="00120994"/>
    <w:rsid w:val="001213D4"/>
    <w:rsid w:val="00121DAE"/>
    <w:rsid w:val="00122EE3"/>
    <w:rsid w:val="00123C8A"/>
    <w:rsid w:val="00123F33"/>
    <w:rsid w:val="0012418F"/>
    <w:rsid w:val="00124731"/>
    <w:rsid w:val="001249DE"/>
    <w:rsid w:val="00125384"/>
    <w:rsid w:val="00125A68"/>
    <w:rsid w:val="00125F0B"/>
    <w:rsid w:val="00130AED"/>
    <w:rsid w:val="001313B1"/>
    <w:rsid w:val="00131596"/>
    <w:rsid w:val="00132524"/>
    <w:rsid w:val="0013286B"/>
    <w:rsid w:val="0013292D"/>
    <w:rsid w:val="00133855"/>
    <w:rsid w:val="00133FF0"/>
    <w:rsid w:val="0013407E"/>
    <w:rsid w:val="00134A1E"/>
    <w:rsid w:val="0013502C"/>
    <w:rsid w:val="001353AD"/>
    <w:rsid w:val="001354AB"/>
    <w:rsid w:val="0013599F"/>
    <w:rsid w:val="00135A76"/>
    <w:rsid w:val="00136ECE"/>
    <w:rsid w:val="00137469"/>
    <w:rsid w:val="00137666"/>
    <w:rsid w:val="00137717"/>
    <w:rsid w:val="00140060"/>
    <w:rsid w:val="00140224"/>
    <w:rsid w:val="0014131C"/>
    <w:rsid w:val="00142F7E"/>
    <w:rsid w:val="0014459F"/>
    <w:rsid w:val="00144771"/>
    <w:rsid w:val="00144FCB"/>
    <w:rsid w:val="0014510E"/>
    <w:rsid w:val="00145E7B"/>
    <w:rsid w:val="00146018"/>
    <w:rsid w:val="00146ABF"/>
    <w:rsid w:val="00147040"/>
    <w:rsid w:val="00147983"/>
    <w:rsid w:val="00147B70"/>
    <w:rsid w:val="00147FFB"/>
    <w:rsid w:val="00150825"/>
    <w:rsid w:val="00150C0E"/>
    <w:rsid w:val="00150C29"/>
    <w:rsid w:val="001512F8"/>
    <w:rsid w:val="00151508"/>
    <w:rsid w:val="00151AC0"/>
    <w:rsid w:val="001533F2"/>
    <w:rsid w:val="00153A03"/>
    <w:rsid w:val="00153AFF"/>
    <w:rsid w:val="00154CF7"/>
    <w:rsid w:val="00154DE6"/>
    <w:rsid w:val="00155754"/>
    <w:rsid w:val="0015613A"/>
    <w:rsid w:val="00156363"/>
    <w:rsid w:val="00157A88"/>
    <w:rsid w:val="00160EAC"/>
    <w:rsid w:val="0016181F"/>
    <w:rsid w:val="001619C8"/>
    <w:rsid w:val="00162C6C"/>
    <w:rsid w:val="0016322B"/>
    <w:rsid w:val="001638C7"/>
    <w:rsid w:val="00164002"/>
    <w:rsid w:val="00164902"/>
    <w:rsid w:val="0016507E"/>
    <w:rsid w:val="001654F0"/>
    <w:rsid w:val="00165672"/>
    <w:rsid w:val="001660AB"/>
    <w:rsid w:val="001662D8"/>
    <w:rsid w:val="0016691A"/>
    <w:rsid w:val="00167695"/>
    <w:rsid w:val="00172C09"/>
    <w:rsid w:val="001731F2"/>
    <w:rsid w:val="00173568"/>
    <w:rsid w:val="00173D92"/>
    <w:rsid w:val="00173FCC"/>
    <w:rsid w:val="00174DD3"/>
    <w:rsid w:val="00175332"/>
    <w:rsid w:val="00175592"/>
    <w:rsid w:val="0017574F"/>
    <w:rsid w:val="00176315"/>
    <w:rsid w:val="00176395"/>
    <w:rsid w:val="00176497"/>
    <w:rsid w:val="001777DB"/>
    <w:rsid w:val="001801D6"/>
    <w:rsid w:val="00180854"/>
    <w:rsid w:val="0018105E"/>
    <w:rsid w:val="001815BD"/>
    <w:rsid w:val="00182B49"/>
    <w:rsid w:val="00183043"/>
    <w:rsid w:val="00183070"/>
    <w:rsid w:val="001846DF"/>
    <w:rsid w:val="00184BEB"/>
    <w:rsid w:val="00185EAB"/>
    <w:rsid w:val="0018622F"/>
    <w:rsid w:val="00186239"/>
    <w:rsid w:val="00186535"/>
    <w:rsid w:val="00186546"/>
    <w:rsid w:val="00186A2C"/>
    <w:rsid w:val="0018705D"/>
    <w:rsid w:val="001875DA"/>
    <w:rsid w:val="00187619"/>
    <w:rsid w:val="001905CF"/>
    <w:rsid w:val="0019088E"/>
    <w:rsid w:val="00191369"/>
    <w:rsid w:val="00191370"/>
    <w:rsid w:val="00191906"/>
    <w:rsid w:val="00192B90"/>
    <w:rsid w:val="0019309A"/>
    <w:rsid w:val="00193640"/>
    <w:rsid w:val="00193B21"/>
    <w:rsid w:val="0019494E"/>
    <w:rsid w:val="001963BA"/>
    <w:rsid w:val="001A1A62"/>
    <w:rsid w:val="001A25A3"/>
    <w:rsid w:val="001A30BF"/>
    <w:rsid w:val="001A3127"/>
    <w:rsid w:val="001A3188"/>
    <w:rsid w:val="001A436D"/>
    <w:rsid w:val="001A4B3E"/>
    <w:rsid w:val="001A5305"/>
    <w:rsid w:val="001A6229"/>
    <w:rsid w:val="001A69A5"/>
    <w:rsid w:val="001A7358"/>
    <w:rsid w:val="001A7F0B"/>
    <w:rsid w:val="001B001E"/>
    <w:rsid w:val="001B0979"/>
    <w:rsid w:val="001B202A"/>
    <w:rsid w:val="001B203B"/>
    <w:rsid w:val="001B39E7"/>
    <w:rsid w:val="001B427F"/>
    <w:rsid w:val="001B7A80"/>
    <w:rsid w:val="001B7AC3"/>
    <w:rsid w:val="001B7EE8"/>
    <w:rsid w:val="001C0295"/>
    <w:rsid w:val="001C11C3"/>
    <w:rsid w:val="001C263C"/>
    <w:rsid w:val="001C2D4A"/>
    <w:rsid w:val="001C2E06"/>
    <w:rsid w:val="001C2F00"/>
    <w:rsid w:val="001C3189"/>
    <w:rsid w:val="001C34DD"/>
    <w:rsid w:val="001C624D"/>
    <w:rsid w:val="001C67F8"/>
    <w:rsid w:val="001C75EF"/>
    <w:rsid w:val="001C76B9"/>
    <w:rsid w:val="001C78B8"/>
    <w:rsid w:val="001C7DBF"/>
    <w:rsid w:val="001D016B"/>
    <w:rsid w:val="001D02A1"/>
    <w:rsid w:val="001D09BB"/>
    <w:rsid w:val="001D12B8"/>
    <w:rsid w:val="001D15DA"/>
    <w:rsid w:val="001D24FF"/>
    <w:rsid w:val="001D3C85"/>
    <w:rsid w:val="001D4259"/>
    <w:rsid w:val="001D4598"/>
    <w:rsid w:val="001D4D95"/>
    <w:rsid w:val="001D4FEB"/>
    <w:rsid w:val="001D6C9C"/>
    <w:rsid w:val="001D6F05"/>
    <w:rsid w:val="001D6F71"/>
    <w:rsid w:val="001D759B"/>
    <w:rsid w:val="001D783E"/>
    <w:rsid w:val="001E0254"/>
    <w:rsid w:val="001E0826"/>
    <w:rsid w:val="001E08D2"/>
    <w:rsid w:val="001E1EAB"/>
    <w:rsid w:val="001E31FB"/>
    <w:rsid w:val="001E332A"/>
    <w:rsid w:val="001E401F"/>
    <w:rsid w:val="001E4285"/>
    <w:rsid w:val="001E4DE4"/>
    <w:rsid w:val="001E5189"/>
    <w:rsid w:val="001E58E5"/>
    <w:rsid w:val="001E59BB"/>
    <w:rsid w:val="001E6688"/>
    <w:rsid w:val="001E6B41"/>
    <w:rsid w:val="001E7369"/>
    <w:rsid w:val="001E7B64"/>
    <w:rsid w:val="001F1A99"/>
    <w:rsid w:val="001F3049"/>
    <w:rsid w:val="001F37C4"/>
    <w:rsid w:val="001F3A60"/>
    <w:rsid w:val="001F4229"/>
    <w:rsid w:val="001F5420"/>
    <w:rsid w:val="001F54B2"/>
    <w:rsid w:val="001F57C4"/>
    <w:rsid w:val="001F59FE"/>
    <w:rsid w:val="001F5B9A"/>
    <w:rsid w:val="001F6806"/>
    <w:rsid w:val="001F6DCE"/>
    <w:rsid w:val="001F721E"/>
    <w:rsid w:val="0020021C"/>
    <w:rsid w:val="00200DE6"/>
    <w:rsid w:val="002010B5"/>
    <w:rsid w:val="002028BF"/>
    <w:rsid w:val="0020321A"/>
    <w:rsid w:val="00203F33"/>
    <w:rsid w:val="002041C8"/>
    <w:rsid w:val="0020491E"/>
    <w:rsid w:val="00204C2E"/>
    <w:rsid w:val="00204D4F"/>
    <w:rsid w:val="002055F5"/>
    <w:rsid w:val="002073BF"/>
    <w:rsid w:val="002077C1"/>
    <w:rsid w:val="00207C7B"/>
    <w:rsid w:val="00211008"/>
    <w:rsid w:val="00211D54"/>
    <w:rsid w:val="0021360F"/>
    <w:rsid w:val="0021488D"/>
    <w:rsid w:val="00215108"/>
    <w:rsid w:val="002155EC"/>
    <w:rsid w:val="0021753E"/>
    <w:rsid w:val="00220BEF"/>
    <w:rsid w:val="00220D0F"/>
    <w:rsid w:val="00221C94"/>
    <w:rsid w:val="002222D6"/>
    <w:rsid w:val="002225FD"/>
    <w:rsid w:val="002229EE"/>
    <w:rsid w:val="00222CE2"/>
    <w:rsid w:val="002235AA"/>
    <w:rsid w:val="00223D25"/>
    <w:rsid w:val="0022440E"/>
    <w:rsid w:val="00224495"/>
    <w:rsid w:val="002245BC"/>
    <w:rsid w:val="00224A8A"/>
    <w:rsid w:val="00224AD5"/>
    <w:rsid w:val="00224DB0"/>
    <w:rsid w:val="00224FE3"/>
    <w:rsid w:val="002254FA"/>
    <w:rsid w:val="00225ABA"/>
    <w:rsid w:val="00226018"/>
    <w:rsid w:val="002273F1"/>
    <w:rsid w:val="00227CDD"/>
    <w:rsid w:val="00231621"/>
    <w:rsid w:val="00232D95"/>
    <w:rsid w:val="00234CBB"/>
    <w:rsid w:val="0023537D"/>
    <w:rsid w:val="00235E4A"/>
    <w:rsid w:val="002361B3"/>
    <w:rsid w:val="00236C21"/>
    <w:rsid w:val="00237FB6"/>
    <w:rsid w:val="0024074E"/>
    <w:rsid w:val="0024117B"/>
    <w:rsid w:val="00241520"/>
    <w:rsid w:val="00242252"/>
    <w:rsid w:val="002422AE"/>
    <w:rsid w:val="0024232E"/>
    <w:rsid w:val="00243D49"/>
    <w:rsid w:val="00244A6A"/>
    <w:rsid w:val="00246DA9"/>
    <w:rsid w:val="00247611"/>
    <w:rsid w:val="00247AAE"/>
    <w:rsid w:val="00247F71"/>
    <w:rsid w:val="002516E6"/>
    <w:rsid w:val="002524B1"/>
    <w:rsid w:val="00253B27"/>
    <w:rsid w:val="002542B6"/>
    <w:rsid w:val="00254973"/>
    <w:rsid w:val="00254A94"/>
    <w:rsid w:val="00254EEC"/>
    <w:rsid w:val="00254F11"/>
    <w:rsid w:val="00255D80"/>
    <w:rsid w:val="00256311"/>
    <w:rsid w:val="00256388"/>
    <w:rsid w:val="0025680E"/>
    <w:rsid w:val="002569BD"/>
    <w:rsid w:val="00256C19"/>
    <w:rsid w:val="0025753C"/>
    <w:rsid w:val="0025768F"/>
    <w:rsid w:val="00257C1C"/>
    <w:rsid w:val="002602BD"/>
    <w:rsid w:val="00260BCD"/>
    <w:rsid w:val="00260DD5"/>
    <w:rsid w:val="00261B4F"/>
    <w:rsid w:val="00262A29"/>
    <w:rsid w:val="00264AE6"/>
    <w:rsid w:val="0026640C"/>
    <w:rsid w:val="002674EC"/>
    <w:rsid w:val="0026791E"/>
    <w:rsid w:val="0027042E"/>
    <w:rsid w:val="00270C5B"/>
    <w:rsid w:val="00270D29"/>
    <w:rsid w:val="00271966"/>
    <w:rsid w:val="00271F6F"/>
    <w:rsid w:val="00272CA7"/>
    <w:rsid w:val="0027342C"/>
    <w:rsid w:val="0027380C"/>
    <w:rsid w:val="00273EAE"/>
    <w:rsid w:val="00274532"/>
    <w:rsid w:val="0027472C"/>
    <w:rsid w:val="002753D1"/>
    <w:rsid w:val="002767CE"/>
    <w:rsid w:val="00276F98"/>
    <w:rsid w:val="00280145"/>
    <w:rsid w:val="00280C04"/>
    <w:rsid w:val="00280D35"/>
    <w:rsid w:val="002817C8"/>
    <w:rsid w:val="002818BF"/>
    <w:rsid w:val="002829E9"/>
    <w:rsid w:val="00284671"/>
    <w:rsid w:val="00284985"/>
    <w:rsid w:val="00285127"/>
    <w:rsid w:val="0028514D"/>
    <w:rsid w:val="00285176"/>
    <w:rsid w:val="0029004F"/>
    <w:rsid w:val="002908A0"/>
    <w:rsid w:val="00290ACE"/>
    <w:rsid w:val="00290CB7"/>
    <w:rsid w:val="00290D10"/>
    <w:rsid w:val="002911E5"/>
    <w:rsid w:val="002923EF"/>
    <w:rsid w:val="00292E92"/>
    <w:rsid w:val="002930C1"/>
    <w:rsid w:val="002933D8"/>
    <w:rsid w:val="00293FA4"/>
    <w:rsid w:val="002944DE"/>
    <w:rsid w:val="00297065"/>
    <w:rsid w:val="00297068"/>
    <w:rsid w:val="002970F4"/>
    <w:rsid w:val="0029751D"/>
    <w:rsid w:val="00297948"/>
    <w:rsid w:val="002A1584"/>
    <w:rsid w:val="002A1A2C"/>
    <w:rsid w:val="002A27EE"/>
    <w:rsid w:val="002A2C0C"/>
    <w:rsid w:val="002A368A"/>
    <w:rsid w:val="002A3D9C"/>
    <w:rsid w:val="002A4129"/>
    <w:rsid w:val="002A689E"/>
    <w:rsid w:val="002A68D6"/>
    <w:rsid w:val="002A727B"/>
    <w:rsid w:val="002A7DF7"/>
    <w:rsid w:val="002B0319"/>
    <w:rsid w:val="002B0E52"/>
    <w:rsid w:val="002B0F07"/>
    <w:rsid w:val="002B1A42"/>
    <w:rsid w:val="002B1C5C"/>
    <w:rsid w:val="002B233F"/>
    <w:rsid w:val="002B291A"/>
    <w:rsid w:val="002B2F9A"/>
    <w:rsid w:val="002B49A6"/>
    <w:rsid w:val="002B5288"/>
    <w:rsid w:val="002B6526"/>
    <w:rsid w:val="002B65B0"/>
    <w:rsid w:val="002B6CF4"/>
    <w:rsid w:val="002B71C7"/>
    <w:rsid w:val="002B724F"/>
    <w:rsid w:val="002C0625"/>
    <w:rsid w:val="002C0984"/>
    <w:rsid w:val="002C0B41"/>
    <w:rsid w:val="002C166C"/>
    <w:rsid w:val="002C1763"/>
    <w:rsid w:val="002C1E4C"/>
    <w:rsid w:val="002C20E4"/>
    <w:rsid w:val="002C2332"/>
    <w:rsid w:val="002C3E9F"/>
    <w:rsid w:val="002C418E"/>
    <w:rsid w:val="002C5611"/>
    <w:rsid w:val="002C5B5A"/>
    <w:rsid w:val="002C6B20"/>
    <w:rsid w:val="002C7C2B"/>
    <w:rsid w:val="002D025B"/>
    <w:rsid w:val="002D02C7"/>
    <w:rsid w:val="002D06E9"/>
    <w:rsid w:val="002D09BB"/>
    <w:rsid w:val="002D19F3"/>
    <w:rsid w:val="002D2148"/>
    <w:rsid w:val="002D22C1"/>
    <w:rsid w:val="002D243D"/>
    <w:rsid w:val="002D3826"/>
    <w:rsid w:val="002D3A21"/>
    <w:rsid w:val="002D3E8C"/>
    <w:rsid w:val="002D4D5C"/>
    <w:rsid w:val="002D6ABA"/>
    <w:rsid w:val="002E087A"/>
    <w:rsid w:val="002E0D58"/>
    <w:rsid w:val="002E11BF"/>
    <w:rsid w:val="002E1E53"/>
    <w:rsid w:val="002E291C"/>
    <w:rsid w:val="002E2CE7"/>
    <w:rsid w:val="002E2DCD"/>
    <w:rsid w:val="002E39B0"/>
    <w:rsid w:val="002E3E10"/>
    <w:rsid w:val="002E4EA6"/>
    <w:rsid w:val="002E5664"/>
    <w:rsid w:val="002E5A4B"/>
    <w:rsid w:val="002E63E7"/>
    <w:rsid w:val="002E6780"/>
    <w:rsid w:val="002E6A4D"/>
    <w:rsid w:val="002E6AAE"/>
    <w:rsid w:val="002E6FE8"/>
    <w:rsid w:val="002E70C5"/>
    <w:rsid w:val="002E747B"/>
    <w:rsid w:val="002F133D"/>
    <w:rsid w:val="002F17D6"/>
    <w:rsid w:val="002F1CEF"/>
    <w:rsid w:val="002F2536"/>
    <w:rsid w:val="002F2B3D"/>
    <w:rsid w:val="002F38CE"/>
    <w:rsid w:val="002F4540"/>
    <w:rsid w:val="002F4A86"/>
    <w:rsid w:val="002F61B1"/>
    <w:rsid w:val="002F6264"/>
    <w:rsid w:val="002F638D"/>
    <w:rsid w:val="002F678F"/>
    <w:rsid w:val="002F7159"/>
    <w:rsid w:val="002F767C"/>
    <w:rsid w:val="0030029E"/>
    <w:rsid w:val="00300FC8"/>
    <w:rsid w:val="00301D56"/>
    <w:rsid w:val="00301F11"/>
    <w:rsid w:val="00302544"/>
    <w:rsid w:val="003027BC"/>
    <w:rsid w:val="00302F11"/>
    <w:rsid w:val="00303C40"/>
    <w:rsid w:val="0030567D"/>
    <w:rsid w:val="0030601B"/>
    <w:rsid w:val="0030602B"/>
    <w:rsid w:val="003069DC"/>
    <w:rsid w:val="00307976"/>
    <w:rsid w:val="00307F0E"/>
    <w:rsid w:val="003104D9"/>
    <w:rsid w:val="003112B7"/>
    <w:rsid w:val="003121FB"/>
    <w:rsid w:val="00312F00"/>
    <w:rsid w:val="00313CCD"/>
    <w:rsid w:val="00313FF5"/>
    <w:rsid w:val="003141CF"/>
    <w:rsid w:val="00314861"/>
    <w:rsid w:val="00314EC8"/>
    <w:rsid w:val="0031511E"/>
    <w:rsid w:val="00315CAA"/>
    <w:rsid w:val="003168A0"/>
    <w:rsid w:val="00316D5E"/>
    <w:rsid w:val="00316E3F"/>
    <w:rsid w:val="003177E1"/>
    <w:rsid w:val="00317BD4"/>
    <w:rsid w:val="00317C2C"/>
    <w:rsid w:val="00317DF1"/>
    <w:rsid w:val="00317F08"/>
    <w:rsid w:val="003200E9"/>
    <w:rsid w:val="0032093B"/>
    <w:rsid w:val="00320BD8"/>
    <w:rsid w:val="00320ED3"/>
    <w:rsid w:val="00320EE8"/>
    <w:rsid w:val="00320F17"/>
    <w:rsid w:val="003216B5"/>
    <w:rsid w:val="00321EA6"/>
    <w:rsid w:val="003229EE"/>
    <w:rsid w:val="00323B74"/>
    <w:rsid w:val="00323DD2"/>
    <w:rsid w:val="00323E35"/>
    <w:rsid w:val="003243E6"/>
    <w:rsid w:val="003248C6"/>
    <w:rsid w:val="00324E28"/>
    <w:rsid w:val="00325723"/>
    <w:rsid w:val="00325B10"/>
    <w:rsid w:val="00325B7A"/>
    <w:rsid w:val="003261FF"/>
    <w:rsid w:val="003263BD"/>
    <w:rsid w:val="003264C3"/>
    <w:rsid w:val="0032660B"/>
    <w:rsid w:val="00326FE7"/>
    <w:rsid w:val="0032787F"/>
    <w:rsid w:val="00330429"/>
    <w:rsid w:val="003307E5"/>
    <w:rsid w:val="0033096B"/>
    <w:rsid w:val="00330FE2"/>
    <w:rsid w:val="003311A4"/>
    <w:rsid w:val="003312BE"/>
    <w:rsid w:val="0033174F"/>
    <w:rsid w:val="00331D02"/>
    <w:rsid w:val="0033216D"/>
    <w:rsid w:val="00332A28"/>
    <w:rsid w:val="00332CEB"/>
    <w:rsid w:val="003331E7"/>
    <w:rsid w:val="00334367"/>
    <w:rsid w:val="00334DC3"/>
    <w:rsid w:val="00335D0F"/>
    <w:rsid w:val="0033640D"/>
    <w:rsid w:val="00340AD8"/>
    <w:rsid w:val="00342F0F"/>
    <w:rsid w:val="00343033"/>
    <w:rsid w:val="00343C16"/>
    <w:rsid w:val="0034550F"/>
    <w:rsid w:val="00345F3D"/>
    <w:rsid w:val="0034719A"/>
    <w:rsid w:val="00347F4F"/>
    <w:rsid w:val="0035081A"/>
    <w:rsid w:val="003508C0"/>
    <w:rsid w:val="00351F16"/>
    <w:rsid w:val="00351FB9"/>
    <w:rsid w:val="00352311"/>
    <w:rsid w:val="0035275A"/>
    <w:rsid w:val="00353324"/>
    <w:rsid w:val="003544DD"/>
    <w:rsid w:val="00355A6E"/>
    <w:rsid w:val="00356997"/>
    <w:rsid w:val="003574D7"/>
    <w:rsid w:val="00360674"/>
    <w:rsid w:val="00360D15"/>
    <w:rsid w:val="003617E9"/>
    <w:rsid w:val="003630D8"/>
    <w:rsid w:val="00363B67"/>
    <w:rsid w:val="0036416E"/>
    <w:rsid w:val="00364DE4"/>
    <w:rsid w:val="00364EDA"/>
    <w:rsid w:val="003658DA"/>
    <w:rsid w:val="00366A26"/>
    <w:rsid w:val="00367188"/>
    <w:rsid w:val="0036760B"/>
    <w:rsid w:val="00367C63"/>
    <w:rsid w:val="0037037C"/>
    <w:rsid w:val="003706EC"/>
    <w:rsid w:val="00370F74"/>
    <w:rsid w:val="00372179"/>
    <w:rsid w:val="0037233E"/>
    <w:rsid w:val="00373442"/>
    <w:rsid w:val="00375BF2"/>
    <w:rsid w:val="00375DF6"/>
    <w:rsid w:val="003767B3"/>
    <w:rsid w:val="00376CB6"/>
    <w:rsid w:val="00377A64"/>
    <w:rsid w:val="003805B8"/>
    <w:rsid w:val="003806B9"/>
    <w:rsid w:val="00380720"/>
    <w:rsid w:val="00382109"/>
    <w:rsid w:val="00382220"/>
    <w:rsid w:val="00382724"/>
    <w:rsid w:val="00382C36"/>
    <w:rsid w:val="00383039"/>
    <w:rsid w:val="0038388A"/>
    <w:rsid w:val="00385A52"/>
    <w:rsid w:val="003867B0"/>
    <w:rsid w:val="003868A9"/>
    <w:rsid w:val="003876CF"/>
    <w:rsid w:val="00390B24"/>
    <w:rsid w:val="00391672"/>
    <w:rsid w:val="00392897"/>
    <w:rsid w:val="00392BA3"/>
    <w:rsid w:val="00393AD0"/>
    <w:rsid w:val="00394AB5"/>
    <w:rsid w:val="003950AA"/>
    <w:rsid w:val="00395DF7"/>
    <w:rsid w:val="0039646C"/>
    <w:rsid w:val="003964E5"/>
    <w:rsid w:val="00397541"/>
    <w:rsid w:val="0039796E"/>
    <w:rsid w:val="003A01B1"/>
    <w:rsid w:val="003A0A3B"/>
    <w:rsid w:val="003A0B53"/>
    <w:rsid w:val="003A20BF"/>
    <w:rsid w:val="003A2B4E"/>
    <w:rsid w:val="003A30F2"/>
    <w:rsid w:val="003A38CE"/>
    <w:rsid w:val="003A3CB4"/>
    <w:rsid w:val="003A42A9"/>
    <w:rsid w:val="003A42F1"/>
    <w:rsid w:val="003A46CC"/>
    <w:rsid w:val="003A4723"/>
    <w:rsid w:val="003A538A"/>
    <w:rsid w:val="003A5C89"/>
    <w:rsid w:val="003A72CF"/>
    <w:rsid w:val="003B0323"/>
    <w:rsid w:val="003B033B"/>
    <w:rsid w:val="003B0635"/>
    <w:rsid w:val="003B09AB"/>
    <w:rsid w:val="003B09F7"/>
    <w:rsid w:val="003B1711"/>
    <w:rsid w:val="003B212B"/>
    <w:rsid w:val="003B31F5"/>
    <w:rsid w:val="003B3950"/>
    <w:rsid w:val="003B3F4A"/>
    <w:rsid w:val="003B40B3"/>
    <w:rsid w:val="003B50F8"/>
    <w:rsid w:val="003B52C0"/>
    <w:rsid w:val="003B5818"/>
    <w:rsid w:val="003B6AA7"/>
    <w:rsid w:val="003B6ADE"/>
    <w:rsid w:val="003B7610"/>
    <w:rsid w:val="003B7A51"/>
    <w:rsid w:val="003C04D4"/>
    <w:rsid w:val="003C0D70"/>
    <w:rsid w:val="003C1013"/>
    <w:rsid w:val="003C1124"/>
    <w:rsid w:val="003C18F3"/>
    <w:rsid w:val="003C1C51"/>
    <w:rsid w:val="003C1EDC"/>
    <w:rsid w:val="003C1FE5"/>
    <w:rsid w:val="003C25BB"/>
    <w:rsid w:val="003C2A7A"/>
    <w:rsid w:val="003C3B0B"/>
    <w:rsid w:val="003C3BFE"/>
    <w:rsid w:val="003C3F0F"/>
    <w:rsid w:val="003C406F"/>
    <w:rsid w:val="003C44F1"/>
    <w:rsid w:val="003C4CE1"/>
    <w:rsid w:val="003C4EC5"/>
    <w:rsid w:val="003C5271"/>
    <w:rsid w:val="003C5D4F"/>
    <w:rsid w:val="003C6030"/>
    <w:rsid w:val="003C6685"/>
    <w:rsid w:val="003C687D"/>
    <w:rsid w:val="003C72D2"/>
    <w:rsid w:val="003C72E2"/>
    <w:rsid w:val="003D1AF8"/>
    <w:rsid w:val="003D1BC8"/>
    <w:rsid w:val="003D2DD5"/>
    <w:rsid w:val="003D3737"/>
    <w:rsid w:val="003D3F2D"/>
    <w:rsid w:val="003D3F84"/>
    <w:rsid w:val="003D4BD2"/>
    <w:rsid w:val="003D675D"/>
    <w:rsid w:val="003D7FA7"/>
    <w:rsid w:val="003E0C90"/>
    <w:rsid w:val="003E1048"/>
    <w:rsid w:val="003E219A"/>
    <w:rsid w:val="003E279F"/>
    <w:rsid w:val="003E29E3"/>
    <w:rsid w:val="003E29FD"/>
    <w:rsid w:val="003E3333"/>
    <w:rsid w:val="003E3CC9"/>
    <w:rsid w:val="003E3E00"/>
    <w:rsid w:val="003E3E56"/>
    <w:rsid w:val="003E3F8C"/>
    <w:rsid w:val="003E417B"/>
    <w:rsid w:val="003E4D59"/>
    <w:rsid w:val="003E559E"/>
    <w:rsid w:val="003E5633"/>
    <w:rsid w:val="003E6EBA"/>
    <w:rsid w:val="003E7010"/>
    <w:rsid w:val="003E75CE"/>
    <w:rsid w:val="003E763A"/>
    <w:rsid w:val="003F03D6"/>
    <w:rsid w:val="003F0AB2"/>
    <w:rsid w:val="003F0B28"/>
    <w:rsid w:val="003F1497"/>
    <w:rsid w:val="003F1559"/>
    <w:rsid w:val="003F2979"/>
    <w:rsid w:val="003F31C5"/>
    <w:rsid w:val="003F350C"/>
    <w:rsid w:val="003F43D0"/>
    <w:rsid w:val="003F512A"/>
    <w:rsid w:val="003F601F"/>
    <w:rsid w:val="003F669B"/>
    <w:rsid w:val="003F6735"/>
    <w:rsid w:val="003F7BE3"/>
    <w:rsid w:val="003F7D37"/>
    <w:rsid w:val="00400432"/>
    <w:rsid w:val="0040053A"/>
    <w:rsid w:val="00401324"/>
    <w:rsid w:val="00401DA8"/>
    <w:rsid w:val="0040246C"/>
    <w:rsid w:val="00403EDD"/>
    <w:rsid w:val="00403F1F"/>
    <w:rsid w:val="00404804"/>
    <w:rsid w:val="00404E72"/>
    <w:rsid w:val="00405F9F"/>
    <w:rsid w:val="00406364"/>
    <w:rsid w:val="00406DE9"/>
    <w:rsid w:val="00407872"/>
    <w:rsid w:val="004078DE"/>
    <w:rsid w:val="00407DFA"/>
    <w:rsid w:val="004100CA"/>
    <w:rsid w:val="0041087A"/>
    <w:rsid w:val="00410D4B"/>
    <w:rsid w:val="00410E4A"/>
    <w:rsid w:val="00410F6F"/>
    <w:rsid w:val="0041303B"/>
    <w:rsid w:val="0041372D"/>
    <w:rsid w:val="004137B8"/>
    <w:rsid w:val="00414B15"/>
    <w:rsid w:val="00415AA5"/>
    <w:rsid w:val="004166A2"/>
    <w:rsid w:val="00417F28"/>
    <w:rsid w:val="0042033F"/>
    <w:rsid w:val="0042069D"/>
    <w:rsid w:val="004217E2"/>
    <w:rsid w:val="004221BE"/>
    <w:rsid w:val="00422EBF"/>
    <w:rsid w:val="00424A44"/>
    <w:rsid w:val="004255DB"/>
    <w:rsid w:val="004257F0"/>
    <w:rsid w:val="004267A6"/>
    <w:rsid w:val="0042763F"/>
    <w:rsid w:val="00432494"/>
    <w:rsid w:val="00433BF8"/>
    <w:rsid w:val="00434952"/>
    <w:rsid w:val="0043517D"/>
    <w:rsid w:val="004356EC"/>
    <w:rsid w:val="00436746"/>
    <w:rsid w:val="00437057"/>
    <w:rsid w:val="00440078"/>
    <w:rsid w:val="004404DE"/>
    <w:rsid w:val="00441518"/>
    <w:rsid w:val="00441D7C"/>
    <w:rsid w:val="00442E25"/>
    <w:rsid w:val="00443F86"/>
    <w:rsid w:val="004444DE"/>
    <w:rsid w:val="00444D62"/>
    <w:rsid w:val="00444F1C"/>
    <w:rsid w:val="004455F3"/>
    <w:rsid w:val="00445CBE"/>
    <w:rsid w:val="00445E79"/>
    <w:rsid w:val="00446783"/>
    <w:rsid w:val="0044761A"/>
    <w:rsid w:val="00447E4E"/>
    <w:rsid w:val="00450078"/>
    <w:rsid w:val="00451C77"/>
    <w:rsid w:val="00451EA9"/>
    <w:rsid w:val="00452574"/>
    <w:rsid w:val="00452855"/>
    <w:rsid w:val="00452DF7"/>
    <w:rsid w:val="0045343A"/>
    <w:rsid w:val="00453D2F"/>
    <w:rsid w:val="004540AD"/>
    <w:rsid w:val="0045495E"/>
    <w:rsid w:val="0045553B"/>
    <w:rsid w:val="00455912"/>
    <w:rsid w:val="00455A69"/>
    <w:rsid w:val="00455C1C"/>
    <w:rsid w:val="00456069"/>
    <w:rsid w:val="004562D4"/>
    <w:rsid w:val="00456618"/>
    <w:rsid w:val="0045664D"/>
    <w:rsid w:val="004575E7"/>
    <w:rsid w:val="00457C40"/>
    <w:rsid w:val="00460633"/>
    <w:rsid w:val="0046135B"/>
    <w:rsid w:val="004622FB"/>
    <w:rsid w:val="00462359"/>
    <w:rsid w:val="00462A6E"/>
    <w:rsid w:val="00462DD6"/>
    <w:rsid w:val="00463073"/>
    <w:rsid w:val="00463F6F"/>
    <w:rsid w:val="004657D6"/>
    <w:rsid w:val="00465C29"/>
    <w:rsid w:val="004662DC"/>
    <w:rsid w:val="00470002"/>
    <w:rsid w:val="00470B9A"/>
    <w:rsid w:val="0047238B"/>
    <w:rsid w:val="0047251E"/>
    <w:rsid w:val="00472BC3"/>
    <w:rsid w:val="00473EEB"/>
    <w:rsid w:val="004750D2"/>
    <w:rsid w:val="00475465"/>
    <w:rsid w:val="00475B58"/>
    <w:rsid w:val="0047614F"/>
    <w:rsid w:val="004774A4"/>
    <w:rsid w:val="00477D2D"/>
    <w:rsid w:val="00480066"/>
    <w:rsid w:val="00480BF7"/>
    <w:rsid w:val="00481071"/>
    <w:rsid w:val="0048235F"/>
    <w:rsid w:val="00482685"/>
    <w:rsid w:val="00483BE5"/>
    <w:rsid w:val="00483D10"/>
    <w:rsid w:val="00485E5F"/>
    <w:rsid w:val="0048690B"/>
    <w:rsid w:val="00487506"/>
    <w:rsid w:val="00487BA2"/>
    <w:rsid w:val="00487DD3"/>
    <w:rsid w:val="00490AC3"/>
    <w:rsid w:val="00490B9E"/>
    <w:rsid w:val="00490EE8"/>
    <w:rsid w:val="00491E6F"/>
    <w:rsid w:val="00493A74"/>
    <w:rsid w:val="00493BFA"/>
    <w:rsid w:val="00493C61"/>
    <w:rsid w:val="004946F6"/>
    <w:rsid w:val="00494B21"/>
    <w:rsid w:val="00494C2F"/>
    <w:rsid w:val="00495993"/>
    <w:rsid w:val="00495EE5"/>
    <w:rsid w:val="0049616A"/>
    <w:rsid w:val="0049638E"/>
    <w:rsid w:val="00496838"/>
    <w:rsid w:val="004972B3"/>
    <w:rsid w:val="00497987"/>
    <w:rsid w:val="00497D15"/>
    <w:rsid w:val="00497D17"/>
    <w:rsid w:val="004A0F56"/>
    <w:rsid w:val="004A1630"/>
    <w:rsid w:val="004A1E11"/>
    <w:rsid w:val="004A26B5"/>
    <w:rsid w:val="004A39C0"/>
    <w:rsid w:val="004A3CBA"/>
    <w:rsid w:val="004A536D"/>
    <w:rsid w:val="004A6B63"/>
    <w:rsid w:val="004B0115"/>
    <w:rsid w:val="004B046B"/>
    <w:rsid w:val="004B10FC"/>
    <w:rsid w:val="004B2F01"/>
    <w:rsid w:val="004B4906"/>
    <w:rsid w:val="004B4D3E"/>
    <w:rsid w:val="004B57AB"/>
    <w:rsid w:val="004B6394"/>
    <w:rsid w:val="004B6F6B"/>
    <w:rsid w:val="004C016B"/>
    <w:rsid w:val="004C0BB2"/>
    <w:rsid w:val="004C2AFE"/>
    <w:rsid w:val="004C345F"/>
    <w:rsid w:val="004C3695"/>
    <w:rsid w:val="004C3E9A"/>
    <w:rsid w:val="004C4460"/>
    <w:rsid w:val="004C532C"/>
    <w:rsid w:val="004C6EB7"/>
    <w:rsid w:val="004C7029"/>
    <w:rsid w:val="004C7660"/>
    <w:rsid w:val="004C7C62"/>
    <w:rsid w:val="004D097C"/>
    <w:rsid w:val="004D1248"/>
    <w:rsid w:val="004D13EA"/>
    <w:rsid w:val="004D1825"/>
    <w:rsid w:val="004D2433"/>
    <w:rsid w:val="004D2B21"/>
    <w:rsid w:val="004D3410"/>
    <w:rsid w:val="004D34B7"/>
    <w:rsid w:val="004D5B5E"/>
    <w:rsid w:val="004D6228"/>
    <w:rsid w:val="004D6FEC"/>
    <w:rsid w:val="004D756F"/>
    <w:rsid w:val="004D7BAE"/>
    <w:rsid w:val="004D7F00"/>
    <w:rsid w:val="004E07F4"/>
    <w:rsid w:val="004E0FF9"/>
    <w:rsid w:val="004E3430"/>
    <w:rsid w:val="004E355A"/>
    <w:rsid w:val="004E3C1E"/>
    <w:rsid w:val="004E44C4"/>
    <w:rsid w:val="004E4F59"/>
    <w:rsid w:val="004E5FB9"/>
    <w:rsid w:val="004E6AE7"/>
    <w:rsid w:val="004E6C10"/>
    <w:rsid w:val="004E6C5B"/>
    <w:rsid w:val="004E6DC5"/>
    <w:rsid w:val="004E7780"/>
    <w:rsid w:val="004E7CBA"/>
    <w:rsid w:val="004E7D4A"/>
    <w:rsid w:val="004F1005"/>
    <w:rsid w:val="004F124C"/>
    <w:rsid w:val="004F3767"/>
    <w:rsid w:val="004F3EBF"/>
    <w:rsid w:val="004F4064"/>
    <w:rsid w:val="004F46FE"/>
    <w:rsid w:val="004F5294"/>
    <w:rsid w:val="004F60F9"/>
    <w:rsid w:val="004F67E6"/>
    <w:rsid w:val="004F6ADB"/>
    <w:rsid w:val="004F6B6B"/>
    <w:rsid w:val="004F6ED7"/>
    <w:rsid w:val="004F7038"/>
    <w:rsid w:val="004F7079"/>
    <w:rsid w:val="00500BC0"/>
    <w:rsid w:val="00500DAD"/>
    <w:rsid w:val="0050144F"/>
    <w:rsid w:val="005018A2"/>
    <w:rsid w:val="00501E46"/>
    <w:rsid w:val="0050210C"/>
    <w:rsid w:val="0050242B"/>
    <w:rsid w:val="0050381F"/>
    <w:rsid w:val="00504299"/>
    <w:rsid w:val="0050511C"/>
    <w:rsid w:val="0050593B"/>
    <w:rsid w:val="00505BBA"/>
    <w:rsid w:val="00505FF8"/>
    <w:rsid w:val="005070AF"/>
    <w:rsid w:val="00507E1C"/>
    <w:rsid w:val="005102AB"/>
    <w:rsid w:val="00511830"/>
    <w:rsid w:val="00511943"/>
    <w:rsid w:val="00512874"/>
    <w:rsid w:val="0051370F"/>
    <w:rsid w:val="00513FC5"/>
    <w:rsid w:val="0051472B"/>
    <w:rsid w:val="00514B04"/>
    <w:rsid w:val="00514E90"/>
    <w:rsid w:val="0051550D"/>
    <w:rsid w:val="0051590D"/>
    <w:rsid w:val="00517182"/>
    <w:rsid w:val="00517E15"/>
    <w:rsid w:val="005206B8"/>
    <w:rsid w:val="0052075B"/>
    <w:rsid w:val="00520F95"/>
    <w:rsid w:val="0052178E"/>
    <w:rsid w:val="0052193C"/>
    <w:rsid w:val="00521B24"/>
    <w:rsid w:val="0052419D"/>
    <w:rsid w:val="005247F5"/>
    <w:rsid w:val="00524EF0"/>
    <w:rsid w:val="00526D5B"/>
    <w:rsid w:val="00527412"/>
    <w:rsid w:val="005318FC"/>
    <w:rsid w:val="00533418"/>
    <w:rsid w:val="0053382A"/>
    <w:rsid w:val="00534580"/>
    <w:rsid w:val="00534CA8"/>
    <w:rsid w:val="005358D1"/>
    <w:rsid w:val="00536980"/>
    <w:rsid w:val="00537B60"/>
    <w:rsid w:val="00537BB4"/>
    <w:rsid w:val="00540170"/>
    <w:rsid w:val="0054028F"/>
    <w:rsid w:val="00542427"/>
    <w:rsid w:val="00543B43"/>
    <w:rsid w:val="00544318"/>
    <w:rsid w:val="005447DF"/>
    <w:rsid w:val="005448B6"/>
    <w:rsid w:val="005453C7"/>
    <w:rsid w:val="00545A14"/>
    <w:rsid w:val="0054659B"/>
    <w:rsid w:val="0054695C"/>
    <w:rsid w:val="00547807"/>
    <w:rsid w:val="00547F58"/>
    <w:rsid w:val="00550F77"/>
    <w:rsid w:val="00551520"/>
    <w:rsid w:val="005516D2"/>
    <w:rsid w:val="0055179F"/>
    <w:rsid w:val="00551CB2"/>
    <w:rsid w:val="005533D4"/>
    <w:rsid w:val="00553593"/>
    <w:rsid w:val="0055368E"/>
    <w:rsid w:val="00554040"/>
    <w:rsid w:val="00554643"/>
    <w:rsid w:val="00554BCC"/>
    <w:rsid w:val="00555264"/>
    <w:rsid w:val="00555FC8"/>
    <w:rsid w:val="00556550"/>
    <w:rsid w:val="00556B4B"/>
    <w:rsid w:val="0055712B"/>
    <w:rsid w:val="005603B6"/>
    <w:rsid w:val="00561463"/>
    <w:rsid w:val="0056159B"/>
    <w:rsid w:val="00561D49"/>
    <w:rsid w:val="005625B9"/>
    <w:rsid w:val="0056385F"/>
    <w:rsid w:val="00563F34"/>
    <w:rsid w:val="005641E2"/>
    <w:rsid w:val="00564C78"/>
    <w:rsid w:val="00565D7D"/>
    <w:rsid w:val="00566B46"/>
    <w:rsid w:val="0056738B"/>
    <w:rsid w:val="00572176"/>
    <w:rsid w:val="00574311"/>
    <w:rsid w:val="00574452"/>
    <w:rsid w:val="00574EAF"/>
    <w:rsid w:val="00575EA8"/>
    <w:rsid w:val="00577577"/>
    <w:rsid w:val="00577E13"/>
    <w:rsid w:val="00577F9B"/>
    <w:rsid w:val="00580552"/>
    <w:rsid w:val="0058064A"/>
    <w:rsid w:val="0058116F"/>
    <w:rsid w:val="005813A7"/>
    <w:rsid w:val="0058153E"/>
    <w:rsid w:val="005815CE"/>
    <w:rsid w:val="00581E7F"/>
    <w:rsid w:val="00582B6A"/>
    <w:rsid w:val="00582BB9"/>
    <w:rsid w:val="0058354F"/>
    <w:rsid w:val="005841BC"/>
    <w:rsid w:val="00585FB6"/>
    <w:rsid w:val="005861E8"/>
    <w:rsid w:val="005868DE"/>
    <w:rsid w:val="00587E39"/>
    <w:rsid w:val="00591176"/>
    <w:rsid w:val="00591C10"/>
    <w:rsid w:val="00591DC7"/>
    <w:rsid w:val="00591ED2"/>
    <w:rsid w:val="005936AF"/>
    <w:rsid w:val="005937D1"/>
    <w:rsid w:val="00594477"/>
    <w:rsid w:val="00594A33"/>
    <w:rsid w:val="00594EFD"/>
    <w:rsid w:val="00595695"/>
    <w:rsid w:val="00595E0A"/>
    <w:rsid w:val="00597322"/>
    <w:rsid w:val="00597629"/>
    <w:rsid w:val="0059783F"/>
    <w:rsid w:val="00597DD6"/>
    <w:rsid w:val="005A0191"/>
    <w:rsid w:val="005A0A1F"/>
    <w:rsid w:val="005A0C9C"/>
    <w:rsid w:val="005A102A"/>
    <w:rsid w:val="005A1665"/>
    <w:rsid w:val="005A58A0"/>
    <w:rsid w:val="005A751B"/>
    <w:rsid w:val="005B0BD7"/>
    <w:rsid w:val="005B1600"/>
    <w:rsid w:val="005B1C39"/>
    <w:rsid w:val="005B1CD6"/>
    <w:rsid w:val="005B1EE7"/>
    <w:rsid w:val="005B1F46"/>
    <w:rsid w:val="005B24A6"/>
    <w:rsid w:val="005B5101"/>
    <w:rsid w:val="005B57C7"/>
    <w:rsid w:val="005B7560"/>
    <w:rsid w:val="005C094B"/>
    <w:rsid w:val="005C0BC5"/>
    <w:rsid w:val="005C1AA2"/>
    <w:rsid w:val="005C236C"/>
    <w:rsid w:val="005C2A4E"/>
    <w:rsid w:val="005C2DE1"/>
    <w:rsid w:val="005C3E60"/>
    <w:rsid w:val="005C3EE2"/>
    <w:rsid w:val="005C467F"/>
    <w:rsid w:val="005C4F78"/>
    <w:rsid w:val="005C53FC"/>
    <w:rsid w:val="005C5B19"/>
    <w:rsid w:val="005C63EF"/>
    <w:rsid w:val="005C672B"/>
    <w:rsid w:val="005C6B93"/>
    <w:rsid w:val="005C7ADC"/>
    <w:rsid w:val="005C7E60"/>
    <w:rsid w:val="005C7EEE"/>
    <w:rsid w:val="005C7F90"/>
    <w:rsid w:val="005D0404"/>
    <w:rsid w:val="005D09FA"/>
    <w:rsid w:val="005D2965"/>
    <w:rsid w:val="005D302E"/>
    <w:rsid w:val="005D3063"/>
    <w:rsid w:val="005D343E"/>
    <w:rsid w:val="005D34EB"/>
    <w:rsid w:val="005D4325"/>
    <w:rsid w:val="005D45AB"/>
    <w:rsid w:val="005D4945"/>
    <w:rsid w:val="005D4DCE"/>
    <w:rsid w:val="005D50F5"/>
    <w:rsid w:val="005D5C1C"/>
    <w:rsid w:val="005D6C42"/>
    <w:rsid w:val="005D73E2"/>
    <w:rsid w:val="005E0A12"/>
    <w:rsid w:val="005E1114"/>
    <w:rsid w:val="005E1250"/>
    <w:rsid w:val="005E1FDD"/>
    <w:rsid w:val="005E2DCF"/>
    <w:rsid w:val="005E30E6"/>
    <w:rsid w:val="005E32A1"/>
    <w:rsid w:val="005E3918"/>
    <w:rsid w:val="005E567F"/>
    <w:rsid w:val="005E6417"/>
    <w:rsid w:val="005E709C"/>
    <w:rsid w:val="005F0957"/>
    <w:rsid w:val="005F0CA2"/>
    <w:rsid w:val="005F1EB8"/>
    <w:rsid w:val="005F3344"/>
    <w:rsid w:val="005F3436"/>
    <w:rsid w:val="005F40DE"/>
    <w:rsid w:val="005F4277"/>
    <w:rsid w:val="005F4D10"/>
    <w:rsid w:val="005F50F6"/>
    <w:rsid w:val="005F57C9"/>
    <w:rsid w:val="005F699C"/>
    <w:rsid w:val="005F7BD0"/>
    <w:rsid w:val="00600B19"/>
    <w:rsid w:val="00600DE7"/>
    <w:rsid w:val="0060185D"/>
    <w:rsid w:val="00601973"/>
    <w:rsid w:val="00604B55"/>
    <w:rsid w:val="006069FD"/>
    <w:rsid w:val="00606A0D"/>
    <w:rsid w:val="00606E92"/>
    <w:rsid w:val="006073BE"/>
    <w:rsid w:val="0061007D"/>
    <w:rsid w:val="00610AE8"/>
    <w:rsid w:val="00610D4A"/>
    <w:rsid w:val="00611224"/>
    <w:rsid w:val="0061147A"/>
    <w:rsid w:val="00611BE8"/>
    <w:rsid w:val="00611DC6"/>
    <w:rsid w:val="0061296A"/>
    <w:rsid w:val="00613B3B"/>
    <w:rsid w:val="00613FD5"/>
    <w:rsid w:val="0061474C"/>
    <w:rsid w:val="00614834"/>
    <w:rsid w:val="00614B20"/>
    <w:rsid w:val="006150D9"/>
    <w:rsid w:val="00615B02"/>
    <w:rsid w:val="00615F70"/>
    <w:rsid w:val="006170BF"/>
    <w:rsid w:val="006172D7"/>
    <w:rsid w:val="00617803"/>
    <w:rsid w:val="006200C3"/>
    <w:rsid w:val="00622E46"/>
    <w:rsid w:val="00624D20"/>
    <w:rsid w:val="0062518E"/>
    <w:rsid w:val="0062667E"/>
    <w:rsid w:val="006266B1"/>
    <w:rsid w:val="0062703E"/>
    <w:rsid w:val="00627130"/>
    <w:rsid w:val="0062733E"/>
    <w:rsid w:val="00627A92"/>
    <w:rsid w:val="00627D06"/>
    <w:rsid w:val="00630BAC"/>
    <w:rsid w:val="00631C2A"/>
    <w:rsid w:val="006334A0"/>
    <w:rsid w:val="0063352C"/>
    <w:rsid w:val="006367A1"/>
    <w:rsid w:val="00637415"/>
    <w:rsid w:val="00637457"/>
    <w:rsid w:val="006409D5"/>
    <w:rsid w:val="00641218"/>
    <w:rsid w:val="00641529"/>
    <w:rsid w:val="00641C05"/>
    <w:rsid w:val="00643CF9"/>
    <w:rsid w:val="0064447D"/>
    <w:rsid w:val="00645FF8"/>
    <w:rsid w:val="0064660C"/>
    <w:rsid w:val="00646E2F"/>
    <w:rsid w:val="0064716B"/>
    <w:rsid w:val="00647EFA"/>
    <w:rsid w:val="006503DA"/>
    <w:rsid w:val="0065249B"/>
    <w:rsid w:val="006531AF"/>
    <w:rsid w:val="006536E2"/>
    <w:rsid w:val="006541A8"/>
    <w:rsid w:val="00654BBA"/>
    <w:rsid w:val="0065575E"/>
    <w:rsid w:val="006561AD"/>
    <w:rsid w:val="00656ED3"/>
    <w:rsid w:val="00657699"/>
    <w:rsid w:val="006600CD"/>
    <w:rsid w:val="006601B3"/>
    <w:rsid w:val="006602B7"/>
    <w:rsid w:val="00661EC1"/>
    <w:rsid w:val="006639BF"/>
    <w:rsid w:val="006653C0"/>
    <w:rsid w:val="00665452"/>
    <w:rsid w:val="006656AB"/>
    <w:rsid w:val="00665C61"/>
    <w:rsid w:val="00666752"/>
    <w:rsid w:val="00666A78"/>
    <w:rsid w:val="00666B3E"/>
    <w:rsid w:val="0066719A"/>
    <w:rsid w:val="00671AD2"/>
    <w:rsid w:val="006734FD"/>
    <w:rsid w:val="00673A5E"/>
    <w:rsid w:val="00673D09"/>
    <w:rsid w:val="00674B1B"/>
    <w:rsid w:val="00675C14"/>
    <w:rsid w:val="00675D4A"/>
    <w:rsid w:val="006760B4"/>
    <w:rsid w:val="006763E7"/>
    <w:rsid w:val="00676AF8"/>
    <w:rsid w:val="00676E61"/>
    <w:rsid w:val="006770A4"/>
    <w:rsid w:val="0067751F"/>
    <w:rsid w:val="00680642"/>
    <w:rsid w:val="0068194E"/>
    <w:rsid w:val="006831B9"/>
    <w:rsid w:val="00683310"/>
    <w:rsid w:val="006843D3"/>
    <w:rsid w:val="0068479E"/>
    <w:rsid w:val="00684E33"/>
    <w:rsid w:val="00684FF9"/>
    <w:rsid w:val="00685060"/>
    <w:rsid w:val="006867E0"/>
    <w:rsid w:val="006871DD"/>
    <w:rsid w:val="006878C6"/>
    <w:rsid w:val="00687B69"/>
    <w:rsid w:val="00690E14"/>
    <w:rsid w:val="00690F66"/>
    <w:rsid w:val="00691B3C"/>
    <w:rsid w:val="00692421"/>
    <w:rsid w:val="0069248A"/>
    <w:rsid w:val="00693C46"/>
    <w:rsid w:val="00693F13"/>
    <w:rsid w:val="0069465B"/>
    <w:rsid w:val="0069610A"/>
    <w:rsid w:val="00697E19"/>
    <w:rsid w:val="006A0755"/>
    <w:rsid w:val="006A1795"/>
    <w:rsid w:val="006A212D"/>
    <w:rsid w:val="006A2F87"/>
    <w:rsid w:val="006A3A60"/>
    <w:rsid w:val="006A42DA"/>
    <w:rsid w:val="006A488B"/>
    <w:rsid w:val="006A48D9"/>
    <w:rsid w:val="006A6048"/>
    <w:rsid w:val="006A6679"/>
    <w:rsid w:val="006A6D95"/>
    <w:rsid w:val="006A7227"/>
    <w:rsid w:val="006A7842"/>
    <w:rsid w:val="006A7EDC"/>
    <w:rsid w:val="006B08FC"/>
    <w:rsid w:val="006B128F"/>
    <w:rsid w:val="006B13B0"/>
    <w:rsid w:val="006B1852"/>
    <w:rsid w:val="006B3390"/>
    <w:rsid w:val="006B3400"/>
    <w:rsid w:val="006B346E"/>
    <w:rsid w:val="006B4008"/>
    <w:rsid w:val="006B663B"/>
    <w:rsid w:val="006B7097"/>
    <w:rsid w:val="006C0367"/>
    <w:rsid w:val="006C0E9D"/>
    <w:rsid w:val="006C1086"/>
    <w:rsid w:val="006C1520"/>
    <w:rsid w:val="006C1B22"/>
    <w:rsid w:val="006C1F91"/>
    <w:rsid w:val="006C1FCA"/>
    <w:rsid w:val="006C2276"/>
    <w:rsid w:val="006C274B"/>
    <w:rsid w:val="006C35B0"/>
    <w:rsid w:val="006C4AF0"/>
    <w:rsid w:val="006C5653"/>
    <w:rsid w:val="006C69EB"/>
    <w:rsid w:val="006C76C6"/>
    <w:rsid w:val="006C7D2C"/>
    <w:rsid w:val="006C7E9B"/>
    <w:rsid w:val="006D075C"/>
    <w:rsid w:val="006D0ED6"/>
    <w:rsid w:val="006D14D2"/>
    <w:rsid w:val="006D17F0"/>
    <w:rsid w:val="006D230C"/>
    <w:rsid w:val="006D238F"/>
    <w:rsid w:val="006D31B9"/>
    <w:rsid w:val="006D386B"/>
    <w:rsid w:val="006D4467"/>
    <w:rsid w:val="006D4577"/>
    <w:rsid w:val="006D5525"/>
    <w:rsid w:val="006D5FB4"/>
    <w:rsid w:val="006D6BAA"/>
    <w:rsid w:val="006D7561"/>
    <w:rsid w:val="006E0005"/>
    <w:rsid w:val="006E012C"/>
    <w:rsid w:val="006E0C92"/>
    <w:rsid w:val="006E120B"/>
    <w:rsid w:val="006E135F"/>
    <w:rsid w:val="006E14D4"/>
    <w:rsid w:val="006E2643"/>
    <w:rsid w:val="006E28F6"/>
    <w:rsid w:val="006E2ED3"/>
    <w:rsid w:val="006E3C7F"/>
    <w:rsid w:val="006E4E2D"/>
    <w:rsid w:val="006E738D"/>
    <w:rsid w:val="006F002F"/>
    <w:rsid w:val="006F0059"/>
    <w:rsid w:val="006F0954"/>
    <w:rsid w:val="006F1BC9"/>
    <w:rsid w:val="006F1F0C"/>
    <w:rsid w:val="006F2004"/>
    <w:rsid w:val="006F2377"/>
    <w:rsid w:val="006F2D58"/>
    <w:rsid w:val="006F2EF8"/>
    <w:rsid w:val="006F3472"/>
    <w:rsid w:val="006F378E"/>
    <w:rsid w:val="006F387C"/>
    <w:rsid w:val="006F48C6"/>
    <w:rsid w:val="006F4EE2"/>
    <w:rsid w:val="006F4FE9"/>
    <w:rsid w:val="006F52E3"/>
    <w:rsid w:val="006F731B"/>
    <w:rsid w:val="006F7819"/>
    <w:rsid w:val="006F7D0A"/>
    <w:rsid w:val="00700B2C"/>
    <w:rsid w:val="0070167D"/>
    <w:rsid w:val="00701B94"/>
    <w:rsid w:val="00701D8D"/>
    <w:rsid w:val="00703462"/>
    <w:rsid w:val="00703541"/>
    <w:rsid w:val="00703DD9"/>
    <w:rsid w:val="00703EA6"/>
    <w:rsid w:val="007041A3"/>
    <w:rsid w:val="007055F0"/>
    <w:rsid w:val="0070589D"/>
    <w:rsid w:val="00706013"/>
    <w:rsid w:val="0070683C"/>
    <w:rsid w:val="00706C44"/>
    <w:rsid w:val="00706E7B"/>
    <w:rsid w:val="007077B7"/>
    <w:rsid w:val="00707AD6"/>
    <w:rsid w:val="00707EDF"/>
    <w:rsid w:val="0071071F"/>
    <w:rsid w:val="00710C7C"/>
    <w:rsid w:val="00711178"/>
    <w:rsid w:val="007120B7"/>
    <w:rsid w:val="00712B5F"/>
    <w:rsid w:val="007130F9"/>
    <w:rsid w:val="00713542"/>
    <w:rsid w:val="0071429F"/>
    <w:rsid w:val="00714DCA"/>
    <w:rsid w:val="007159C5"/>
    <w:rsid w:val="007168D0"/>
    <w:rsid w:val="00716D1C"/>
    <w:rsid w:val="007170AF"/>
    <w:rsid w:val="00717790"/>
    <w:rsid w:val="00721275"/>
    <w:rsid w:val="00722487"/>
    <w:rsid w:val="007224AF"/>
    <w:rsid w:val="00722C47"/>
    <w:rsid w:val="00723548"/>
    <w:rsid w:val="007242F6"/>
    <w:rsid w:val="00724AE7"/>
    <w:rsid w:val="00724C04"/>
    <w:rsid w:val="00724DF4"/>
    <w:rsid w:val="00725A18"/>
    <w:rsid w:val="00726679"/>
    <w:rsid w:val="007267C5"/>
    <w:rsid w:val="00727901"/>
    <w:rsid w:val="00727D72"/>
    <w:rsid w:val="007309A4"/>
    <w:rsid w:val="007313CA"/>
    <w:rsid w:val="00731ADA"/>
    <w:rsid w:val="007322F6"/>
    <w:rsid w:val="00732E67"/>
    <w:rsid w:val="0073304E"/>
    <w:rsid w:val="0073451E"/>
    <w:rsid w:val="007350A2"/>
    <w:rsid w:val="00736014"/>
    <w:rsid w:val="0073626A"/>
    <w:rsid w:val="007364DB"/>
    <w:rsid w:val="00741830"/>
    <w:rsid w:val="00741A65"/>
    <w:rsid w:val="00741E25"/>
    <w:rsid w:val="007425DA"/>
    <w:rsid w:val="00742FA6"/>
    <w:rsid w:val="007433E2"/>
    <w:rsid w:val="00743C48"/>
    <w:rsid w:val="007445EA"/>
    <w:rsid w:val="007445FF"/>
    <w:rsid w:val="00744EC8"/>
    <w:rsid w:val="0074632F"/>
    <w:rsid w:val="00747C0E"/>
    <w:rsid w:val="00747CDA"/>
    <w:rsid w:val="00750616"/>
    <w:rsid w:val="00750858"/>
    <w:rsid w:val="007512FD"/>
    <w:rsid w:val="007519CB"/>
    <w:rsid w:val="0075343E"/>
    <w:rsid w:val="00753544"/>
    <w:rsid w:val="00753B5F"/>
    <w:rsid w:val="00753F02"/>
    <w:rsid w:val="0075412D"/>
    <w:rsid w:val="007547B4"/>
    <w:rsid w:val="007557FC"/>
    <w:rsid w:val="00755DA6"/>
    <w:rsid w:val="007566EC"/>
    <w:rsid w:val="00760908"/>
    <w:rsid w:val="00760CD6"/>
    <w:rsid w:val="007624E5"/>
    <w:rsid w:val="00762F92"/>
    <w:rsid w:val="00763449"/>
    <w:rsid w:val="00763577"/>
    <w:rsid w:val="00763AB1"/>
    <w:rsid w:val="00764111"/>
    <w:rsid w:val="00764D43"/>
    <w:rsid w:val="007655C6"/>
    <w:rsid w:val="00765775"/>
    <w:rsid w:val="0076605B"/>
    <w:rsid w:val="007663C2"/>
    <w:rsid w:val="007668F9"/>
    <w:rsid w:val="00766CA3"/>
    <w:rsid w:val="00767EA4"/>
    <w:rsid w:val="00770990"/>
    <w:rsid w:val="00771B75"/>
    <w:rsid w:val="00772841"/>
    <w:rsid w:val="00774C49"/>
    <w:rsid w:val="00776D66"/>
    <w:rsid w:val="007771BF"/>
    <w:rsid w:val="00777567"/>
    <w:rsid w:val="00780699"/>
    <w:rsid w:val="00780DFA"/>
    <w:rsid w:val="00781798"/>
    <w:rsid w:val="007824E2"/>
    <w:rsid w:val="00782B63"/>
    <w:rsid w:val="00782ECD"/>
    <w:rsid w:val="00784393"/>
    <w:rsid w:val="00785AEC"/>
    <w:rsid w:val="007863AA"/>
    <w:rsid w:val="00786B27"/>
    <w:rsid w:val="00786D5D"/>
    <w:rsid w:val="007913F2"/>
    <w:rsid w:val="00791B69"/>
    <w:rsid w:val="0079274F"/>
    <w:rsid w:val="00792B05"/>
    <w:rsid w:val="00792E62"/>
    <w:rsid w:val="007936D9"/>
    <w:rsid w:val="00793CA9"/>
    <w:rsid w:val="00794362"/>
    <w:rsid w:val="007958C5"/>
    <w:rsid w:val="00795A5F"/>
    <w:rsid w:val="00797404"/>
    <w:rsid w:val="0079782B"/>
    <w:rsid w:val="007A0732"/>
    <w:rsid w:val="007A07D9"/>
    <w:rsid w:val="007A1D71"/>
    <w:rsid w:val="007A44B9"/>
    <w:rsid w:val="007A50C0"/>
    <w:rsid w:val="007A5AEC"/>
    <w:rsid w:val="007A6203"/>
    <w:rsid w:val="007A62AA"/>
    <w:rsid w:val="007A686F"/>
    <w:rsid w:val="007A68CB"/>
    <w:rsid w:val="007A6AF4"/>
    <w:rsid w:val="007B3E1E"/>
    <w:rsid w:val="007B4086"/>
    <w:rsid w:val="007B4C7E"/>
    <w:rsid w:val="007B526D"/>
    <w:rsid w:val="007B56BB"/>
    <w:rsid w:val="007B5E6E"/>
    <w:rsid w:val="007B6271"/>
    <w:rsid w:val="007B6AF0"/>
    <w:rsid w:val="007B708E"/>
    <w:rsid w:val="007B70CB"/>
    <w:rsid w:val="007B7655"/>
    <w:rsid w:val="007B76BB"/>
    <w:rsid w:val="007B7985"/>
    <w:rsid w:val="007C023C"/>
    <w:rsid w:val="007C0688"/>
    <w:rsid w:val="007C0D8A"/>
    <w:rsid w:val="007C1387"/>
    <w:rsid w:val="007C2CE4"/>
    <w:rsid w:val="007C3FBD"/>
    <w:rsid w:val="007C41C5"/>
    <w:rsid w:val="007C70B5"/>
    <w:rsid w:val="007C7E9A"/>
    <w:rsid w:val="007D1BDD"/>
    <w:rsid w:val="007D275C"/>
    <w:rsid w:val="007D29B7"/>
    <w:rsid w:val="007D31CC"/>
    <w:rsid w:val="007D3FE6"/>
    <w:rsid w:val="007D5030"/>
    <w:rsid w:val="007D57AA"/>
    <w:rsid w:val="007D57DE"/>
    <w:rsid w:val="007D5D2C"/>
    <w:rsid w:val="007D5D8C"/>
    <w:rsid w:val="007D608D"/>
    <w:rsid w:val="007D7397"/>
    <w:rsid w:val="007D77E1"/>
    <w:rsid w:val="007E01DA"/>
    <w:rsid w:val="007E0483"/>
    <w:rsid w:val="007E0726"/>
    <w:rsid w:val="007E164C"/>
    <w:rsid w:val="007E2577"/>
    <w:rsid w:val="007E2899"/>
    <w:rsid w:val="007E2A11"/>
    <w:rsid w:val="007E36CD"/>
    <w:rsid w:val="007E442F"/>
    <w:rsid w:val="007E4FDA"/>
    <w:rsid w:val="007E5F94"/>
    <w:rsid w:val="007E64B7"/>
    <w:rsid w:val="007E6E70"/>
    <w:rsid w:val="007F17D4"/>
    <w:rsid w:val="007F1AC3"/>
    <w:rsid w:val="007F1CD4"/>
    <w:rsid w:val="007F214A"/>
    <w:rsid w:val="007F300E"/>
    <w:rsid w:val="007F33E2"/>
    <w:rsid w:val="007F419B"/>
    <w:rsid w:val="007F4E3F"/>
    <w:rsid w:val="007F525F"/>
    <w:rsid w:val="007F594E"/>
    <w:rsid w:val="007F63B3"/>
    <w:rsid w:val="007F642B"/>
    <w:rsid w:val="007F6575"/>
    <w:rsid w:val="007F6BC7"/>
    <w:rsid w:val="007F6F4E"/>
    <w:rsid w:val="007F7469"/>
    <w:rsid w:val="008006BA"/>
    <w:rsid w:val="00800AB0"/>
    <w:rsid w:val="00800CFA"/>
    <w:rsid w:val="00801869"/>
    <w:rsid w:val="00802BE6"/>
    <w:rsid w:val="008044D1"/>
    <w:rsid w:val="00805909"/>
    <w:rsid w:val="00807275"/>
    <w:rsid w:val="00807686"/>
    <w:rsid w:val="00807BD9"/>
    <w:rsid w:val="00807D81"/>
    <w:rsid w:val="0081030B"/>
    <w:rsid w:val="008105A5"/>
    <w:rsid w:val="0081153F"/>
    <w:rsid w:val="00811F8F"/>
    <w:rsid w:val="0081262B"/>
    <w:rsid w:val="00812828"/>
    <w:rsid w:val="0081450C"/>
    <w:rsid w:val="00814CA9"/>
    <w:rsid w:val="008154B6"/>
    <w:rsid w:val="008159CA"/>
    <w:rsid w:val="00815DF7"/>
    <w:rsid w:val="0081616D"/>
    <w:rsid w:val="00816823"/>
    <w:rsid w:val="00816C19"/>
    <w:rsid w:val="00817402"/>
    <w:rsid w:val="00817906"/>
    <w:rsid w:val="008179B1"/>
    <w:rsid w:val="00820016"/>
    <w:rsid w:val="00820466"/>
    <w:rsid w:val="0082051D"/>
    <w:rsid w:val="00820774"/>
    <w:rsid w:val="00820CBD"/>
    <w:rsid w:val="00821F93"/>
    <w:rsid w:val="008224D5"/>
    <w:rsid w:val="0082274E"/>
    <w:rsid w:val="00822EF3"/>
    <w:rsid w:val="00823116"/>
    <w:rsid w:val="00823907"/>
    <w:rsid w:val="00824229"/>
    <w:rsid w:val="00824734"/>
    <w:rsid w:val="00824C67"/>
    <w:rsid w:val="00824D68"/>
    <w:rsid w:val="0082509A"/>
    <w:rsid w:val="00826AE1"/>
    <w:rsid w:val="0082761E"/>
    <w:rsid w:val="00831669"/>
    <w:rsid w:val="0083258F"/>
    <w:rsid w:val="008329F5"/>
    <w:rsid w:val="00832AA2"/>
    <w:rsid w:val="00832C0A"/>
    <w:rsid w:val="00832FB8"/>
    <w:rsid w:val="0083333A"/>
    <w:rsid w:val="00833552"/>
    <w:rsid w:val="00833D1F"/>
    <w:rsid w:val="00833EF3"/>
    <w:rsid w:val="00834D5F"/>
    <w:rsid w:val="008352E0"/>
    <w:rsid w:val="00835E92"/>
    <w:rsid w:val="00836E8D"/>
    <w:rsid w:val="00836FDB"/>
    <w:rsid w:val="00840BC3"/>
    <w:rsid w:val="00840C69"/>
    <w:rsid w:val="00841793"/>
    <w:rsid w:val="00842833"/>
    <w:rsid w:val="0084291B"/>
    <w:rsid w:val="00843E33"/>
    <w:rsid w:val="008446D7"/>
    <w:rsid w:val="00844AA0"/>
    <w:rsid w:val="00845B22"/>
    <w:rsid w:val="0084682E"/>
    <w:rsid w:val="008470A3"/>
    <w:rsid w:val="008474AE"/>
    <w:rsid w:val="00847B23"/>
    <w:rsid w:val="00847B55"/>
    <w:rsid w:val="00847C07"/>
    <w:rsid w:val="00850B75"/>
    <w:rsid w:val="00851846"/>
    <w:rsid w:val="00851A16"/>
    <w:rsid w:val="00851AB4"/>
    <w:rsid w:val="008523C1"/>
    <w:rsid w:val="00852896"/>
    <w:rsid w:val="00852B32"/>
    <w:rsid w:val="00852F27"/>
    <w:rsid w:val="00854942"/>
    <w:rsid w:val="00854C37"/>
    <w:rsid w:val="00855330"/>
    <w:rsid w:val="00855E90"/>
    <w:rsid w:val="008569B4"/>
    <w:rsid w:val="0085714C"/>
    <w:rsid w:val="00860ACE"/>
    <w:rsid w:val="00860BA0"/>
    <w:rsid w:val="00861B6F"/>
    <w:rsid w:val="0086205B"/>
    <w:rsid w:val="00864FD0"/>
    <w:rsid w:val="00865DF0"/>
    <w:rsid w:val="00866510"/>
    <w:rsid w:val="00866830"/>
    <w:rsid w:val="00867322"/>
    <w:rsid w:val="00867A4A"/>
    <w:rsid w:val="00867DB8"/>
    <w:rsid w:val="0087075F"/>
    <w:rsid w:val="008708A2"/>
    <w:rsid w:val="0087097C"/>
    <w:rsid w:val="00870A78"/>
    <w:rsid w:val="00870B67"/>
    <w:rsid w:val="00871417"/>
    <w:rsid w:val="0087142A"/>
    <w:rsid w:val="00874551"/>
    <w:rsid w:val="008754C7"/>
    <w:rsid w:val="0087609B"/>
    <w:rsid w:val="0087641C"/>
    <w:rsid w:val="00876985"/>
    <w:rsid w:val="0087738D"/>
    <w:rsid w:val="00880A3A"/>
    <w:rsid w:val="0088149E"/>
    <w:rsid w:val="00881E9E"/>
    <w:rsid w:val="008822AD"/>
    <w:rsid w:val="00882727"/>
    <w:rsid w:val="00883096"/>
    <w:rsid w:val="00884523"/>
    <w:rsid w:val="00885951"/>
    <w:rsid w:val="00886242"/>
    <w:rsid w:val="0088738D"/>
    <w:rsid w:val="00887D6B"/>
    <w:rsid w:val="00887F97"/>
    <w:rsid w:val="008901A2"/>
    <w:rsid w:val="00891B9D"/>
    <w:rsid w:val="00891F75"/>
    <w:rsid w:val="00892010"/>
    <w:rsid w:val="00892455"/>
    <w:rsid w:val="00893571"/>
    <w:rsid w:val="00893DA8"/>
    <w:rsid w:val="00893F41"/>
    <w:rsid w:val="008952E5"/>
    <w:rsid w:val="00895A32"/>
    <w:rsid w:val="00896141"/>
    <w:rsid w:val="00897359"/>
    <w:rsid w:val="008974E1"/>
    <w:rsid w:val="0089778F"/>
    <w:rsid w:val="00897FD9"/>
    <w:rsid w:val="008A0230"/>
    <w:rsid w:val="008A1B50"/>
    <w:rsid w:val="008A1D06"/>
    <w:rsid w:val="008A215B"/>
    <w:rsid w:val="008A303E"/>
    <w:rsid w:val="008A3790"/>
    <w:rsid w:val="008A3F66"/>
    <w:rsid w:val="008A4987"/>
    <w:rsid w:val="008A51F1"/>
    <w:rsid w:val="008A5B17"/>
    <w:rsid w:val="008A707D"/>
    <w:rsid w:val="008A72B6"/>
    <w:rsid w:val="008A7D40"/>
    <w:rsid w:val="008A7DBF"/>
    <w:rsid w:val="008B01B6"/>
    <w:rsid w:val="008B0E14"/>
    <w:rsid w:val="008B0FF3"/>
    <w:rsid w:val="008B2D5F"/>
    <w:rsid w:val="008B2E3E"/>
    <w:rsid w:val="008B31C6"/>
    <w:rsid w:val="008B3A7C"/>
    <w:rsid w:val="008B402B"/>
    <w:rsid w:val="008B4804"/>
    <w:rsid w:val="008B533A"/>
    <w:rsid w:val="008B6B7E"/>
    <w:rsid w:val="008B6C28"/>
    <w:rsid w:val="008B6D84"/>
    <w:rsid w:val="008B71EF"/>
    <w:rsid w:val="008C1B46"/>
    <w:rsid w:val="008C1E42"/>
    <w:rsid w:val="008C1F79"/>
    <w:rsid w:val="008C221A"/>
    <w:rsid w:val="008C239F"/>
    <w:rsid w:val="008C25E5"/>
    <w:rsid w:val="008C41DF"/>
    <w:rsid w:val="008C5125"/>
    <w:rsid w:val="008C54AF"/>
    <w:rsid w:val="008C5A54"/>
    <w:rsid w:val="008C5C78"/>
    <w:rsid w:val="008C6E1D"/>
    <w:rsid w:val="008C752E"/>
    <w:rsid w:val="008D0498"/>
    <w:rsid w:val="008D08F6"/>
    <w:rsid w:val="008D0EAA"/>
    <w:rsid w:val="008D1157"/>
    <w:rsid w:val="008D11B0"/>
    <w:rsid w:val="008D2B8B"/>
    <w:rsid w:val="008D2D56"/>
    <w:rsid w:val="008D2FC6"/>
    <w:rsid w:val="008D3A07"/>
    <w:rsid w:val="008D3A3A"/>
    <w:rsid w:val="008D41F4"/>
    <w:rsid w:val="008D4639"/>
    <w:rsid w:val="008D48F1"/>
    <w:rsid w:val="008D4B9B"/>
    <w:rsid w:val="008D50B9"/>
    <w:rsid w:val="008D560E"/>
    <w:rsid w:val="008D5F3D"/>
    <w:rsid w:val="008D715C"/>
    <w:rsid w:val="008D779E"/>
    <w:rsid w:val="008D7856"/>
    <w:rsid w:val="008E0485"/>
    <w:rsid w:val="008E0B9F"/>
    <w:rsid w:val="008E132F"/>
    <w:rsid w:val="008E137B"/>
    <w:rsid w:val="008E1D58"/>
    <w:rsid w:val="008E3076"/>
    <w:rsid w:val="008E32E8"/>
    <w:rsid w:val="008E3D2D"/>
    <w:rsid w:val="008E4391"/>
    <w:rsid w:val="008E46D3"/>
    <w:rsid w:val="008E4C02"/>
    <w:rsid w:val="008E4E1C"/>
    <w:rsid w:val="008E5D8F"/>
    <w:rsid w:val="008E60BA"/>
    <w:rsid w:val="008E6F9C"/>
    <w:rsid w:val="008E75D2"/>
    <w:rsid w:val="008F17A2"/>
    <w:rsid w:val="008F1D0D"/>
    <w:rsid w:val="008F1DFF"/>
    <w:rsid w:val="008F3386"/>
    <w:rsid w:val="008F3698"/>
    <w:rsid w:val="008F38C1"/>
    <w:rsid w:val="008F42C3"/>
    <w:rsid w:val="008F44F0"/>
    <w:rsid w:val="008F5D11"/>
    <w:rsid w:val="008F6300"/>
    <w:rsid w:val="008F6D82"/>
    <w:rsid w:val="00900E08"/>
    <w:rsid w:val="00901655"/>
    <w:rsid w:val="00902FF4"/>
    <w:rsid w:val="00903524"/>
    <w:rsid w:val="0090382A"/>
    <w:rsid w:val="00903E79"/>
    <w:rsid w:val="00904DEA"/>
    <w:rsid w:val="009052C7"/>
    <w:rsid w:val="009053EB"/>
    <w:rsid w:val="00905A9B"/>
    <w:rsid w:val="00907C8A"/>
    <w:rsid w:val="00907FCC"/>
    <w:rsid w:val="009126CE"/>
    <w:rsid w:val="00914380"/>
    <w:rsid w:val="00914F87"/>
    <w:rsid w:val="009152BE"/>
    <w:rsid w:val="00915D15"/>
    <w:rsid w:val="00920349"/>
    <w:rsid w:val="009204C1"/>
    <w:rsid w:val="009214C2"/>
    <w:rsid w:val="0092153A"/>
    <w:rsid w:val="00921A00"/>
    <w:rsid w:val="00921B57"/>
    <w:rsid w:val="0092272E"/>
    <w:rsid w:val="0092356E"/>
    <w:rsid w:val="0092381E"/>
    <w:rsid w:val="00924205"/>
    <w:rsid w:val="009250C6"/>
    <w:rsid w:val="00925ECB"/>
    <w:rsid w:val="00930196"/>
    <w:rsid w:val="00930557"/>
    <w:rsid w:val="0093085E"/>
    <w:rsid w:val="0093180A"/>
    <w:rsid w:val="00932447"/>
    <w:rsid w:val="0093310D"/>
    <w:rsid w:val="00933D35"/>
    <w:rsid w:val="00933EB9"/>
    <w:rsid w:val="00934302"/>
    <w:rsid w:val="00934793"/>
    <w:rsid w:val="009359CC"/>
    <w:rsid w:val="00935BF6"/>
    <w:rsid w:val="00935C9B"/>
    <w:rsid w:val="0093635A"/>
    <w:rsid w:val="00936A17"/>
    <w:rsid w:val="0093703E"/>
    <w:rsid w:val="00937E90"/>
    <w:rsid w:val="009401F1"/>
    <w:rsid w:val="009406C9"/>
    <w:rsid w:val="0094070F"/>
    <w:rsid w:val="00940CEC"/>
    <w:rsid w:val="00940ED8"/>
    <w:rsid w:val="009416B1"/>
    <w:rsid w:val="00941B9C"/>
    <w:rsid w:val="00943E2E"/>
    <w:rsid w:val="00944702"/>
    <w:rsid w:val="00944A2D"/>
    <w:rsid w:val="00944C86"/>
    <w:rsid w:val="00944CAD"/>
    <w:rsid w:val="00945CB8"/>
    <w:rsid w:val="00946E81"/>
    <w:rsid w:val="00947828"/>
    <w:rsid w:val="00947A64"/>
    <w:rsid w:val="00947ECF"/>
    <w:rsid w:val="00951EC4"/>
    <w:rsid w:val="0095394D"/>
    <w:rsid w:val="0095475D"/>
    <w:rsid w:val="00955300"/>
    <w:rsid w:val="00956CF7"/>
    <w:rsid w:val="00956FA5"/>
    <w:rsid w:val="009571B9"/>
    <w:rsid w:val="00957B60"/>
    <w:rsid w:val="00960377"/>
    <w:rsid w:val="009603FB"/>
    <w:rsid w:val="00960E23"/>
    <w:rsid w:val="00960FF4"/>
    <w:rsid w:val="009615B2"/>
    <w:rsid w:val="00961C1B"/>
    <w:rsid w:val="00961C55"/>
    <w:rsid w:val="00962140"/>
    <w:rsid w:val="009624B9"/>
    <w:rsid w:val="009625DA"/>
    <w:rsid w:val="009628A7"/>
    <w:rsid w:val="0096295D"/>
    <w:rsid w:val="00962A55"/>
    <w:rsid w:val="00963094"/>
    <w:rsid w:val="00963520"/>
    <w:rsid w:val="00963B14"/>
    <w:rsid w:val="009643C7"/>
    <w:rsid w:val="00964619"/>
    <w:rsid w:val="00964791"/>
    <w:rsid w:val="00965875"/>
    <w:rsid w:val="00965B74"/>
    <w:rsid w:val="009700EF"/>
    <w:rsid w:val="00970E56"/>
    <w:rsid w:val="0097130A"/>
    <w:rsid w:val="00971448"/>
    <w:rsid w:val="00971B25"/>
    <w:rsid w:val="0097213F"/>
    <w:rsid w:val="009726D4"/>
    <w:rsid w:val="00972816"/>
    <w:rsid w:val="0097293E"/>
    <w:rsid w:val="00973C0B"/>
    <w:rsid w:val="00974CBD"/>
    <w:rsid w:val="00975579"/>
    <w:rsid w:val="00980178"/>
    <w:rsid w:val="00980376"/>
    <w:rsid w:val="00981BAE"/>
    <w:rsid w:val="00982C7D"/>
    <w:rsid w:val="00983A5F"/>
    <w:rsid w:val="00984009"/>
    <w:rsid w:val="00984CD3"/>
    <w:rsid w:val="009864E0"/>
    <w:rsid w:val="009870F7"/>
    <w:rsid w:val="00987768"/>
    <w:rsid w:val="00987F35"/>
    <w:rsid w:val="009906B4"/>
    <w:rsid w:val="0099094C"/>
    <w:rsid w:val="009918CB"/>
    <w:rsid w:val="00992882"/>
    <w:rsid w:val="009936AC"/>
    <w:rsid w:val="00993824"/>
    <w:rsid w:val="0099430B"/>
    <w:rsid w:val="00994AFF"/>
    <w:rsid w:val="00994C3B"/>
    <w:rsid w:val="00994C65"/>
    <w:rsid w:val="0099544A"/>
    <w:rsid w:val="00995980"/>
    <w:rsid w:val="009978B8"/>
    <w:rsid w:val="00997991"/>
    <w:rsid w:val="00997BBA"/>
    <w:rsid w:val="00997BCF"/>
    <w:rsid w:val="009A0143"/>
    <w:rsid w:val="009A078A"/>
    <w:rsid w:val="009A1065"/>
    <w:rsid w:val="009A1535"/>
    <w:rsid w:val="009A1C09"/>
    <w:rsid w:val="009A2377"/>
    <w:rsid w:val="009A2431"/>
    <w:rsid w:val="009A3B37"/>
    <w:rsid w:val="009A5195"/>
    <w:rsid w:val="009A5EFA"/>
    <w:rsid w:val="009A7CEA"/>
    <w:rsid w:val="009B0A6E"/>
    <w:rsid w:val="009B124D"/>
    <w:rsid w:val="009B275E"/>
    <w:rsid w:val="009B460A"/>
    <w:rsid w:val="009B56BD"/>
    <w:rsid w:val="009B65DB"/>
    <w:rsid w:val="009B68D6"/>
    <w:rsid w:val="009B6E06"/>
    <w:rsid w:val="009B7815"/>
    <w:rsid w:val="009B7CDD"/>
    <w:rsid w:val="009C0211"/>
    <w:rsid w:val="009C0677"/>
    <w:rsid w:val="009C08A6"/>
    <w:rsid w:val="009C0C87"/>
    <w:rsid w:val="009C0EEA"/>
    <w:rsid w:val="009C138F"/>
    <w:rsid w:val="009C260B"/>
    <w:rsid w:val="009C2F6E"/>
    <w:rsid w:val="009C42DD"/>
    <w:rsid w:val="009C4555"/>
    <w:rsid w:val="009C4DAC"/>
    <w:rsid w:val="009D02A8"/>
    <w:rsid w:val="009D0D0D"/>
    <w:rsid w:val="009D0FA5"/>
    <w:rsid w:val="009D226C"/>
    <w:rsid w:val="009D2611"/>
    <w:rsid w:val="009D3007"/>
    <w:rsid w:val="009D33F0"/>
    <w:rsid w:val="009D3DE5"/>
    <w:rsid w:val="009D44CA"/>
    <w:rsid w:val="009D56E5"/>
    <w:rsid w:val="009D5F76"/>
    <w:rsid w:val="009D611B"/>
    <w:rsid w:val="009D64D3"/>
    <w:rsid w:val="009D67DF"/>
    <w:rsid w:val="009D688E"/>
    <w:rsid w:val="009D6CC6"/>
    <w:rsid w:val="009D6ECF"/>
    <w:rsid w:val="009E0920"/>
    <w:rsid w:val="009E1A81"/>
    <w:rsid w:val="009E3289"/>
    <w:rsid w:val="009E32A8"/>
    <w:rsid w:val="009E3389"/>
    <w:rsid w:val="009E37A3"/>
    <w:rsid w:val="009E4235"/>
    <w:rsid w:val="009E49A4"/>
    <w:rsid w:val="009E49EB"/>
    <w:rsid w:val="009E4C1E"/>
    <w:rsid w:val="009E562D"/>
    <w:rsid w:val="009E574C"/>
    <w:rsid w:val="009E6549"/>
    <w:rsid w:val="009E6572"/>
    <w:rsid w:val="009E6BF4"/>
    <w:rsid w:val="009F03C8"/>
    <w:rsid w:val="009F0A7B"/>
    <w:rsid w:val="009F0D91"/>
    <w:rsid w:val="009F1AED"/>
    <w:rsid w:val="009F1AEF"/>
    <w:rsid w:val="009F2045"/>
    <w:rsid w:val="009F2C49"/>
    <w:rsid w:val="009F2FDA"/>
    <w:rsid w:val="009F3210"/>
    <w:rsid w:val="009F36CD"/>
    <w:rsid w:val="009F380D"/>
    <w:rsid w:val="009F3C05"/>
    <w:rsid w:val="009F3D33"/>
    <w:rsid w:val="009F4F78"/>
    <w:rsid w:val="009F53C0"/>
    <w:rsid w:val="009F57A6"/>
    <w:rsid w:val="009F5A98"/>
    <w:rsid w:val="009F5B5A"/>
    <w:rsid w:val="009F73D5"/>
    <w:rsid w:val="009F7703"/>
    <w:rsid w:val="009F7C4A"/>
    <w:rsid w:val="009F7D22"/>
    <w:rsid w:val="009F7DA8"/>
    <w:rsid w:val="00A0087C"/>
    <w:rsid w:val="00A00DCC"/>
    <w:rsid w:val="00A0115B"/>
    <w:rsid w:val="00A0254B"/>
    <w:rsid w:val="00A0256A"/>
    <w:rsid w:val="00A02D13"/>
    <w:rsid w:val="00A031E8"/>
    <w:rsid w:val="00A03723"/>
    <w:rsid w:val="00A05205"/>
    <w:rsid w:val="00A05B81"/>
    <w:rsid w:val="00A069F7"/>
    <w:rsid w:val="00A102B0"/>
    <w:rsid w:val="00A105E8"/>
    <w:rsid w:val="00A10944"/>
    <w:rsid w:val="00A11091"/>
    <w:rsid w:val="00A1219F"/>
    <w:rsid w:val="00A1224B"/>
    <w:rsid w:val="00A12C97"/>
    <w:rsid w:val="00A13640"/>
    <w:rsid w:val="00A13D82"/>
    <w:rsid w:val="00A14960"/>
    <w:rsid w:val="00A15916"/>
    <w:rsid w:val="00A15C0E"/>
    <w:rsid w:val="00A163BD"/>
    <w:rsid w:val="00A16A5D"/>
    <w:rsid w:val="00A16C00"/>
    <w:rsid w:val="00A16E57"/>
    <w:rsid w:val="00A17D11"/>
    <w:rsid w:val="00A17F04"/>
    <w:rsid w:val="00A20743"/>
    <w:rsid w:val="00A207E3"/>
    <w:rsid w:val="00A21071"/>
    <w:rsid w:val="00A21884"/>
    <w:rsid w:val="00A21954"/>
    <w:rsid w:val="00A2195B"/>
    <w:rsid w:val="00A22027"/>
    <w:rsid w:val="00A2271D"/>
    <w:rsid w:val="00A22E63"/>
    <w:rsid w:val="00A243E4"/>
    <w:rsid w:val="00A244BA"/>
    <w:rsid w:val="00A24BCF"/>
    <w:rsid w:val="00A2530A"/>
    <w:rsid w:val="00A25333"/>
    <w:rsid w:val="00A25336"/>
    <w:rsid w:val="00A25785"/>
    <w:rsid w:val="00A266D0"/>
    <w:rsid w:val="00A26CFC"/>
    <w:rsid w:val="00A26FB8"/>
    <w:rsid w:val="00A27BEA"/>
    <w:rsid w:val="00A307BA"/>
    <w:rsid w:val="00A30D57"/>
    <w:rsid w:val="00A31301"/>
    <w:rsid w:val="00A313C0"/>
    <w:rsid w:val="00A32458"/>
    <w:rsid w:val="00A3298E"/>
    <w:rsid w:val="00A33E8D"/>
    <w:rsid w:val="00A33EBD"/>
    <w:rsid w:val="00A3563B"/>
    <w:rsid w:val="00A35981"/>
    <w:rsid w:val="00A35BC9"/>
    <w:rsid w:val="00A35C1C"/>
    <w:rsid w:val="00A36B7A"/>
    <w:rsid w:val="00A40C39"/>
    <w:rsid w:val="00A41467"/>
    <w:rsid w:val="00A42959"/>
    <w:rsid w:val="00A44570"/>
    <w:rsid w:val="00A44D0F"/>
    <w:rsid w:val="00A455B8"/>
    <w:rsid w:val="00A457D6"/>
    <w:rsid w:val="00A460C0"/>
    <w:rsid w:val="00A4647B"/>
    <w:rsid w:val="00A46742"/>
    <w:rsid w:val="00A469D9"/>
    <w:rsid w:val="00A47591"/>
    <w:rsid w:val="00A50AEA"/>
    <w:rsid w:val="00A5213B"/>
    <w:rsid w:val="00A5284E"/>
    <w:rsid w:val="00A529E1"/>
    <w:rsid w:val="00A52BFA"/>
    <w:rsid w:val="00A53D7F"/>
    <w:rsid w:val="00A53F62"/>
    <w:rsid w:val="00A54409"/>
    <w:rsid w:val="00A54AB5"/>
    <w:rsid w:val="00A55435"/>
    <w:rsid w:val="00A5554C"/>
    <w:rsid w:val="00A569A8"/>
    <w:rsid w:val="00A5718B"/>
    <w:rsid w:val="00A577F3"/>
    <w:rsid w:val="00A57B78"/>
    <w:rsid w:val="00A60478"/>
    <w:rsid w:val="00A60BD0"/>
    <w:rsid w:val="00A60FC2"/>
    <w:rsid w:val="00A6216E"/>
    <w:rsid w:val="00A623FA"/>
    <w:rsid w:val="00A6373B"/>
    <w:rsid w:val="00A64200"/>
    <w:rsid w:val="00A642DB"/>
    <w:rsid w:val="00A647D3"/>
    <w:rsid w:val="00A65972"/>
    <w:rsid w:val="00A65CB2"/>
    <w:rsid w:val="00A6672D"/>
    <w:rsid w:val="00A6686B"/>
    <w:rsid w:val="00A66FB4"/>
    <w:rsid w:val="00A670A8"/>
    <w:rsid w:val="00A677CB"/>
    <w:rsid w:val="00A70C94"/>
    <w:rsid w:val="00A723EA"/>
    <w:rsid w:val="00A7320D"/>
    <w:rsid w:val="00A737D7"/>
    <w:rsid w:val="00A738E6"/>
    <w:rsid w:val="00A73FD8"/>
    <w:rsid w:val="00A74EB6"/>
    <w:rsid w:val="00A75BA9"/>
    <w:rsid w:val="00A7756E"/>
    <w:rsid w:val="00A80526"/>
    <w:rsid w:val="00A80A6B"/>
    <w:rsid w:val="00A82A04"/>
    <w:rsid w:val="00A82F4F"/>
    <w:rsid w:val="00A83961"/>
    <w:rsid w:val="00A844A6"/>
    <w:rsid w:val="00A84773"/>
    <w:rsid w:val="00A84854"/>
    <w:rsid w:val="00A84F87"/>
    <w:rsid w:val="00A8571A"/>
    <w:rsid w:val="00A87056"/>
    <w:rsid w:val="00A876C5"/>
    <w:rsid w:val="00A87D24"/>
    <w:rsid w:val="00A918D5"/>
    <w:rsid w:val="00A91CFD"/>
    <w:rsid w:val="00A92B41"/>
    <w:rsid w:val="00A930D0"/>
    <w:rsid w:val="00A933BA"/>
    <w:rsid w:val="00A939CD"/>
    <w:rsid w:val="00A941E6"/>
    <w:rsid w:val="00A941F0"/>
    <w:rsid w:val="00A94A6C"/>
    <w:rsid w:val="00A94CBB"/>
    <w:rsid w:val="00A95AAE"/>
    <w:rsid w:val="00A95B69"/>
    <w:rsid w:val="00A95B8C"/>
    <w:rsid w:val="00A95BBF"/>
    <w:rsid w:val="00A962C9"/>
    <w:rsid w:val="00AA03AC"/>
    <w:rsid w:val="00AA09CE"/>
    <w:rsid w:val="00AA0F32"/>
    <w:rsid w:val="00AA13F3"/>
    <w:rsid w:val="00AA360E"/>
    <w:rsid w:val="00AA38DC"/>
    <w:rsid w:val="00AA3E31"/>
    <w:rsid w:val="00AA4EBC"/>
    <w:rsid w:val="00AA6AD9"/>
    <w:rsid w:val="00AA7DBC"/>
    <w:rsid w:val="00AB0C5A"/>
    <w:rsid w:val="00AB0E36"/>
    <w:rsid w:val="00AB17D9"/>
    <w:rsid w:val="00AB18F6"/>
    <w:rsid w:val="00AB19E0"/>
    <w:rsid w:val="00AB1E2B"/>
    <w:rsid w:val="00AB1F46"/>
    <w:rsid w:val="00AB2324"/>
    <w:rsid w:val="00AB40BE"/>
    <w:rsid w:val="00AB50ED"/>
    <w:rsid w:val="00AB691D"/>
    <w:rsid w:val="00AB6AB3"/>
    <w:rsid w:val="00AB6C35"/>
    <w:rsid w:val="00AB7201"/>
    <w:rsid w:val="00AB7648"/>
    <w:rsid w:val="00AC06E4"/>
    <w:rsid w:val="00AC09C8"/>
    <w:rsid w:val="00AC0AF2"/>
    <w:rsid w:val="00AC0EC8"/>
    <w:rsid w:val="00AC114B"/>
    <w:rsid w:val="00AC11F8"/>
    <w:rsid w:val="00AC140B"/>
    <w:rsid w:val="00AC143A"/>
    <w:rsid w:val="00AC297B"/>
    <w:rsid w:val="00AC2A7B"/>
    <w:rsid w:val="00AC2BEA"/>
    <w:rsid w:val="00AC30F5"/>
    <w:rsid w:val="00AC35AE"/>
    <w:rsid w:val="00AC3F9D"/>
    <w:rsid w:val="00AC40CE"/>
    <w:rsid w:val="00AC4447"/>
    <w:rsid w:val="00AC4E7B"/>
    <w:rsid w:val="00AC6B98"/>
    <w:rsid w:val="00AC6E3E"/>
    <w:rsid w:val="00AD0A94"/>
    <w:rsid w:val="00AD1061"/>
    <w:rsid w:val="00AD1600"/>
    <w:rsid w:val="00AD2D65"/>
    <w:rsid w:val="00AD2ED0"/>
    <w:rsid w:val="00AD45F5"/>
    <w:rsid w:val="00AD53C9"/>
    <w:rsid w:val="00AD5AE5"/>
    <w:rsid w:val="00AD5B6C"/>
    <w:rsid w:val="00AD6A1E"/>
    <w:rsid w:val="00AD6F90"/>
    <w:rsid w:val="00AD7566"/>
    <w:rsid w:val="00AD7768"/>
    <w:rsid w:val="00AD7A6F"/>
    <w:rsid w:val="00AE0544"/>
    <w:rsid w:val="00AE0D36"/>
    <w:rsid w:val="00AE105C"/>
    <w:rsid w:val="00AE24CE"/>
    <w:rsid w:val="00AE295D"/>
    <w:rsid w:val="00AE3791"/>
    <w:rsid w:val="00AE3AAC"/>
    <w:rsid w:val="00AE3AC4"/>
    <w:rsid w:val="00AE45D9"/>
    <w:rsid w:val="00AE4654"/>
    <w:rsid w:val="00AE47EE"/>
    <w:rsid w:val="00AE4EC9"/>
    <w:rsid w:val="00AE509C"/>
    <w:rsid w:val="00AE55EB"/>
    <w:rsid w:val="00AE588A"/>
    <w:rsid w:val="00AE6CCE"/>
    <w:rsid w:val="00AE7569"/>
    <w:rsid w:val="00AE76B5"/>
    <w:rsid w:val="00AE7B48"/>
    <w:rsid w:val="00AE7E85"/>
    <w:rsid w:val="00AE7ED7"/>
    <w:rsid w:val="00AF02BF"/>
    <w:rsid w:val="00AF11F2"/>
    <w:rsid w:val="00AF1793"/>
    <w:rsid w:val="00AF190A"/>
    <w:rsid w:val="00AF26AF"/>
    <w:rsid w:val="00AF2C3C"/>
    <w:rsid w:val="00AF3102"/>
    <w:rsid w:val="00AF4B0A"/>
    <w:rsid w:val="00AF52DE"/>
    <w:rsid w:val="00AF5E2E"/>
    <w:rsid w:val="00AF6131"/>
    <w:rsid w:val="00AF67AA"/>
    <w:rsid w:val="00AF747A"/>
    <w:rsid w:val="00AF7510"/>
    <w:rsid w:val="00AF7E80"/>
    <w:rsid w:val="00B00BE1"/>
    <w:rsid w:val="00B0113C"/>
    <w:rsid w:val="00B01DAC"/>
    <w:rsid w:val="00B02968"/>
    <w:rsid w:val="00B0372F"/>
    <w:rsid w:val="00B049F4"/>
    <w:rsid w:val="00B05D3C"/>
    <w:rsid w:val="00B06163"/>
    <w:rsid w:val="00B07225"/>
    <w:rsid w:val="00B07666"/>
    <w:rsid w:val="00B1030C"/>
    <w:rsid w:val="00B10346"/>
    <w:rsid w:val="00B11492"/>
    <w:rsid w:val="00B115F8"/>
    <w:rsid w:val="00B116DE"/>
    <w:rsid w:val="00B11D45"/>
    <w:rsid w:val="00B1215A"/>
    <w:rsid w:val="00B12C5A"/>
    <w:rsid w:val="00B1551E"/>
    <w:rsid w:val="00B1655D"/>
    <w:rsid w:val="00B16A59"/>
    <w:rsid w:val="00B178A1"/>
    <w:rsid w:val="00B2069A"/>
    <w:rsid w:val="00B20C88"/>
    <w:rsid w:val="00B21524"/>
    <w:rsid w:val="00B22000"/>
    <w:rsid w:val="00B220C1"/>
    <w:rsid w:val="00B221C2"/>
    <w:rsid w:val="00B2264D"/>
    <w:rsid w:val="00B22AE7"/>
    <w:rsid w:val="00B23C13"/>
    <w:rsid w:val="00B23F75"/>
    <w:rsid w:val="00B24309"/>
    <w:rsid w:val="00B24371"/>
    <w:rsid w:val="00B24E21"/>
    <w:rsid w:val="00B2740C"/>
    <w:rsid w:val="00B30214"/>
    <w:rsid w:val="00B3050A"/>
    <w:rsid w:val="00B3132E"/>
    <w:rsid w:val="00B31A92"/>
    <w:rsid w:val="00B31B36"/>
    <w:rsid w:val="00B31C63"/>
    <w:rsid w:val="00B32D38"/>
    <w:rsid w:val="00B33505"/>
    <w:rsid w:val="00B33634"/>
    <w:rsid w:val="00B33752"/>
    <w:rsid w:val="00B33ADE"/>
    <w:rsid w:val="00B34A36"/>
    <w:rsid w:val="00B35017"/>
    <w:rsid w:val="00B353B3"/>
    <w:rsid w:val="00B35D74"/>
    <w:rsid w:val="00B36378"/>
    <w:rsid w:val="00B36601"/>
    <w:rsid w:val="00B368D7"/>
    <w:rsid w:val="00B37308"/>
    <w:rsid w:val="00B37735"/>
    <w:rsid w:val="00B406ED"/>
    <w:rsid w:val="00B4147B"/>
    <w:rsid w:val="00B41ABB"/>
    <w:rsid w:val="00B424F3"/>
    <w:rsid w:val="00B42D93"/>
    <w:rsid w:val="00B43157"/>
    <w:rsid w:val="00B436D2"/>
    <w:rsid w:val="00B45758"/>
    <w:rsid w:val="00B4577B"/>
    <w:rsid w:val="00B46032"/>
    <w:rsid w:val="00B46310"/>
    <w:rsid w:val="00B4697C"/>
    <w:rsid w:val="00B47A0D"/>
    <w:rsid w:val="00B47CDE"/>
    <w:rsid w:val="00B50478"/>
    <w:rsid w:val="00B505F8"/>
    <w:rsid w:val="00B511A2"/>
    <w:rsid w:val="00B51401"/>
    <w:rsid w:val="00B517DF"/>
    <w:rsid w:val="00B519FA"/>
    <w:rsid w:val="00B52790"/>
    <w:rsid w:val="00B53491"/>
    <w:rsid w:val="00B5391E"/>
    <w:rsid w:val="00B55463"/>
    <w:rsid w:val="00B5547B"/>
    <w:rsid w:val="00B55BF2"/>
    <w:rsid w:val="00B56E09"/>
    <w:rsid w:val="00B572DB"/>
    <w:rsid w:val="00B57930"/>
    <w:rsid w:val="00B611D6"/>
    <w:rsid w:val="00B61713"/>
    <w:rsid w:val="00B6173D"/>
    <w:rsid w:val="00B61B19"/>
    <w:rsid w:val="00B61D43"/>
    <w:rsid w:val="00B62E14"/>
    <w:rsid w:val="00B6325F"/>
    <w:rsid w:val="00B6326D"/>
    <w:rsid w:val="00B64BFC"/>
    <w:rsid w:val="00B651E1"/>
    <w:rsid w:val="00B66DDA"/>
    <w:rsid w:val="00B6707A"/>
    <w:rsid w:val="00B67121"/>
    <w:rsid w:val="00B6743B"/>
    <w:rsid w:val="00B678BD"/>
    <w:rsid w:val="00B67CC9"/>
    <w:rsid w:val="00B703F5"/>
    <w:rsid w:val="00B70536"/>
    <w:rsid w:val="00B7071D"/>
    <w:rsid w:val="00B7074A"/>
    <w:rsid w:val="00B70AD5"/>
    <w:rsid w:val="00B70EFB"/>
    <w:rsid w:val="00B71641"/>
    <w:rsid w:val="00B72334"/>
    <w:rsid w:val="00B725FA"/>
    <w:rsid w:val="00B729CD"/>
    <w:rsid w:val="00B72B93"/>
    <w:rsid w:val="00B72EBB"/>
    <w:rsid w:val="00B73227"/>
    <w:rsid w:val="00B763BD"/>
    <w:rsid w:val="00B7778C"/>
    <w:rsid w:val="00B777D0"/>
    <w:rsid w:val="00B80228"/>
    <w:rsid w:val="00B80FFD"/>
    <w:rsid w:val="00B81032"/>
    <w:rsid w:val="00B8126E"/>
    <w:rsid w:val="00B819FF"/>
    <w:rsid w:val="00B8280D"/>
    <w:rsid w:val="00B83037"/>
    <w:rsid w:val="00B830BC"/>
    <w:rsid w:val="00B83260"/>
    <w:rsid w:val="00B84D48"/>
    <w:rsid w:val="00B85C6C"/>
    <w:rsid w:val="00B86882"/>
    <w:rsid w:val="00B87409"/>
    <w:rsid w:val="00B87CBF"/>
    <w:rsid w:val="00B91187"/>
    <w:rsid w:val="00B91D78"/>
    <w:rsid w:val="00B91DAC"/>
    <w:rsid w:val="00B92B73"/>
    <w:rsid w:val="00B92FE1"/>
    <w:rsid w:val="00B930AF"/>
    <w:rsid w:val="00B9482C"/>
    <w:rsid w:val="00B94E2B"/>
    <w:rsid w:val="00B954B7"/>
    <w:rsid w:val="00B95B22"/>
    <w:rsid w:val="00B96CC7"/>
    <w:rsid w:val="00BA116B"/>
    <w:rsid w:val="00BA19FA"/>
    <w:rsid w:val="00BA20CE"/>
    <w:rsid w:val="00BA20D2"/>
    <w:rsid w:val="00BA2BC7"/>
    <w:rsid w:val="00BA3696"/>
    <w:rsid w:val="00BA36F9"/>
    <w:rsid w:val="00BA4636"/>
    <w:rsid w:val="00BA553A"/>
    <w:rsid w:val="00BA5C55"/>
    <w:rsid w:val="00BA605D"/>
    <w:rsid w:val="00BA6549"/>
    <w:rsid w:val="00BA678F"/>
    <w:rsid w:val="00BA7202"/>
    <w:rsid w:val="00BB081D"/>
    <w:rsid w:val="00BB2001"/>
    <w:rsid w:val="00BB2395"/>
    <w:rsid w:val="00BB242B"/>
    <w:rsid w:val="00BB2A2B"/>
    <w:rsid w:val="00BB2BF1"/>
    <w:rsid w:val="00BB3604"/>
    <w:rsid w:val="00BB3A5C"/>
    <w:rsid w:val="00BB3E32"/>
    <w:rsid w:val="00BB498D"/>
    <w:rsid w:val="00BB4F4B"/>
    <w:rsid w:val="00BB4F53"/>
    <w:rsid w:val="00BB6FCD"/>
    <w:rsid w:val="00BB7BFF"/>
    <w:rsid w:val="00BC071A"/>
    <w:rsid w:val="00BC132C"/>
    <w:rsid w:val="00BC1700"/>
    <w:rsid w:val="00BC23DA"/>
    <w:rsid w:val="00BC258E"/>
    <w:rsid w:val="00BC25BE"/>
    <w:rsid w:val="00BC39A6"/>
    <w:rsid w:val="00BC403A"/>
    <w:rsid w:val="00BC43B8"/>
    <w:rsid w:val="00BC4D6F"/>
    <w:rsid w:val="00BC560C"/>
    <w:rsid w:val="00BC56D9"/>
    <w:rsid w:val="00BC5F10"/>
    <w:rsid w:val="00BC618F"/>
    <w:rsid w:val="00BC62ED"/>
    <w:rsid w:val="00BC6B09"/>
    <w:rsid w:val="00BD0934"/>
    <w:rsid w:val="00BD1159"/>
    <w:rsid w:val="00BD1458"/>
    <w:rsid w:val="00BD177A"/>
    <w:rsid w:val="00BD1B51"/>
    <w:rsid w:val="00BD219F"/>
    <w:rsid w:val="00BD2BDB"/>
    <w:rsid w:val="00BD2CB1"/>
    <w:rsid w:val="00BD30BF"/>
    <w:rsid w:val="00BD3754"/>
    <w:rsid w:val="00BD38EB"/>
    <w:rsid w:val="00BD3F0A"/>
    <w:rsid w:val="00BD4014"/>
    <w:rsid w:val="00BD40BF"/>
    <w:rsid w:val="00BD6312"/>
    <w:rsid w:val="00BD66EA"/>
    <w:rsid w:val="00BD6A5C"/>
    <w:rsid w:val="00BD7220"/>
    <w:rsid w:val="00BD7522"/>
    <w:rsid w:val="00BD7CEA"/>
    <w:rsid w:val="00BE06AE"/>
    <w:rsid w:val="00BE0B7A"/>
    <w:rsid w:val="00BE0C6D"/>
    <w:rsid w:val="00BE0F04"/>
    <w:rsid w:val="00BE22E2"/>
    <w:rsid w:val="00BE2AE5"/>
    <w:rsid w:val="00BE2F31"/>
    <w:rsid w:val="00BE3468"/>
    <w:rsid w:val="00BE3E45"/>
    <w:rsid w:val="00BE3F6C"/>
    <w:rsid w:val="00BE4972"/>
    <w:rsid w:val="00BE4C81"/>
    <w:rsid w:val="00BE58D4"/>
    <w:rsid w:val="00BE6B54"/>
    <w:rsid w:val="00BE6D34"/>
    <w:rsid w:val="00BE7261"/>
    <w:rsid w:val="00BE7A8A"/>
    <w:rsid w:val="00BF0BD7"/>
    <w:rsid w:val="00BF1A97"/>
    <w:rsid w:val="00BF1D00"/>
    <w:rsid w:val="00BF28C8"/>
    <w:rsid w:val="00BF3174"/>
    <w:rsid w:val="00BF3ABD"/>
    <w:rsid w:val="00BF3BB8"/>
    <w:rsid w:val="00BF4152"/>
    <w:rsid w:val="00BF437C"/>
    <w:rsid w:val="00BF493D"/>
    <w:rsid w:val="00BF4F1C"/>
    <w:rsid w:val="00BF5035"/>
    <w:rsid w:val="00BF5A79"/>
    <w:rsid w:val="00BF6022"/>
    <w:rsid w:val="00BF7848"/>
    <w:rsid w:val="00C005D3"/>
    <w:rsid w:val="00C00863"/>
    <w:rsid w:val="00C00A77"/>
    <w:rsid w:val="00C01849"/>
    <w:rsid w:val="00C018B7"/>
    <w:rsid w:val="00C01D15"/>
    <w:rsid w:val="00C024FE"/>
    <w:rsid w:val="00C0271E"/>
    <w:rsid w:val="00C02E82"/>
    <w:rsid w:val="00C031F3"/>
    <w:rsid w:val="00C056A6"/>
    <w:rsid w:val="00C06773"/>
    <w:rsid w:val="00C06900"/>
    <w:rsid w:val="00C06B6D"/>
    <w:rsid w:val="00C07BCC"/>
    <w:rsid w:val="00C103C5"/>
    <w:rsid w:val="00C1068E"/>
    <w:rsid w:val="00C11947"/>
    <w:rsid w:val="00C120B3"/>
    <w:rsid w:val="00C12D32"/>
    <w:rsid w:val="00C13114"/>
    <w:rsid w:val="00C13767"/>
    <w:rsid w:val="00C13988"/>
    <w:rsid w:val="00C14A1E"/>
    <w:rsid w:val="00C14C34"/>
    <w:rsid w:val="00C14CAF"/>
    <w:rsid w:val="00C152D9"/>
    <w:rsid w:val="00C160C2"/>
    <w:rsid w:val="00C16640"/>
    <w:rsid w:val="00C16982"/>
    <w:rsid w:val="00C17448"/>
    <w:rsid w:val="00C17637"/>
    <w:rsid w:val="00C202AE"/>
    <w:rsid w:val="00C2051E"/>
    <w:rsid w:val="00C22642"/>
    <w:rsid w:val="00C23017"/>
    <w:rsid w:val="00C232AC"/>
    <w:rsid w:val="00C2399E"/>
    <w:rsid w:val="00C2503A"/>
    <w:rsid w:val="00C257AC"/>
    <w:rsid w:val="00C25B13"/>
    <w:rsid w:val="00C25E6D"/>
    <w:rsid w:val="00C267E9"/>
    <w:rsid w:val="00C26C1E"/>
    <w:rsid w:val="00C27DAB"/>
    <w:rsid w:val="00C30E31"/>
    <w:rsid w:val="00C31430"/>
    <w:rsid w:val="00C31CC4"/>
    <w:rsid w:val="00C31D79"/>
    <w:rsid w:val="00C32229"/>
    <w:rsid w:val="00C33153"/>
    <w:rsid w:val="00C34241"/>
    <w:rsid w:val="00C34641"/>
    <w:rsid w:val="00C34E53"/>
    <w:rsid w:val="00C35216"/>
    <w:rsid w:val="00C3562B"/>
    <w:rsid w:val="00C36511"/>
    <w:rsid w:val="00C36677"/>
    <w:rsid w:val="00C36E52"/>
    <w:rsid w:val="00C40CDF"/>
    <w:rsid w:val="00C41095"/>
    <w:rsid w:val="00C41229"/>
    <w:rsid w:val="00C41695"/>
    <w:rsid w:val="00C43AF2"/>
    <w:rsid w:val="00C43AFA"/>
    <w:rsid w:val="00C43CB2"/>
    <w:rsid w:val="00C4403D"/>
    <w:rsid w:val="00C44DF9"/>
    <w:rsid w:val="00C44ED3"/>
    <w:rsid w:val="00C459C6"/>
    <w:rsid w:val="00C45C1D"/>
    <w:rsid w:val="00C4602C"/>
    <w:rsid w:val="00C46834"/>
    <w:rsid w:val="00C46997"/>
    <w:rsid w:val="00C47143"/>
    <w:rsid w:val="00C4797A"/>
    <w:rsid w:val="00C479D2"/>
    <w:rsid w:val="00C507F3"/>
    <w:rsid w:val="00C50909"/>
    <w:rsid w:val="00C50920"/>
    <w:rsid w:val="00C516B1"/>
    <w:rsid w:val="00C51889"/>
    <w:rsid w:val="00C51B98"/>
    <w:rsid w:val="00C51D20"/>
    <w:rsid w:val="00C52957"/>
    <w:rsid w:val="00C52F6B"/>
    <w:rsid w:val="00C5362C"/>
    <w:rsid w:val="00C536D8"/>
    <w:rsid w:val="00C5379D"/>
    <w:rsid w:val="00C54345"/>
    <w:rsid w:val="00C55370"/>
    <w:rsid w:val="00C56FD7"/>
    <w:rsid w:val="00C574AA"/>
    <w:rsid w:val="00C579C6"/>
    <w:rsid w:val="00C57B04"/>
    <w:rsid w:val="00C601A4"/>
    <w:rsid w:val="00C610D6"/>
    <w:rsid w:val="00C61462"/>
    <w:rsid w:val="00C62971"/>
    <w:rsid w:val="00C62D85"/>
    <w:rsid w:val="00C62F1A"/>
    <w:rsid w:val="00C633CA"/>
    <w:rsid w:val="00C63969"/>
    <w:rsid w:val="00C63E8A"/>
    <w:rsid w:val="00C64656"/>
    <w:rsid w:val="00C6596C"/>
    <w:rsid w:val="00C663EC"/>
    <w:rsid w:val="00C67278"/>
    <w:rsid w:val="00C67FF1"/>
    <w:rsid w:val="00C70A28"/>
    <w:rsid w:val="00C70D09"/>
    <w:rsid w:val="00C70DCF"/>
    <w:rsid w:val="00C714E1"/>
    <w:rsid w:val="00C72D65"/>
    <w:rsid w:val="00C73F63"/>
    <w:rsid w:val="00C74798"/>
    <w:rsid w:val="00C74F99"/>
    <w:rsid w:val="00C75905"/>
    <w:rsid w:val="00C76DCF"/>
    <w:rsid w:val="00C7754C"/>
    <w:rsid w:val="00C77F6D"/>
    <w:rsid w:val="00C812B9"/>
    <w:rsid w:val="00C81AE6"/>
    <w:rsid w:val="00C835B2"/>
    <w:rsid w:val="00C83A53"/>
    <w:rsid w:val="00C848D6"/>
    <w:rsid w:val="00C84A37"/>
    <w:rsid w:val="00C8551E"/>
    <w:rsid w:val="00C856EE"/>
    <w:rsid w:val="00C85C51"/>
    <w:rsid w:val="00C870EE"/>
    <w:rsid w:val="00C87412"/>
    <w:rsid w:val="00C87596"/>
    <w:rsid w:val="00C87CDC"/>
    <w:rsid w:val="00C904C9"/>
    <w:rsid w:val="00C906EF"/>
    <w:rsid w:val="00C90DB6"/>
    <w:rsid w:val="00C91011"/>
    <w:rsid w:val="00C9186F"/>
    <w:rsid w:val="00C91D63"/>
    <w:rsid w:val="00C9489A"/>
    <w:rsid w:val="00C94E8C"/>
    <w:rsid w:val="00C94F80"/>
    <w:rsid w:val="00C951D1"/>
    <w:rsid w:val="00C9552E"/>
    <w:rsid w:val="00C95A97"/>
    <w:rsid w:val="00C9622A"/>
    <w:rsid w:val="00C96C0B"/>
    <w:rsid w:val="00C97D08"/>
    <w:rsid w:val="00CA0243"/>
    <w:rsid w:val="00CA0A96"/>
    <w:rsid w:val="00CA0DF5"/>
    <w:rsid w:val="00CA0F21"/>
    <w:rsid w:val="00CA1FF2"/>
    <w:rsid w:val="00CA2660"/>
    <w:rsid w:val="00CA36EF"/>
    <w:rsid w:val="00CA3796"/>
    <w:rsid w:val="00CA6C25"/>
    <w:rsid w:val="00CA7BAB"/>
    <w:rsid w:val="00CB11D0"/>
    <w:rsid w:val="00CB1578"/>
    <w:rsid w:val="00CB15E1"/>
    <w:rsid w:val="00CB2E37"/>
    <w:rsid w:val="00CB3AF8"/>
    <w:rsid w:val="00CB452A"/>
    <w:rsid w:val="00CB501D"/>
    <w:rsid w:val="00CB57AF"/>
    <w:rsid w:val="00CB6A9A"/>
    <w:rsid w:val="00CB7969"/>
    <w:rsid w:val="00CC0031"/>
    <w:rsid w:val="00CC05A6"/>
    <w:rsid w:val="00CC14AC"/>
    <w:rsid w:val="00CC184A"/>
    <w:rsid w:val="00CC1F10"/>
    <w:rsid w:val="00CC20B7"/>
    <w:rsid w:val="00CC3123"/>
    <w:rsid w:val="00CC44C6"/>
    <w:rsid w:val="00CC49D9"/>
    <w:rsid w:val="00CC4A75"/>
    <w:rsid w:val="00CC512A"/>
    <w:rsid w:val="00CC59EB"/>
    <w:rsid w:val="00CC6669"/>
    <w:rsid w:val="00CC6888"/>
    <w:rsid w:val="00CC780A"/>
    <w:rsid w:val="00CD0962"/>
    <w:rsid w:val="00CD10C2"/>
    <w:rsid w:val="00CD2DB6"/>
    <w:rsid w:val="00CD31DF"/>
    <w:rsid w:val="00CD35A3"/>
    <w:rsid w:val="00CD387A"/>
    <w:rsid w:val="00CD3B98"/>
    <w:rsid w:val="00CD3BCE"/>
    <w:rsid w:val="00CD3F7B"/>
    <w:rsid w:val="00CD6939"/>
    <w:rsid w:val="00CD6AE3"/>
    <w:rsid w:val="00CD6E60"/>
    <w:rsid w:val="00CD762C"/>
    <w:rsid w:val="00CD7994"/>
    <w:rsid w:val="00CD7AF3"/>
    <w:rsid w:val="00CE1040"/>
    <w:rsid w:val="00CE12D9"/>
    <w:rsid w:val="00CE1300"/>
    <w:rsid w:val="00CE23A2"/>
    <w:rsid w:val="00CE2D49"/>
    <w:rsid w:val="00CE3DE1"/>
    <w:rsid w:val="00CE4488"/>
    <w:rsid w:val="00CE44EE"/>
    <w:rsid w:val="00CE4C94"/>
    <w:rsid w:val="00CE4DBC"/>
    <w:rsid w:val="00CE5575"/>
    <w:rsid w:val="00CE6177"/>
    <w:rsid w:val="00CE6A4A"/>
    <w:rsid w:val="00CE6DE0"/>
    <w:rsid w:val="00CE7326"/>
    <w:rsid w:val="00CF0240"/>
    <w:rsid w:val="00CF0361"/>
    <w:rsid w:val="00CF04ED"/>
    <w:rsid w:val="00CF0DE3"/>
    <w:rsid w:val="00CF1257"/>
    <w:rsid w:val="00CF205D"/>
    <w:rsid w:val="00CF2EA7"/>
    <w:rsid w:val="00CF2FCE"/>
    <w:rsid w:val="00CF4BCE"/>
    <w:rsid w:val="00CF5749"/>
    <w:rsid w:val="00CF72D4"/>
    <w:rsid w:val="00CF7332"/>
    <w:rsid w:val="00CF74BA"/>
    <w:rsid w:val="00D005C9"/>
    <w:rsid w:val="00D009FC"/>
    <w:rsid w:val="00D00CDC"/>
    <w:rsid w:val="00D0134D"/>
    <w:rsid w:val="00D027D9"/>
    <w:rsid w:val="00D02A80"/>
    <w:rsid w:val="00D03CD0"/>
    <w:rsid w:val="00D04717"/>
    <w:rsid w:val="00D04C3E"/>
    <w:rsid w:val="00D05168"/>
    <w:rsid w:val="00D05684"/>
    <w:rsid w:val="00D05C91"/>
    <w:rsid w:val="00D066A6"/>
    <w:rsid w:val="00D102FB"/>
    <w:rsid w:val="00D106B5"/>
    <w:rsid w:val="00D10E0D"/>
    <w:rsid w:val="00D12594"/>
    <w:rsid w:val="00D133FE"/>
    <w:rsid w:val="00D137B3"/>
    <w:rsid w:val="00D13D8A"/>
    <w:rsid w:val="00D14853"/>
    <w:rsid w:val="00D151AD"/>
    <w:rsid w:val="00D1536D"/>
    <w:rsid w:val="00D15511"/>
    <w:rsid w:val="00D16818"/>
    <w:rsid w:val="00D16988"/>
    <w:rsid w:val="00D16BAA"/>
    <w:rsid w:val="00D17209"/>
    <w:rsid w:val="00D17F04"/>
    <w:rsid w:val="00D20EA1"/>
    <w:rsid w:val="00D217B7"/>
    <w:rsid w:val="00D232AD"/>
    <w:rsid w:val="00D240E6"/>
    <w:rsid w:val="00D2434F"/>
    <w:rsid w:val="00D252CD"/>
    <w:rsid w:val="00D2532D"/>
    <w:rsid w:val="00D25552"/>
    <w:rsid w:val="00D25B56"/>
    <w:rsid w:val="00D266FE"/>
    <w:rsid w:val="00D30103"/>
    <w:rsid w:val="00D309A5"/>
    <w:rsid w:val="00D33DD3"/>
    <w:rsid w:val="00D3425F"/>
    <w:rsid w:val="00D342DA"/>
    <w:rsid w:val="00D3682F"/>
    <w:rsid w:val="00D37AC3"/>
    <w:rsid w:val="00D4067B"/>
    <w:rsid w:val="00D41784"/>
    <w:rsid w:val="00D417A3"/>
    <w:rsid w:val="00D41E19"/>
    <w:rsid w:val="00D42489"/>
    <w:rsid w:val="00D42B29"/>
    <w:rsid w:val="00D42E04"/>
    <w:rsid w:val="00D42F2C"/>
    <w:rsid w:val="00D43883"/>
    <w:rsid w:val="00D449F8"/>
    <w:rsid w:val="00D44C2D"/>
    <w:rsid w:val="00D45B62"/>
    <w:rsid w:val="00D45EE2"/>
    <w:rsid w:val="00D46132"/>
    <w:rsid w:val="00D46A49"/>
    <w:rsid w:val="00D46A96"/>
    <w:rsid w:val="00D47198"/>
    <w:rsid w:val="00D47A19"/>
    <w:rsid w:val="00D50BBB"/>
    <w:rsid w:val="00D514BD"/>
    <w:rsid w:val="00D51BDE"/>
    <w:rsid w:val="00D52030"/>
    <w:rsid w:val="00D527EE"/>
    <w:rsid w:val="00D54438"/>
    <w:rsid w:val="00D5485F"/>
    <w:rsid w:val="00D54BBE"/>
    <w:rsid w:val="00D557A7"/>
    <w:rsid w:val="00D55ED7"/>
    <w:rsid w:val="00D573A0"/>
    <w:rsid w:val="00D57F32"/>
    <w:rsid w:val="00D6132D"/>
    <w:rsid w:val="00D61F53"/>
    <w:rsid w:val="00D62070"/>
    <w:rsid w:val="00D631AE"/>
    <w:rsid w:val="00D639B9"/>
    <w:rsid w:val="00D63A69"/>
    <w:rsid w:val="00D64739"/>
    <w:rsid w:val="00D64ACF"/>
    <w:rsid w:val="00D65375"/>
    <w:rsid w:val="00D6584D"/>
    <w:rsid w:val="00D65E61"/>
    <w:rsid w:val="00D66937"/>
    <w:rsid w:val="00D66FAA"/>
    <w:rsid w:val="00D675B2"/>
    <w:rsid w:val="00D67D6D"/>
    <w:rsid w:val="00D70613"/>
    <w:rsid w:val="00D711CB"/>
    <w:rsid w:val="00D71326"/>
    <w:rsid w:val="00D714E4"/>
    <w:rsid w:val="00D717C1"/>
    <w:rsid w:val="00D71C9F"/>
    <w:rsid w:val="00D7565F"/>
    <w:rsid w:val="00D76C1D"/>
    <w:rsid w:val="00D76E3C"/>
    <w:rsid w:val="00D775C5"/>
    <w:rsid w:val="00D80158"/>
    <w:rsid w:val="00D80A35"/>
    <w:rsid w:val="00D80D8D"/>
    <w:rsid w:val="00D80F15"/>
    <w:rsid w:val="00D81AB0"/>
    <w:rsid w:val="00D83CD6"/>
    <w:rsid w:val="00D85D39"/>
    <w:rsid w:val="00D9090D"/>
    <w:rsid w:val="00D916B4"/>
    <w:rsid w:val="00D91824"/>
    <w:rsid w:val="00D91B7A"/>
    <w:rsid w:val="00D91FE1"/>
    <w:rsid w:val="00D922E0"/>
    <w:rsid w:val="00D92352"/>
    <w:rsid w:val="00D92356"/>
    <w:rsid w:val="00D9242F"/>
    <w:rsid w:val="00D93594"/>
    <w:rsid w:val="00D93895"/>
    <w:rsid w:val="00D94218"/>
    <w:rsid w:val="00D944E5"/>
    <w:rsid w:val="00D94877"/>
    <w:rsid w:val="00D94945"/>
    <w:rsid w:val="00D94DB1"/>
    <w:rsid w:val="00D9622A"/>
    <w:rsid w:val="00D96DB6"/>
    <w:rsid w:val="00DA082E"/>
    <w:rsid w:val="00DA180D"/>
    <w:rsid w:val="00DA2929"/>
    <w:rsid w:val="00DA3047"/>
    <w:rsid w:val="00DA31C0"/>
    <w:rsid w:val="00DA3297"/>
    <w:rsid w:val="00DA3A25"/>
    <w:rsid w:val="00DA4048"/>
    <w:rsid w:val="00DA558C"/>
    <w:rsid w:val="00DA61D4"/>
    <w:rsid w:val="00DA6A43"/>
    <w:rsid w:val="00DA738A"/>
    <w:rsid w:val="00DA7776"/>
    <w:rsid w:val="00DB12C5"/>
    <w:rsid w:val="00DB1944"/>
    <w:rsid w:val="00DB1F4E"/>
    <w:rsid w:val="00DB2C0A"/>
    <w:rsid w:val="00DB2E6D"/>
    <w:rsid w:val="00DB34B5"/>
    <w:rsid w:val="00DB51D1"/>
    <w:rsid w:val="00DB5BC9"/>
    <w:rsid w:val="00DB653F"/>
    <w:rsid w:val="00DB695E"/>
    <w:rsid w:val="00DB772F"/>
    <w:rsid w:val="00DC1E4F"/>
    <w:rsid w:val="00DC24DA"/>
    <w:rsid w:val="00DC25F9"/>
    <w:rsid w:val="00DC3202"/>
    <w:rsid w:val="00DC451A"/>
    <w:rsid w:val="00DC47E6"/>
    <w:rsid w:val="00DC54A8"/>
    <w:rsid w:val="00DC565C"/>
    <w:rsid w:val="00DC77E7"/>
    <w:rsid w:val="00DC7B23"/>
    <w:rsid w:val="00DC7CA9"/>
    <w:rsid w:val="00DD08C6"/>
    <w:rsid w:val="00DD19D8"/>
    <w:rsid w:val="00DD3209"/>
    <w:rsid w:val="00DD38D8"/>
    <w:rsid w:val="00DD3FD9"/>
    <w:rsid w:val="00DD4917"/>
    <w:rsid w:val="00DD4D14"/>
    <w:rsid w:val="00DD5E8C"/>
    <w:rsid w:val="00DD6D9B"/>
    <w:rsid w:val="00DD7612"/>
    <w:rsid w:val="00DE05BC"/>
    <w:rsid w:val="00DE0BE7"/>
    <w:rsid w:val="00DE1AE5"/>
    <w:rsid w:val="00DE2C88"/>
    <w:rsid w:val="00DE3C2C"/>
    <w:rsid w:val="00DE4F85"/>
    <w:rsid w:val="00DE51C0"/>
    <w:rsid w:val="00DE5921"/>
    <w:rsid w:val="00DE5B55"/>
    <w:rsid w:val="00DE61F5"/>
    <w:rsid w:val="00DE7601"/>
    <w:rsid w:val="00DE7985"/>
    <w:rsid w:val="00DF013C"/>
    <w:rsid w:val="00DF024B"/>
    <w:rsid w:val="00DF229E"/>
    <w:rsid w:val="00DF2F83"/>
    <w:rsid w:val="00DF49D0"/>
    <w:rsid w:val="00DF4C35"/>
    <w:rsid w:val="00DF5846"/>
    <w:rsid w:val="00DF5A87"/>
    <w:rsid w:val="00DF6EB4"/>
    <w:rsid w:val="00DF7288"/>
    <w:rsid w:val="00E004AB"/>
    <w:rsid w:val="00E011C2"/>
    <w:rsid w:val="00E01989"/>
    <w:rsid w:val="00E019A9"/>
    <w:rsid w:val="00E01A0C"/>
    <w:rsid w:val="00E01C1D"/>
    <w:rsid w:val="00E0261C"/>
    <w:rsid w:val="00E026A1"/>
    <w:rsid w:val="00E030D8"/>
    <w:rsid w:val="00E0388D"/>
    <w:rsid w:val="00E04DE5"/>
    <w:rsid w:val="00E05BE2"/>
    <w:rsid w:val="00E0627E"/>
    <w:rsid w:val="00E0690C"/>
    <w:rsid w:val="00E06F15"/>
    <w:rsid w:val="00E0781D"/>
    <w:rsid w:val="00E1035D"/>
    <w:rsid w:val="00E119BD"/>
    <w:rsid w:val="00E11C12"/>
    <w:rsid w:val="00E1207B"/>
    <w:rsid w:val="00E123D5"/>
    <w:rsid w:val="00E14205"/>
    <w:rsid w:val="00E14251"/>
    <w:rsid w:val="00E142D4"/>
    <w:rsid w:val="00E1471D"/>
    <w:rsid w:val="00E153AD"/>
    <w:rsid w:val="00E154A8"/>
    <w:rsid w:val="00E1658C"/>
    <w:rsid w:val="00E166DF"/>
    <w:rsid w:val="00E16820"/>
    <w:rsid w:val="00E16BBE"/>
    <w:rsid w:val="00E16D33"/>
    <w:rsid w:val="00E17534"/>
    <w:rsid w:val="00E175AE"/>
    <w:rsid w:val="00E20DC9"/>
    <w:rsid w:val="00E20EF0"/>
    <w:rsid w:val="00E2124F"/>
    <w:rsid w:val="00E21ED6"/>
    <w:rsid w:val="00E231E9"/>
    <w:rsid w:val="00E23A85"/>
    <w:rsid w:val="00E23C3F"/>
    <w:rsid w:val="00E24083"/>
    <w:rsid w:val="00E24BBF"/>
    <w:rsid w:val="00E26DFF"/>
    <w:rsid w:val="00E26EF5"/>
    <w:rsid w:val="00E27E45"/>
    <w:rsid w:val="00E304A2"/>
    <w:rsid w:val="00E30B47"/>
    <w:rsid w:val="00E30BE9"/>
    <w:rsid w:val="00E30E94"/>
    <w:rsid w:val="00E3104A"/>
    <w:rsid w:val="00E31CF6"/>
    <w:rsid w:val="00E32B51"/>
    <w:rsid w:val="00E33744"/>
    <w:rsid w:val="00E337A4"/>
    <w:rsid w:val="00E33EB9"/>
    <w:rsid w:val="00E34467"/>
    <w:rsid w:val="00E354DF"/>
    <w:rsid w:val="00E377EF"/>
    <w:rsid w:val="00E40116"/>
    <w:rsid w:val="00E413A7"/>
    <w:rsid w:val="00E42983"/>
    <w:rsid w:val="00E44982"/>
    <w:rsid w:val="00E457FF"/>
    <w:rsid w:val="00E46269"/>
    <w:rsid w:val="00E4677E"/>
    <w:rsid w:val="00E46A3C"/>
    <w:rsid w:val="00E472DE"/>
    <w:rsid w:val="00E474F2"/>
    <w:rsid w:val="00E479EE"/>
    <w:rsid w:val="00E47A57"/>
    <w:rsid w:val="00E50243"/>
    <w:rsid w:val="00E51411"/>
    <w:rsid w:val="00E51606"/>
    <w:rsid w:val="00E51BD2"/>
    <w:rsid w:val="00E526AE"/>
    <w:rsid w:val="00E5323F"/>
    <w:rsid w:val="00E53D4F"/>
    <w:rsid w:val="00E54824"/>
    <w:rsid w:val="00E54F6F"/>
    <w:rsid w:val="00E54FAD"/>
    <w:rsid w:val="00E557E3"/>
    <w:rsid w:val="00E55994"/>
    <w:rsid w:val="00E55AE8"/>
    <w:rsid w:val="00E5643D"/>
    <w:rsid w:val="00E56950"/>
    <w:rsid w:val="00E57F0C"/>
    <w:rsid w:val="00E602E3"/>
    <w:rsid w:val="00E60C3C"/>
    <w:rsid w:val="00E60E1C"/>
    <w:rsid w:val="00E61EEB"/>
    <w:rsid w:val="00E620C0"/>
    <w:rsid w:val="00E62276"/>
    <w:rsid w:val="00E62362"/>
    <w:rsid w:val="00E62C8B"/>
    <w:rsid w:val="00E635DE"/>
    <w:rsid w:val="00E6413F"/>
    <w:rsid w:val="00E64298"/>
    <w:rsid w:val="00E64353"/>
    <w:rsid w:val="00E650C9"/>
    <w:rsid w:val="00E6668F"/>
    <w:rsid w:val="00E667E1"/>
    <w:rsid w:val="00E66C58"/>
    <w:rsid w:val="00E66C89"/>
    <w:rsid w:val="00E70F66"/>
    <w:rsid w:val="00E71AD7"/>
    <w:rsid w:val="00E71C5F"/>
    <w:rsid w:val="00E71FC0"/>
    <w:rsid w:val="00E72127"/>
    <w:rsid w:val="00E72EB6"/>
    <w:rsid w:val="00E741DE"/>
    <w:rsid w:val="00E7514F"/>
    <w:rsid w:val="00E754CB"/>
    <w:rsid w:val="00E75D23"/>
    <w:rsid w:val="00E76D3A"/>
    <w:rsid w:val="00E77950"/>
    <w:rsid w:val="00E77CEC"/>
    <w:rsid w:val="00E80D34"/>
    <w:rsid w:val="00E8115E"/>
    <w:rsid w:val="00E8141C"/>
    <w:rsid w:val="00E81E40"/>
    <w:rsid w:val="00E826CF"/>
    <w:rsid w:val="00E828D7"/>
    <w:rsid w:val="00E82BBD"/>
    <w:rsid w:val="00E82F63"/>
    <w:rsid w:val="00E8478D"/>
    <w:rsid w:val="00E854B5"/>
    <w:rsid w:val="00E869DE"/>
    <w:rsid w:val="00E87246"/>
    <w:rsid w:val="00E87A52"/>
    <w:rsid w:val="00E90EBB"/>
    <w:rsid w:val="00E93904"/>
    <w:rsid w:val="00E940B3"/>
    <w:rsid w:val="00E941E1"/>
    <w:rsid w:val="00E94F81"/>
    <w:rsid w:val="00E9691F"/>
    <w:rsid w:val="00E97A4C"/>
    <w:rsid w:val="00E97EDF"/>
    <w:rsid w:val="00EA0AB5"/>
    <w:rsid w:val="00EA0B44"/>
    <w:rsid w:val="00EA126F"/>
    <w:rsid w:val="00EA177E"/>
    <w:rsid w:val="00EA20F2"/>
    <w:rsid w:val="00EA28CC"/>
    <w:rsid w:val="00EA2F35"/>
    <w:rsid w:val="00EA31C9"/>
    <w:rsid w:val="00EA51C8"/>
    <w:rsid w:val="00EA5934"/>
    <w:rsid w:val="00EA5B62"/>
    <w:rsid w:val="00EA5BB4"/>
    <w:rsid w:val="00EA6371"/>
    <w:rsid w:val="00EB0058"/>
    <w:rsid w:val="00EB007C"/>
    <w:rsid w:val="00EB0100"/>
    <w:rsid w:val="00EB0382"/>
    <w:rsid w:val="00EB0919"/>
    <w:rsid w:val="00EB10A9"/>
    <w:rsid w:val="00EB2389"/>
    <w:rsid w:val="00EB2453"/>
    <w:rsid w:val="00EB3637"/>
    <w:rsid w:val="00EB4F1B"/>
    <w:rsid w:val="00EB5526"/>
    <w:rsid w:val="00EB7273"/>
    <w:rsid w:val="00EB78F0"/>
    <w:rsid w:val="00EC045C"/>
    <w:rsid w:val="00EC0987"/>
    <w:rsid w:val="00EC0E42"/>
    <w:rsid w:val="00EC160C"/>
    <w:rsid w:val="00EC1D35"/>
    <w:rsid w:val="00EC207C"/>
    <w:rsid w:val="00EC22B6"/>
    <w:rsid w:val="00EC4A1A"/>
    <w:rsid w:val="00EC511D"/>
    <w:rsid w:val="00EC572E"/>
    <w:rsid w:val="00EC59E8"/>
    <w:rsid w:val="00EC6804"/>
    <w:rsid w:val="00EC6A2F"/>
    <w:rsid w:val="00EC6BA2"/>
    <w:rsid w:val="00EC6D08"/>
    <w:rsid w:val="00EC7748"/>
    <w:rsid w:val="00ED1C16"/>
    <w:rsid w:val="00ED21E9"/>
    <w:rsid w:val="00ED29ED"/>
    <w:rsid w:val="00ED349D"/>
    <w:rsid w:val="00ED43F8"/>
    <w:rsid w:val="00ED4621"/>
    <w:rsid w:val="00ED64C7"/>
    <w:rsid w:val="00ED6844"/>
    <w:rsid w:val="00EE059E"/>
    <w:rsid w:val="00EE1064"/>
    <w:rsid w:val="00EE2659"/>
    <w:rsid w:val="00EE3A9E"/>
    <w:rsid w:val="00EE44C2"/>
    <w:rsid w:val="00EE4884"/>
    <w:rsid w:val="00EE5720"/>
    <w:rsid w:val="00EE60B2"/>
    <w:rsid w:val="00EE66F2"/>
    <w:rsid w:val="00EE6FFA"/>
    <w:rsid w:val="00EE7A9B"/>
    <w:rsid w:val="00EE7C7F"/>
    <w:rsid w:val="00EE7F4D"/>
    <w:rsid w:val="00EF1DCC"/>
    <w:rsid w:val="00EF3AB9"/>
    <w:rsid w:val="00EF47AE"/>
    <w:rsid w:val="00EF5E2B"/>
    <w:rsid w:val="00EF769C"/>
    <w:rsid w:val="00EF7BA7"/>
    <w:rsid w:val="00F018A1"/>
    <w:rsid w:val="00F01B0C"/>
    <w:rsid w:val="00F0278E"/>
    <w:rsid w:val="00F0282F"/>
    <w:rsid w:val="00F02A09"/>
    <w:rsid w:val="00F02B44"/>
    <w:rsid w:val="00F04392"/>
    <w:rsid w:val="00F0448D"/>
    <w:rsid w:val="00F04A06"/>
    <w:rsid w:val="00F04A9C"/>
    <w:rsid w:val="00F0551C"/>
    <w:rsid w:val="00F0558F"/>
    <w:rsid w:val="00F05626"/>
    <w:rsid w:val="00F05673"/>
    <w:rsid w:val="00F05CE5"/>
    <w:rsid w:val="00F0649A"/>
    <w:rsid w:val="00F06528"/>
    <w:rsid w:val="00F06DE3"/>
    <w:rsid w:val="00F07094"/>
    <w:rsid w:val="00F11895"/>
    <w:rsid w:val="00F12BB2"/>
    <w:rsid w:val="00F13301"/>
    <w:rsid w:val="00F13957"/>
    <w:rsid w:val="00F13AD8"/>
    <w:rsid w:val="00F147A9"/>
    <w:rsid w:val="00F149A3"/>
    <w:rsid w:val="00F15F18"/>
    <w:rsid w:val="00F16790"/>
    <w:rsid w:val="00F16D36"/>
    <w:rsid w:val="00F2040E"/>
    <w:rsid w:val="00F21B13"/>
    <w:rsid w:val="00F21D47"/>
    <w:rsid w:val="00F23EBC"/>
    <w:rsid w:val="00F241A7"/>
    <w:rsid w:val="00F25A70"/>
    <w:rsid w:val="00F263EA"/>
    <w:rsid w:val="00F2667E"/>
    <w:rsid w:val="00F27C2F"/>
    <w:rsid w:val="00F30D24"/>
    <w:rsid w:val="00F31508"/>
    <w:rsid w:val="00F31B5E"/>
    <w:rsid w:val="00F327D6"/>
    <w:rsid w:val="00F32AB4"/>
    <w:rsid w:val="00F32C27"/>
    <w:rsid w:val="00F335B5"/>
    <w:rsid w:val="00F34970"/>
    <w:rsid w:val="00F37512"/>
    <w:rsid w:val="00F37745"/>
    <w:rsid w:val="00F40182"/>
    <w:rsid w:val="00F402B4"/>
    <w:rsid w:val="00F40C07"/>
    <w:rsid w:val="00F40E92"/>
    <w:rsid w:val="00F41ECD"/>
    <w:rsid w:val="00F42234"/>
    <w:rsid w:val="00F42F71"/>
    <w:rsid w:val="00F43080"/>
    <w:rsid w:val="00F438AF"/>
    <w:rsid w:val="00F43EE8"/>
    <w:rsid w:val="00F449C8"/>
    <w:rsid w:val="00F46DA1"/>
    <w:rsid w:val="00F4700C"/>
    <w:rsid w:val="00F4780F"/>
    <w:rsid w:val="00F478D6"/>
    <w:rsid w:val="00F47BF0"/>
    <w:rsid w:val="00F510DE"/>
    <w:rsid w:val="00F521EA"/>
    <w:rsid w:val="00F52A5E"/>
    <w:rsid w:val="00F52D5A"/>
    <w:rsid w:val="00F5335F"/>
    <w:rsid w:val="00F5359F"/>
    <w:rsid w:val="00F53ACF"/>
    <w:rsid w:val="00F53EA6"/>
    <w:rsid w:val="00F541E3"/>
    <w:rsid w:val="00F54312"/>
    <w:rsid w:val="00F54DDB"/>
    <w:rsid w:val="00F555D8"/>
    <w:rsid w:val="00F5681A"/>
    <w:rsid w:val="00F5698D"/>
    <w:rsid w:val="00F569C6"/>
    <w:rsid w:val="00F577F7"/>
    <w:rsid w:val="00F605A4"/>
    <w:rsid w:val="00F6128C"/>
    <w:rsid w:val="00F61513"/>
    <w:rsid w:val="00F615B9"/>
    <w:rsid w:val="00F61786"/>
    <w:rsid w:val="00F61B12"/>
    <w:rsid w:val="00F61EC3"/>
    <w:rsid w:val="00F62733"/>
    <w:rsid w:val="00F630E8"/>
    <w:rsid w:val="00F641D2"/>
    <w:rsid w:val="00F64311"/>
    <w:rsid w:val="00F65949"/>
    <w:rsid w:val="00F66685"/>
    <w:rsid w:val="00F67D34"/>
    <w:rsid w:val="00F67FB6"/>
    <w:rsid w:val="00F703F5"/>
    <w:rsid w:val="00F70549"/>
    <w:rsid w:val="00F70A95"/>
    <w:rsid w:val="00F70E46"/>
    <w:rsid w:val="00F7120E"/>
    <w:rsid w:val="00F717A1"/>
    <w:rsid w:val="00F71AF6"/>
    <w:rsid w:val="00F73826"/>
    <w:rsid w:val="00F74BF1"/>
    <w:rsid w:val="00F7565D"/>
    <w:rsid w:val="00F7777D"/>
    <w:rsid w:val="00F77A7A"/>
    <w:rsid w:val="00F802F7"/>
    <w:rsid w:val="00F81E13"/>
    <w:rsid w:val="00F81E62"/>
    <w:rsid w:val="00F82512"/>
    <w:rsid w:val="00F83338"/>
    <w:rsid w:val="00F83987"/>
    <w:rsid w:val="00F83EEA"/>
    <w:rsid w:val="00F83FE3"/>
    <w:rsid w:val="00F84AED"/>
    <w:rsid w:val="00F84B7A"/>
    <w:rsid w:val="00F84F22"/>
    <w:rsid w:val="00F85E56"/>
    <w:rsid w:val="00F862B3"/>
    <w:rsid w:val="00F86CCF"/>
    <w:rsid w:val="00F905EE"/>
    <w:rsid w:val="00F9060F"/>
    <w:rsid w:val="00F913B8"/>
    <w:rsid w:val="00F913D4"/>
    <w:rsid w:val="00F919FF"/>
    <w:rsid w:val="00F92851"/>
    <w:rsid w:val="00F9297A"/>
    <w:rsid w:val="00F92B4C"/>
    <w:rsid w:val="00F933D5"/>
    <w:rsid w:val="00F93853"/>
    <w:rsid w:val="00F93C4C"/>
    <w:rsid w:val="00F93EDA"/>
    <w:rsid w:val="00F94177"/>
    <w:rsid w:val="00F94DF3"/>
    <w:rsid w:val="00F9520B"/>
    <w:rsid w:val="00F959A8"/>
    <w:rsid w:val="00F95C83"/>
    <w:rsid w:val="00F9712E"/>
    <w:rsid w:val="00F971BD"/>
    <w:rsid w:val="00F97BA8"/>
    <w:rsid w:val="00F97C04"/>
    <w:rsid w:val="00F97ED2"/>
    <w:rsid w:val="00FA0197"/>
    <w:rsid w:val="00FA068B"/>
    <w:rsid w:val="00FA1337"/>
    <w:rsid w:val="00FA2770"/>
    <w:rsid w:val="00FA2CFF"/>
    <w:rsid w:val="00FA3645"/>
    <w:rsid w:val="00FA4027"/>
    <w:rsid w:val="00FA4369"/>
    <w:rsid w:val="00FA593D"/>
    <w:rsid w:val="00FA5BA8"/>
    <w:rsid w:val="00FA6B45"/>
    <w:rsid w:val="00FA74D2"/>
    <w:rsid w:val="00FA7AB7"/>
    <w:rsid w:val="00FB02D8"/>
    <w:rsid w:val="00FB0DB6"/>
    <w:rsid w:val="00FB1A27"/>
    <w:rsid w:val="00FB1B46"/>
    <w:rsid w:val="00FB1E84"/>
    <w:rsid w:val="00FB211B"/>
    <w:rsid w:val="00FB3A48"/>
    <w:rsid w:val="00FB4756"/>
    <w:rsid w:val="00FB5A13"/>
    <w:rsid w:val="00FB66D3"/>
    <w:rsid w:val="00FB757C"/>
    <w:rsid w:val="00FC0771"/>
    <w:rsid w:val="00FC0D99"/>
    <w:rsid w:val="00FC0FCA"/>
    <w:rsid w:val="00FC11B1"/>
    <w:rsid w:val="00FC1AE6"/>
    <w:rsid w:val="00FC1D5B"/>
    <w:rsid w:val="00FC35C8"/>
    <w:rsid w:val="00FC4754"/>
    <w:rsid w:val="00FC4895"/>
    <w:rsid w:val="00FC4A8A"/>
    <w:rsid w:val="00FC4AB2"/>
    <w:rsid w:val="00FC5056"/>
    <w:rsid w:val="00FC55D0"/>
    <w:rsid w:val="00FC6117"/>
    <w:rsid w:val="00FC61F9"/>
    <w:rsid w:val="00FC7494"/>
    <w:rsid w:val="00FC7A0A"/>
    <w:rsid w:val="00FD0323"/>
    <w:rsid w:val="00FD0892"/>
    <w:rsid w:val="00FD0CE0"/>
    <w:rsid w:val="00FD1A48"/>
    <w:rsid w:val="00FD1B21"/>
    <w:rsid w:val="00FD1FDF"/>
    <w:rsid w:val="00FD379D"/>
    <w:rsid w:val="00FD4E53"/>
    <w:rsid w:val="00FD5F08"/>
    <w:rsid w:val="00FD6256"/>
    <w:rsid w:val="00FD6B94"/>
    <w:rsid w:val="00FD7542"/>
    <w:rsid w:val="00FD7F30"/>
    <w:rsid w:val="00FE0B5A"/>
    <w:rsid w:val="00FE0CE6"/>
    <w:rsid w:val="00FE1A64"/>
    <w:rsid w:val="00FE1A8A"/>
    <w:rsid w:val="00FE1ED9"/>
    <w:rsid w:val="00FE1F2E"/>
    <w:rsid w:val="00FE310D"/>
    <w:rsid w:val="00FE31AC"/>
    <w:rsid w:val="00FE3907"/>
    <w:rsid w:val="00FE3F92"/>
    <w:rsid w:val="00FE509B"/>
    <w:rsid w:val="00FE5945"/>
    <w:rsid w:val="00FE5A60"/>
    <w:rsid w:val="00FE5AD2"/>
    <w:rsid w:val="00FE6464"/>
    <w:rsid w:val="00FF0B4C"/>
    <w:rsid w:val="00FF29FD"/>
    <w:rsid w:val="00FF2B63"/>
    <w:rsid w:val="00FF3139"/>
    <w:rsid w:val="00FF3245"/>
    <w:rsid w:val="00FF377C"/>
    <w:rsid w:val="00FF3ECD"/>
    <w:rsid w:val="00FF3F50"/>
    <w:rsid w:val="00FF486A"/>
    <w:rsid w:val="00FF5D83"/>
    <w:rsid w:val="00FF6050"/>
    <w:rsid w:val="00FF6D23"/>
  </w:rsids>
  <m:mathPr>
    <m:mathFont m:val="Cambria Math"/>
    <m:brkBin m:val="before"/>
    <m:brkBinSub m:val="--"/>
    <m:smallFrac m:val="0"/>
    <m:dispDef/>
    <m:lMargin m:val="0"/>
    <m:rMargin m:val="0"/>
    <m:defJc m:val="centerGroup"/>
    <m:wrapIndent m:val="1440"/>
    <m:intLim m:val="subSup"/>
    <m:naryLim m:val="undOvr"/>
  </m:mathPr>
  <w:themeFontLang w:val="en-GB" w:eastAsia="ja-JP" w:bidi="he-IL"/>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097"/>
    <o:shapelayout v:ext="edit">
      <o:idmap v:ext="edit" data="1"/>
    </o:shapelayout>
  </w:shapeDefaults>
  <w:decimalSymbol w:val="."/>
  <w:listSeparator w:val=","/>
  <w14:docId w14:val="691B71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8194E"/>
  </w:style>
  <w:style w:type="paragraph" w:styleId="Heading1">
    <w:name w:val="heading 1"/>
    <w:basedOn w:val="Normal"/>
    <w:next w:val="Normal"/>
    <w:link w:val="Heading1Char"/>
    <w:uiPriority w:val="9"/>
    <w:qFormat/>
    <w:rsid w:val="00973C0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link w:val="Heading2Char"/>
    <w:uiPriority w:val="9"/>
    <w:qFormat/>
    <w:rsid w:val="000D7524"/>
    <w:pPr>
      <w:spacing w:before="100" w:beforeAutospacing="1" w:after="100" w:afterAutospacing="1" w:line="240" w:lineRule="auto"/>
      <w:outlineLvl w:val="1"/>
    </w:pPr>
    <w:rPr>
      <w:rFonts w:ascii="Times New Roman" w:eastAsia="Times New Roman" w:hAnsi="Times New Roman" w:cs="Times New Roman"/>
      <w:b/>
      <w:bCs/>
      <w:sz w:val="36"/>
      <w:szCs w:val="36"/>
      <w:lang w:eastAsia="en-GB" w:bidi="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582BB9"/>
    <w:rPr>
      <w:color w:val="808080"/>
    </w:rPr>
  </w:style>
  <w:style w:type="paragraph" w:styleId="BalloonText">
    <w:name w:val="Balloon Text"/>
    <w:basedOn w:val="Normal"/>
    <w:link w:val="BalloonTextChar"/>
    <w:uiPriority w:val="99"/>
    <w:semiHidden/>
    <w:unhideWhenUsed/>
    <w:rsid w:val="00582BB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82BB9"/>
    <w:rPr>
      <w:rFonts w:ascii="Tahoma" w:hAnsi="Tahoma" w:cs="Tahoma"/>
      <w:sz w:val="16"/>
      <w:szCs w:val="16"/>
    </w:rPr>
  </w:style>
  <w:style w:type="paragraph" w:styleId="Header">
    <w:name w:val="header"/>
    <w:basedOn w:val="Normal"/>
    <w:link w:val="HeaderChar"/>
    <w:uiPriority w:val="99"/>
    <w:unhideWhenUsed/>
    <w:rsid w:val="00334367"/>
    <w:pPr>
      <w:tabs>
        <w:tab w:val="center" w:pos="4513"/>
        <w:tab w:val="right" w:pos="9026"/>
      </w:tabs>
      <w:spacing w:after="0" w:line="240" w:lineRule="auto"/>
    </w:pPr>
  </w:style>
  <w:style w:type="character" w:customStyle="1" w:styleId="HeaderChar">
    <w:name w:val="Header Char"/>
    <w:basedOn w:val="DefaultParagraphFont"/>
    <w:link w:val="Header"/>
    <w:uiPriority w:val="99"/>
    <w:rsid w:val="00334367"/>
  </w:style>
  <w:style w:type="paragraph" w:styleId="Footer">
    <w:name w:val="footer"/>
    <w:basedOn w:val="Normal"/>
    <w:link w:val="FooterChar"/>
    <w:uiPriority w:val="99"/>
    <w:unhideWhenUsed/>
    <w:rsid w:val="00334367"/>
    <w:pPr>
      <w:tabs>
        <w:tab w:val="center" w:pos="4513"/>
        <w:tab w:val="right" w:pos="9026"/>
      </w:tabs>
      <w:spacing w:after="0" w:line="240" w:lineRule="auto"/>
    </w:pPr>
  </w:style>
  <w:style w:type="character" w:customStyle="1" w:styleId="FooterChar">
    <w:name w:val="Footer Char"/>
    <w:basedOn w:val="DefaultParagraphFont"/>
    <w:link w:val="Footer"/>
    <w:uiPriority w:val="99"/>
    <w:rsid w:val="00334367"/>
  </w:style>
  <w:style w:type="paragraph" w:styleId="EndnoteText">
    <w:name w:val="endnote text"/>
    <w:basedOn w:val="Normal"/>
    <w:link w:val="EndnoteTextChar"/>
    <w:uiPriority w:val="99"/>
    <w:semiHidden/>
    <w:unhideWhenUsed/>
    <w:rsid w:val="003263BD"/>
    <w:pPr>
      <w:spacing w:after="0" w:line="240" w:lineRule="auto"/>
    </w:pPr>
    <w:rPr>
      <w:sz w:val="20"/>
      <w:szCs w:val="20"/>
    </w:rPr>
  </w:style>
  <w:style w:type="character" w:customStyle="1" w:styleId="EndnoteTextChar">
    <w:name w:val="Endnote Text Char"/>
    <w:basedOn w:val="DefaultParagraphFont"/>
    <w:link w:val="EndnoteText"/>
    <w:uiPriority w:val="99"/>
    <w:semiHidden/>
    <w:rsid w:val="003263BD"/>
    <w:rPr>
      <w:sz w:val="20"/>
      <w:szCs w:val="20"/>
    </w:rPr>
  </w:style>
  <w:style w:type="character" w:styleId="EndnoteReference">
    <w:name w:val="endnote reference"/>
    <w:basedOn w:val="DefaultParagraphFont"/>
    <w:uiPriority w:val="99"/>
    <w:semiHidden/>
    <w:unhideWhenUsed/>
    <w:rsid w:val="003263BD"/>
    <w:rPr>
      <w:vertAlign w:val="superscript"/>
    </w:rPr>
  </w:style>
  <w:style w:type="paragraph" w:styleId="ListParagraph">
    <w:name w:val="List Paragraph"/>
    <w:basedOn w:val="Normal"/>
    <w:uiPriority w:val="34"/>
    <w:qFormat/>
    <w:rsid w:val="003574D7"/>
    <w:pPr>
      <w:ind w:left="720"/>
      <w:contextualSpacing/>
    </w:pPr>
  </w:style>
  <w:style w:type="paragraph" w:styleId="HTMLPreformatted">
    <w:name w:val="HTML Preformatted"/>
    <w:basedOn w:val="Normal"/>
    <w:link w:val="HTMLPreformattedChar"/>
    <w:uiPriority w:val="99"/>
    <w:unhideWhenUsed/>
    <w:rsid w:val="00410E4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n-GB" w:bidi="he-IL"/>
    </w:rPr>
  </w:style>
  <w:style w:type="character" w:customStyle="1" w:styleId="HTMLPreformattedChar">
    <w:name w:val="HTML Preformatted Char"/>
    <w:basedOn w:val="DefaultParagraphFont"/>
    <w:link w:val="HTMLPreformatted"/>
    <w:uiPriority w:val="99"/>
    <w:rsid w:val="00410E4A"/>
    <w:rPr>
      <w:rFonts w:ascii="Courier New" w:eastAsia="Times New Roman" w:hAnsi="Courier New" w:cs="Courier New"/>
      <w:sz w:val="20"/>
      <w:szCs w:val="20"/>
      <w:lang w:eastAsia="en-GB" w:bidi="he-IL"/>
    </w:rPr>
  </w:style>
  <w:style w:type="character" w:styleId="CommentReference">
    <w:name w:val="annotation reference"/>
    <w:basedOn w:val="DefaultParagraphFont"/>
    <w:uiPriority w:val="99"/>
    <w:semiHidden/>
    <w:unhideWhenUsed/>
    <w:rsid w:val="0021360F"/>
    <w:rPr>
      <w:sz w:val="16"/>
      <w:szCs w:val="16"/>
    </w:rPr>
  </w:style>
  <w:style w:type="paragraph" w:styleId="CommentText">
    <w:name w:val="annotation text"/>
    <w:basedOn w:val="Normal"/>
    <w:link w:val="CommentTextChar"/>
    <w:uiPriority w:val="99"/>
    <w:unhideWhenUsed/>
    <w:rsid w:val="0021360F"/>
    <w:pPr>
      <w:spacing w:line="240" w:lineRule="auto"/>
    </w:pPr>
    <w:rPr>
      <w:sz w:val="20"/>
      <w:szCs w:val="20"/>
    </w:rPr>
  </w:style>
  <w:style w:type="character" w:customStyle="1" w:styleId="CommentTextChar">
    <w:name w:val="Comment Text Char"/>
    <w:basedOn w:val="DefaultParagraphFont"/>
    <w:link w:val="CommentText"/>
    <w:uiPriority w:val="99"/>
    <w:rsid w:val="0021360F"/>
    <w:rPr>
      <w:sz w:val="20"/>
      <w:szCs w:val="20"/>
    </w:rPr>
  </w:style>
  <w:style w:type="paragraph" w:styleId="CommentSubject">
    <w:name w:val="annotation subject"/>
    <w:basedOn w:val="CommentText"/>
    <w:next w:val="CommentText"/>
    <w:link w:val="CommentSubjectChar"/>
    <w:uiPriority w:val="99"/>
    <w:semiHidden/>
    <w:unhideWhenUsed/>
    <w:rsid w:val="0021360F"/>
    <w:rPr>
      <w:b/>
      <w:bCs/>
    </w:rPr>
  </w:style>
  <w:style w:type="character" w:customStyle="1" w:styleId="CommentSubjectChar">
    <w:name w:val="Comment Subject Char"/>
    <w:basedOn w:val="CommentTextChar"/>
    <w:link w:val="CommentSubject"/>
    <w:uiPriority w:val="99"/>
    <w:semiHidden/>
    <w:rsid w:val="0021360F"/>
    <w:rPr>
      <w:b/>
      <w:bCs/>
      <w:sz w:val="20"/>
      <w:szCs w:val="20"/>
    </w:rPr>
  </w:style>
  <w:style w:type="character" w:customStyle="1" w:styleId="emphasistypesmallcaps">
    <w:name w:val="emphasistypesmallcaps"/>
    <w:basedOn w:val="DefaultParagraphFont"/>
    <w:rsid w:val="002D3A21"/>
  </w:style>
  <w:style w:type="character" w:styleId="Emphasis">
    <w:name w:val="Emphasis"/>
    <w:basedOn w:val="DefaultParagraphFont"/>
    <w:uiPriority w:val="20"/>
    <w:qFormat/>
    <w:rsid w:val="002D3A21"/>
    <w:rPr>
      <w:i/>
      <w:iCs/>
    </w:rPr>
  </w:style>
  <w:style w:type="character" w:styleId="Strong">
    <w:name w:val="Strong"/>
    <w:basedOn w:val="DefaultParagraphFont"/>
    <w:uiPriority w:val="22"/>
    <w:qFormat/>
    <w:rsid w:val="002D3A21"/>
    <w:rPr>
      <w:b/>
      <w:bCs/>
    </w:rPr>
  </w:style>
  <w:style w:type="paragraph" w:styleId="Revision">
    <w:name w:val="Revision"/>
    <w:hidden/>
    <w:uiPriority w:val="99"/>
    <w:semiHidden/>
    <w:rsid w:val="00330429"/>
    <w:pPr>
      <w:spacing w:after="0" w:line="240" w:lineRule="auto"/>
    </w:pPr>
  </w:style>
  <w:style w:type="table" w:styleId="TableGrid">
    <w:name w:val="Table Grid"/>
    <w:basedOn w:val="TableNormal"/>
    <w:uiPriority w:val="59"/>
    <w:rsid w:val="00684E3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973C0B"/>
    <w:pPr>
      <w:spacing w:after="0" w:line="240" w:lineRule="auto"/>
    </w:pPr>
  </w:style>
  <w:style w:type="character" w:customStyle="1" w:styleId="Heading1Char">
    <w:name w:val="Heading 1 Char"/>
    <w:basedOn w:val="DefaultParagraphFont"/>
    <w:link w:val="Heading1"/>
    <w:uiPriority w:val="9"/>
    <w:rsid w:val="00973C0B"/>
    <w:rPr>
      <w:rFonts w:asciiTheme="majorHAnsi" w:eastAsiaTheme="majorEastAsia" w:hAnsiTheme="majorHAnsi" w:cstheme="majorBidi"/>
      <w:b/>
      <w:bCs/>
      <w:color w:val="365F91" w:themeColor="accent1" w:themeShade="BF"/>
      <w:sz w:val="28"/>
      <w:szCs w:val="28"/>
    </w:rPr>
  </w:style>
  <w:style w:type="table" w:styleId="LightShading">
    <w:name w:val="Light Shading"/>
    <w:basedOn w:val="TableNormal"/>
    <w:uiPriority w:val="60"/>
    <w:rsid w:val="00A60478"/>
    <w:pPr>
      <w:spacing w:after="0" w:line="240" w:lineRule="auto"/>
    </w:pPr>
    <w:rPr>
      <w:rFonts w:eastAsiaTheme="minorEastAsia" w:cs="Arial"/>
      <w:color w:val="000000" w:themeColor="text1" w:themeShade="BF"/>
      <w:sz w:val="24"/>
      <w:szCs w:val="24"/>
      <w:lang w:val="en-US"/>
    </w:rPr>
    <w:tblPr>
      <w:tblStyleRowBandSize w:val="1"/>
      <w:tblStyleColBandSize w:val="1"/>
      <w:tblBorders>
        <w:top w:val="single" w:sz="8" w:space="0" w:color="000000" w:themeColor="text1"/>
        <w:bottom w:val="single" w:sz="8" w:space="0" w:color="000000" w:themeColor="text1"/>
      </w:tblBorders>
    </w:tblPr>
    <w:tblStylePr w:type="firstRow">
      <w:pPr>
        <w:spacing w:beforeLines="0" w:before="0" w:beforeAutospacing="0" w:afterLines="0" w:after="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styleId="Hyperlink">
    <w:name w:val="Hyperlink"/>
    <w:basedOn w:val="DefaultParagraphFont"/>
    <w:uiPriority w:val="99"/>
    <w:unhideWhenUsed/>
    <w:rsid w:val="007322F6"/>
    <w:rPr>
      <w:color w:val="0000FF" w:themeColor="hyperlink"/>
      <w:u w:val="single"/>
    </w:rPr>
  </w:style>
  <w:style w:type="paragraph" w:styleId="NormalWeb">
    <w:name w:val="Normal (Web)"/>
    <w:basedOn w:val="Normal"/>
    <w:uiPriority w:val="99"/>
    <w:semiHidden/>
    <w:unhideWhenUsed/>
    <w:rsid w:val="00083C14"/>
    <w:pPr>
      <w:spacing w:before="100" w:beforeAutospacing="1" w:after="100" w:afterAutospacing="1" w:line="240" w:lineRule="auto"/>
    </w:pPr>
    <w:rPr>
      <w:rFonts w:ascii="Times New Roman" w:eastAsia="Times New Roman" w:hAnsi="Times New Roman" w:cs="Times New Roman"/>
      <w:sz w:val="24"/>
      <w:szCs w:val="24"/>
      <w:lang w:eastAsia="en-GB" w:bidi="he-IL"/>
    </w:rPr>
  </w:style>
  <w:style w:type="character" w:customStyle="1" w:styleId="Heading2Char">
    <w:name w:val="Heading 2 Char"/>
    <w:basedOn w:val="DefaultParagraphFont"/>
    <w:link w:val="Heading2"/>
    <w:uiPriority w:val="9"/>
    <w:rsid w:val="000D7524"/>
    <w:rPr>
      <w:rFonts w:ascii="Times New Roman" w:eastAsia="Times New Roman" w:hAnsi="Times New Roman" w:cs="Times New Roman"/>
      <w:b/>
      <w:bCs/>
      <w:sz w:val="36"/>
      <w:szCs w:val="36"/>
      <w:lang w:eastAsia="en-GB" w:bidi="he-IL"/>
    </w:rPr>
  </w:style>
  <w:style w:type="paragraph" w:customStyle="1" w:styleId="Default">
    <w:name w:val="Default"/>
    <w:rsid w:val="00BA678F"/>
    <w:pPr>
      <w:autoSpaceDE w:val="0"/>
      <w:autoSpaceDN w:val="0"/>
      <w:adjustRightInd w:val="0"/>
      <w:spacing w:after="0" w:line="240" w:lineRule="auto"/>
    </w:pPr>
    <w:rPr>
      <w:rFonts w:ascii="Arial" w:hAnsi="Arial" w:cs="Arial"/>
      <w:color w:val="000000"/>
      <w:sz w:val="24"/>
      <w:szCs w:val="24"/>
      <w:lang w:bidi="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8194E"/>
  </w:style>
  <w:style w:type="paragraph" w:styleId="Heading1">
    <w:name w:val="heading 1"/>
    <w:basedOn w:val="Normal"/>
    <w:next w:val="Normal"/>
    <w:link w:val="Heading1Char"/>
    <w:uiPriority w:val="9"/>
    <w:qFormat/>
    <w:rsid w:val="00973C0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link w:val="Heading2Char"/>
    <w:uiPriority w:val="9"/>
    <w:qFormat/>
    <w:rsid w:val="000D7524"/>
    <w:pPr>
      <w:spacing w:before="100" w:beforeAutospacing="1" w:after="100" w:afterAutospacing="1" w:line="240" w:lineRule="auto"/>
      <w:outlineLvl w:val="1"/>
    </w:pPr>
    <w:rPr>
      <w:rFonts w:ascii="Times New Roman" w:eastAsia="Times New Roman" w:hAnsi="Times New Roman" w:cs="Times New Roman"/>
      <w:b/>
      <w:bCs/>
      <w:sz w:val="36"/>
      <w:szCs w:val="36"/>
      <w:lang w:eastAsia="en-GB" w:bidi="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582BB9"/>
    <w:rPr>
      <w:color w:val="808080"/>
    </w:rPr>
  </w:style>
  <w:style w:type="paragraph" w:styleId="BalloonText">
    <w:name w:val="Balloon Text"/>
    <w:basedOn w:val="Normal"/>
    <w:link w:val="BalloonTextChar"/>
    <w:uiPriority w:val="99"/>
    <w:semiHidden/>
    <w:unhideWhenUsed/>
    <w:rsid w:val="00582BB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82BB9"/>
    <w:rPr>
      <w:rFonts w:ascii="Tahoma" w:hAnsi="Tahoma" w:cs="Tahoma"/>
      <w:sz w:val="16"/>
      <w:szCs w:val="16"/>
    </w:rPr>
  </w:style>
  <w:style w:type="paragraph" w:styleId="Header">
    <w:name w:val="header"/>
    <w:basedOn w:val="Normal"/>
    <w:link w:val="HeaderChar"/>
    <w:uiPriority w:val="99"/>
    <w:unhideWhenUsed/>
    <w:rsid w:val="00334367"/>
    <w:pPr>
      <w:tabs>
        <w:tab w:val="center" w:pos="4513"/>
        <w:tab w:val="right" w:pos="9026"/>
      </w:tabs>
      <w:spacing w:after="0" w:line="240" w:lineRule="auto"/>
    </w:pPr>
  </w:style>
  <w:style w:type="character" w:customStyle="1" w:styleId="HeaderChar">
    <w:name w:val="Header Char"/>
    <w:basedOn w:val="DefaultParagraphFont"/>
    <w:link w:val="Header"/>
    <w:uiPriority w:val="99"/>
    <w:rsid w:val="00334367"/>
  </w:style>
  <w:style w:type="paragraph" w:styleId="Footer">
    <w:name w:val="footer"/>
    <w:basedOn w:val="Normal"/>
    <w:link w:val="FooterChar"/>
    <w:uiPriority w:val="99"/>
    <w:unhideWhenUsed/>
    <w:rsid w:val="00334367"/>
    <w:pPr>
      <w:tabs>
        <w:tab w:val="center" w:pos="4513"/>
        <w:tab w:val="right" w:pos="9026"/>
      </w:tabs>
      <w:spacing w:after="0" w:line="240" w:lineRule="auto"/>
    </w:pPr>
  </w:style>
  <w:style w:type="character" w:customStyle="1" w:styleId="FooterChar">
    <w:name w:val="Footer Char"/>
    <w:basedOn w:val="DefaultParagraphFont"/>
    <w:link w:val="Footer"/>
    <w:uiPriority w:val="99"/>
    <w:rsid w:val="00334367"/>
  </w:style>
  <w:style w:type="paragraph" w:styleId="EndnoteText">
    <w:name w:val="endnote text"/>
    <w:basedOn w:val="Normal"/>
    <w:link w:val="EndnoteTextChar"/>
    <w:uiPriority w:val="99"/>
    <w:semiHidden/>
    <w:unhideWhenUsed/>
    <w:rsid w:val="003263BD"/>
    <w:pPr>
      <w:spacing w:after="0" w:line="240" w:lineRule="auto"/>
    </w:pPr>
    <w:rPr>
      <w:sz w:val="20"/>
      <w:szCs w:val="20"/>
    </w:rPr>
  </w:style>
  <w:style w:type="character" w:customStyle="1" w:styleId="EndnoteTextChar">
    <w:name w:val="Endnote Text Char"/>
    <w:basedOn w:val="DefaultParagraphFont"/>
    <w:link w:val="EndnoteText"/>
    <w:uiPriority w:val="99"/>
    <w:semiHidden/>
    <w:rsid w:val="003263BD"/>
    <w:rPr>
      <w:sz w:val="20"/>
      <w:szCs w:val="20"/>
    </w:rPr>
  </w:style>
  <w:style w:type="character" w:styleId="EndnoteReference">
    <w:name w:val="endnote reference"/>
    <w:basedOn w:val="DefaultParagraphFont"/>
    <w:uiPriority w:val="99"/>
    <w:semiHidden/>
    <w:unhideWhenUsed/>
    <w:rsid w:val="003263BD"/>
    <w:rPr>
      <w:vertAlign w:val="superscript"/>
    </w:rPr>
  </w:style>
  <w:style w:type="paragraph" w:styleId="ListParagraph">
    <w:name w:val="List Paragraph"/>
    <w:basedOn w:val="Normal"/>
    <w:uiPriority w:val="34"/>
    <w:qFormat/>
    <w:rsid w:val="003574D7"/>
    <w:pPr>
      <w:ind w:left="720"/>
      <w:contextualSpacing/>
    </w:pPr>
  </w:style>
  <w:style w:type="paragraph" w:styleId="HTMLPreformatted">
    <w:name w:val="HTML Preformatted"/>
    <w:basedOn w:val="Normal"/>
    <w:link w:val="HTMLPreformattedChar"/>
    <w:uiPriority w:val="99"/>
    <w:unhideWhenUsed/>
    <w:rsid w:val="00410E4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n-GB" w:bidi="he-IL"/>
    </w:rPr>
  </w:style>
  <w:style w:type="character" w:customStyle="1" w:styleId="HTMLPreformattedChar">
    <w:name w:val="HTML Preformatted Char"/>
    <w:basedOn w:val="DefaultParagraphFont"/>
    <w:link w:val="HTMLPreformatted"/>
    <w:uiPriority w:val="99"/>
    <w:rsid w:val="00410E4A"/>
    <w:rPr>
      <w:rFonts w:ascii="Courier New" w:eastAsia="Times New Roman" w:hAnsi="Courier New" w:cs="Courier New"/>
      <w:sz w:val="20"/>
      <w:szCs w:val="20"/>
      <w:lang w:eastAsia="en-GB" w:bidi="he-IL"/>
    </w:rPr>
  </w:style>
  <w:style w:type="character" w:styleId="CommentReference">
    <w:name w:val="annotation reference"/>
    <w:basedOn w:val="DefaultParagraphFont"/>
    <w:uiPriority w:val="99"/>
    <w:semiHidden/>
    <w:unhideWhenUsed/>
    <w:rsid w:val="0021360F"/>
    <w:rPr>
      <w:sz w:val="16"/>
      <w:szCs w:val="16"/>
    </w:rPr>
  </w:style>
  <w:style w:type="paragraph" w:styleId="CommentText">
    <w:name w:val="annotation text"/>
    <w:basedOn w:val="Normal"/>
    <w:link w:val="CommentTextChar"/>
    <w:uiPriority w:val="99"/>
    <w:unhideWhenUsed/>
    <w:rsid w:val="0021360F"/>
    <w:pPr>
      <w:spacing w:line="240" w:lineRule="auto"/>
    </w:pPr>
    <w:rPr>
      <w:sz w:val="20"/>
      <w:szCs w:val="20"/>
    </w:rPr>
  </w:style>
  <w:style w:type="character" w:customStyle="1" w:styleId="CommentTextChar">
    <w:name w:val="Comment Text Char"/>
    <w:basedOn w:val="DefaultParagraphFont"/>
    <w:link w:val="CommentText"/>
    <w:uiPriority w:val="99"/>
    <w:rsid w:val="0021360F"/>
    <w:rPr>
      <w:sz w:val="20"/>
      <w:szCs w:val="20"/>
    </w:rPr>
  </w:style>
  <w:style w:type="paragraph" w:styleId="CommentSubject">
    <w:name w:val="annotation subject"/>
    <w:basedOn w:val="CommentText"/>
    <w:next w:val="CommentText"/>
    <w:link w:val="CommentSubjectChar"/>
    <w:uiPriority w:val="99"/>
    <w:semiHidden/>
    <w:unhideWhenUsed/>
    <w:rsid w:val="0021360F"/>
    <w:rPr>
      <w:b/>
      <w:bCs/>
    </w:rPr>
  </w:style>
  <w:style w:type="character" w:customStyle="1" w:styleId="CommentSubjectChar">
    <w:name w:val="Comment Subject Char"/>
    <w:basedOn w:val="CommentTextChar"/>
    <w:link w:val="CommentSubject"/>
    <w:uiPriority w:val="99"/>
    <w:semiHidden/>
    <w:rsid w:val="0021360F"/>
    <w:rPr>
      <w:b/>
      <w:bCs/>
      <w:sz w:val="20"/>
      <w:szCs w:val="20"/>
    </w:rPr>
  </w:style>
  <w:style w:type="character" w:customStyle="1" w:styleId="emphasistypesmallcaps">
    <w:name w:val="emphasistypesmallcaps"/>
    <w:basedOn w:val="DefaultParagraphFont"/>
    <w:rsid w:val="002D3A21"/>
  </w:style>
  <w:style w:type="character" w:styleId="Emphasis">
    <w:name w:val="Emphasis"/>
    <w:basedOn w:val="DefaultParagraphFont"/>
    <w:uiPriority w:val="20"/>
    <w:qFormat/>
    <w:rsid w:val="002D3A21"/>
    <w:rPr>
      <w:i/>
      <w:iCs/>
    </w:rPr>
  </w:style>
  <w:style w:type="character" w:styleId="Strong">
    <w:name w:val="Strong"/>
    <w:basedOn w:val="DefaultParagraphFont"/>
    <w:uiPriority w:val="22"/>
    <w:qFormat/>
    <w:rsid w:val="002D3A21"/>
    <w:rPr>
      <w:b/>
      <w:bCs/>
    </w:rPr>
  </w:style>
  <w:style w:type="paragraph" w:styleId="Revision">
    <w:name w:val="Revision"/>
    <w:hidden/>
    <w:uiPriority w:val="99"/>
    <w:semiHidden/>
    <w:rsid w:val="00330429"/>
    <w:pPr>
      <w:spacing w:after="0" w:line="240" w:lineRule="auto"/>
    </w:pPr>
  </w:style>
  <w:style w:type="table" w:styleId="TableGrid">
    <w:name w:val="Table Grid"/>
    <w:basedOn w:val="TableNormal"/>
    <w:uiPriority w:val="59"/>
    <w:rsid w:val="00684E3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973C0B"/>
    <w:pPr>
      <w:spacing w:after="0" w:line="240" w:lineRule="auto"/>
    </w:pPr>
  </w:style>
  <w:style w:type="character" w:customStyle="1" w:styleId="Heading1Char">
    <w:name w:val="Heading 1 Char"/>
    <w:basedOn w:val="DefaultParagraphFont"/>
    <w:link w:val="Heading1"/>
    <w:uiPriority w:val="9"/>
    <w:rsid w:val="00973C0B"/>
    <w:rPr>
      <w:rFonts w:asciiTheme="majorHAnsi" w:eastAsiaTheme="majorEastAsia" w:hAnsiTheme="majorHAnsi" w:cstheme="majorBidi"/>
      <w:b/>
      <w:bCs/>
      <w:color w:val="365F91" w:themeColor="accent1" w:themeShade="BF"/>
      <w:sz w:val="28"/>
      <w:szCs w:val="28"/>
    </w:rPr>
  </w:style>
  <w:style w:type="table" w:styleId="LightShading">
    <w:name w:val="Light Shading"/>
    <w:basedOn w:val="TableNormal"/>
    <w:uiPriority w:val="60"/>
    <w:rsid w:val="00A60478"/>
    <w:pPr>
      <w:spacing w:after="0" w:line="240" w:lineRule="auto"/>
    </w:pPr>
    <w:rPr>
      <w:rFonts w:eastAsiaTheme="minorEastAsia" w:cs="Arial"/>
      <w:color w:val="000000" w:themeColor="text1" w:themeShade="BF"/>
      <w:sz w:val="24"/>
      <w:szCs w:val="24"/>
      <w:lang w:val="en-US"/>
    </w:rPr>
    <w:tblPr>
      <w:tblStyleRowBandSize w:val="1"/>
      <w:tblStyleColBandSize w:val="1"/>
      <w:tblBorders>
        <w:top w:val="single" w:sz="8" w:space="0" w:color="000000" w:themeColor="text1"/>
        <w:bottom w:val="single" w:sz="8" w:space="0" w:color="000000" w:themeColor="text1"/>
      </w:tblBorders>
    </w:tblPr>
    <w:tblStylePr w:type="firstRow">
      <w:pPr>
        <w:spacing w:beforeLines="0" w:before="0" w:beforeAutospacing="0" w:afterLines="0" w:after="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styleId="Hyperlink">
    <w:name w:val="Hyperlink"/>
    <w:basedOn w:val="DefaultParagraphFont"/>
    <w:uiPriority w:val="99"/>
    <w:unhideWhenUsed/>
    <w:rsid w:val="007322F6"/>
    <w:rPr>
      <w:color w:val="0000FF" w:themeColor="hyperlink"/>
      <w:u w:val="single"/>
    </w:rPr>
  </w:style>
  <w:style w:type="paragraph" w:styleId="NormalWeb">
    <w:name w:val="Normal (Web)"/>
    <w:basedOn w:val="Normal"/>
    <w:uiPriority w:val="99"/>
    <w:semiHidden/>
    <w:unhideWhenUsed/>
    <w:rsid w:val="00083C14"/>
    <w:pPr>
      <w:spacing w:before="100" w:beforeAutospacing="1" w:after="100" w:afterAutospacing="1" w:line="240" w:lineRule="auto"/>
    </w:pPr>
    <w:rPr>
      <w:rFonts w:ascii="Times New Roman" w:eastAsia="Times New Roman" w:hAnsi="Times New Roman" w:cs="Times New Roman"/>
      <w:sz w:val="24"/>
      <w:szCs w:val="24"/>
      <w:lang w:eastAsia="en-GB" w:bidi="he-IL"/>
    </w:rPr>
  </w:style>
  <w:style w:type="character" w:customStyle="1" w:styleId="Heading2Char">
    <w:name w:val="Heading 2 Char"/>
    <w:basedOn w:val="DefaultParagraphFont"/>
    <w:link w:val="Heading2"/>
    <w:uiPriority w:val="9"/>
    <w:rsid w:val="000D7524"/>
    <w:rPr>
      <w:rFonts w:ascii="Times New Roman" w:eastAsia="Times New Roman" w:hAnsi="Times New Roman" w:cs="Times New Roman"/>
      <w:b/>
      <w:bCs/>
      <w:sz w:val="36"/>
      <w:szCs w:val="36"/>
      <w:lang w:eastAsia="en-GB" w:bidi="he-IL"/>
    </w:rPr>
  </w:style>
  <w:style w:type="paragraph" w:customStyle="1" w:styleId="Default">
    <w:name w:val="Default"/>
    <w:rsid w:val="00BA678F"/>
    <w:pPr>
      <w:autoSpaceDE w:val="0"/>
      <w:autoSpaceDN w:val="0"/>
      <w:adjustRightInd w:val="0"/>
      <w:spacing w:after="0" w:line="240" w:lineRule="auto"/>
    </w:pPr>
    <w:rPr>
      <w:rFonts w:ascii="Arial" w:hAnsi="Arial" w:cs="Arial"/>
      <w:color w:val="000000"/>
      <w:sz w:val="24"/>
      <w:szCs w:val="24"/>
      <w:lang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1535519">
      <w:bodyDiv w:val="1"/>
      <w:marLeft w:val="0"/>
      <w:marRight w:val="0"/>
      <w:marTop w:val="0"/>
      <w:marBottom w:val="0"/>
      <w:divBdr>
        <w:top w:val="none" w:sz="0" w:space="0" w:color="auto"/>
        <w:left w:val="none" w:sz="0" w:space="0" w:color="auto"/>
        <w:bottom w:val="none" w:sz="0" w:space="0" w:color="auto"/>
        <w:right w:val="none" w:sz="0" w:space="0" w:color="auto"/>
      </w:divBdr>
      <w:divsChild>
        <w:div w:id="46225072">
          <w:marLeft w:val="0"/>
          <w:marRight w:val="0"/>
          <w:marTop w:val="0"/>
          <w:marBottom w:val="0"/>
          <w:divBdr>
            <w:top w:val="none" w:sz="0" w:space="0" w:color="auto"/>
            <w:left w:val="none" w:sz="0" w:space="0" w:color="auto"/>
            <w:bottom w:val="none" w:sz="0" w:space="0" w:color="auto"/>
            <w:right w:val="none" w:sz="0" w:space="0" w:color="auto"/>
          </w:divBdr>
        </w:div>
        <w:div w:id="142738423">
          <w:marLeft w:val="0"/>
          <w:marRight w:val="0"/>
          <w:marTop w:val="0"/>
          <w:marBottom w:val="0"/>
          <w:divBdr>
            <w:top w:val="none" w:sz="0" w:space="0" w:color="auto"/>
            <w:left w:val="none" w:sz="0" w:space="0" w:color="auto"/>
            <w:bottom w:val="none" w:sz="0" w:space="0" w:color="auto"/>
            <w:right w:val="none" w:sz="0" w:space="0" w:color="auto"/>
          </w:divBdr>
        </w:div>
        <w:div w:id="173303031">
          <w:marLeft w:val="0"/>
          <w:marRight w:val="0"/>
          <w:marTop w:val="0"/>
          <w:marBottom w:val="0"/>
          <w:divBdr>
            <w:top w:val="none" w:sz="0" w:space="0" w:color="auto"/>
            <w:left w:val="none" w:sz="0" w:space="0" w:color="auto"/>
            <w:bottom w:val="none" w:sz="0" w:space="0" w:color="auto"/>
            <w:right w:val="none" w:sz="0" w:space="0" w:color="auto"/>
          </w:divBdr>
        </w:div>
        <w:div w:id="504899667">
          <w:marLeft w:val="0"/>
          <w:marRight w:val="0"/>
          <w:marTop w:val="0"/>
          <w:marBottom w:val="0"/>
          <w:divBdr>
            <w:top w:val="none" w:sz="0" w:space="0" w:color="auto"/>
            <w:left w:val="none" w:sz="0" w:space="0" w:color="auto"/>
            <w:bottom w:val="none" w:sz="0" w:space="0" w:color="auto"/>
            <w:right w:val="none" w:sz="0" w:space="0" w:color="auto"/>
          </w:divBdr>
        </w:div>
        <w:div w:id="619604661">
          <w:marLeft w:val="0"/>
          <w:marRight w:val="0"/>
          <w:marTop w:val="0"/>
          <w:marBottom w:val="0"/>
          <w:divBdr>
            <w:top w:val="none" w:sz="0" w:space="0" w:color="auto"/>
            <w:left w:val="none" w:sz="0" w:space="0" w:color="auto"/>
            <w:bottom w:val="none" w:sz="0" w:space="0" w:color="auto"/>
            <w:right w:val="none" w:sz="0" w:space="0" w:color="auto"/>
          </w:divBdr>
        </w:div>
        <w:div w:id="907611046">
          <w:marLeft w:val="0"/>
          <w:marRight w:val="0"/>
          <w:marTop w:val="0"/>
          <w:marBottom w:val="0"/>
          <w:divBdr>
            <w:top w:val="none" w:sz="0" w:space="0" w:color="auto"/>
            <w:left w:val="none" w:sz="0" w:space="0" w:color="auto"/>
            <w:bottom w:val="none" w:sz="0" w:space="0" w:color="auto"/>
            <w:right w:val="none" w:sz="0" w:space="0" w:color="auto"/>
          </w:divBdr>
        </w:div>
        <w:div w:id="1153721184">
          <w:marLeft w:val="0"/>
          <w:marRight w:val="0"/>
          <w:marTop w:val="0"/>
          <w:marBottom w:val="0"/>
          <w:divBdr>
            <w:top w:val="none" w:sz="0" w:space="0" w:color="auto"/>
            <w:left w:val="none" w:sz="0" w:space="0" w:color="auto"/>
            <w:bottom w:val="none" w:sz="0" w:space="0" w:color="auto"/>
            <w:right w:val="none" w:sz="0" w:space="0" w:color="auto"/>
          </w:divBdr>
        </w:div>
        <w:div w:id="1387756946">
          <w:marLeft w:val="0"/>
          <w:marRight w:val="0"/>
          <w:marTop w:val="0"/>
          <w:marBottom w:val="0"/>
          <w:divBdr>
            <w:top w:val="none" w:sz="0" w:space="0" w:color="auto"/>
            <w:left w:val="none" w:sz="0" w:space="0" w:color="auto"/>
            <w:bottom w:val="none" w:sz="0" w:space="0" w:color="auto"/>
            <w:right w:val="none" w:sz="0" w:space="0" w:color="auto"/>
          </w:divBdr>
        </w:div>
        <w:div w:id="1489131107">
          <w:marLeft w:val="0"/>
          <w:marRight w:val="0"/>
          <w:marTop w:val="0"/>
          <w:marBottom w:val="0"/>
          <w:divBdr>
            <w:top w:val="none" w:sz="0" w:space="0" w:color="auto"/>
            <w:left w:val="none" w:sz="0" w:space="0" w:color="auto"/>
            <w:bottom w:val="none" w:sz="0" w:space="0" w:color="auto"/>
            <w:right w:val="none" w:sz="0" w:space="0" w:color="auto"/>
          </w:divBdr>
        </w:div>
        <w:div w:id="1850829916">
          <w:marLeft w:val="0"/>
          <w:marRight w:val="0"/>
          <w:marTop w:val="0"/>
          <w:marBottom w:val="0"/>
          <w:divBdr>
            <w:top w:val="none" w:sz="0" w:space="0" w:color="auto"/>
            <w:left w:val="none" w:sz="0" w:space="0" w:color="auto"/>
            <w:bottom w:val="none" w:sz="0" w:space="0" w:color="auto"/>
            <w:right w:val="none" w:sz="0" w:space="0" w:color="auto"/>
          </w:divBdr>
        </w:div>
        <w:div w:id="1965497396">
          <w:marLeft w:val="0"/>
          <w:marRight w:val="0"/>
          <w:marTop w:val="0"/>
          <w:marBottom w:val="0"/>
          <w:divBdr>
            <w:top w:val="none" w:sz="0" w:space="0" w:color="auto"/>
            <w:left w:val="none" w:sz="0" w:space="0" w:color="auto"/>
            <w:bottom w:val="none" w:sz="0" w:space="0" w:color="auto"/>
            <w:right w:val="none" w:sz="0" w:space="0" w:color="auto"/>
          </w:divBdr>
        </w:div>
      </w:divsChild>
    </w:div>
    <w:div w:id="37781101">
      <w:bodyDiv w:val="1"/>
      <w:marLeft w:val="0"/>
      <w:marRight w:val="0"/>
      <w:marTop w:val="0"/>
      <w:marBottom w:val="0"/>
      <w:divBdr>
        <w:top w:val="none" w:sz="0" w:space="0" w:color="auto"/>
        <w:left w:val="none" w:sz="0" w:space="0" w:color="auto"/>
        <w:bottom w:val="none" w:sz="0" w:space="0" w:color="auto"/>
        <w:right w:val="none" w:sz="0" w:space="0" w:color="auto"/>
      </w:divBdr>
      <w:divsChild>
        <w:div w:id="201866541">
          <w:marLeft w:val="547"/>
          <w:marRight w:val="0"/>
          <w:marTop w:val="120"/>
          <w:marBottom w:val="0"/>
          <w:divBdr>
            <w:top w:val="none" w:sz="0" w:space="0" w:color="auto"/>
            <w:left w:val="none" w:sz="0" w:space="0" w:color="auto"/>
            <w:bottom w:val="none" w:sz="0" w:space="0" w:color="auto"/>
            <w:right w:val="none" w:sz="0" w:space="0" w:color="auto"/>
          </w:divBdr>
        </w:div>
      </w:divsChild>
    </w:div>
    <w:div w:id="177934228">
      <w:bodyDiv w:val="1"/>
      <w:marLeft w:val="0"/>
      <w:marRight w:val="0"/>
      <w:marTop w:val="0"/>
      <w:marBottom w:val="0"/>
      <w:divBdr>
        <w:top w:val="none" w:sz="0" w:space="0" w:color="auto"/>
        <w:left w:val="none" w:sz="0" w:space="0" w:color="auto"/>
        <w:bottom w:val="none" w:sz="0" w:space="0" w:color="auto"/>
        <w:right w:val="none" w:sz="0" w:space="0" w:color="auto"/>
      </w:divBdr>
    </w:div>
    <w:div w:id="267927900">
      <w:bodyDiv w:val="1"/>
      <w:marLeft w:val="0"/>
      <w:marRight w:val="0"/>
      <w:marTop w:val="0"/>
      <w:marBottom w:val="0"/>
      <w:divBdr>
        <w:top w:val="none" w:sz="0" w:space="0" w:color="auto"/>
        <w:left w:val="none" w:sz="0" w:space="0" w:color="auto"/>
        <w:bottom w:val="none" w:sz="0" w:space="0" w:color="auto"/>
        <w:right w:val="none" w:sz="0" w:space="0" w:color="auto"/>
      </w:divBdr>
    </w:div>
    <w:div w:id="411707846">
      <w:bodyDiv w:val="1"/>
      <w:marLeft w:val="0"/>
      <w:marRight w:val="0"/>
      <w:marTop w:val="0"/>
      <w:marBottom w:val="0"/>
      <w:divBdr>
        <w:top w:val="none" w:sz="0" w:space="0" w:color="auto"/>
        <w:left w:val="none" w:sz="0" w:space="0" w:color="auto"/>
        <w:bottom w:val="none" w:sz="0" w:space="0" w:color="auto"/>
        <w:right w:val="none" w:sz="0" w:space="0" w:color="auto"/>
      </w:divBdr>
    </w:div>
    <w:div w:id="473566669">
      <w:bodyDiv w:val="1"/>
      <w:marLeft w:val="0"/>
      <w:marRight w:val="0"/>
      <w:marTop w:val="0"/>
      <w:marBottom w:val="0"/>
      <w:divBdr>
        <w:top w:val="none" w:sz="0" w:space="0" w:color="auto"/>
        <w:left w:val="none" w:sz="0" w:space="0" w:color="auto"/>
        <w:bottom w:val="none" w:sz="0" w:space="0" w:color="auto"/>
        <w:right w:val="none" w:sz="0" w:space="0" w:color="auto"/>
      </w:divBdr>
    </w:div>
    <w:div w:id="623580946">
      <w:bodyDiv w:val="1"/>
      <w:marLeft w:val="0"/>
      <w:marRight w:val="0"/>
      <w:marTop w:val="0"/>
      <w:marBottom w:val="0"/>
      <w:divBdr>
        <w:top w:val="none" w:sz="0" w:space="0" w:color="auto"/>
        <w:left w:val="none" w:sz="0" w:space="0" w:color="auto"/>
        <w:bottom w:val="none" w:sz="0" w:space="0" w:color="auto"/>
        <w:right w:val="none" w:sz="0" w:space="0" w:color="auto"/>
      </w:divBdr>
    </w:div>
    <w:div w:id="679896555">
      <w:bodyDiv w:val="1"/>
      <w:marLeft w:val="0"/>
      <w:marRight w:val="0"/>
      <w:marTop w:val="0"/>
      <w:marBottom w:val="0"/>
      <w:divBdr>
        <w:top w:val="none" w:sz="0" w:space="0" w:color="auto"/>
        <w:left w:val="none" w:sz="0" w:space="0" w:color="auto"/>
        <w:bottom w:val="none" w:sz="0" w:space="0" w:color="auto"/>
        <w:right w:val="none" w:sz="0" w:space="0" w:color="auto"/>
      </w:divBdr>
      <w:divsChild>
        <w:div w:id="97070010">
          <w:marLeft w:val="0"/>
          <w:marRight w:val="0"/>
          <w:marTop w:val="0"/>
          <w:marBottom w:val="0"/>
          <w:divBdr>
            <w:top w:val="none" w:sz="0" w:space="0" w:color="auto"/>
            <w:left w:val="none" w:sz="0" w:space="0" w:color="auto"/>
            <w:bottom w:val="none" w:sz="0" w:space="0" w:color="auto"/>
            <w:right w:val="none" w:sz="0" w:space="0" w:color="auto"/>
          </w:divBdr>
        </w:div>
        <w:div w:id="240066990">
          <w:marLeft w:val="0"/>
          <w:marRight w:val="0"/>
          <w:marTop w:val="0"/>
          <w:marBottom w:val="0"/>
          <w:divBdr>
            <w:top w:val="none" w:sz="0" w:space="0" w:color="auto"/>
            <w:left w:val="none" w:sz="0" w:space="0" w:color="auto"/>
            <w:bottom w:val="none" w:sz="0" w:space="0" w:color="auto"/>
            <w:right w:val="none" w:sz="0" w:space="0" w:color="auto"/>
          </w:divBdr>
        </w:div>
        <w:div w:id="260332788">
          <w:marLeft w:val="0"/>
          <w:marRight w:val="0"/>
          <w:marTop w:val="0"/>
          <w:marBottom w:val="0"/>
          <w:divBdr>
            <w:top w:val="none" w:sz="0" w:space="0" w:color="auto"/>
            <w:left w:val="none" w:sz="0" w:space="0" w:color="auto"/>
            <w:bottom w:val="none" w:sz="0" w:space="0" w:color="auto"/>
            <w:right w:val="none" w:sz="0" w:space="0" w:color="auto"/>
          </w:divBdr>
        </w:div>
        <w:div w:id="299657272">
          <w:marLeft w:val="0"/>
          <w:marRight w:val="0"/>
          <w:marTop w:val="0"/>
          <w:marBottom w:val="0"/>
          <w:divBdr>
            <w:top w:val="none" w:sz="0" w:space="0" w:color="auto"/>
            <w:left w:val="none" w:sz="0" w:space="0" w:color="auto"/>
            <w:bottom w:val="none" w:sz="0" w:space="0" w:color="auto"/>
            <w:right w:val="none" w:sz="0" w:space="0" w:color="auto"/>
          </w:divBdr>
        </w:div>
        <w:div w:id="392045955">
          <w:marLeft w:val="0"/>
          <w:marRight w:val="0"/>
          <w:marTop w:val="0"/>
          <w:marBottom w:val="0"/>
          <w:divBdr>
            <w:top w:val="none" w:sz="0" w:space="0" w:color="auto"/>
            <w:left w:val="none" w:sz="0" w:space="0" w:color="auto"/>
            <w:bottom w:val="none" w:sz="0" w:space="0" w:color="auto"/>
            <w:right w:val="none" w:sz="0" w:space="0" w:color="auto"/>
          </w:divBdr>
        </w:div>
        <w:div w:id="605381488">
          <w:marLeft w:val="0"/>
          <w:marRight w:val="0"/>
          <w:marTop w:val="0"/>
          <w:marBottom w:val="0"/>
          <w:divBdr>
            <w:top w:val="none" w:sz="0" w:space="0" w:color="auto"/>
            <w:left w:val="none" w:sz="0" w:space="0" w:color="auto"/>
            <w:bottom w:val="none" w:sz="0" w:space="0" w:color="auto"/>
            <w:right w:val="none" w:sz="0" w:space="0" w:color="auto"/>
          </w:divBdr>
        </w:div>
        <w:div w:id="906108714">
          <w:marLeft w:val="0"/>
          <w:marRight w:val="0"/>
          <w:marTop w:val="0"/>
          <w:marBottom w:val="0"/>
          <w:divBdr>
            <w:top w:val="none" w:sz="0" w:space="0" w:color="auto"/>
            <w:left w:val="none" w:sz="0" w:space="0" w:color="auto"/>
            <w:bottom w:val="none" w:sz="0" w:space="0" w:color="auto"/>
            <w:right w:val="none" w:sz="0" w:space="0" w:color="auto"/>
          </w:divBdr>
        </w:div>
        <w:div w:id="1216890051">
          <w:marLeft w:val="0"/>
          <w:marRight w:val="0"/>
          <w:marTop w:val="0"/>
          <w:marBottom w:val="0"/>
          <w:divBdr>
            <w:top w:val="none" w:sz="0" w:space="0" w:color="auto"/>
            <w:left w:val="none" w:sz="0" w:space="0" w:color="auto"/>
            <w:bottom w:val="none" w:sz="0" w:space="0" w:color="auto"/>
            <w:right w:val="none" w:sz="0" w:space="0" w:color="auto"/>
          </w:divBdr>
        </w:div>
        <w:div w:id="1581330267">
          <w:marLeft w:val="0"/>
          <w:marRight w:val="0"/>
          <w:marTop w:val="0"/>
          <w:marBottom w:val="0"/>
          <w:divBdr>
            <w:top w:val="none" w:sz="0" w:space="0" w:color="auto"/>
            <w:left w:val="none" w:sz="0" w:space="0" w:color="auto"/>
            <w:bottom w:val="none" w:sz="0" w:space="0" w:color="auto"/>
            <w:right w:val="none" w:sz="0" w:space="0" w:color="auto"/>
          </w:divBdr>
        </w:div>
        <w:div w:id="1649549138">
          <w:marLeft w:val="0"/>
          <w:marRight w:val="0"/>
          <w:marTop w:val="0"/>
          <w:marBottom w:val="0"/>
          <w:divBdr>
            <w:top w:val="none" w:sz="0" w:space="0" w:color="auto"/>
            <w:left w:val="none" w:sz="0" w:space="0" w:color="auto"/>
            <w:bottom w:val="none" w:sz="0" w:space="0" w:color="auto"/>
            <w:right w:val="none" w:sz="0" w:space="0" w:color="auto"/>
          </w:divBdr>
        </w:div>
        <w:div w:id="1838300545">
          <w:marLeft w:val="0"/>
          <w:marRight w:val="0"/>
          <w:marTop w:val="0"/>
          <w:marBottom w:val="0"/>
          <w:divBdr>
            <w:top w:val="none" w:sz="0" w:space="0" w:color="auto"/>
            <w:left w:val="none" w:sz="0" w:space="0" w:color="auto"/>
            <w:bottom w:val="none" w:sz="0" w:space="0" w:color="auto"/>
            <w:right w:val="none" w:sz="0" w:space="0" w:color="auto"/>
          </w:divBdr>
        </w:div>
      </w:divsChild>
    </w:div>
    <w:div w:id="827131207">
      <w:bodyDiv w:val="1"/>
      <w:marLeft w:val="0"/>
      <w:marRight w:val="0"/>
      <w:marTop w:val="0"/>
      <w:marBottom w:val="0"/>
      <w:divBdr>
        <w:top w:val="none" w:sz="0" w:space="0" w:color="auto"/>
        <w:left w:val="none" w:sz="0" w:space="0" w:color="auto"/>
        <w:bottom w:val="none" w:sz="0" w:space="0" w:color="auto"/>
        <w:right w:val="none" w:sz="0" w:space="0" w:color="auto"/>
      </w:divBdr>
    </w:div>
    <w:div w:id="888147118">
      <w:bodyDiv w:val="1"/>
      <w:marLeft w:val="0"/>
      <w:marRight w:val="0"/>
      <w:marTop w:val="0"/>
      <w:marBottom w:val="0"/>
      <w:divBdr>
        <w:top w:val="none" w:sz="0" w:space="0" w:color="auto"/>
        <w:left w:val="none" w:sz="0" w:space="0" w:color="auto"/>
        <w:bottom w:val="none" w:sz="0" w:space="0" w:color="auto"/>
        <w:right w:val="none" w:sz="0" w:space="0" w:color="auto"/>
      </w:divBdr>
      <w:divsChild>
        <w:div w:id="670376947">
          <w:marLeft w:val="0"/>
          <w:marRight w:val="0"/>
          <w:marTop w:val="280"/>
          <w:marBottom w:val="280"/>
          <w:divBdr>
            <w:top w:val="none" w:sz="0" w:space="0" w:color="auto"/>
            <w:left w:val="none" w:sz="0" w:space="0" w:color="auto"/>
            <w:bottom w:val="none" w:sz="0" w:space="0" w:color="auto"/>
            <w:right w:val="none" w:sz="0" w:space="0" w:color="auto"/>
          </w:divBdr>
        </w:div>
        <w:div w:id="1383484335">
          <w:marLeft w:val="0"/>
          <w:marRight w:val="0"/>
          <w:marTop w:val="280"/>
          <w:marBottom w:val="280"/>
          <w:divBdr>
            <w:top w:val="none" w:sz="0" w:space="0" w:color="auto"/>
            <w:left w:val="none" w:sz="0" w:space="0" w:color="auto"/>
            <w:bottom w:val="none" w:sz="0" w:space="0" w:color="auto"/>
            <w:right w:val="none" w:sz="0" w:space="0" w:color="auto"/>
          </w:divBdr>
        </w:div>
        <w:div w:id="2052067124">
          <w:marLeft w:val="0"/>
          <w:marRight w:val="0"/>
          <w:marTop w:val="280"/>
          <w:marBottom w:val="280"/>
          <w:divBdr>
            <w:top w:val="none" w:sz="0" w:space="0" w:color="auto"/>
            <w:left w:val="none" w:sz="0" w:space="0" w:color="auto"/>
            <w:bottom w:val="none" w:sz="0" w:space="0" w:color="auto"/>
            <w:right w:val="none" w:sz="0" w:space="0" w:color="auto"/>
          </w:divBdr>
        </w:div>
      </w:divsChild>
    </w:div>
    <w:div w:id="1088503881">
      <w:bodyDiv w:val="1"/>
      <w:marLeft w:val="0"/>
      <w:marRight w:val="0"/>
      <w:marTop w:val="0"/>
      <w:marBottom w:val="0"/>
      <w:divBdr>
        <w:top w:val="none" w:sz="0" w:space="0" w:color="auto"/>
        <w:left w:val="none" w:sz="0" w:space="0" w:color="auto"/>
        <w:bottom w:val="none" w:sz="0" w:space="0" w:color="auto"/>
        <w:right w:val="none" w:sz="0" w:space="0" w:color="auto"/>
      </w:divBdr>
    </w:div>
    <w:div w:id="1164051972">
      <w:bodyDiv w:val="1"/>
      <w:marLeft w:val="0"/>
      <w:marRight w:val="0"/>
      <w:marTop w:val="0"/>
      <w:marBottom w:val="0"/>
      <w:divBdr>
        <w:top w:val="none" w:sz="0" w:space="0" w:color="auto"/>
        <w:left w:val="none" w:sz="0" w:space="0" w:color="auto"/>
        <w:bottom w:val="none" w:sz="0" w:space="0" w:color="auto"/>
        <w:right w:val="none" w:sz="0" w:space="0" w:color="auto"/>
      </w:divBdr>
      <w:divsChild>
        <w:div w:id="2071153554">
          <w:marLeft w:val="547"/>
          <w:marRight w:val="0"/>
          <w:marTop w:val="120"/>
          <w:marBottom w:val="0"/>
          <w:divBdr>
            <w:top w:val="none" w:sz="0" w:space="0" w:color="auto"/>
            <w:left w:val="none" w:sz="0" w:space="0" w:color="auto"/>
            <w:bottom w:val="none" w:sz="0" w:space="0" w:color="auto"/>
            <w:right w:val="none" w:sz="0" w:space="0" w:color="auto"/>
          </w:divBdr>
        </w:div>
      </w:divsChild>
    </w:div>
    <w:div w:id="1245334716">
      <w:bodyDiv w:val="1"/>
      <w:marLeft w:val="0"/>
      <w:marRight w:val="0"/>
      <w:marTop w:val="0"/>
      <w:marBottom w:val="0"/>
      <w:divBdr>
        <w:top w:val="none" w:sz="0" w:space="0" w:color="auto"/>
        <w:left w:val="none" w:sz="0" w:space="0" w:color="auto"/>
        <w:bottom w:val="none" w:sz="0" w:space="0" w:color="auto"/>
        <w:right w:val="none" w:sz="0" w:space="0" w:color="auto"/>
      </w:divBdr>
    </w:div>
    <w:div w:id="1269968749">
      <w:bodyDiv w:val="1"/>
      <w:marLeft w:val="0"/>
      <w:marRight w:val="0"/>
      <w:marTop w:val="0"/>
      <w:marBottom w:val="0"/>
      <w:divBdr>
        <w:top w:val="none" w:sz="0" w:space="0" w:color="auto"/>
        <w:left w:val="none" w:sz="0" w:space="0" w:color="auto"/>
        <w:bottom w:val="none" w:sz="0" w:space="0" w:color="auto"/>
        <w:right w:val="none" w:sz="0" w:space="0" w:color="auto"/>
      </w:divBdr>
    </w:div>
    <w:div w:id="1281689629">
      <w:bodyDiv w:val="1"/>
      <w:marLeft w:val="0"/>
      <w:marRight w:val="0"/>
      <w:marTop w:val="0"/>
      <w:marBottom w:val="0"/>
      <w:divBdr>
        <w:top w:val="none" w:sz="0" w:space="0" w:color="auto"/>
        <w:left w:val="none" w:sz="0" w:space="0" w:color="auto"/>
        <w:bottom w:val="none" w:sz="0" w:space="0" w:color="auto"/>
        <w:right w:val="none" w:sz="0" w:space="0" w:color="auto"/>
      </w:divBdr>
    </w:div>
    <w:div w:id="1374766351">
      <w:bodyDiv w:val="1"/>
      <w:marLeft w:val="0"/>
      <w:marRight w:val="0"/>
      <w:marTop w:val="0"/>
      <w:marBottom w:val="0"/>
      <w:divBdr>
        <w:top w:val="none" w:sz="0" w:space="0" w:color="auto"/>
        <w:left w:val="none" w:sz="0" w:space="0" w:color="auto"/>
        <w:bottom w:val="none" w:sz="0" w:space="0" w:color="auto"/>
        <w:right w:val="none" w:sz="0" w:space="0" w:color="auto"/>
      </w:divBdr>
    </w:div>
    <w:div w:id="1376352849">
      <w:bodyDiv w:val="1"/>
      <w:marLeft w:val="0"/>
      <w:marRight w:val="0"/>
      <w:marTop w:val="0"/>
      <w:marBottom w:val="0"/>
      <w:divBdr>
        <w:top w:val="none" w:sz="0" w:space="0" w:color="auto"/>
        <w:left w:val="none" w:sz="0" w:space="0" w:color="auto"/>
        <w:bottom w:val="none" w:sz="0" w:space="0" w:color="auto"/>
        <w:right w:val="none" w:sz="0" w:space="0" w:color="auto"/>
      </w:divBdr>
    </w:div>
    <w:div w:id="1504321826">
      <w:bodyDiv w:val="1"/>
      <w:marLeft w:val="0"/>
      <w:marRight w:val="0"/>
      <w:marTop w:val="0"/>
      <w:marBottom w:val="0"/>
      <w:divBdr>
        <w:top w:val="none" w:sz="0" w:space="0" w:color="auto"/>
        <w:left w:val="none" w:sz="0" w:space="0" w:color="auto"/>
        <w:bottom w:val="none" w:sz="0" w:space="0" w:color="auto"/>
        <w:right w:val="none" w:sz="0" w:space="0" w:color="auto"/>
      </w:divBdr>
    </w:div>
    <w:div w:id="1539273645">
      <w:bodyDiv w:val="1"/>
      <w:marLeft w:val="0"/>
      <w:marRight w:val="0"/>
      <w:marTop w:val="0"/>
      <w:marBottom w:val="0"/>
      <w:divBdr>
        <w:top w:val="none" w:sz="0" w:space="0" w:color="auto"/>
        <w:left w:val="none" w:sz="0" w:space="0" w:color="auto"/>
        <w:bottom w:val="none" w:sz="0" w:space="0" w:color="auto"/>
        <w:right w:val="none" w:sz="0" w:space="0" w:color="auto"/>
      </w:divBdr>
    </w:div>
    <w:div w:id="1637881085">
      <w:bodyDiv w:val="1"/>
      <w:marLeft w:val="0"/>
      <w:marRight w:val="0"/>
      <w:marTop w:val="0"/>
      <w:marBottom w:val="0"/>
      <w:divBdr>
        <w:top w:val="none" w:sz="0" w:space="0" w:color="auto"/>
        <w:left w:val="none" w:sz="0" w:space="0" w:color="auto"/>
        <w:bottom w:val="none" w:sz="0" w:space="0" w:color="auto"/>
        <w:right w:val="none" w:sz="0" w:space="0" w:color="auto"/>
      </w:divBdr>
    </w:div>
    <w:div w:id="1709328585">
      <w:bodyDiv w:val="1"/>
      <w:marLeft w:val="0"/>
      <w:marRight w:val="0"/>
      <w:marTop w:val="0"/>
      <w:marBottom w:val="0"/>
      <w:divBdr>
        <w:top w:val="none" w:sz="0" w:space="0" w:color="auto"/>
        <w:left w:val="none" w:sz="0" w:space="0" w:color="auto"/>
        <w:bottom w:val="none" w:sz="0" w:space="0" w:color="auto"/>
        <w:right w:val="none" w:sz="0" w:space="0" w:color="auto"/>
      </w:divBdr>
      <w:divsChild>
        <w:div w:id="433208483">
          <w:marLeft w:val="547"/>
          <w:marRight w:val="0"/>
          <w:marTop w:val="120"/>
          <w:marBottom w:val="0"/>
          <w:divBdr>
            <w:top w:val="none" w:sz="0" w:space="0" w:color="auto"/>
            <w:left w:val="none" w:sz="0" w:space="0" w:color="auto"/>
            <w:bottom w:val="none" w:sz="0" w:space="0" w:color="auto"/>
            <w:right w:val="none" w:sz="0" w:space="0" w:color="auto"/>
          </w:divBdr>
        </w:div>
      </w:divsChild>
    </w:div>
    <w:div w:id="1721710029">
      <w:bodyDiv w:val="1"/>
      <w:marLeft w:val="0"/>
      <w:marRight w:val="0"/>
      <w:marTop w:val="0"/>
      <w:marBottom w:val="0"/>
      <w:divBdr>
        <w:top w:val="none" w:sz="0" w:space="0" w:color="auto"/>
        <w:left w:val="none" w:sz="0" w:space="0" w:color="auto"/>
        <w:bottom w:val="none" w:sz="0" w:space="0" w:color="auto"/>
        <w:right w:val="none" w:sz="0" w:space="0" w:color="auto"/>
      </w:divBdr>
    </w:div>
    <w:div w:id="1733040960">
      <w:bodyDiv w:val="1"/>
      <w:marLeft w:val="0"/>
      <w:marRight w:val="0"/>
      <w:marTop w:val="0"/>
      <w:marBottom w:val="0"/>
      <w:divBdr>
        <w:top w:val="none" w:sz="0" w:space="0" w:color="auto"/>
        <w:left w:val="none" w:sz="0" w:space="0" w:color="auto"/>
        <w:bottom w:val="none" w:sz="0" w:space="0" w:color="auto"/>
        <w:right w:val="none" w:sz="0" w:space="0" w:color="auto"/>
      </w:divBdr>
    </w:div>
    <w:div w:id="2077974106">
      <w:bodyDiv w:val="1"/>
      <w:marLeft w:val="0"/>
      <w:marRight w:val="0"/>
      <w:marTop w:val="0"/>
      <w:marBottom w:val="0"/>
      <w:divBdr>
        <w:top w:val="none" w:sz="0" w:space="0" w:color="auto"/>
        <w:left w:val="none" w:sz="0" w:space="0" w:color="auto"/>
        <w:bottom w:val="none" w:sz="0" w:space="0" w:color="auto"/>
        <w:right w:val="none" w:sz="0" w:space="0" w:color="auto"/>
      </w:divBdr>
    </w:div>
    <w:div w:id="20807069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geograph.org.uk/photo/4593452" TargetMode="External"/><Relationship Id="rId18" Type="http://schemas.openxmlformats.org/officeDocument/2006/relationships/image" Target="media/image4.tiff"/><Relationship Id="rId26" Type="http://schemas.openxmlformats.org/officeDocument/2006/relationships/chart" Target="charts/chart1.xml"/><Relationship Id="rId3" Type="http://schemas.openxmlformats.org/officeDocument/2006/relationships/styles" Target="styles.xml"/><Relationship Id="rId21" Type="http://schemas.openxmlformats.org/officeDocument/2006/relationships/image" Target="media/image7.emf"/><Relationship Id="rId34"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https://commons.wikimedia.org/wiki/Category:CC-BY-2.0" TargetMode="External"/><Relationship Id="rId17" Type="http://schemas.openxmlformats.org/officeDocument/2006/relationships/oleObject" Target="embeddings/oleObject1.bin"/><Relationship Id="rId25" Type="http://schemas.openxmlformats.org/officeDocument/2006/relationships/image" Target="media/image11.png"/><Relationship Id="rId33"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3.png"/><Relationship Id="rId20" Type="http://schemas.openxmlformats.org/officeDocument/2006/relationships/image" Target="media/image6.emf"/><Relationship Id="rId29" Type="http://schemas.openxmlformats.org/officeDocument/2006/relationships/chart" Target="charts/chart4.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flickr.com/people/37833462@N08" TargetMode="External"/><Relationship Id="rId24" Type="http://schemas.openxmlformats.org/officeDocument/2006/relationships/image" Target="media/image10.emf"/><Relationship Id="rId32" Type="http://schemas.openxmlformats.org/officeDocument/2006/relationships/chart" Target="charts/chart5.xml"/><Relationship Id="rId5" Type="http://schemas.openxmlformats.org/officeDocument/2006/relationships/settings" Target="settings.xml"/><Relationship Id="rId15" Type="http://schemas.openxmlformats.org/officeDocument/2006/relationships/hyperlink" Target="http://creativecommons.org/licenses/by-sa/2.0/" TargetMode="External"/><Relationship Id="rId23" Type="http://schemas.openxmlformats.org/officeDocument/2006/relationships/image" Target="media/image9.emf"/><Relationship Id="rId28" Type="http://schemas.openxmlformats.org/officeDocument/2006/relationships/chart" Target="charts/chart3.xml"/><Relationship Id="rId10" Type="http://schemas.openxmlformats.org/officeDocument/2006/relationships/image" Target="media/image2.png"/><Relationship Id="rId19" Type="http://schemas.openxmlformats.org/officeDocument/2006/relationships/image" Target="media/image5.emf"/><Relationship Id="rId31" Type="http://schemas.openxmlformats.org/officeDocument/2006/relationships/image" Target="media/image13.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www.geograph.org.uk/profile/39302" TargetMode="External"/><Relationship Id="rId22" Type="http://schemas.openxmlformats.org/officeDocument/2006/relationships/image" Target="media/image8.emf"/><Relationship Id="rId27" Type="http://schemas.openxmlformats.org/officeDocument/2006/relationships/chart" Target="charts/chart2.xml"/><Relationship Id="rId30" Type="http://schemas.openxmlformats.org/officeDocument/2006/relationships/image" Target="media/image12.png"/><Relationship Id="rId35"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mbrxsdt4\Documents\My%20Documents\2016_2017_Princeton\TCM\eCMR\simulations\Instructed_exp_files\behav_data_from_Liz.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nasr.man.ac.uk\mhsrss$\snapped\unreplicated\cnep\psychrev\eCMR\paper%20and%20figures\all_data.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nasr.man.ac.uk\mhsrss$\snapped\unreplicated\cnep\psychrev\eCMR\paper%20and%20figures\all_data_1404%20.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nasr.man.ac.uk\mhsrss$\snapped\unreplicated\cnep\psychrev\eCMR\paper%20and%20figures\all_data_1404%20.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nasr.man.ac.uk\mhsrss$\snapped\unreplicated\cnep\psychrev\eCMR\paper%20and%20figures\all_data_1404%20.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GB"/>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0"/>
    <c:plotArea>
      <c:layout>
        <c:manualLayout>
          <c:layoutTarget val="inner"/>
          <c:xMode val="edge"/>
          <c:yMode val="edge"/>
          <c:x val="0.17699174708406301"/>
          <c:y val="6.2708151064450296E-2"/>
          <c:w val="0.49086938206798197"/>
          <c:h val="0.61635747813680997"/>
        </c:manualLayout>
      </c:layout>
      <c:barChart>
        <c:barDir val="col"/>
        <c:grouping val="clustered"/>
        <c:varyColors val="0"/>
        <c:ser>
          <c:idx val="2"/>
          <c:order val="0"/>
          <c:tx>
            <c:strRef>
              <c:f>Simple_Graphs!$G$33</c:f>
              <c:strCache>
                <c:ptCount val="1"/>
                <c:pt idx="0">
                  <c:v>Emotional </c:v>
                </c:pt>
              </c:strCache>
            </c:strRef>
          </c:tx>
          <c:spPr>
            <a:solidFill>
              <a:schemeClr val="tx1">
                <a:lumMod val="65000"/>
                <a:lumOff val="35000"/>
              </a:schemeClr>
            </a:solidFill>
          </c:spPr>
          <c:invertIfNegative val="0"/>
          <c:errBars>
            <c:errBarType val="both"/>
            <c:errValType val="cust"/>
            <c:noEndCap val="0"/>
            <c:plus>
              <c:numRef>
                <c:f>Simple_Graphs!$H$37:$I$37</c:f>
                <c:numCache>
                  <c:formatCode>General</c:formatCode>
                  <c:ptCount val="2"/>
                  <c:pt idx="0">
                    <c:v>3.4273240978992159</c:v>
                  </c:pt>
                  <c:pt idx="1">
                    <c:v>2.6855607880944499</c:v>
                  </c:pt>
                </c:numCache>
              </c:numRef>
            </c:plus>
            <c:minus>
              <c:numRef>
                <c:f>Simple_Graphs!$H$37:$I$37</c:f>
                <c:numCache>
                  <c:formatCode>General</c:formatCode>
                  <c:ptCount val="2"/>
                  <c:pt idx="0">
                    <c:v>3.4273240978992159</c:v>
                  </c:pt>
                  <c:pt idx="1">
                    <c:v>2.6855607880944499</c:v>
                  </c:pt>
                </c:numCache>
              </c:numRef>
            </c:minus>
          </c:errBars>
          <c:cat>
            <c:strRef>
              <c:f>Simple_Graphs!$H$32:$I$32</c:f>
              <c:strCache>
                <c:ptCount val="2"/>
                <c:pt idx="0">
                  <c:v>First
Recall</c:v>
                </c:pt>
                <c:pt idx="1">
                  <c:v>Second
Recall</c:v>
                </c:pt>
              </c:strCache>
            </c:strRef>
          </c:cat>
          <c:val>
            <c:numRef>
              <c:f>Simple_Graphs!$H$33:$I$33</c:f>
              <c:numCache>
                <c:formatCode>0.00</c:formatCode>
                <c:ptCount val="2"/>
                <c:pt idx="0">
                  <c:v>65.555555555555429</c:v>
                </c:pt>
                <c:pt idx="1">
                  <c:v>56.944444444444287</c:v>
                </c:pt>
              </c:numCache>
            </c:numRef>
          </c:val>
        </c:ser>
        <c:ser>
          <c:idx val="3"/>
          <c:order val="1"/>
          <c:tx>
            <c:strRef>
              <c:f>Simple_Graphs!$G$34</c:f>
              <c:strCache>
                <c:ptCount val="1"/>
                <c:pt idx="0">
                  <c:v>Neutral </c:v>
                </c:pt>
              </c:strCache>
            </c:strRef>
          </c:tx>
          <c:spPr>
            <a:solidFill>
              <a:schemeClr val="bg1">
                <a:lumMod val="65000"/>
              </a:schemeClr>
            </a:solidFill>
          </c:spPr>
          <c:invertIfNegative val="0"/>
          <c:errBars>
            <c:errBarType val="both"/>
            <c:errValType val="cust"/>
            <c:noEndCap val="0"/>
            <c:plus>
              <c:numRef>
                <c:f>Simple_Graphs!$H$38:$I$38</c:f>
                <c:numCache>
                  <c:formatCode>General</c:formatCode>
                  <c:ptCount val="2"/>
                  <c:pt idx="0">
                    <c:v>2.9149154406506881</c:v>
                  </c:pt>
                  <c:pt idx="1">
                    <c:v>3.7703695143194929</c:v>
                  </c:pt>
                </c:numCache>
              </c:numRef>
            </c:plus>
            <c:minus>
              <c:numRef>
                <c:f>Simple_Graphs!$H$38:$I$38</c:f>
                <c:numCache>
                  <c:formatCode>General</c:formatCode>
                  <c:ptCount val="2"/>
                  <c:pt idx="0">
                    <c:v>2.9149154406506881</c:v>
                  </c:pt>
                  <c:pt idx="1">
                    <c:v>3.7703695143194929</c:v>
                  </c:pt>
                </c:numCache>
              </c:numRef>
            </c:minus>
          </c:errBars>
          <c:cat>
            <c:strRef>
              <c:f>Simple_Graphs!$H$32:$I$32</c:f>
              <c:strCache>
                <c:ptCount val="2"/>
                <c:pt idx="0">
                  <c:v>First
Recall</c:v>
                </c:pt>
                <c:pt idx="1">
                  <c:v>Second
Recall</c:v>
                </c:pt>
              </c:strCache>
            </c:strRef>
          </c:cat>
          <c:val>
            <c:numRef>
              <c:f>Simple_Graphs!$H$34:$I$34</c:f>
              <c:numCache>
                <c:formatCode>0.00</c:formatCode>
                <c:ptCount val="2"/>
                <c:pt idx="0">
                  <c:v>55</c:v>
                </c:pt>
                <c:pt idx="1">
                  <c:v>46.666666666666529</c:v>
                </c:pt>
              </c:numCache>
            </c:numRef>
          </c:val>
        </c:ser>
        <c:dLbls>
          <c:showLegendKey val="0"/>
          <c:showVal val="0"/>
          <c:showCatName val="0"/>
          <c:showSerName val="0"/>
          <c:showPercent val="0"/>
          <c:showBubbleSize val="0"/>
        </c:dLbls>
        <c:gapWidth val="150"/>
        <c:axId val="131893504"/>
        <c:axId val="131899776"/>
      </c:barChart>
      <c:catAx>
        <c:axId val="131893504"/>
        <c:scaling>
          <c:orientation val="minMax"/>
        </c:scaling>
        <c:delete val="0"/>
        <c:axPos val="b"/>
        <c:title>
          <c:tx>
            <c:rich>
              <a:bodyPr/>
              <a:lstStyle/>
              <a:p>
                <a:pPr>
                  <a:defRPr sz="1400"/>
                </a:pPr>
                <a:r>
                  <a:rPr lang="en-GB" sz="1400"/>
                  <a:t>Recall Order</a:t>
                </a:r>
              </a:p>
            </c:rich>
          </c:tx>
          <c:layout/>
          <c:overlay val="0"/>
        </c:title>
        <c:numFmt formatCode="General" sourceLinked="0"/>
        <c:majorTickMark val="out"/>
        <c:minorTickMark val="none"/>
        <c:tickLblPos val="nextTo"/>
        <c:crossAx val="131899776"/>
        <c:crosses val="autoZero"/>
        <c:auto val="1"/>
        <c:lblAlgn val="ctr"/>
        <c:lblOffset val="100"/>
        <c:noMultiLvlLbl val="0"/>
      </c:catAx>
      <c:valAx>
        <c:axId val="131899776"/>
        <c:scaling>
          <c:orientation val="minMax"/>
        </c:scaling>
        <c:delete val="0"/>
        <c:axPos val="l"/>
        <c:title>
          <c:tx>
            <c:rich>
              <a:bodyPr rot="-5400000" vert="horz"/>
              <a:lstStyle/>
              <a:p>
                <a:pPr>
                  <a:defRPr/>
                </a:pPr>
                <a:r>
                  <a:rPr lang="en-GB"/>
                  <a:t>Free Recall (%)</a:t>
                </a:r>
              </a:p>
            </c:rich>
          </c:tx>
          <c:layout/>
          <c:overlay val="0"/>
        </c:title>
        <c:numFmt formatCode="0" sourceLinked="0"/>
        <c:majorTickMark val="out"/>
        <c:minorTickMark val="none"/>
        <c:tickLblPos val="nextTo"/>
        <c:crossAx val="131893504"/>
        <c:crosses val="autoZero"/>
        <c:crossBetween val="between"/>
      </c:valAx>
      <c:spPr>
        <a:ln>
          <a:solidFill>
            <a:schemeClr val="tx1"/>
          </a:solidFill>
        </a:ln>
      </c:spPr>
    </c:plotArea>
    <c:legend>
      <c:legendPos val="r"/>
      <c:layout>
        <c:manualLayout>
          <c:xMode val="edge"/>
          <c:yMode val="edge"/>
          <c:x val="0.690339695192422"/>
          <c:y val="0.393893627879848"/>
          <c:w val="0.197177451583984"/>
          <c:h val="0.21221274424030301"/>
        </c:manualLayout>
      </c:layout>
      <c:overlay val="0"/>
    </c:legend>
    <c:plotVisOnly val="1"/>
    <c:dispBlanksAs val="gap"/>
    <c:showDLblsOverMax val="0"/>
  </c:chart>
  <c:spPr>
    <a:ln>
      <a:noFill/>
    </a:ln>
  </c:spPr>
  <c:txPr>
    <a:bodyPr/>
    <a:lstStyle/>
    <a:p>
      <a:pPr>
        <a:defRPr sz="1200"/>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tx>
            <c:strRef>
              <c:f>'s3'!$M$6</c:f>
              <c:strCache>
                <c:ptCount val="1"/>
                <c:pt idx="0">
                  <c:v>Emotional</c:v>
                </c:pt>
              </c:strCache>
            </c:strRef>
          </c:tx>
          <c:spPr>
            <a:ln w="38100">
              <a:solidFill>
                <a:schemeClr val="tx1"/>
              </a:solidFill>
            </a:ln>
          </c:spPr>
          <c:marker>
            <c:spPr>
              <a:solidFill>
                <a:schemeClr val="tx1"/>
              </a:solidFill>
              <a:ln>
                <a:solidFill>
                  <a:schemeClr val="tx1"/>
                </a:solidFill>
              </a:ln>
            </c:spPr>
          </c:marker>
          <c:cat>
            <c:multiLvlStrRef>
              <c:f>'s3'!$N$3:$O$4</c:f>
              <c:multiLvlStrCache>
                <c:ptCount val="2"/>
                <c:lvl>
                  <c:pt idx="0">
                    <c:v>Immediate</c:v>
                  </c:pt>
                  <c:pt idx="1">
                    <c:v>1 hour</c:v>
                  </c:pt>
                </c:lvl>
                <c:lvl>
                  <c:pt idx="0">
                    <c:v>Retention interval</c:v>
                  </c:pt>
                </c:lvl>
              </c:multiLvlStrCache>
            </c:multiLvlStrRef>
          </c:cat>
          <c:val>
            <c:numRef>
              <c:f>'s3'!$N$6:$O$6</c:f>
              <c:numCache>
                <c:formatCode>General</c:formatCode>
                <c:ptCount val="2"/>
                <c:pt idx="0">
                  <c:v>55</c:v>
                </c:pt>
                <c:pt idx="1">
                  <c:v>60</c:v>
                </c:pt>
              </c:numCache>
            </c:numRef>
          </c:val>
          <c:smooth val="0"/>
        </c:ser>
        <c:ser>
          <c:idx val="1"/>
          <c:order val="1"/>
          <c:tx>
            <c:strRef>
              <c:f>'s3'!$M$7</c:f>
              <c:strCache>
                <c:ptCount val="1"/>
                <c:pt idx="0">
                  <c:v>Neutral</c:v>
                </c:pt>
              </c:strCache>
            </c:strRef>
          </c:tx>
          <c:spPr>
            <a:ln w="38100">
              <a:solidFill>
                <a:schemeClr val="bg1">
                  <a:lumMod val="65000"/>
                </a:schemeClr>
              </a:solidFill>
            </a:ln>
          </c:spPr>
          <c:marker>
            <c:symbol val="circle"/>
            <c:size val="7"/>
            <c:spPr>
              <a:solidFill>
                <a:schemeClr val="bg1">
                  <a:lumMod val="75000"/>
                </a:schemeClr>
              </a:solidFill>
              <a:ln>
                <a:solidFill>
                  <a:schemeClr val="bg1">
                    <a:lumMod val="50000"/>
                  </a:schemeClr>
                </a:solidFill>
              </a:ln>
            </c:spPr>
          </c:marker>
          <c:cat>
            <c:multiLvlStrRef>
              <c:f>'s3'!$N$3:$O$4</c:f>
              <c:multiLvlStrCache>
                <c:ptCount val="2"/>
                <c:lvl>
                  <c:pt idx="0">
                    <c:v>Immediate</c:v>
                  </c:pt>
                  <c:pt idx="1">
                    <c:v>1 hour</c:v>
                  </c:pt>
                </c:lvl>
                <c:lvl>
                  <c:pt idx="0">
                    <c:v>Retention interval</c:v>
                  </c:pt>
                </c:lvl>
              </c:multiLvlStrCache>
            </c:multiLvlStrRef>
          </c:cat>
          <c:val>
            <c:numRef>
              <c:f>'s3'!$N$7:$O$7</c:f>
              <c:numCache>
                <c:formatCode>General</c:formatCode>
                <c:ptCount val="2"/>
                <c:pt idx="0">
                  <c:v>25</c:v>
                </c:pt>
                <c:pt idx="1">
                  <c:v>20</c:v>
                </c:pt>
              </c:numCache>
            </c:numRef>
          </c:val>
          <c:smooth val="0"/>
        </c:ser>
        <c:dLbls>
          <c:showLegendKey val="0"/>
          <c:showVal val="0"/>
          <c:showCatName val="0"/>
          <c:showSerName val="0"/>
          <c:showPercent val="0"/>
          <c:showBubbleSize val="0"/>
        </c:dLbls>
        <c:marker val="1"/>
        <c:smooth val="0"/>
        <c:axId val="100795136"/>
        <c:axId val="100797056"/>
      </c:lineChart>
      <c:catAx>
        <c:axId val="100795136"/>
        <c:scaling>
          <c:orientation val="minMax"/>
        </c:scaling>
        <c:delete val="0"/>
        <c:axPos val="b"/>
        <c:majorTickMark val="out"/>
        <c:minorTickMark val="none"/>
        <c:tickLblPos val="nextTo"/>
        <c:crossAx val="100797056"/>
        <c:crosses val="autoZero"/>
        <c:auto val="1"/>
        <c:lblAlgn val="ctr"/>
        <c:lblOffset val="100"/>
        <c:noMultiLvlLbl val="0"/>
      </c:catAx>
      <c:valAx>
        <c:axId val="100797056"/>
        <c:scaling>
          <c:orientation val="minMax"/>
          <c:max val="100"/>
        </c:scaling>
        <c:delete val="0"/>
        <c:axPos val="l"/>
        <c:title>
          <c:tx>
            <c:rich>
              <a:bodyPr rot="-5400000" vert="horz"/>
              <a:lstStyle/>
              <a:p>
                <a:pPr>
                  <a:defRPr sz="1000"/>
                </a:pPr>
                <a:r>
                  <a:rPr lang="en-US" sz="1200" b="1" i="0" baseline="0">
                    <a:effectLst/>
                  </a:rPr>
                  <a:t>Free recall (%)</a:t>
                </a:r>
                <a:endParaRPr lang="en-GB" sz="1000">
                  <a:effectLst/>
                </a:endParaRPr>
              </a:p>
            </c:rich>
          </c:tx>
          <c:layout/>
          <c:overlay val="0"/>
        </c:title>
        <c:numFmt formatCode="#,##0" sourceLinked="0"/>
        <c:majorTickMark val="out"/>
        <c:minorTickMark val="none"/>
        <c:tickLblPos val="nextTo"/>
        <c:crossAx val="100795136"/>
        <c:crosses val="autoZero"/>
        <c:crossBetween val="between"/>
      </c:valAx>
      <c:spPr>
        <a:pattFill prst="dotGrid">
          <a:fgClr>
            <a:schemeClr val="bg1">
              <a:lumMod val="75000"/>
            </a:schemeClr>
          </a:fgClr>
          <a:bgClr>
            <a:schemeClr val="bg1"/>
          </a:bgClr>
        </a:pattFill>
      </c:spPr>
    </c:plotArea>
    <c:legend>
      <c:legendPos val="t"/>
      <c:layout>
        <c:manualLayout>
          <c:xMode val="edge"/>
          <c:yMode val="edge"/>
          <c:x val="2.1631307698081099E-2"/>
          <c:y val="1.7204304959626299E-2"/>
          <c:w val="0.89999982129901301"/>
          <c:h val="0.10125206571400799"/>
        </c:manualLayout>
      </c:layout>
      <c:overlay val="0"/>
    </c:legend>
    <c:plotVisOnly val="1"/>
    <c:dispBlanksAs val="gap"/>
    <c:showDLblsOverMax val="0"/>
  </c:chart>
  <c:spPr>
    <a:ln>
      <a:solidFill>
        <a:schemeClr val="bg1"/>
      </a:solidFill>
    </a:ln>
  </c:spPr>
  <c:txPr>
    <a:bodyPr/>
    <a:lstStyle/>
    <a:p>
      <a:pPr>
        <a:defRPr sz="1200"/>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5290247303705201"/>
          <c:y val="0.14565904871647101"/>
          <c:w val="0.72193667977114695"/>
          <c:h val="0.64688752320594101"/>
        </c:manualLayout>
      </c:layout>
      <c:lineChart>
        <c:grouping val="standard"/>
        <c:varyColors val="0"/>
        <c:ser>
          <c:idx val="0"/>
          <c:order val="0"/>
          <c:tx>
            <c:strRef>
              <c:f>'[all_data_1404 .xlsx]s3'!$B$6</c:f>
              <c:strCache>
                <c:ptCount val="1"/>
                <c:pt idx="0">
                  <c:v>Emotional</c:v>
                </c:pt>
              </c:strCache>
            </c:strRef>
          </c:tx>
          <c:spPr>
            <a:ln w="38100">
              <a:solidFill>
                <a:schemeClr val="tx1"/>
              </a:solidFill>
              <a:prstDash val="solid"/>
            </a:ln>
          </c:spPr>
          <c:marker>
            <c:spPr>
              <a:solidFill>
                <a:schemeClr val="tx1"/>
              </a:solidFill>
              <a:ln>
                <a:solidFill>
                  <a:schemeClr val="tx1"/>
                </a:solidFill>
                <a:prstDash val="solid"/>
              </a:ln>
            </c:spPr>
          </c:marker>
          <c:cat>
            <c:multiLvlStrRef>
              <c:f>'[all_data_1404 .xlsx]s3'!$C$3:$D$4</c:f>
              <c:multiLvlStrCache>
                <c:ptCount val="2"/>
                <c:lvl>
                  <c:pt idx="0">
                    <c:v>Immediate</c:v>
                  </c:pt>
                  <c:pt idx="1">
                    <c:v>1 hour</c:v>
                  </c:pt>
                </c:lvl>
                <c:lvl>
                  <c:pt idx="0">
                    <c:v>Simulated retention interval</c:v>
                  </c:pt>
                </c:lvl>
              </c:multiLvlStrCache>
            </c:multiLvlStrRef>
          </c:cat>
          <c:val>
            <c:numRef>
              <c:f>'[all_data_1404 .xlsx]s3'!$C$6,'[all_data_1404 .xlsx]s3'!$E$6</c:f>
              <c:numCache>
                <c:formatCode>General</c:formatCode>
                <c:ptCount val="2"/>
                <c:pt idx="0">
                  <c:v>66.12</c:v>
                </c:pt>
                <c:pt idx="1">
                  <c:v>62.543750000000003</c:v>
                </c:pt>
              </c:numCache>
            </c:numRef>
          </c:val>
          <c:smooth val="0"/>
        </c:ser>
        <c:ser>
          <c:idx val="1"/>
          <c:order val="1"/>
          <c:tx>
            <c:strRef>
              <c:f>'[all_data_1404 .xlsx]s3'!$B$7</c:f>
              <c:strCache>
                <c:ptCount val="1"/>
                <c:pt idx="0">
                  <c:v>Neutral</c:v>
                </c:pt>
              </c:strCache>
            </c:strRef>
          </c:tx>
          <c:spPr>
            <a:ln w="38100">
              <a:solidFill>
                <a:schemeClr val="bg1">
                  <a:lumMod val="65000"/>
                </a:schemeClr>
              </a:solidFill>
              <a:prstDash val="solid"/>
            </a:ln>
          </c:spPr>
          <c:marker>
            <c:symbol val="circle"/>
            <c:size val="7"/>
            <c:spPr>
              <a:solidFill>
                <a:schemeClr val="bg1">
                  <a:lumMod val="75000"/>
                </a:schemeClr>
              </a:solidFill>
              <a:ln>
                <a:solidFill>
                  <a:schemeClr val="bg1">
                    <a:lumMod val="50000"/>
                  </a:schemeClr>
                </a:solidFill>
                <a:prstDash val="solid"/>
              </a:ln>
            </c:spPr>
          </c:marker>
          <c:cat>
            <c:multiLvlStrRef>
              <c:f>'[all_data_1404 .xlsx]s3'!$C$3:$D$4</c:f>
              <c:multiLvlStrCache>
                <c:ptCount val="2"/>
                <c:lvl>
                  <c:pt idx="0">
                    <c:v>Immediate</c:v>
                  </c:pt>
                  <c:pt idx="1">
                    <c:v>1 hour</c:v>
                  </c:pt>
                </c:lvl>
                <c:lvl>
                  <c:pt idx="0">
                    <c:v>Simulated retention interval</c:v>
                  </c:pt>
                </c:lvl>
              </c:multiLvlStrCache>
            </c:multiLvlStrRef>
          </c:cat>
          <c:val>
            <c:numRef>
              <c:f>'[all_data_1404 .xlsx]s3'!$C$7,'[all_data_1404 .xlsx]s3'!$E$7</c:f>
              <c:numCache>
                <c:formatCode>General</c:formatCode>
                <c:ptCount val="2"/>
                <c:pt idx="0">
                  <c:v>52.356250000000003</c:v>
                </c:pt>
                <c:pt idx="1">
                  <c:v>27.16624999999998</c:v>
                </c:pt>
              </c:numCache>
            </c:numRef>
          </c:val>
          <c:smooth val="0"/>
        </c:ser>
        <c:dLbls>
          <c:showLegendKey val="0"/>
          <c:showVal val="0"/>
          <c:showCatName val="0"/>
          <c:showSerName val="0"/>
          <c:showPercent val="0"/>
          <c:showBubbleSize val="0"/>
        </c:dLbls>
        <c:marker val="1"/>
        <c:smooth val="0"/>
        <c:axId val="100821632"/>
        <c:axId val="100844288"/>
      </c:lineChart>
      <c:catAx>
        <c:axId val="100821632"/>
        <c:scaling>
          <c:orientation val="minMax"/>
        </c:scaling>
        <c:delete val="0"/>
        <c:axPos val="b"/>
        <c:majorTickMark val="out"/>
        <c:minorTickMark val="none"/>
        <c:tickLblPos val="nextTo"/>
        <c:crossAx val="100844288"/>
        <c:crosses val="autoZero"/>
        <c:auto val="1"/>
        <c:lblAlgn val="ctr"/>
        <c:lblOffset val="100"/>
        <c:noMultiLvlLbl val="0"/>
      </c:catAx>
      <c:valAx>
        <c:axId val="100844288"/>
        <c:scaling>
          <c:orientation val="minMax"/>
          <c:max val="100"/>
          <c:min val="0"/>
        </c:scaling>
        <c:delete val="0"/>
        <c:axPos val="l"/>
        <c:numFmt formatCode="General" sourceLinked="1"/>
        <c:majorTickMark val="out"/>
        <c:minorTickMark val="none"/>
        <c:tickLblPos val="nextTo"/>
        <c:crossAx val="100821632"/>
        <c:crosses val="autoZero"/>
        <c:crossBetween val="between"/>
      </c:valAx>
      <c:spPr>
        <a:pattFill prst="dotGrid">
          <a:fgClr>
            <a:schemeClr val="bg1">
              <a:lumMod val="75000"/>
            </a:schemeClr>
          </a:fgClr>
          <a:bgClr>
            <a:schemeClr val="bg1"/>
          </a:bgClr>
        </a:pattFill>
        <a:ln>
          <a:noFill/>
        </a:ln>
      </c:spPr>
    </c:plotArea>
    <c:plotVisOnly val="1"/>
    <c:dispBlanksAs val="gap"/>
    <c:showDLblsOverMax val="0"/>
  </c:chart>
  <c:spPr>
    <a:ln>
      <a:solidFill>
        <a:schemeClr val="bg1"/>
      </a:solidFill>
    </a:ln>
  </c:spPr>
  <c:txPr>
    <a:bodyPr/>
    <a:lstStyle/>
    <a:p>
      <a:pPr>
        <a:defRPr sz="1200"/>
      </a:pPr>
      <a:endParaRPr lang="en-U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GB"/>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0"/>
    <c:plotArea>
      <c:layout>
        <c:manualLayout>
          <c:layoutTarget val="inner"/>
          <c:xMode val="edge"/>
          <c:yMode val="edge"/>
          <c:x val="0.120669627834982"/>
          <c:y val="6.9339180703677894E-2"/>
          <c:w val="0.777502523722996"/>
          <c:h val="0.53534846118918678"/>
        </c:manualLayout>
      </c:layout>
      <c:barChart>
        <c:barDir val="col"/>
        <c:grouping val="clustered"/>
        <c:varyColors val="0"/>
        <c:ser>
          <c:idx val="0"/>
          <c:order val="0"/>
          <c:tx>
            <c:strRef>
              <c:f>'[all_data_1404 .xlsx]s3'!$J$33</c:f>
              <c:strCache>
                <c:ptCount val="1"/>
                <c:pt idx="0">
                  <c:v>Immediate</c:v>
                </c:pt>
              </c:strCache>
            </c:strRef>
          </c:tx>
          <c:invertIfNegative val="0"/>
          <c:cat>
            <c:strRef>
              <c:f>'[all_data_1404 .xlsx]s3'!$I$34:$I$37</c:f>
              <c:strCache>
                <c:ptCount val="4"/>
                <c:pt idx="0">
                  <c:v>Within-category temporal context</c:v>
                </c:pt>
                <c:pt idx="1">
                  <c:v>Across-category temporal context</c:v>
                </c:pt>
                <c:pt idx="2">
                  <c:v>Semantic associations</c:v>
                </c:pt>
                <c:pt idx="3">
                  <c:v>Emotional context associations</c:v>
                </c:pt>
              </c:strCache>
            </c:strRef>
          </c:cat>
          <c:val>
            <c:numRef>
              <c:f>'[all_data_1404 .xlsx]s3'!$J$34:$J$37</c:f>
              <c:numCache>
                <c:formatCode>General</c:formatCode>
                <c:ptCount val="4"/>
                <c:pt idx="0">
                  <c:v>0.81407815043759801</c:v>
                </c:pt>
                <c:pt idx="1">
                  <c:v>0.80343452401747095</c:v>
                </c:pt>
                <c:pt idx="2">
                  <c:v>0.53601259450637795</c:v>
                </c:pt>
                <c:pt idx="3">
                  <c:v>0.68268624915373699</c:v>
                </c:pt>
              </c:numCache>
            </c:numRef>
          </c:val>
        </c:ser>
        <c:ser>
          <c:idx val="2"/>
          <c:order val="1"/>
          <c:tx>
            <c:strRef>
              <c:f>'[all_data_1404 .xlsx]s3'!$L$33</c:f>
              <c:strCache>
                <c:ptCount val="1"/>
                <c:pt idx="0">
                  <c:v>Delayed-schematic</c:v>
                </c:pt>
              </c:strCache>
            </c:strRef>
          </c:tx>
          <c:spPr>
            <a:solidFill>
              <a:schemeClr val="bg1">
                <a:lumMod val="75000"/>
              </a:schemeClr>
            </a:solidFill>
          </c:spPr>
          <c:invertIfNegative val="0"/>
          <c:cat>
            <c:strRef>
              <c:f>'[all_data_1404 .xlsx]s3'!$I$34:$I$37</c:f>
              <c:strCache>
                <c:ptCount val="4"/>
                <c:pt idx="0">
                  <c:v>Within-category temporal context</c:v>
                </c:pt>
                <c:pt idx="1">
                  <c:v>Across-category temporal context</c:v>
                </c:pt>
                <c:pt idx="2">
                  <c:v>Semantic associations</c:v>
                </c:pt>
                <c:pt idx="3">
                  <c:v>Emotional context associations</c:v>
                </c:pt>
              </c:strCache>
            </c:strRef>
          </c:cat>
          <c:val>
            <c:numRef>
              <c:f>'[all_data_1404 .xlsx]s3'!$L$34:$L$37</c:f>
              <c:numCache>
                <c:formatCode>General</c:formatCode>
                <c:ptCount val="4"/>
                <c:pt idx="0">
                  <c:v>0.54412967156276604</c:v>
                </c:pt>
                <c:pt idx="1">
                  <c:v>0.55584265593271498</c:v>
                </c:pt>
                <c:pt idx="2">
                  <c:v>0.60484584828198895</c:v>
                </c:pt>
                <c:pt idx="3">
                  <c:v>0.789147760575169</c:v>
                </c:pt>
              </c:numCache>
            </c:numRef>
          </c:val>
        </c:ser>
        <c:dLbls>
          <c:showLegendKey val="0"/>
          <c:showVal val="0"/>
          <c:showCatName val="0"/>
          <c:showSerName val="0"/>
          <c:showPercent val="0"/>
          <c:showBubbleSize val="0"/>
        </c:dLbls>
        <c:gapWidth val="150"/>
        <c:axId val="100856576"/>
        <c:axId val="100858112"/>
      </c:barChart>
      <c:catAx>
        <c:axId val="100856576"/>
        <c:scaling>
          <c:orientation val="minMax"/>
        </c:scaling>
        <c:delete val="0"/>
        <c:axPos val="b"/>
        <c:majorTickMark val="out"/>
        <c:minorTickMark val="none"/>
        <c:tickLblPos val="nextTo"/>
        <c:crossAx val="100858112"/>
        <c:crosses val="autoZero"/>
        <c:auto val="1"/>
        <c:lblAlgn val="ctr"/>
        <c:lblOffset val="100"/>
        <c:noMultiLvlLbl val="0"/>
      </c:catAx>
      <c:valAx>
        <c:axId val="100858112"/>
        <c:scaling>
          <c:orientation val="minMax"/>
        </c:scaling>
        <c:delete val="0"/>
        <c:axPos val="l"/>
        <c:title>
          <c:tx>
            <c:rich>
              <a:bodyPr rot="-5400000" vert="horz"/>
              <a:lstStyle/>
              <a:p>
                <a:pPr>
                  <a:defRPr/>
                </a:pPr>
                <a:r>
                  <a:rPr lang="en-US"/>
                  <a:t>Parameter estimate</a:t>
                </a:r>
              </a:p>
            </c:rich>
          </c:tx>
          <c:layout>
            <c:manualLayout>
              <c:xMode val="edge"/>
              <c:yMode val="edge"/>
              <c:x val="1.0683760683760684E-2"/>
              <c:y val="1.8215016778152591E-3"/>
            </c:manualLayout>
          </c:layout>
          <c:overlay val="0"/>
        </c:title>
        <c:numFmt formatCode="General" sourceLinked="1"/>
        <c:majorTickMark val="out"/>
        <c:minorTickMark val="none"/>
        <c:tickLblPos val="nextTo"/>
        <c:crossAx val="100856576"/>
        <c:crosses val="autoZero"/>
        <c:crossBetween val="between"/>
      </c:valAx>
    </c:plotArea>
    <c:legend>
      <c:legendPos val="r"/>
      <c:layout>
        <c:manualLayout>
          <c:xMode val="edge"/>
          <c:yMode val="edge"/>
          <c:x val="0.257146510532337"/>
          <c:y val="0.76570138867397297"/>
          <c:w val="0.44798169459586801"/>
          <c:h val="0.23070090922179001"/>
        </c:manualLayout>
      </c:layout>
      <c:overlay val="0"/>
    </c:legend>
    <c:plotVisOnly val="1"/>
    <c:dispBlanksAs val="gap"/>
    <c:showDLblsOverMax val="0"/>
  </c:chart>
  <c:spPr>
    <a:ln>
      <a:noFill/>
    </a:ln>
  </c:spPr>
  <c:txPr>
    <a:bodyPr/>
    <a:lstStyle/>
    <a:p>
      <a:pPr>
        <a:defRPr sz="1200"/>
      </a:pPr>
      <a:endParaRPr lang="en-US"/>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GB"/>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0"/>
    <c:plotArea>
      <c:layout>
        <c:manualLayout>
          <c:layoutTarget val="inner"/>
          <c:xMode val="edge"/>
          <c:yMode val="edge"/>
          <c:x val="0.1037277060367454"/>
          <c:y val="5.1400554097404488E-2"/>
          <c:w val="0.86494320209973752"/>
          <c:h val="0.53845093392452159"/>
        </c:manualLayout>
      </c:layout>
      <c:barChart>
        <c:barDir val="col"/>
        <c:grouping val="clustered"/>
        <c:varyColors val="0"/>
        <c:ser>
          <c:idx val="0"/>
          <c:order val="0"/>
          <c:tx>
            <c:strRef>
              <c:f>'s5'!$A$4</c:f>
              <c:strCache>
                <c:ptCount val="1"/>
                <c:pt idx="0">
                  <c:v>Neutral oddball</c:v>
                </c:pt>
              </c:strCache>
            </c:strRef>
          </c:tx>
          <c:spPr>
            <a:solidFill>
              <a:schemeClr val="bg1"/>
            </a:solidFill>
            <a:ln>
              <a:solidFill>
                <a:sysClr val="windowText" lastClr="000000"/>
              </a:solidFill>
            </a:ln>
          </c:spPr>
          <c:invertIfNegative val="0"/>
          <c:cat>
            <c:multiLvlStrRef>
              <c:f>'s5'!$B$2:$P$3</c:f>
              <c:multiLvlStrCache>
                <c:ptCount val="15"/>
                <c:lvl>
                  <c:pt idx="0">
                    <c:v>Oddball-1</c:v>
                  </c:pt>
                  <c:pt idx="1">
                    <c:v>Oddball</c:v>
                  </c:pt>
                  <c:pt idx="2">
                    <c:v>Oddball+1</c:v>
                  </c:pt>
                  <c:pt idx="4">
                    <c:v>Oddball-1</c:v>
                  </c:pt>
                  <c:pt idx="5">
                    <c:v>Oddball</c:v>
                  </c:pt>
                  <c:pt idx="6">
                    <c:v>Oddball+1</c:v>
                  </c:pt>
                  <c:pt idx="8">
                    <c:v>Oddball-1</c:v>
                  </c:pt>
                  <c:pt idx="9">
                    <c:v>Oddball</c:v>
                  </c:pt>
                  <c:pt idx="10">
                    <c:v>Oddball+1</c:v>
                  </c:pt>
                  <c:pt idx="12">
                    <c:v>Oddball-1</c:v>
                  </c:pt>
                  <c:pt idx="13">
                    <c:v>Oddball</c:v>
                  </c:pt>
                  <c:pt idx="14">
                    <c:v>Oddball+1</c:v>
                  </c:pt>
                </c:lvl>
                <c:lvl>
                  <c:pt idx="0">
                    <c:v>Hurlemann et al. 2005</c:v>
                  </c:pt>
                  <c:pt idx="4">
                    <c:v>Hurlemann et al. 2006</c:v>
                  </c:pt>
                  <c:pt idx="8">
                    <c:v>Knight &amp; Mather 2009</c:v>
                  </c:pt>
                  <c:pt idx="12">
                    <c:v>Simulations 
4A &amp; 4AD</c:v>
                  </c:pt>
                </c:lvl>
              </c:multiLvlStrCache>
            </c:multiLvlStrRef>
          </c:cat>
          <c:val>
            <c:numRef>
              <c:f>'s5'!$B$4:$P$4</c:f>
              <c:numCache>
                <c:formatCode>General</c:formatCode>
                <c:ptCount val="15"/>
                <c:pt idx="0">
                  <c:v>50</c:v>
                </c:pt>
                <c:pt idx="1">
                  <c:v>97</c:v>
                </c:pt>
                <c:pt idx="2">
                  <c:v>48</c:v>
                </c:pt>
                <c:pt idx="4">
                  <c:v>52.5</c:v>
                </c:pt>
                <c:pt idx="5">
                  <c:v>95.833333333333343</c:v>
                </c:pt>
                <c:pt idx="6">
                  <c:v>52.5</c:v>
                </c:pt>
                <c:pt idx="8">
                  <c:v>43</c:v>
                </c:pt>
                <c:pt idx="9">
                  <c:v>95</c:v>
                </c:pt>
                <c:pt idx="10">
                  <c:v>42</c:v>
                </c:pt>
                <c:pt idx="12" formatCode="0.00">
                  <c:v>64.2</c:v>
                </c:pt>
                <c:pt idx="13" formatCode="0.00">
                  <c:v>74.44</c:v>
                </c:pt>
                <c:pt idx="14" formatCode="0.00">
                  <c:v>63.680000000000007</c:v>
                </c:pt>
              </c:numCache>
            </c:numRef>
          </c:val>
        </c:ser>
        <c:ser>
          <c:idx val="1"/>
          <c:order val="1"/>
          <c:tx>
            <c:strRef>
              <c:f>'s5'!$A$5</c:f>
              <c:strCache>
                <c:ptCount val="1"/>
                <c:pt idx="0">
                  <c:v>Negative oddball</c:v>
                </c:pt>
              </c:strCache>
            </c:strRef>
          </c:tx>
          <c:spPr>
            <a:ln>
              <a:solidFill>
                <a:sysClr val="windowText" lastClr="000000"/>
              </a:solidFill>
            </a:ln>
          </c:spPr>
          <c:invertIfNegative val="0"/>
          <c:cat>
            <c:multiLvlStrRef>
              <c:f>'s5'!$B$2:$P$3</c:f>
              <c:multiLvlStrCache>
                <c:ptCount val="15"/>
                <c:lvl>
                  <c:pt idx="0">
                    <c:v>Oddball-1</c:v>
                  </c:pt>
                  <c:pt idx="1">
                    <c:v>Oddball</c:v>
                  </c:pt>
                  <c:pt idx="2">
                    <c:v>Oddball+1</c:v>
                  </c:pt>
                  <c:pt idx="4">
                    <c:v>Oddball-1</c:v>
                  </c:pt>
                  <c:pt idx="5">
                    <c:v>Oddball</c:v>
                  </c:pt>
                  <c:pt idx="6">
                    <c:v>Oddball+1</c:v>
                  </c:pt>
                  <c:pt idx="8">
                    <c:v>Oddball-1</c:v>
                  </c:pt>
                  <c:pt idx="9">
                    <c:v>Oddball</c:v>
                  </c:pt>
                  <c:pt idx="10">
                    <c:v>Oddball+1</c:v>
                  </c:pt>
                  <c:pt idx="12">
                    <c:v>Oddball-1</c:v>
                  </c:pt>
                  <c:pt idx="13">
                    <c:v>Oddball</c:v>
                  </c:pt>
                  <c:pt idx="14">
                    <c:v>Oddball+1</c:v>
                  </c:pt>
                </c:lvl>
                <c:lvl>
                  <c:pt idx="0">
                    <c:v>Hurlemann et al. 2005</c:v>
                  </c:pt>
                  <c:pt idx="4">
                    <c:v>Hurlemann et al. 2006</c:v>
                  </c:pt>
                  <c:pt idx="8">
                    <c:v>Knight &amp; Mather 2009</c:v>
                  </c:pt>
                  <c:pt idx="12">
                    <c:v>Simulations 
4A &amp; 4AD</c:v>
                  </c:pt>
                </c:lvl>
              </c:multiLvlStrCache>
            </c:multiLvlStrRef>
          </c:cat>
          <c:val>
            <c:numRef>
              <c:f>'s5'!$B$5:$P$5</c:f>
              <c:numCache>
                <c:formatCode>General</c:formatCode>
                <c:ptCount val="15"/>
                <c:pt idx="0">
                  <c:v>32</c:v>
                </c:pt>
                <c:pt idx="1">
                  <c:v>94</c:v>
                </c:pt>
                <c:pt idx="2">
                  <c:v>32</c:v>
                </c:pt>
                <c:pt idx="4">
                  <c:v>35.833333333333336</c:v>
                </c:pt>
                <c:pt idx="5">
                  <c:v>97.5</c:v>
                </c:pt>
                <c:pt idx="6">
                  <c:v>37.5</c:v>
                </c:pt>
                <c:pt idx="8">
                  <c:v>38</c:v>
                </c:pt>
                <c:pt idx="9">
                  <c:v>96</c:v>
                </c:pt>
                <c:pt idx="10">
                  <c:v>38</c:v>
                </c:pt>
                <c:pt idx="12" formatCode="0.00">
                  <c:v>57.45</c:v>
                </c:pt>
                <c:pt idx="13" formatCode="0.00">
                  <c:v>78.47</c:v>
                </c:pt>
                <c:pt idx="14" formatCode="0.00">
                  <c:v>49.54</c:v>
                </c:pt>
              </c:numCache>
            </c:numRef>
          </c:val>
        </c:ser>
        <c:dLbls>
          <c:showLegendKey val="0"/>
          <c:showVal val="0"/>
          <c:showCatName val="0"/>
          <c:showSerName val="0"/>
          <c:showPercent val="0"/>
          <c:showBubbleSize val="0"/>
        </c:dLbls>
        <c:gapWidth val="150"/>
        <c:axId val="127933056"/>
        <c:axId val="127938944"/>
      </c:barChart>
      <c:catAx>
        <c:axId val="127933056"/>
        <c:scaling>
          <c:orientation val="minMax"/>
        </c:scaling>
        <c:delete val="0"/>
        <c:axPos val="b"/>
        <c:majorTickMark val="out"/>
        <c:minorTickMark val="none"/>
        <c:tickLblPos val="nextTo"/>
        <c:crossAx val="127938944"/>
        <c:crosses val="autoZero"/>
        <c:auto val="1"/>
        <c:lblAlgn val="ctr"/>
        <c:lblOffset val="100"/>
        <c:noMultiLvlLbl val="0"/>
      </c:catAx>
      <c:valAx>
        <c:axId val="127938944"/>
        <c:scaling>
          <c:orientation val="minMax"/>
          <c:max val="100"/>
        </c:scaling>
        <c:delete val="0"/>
        <c:axPos val="l"/>
        <c:title>
          <c:tx>
            <c:rich>
              <a:bodyPr rot="-5400000" vert="horz"/>
              <a:lstStyle/>
              <a:p>
                <a:pPr>
                  <a:defRPr/>
                </a:pPr>
                <a:r>
                  <a:rPr lang="en-US"/>
                  <a:t>Free recall (%)</a:t>
                </a:r>
              </a:p>
            </c:rich>
          </c:tx>
          <c:layout/>
          <c:overlay val="0"/>
        </c:title>
        <c:numFmt formatCode="General" sourceLinked="1"/>
        <c:majorTickMark val="out"/>
        <c:minorTickMark val="none"/>
        <c:tickLblPos val="nextTo"/>
        <c:crossAx val="127933056"/>
        <c:crosses val="autoZero"/>
        <c:crossBetween val="between"/>
      </c:valAx>
    </c:plotArea>
    <c:legend>
      <c:legendPos val="b"/>
      <c:layout/>
      <c:overlay val="0"/>
    </c:legend>
    <c:plotVisOnly val="1"/>
    <c:dispBlanksAs val="gap"/>
    <c:showDLblsOverMax val="0"/>
  </c:chart>
  <c:txPr>
    <a:bodyPr/>
    <a:lstStyle/>
    <a:p>
      <a:pPr>
        <a:defRPr sz="1200"/>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F1AB346-3905-47BB-B2C4-AC834AFFE7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93</Pages>
  <Words>116622</Words>
  <Characters>664752</Characters>
  <Application>Microsoft Office Word</Application>
  <DocSecurity>0</DocSecurity>
  <Lines>5539</Lines>
  <Paragraphs>1559</Paragraphs>
  <ScaleCrop>false</ScaleCrop>
  <HeadingPairs>
    <vt:vector size="2" baseType="variant">
      <vt:variant>
        <vt:lpstr>Title</vt:lpstr>
      </vt:variant>
      <vt:variant>
        <vt:i4>1</vt:i4>
      </vt:variant>
    </vt:vector>
  </HeadingPairs>
  <TitlesOfParts>
    <vt:vector size="1" baseType="lpstr">
      <vt:lpstr/>
    </vt:vector>
  </TitlesOfParts>
  <Company>University of Manchester</Company>
  <LinksUpToDate>false</LinksUpToDate>
  <CharactersWithSpaces>779815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Deborah Talmi</dc:creator>
  <cp:lastModifiedBy>Deborah Talmi</cp:lastModifiedBy>
  <cp:revision>2</cp:revision>
  <dcterms:created xsi:type="dcterms:W3CDTF">2018-08-05T19:37:00Z</dcterms:created>
  <dcterms:modified xsi:type="dcterms:W3CDTF">2018-08-05T19:37:00Z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ec936ebb-52ec-3563-b8ff-35235ee2ae53</vt:lpwstr>
  </property>
  <property fmtid="{D5CDD505-2E9C-101B-9397-08002B2CF9AE}" pid="4" name="Mendeley Recent Style Id 0_1">
    <vt:lpwstr>http://www.zotero.org/styles/american-political-science-association</vt:lpwstr>
  </property>
  <property fmtid="{D5CDD505-2E9C-101B-9397-08002B2CF9AE}" pid="5" name="Mendeley Recent Style Name 0_1">
    <vt:lpwstr>American Political Science Association</vt:lpwstr>
  </property>
  <property fmtid="{D5CDD505-2E9C-101B-9397-08002B2CF9AE}" pid="6" name="Mendeley Recent Style Id 1_1">
    <vt:lpwstr>http://www.zotero.org/styles/apa</vt:lpwstr>
  </property>
  <property fmtid="{D5CDD505-2E9C-101B-9397-08002B2CF9AE}" pid="7" name="Mendeley Recent Style Name 1_1">
    <vt:lpwstr>American Psychological Association 6th edition</vt:lpwstr>
  </property>
  <property fmtid="{D5CDD505-2E9C-101B-9397-08002B2CF9AE}" pid="8" name="Mendeley Recent Style Id 2_1">
    <vt:lpwstr>http://www.zotero.org/styles/american-sociological-association</vt:lpwstr>
  </property>
  <property fmtid="{D5CDD505-2E9C-101B-9397-08002B2CF9AE}" pid="9" name="Mendeley Recent Style Name 2_1">
    <vt:lpwstr>American Sociological Association</vt:lpwstr>
  </property>
  <property fmtid="{D5CDD505-2E9C-101B-9397-08002B2CF9AE}" pid="10" name="Mendeley Recent Style Id 3_1">
    <vt:lpwstr>http://www.zotero.org/styles/chicago-author-date</vt:lpwstr>
  </property>
  <property fmtid="{D5CDD505-2E9C-101B-9397-08002B2CF9AE}" pid="11" name="Mendeley Recent Style Name 3_1">
    <vt:lpwstr>Chicago Manual of Style 16th edition (author-date)</vt:lpwstr>
  </property>
  <property fmtid="{D5CDD505-2E9C-101B-9397-08002B2CF9AE}" pid="12" name="Mendeley Recent Style Id 4_1">
    <vt:lpwstr>http://www.zotero.org/styles/cognition</vt:lpwstr>
  </property>
  <property fmtid="{D5CDD505-2E9C-101B-9397-08002B2CF9AE}" pid="13" name="Mendeley Recent Style Name 4_1">
    <vt:lpwstr>Cognition</vt:lpwstr>
  </property>
  <property fmtid="{D5CDD505-2E9C-101B-9397-08002B2CF9AE}" pid="14" name="Mendeley Recent Style Id 5_1">
    <vt:lpwstr>http://www.zotero.org/styles/harvard1</vt:lpwstr>
  </property>
  <property fmtid="{D5CDD505-2E9C-101B-9397-08002B2CF9AE}" pid="15" name="Mendeley Recent Style Name 5_1">
    <vt:lpwstr>Harvard Reference format 1 (author-date)</vt:lpwstr>
  </property>
  <property fmtid="{D5CDD505-2E9C-101B-9397-08002B2CF9AE}" pid="16" name="Mendeley Recent Style Id 6_1">
    <vt:lpwstr>http://www.zotero.org/styles/modern-humanities-research-association</vt:lpwstr>
  </property>
  <property fmtid="{D5CDD505-2E9C-101B-9397-08002B2CF9AE}" pid="17" name="Mendeley Recent Style Name 6_1">
    <vt:lpwstr>Modern Humanities Research Association 3rd edition (note with bibliography)</vt:lpwstr>
  </property>
  <property fmtid="{D5CDD505-2E9C-101B-9397-08002B2CF9AE}" pid="18" name="Mendeley Recent Style Id 7_1">
    <vt:lpwstr>http://www.zotero.org/styles/modern-language-association</vt:lpwstr>
  </property>
  <property fmtid="{D5CDD505-2E9C-101B-9397-08002B2CF9AE}" pid="19" name="Mendeley Recent Style Name 7_1">
    <vt:lpwstr>Modern Language Association 7th edition</vt:lpwstr>
  </property>
  <property fmtid="{D5CDD505-2E9C-101B-9397-08002B2CF9AE}" pid="20" name="Mendeley Recent Style Id 8_1">
    <vt:lpwstr>http://www.zotero.org/styles/nature</vt:lpwstr>
  </property>
  <property fmtid="{D5CDD505-2E9C-101B-9397-08002B2CF9AE}" pid="21" name="Mendeley Recent Style Name 8_1">
    <vt:lpwstr>Nature</vt:lpwstr>
  </property>
  <property fmtid="{D5CDD505-2E9C-101B-9397-08002B2CF9AE}" pid="22" name="Mendeley Recent Style Id 9_1">
    <vt:lpwstr>http://www.zotero.org/styles/the-journal-of-neuroscience</vt:lpwstr>
  </property>
  <property fmtid="{D5CDD505-2E9C-101B-9397-08002B2CF9AE}" pid="23" name="Mendeley Recent Style Name 9_1">
    <vt:lpwstr>The Journal of Neuroscience</vt:lpwstr>
  </property>
  <property fmtid="{D5CDD505-2E9C-101B-9397-08002B2CF9AE}" pid="24" name="Mendeley Citation Style_1">
    <vt:lpwstr>http://www.zotero.org/styles/apa</vt:lpwstr>
  </property>
</Properties>
</file>