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206AE5" w14:textId="77777777" w:rsidR="005F61F3" w:rsidRPr="005152E5" w:rsidRDefault="005F61F3" w:rsidP="005F61F3">
      <w:pPr>
        <w:spacing w:line="276" w:lineRule="auto"/>
        <w:jc w:val="center"/>
        <w:rPr>
          <w:b/>
          <w:bCs/>
          <w:sz w:val="28"/>
          <w:szCs w:val="28"/>
        </w:rPr>
      </w:pPr>
      <w:r w:rsidRPr="005152E5">
        <w:rPr>
          <w:b/>
          <w:bCs/>
          <w:sz w:val="28"/>
          <w:szCs w:val="28"/>
        </w:rPr>
        <w:t>Making more effective use of human behavioural science in conservation interventions</w:t>
      </w:r>
    </w:p>
    <w:p w14:paraId="4FB1A3F7" w14:textId="77777777" w:rsidR="005F61F3" w:rsidRPr="005F61F3" w:rsidRDefault="005F61F3" w:rsidP="005F61F3">
      <w:pPr>
        <w:spacing w:line="276" w:lineRule="auto"/>
        <w:jc w:val="center"/>
        <w:rPr>
          <w:b/>
          <w:bCs/>
        </w:rPr>
      </w:pPr>
    </w:p>
    <w:p w14:paraId="6CEC0D39" w14:textId="77777777" w:rsidR="005F61F3" w:rsidRPr="005152E5" w:rsidRDefault="005F61F3" w:rsidP="005F61F3">
      <w:pPr>
        <w:spacing w:line="276" w:lineRule="auto"/>
        <w:rPr>
          <w:vertAlign w:val="superscript"/>
        </w:rPr>
      </w:pPr>
      <w:r w:rsidRPr="005152E5">
        <w:t>Andrew Balmford</w:t>
      </w:r>
      <w:r w:rsidRPr="005152E5">
        <w:rPr>
          <w:vertAlign w:val="superscript"/>
        </w:rPr>
        <w:t>1*</w:t>
      </w:r>
      <w:r w:rsidRPr="005152E5">
        <w:t>, Richard B. Bradbury</w:t>
      </w:r>
      <w:r w:rsidRPr="005152E5">
        <w:rPr>
          <w:vertAlign w:val="superscript"/>
        </w:rPr>
        <w:t>1,2</w:t>
      </w:r>
      <w:r w:rsidRPr="005152E5">
        <w:t>, Jan M. Bauer</w:t>
      </w:r>
      <w:r w:rsidRPr="005152E5">
        <w:rPr>
          <w:vertAlign w:val="superscript"/>
        </w:rPr>
        <w:t>3</w:t>
      </w:r>
      <w:r w:rsidRPr="005152E5">
        <w:t>, Steven Broad</w:t>
      </w:r>
      <w:r w:rsidRPr="005152E5">
        <w:rPr>
          <w:vertAlign w:val="superscript"/>
        </w:rPr>
        <w:t>4</w:t>
      </w:r>
      <w:r w:rsidRPr="005152E5">
        <w:t>, Gayle Burgess</w:t>
      </w:r>
      <w:r w:rsidRPr="005152E5">
        <w:rPr>
          <w:vertAlign w:val="superscript"/>
        </w:rPr>
        <w:t>4</w:t>
      </w:r>
      <w:r w:rsidRPr="005152E5">
        <w:t>, Mark Burgman</w:t>
      </w:r>
      <w:r w:rsidRPr="005152E5">
        <w:rPr>
          <w:vertAlign w:val="superscript"/>
        </w:rPr>
        <w:t>5</w:t>
      </w:r>
      <w:r w:rsidRPr="005152E5">
        <w:t>, Hilary Byerly</w:t>
      </w:r>
      <w:r w:rsidRPr="005152E5">
        <w:rPr>
          <w:vertAlign w:val="superscript"/>
        </w:rPr>
        <w:t>6</w:t>
      </w:r>
      <w:r w:rsidRPr="005152E5">
        <w:t>, Susan Clayton</w:t>
      </w:r>
      <w:r w:rsidRPr="005152E5">
        <w:rPr>
          <w:vertAlign w:val="superscript"/>
        </w:rPr>
        <w:t>7</w:t>
      </w:r>
      <w:r w:rsidRPr="005152E5">
        <w:t>, Dulce Espelosin</w:t>
      </w:r>
      <w:r w:rsidRPr="005152E5">
        <w:rPr>
          <w:vertAlign w:val="superscript"/>
        </w:rPr>
        <w:t>8</w:t>
      </w:r>
      <w:r w:rsidRPr="005152E5">
        <w:t>, Paul J. Ferraro</w:t>
      </w:r>
      <w:r w:rsidRPr="005152E5">
        <w:rPr>
          <w:vertAlign w:val="superscript"/>
        </w:rPr>
        <w:t>9</w:t>
      </w:r>
      <w:r w:rsidRPr="005152E5">
        <w:t>, Brendan Fisher</w:t>
      </w:r>
      <w:r w:rsidRPr="005152E5">
        <w:rPr>
          <w:vertAlign w:val="superscript"/>
        </w:rPr>
        <w:t>10,11</w:t>
      </w:r>
      <w:r w:rsidRPr="005152E5">
        <w:t>, Emma E. Garnett</w:t>
      </w:r>
      <w:r w:rsidRPr="005152E5">
        <w:rPr>
          <w:vertAlign w:val="superscript"/>
        </w:rPr>
        <w:t>1,12</w:t>
      </w:r>
      <w:r w:rsidRPr="005152E5">
        <w:t>, Julia P. G. Jones</w:t>
      </w:r>
      <w:r w:rsidRPr="005152E5">
        <w:rPr>
          <w:vertAlign w:val="superscript"/>
        </w:rPr>
        <w:t>13</w:t>
      </w:r>
      <w:r w:rsidRPr="005152E5">
        <w:t>, Theresa M. Marteau</w:t>
      </w:r>
      <w:r w:rsidRPr="005152E5">
        <w:rPr>
          <w:vertAlign w:val="superscript"/>
        </w:rPr>
        <w:t>14</w:t>
      </w:r>
      <w:r w:rsidRPr="005152E5">
        <w:t>, Mark Otieno</w:t>
      </w:r>
      <w:r w:rsidRPr="005152E5">
        <w:rPr>
          <w:vertAlign w:val="superscript"/>
        </w:rPr>
        <w:t>15,16</w:t>
      </w:r>
      <w:r w:rsidRPr="005152E5">
        <w:t>, Stephen Polasky</w:t>
      </w:r>
      <w:r w:rsidRPr="005152E5">
        <w:rPr>
          <w:vertAlign w:val="superscript"/>
        </w:rPr>
        <w:t>17,18</w:t>
      </w:r>
      <w:r w:rsidRPr="005152E5">
        <w:t>, Taylor H. Ricketts</w:t>
      </w:r>
      <w:r w:rsidRPr="005152E5">
        <w:rPr>
          <w:vertAlign w:val="superscript"/>
        </w:rPr>
        <w:t>10,11</w:t>
      </w:r>
      <w:r w:rsidRPr="005152E5">
        <w:t>, Chris Sandbrook</w:t>
      </w:r>
      <w:r w:rsidRPr="005152E5">
        <w:rPr>
          <w:vertAlign w:val="superscript"/>
        </w:rPr>
        <w:t>19</w:t>
      </w:r>
      <w:r w:rsidRPr="005152E5">
        <w:t>, Kira Sullivan-Wiley</w:t>
      </w:r>
      <w:r w:rsidRPr="005152E5">
        <w:rPr>
          <w:vertAlign w:val="superscript"/>
        </w:rPr>
        <w:t>20</w:t>
      </w:r>
      <w:r w:rsidRPr="005152E5">
        <w:t>, Rosie Trevelyan</w:t>
      </w:r>
      <w:r w:rsidRPr="005152E5">
        <w:rPr>
          <w:vertAlign w:val="superscript"/>
        </w:rPr>
        <w:t>21</w:t>
      </w:r>
      <w:r w:rsidRPr="005152E5">
        <w:t>, Sander van der Linden</w:t>
      </w:r>
      <w:r w:rsidRPr="005152E5">
        <w:rPr>
          <w:vertAlign w:val="superscript"/>
        </w:rPr>
        <w:t>22</w:t>
      </w:r>
      <w:r w:rsidRPr="005152E5">
        <w:t>, Diogo Veríssimo</w:t>
      </w:r>
      <w:r w:rsidRPr="005152E5">
        <w:rPr>
          <w:vertAlign w:val="superscript"/>
        </w:rPr>
        <w:t>23</w:t>
      </w:r>
      <w:r w:rsidRPr="005152E5">
        <w:t>, and Kristian Steensen Nielsen</w:t>
      </w:r>
      <w:r w:rsidRPr="005152E5">
        <w:rPr>
          <w:vertAlign w:val="superscript"/>
        </w:rPr>
        <w:t>1, 22</w:t>
      </w:r>
    </w:p>
    <w:p w14:paraId="4BA5F8D7" w14:textId="77777777" w:rsidR="005F61F3" w:rsidRPr="005152E5" w:rsidRDefault="005F61F3" w:rsidP="005F61F3">
      <w:pPr>
        <w:spacing w:line="276" w:lineRule="auto"/>
      </w:pPr>
    </w:p>
    <w:p w14:paraId="2259F439" w14:textId="77777777" w:rsidR="005F61F3" w:rsidRPr="005152E5" w:rsidRDefault="005F61F3" w:rsidP="005F61F3">
      <w:pPr>
        <w:spacing w:line="276" w:lineRule="auto"/>
      </w:pPr>
      <w:r w:rsidRPr="005152E5">
        <w:rPr>
          <w:vertAlign w:val="superscript"/>
        </w:rPr>
        <w:t>1</w:t>
      </w:r>
      <w:r w:rsidRPr="005152E5">
        <w:t xml:space="preserve"> Conservation Science Group, Department of Zoology, Cambridge CB2 3QZ, UK</w:t>
      </w:r>
    </w:p>
    <w:p w14:paraId="6FFAFE94" w14:textId="77777777" w:rsidR="005F61F3" w:rsidRPr="005152E5" w:rsidRDefault="005F61F3" w:rsidP="005F61F3">
      <w:pPr>
        <w:spacing w:line="276" w:lineRule="auto"/>
      </w:pPr>
      <w:r w:rsidRPr="005152E5">
        <w:rPr>
          <w:vertAlign w:val="superscript"/>
        </w:rPr>
        <w:t>2</w:t>
      </w:r>
      <w:r w:rsidRPr="005152E5">
        <w:t xml:space="preserve"> Centre for Conservation Science, RSPB, Bedfordshire SG19 2DL, UK</w:t>
      </w:r>
    </w:p>
    <w:p w14:paraId="0B0565BC" w14:textId="77777777" w:rsidR="005F61F3" w:rsidRPr="005152E5" w:rsidRDefault="005F61F3" w:rsidP="005F61F3">
      <w:pPr>
        <w:spacing w:line="276" w:lineRule="auto"/>
      </w:pPr>
      <w:r w:rsidRPr="005152E5">
        <w:rPr>
          <w:vertAlign w:val="superscript"/>
        </w:rPr>
        <w:t>3</w:t>
      </w:r>
      <w:r w:rsidRPr="005152E5">
        <w:t>Department of Management, Society and Communication, Copenhagen Business School, 2000 Frederiksberg, Denmark</w:t>
      </w:r>
    </w:p>
    <w:p w14:paraId="691C9B69" w14:textId="77777777" w:rsidR="005F61F3" w:rsidRPr="005152E5" w:rsidRDefault="005F61F3" w:rsidP="005F61F3">
      <w:pPr>
        <w:spacing w:line="276" w:lineRule="auto"/>
      </w:pPr>
      <w:r w:rsidRPr="005152E5">
        <w:rPr>
          <w:vertAlign w:val="superscript"/>
        </w:rPr>
        <w:t>4</w:t>
      </w:r>
      <w:r w:rsidRPr="005152E5">
        <w:t xml:space="preserve"> TRAFFIC, Cambridge CB2 3QZ, UK</w:t>
      </w:r>
    </w:p>
    <w:p w14:paraId="0982FB3E" w14:textId="77777777" w:rsidR="005F61F3" w:rsidRPr="005152E5" w:rsidRDefault="005F61F3" w:rsidP="005F61F3">
      <w:pPr>
        <w:spacing w:line="276" w:lineRule="auto"/>
      </w:pPr>
      <w:r w:rsidRPr="005152E5">
        <w:rPr>
          <w:vertAlign w:val="superscript"/>
        </w:rPr>
        <w:t>5</w:t>
      </w:r>
      <w:r w:rsidRPr="005152E5">
        <w:t xml:space="preserve"> </w:t>
      </w:r>
      <w:r w:rsidRPr="005152E5">
        <w:rPr>
          <w:rFonts w:ascii="Courier New" w:hAnsi="Courier New" w:cs="Courier New"/>
        </w:rPr>
        <w:t>﻿</w:t>
      </w:r>
      <w:r w:rsidRPr="005152E5">
        <w:t>Centre for Environmental Policy, Imperial College London, South Kensington SW7 1NE, UK</w:t>
      </w:r>
    </w:p>
    <w:p w14:paraId="00ED22D0" w14:textId="77777777" w:rsidR="005F61F3" w:rsidRPr="005152E5" w:rsidRDefault="005F61F3" w:rsidP="005F61F3">
      <w:pPr>
        <w:spacing w:line="276" w:lineRule="auto"/>
      </w:pPr>
      <w:r w:rsidRPr="005152E5">
        <w:rPr>
          <w:vertAlign w:val="superscript"/>
        </w:rPr>
        <w:t xml:space="preserve">6 </w:t>
      </w:r>
      <w:r w:rsidRPr="005152E5">
        <w:t xml:space="preserve">Institute of </w:t>
      </w:r>
      <w:proofErr w:type="spellStart"/>
      <w:r w:rsidRPr="005152E5">
        <w:t>Behavioral</w:t>
      </w:r>
      <w:proofErr w:type="spellEnd"/>
      <w:r w:rsidRPr="005152E5">
        <w:t xml:space="preserve"> Science, University of Colorado, Boulder, CO, USA</w:t>
      </w:r>
    </w:p>
    <w:p w14:paraId="245D3C43" w14:textId="77777777" w:rsidR="005F61F3" w:rsidRPr="005152E5" w:rsidRDefault="005F61F3" w:rsidP="005F61F3">
      <w:pPr>
        <w:spacing w:line="276" w:lineRule="auto"/>
      </w:pPr>
      <w:r w:rsidRPr="005152E5">
        <w:rPr>
          <w:vertAlign w:val="superscript"/>
        </w:rPr>
        <w:t>7</w:t>
      </w:r>
      <w:r w:rsidRPr="005152E5">
        <w:t xml:space="preserve"> Psychology Department, The College of Wooster, Wooster, Ohio, USA</w:t>
      </w:r>
    </w:p>
    <w:p w14:paraId="27DDA0BF" w14:textId="77777777" w:rsidR="005F61F3" w:rsidRPr="005152E5" w:rsidRDefault="005F61F3" w:rsidP="005F61F3">
      <w:pPr>
        <w:spacing w:line="276" w:lineRule="auto"/>
      </w:pPr>
      <w:r w:rsidRPr="005152E5">
        <w:rPr>
          <w:vertAlign w:val="superscript"/>
        </w:rPr>
        <w:t>8</w:t>
      </w:r>
      <w:r w:rsidRPr="005152E5">
        <w:t xml:space="preserve"> Center for </w:t>
      </w:r>
      <w:proofErr w:type="spellStart"/>
      <w:r w:rsidRPr="005152E5">
        <w:t>Behavior</w:t>
      </w:r>
      <w:proofErr w:type="spellEnd"/>
      <w:r w:rsidRPr="005152E5">
        <w:t xml:space="preserve"> &amp; the Environment, Rare, Querétaro CP. 76915, México</w:t>
      </w:r>
    </w:p>
    <w:p w14:paraId="7C6C8C86" w14:textId="77777777" w:rsidR="005F61F3" w:rsidRPr="005152E5" w:rsidRDefault="005F61F3" w:rsidP="005F61F3">
      <w:pPr>
        <w:spacing w:line="276" w:lineRule="auto"/>
      </w:pPr>
      <w:r w:rsidRPr="005152E5">
        <w:rPr>
          <w:vertAlign w:val="superscript"/>
        </w:rPr>
        <w:t>9</w:t>
      </w:r>
      <w:r w:rsidRPr="005152E5">
        <w:t xml:space="preserve"> Carey Business School and the Department of Environmental Health and Engineering, a joint department of the Bloomberg School of Public Health and the Whiting School of Engineering, Johns Hopkins University, Baltimore, MD, USA</w:t>
      </w:r>
    </w:p>
    <w:p w14:paraId="6B57DDA9" w14:textId="77777777" w:rsidR="005F61F3" w:rsidRPr="005152E5" w:rsidRDefault="005F61F3" w:rsidP="005F61F3">
      <w:pPr>
        <w:spacing w:line="276" w:lineRule="auto"/>
      </w:pPr>
      <w:r w:rsidRPr="005152E5">
        <w:rPr>
          <w:vertAlign w:val="superscript"/>
        </w:rPr>
        <w:t>10</w:t>
      </w:r>
      <w:r w:rsidRPr="005152E5">
        <w:t xml:space="preserve"> Gund Institute for Environment, University of Vermont, Burlington, Vermont, USA</w:t>
      </w:r>
    </w:p>
    <w:p w14:paraId="24DF910F" w14:textId="77777777" w:rsidR="005F61F3" w:rsidRPr="005152E5" w:rsidRDefault="005F61F3" w:rsidP="005F61F3">
      <w:pPr>
        <w:spacing w:line="276" w:lineRule="auto"/>
      </w:pPr>
      <w:r w:rsidRPr="005152E5">
        <w:rPr>
          <w:vertAlign w:val="superscript"/>
        </w:rPr>
        <w:t>11</w:t>
      </w:r>
      <w:r w:rsidRPr="005152E5">
        <w:t xml:space="preserve"> </w:t>
      </w:r>
      <w:r w:rsidRPr="005152E5">
        <w:rPr>
          <w:rFonts w:ascii="Courier New" w:hAnsi="Courier New" w:cs="Courier New"/>
        </w:rPr>
        <w:t>﻿</w:t>
      </w:r>
      <w:r w:rsidRPr="005152E5">
        <w:t>Environmental Program, Rubenstein School of Environment and Natural Resources, University of Vermont, Burlington, Vermont, USA</w:t>
      </w:r>
    </w:p>
    <w:p w14:paraId="2FCCBF3F" w14:textId="77777777" w:rsidR="005F61F3" w:rsidRPr="005152E5" w:rsidRDefault="005F61F3" w:rsidP="005F61F3">
      <w:pPr>
        <w:spacing w:line="276" w:lineRule="auto"/>
      </w:pPr>
      <w:r w:rsidRPr="005152E5">
        <w:rPr>
          <w:vertAlign w:val="superscript"/>
        </w:rPr>
        <w:t>12</w:t>
      </w:r>
      <w:r w:rsidRPr="005152E5">
        <w:t xml:space="preserve"> Cambridge Institute for Sustainability Leadership, University of Cambridge, Cambridge CB2 1QA, UK</w:t>
      </w:r>
    </w:p>
    <w:p w14:paraId="5CD1A2B6" w14:textId="77777777" w:rsidR="005F61F3" w:rsidRPr="005152E5" w:rsidRDefault="005F61F3" w:rsidP="005F61F3">
      <w:pPr>
        <w:spacing w:line="276" w:lineRule="auto"/>
      </w:pPr>
      <w:r w:rsidRPr="005152E5">
        <w:rPr>
          <w:vertAlign w:val="superscript"/>
        </w:rPr>
        <w:t>13</w:t>
      </w:r>
      <w:r w:rsidRPr="005152E5">
        <w:t xml:space="preserve"> College of Environmental Sciences and Engineering, Bangor University, Bangor LL57 2DG, UK</w:t>
      </w:r>
    </w:p>
    <w:p w14:paraId="715BFD40" w14:textId="77777777" w:rsidR="005F61F3" w:rsidRPr="005152E5" w:rsidRDefault="005F61F3" w:rsidP="005F61F3">
      <w:pPr>
        <w:spacing w:line="276" w:lineRule="auto"/>
      </w:pPr>
      <w:r w:rsidRPr="005152E5">
        <w:rPr>
          <w:vertAlign w:val="superscript"/>
        </w:rPr>
        <w:t xml:space="preserve">14 </w:t>
      </w:r>
      <w:r w:rsidRPr="005152E5">
        <w:t>Behaviour and Health Research Unit, University of Cambridge, Cambridge CB2 0SR, UK</w:t>
      </w:r>
    </w:p>
    <w:p w14:paraId="710F77FC" w14:textId="77777777" w:rsidR="005F61F3" w:rsidRPr="005152E5" w:rsidRDefault="005F61F3" w:rsidP="005F61F3">
      <w:pPr>
        <w:spacing w:line="276" w:lineRule="auto"/>
      </w:pPr>
      <w:r w:rsidRPr="005152E5">
        <w:rPr>
          <w:vertAlign w:val="superscript"/>
        </w:rPr>
        <w:t xml:space="preserve">15 </w:t>
      </w:r>
      <w:r w:rsidRPr="005152E5">
        <w:t>Department of Animal Ecology and Tropical Biology, University of Würzburg, Würzburg, Germany</w:t>
      </w:r>
    </w:p>
    <w:p w14:paraId="797AE293" w14:textId="77777777" w:rsidR="005F61F3" w:rsidRPr="005152E5" w:rsidRDefault="005F61F3" w:rsidP="005F61F3">
      <w:pPr>
        <w:spacing w:line="276" w:lineRule="auto"/>
      </w:pPr>
      <w:r w:rsidRPr="005152E5">
        <w:rPr>
          <w:vertAlign w:val="superscript"/>
        </w:rPr>
        <w:t xml:space="preserve">16 </w:t>
      </w:r>
      <w:r w:rsidRPr="005152E5">
        <w:t>Department of Agricultural Resource Management, University of Embu, P.O. Box 6-60100, Embu, Kenya</w:t>
      </w:r>
    </w:p>
    <w:p w14:paraId="7A530E1F" w14:textId="77777777" w:rsidR="005F61F3" w:rsidRPr="005152E5" w:rsidRDefault="005F61F3" w:rsidP="005F61F3">
      <w:pPr>
        <w:spacing w:line="276" w:lineRule="auto"/>
      </w:pPr>
      <w:r w:rsidRPr="005152E5">
        <w:rPr>
          <w:vertAlign w:val="superscript"/>
        </w:rPr>
        <w:lastRenderedPageBreak/>
        <w:t xml:space="preserve">17 </w:t>
      </w:r>
      <w:r w:rsidRPr="005152E5">
        <w:t xml:space="preserve">Department of Applied Economics, University of Minnesota, St. Paul, MN, USA </w:t>
      </w:r>
    </w:p>
    <w:p w14:paraId="5F51AAAE" w14:textId="77777777" w:rsidR="005F61F3" w:rsidRPr="005152E5" w:rsidRDefault="005F61F3" w:rsidP="005F61F3">
      <w:pPr>
        <w:spacing w:line="276" w:lineRule="auto"/>
      </w:pPr>
      <w:r w:rsidRPr="005152E5">
        <w:rPr>
          <w:vertAlign w:val="superscript"/>
        </w:rPr>
        <w:t xml:space="preserve">18 </w:t>
      </w:r>
      <w:r w:rsidRPr="005152E5">
        <w:t>Natural Capital Project, University of Minnesota, St. Paul, MN, USA</w:t>
      </w:r>
    </w:p>
    <w:p w14:paraId="5B0DB2F2" w14:textId="77777777" w:rsidR="005F61F3" w:rsidRPr="005152E5" w:rsidRDefault="005F61F3" w:rsidP="005F61F3">
      <w:pPr>
        <w:spacing w:line="276" w:lineRule="auto"/>
      </w:pPr>
      <w:r w:rsidRPr="005152E5">
        <w:rPr>
          <w:vertAlign w:val="superscript"/>
        </w:rPr>
        <w:t>19</w:t>
      </w:r>
      <w:r w:rsidRPr="005152E5">
        <w:t xml:space="preserve"> Department of Geography, University of Cambridge, Cambridge CB2 3QZ, UK</w:t>
      </w:r>
    </w:p>
    <w:p w14:paraId="3796D0AC" w14:textId="77777777" w:rsidR="005F61F3" w:rsidRPr="005152E5" w:rsidRDefault="005F61F3" w:rsidP="005F61F3">
      <w:pPr>
        <w:spacing w:line="276" w:lineRule="auto"/>
      </w:pPr>
      <w:r w:rsidRPr="005152E5">
        <w:rPr>
          <w:vertAlign w:val="superscript"/>
        </w:rPr>
        <w:t xml:space="preserve">20 </w:t>
      </w:r>
      <w:r w:rsidRPr="005152E5">
        <w:rPr>
          <w:iCs/>
        </w:rPr>
        <w:t>The Frederick S. Pardee Center for the Study of the Longer-Range Future, Boston University, Boston, MA, 02215, USA</w:t>
      </w:r>
    </w:p>
    <w:p w14:paraId="2FD01966" w14:textId="77777777" w:rsidR="005F61F3" w:rsidRPr="005152E5" w:rsidRDefault="005F61F3" w:rsidP="005F61F3">
      <w:pPr>
        <w:spacing w:line="276" w:lineRule="auto"/>
      </w:pPr>
      <w:r w:rsidRPr="005152E5">
        <w:rPr>
          <w:vertAlign w:val="superscript"/>
        </w:rPr>
        <w:t xml:space="preserve">21 </w:t>
      </w:r>
      <w:r w:rsidRPr="005152E5">
        <w:t>Tropical Biology Association, Cambridge CB2 3QZ, UK</w:t>
      </w:r>
    </w:p>
    <w:p w14:paraId="5D6B1965" w14:textId="77777777" w:rsidR="005F61F3" w:rsidRPr="005152E5" w:rsidRDefault="005F61F3" w:rsidP="005F61F3">
      <w:pPr>
        <w:spacing w:line="276" w:lineRule="auto"/>
      </w:pPr>
      <w:r w:rsidRPr="005152E5">
        <w:rPr>
          <w:rFonts w:ascii="Courier New" w:hAnsi="Courier New" w:cs="Courier New"/>
        </w:rPr>
        <w:t>﻿</w:t>
      </w:r>
      <w:r w:rsidRPr="005152E5">
        <w:rPr>
          <w:vertAlign w:val="superscript"/>
        </w:rPr>
        <w:t xml:space="preserve">22 </w:t>
      </w:r>
      <w:r w:rsidRPr="005152E5">
        <w:t>Department of Psychology, University of Cambridge, Cambridge CB2 3EB, UK</w:t>
      </w:r>
    </w:p>
    <w:p w14:paraId="70BA327F" w14:textId="77777777" w:rsidR="005F61F3" w:rsidRPr="005152E5" w:rsidRDefault="005F61F3" w:rsidP="005F61F3">
      <w:pPr>
        <w:spacing w:line="276" w:lineRule="auto"/>
      </w:pPr>
      <w:r w:rsidRPr="005152E5">
        <w:rPr>
          <w:vertAlign w:val="superscript"/>
        </w:rPr>
        <w:t>23</w:t>
      </w:r>
      <w:r w:rsidRPr="005152E5">
        <w:t xml:space="preserve"> </w:t>
      </w:r>
      <w:r w:rsidRPr="005152E5">
        <w:rPr>
          <w:rFonts w:ascii="Courier New" w:hAnsi="Courier New" w:cs="Courier New"/>
        </w:rPr>
        <w:t>﻿</w:t>
      </w:r>
      <w:r w:rsidRPr="005152E5">
        <w:t>Department of Zoology, Oxford Martin School, University of Oxford, Oxford OX1 3BD, UK</w:t>
      </w:r>
    </w:p>
    <w:p w14:paraId="3230272D" w14:textId="77777777" w:rsidR="005F61F3" w:rsidRPr="005152E5" w:rsidRDefault="005F61F3" w:rsidP="005F61F3">
      <w:pPr>
        <w:spacing w:line="276" w:lineRule="auto"/>
      </w:pPr>
      <w:r w:rsidRPr="005152E5">
        <w:rPr>
          <w:rFonts w:ascii="Courier New" w:hAnsi="Courier New" w:cs="Courier New"/>
        </w:rPr>
        <w:t>﻿</w:t>
      </w:r>
    </w:p>
    <w:p w14:paraId="7C5BB8B2" w14:textId="77777777" w:rsidR="005F61F3" w:rsidRPr="005152E5" w:rsidRDefault="005F61F3" w:rsidP="005F61F3">
      <w:pPr>
        <w:spacing w:line="276" w:lineRule="auto"/>
      </w:pPr>
      <w:r w:rsidRPr="005152E5">
        <w:t xml:space="preserve">*Corresponding author: </w:t>
      </w:r>
      <w:hyperlink r:id="rId11" w:history="1">
        <w:r w:rsidRPr="005152E5">
          <w:rPr>
            <w:rStyle w:val="Hyperlink"/>
          </w:rPr>
          <w:t>apb12@cam.ac.uk</w:t>
        </w:r>
      </w:hyperlink>
    </w:p>
    <w:p w14:paraId="65C96C37" w14:textId="77777777" w:rsidR="005F61F3" w:rsidRPr="005152E5" w:rsidRDefault="005F61F3" w:rsidP="005F61F3">
      <w:pPr>
        <w:spacing w:line="276" w:lineRule="auto"/>
      </w:pPr>
    </w:p>
    <w:p w14:paraId="7B495504" w14:textId="77777777" w:rsidR="005F61F3" w:rsidRPr="005152E5" w:rsidRDefault="005F61F3" w:rsidP="005F61F3">
      <w:pPr>
        <w:spacing w:line="276" w:lineRule="auto"/>
      </w:pPr>
      <w:r w:rsidRPr="005152E5">
        <w:rPr>
          <w:b/>
          <w:bCs/>
        </w:rPr>
        <w:t>Keywords:</w:t>
      </w:r>
      <w:r w:rsidRPr="005152E5">
        <w:t xml:space="preserve"> behavioural science</w:t>
      </w:r>
      <w:r>
        <w:t>;</w:t>
      </w:r>
      <w:r w:rsidRPr="005152E5">
        <w:t xml:space="preserve"> behaviour change</w:t>
      </w:r>
      <w:r>
        <w:t>;</w:t>
      </w:r>
      <w:r w:rsidRPr="005152E5">
        <w:t xml:space="preserve"> interdisciplinarity</w:t>
      </w:r>
      <w:r>
        <w:t>;</w:t>
      </w:r>
      <w:r w:rsidRPr="005152E5">
        <w:t xml:space="preserve"> conservation interventions</w:t>
      </w:r>
      <w:r>
        <w:t>;</w:t>
      </w:r>
      <w:r w:rsidRPr="005152E5">
        <w:t xml:space="preserve"> nudging</w:t>
      </w:r>
    </w:p>
    <w:p w14:paraId="474F6EE4" w14:textId="77777777" w:rsidR="005F61F3" w:rsidRPr="005152E5" w:rsidRDefault="005F61F3" w:rsidP="005F61F3">
      <w:pPr>
        <w:spacing w:line="276" w:lineRule="auto"/>
      </w:pPr>
      <w:r w:rsidRPr="005152E5">
        <w:rPr>
          <w:b/>
          <w:bCs/>
        </w:rPr>
        <w:t>Running head:</w:t>
      </w:r>
      <w:r w:rsidRPr="005152E5">
        <w:t xml:space="preserve"> Effective use of </w:t>
      </w:r>
      <w:r>
        <w:t xml:space="preserve">human </w:t>
      </w:r>
      <w:r w:rsidRPr="005152E5">
        <w:t>behavioural science</w:t>
      </w:r>
    </w:p>
    <w:p w14:paraId="4D5E0528" w14:textId="77777777" w:rsidR="005F61F3" w:rsidRPr="005152E5" w:rsidRDefault="005F61F3" w:rsidP="005F61F3">
      <w:pPr>
        <w:spacing w:line="276" w:lineRule="auto"/>
        <w:rPr>
          <w:b/>
          <w:bCs/>
        </w:rPr>
      </w:pPr>
      <w:r w:rsidRPr="005152E5">
        <w:rPr>
          <w:b/>
          <w:bCs/>
        </w:rPr>
        <w:t xml:space="preserve">Word count: </w:t>
      </w:r>
      <w:r w:rsidRPr="005152E5">
        <w:t>6,</w:t>
      </w:r>
      <w:r>
        <w:t>408</w:t>
      </w:r>
      <w:r w:rsidRPr="005152E5">
        <w:t xml:space="preserve"> (excluding references)</w:t>
      </w:r>
    </w:p>
    <w:p w14:paraId="2AF8B1B0" w14:textId="77777777" w:rsidR="005F61F3" w:rsidRPr="005152E5" w:rsidRDefault="005F61F3" w:rsidP="005F61F3">
      <w:pPr>
        <w:spacing w:after="0"/>
        <w:rPr>
          <w:b/>
          <w:bCs/>
        </w:rPr>
      </w:pPr>
      <w:r w:rsidRPr="005152E5">
        <w:rPr>
          <w:b/>
          <w:bCs/>
        </w:rPr>
        <w:t>Acknowledgements</w:t>
      </w:r>
    </w:p>
    <w:p w14:paraId="21C584D5" w14:textId="77777777" w:rsidR="005F61F3" w:rsidRPr="005152E5" w:rsidRDefault="005F61F3" w:rsidP="005F61F3">
      <w:pPr>
        <w:spacing w:after="0" w:line="240" w:lineRule="auto"/>
      </w:pPr>
      <w:r w:rsidRPr="005152E5">
        <w:t>We are grateful for funding from the Cambridge Conservation Initiative Collaborative</w:t>
      </w:r>
    </w:p>
    <w:p w14:paraId="31859554" w14:textId="77777777" w:rsidR="005F61F3" w:rsidRPr="005152E5" w:rsidRDefault="005F61F3" w:rsidP="005F61F3">
      <w:pPr>
        <w:spacing w:after="0" w:line="240" w:lineRule="auto"/>
      </w:pPr>
      <w:r w:rsidRPr="005152E5">
        <w:t>Fund and Arcadia, RSPB and the Gund Institute for Environment, University of Vermont. AB is supported by a Royal Society Wolfson Research Merit award. EEG was supported by a NERC studentship, grant number NE/L002507/1. We thank David Aldridge and Will Morgan for helpful discussion and inputs to the manuscript.</w:t>
      </w:r>
    </w:p>
    <w:p w14:paraId="6CBE88F6" w14:textId="77777777" w:rsidR="005F61F3" w:rsidRPr="005152E5" w:rsidRDefault="005F61F3" w:rsidP="005F61F3"/>
    <w:p w14:paraId="64993037" w14:textId="77777777" w:rsidR="005F61F3" w:rsidRPr="005152E5" w:rsidRDefault="005F61F3" w:rsidP="005F61F3"/>
    <w:p w14:paraId="52CB8F28" w14:textId="77777777" w:rsidR="005F61F3" w:rsidRDefault="005F61F3">
      <w:pPr>
        <w:rPr>
          <w:b/>
          <w:bCs/>
        </w:rPr>
      </w:pPr>
      <w:r>
        <w:rPr>
          <w:b/>
          <w:bCs/>
        </w:rPr>
        <w:br w:type="page"/>
      </w:r>
    </w:p>
    <w:p w14:paraId="43F41B59" w14:textId="1DF172BD" w:rsidR="00450CA8" w:rsidRPr="00E7337F" w:rsidRDefault="00EE12F8" w:rsidP="00950E9F">
      <w:pPr>
        <w:spacing w:after="0" w:line="480" w:lineRule="auto"/>
        <w:rPr>
          <w:b/>
          <w:bCs/>
        </w:rPr>
      </w:pPr>
      <w:r w:rsidRPr="00E7337F">
        <w:rPr>
          <w:b/>
          <w:bCs/>
        </w:rPr>
        <w:lastRenderedPageBreak/>
        <w:t>Abstract</w:t>
      </w:r>
    </w:p>
    <w:p w14:paraId="0D9714F0" w14:textId="09D33EAA" w:rsidR="00450CA8" w:rsidRPr="00E7337F" w:rsidRDefault="007544AF" w:rsidP="00950E9F">
      <w:pPr>
        <w:spacing w:after="0" w:line="480" w:lineRule="auto"/>
      </w:pPr>
      <w:r w:rsidRPr="00E7337F">
        <w:t>Conservation is predominantly an exercise in trying to change human behaviour – whether that of consumers whose choices drive unsustainable resource use, of land managers clearing natural habitats, or of policymakers failing to deliver on environmental commitments. Yet conservation research and practice have made only limited use of recent advances in behavioural science</w:t>
      </w:r>
      <w:r w:rsidR="00BF27E4" w:rsidRPr="00E7337F">
        <w:t>, including more n</w:t>
      </w:r>
      <w:r w:rsidRPr="00E7337F">
        <w:t xml:space="preserve">ovel </w:t>
      </w:r>
      <w:r w:rsidR="00BF27E4" w:rsidRPr="00E7337F">
        <w:t>behaviour change interventions</w:t>
      </w:r>
      <w:r w:rsidRPr="00E7337F">
        <w:t xml:space="preserve">. </w:t>
      </w:r>
      <w:proofErr w:type="gramStart"/>
      <w:r w:rsidRPr="00E7337F">
        <w:t>Instead</w:t>
      </w:r>
      <w:proofErr w:type="gramEnd"/>
      <w:r w:rsidRPr="00E7337F">
        <w:t xml:space="preserve"> conservationists mostly still rely on traditional behaviour change interventions – education, regulation and material incentivisation – largely without applying recent </w:t>
      </w:r>
      <w:r w:rsidR="0087783E" w:rsidRPr="00E7337F">
        <w:t xml:space="preserve">insights </w:t>
      </w:r>
      <w:r w:rsidR="0087783E">
        <w:t xml:space="preserve">from </w:t>
      </w:r>
      <w:r w:rsidRPr="00E7337F">
        <w:t xml:space="preserve">behavioural </w:t>
      </w:r>
      <w:r w:rsidR="0087783E">
        <w:t xml:space="preserve">science </w:t>
      </w:r>
      <w:r w:rsidRPr="00E7337F">
        <w:t xml:space="preserve">about how to improve such approaches. This paper explores how behavioural science could be more widely and powerfully applied in biodiversity conservation. We consider the diverse cast of actors involved in conservation problems and the resulting breadth of behaviour change </w:t>
      </w:r>
      <w:proofErr w:type="gramStart"/>
      <w:r w:rsidRPr="00E7337F">
        <w:t>that conservationists</w:t>
      </w:r>
      <w:proofErr w:type="gramEnd"/>
      <w:r w:rsidRPr="00E7337F">
        <w:t xml:space="preserve"> might want to achieve. Drawing on health </w:t>
      </w:r>
      <w:r w:rsidR="000032D1" w:rsidRPr="00E7337F">
        <w:t>research</w:t>
      </w:r>
      <w:r w:rsidRPr="00E7337F">
        <w:t xml:space="preserve">, we present a catalogue of types of interventions for changing behaviour, considering both novel, standalone </w:t>
      </w:r>
      <w:proofErr w:type="gramStart"/>
      <w:r w:rsidRPr="00E7337F">
        <w:t>interventions</w:t>
      </w:r>
      <w:proofErr w:type="gramEnd"/>
      <w:r w:rsidRPr="00E7337F">
        <w:t xml:space="preserve"> and the enhancement of more traditional conservation interventions. We outline a framework for setting priorities amongst interventions based on their likely impact, using ideas developed for climate change mitigation. We caution that, despite its promise, behavioural science is not a silver bullet for conservation. The effects of interventions aimed at changing behaviour can be modest, temporary, and context-dependent in ways that are as-yet poorly understood. We therefore close with a call for interventions to be tested and the findings widely disseminated to enable researchers and practitioners to build a much-needed evidence base on the effectiveness and limitations of these tools. </w:t>
      </w:r>
      <w:r w:rsidR="00EE12F8" w:rsidRPr="00E7337F">
        <w:br w:type="page"/>
      </w:r>
    </w:p>
    <w:p w14:paraId="32A3CAD8" w14:textId="3EFF4B4A" w:rsidR="00DA2905" w:rsidRPr="00E7337F" w:rsidRDefault="00DA2905" w:rsidP="00950E9F">
      <w:pPr>
        <w:spacing w:after="0" w:line="480" w:lineRule="auto"/>
        <w:rPr>
          <w:b/>
          <w:bCs/>
        </w:rPr>
      </w:pPr>
      <w:r w:rsidRPr="00E7337F">
        <w:rPr>
          <w:b/>
          <w:bCs/>
        </w:rPr>
        <w:lastRenderedPageBreak/>
        <w:t>1. Introduction</w:t>
      </w:r>
    </w:p>
    <w:p w14:paraId="780AE96A" w14:textId="513278E6" w:rsidR="00450CA8" w:rsidRPr="00E7337F" w:rsidRDefault="00EE12F8" w:rsidP="00950E9F">
      <w:pPr>
        <w:spacing w:after="0" w:line="480" w:lineRule="auto"/>
      </w:pPr>
      <w:r w:rsidRPr="00E7337F">
        <w:t xml:space="preserve">Although conservationists have achieved some notable and heartening victories in recent years </w:t>
      </w:r>
      <w:r w:rsidR="00306112" w:rsidRPr="00E7337F">
        <w:fldChar w:fldCharType="begin" w:fldLock="1"/>
      </w:r>
      <w:r w:rsidR="00610947">
        <w:instrText>ADDIN CSL_CITATION {"citationItems":[{"id":"ITEM-1","itemData":{"ISSN":"1755263X","abstract":"Aichi Target 12 of the Convention on Biological Diversity (CBD) aims to ‘prevent extinctions of known threatened species’. To measure its success, we used a Delphi expert elicitation method to estimate the number of bird and mammal species whose extinctions were prevented by conservation action in 1993 - 2020 (the lifetime of the CBD) and 2010 - 2020 (the timing of Aichi Target 12). We found that conservation prevented 21–32 bird and 7–16 mammal extinctions since 1993, and 9–18 bird and 2–7 mammal extinctions since 2010. Many remain highly threatened, and may still become extinct in the near future. Nonetheless, given that ten bird and five mammal species did go extinct (or are strongly suspected to) since 1993, extinction rates would have been 2.9–4.2 times greater without conservation action. While policy commitments have fostered significant conservation achievements, future biodiversity action needs to be scaled up to avert additional extinctions.","author":[{"dropping-particle":"","family":"Bolam","given":"Friederike","non-dropping-particle":"","parse-names":false,"suffix":""},{"dropping-particle":"","family":"Mair","given":"Louise","non-dropping-particle":"","parse-names":false,"suffix":""},{"dropping-particle":"","family":"Angelico","given":"Marco","non-dropping-particle":"","parse-names":false,"suffix":""},{"dropping-particle":"","family":"Brooks","given":"Thomas","non-dropping-particle":"","parse-names":false,"suffix":""},{"dropping-particle":"","family":"Burgman","given":"Mark","non-dropping-particle":"","parse-names":false,"suffix":""},{"dropping-particle":"","family":"Hermes","given":"Claudia","non-dropping-particle":"","parse-names":false,"suffix":""},{"dropping-particle":"","family":"Hoffmann","given":"Michael","non-dropping-particle":"","parse-names":false,"suffix":""},{"dropping-particle":"","family":"Martin","given":"Rob","non-dropping-particle":"","parse-names":false,"suffix":""},{"dropping-particle":"","family":"McGowan","given":"Philip","non-dropping-particle":"","parse-names":false,"suffix":""},{"dropping-particle":"","family":"Rodrigues","given":"Ana","non-dropping-particle":"","parse-names":false,"suffix":""},{"dropping-particle":"","family":"Rondinini","given":"Carlo","non-dropping-particle":"","parse-names":false,"suffix":""},{"dropping-particle":"","family":"Wheatley","given":"Hannah","non-dropping-particle":"","parse-names":false,"suffix":""},{"dropping-particle":"","family":"Bedolla-Guzmán","given":"Yuliana","non-dropping-particle":"","parse-names":false,"suffix":""},{"dropping-particle":"","family":"Calzada","given":"Javier","non-dropping-particle":"","parse-names":false,"suffix":""},{"dropping-particle":"","family":"Child","given":"Matthew","non-dropping-particle":"","parse-names":false,"suffix":""},{"dropping-particle":"","family":"Cranswick","given":"Peter","non-dropping-particle":"","parse-names":false,"suffix":""},{"dropping-particle":"","family":"Dickman","given":"Christopher","non-dropping-particle":"","parse-names":false,"suffix":""},{"dropping-particle":"","family":"Fessl","given":"Birgit","non-dropping-particle":"","parse-names":false,"suffix":""},{"dropping-particle":"","family":"Fisher","given":"Diana","non-dropping-particle":"","parse-names":false,"suffix":""},{"dropping-particle":"","family":"Garnett","given":"Stephen","non-dropping-particle":"","parse-names":false,"suffix":""},{"dropping-particle":"","family":"Groombridge","given":"Jim","non-dropping-particle":"","parse-names":false,"suffix":""},{"dropping-particle":"","family":"Johnson","given":"Christopher","non-dropping-particle":"","parse-names":false,"suffix":""},{"dropping-particle":"","family":"Kennerley","given":"Rosalind","non-dropping-particle":"","parse-names":false,"suffix":""},{"dropping-particle":"","family":"King","given":"Sarah","non-dropping-particle":"","parse-names":false,"suffix":""},{"dropping-particle":"","family":"Lamoreux","given":"John","non-dropping-particle":"","parse-names":false,"suffix":""},{"dropping-particle":"","family":"Lees","given":"Alexander","non-dropping-particle":"","parse-names":false,"suffix":""},{"dropping-particle":"","family":"Lens","given":"Luc","non-dropping-particle":"","parse-names":false,"suffix":""},{"dropping-particle":"","family":"Mahood","given":"Simon","non-dropping-particle":"","parse-names":false,"suffix":""},{"dropping-particle":"","family":"Mallon","given":"David","non-dropping-particle":"","parse-names":false,"suffix":""},{"dropping-particle":"","family":"Meijaard","given":"Erik","non-dropping-particle":"","parse-names":false,"suffix":""},{"dropping-particle":"","family":"Méndez-Sánchez","given":"Federico","non-dropping-particle":"","parse-names":false,"suffix":""},{"dropping-particle":"","family":"Percequillo","given":"Alexandre Reis","non-dropping-particle":"","parse-names":false,"suffix":""},{"dropping-particle":"","family":"Regan","given":"Tracey","non-dropping-particle":"","parse-names":false,"suffix":""},{"dropping-particle":"","family":"Renjifo","given":"Luis Miguel","non-dropping-particle":"","parse-names":false,"suffix":""},{"dropping-particle":"","family":"Rivers","given":"Malin","non-dropping-particle":"","parse-names":false,"suffix":""},{"dropping-particle":"","family":"Roach","given":"Nicolette","non-dropping-particle":"","parse-names":false,"suffix":""},{"dropping-particle":"","family":"Roxburgh","given":"Lizanne","non-dropping-particle":"","parse-names":false,"suffix":""},{"dropping-particle":"","family":"Safford","given":"Roger","non-dropping-particle":"","parse-names":false,"suffix":""},{"dropping-particle":"","family":"Salaman","given":"Paul","non-dropping-particle":"","parse-names":false,"suffix":""},{"dropping-particle":"","family":"Squires","given":"Tom","non-dropping-particle":"","parse-names":false,"suffix":""},{"dropping-particle":"","family":"Vázquez-Domínguez","given":"Ella","non-dropping-particle":"","parse-names":false,"suffix":""},{"dropping-particle":"","family":"Visconti","given":"Piero","non-dropping-particle":"","parse-names":false,"suffix":""},{"dropping-particle":"","family":"Westrip","given":"James","non-dropping-particle":"","parse-names":false,"suffix":""},{"dropping-particle":"","family":"Woinarski","given":"John","non-dropping-particle":"","parse-names":false,"suffix":""},{"dropping-particle":"","family":"Young","given":"Richard","non-dropping-particle":"","parse-names":false,"suffix":""},{"dropping-particle":"","family":"Butchart","given":"Stuart","non-dropping-particle":"","parse-names":false,"suffix":""}],"container-title":"Conservation Letters","id":"ITEM-1","issued":{"date-parts":[["2021"]]},"page":"e12762","title":"How many bird and mammal extinctions has recent conservation action prevented?","type":"article-journal","volume":"14"},"uris":["http://www.mendeley.com/documents/?uuid=d8ee7a2c-7ed6-456c-a8ca-b296da26620b"]},{"id":"ITEM-2","itemData":{"ISSN":"1531-7331","author":[{"dropping-particle":"","family":"Knowlton","given":"Nancy","non-dropping-particle":"","parse-names":false,"suffix":""}],"container-title":"Annual Review of Marine Science","id":"ITEM-2","issued":{"date-parts":[["2021"]]},"title":"Ocean optimism: Moving beyond the obituaries in marine conservation","type":"article-journal","volume":"13"},"uris":["http://www.mendeley.com/documents/?uuid=ce097cee-9586-4e56-bf6f-59bfff1898e1"]}],"mendeley":{"formattedCitation":"(Bolam et al., 2021; Knowlton, 2021)","plainTextFormattedCitation":"(Bolam et al., 2021; Knowlton, 2021)","previouslyFormattedCitation":"(Bolam et al., 2021; Knowlton, 2021)"},"properties":{"noteIndex":0},"schema":"https://github.com/citation-style-language/schema/raw/master/csl-citation.json"}</w:instrText>
      </w:r>
      <w:r w:rsidR="00306112" w:rsidRPr="00E7337F">
        <w:fldChar w:fldCharType="separate"/>
      </w:r>
      <w:r w:rsidR="00610947" w:rsidRPr="00610947">
        <w:rPr>
          <w:noProof/>
        </w:rPr>
        <w:t>(Bolam et al., 2021; Knowlton, 2021)</w:t>
      </w:r>
      <w:r w:rsidR="00306112" w:rsidRPr="00E7337F">
        <w:fldChar w:fldCharType="end"/>
      </w:r>
      <w:r w:rsidRPr="00E7337F">
        <w:t>,</w:t>
      </w:r>
      <w:r w:rsidR="000C3B6C" w:rsidRPr="00E7337F">
        <w:t xml:space="preserve"> the </w:t>
      </w:r>
      <w:r w:rsidR="001F1E66" w:rsidRPr="00E7337F">
        <w:t>fight</w:t>
      </w:r>
      <w:r w:rsidR="000C3B6C" w:rsidRPr="00E7337F">
        <w:t xml:space="preserve"> </w:t>
      </w:r>
      <w:r w:rsidR="005271C3" w:rsidRPr="00E7337F">
        <w:t>to avert the sixth mass extinction</w:t>
      </w:r>
      <w:r w:rsidR="000C3B6C" w:rsidRPr="00E7337F">
        <w:t xml:space="preserve"> is still being lost</w:t>
      </w:r>
      <w:r w:rsidRPr="00E7337F">
        <w:t xml:space="preserve">. In most places, wild species, the habitats they depend upon, and the diverse benefits they generate for people remain in grave decline </w:t>
      </w:r>
      <w:r w:rsidR="00306112" w:rsidRPr="00E7337F">
        <w:fldChar w:fldCharType="begin" w:fldLock="1"/>
      </w:r>
      <w:r w:rsidR="00071F56" w:rsidRPr="00E7337F">
        <w:instrText>ADDIN CSL_CITATION {"citationItems":[{"id":"ITEM-1","itemData":{"ISBN":"9783947851133","abstract":"The overall scope of the assessment is to assess the status and trends with regard to biodiversity and ecosystem services, the impact of biodiversity and ecosystem services on human well-being and the effectiveness of responses, including the Strategic Plan and its Aichi Biodiversity Targets. It is anticipated that this deliverable will contribute to the process for the evaluation and renewal of the Strategic Plan for Biodiversity and its Aichi Biodiversity Targets. The IPBES Global Assessment on Biodiversity and Ecosystem Services is composed of 1) a Summary for Policymakers (SPM), approved by the IPBES Plenary at its 7th session in May 2019 in Paris, France (IPBES-7); and 2) a set of six Chapters, accepted by the IPBES Plenary. Please see below to access these documents. The versions of the summary for policymakers in all UN languages will be posted here shortly.","author":[{"dropping-particle":"","family":"IPBES","given":"","non-dropping-particle":"","parse-names":false,"suffix":""}],"editor":[{"dropping-particle":"","family":"Díaz","given":"S.","non-dropping-particle":"","parse-names":false,"suffix":""},{"dropping-particle":"","family":"Settele","given":"J.","non-dropping-particle":"","parse-names":false,"suffix":""},{"dropping-particle":"","family":"E.S.","given":"E. S. Brondízio","non-dropping-particle":"","parse-names":false,"suffix":""},{"dropping-particle":"","family":"Ngo","given":"H. T.","non-dropping-particle":"","parse-names":false,"suffix":""},{"dropping-particle":"","family":"Guèze","given":"M.","non-dropping-particle":"","parse-names":false,"suffix":""},{"dropping-particle":"","family":"Agard","given":"J.","non-dropping-particle":"","parse-names":false,"suffix":""},{"dropping-particle":"","family":"Arneth","given":"A.","non-dropping-particle":"","parse-names":false,"suffix":""},{"dropping-particle":"","family":"Balvanera","given":"P.","non-dropping-particle":"","parse-names":false,"suffix":""},{"dropping-particle":"","family":"Brauman","given":"K. A.","non-dropping-particle":"","parse-names":false,"suffix":""},{"dropping-particle":"","family":"Butchart","given":"S. H. M.","non-dropping-particle":"","parse-names":false,"suffix":""},{"dropping-particle":"","family":"Chan","given":"K. M. A.","non-dropping-particle":"","parse-names":false,"suffix":""},{"dropping-particle":"","family":"Garibaldi","given":"L. A.","non-dropping-particle":"","parse-names":false,"suffix":""},{"dropping-particle":"","family":"Ichii","given":"K.","non-dropping-particle":"","parse-names":false,"suffix":""},{"dropping-particle":"","family":"Liu","given":"J.","non-dropping-particle":"","parse-names":false,"suffix":""},{"dropping-particle":"","family":"Subramanian","given":"S. M.","non-dropping-particle":"","parse-names":false,"suffix":""},{"dropping-particle":"","family":"Midgley","given":"G. F.","non-dropping-particle":"","parse-names":false,"suffix":""},{"dropping-particle":"","family":"Miloslavich","given":"P.","non-dropping-particle":"","parse-names":false,"suffix":""},{"dropping-particle":"","family":"Molnár","given":"Z.","non-dropping-particle":"","parse-names":false,"suffix":""},{"dropping-particle":"","family":"Obura","given":"D.","non-dropping-particle":"","parse-names":false,"suffix":""},{"dropping-particle":"","family":"Pfaff","given":"A.","non-dropping-particle":"","parse-names":false,"suffix":""},{"dropping-particle":"","family":"Polasky","given":"S.","non-dropping-particle":"","parse-names":false,"suffix":""},{"dropping-particle":"","family":"Purvis","given":"A.","non-dropping-particle":"","parse-names":false,"suffix":""},{"dropping-particle":"","family":"Razzaque","given":"J.","non-dropping-particle":"","parse-names":false,"suffix":""},{"dropping-particle":"","family":"Reyers","given":"B.","non-dropping-particle":"","parse-names":false,"suffix":""},{"dropping-particle":"","family":"Chowdhury","given":"R. Roy","non-dropping-particle":"","parse-names":false,"suffix":""},{"dropping-particle":"","family":"Shin","given":"Y. J.","non-dropping-particle":"","parse-names":false,"suffix":""},{"dropping-particle":"","family":"Visseren-Hamakers","given":"I. J.","non-dropping-particle":"","parse-names":false,"suffix":""},{"dropping-particle":"","family":"Willis","given":"K. J.","non-dropping-particle":"","parse-names":false,"suffix":""},{"dropping-particle":"","family":"Zayas","given":"C. N.","non-dropping-particle":"","parse-names":false,"suffix":""}],"id":"ITEM-1","issued":{"date-parts":[["2019"]]},"publisher":"IPBES secretariat","publisher-place":"Bonn, Germany","title":"Summary for policymakers of the global assessment report on biodiversity and ecosystem services of the Intergovernmental Science-Policy Platform on Biodiversity and Ecosystem Services","type":"book"},"uris":["http://www.mendeley.com/documents/?uuid=55a98bbf-cd2a-45e5-aa87-e011192f0215"]}],"mendeley":{"formattedCitation":"(IPBES, 2019)","plainTextFormattedCitation":"(IPBES, 2019)","previouslyFormattedCitation":"(IPBES, 2019)"},"properties":{"noteIndex":0},"schema":"https://github.com/citation-style-language/schema/raw/master/csl-citation.json"}</w:instrText>
      </w:r>
      <w:r w:rsidR="00306112" w:rsidRPr="00E7337F">
        <w:fldChar w:fldCharType="separate"/>
      </w:r>
      <w:r w:rsidR="0086250C" w:rsidRPr="00E7337F">
        <w:rPr>
          <w:noProof/>
        </w:rPr>
        <w:t>(IPBES, 2019)</w:t>
      </w:r>
      <w:r w:rsidR="00306112" w:rsidRPr="00E7337F">
        <w:fldChar w:fldCharType="end"/>
      </w:r>
      <w:r w:rsidRPr="00E7337F">
        <w:t xml:space="preserve">. This stems, in large part, from unrelenting growth in the underlying drivers of humanity’s impacts on the environment </w:t>
      </w:r>
      <w:r w:rsidR="00306112" w:rsidRPr="00E7337F">
        <w:fldChar w:fldCharType="begin" w:fldLock="1"/>
      </w:r>
      <w:r w:rsidR="00071F56" w:rsidRPr="00E7337F">
        <w:instrText>ADDIN CSL_CITATION {"citationItems":[{"id":"ITEM-1","itemData":{"DOI":"10.1016/0020-7489(94)90078-7","ISSN":"00207489","abstract":"One implication of being required to respond to the Patients' Charter without access to more resources, is that managers in the U.K. health care sector will have to ensure integration of multiple functions across their units in order to achieve the objective of creating a quality conscious workforce. This situation will probably demand adoption of an internal marketing philosophy within the NHS; thereby ensuring implementation of TQM and/or Customer Care schemes in which departments work together to create effective internal customer chains. To determine the degree to which the NHS have effectively adopted an internal customer orientation, a survey was undertaken using a modified version of the Parasuraman SERVQUAL model. The majority of respondents indicated the existence of Type 1, 2, 3 and 4 Gaps in the internal customer management process within their unit. Major influencers of these service gaps include departments placing internal efficiency ahead of internal customer needs elsewhere in the organization, limited effort to gain further understanding of internal customer needs and an inadequate level formal quality standards for managing internal customer relations. Respondents consider their departments are able and willing to enhance the quality of provision if the issue was given higher priority by senior management. Identified obstacles to increased future emphasis behind an internal customer philosophy include insufficient resources to service internal customer needs, lack of trust between departments and limited confidence about abilities to manage the process. Unless senior managers in the NHS can be persuaded to allocate the resources needed to create effective internal customer chains, then concern must exist about the capability of operating units to fulfil the health care standards specified in the Patients Charter. © 1994.","author":[{"dropping-particle":"","family":"Tittensor","given":"Derek P","non-dropping-particle":"","parse-names":false,"suffix":""},{"dropping-particle":"","family":"Walpole","given":"Matt","non-dropping-particle":"","parse-names":false,"suffix":""},{"dropping-particle":"","family":"Hill","given":"Samantha L L","non-dropping-particle":"","parse-names":false,"suffix":""},{"dropping-particle":"","family":"Boyce","given":"Daniel G","non-dropping-particle":"","parse-names":false,"suffix":""},{"dropping-particle":"","family":"Britten","given":"Gregory L","non-dropping-particle":"","parse-names":false,"suffix":""},{"dropping-particle":"","family":"Burgess","given":"Neil D","non-dropping-particle":"","parse-names":false,"suffix":""},{"dropping-particle":"","family":"Butchart","given":"Stuart H M","non-dropping-particle":"","parse-names":false,"suffix":""},{"dropping-particle":"","family":"Leadley","given":"Paul W","non-dropping-particle":"","parse-names":false,"suffix":""},{"dropping-particle":"","family":"Regan","given":"Eugenie C","non-dropping-particle":"","parse-names":false,"suffix":""},{"dropping-particle":"","family":"Alkemade","given":"Rob","non-dropping-particle":"","parse-names":false,"suffix":""},{"dropping-particle":"","family":"Baumung","given":"Roswitha","non-dropping-particle":"","parse-names":false,"suffix":""},{"dropping-particle":"","family":"Bellard","given":"Céline","non-dropping-particle":"","parse-names":false,"suffix":""},{"dropping-particle":"","family":"Bouwman","given":"Lex","non-dropping-particle":"","parse-names":false,"suffix":""},{"dropping-particle":"","family":"Bowles-newark","given":"Nadine J","non-dropping-particle":"","parse-names":false,"suffix":""},{"dropping-particle":"","family":"Chenery","given":"Anna M","non-dropping-particle":"","parse-names":false,"suffix":""},{"dropping-particle":"","family":"Cheung","given":"William W L","non-dropping-particle":"","parse-names":false,"suffix":""}],"container-title":"Science","id":"ITEM-1","issue":"6206","issued":{"date-parts":[["2014"]]},"page":"241-243","title":"Biodiversity targets","type":"article-journal","volume":"346"},"uris":["http://www.mendeley.com/documents/?uuid=2d8c432b-ea05-45a3-ac56-6e611cdb0ab7"]}],"mendeley":{"formattedCitation":"(Tittensor et al., 2014)","plainTextFormattedCitation":"(Tittensor et al., 2014)","previouslyFormattedCitation":"(Tittensor et al., 2014)"},"properties":{"noteIndex":0},"schema":"https://github.com/citation-style-language/schema/raw/master/csl-citation.json"}</w:instrText>
      </w:r>
      <w:r w:rsidR="00306112" w:rsidRPr="00E7337F">
        <w:fldChar w:fldCharType="separate"/>
      </w:r>
      <w:r w:rsidR="0086250C" w:rsidRPr="00E7337F">
        <w:rPr>
          <w:noProof/>
        </w:rPr>
        <w:t>(Tittensor et al., 2014)</w:t>
      </w:r>
      <w:r w:rsidR="00306112" w:rsidRPr="00E7337F">
        <w:fldChar w:fldCharType="end"/>
      </w:r>
      <w:r w:rsidR="00C648D8" w:rsidRPr="00E7337F">
        <w:t xml:space="preserve"> </w:t>
      </w:r>
      <w:r w:rsidR="0039579D" w:rsidRPr="00E7337F">
        <w:t>–</w:t>
      </w:r>
      <w:r w:rsidRPr="00E7337F">
        <w:t xml:space="preserve"> </w:t>
      </w:r>
      <w:r w:rsidR="00C648D8" w:rsidRPr="00E7337F">
        <w:t>our population size, and even more importantly (especially in wealthier countries) our per capita demand for resources; t</w:t>
      </w:r>
      <w:r w:rsidRPr="00E7337F">
        <w:t xml:space="preserve">hese trends have proven difficult to reverse. But many conservation actions are also less effective than they might be because conservation scientists and practitioners often pay insufficient attention to the complexities of human behaviour </w:t>
      </w:r>
      <w:r w:rsidR="00306112" w:rsidRPr="00E7337F">
        <w:fldChar w:fldCharType="begin" w:fldLock="1"/>
      </w:r>
      <w:r w:rsidR="00071F56" w:rsidRPr="00E7337F">
        <w:instrText xml:space="preserve">ADDIN CSL_CITATION {"citationItems":[{"id":"ITEM-1","itemData":{"DOI":"10.1111/j.1523-1739.2006.00435.x","ISSN":"08888892","abstract":"The challenges ahead for biodiversity conservation will require a better understanding of one species: our own. This one social species will dramatically affect the entire living system of the planet over the next 20 years. Thus, not only do we need to learn more about human-human relationships and human-nature relationships, but also the questions we ask must be guided by the delineation of desired conservation outcomes. Biological knowledge alone is not sufficient to solve conservation problems, and the role of the social sciences in solving these problems has become increasingly impor- tant (Mascia et al. 2003). Psychology is one of the social sciences, but it has not always been seen as relevant to environmental issues. This is unfortunate because human behavior is causing loss of biodiversity, and human behav- ioral change will be necessary toachievemore-sustainable relationships between humans and the rest of nature. As the science of human behavior and experience, psychol- ogy has much to offer (Zelezny &amp; Schultz 2000; Schmuck &amp;Schultz 2002; Saunders&amp;Myers 2003; Clayton&amp;Brook 2005).We highlight three particular challenges for biodi- versity conservation and the way psychology can con- tribute to each one.","author":[{"dropping-particle":"","family":"Saunders","given":"Carol D.","non-dropping-particle":"","parse-names":false,"suffix":""},{"dropping-particle":"","family":"Brook","given":"Amara T.","non-dropping-particle":"","parse-names":false,"suffix":""},{"dropping-particle":"","family":"Eugene Myers","given":"Olin","non-dropping-particle":"","parse-names":false,"suffix":""}],"container-title":"Conservation Biology","id":"ITEM-1","issue":"3","issued":{"date-parts":[["2006"]]},"page":"702-705","title":"Using psychology to save biodiversity and human well-being","type":"article-journal","volume":"20"},"uris":["http://www.mendeley.com/documents/?uuid=e2d2d917-840e-421f-929d-3b7656c6ee4e"]},{"id":"ITEM-2","itemData":{"author":[{"dropping-particle":"","family":"Schultz","given":"P. Wesley","non-dropping-particle":"","parse-names":false,"suffix":""}],"container-title":"Conservation Biology","id":"ITEM-2","issue":"6","issued":{"date-parts":[["2011"]]},"page":"1080-1083","title":"Conservation means behavior","type":"article-journal","volume":"25"},"uris":["http://www.mendeley.com/documents/?uuid=d002568c-2085-4e63-ba92-9c40076e959c"]},{"id":"ITEM-3","itemData":{"DOI":"10.1111/conl.12106","ISSN":"1755263X","author":[{"dropping-particle":"","family":"Cowling","given":"Richard M.","non-dropping-particle":"","parse-names":false,"suffix":""}],"container-title":"Conservation Letters","id":"ITEM-3","issue":"3","issued":{"date-parts":[["2014"]]},"page":"147-148","title":"Let's get serious about human behavior and conservation","type":"article-journal","volume":"7"},"uris":["http://www.mendeley.com/documents/?uuid=2e72ca34-c6fa-4378-b15f-ad631e54fdd7"]},{"id":"ITEM-4","itemData":{"DOI":"10.1111/cobi.13106","ISSN":"15231739","author":[{"dropping-particle":"","family":"Selinske","given":"Matthew J.","non-dropping-particle":"","parse-names":false,"suffix":""},{"dropping-particle":"","family":"Garrard","given":"Georgia E.","non-dropping-particle":"","parse-names":false,"suffix":""},{"dropping-particle":"","family":"Bekessy","given":"Sarah A.","non-dropping-particle":"","parse-names":false,"suffix":""},{"dropping-particle":"","family":"Gordon","given":"Ascelin","non-dropping-particle":"","parse-names":false,"suffix":""},{"dropping-particle":"","family":"Kusmanoff","given":"Alexander M.","non-dropping-particle":"","parse-names":false,"suffix":""},{"dropping-particle":"","family":"Fidler","given":"Fiona","non-dropping-particle":"","parse-names":false,"suffix":""}],"container-title":"Conservation Biology","id":"ITEM-4","issue":"6","issued":{"date-parts":[["2018"]]},"page":"1464-1468","title":"Revisiting the promise of conservation psychology","type":"article-journal","volume":"32"},"uris":["http://www.mendeley.com/documents/?uuid=86dad9d8-4dc4-4c85-a8c5-2f4da0c0ba56"]},{"id":"ITEM-5","itemData":{"DOI":"10.1111/j.1530-2415.2005.00057.x","ISSN":"15297489","abstract":"Conservation psychology is defined as psychological research oriented toward understanding why people help or hurt the natural environment and promoting environmentally sustainable practices (Saunders, 2003). Despite a growing body of research, the field is largely unfamiliar to many psychologists and to those working in the environmental field. Here we make a case for the </w:instrText>
      </w:r>
      <w:r w:rsidR="00071F56" w:rsidRPr="009A691C">
        <w:rPr>
          <w:lang w:val="da-DK"/>
        </w:rPr>
        <w:instrText>importance of conservation psychology and describe a model for the social psychology of conservation behavior that focuses on situational context, existing schemas, and personal motives. We hope this model will be useful for policymakers and will prompt new psychological research on the topic of conservation. © 2005 The Society for the Psychological Study of Social Issues.","author":[{"dropping-particle":"","family":"Clayton","given":"Susan","non-dropping-particle":"","parse-names":false,"suffix":""},{"dropping-particle":"","family":"Brook","given":"Amara","non-dropping-particle":"","parse-names":false,"suffix":""}],"container-title":"Analyses of Social Issues and Public Policy","id":"ITEM-5","issue":"1","issued":{"date-parts":[["2005"]]},"page":"87-102","title":"Can psychology help save the world? A model for conservation psychology","type":"article-journal","volume":"5"},"uris":["http://www.mendeley.com/documents/?uuid=67832909-f4d0-4e1a-8239-f5f936678b45"]}],"mendeley":{"formattedCitation":"(Clayton and Brook, 2005; Cowling, 2014; Saunders et al., 2006; Schultz, 2011; Selinske et al., 2018)","plainTextFormattedCitation":"(Clayton and Brook, 2005; Cowling, 2014; Saunders et al., 2006; Schultz, 2011; Selinske et al., 2018)","previouslyFormattedCitation":"(Clayton and Brook, 2005; Cowling, 2014; Saunders et al., 2006; Schultz, 2011; Selinske et al., 2018)"},"properties":{"noteIndex":0},"schema":"https://github.com/citation-style-language/schema/raw/master/csl-citation.json"}</w:instrText>
      </w:r>
      <w:r w:rsidR="00306112" w:rsidRPr="00E7337F">
        <w:fldChar w:fldCharType="separate"/>
      </w:r>
      <w:r w:rsidR="0086250C" w:rsidRPr="009A691C">
        <w:rPr>
          <w:noProof/>
          <w:lang w:val="da-DK"/>
        </w:rPr>
        <w:t>(Clayton and Brook, 2005; Cowling, 2014; Saunders et al., 2006; Schultz, 2011; Selinske et al., 2018)</w:t>
      </w:r>
      <w:r w:rsidR="00306112" w:rsidRPr="00E7337F">
        <w:fldChar w:fldCharType="end"/>
      </w:r>
      <w:r w:rsidRPr="009A691C">
        <w:rPr>
          <w:lang w:val="da-DK"/>
        </w:rPr>
        <w:t xml:space="preserve">. </w:t>
      </w:r>
      <w:r w:rsidR="00C648D8" w:rsidRPr="00E7337F">
        <w:t>This review explores how this challenge might be addressed by examining progress and limitations in applying new advances in behavioural science.</w:t>
      </w:r>
      <w:r w:rsidRPr="00E7337F">
        <w:t xml:space="preserve">   </w:t>
      </w:r>
    </w:p>
    <w:p w14:paraId="55A98A7B" w14:textId="77777777" w:rsidR="00450CA8" w:rsidRPr="00E7337F" w:rsidRDefault="00450CA8" w:rsidP="00950E9F">
      <w:pPr>
        <w:spacing w:after="0" w:line="480" w:lineRule="auto"/>
      </w:pPr>
    </w:p>
    <w:p w14:paraId="64327E01" w14:textId="7332C81D" w:rsidR="00450CA8" w:rsidRPr="00E7337F" w:rsidRDefault="00DA2905" w:rsidP="00950E9F">
      <w:pPr>
        <w:spacing w:after="0" w:line="480" w:lineRule="auto"/>
        <w:rPr>
          <w:b/>
          <w:bCs/>
        </w:rPr>
      </w:pPr>
      <w:r w:rsidRPr="00E7337F">
        <w:rPr>
          <w:b/>
          <w:bCs/>
        </w:rPr>
        <w:t xml:space="preserve">2. </w:t>
      </w:r>
      <w:r w:rsidR="00EE12F8" w:rsidRPr="00E7337F">
        <w:rPr>
          <w:b/>
          <w:bCs/>
        </w:rPr>
        <w:t>The fundamental importance of</w:t>
      </w:r>
      <w:r w:rsidR="00F43CB0" w:rsidRPr="00E7337F">
        <w:rPr>
          <w:b/>
          <w:bCs/>
        </w:rPr>
        <w:t xml:space="preserve"> </w:t>
      </w:r>
      <w:r w:rsidR="00EE12F8" w:rsidRPr="00E7337F">
        <w:rPr>
          <w:b/>
          <w:bCs/>
        </w:rPr>
        <w:t>chang</w:t>
      </w:r>
      <w:r w:rsidR="00F43CB0" w:rsidRPr="00E7337F">
        <w:rPr>
          <w:b/>
          <w:bCs/>
        </w:rPr>
        <w:t>ing behaviour</w:t>
      </w:r>
    </w:p>
    <w:p w14:paraId="6CFC0BC5" w14:textId="450D5511" w:rsidR="006E64EE" w:rsidRPr="00E7337F" w:rsidRDefault="00EE12F8" w:rsidP="00950E9F">
      <w:pPr>
        <w:spacing w:after="0" w:line="480" w:lineRule="auto"/>
      </w:pPr>
      <w:r w:rsidRPr="00E7337F">
        <w:t xml:space="preserve">Almost all conservation problems originate in the actions and choices of people </w:t>
      </w:r>
      <w:r w:rsidR="00306112" w:rsidRPr="00E7337F">
        <w:fldChar w:fldCharType="begin" w:fldLock="1"/>
      </w:r>
      <w:r w:rsidR="00071F56" w:rsidRPr="00E7337F">
        <w:instrText>ADDIN CSL_CITATION {"citationItems":[{"id":"ITEM-1","itemData":{"DOI":"10.1111/j.1523-1739.2006.00434.x","ISSN":"08888892","abstract":"The article discusses issues that must be addressed for the future of conservation biology. The authors believe that there is a clear need to improve understanding of how ecosystems change in response to anthropogenic pressures. A great deal of biological input is also needed to plan for persistence by explicitly trying to conserve ecological and evolutionary processes. Mainstreaming conservation into everyday decisions of the business and public sectors is also important to address other emerging challenges.","author":[{"dropping-particle":"","family":"Balmford","given":"Andrew","non-dropping-particle":"","parse-names":false,"suffix":""},{"dropping-particle":"","family":"Cowling","given":"Richard M.","non-dropping-particle":"","parse-names":false,"suffix":""}],"container-title":"Conservation Biology","id":"ITEM-1","issue":"3","issued":{"date-parts":[["2006"]]},"page":"692-695","title":"Fusion or failure? The future of conservation biology","type":"article-journal","volume":"20"},"uris":["http://www.mendeley.com/documents/?uuid=4926a60e-d4c0-4022-ae68-a8ae4b651eb2"]},{"id":"ITEM-2","itemData":{"DOI":"10.1111/j.1523-1739.2006.00435.x","ISSN":"08888892","abstract":"The challenges ahead for biodiversity conservation will require a better understanding of one species: our own. This one social species will dramatically affect the entire living system of the planet over the next 20 years. Thus, not only do we need to learn more about human-human relationships and human-nature relationships, but also the questions we ask must be guided by the delineation of desired conservation outcomes. Biological knowledge alone is not sufficient to solve conservation problems, and the role of the social sciences in solving these problems has become increasingly impor- tant (Mascia et al. 2003). Psychology is one of the social sciences, but it has not always been seen as relevant to environmental issues. This is unfortunate because human behavior is causing loss of biodiversity, and human behav- ioral change will be necessary toachievemore-sustainable relationships between humans and the rest of nature. As the science of human behavior and experience, psychol- ogy has much to offer (Zelezny &amp; Schultz 2000; Schmuck &amp;Schultz 2002; Saunders&amp;Myers 2003; Clayton&amp;Brook 2005).We highlight three particular challenges for biodi- versity conservation and the way psychology can con- tribute to each one.","author":[{"dropping-particle":"","family":"Saunders","given":"Carol D.","non-dropping-particle":"","parse-names":false,"suffix":""},{"dropping-particle":"","family":"Brook","given":"Amara T.","non-dropping-particle":"","parse-names":false,"suffix":""},{"dropping-particle":"","family":"Eugene Myers","given":"Olin","non-dropping-particle":"","parse-names":false,"suffix":""}],"container-title":"Conservation Biology","id":"ITEM-2","issue":"3","issued":{"date-parts":[["2006"]]},"page":"702-705","title":"Using psychology to save biodiversity and human well-being","type":"article-journal","volume":"20"},"uris":["http://www.mendeley.com/documents/?uuid=e2d2d917-840e-421f-929d-3b7656c6ee4e"]},{"id":"ITEM-3","itemData":{"author":[{"dropping-particle":"","family":"Schultz","given":"P. Wesley","non-dropping-particle":"","parse-names":false,"suffix":""}],"container-title":"Conservation Biology","id":"ITEM-3","issue":"6","issued":{"date-parts":[["2011"]]},"page":"1080-1083","title":"Conservation means behavior","type":"article-journal","volume":"25"},"uris":["http://www.mendeley.com/documents/?uuid=d002568c-2085-4e63-ba92-9c40076e959c"]}],"mendeley":{"formattedCitation":"(Balmford and Cowling, 2006; Saunders et al., 2006; Schultz, 2011)","plainTextFormattedCitation":"(Balmford and Cowling, 2006; Saunders et al., 2006; Schultz, 2011)","previouslyFormattedCitation":"(Balmford and Cowling, 2006; Saunders et al., 2006; Schultz, 2011)"},"properties":{"noteIndex":0},"schema":"https://github.com/citation-style-language/schema/raw/master/csl-citation.json"}</w:instrText>
      </w:r>
      <w:r w:rsidR="00306112" w:rsidRPr="00E7337F">
        <w:fldChar w:fldCharType="separate"/>
      </w:r>
      <w:r w:rsidR="0086250C" w:rsidRPr="00E7337F">
        <w:rPr>
          <w:noProof/>
        </w:rPr>
        <w:t>(Balmford and Cowling, 2006; Saunders et al., 2006; Schultz, 2011)</w:t>
      </w:r>
      <w:r w:rsidR="00306112" w:rsidRPr="00E7337F">
        <w:fldChar w:fldCharType="end"/>
      </w:r>
      <w:r w:rsidRPr="00E7337F">
        <w:t xml:space="preserve">. </w:t>
      </w:r>
      <w:r w:rsidR="00752E1B" w:rsidRPr="00E7337F">
        <w:t>For example</w:t>
      </w:r>
      <w:r w:rsidRPr="00E7337F">
        <w:t>,</w:t>
      </w:r>
      <w:r w:rsidR="00A92AFE" w:rsidRPr="00E7337F">
        <w:t xml:space="preserve"> the post-apartheid clearance of Cederberg fynbos remnants and the resulting red-listing of over 100 endemic plant species in 12 years originated in the demand for rooibos tea among health-conscious consumers overseas </w:t>
      </w:r>
      <w:r w:rsidR="00306112" w:rsidRPr="00E7337F">
        <w:fldChar w:fldCharType="begin" w:fldLock="1"/>
      </w:r>
      <w:r w:rsidR="00071F56" w:rsidRPr="00E7337F">
        <w:instrText>ADDIN CSL_CITATION {"citationItems":[{"id":"ITEM-1","itemData":{"author":[{"dropping-particle":"","family":"Raimondo","given":"D.","non-dropping-particle":"","parse-names":false,"suffix":""},{"dropping-particle":"","family":"Staden","given":"L.","non-dropping-particle":"Von","parse-names":false,"suffix":""}],"container-title":"Red List of South African plants","editor":[{"dropping-particle":"","family":"Raimondo","given":"D.","non-dropping-particle":"","parse-names":false,"suffix":""},{"dropping-particle":"","family":"Staden","given":"L.","non-dropping-particle":"Von","parse-names":false,"suffix":""},{"dropping-particle":"","family":"Foden","given":"W.","non-dropping-particle":"","parse-names":false,"suffix":""},{"dropping-particle":"","family":"Victor","given":"J.E.","non-dropping-particle":"","parse-names":false,"suffix":""},{"dropping-particle":"","family":"Helme","given":"N.A.","non-dropping-particle":"","parse-names":false,"suffix":""},{"dropping-particle":"","family":"Turner","given":"R.C.","non-dropping-particle":"","parse-names":false,"suffix":""},{"dropping-particle":"","family":"Kamundi","given":"D.A.","non-dropping-particle":"","parse-names":false,"suffix":""},{"dropping-particle":"","family":"Manyama","given":"P.A.","non-dropping-particle":"","parse-names":false,"suffix":""}],"id":"ITEM-1","issued":{"date-parts":[["2009"]]},"page":"19–25","publisher":"South African National Biodiversity Institute","publisher-place":"Pretoria","title":"Patterns and trends in the Red List of South African plants","type":"chapter"},"uris":["http://www.mendeley.com/documents/?uuid=a1644106-5afe-4986-b962-e14e40262989"]}],"mendeley":{"formattedCitation":"(Raimondo and Von Staden, 2009)","plainTextFormattedCitation":"(Raimondo and Von Staden, 2009)","previouslyFormattedCitation":"(Raimondo and Von Staden, 2009)"},"properties":{"noteIndex":0},"schema":"https://github.com/citation-style-language/schema/raw/master/csl-citation.json"}</w:instrText>
      </w:r>
      <w:r w:rsidR="00306112" w:rsidRPr="00E7337F">
        <w:fldChar w:fldCharType="separate"/>
      </w:r>
      <w:r w:rsidR="0086250C" w:rsidRPr="00E7337F">
        <w:rPr>
          <w:noProof/>
        </w:rPr>
        <w:t>(Raimondo and Von Staden, 2009)</w:t>
      </w:r>
      <w:r w:rsidR="00306112" w:rsidRPr="00E7337F">
        <w:fldChar w:fldCharType="end"/>
      </w:r>
      <w:r w:rsidR="00A92AFE" w:rsidRPr="00E7337F">
        <w:t>. T</w:t>
      </w:r>
      <w:r w:rsidRPr="00E7337F">
        <w:t>he</w:t>
      </w:r>
      <w:r w:rsidR="00A92AFE" w:rsidRPr="00E7337F">
        <w:t xml:space="preserve"> </w:t>
      </w:r>
      <w:r w:rsidRPr="00E7337F">
        <w:t xml:space="preserve">overharvesting of many African coastal fisheries has been driven </w:t>
      </w:r>
      <w:r w:rsidR="00C648D8" w:rsidRPr="00E7337F">
        <w:t>in considerable measure</w:t>
      </w:r>
      <w:r w:rsidRPr="00E7337F">
        <w:t xml:space="preserve"> by political decisions to sign damaging distant-water fishing agreements </w:t>
      </w:r>
      <w:r w:rsidR="00306112" w:rsidRPr="00E7337F">
        <w:fldChar w:fldCharType="begin" w:fldLock="1"/>
      </w:r>
      <w:r w:rsidR="00071F56" w:rsidRPr="00E7337F">
        <w:instrText>ADDIN CSL_CITATION {"citationItems":[{"id":"ITEM-1","itemData":{"ISSN":"1070-4965","author":[{"dropping-particle":"","family":"Alder","given":"Jacqueline","non-dropping-particle":"","parse-names":false,"suffix":""},{"dropping-particle":"","family":"Sumaila","given":"Ussif Rashid","non-dropping-particle":"","parse-names":false,"suffix":""}],"container-title":"The Journal of Environment &amp; Development","id":"ITEM-1","issue":"2","issued":{"date-parts":[["2004"]]},"page":"156-178","title":"Western Africa: a fish basket of Europe past and present","type":"article-journal","volume":"13"},"uris":["http://www.mendeley.com/documents/?uuid=87271622-0d3e-430f-bf37-35f10aada3a2"]}],"mendeley":{"formattedCitation":"(Alder and Sumaila, 2004)","plainTextFormattedCitation":"(Alder and Sumaila, 2004)","previouslyFormattedCitation":"(Alder and Sumaila, 2004)"},"properties":{"noteIndex":0},"schema":"https://github.com/citation-style-language/schema/raw/master/csl-citation.json"}</w:instrText>
      </w:r>
      <w:r w:rsidR="00306112" w:rsidRPr="00E7337F">
        <w:fldChar w:fldCharType="separate"/>
      </w:r>
      <w:r w:rsidR="0086250C" w:rsidRPr="00E7337F">
        <w:rPr>
          <w:noProof/>
        </w:rPr>
        <w:t>(Alder and Sumaila, 2004)</w:t>
      </w:r>
      <w:r w:rsidR="00306112" w:rsidRPr="00E7337F">
        <w:fldChar w:fldCharType="end"/>
      </w:r>
      <w:r w:rsidRPr="00E7337F">
        <w:t>. And the spread of aquatic invasive species in North America is in part enabled by recreational boat-users failing to adequately clean their boats before moving</w:t>
      </w:r>
      <w:r w:rsidR="00126A8C" w:rsidRPr="00E7337F">
        <w:t xml:space="preserve"> them</w:t>
      </w:r>
      <w:r w:rsidRPr="00E7337F">
        <w:t xml:space="preserve"> between water bodies </w:t>
      </w:r>
      <w:r w:rsidR="00306112" w:rsidRPr="00E7337F">
        <w:fldChar w:fldCharType="begin" w:fldLock="1"/>
      </w:r>
      <w:r w:rsidR="00071F56" w:rsidRPr="00E7337F">
        <w:instrText>ADDIN CSL_CITATION {"citationItems":[{"id":"ITEM-1","itemData":{"ISSN":"1366-9516","author":[{"dropping-particle":"","family":"Clarke Murray","given":"Cathryn","non-dropping-particle":"","parse-names":false,"suffix":""},{"dropping-particle":"","family":"Pakhomov","given":"Evgeny A","non-dropping-particle":"","parse-names":false,"suffix":""},{"dropping-particle":"","family":"Therriault","given":"Thomas W","non-dropping-particle":"","parse-names":false,"suffix":""}],"container-title":"Diversity and Distributions","id":"ITEM-1","issue":"6","issued":{"date-parts":[["2011"]]},"page":"1161-1172","title":"Recreational boating: a large unregulated vector transporting marine invasive species","type":"article-journal","volume":"17"},"uris":["http://www.mendeley.com/documents/?uuid=57d31f9c-227f-4c8c-a12f-08f8c5697dde"]}],"mendeley":{"formattedCitation":"(Clarke Murray et al., 2011)","plainTextFormattedCitation":"(Clarke Murray et al., 2011)","previouslyFormattedCitation":"(Clarke Murray et al., 2011)"},"properties":{"noteIndex":0},"schema":"https://github.com/citation-style-language/schema/raw/master/csl-citation.json"}</w:instrText>
      </w:r>
      <w:r w:rsidR="00306112" w:rsidRPr="00E7337F">
        <w:fldChar w:fldCharType="separate"/>
      </w:r>
      <w:r w:rsidR="0086250C" w:rsidRPr="00E7337F">
        <w:rPr>
          <w:noProof/>
        </w:rPr>
        <w:t xml:space="preserve">(Clarke Murray et </w:t>
      </w:r>
      <w:r w:rsidR="0086250C" w:rsidRPr="00E7337F">
        <w:rPr>
          <w:noProof/>
        </w:rPr>
        <w:lastRenderedPageBreak/>
        <w:t>al., 2011)</w:t>
      </w:r>
      <w:r w:rsidR="00306112" w:rsidRPr="00E7337F">
        <w:fldChar w:fldCharType="end"/>
      </w:r>
      <w:r w:rsidRPr="00E7337F">
        <w:t>. T</w:t>
      </w:r>
      <w:r w:rsidR="00043926" w:rsidRPr="00E7337F">
        <w:t>hus t</w:t>
      </w:r>
      <w:r w:rsidRPr="00E7337F">
        <w:t xml:space="preserve">o be effective, the majority of conservation interventions require changes in human behaviour </w:t>
      </w:r>
      <w:r w:rsidR="00306112" w:rsidRPr="00E7337F">
        <w:fldChar w:fldCharType="begin" w:fldLock="1"/>
      </w:r>
      <w:r w:rsidR="00071F56" w:rsidRPr="00E7337F">
        <w:instrText>ADDIN CSL_CITATION {"citationItems":[{"id":"ITEM-1","itemData":{"DOI":"10.1111/j.1523-1739.2006.00435.x","ISSN":"08888892","abstract":"The challenges ahead for biodiversity conservation will require a better understanding of one species: our own. This one social species will dramatically affect the entire living system of the planet over the next 20 years. Thus, not only do we need to learn more about human-human relationships and human-nature relationships, but also the questions we ask must be guided by the delineation of desired conservation outcomes. Biological knowledge alone is not sufficient to solve conservation problems, and the role of the social sciences in solving these problems has become increasingly impor- tant (Mascia et al. 2003). Psychology is one of the social sciences, but it has not always been seen as relevant to environmental issues. This is unfortunate because human behavior is causing loss of biodiversity, and human behav- ioral change will be necessary toachievemore-sustainable relationships between humans and the rest of nature. As the science of human behavior and experience, psychol- ogy has much to offer (Zelezny &amp; Schultz 2000; Schmuck &amp;Schultz 2002; Saunders&amp;Myers 2003; Clayton&amp;Brook 2005).We highlight three particular challenges for biodi- versity conservation and the way psychology can con- tribute to each one.","author":[{"dropping-particle":"","family":"Saunders","given":"Carol D.","non-dropping-particle":"","parse-names":false,"suffix":""},{"dropping-particle":"","family":"Brook","given":"Amara T.","non-dropping-particle":"","parse-names":false,"suffix":""},{"dropping-particle":"","family":"Eugene Myers","given":"Olin","non-dropping-particle":"","parse-names":false,"suffix":""}],"container-title":"Conservation Biology","id":"ITEM-1","issue":"3","issued":{"date-parts":[["2006"]]},"page":"702-705","title":"Using psychology to save biodiversity and human well-being","type":"article-journal","volume":"20"},"uris":["http://www.mendeley.com/documents/?uuid=e2d2d917-840e-421f-929d-3b7656c6ee4e"]},{"id":"ITEM-2","itemData":{"author":[{"dropping-particle":"","family":"Schultz","given":"P. Wesley","non-dropping-particle":"","parse-names":false,"suffix":""}],"container-title":"Conservation Biology","id":"ITEM-2","issue":"6","issued":{"date-parts":[["2011"]]},"page":"1080-1083","title":"Conservation means behavior","type":"article-journal","volume":"25"},"uris":["http://www.mendeley.com/documents/?uuid=d002568c-2085-4e63-ba92-9c40076e959c"]},{"id":"ITEM-3","itemData":{"DOI":"10.1111/conl.12106","ISSN":"1755263X","author":[{"dropping-particle":"","family":"Cowling","given":"Richard M.","non-dropping-particle":"","parse-names":false,"suffix":""}],"container-title":"Conservation Letters","id":"ITEM-3","issue":"3","issued":{"date-parts":[["2014"]]},"page":"147-148","title":"Let's get serious about human behavior and conservation","type":"article-journal","volume":"7"},"uris":["http://www.mendeley.com/documents/?uuid=2e72ca34-c6fa-4378-b15f-ad631e54fdd7"]},{"id":"ITEM-4","itemData":{"author":[{"dropping-particle":"","family":"Cinner","given":"J.","non-dropping-particle":"","parse-names":false,"suffix":""}],"container-title":"Science","id":"ITEM-4","issue":"6417","issued":{"date-parts":[["2018"]]},"page":"889-891","title":"How behavioral science can help conservation","type":"article-journal","volume":"362"},"uris":["http://www.mendeley.com/documents/?uuid=bb10f71a-227f-4b74-996c-4035b4be897f"]}],"mendeley":{"formattedCitation":"(Cinner, 2018; Cowling, 2014; Saunders et al., 2006; Schultz, 2011)","plainTextFormattedCitation":"(Cinner, 2018; Cowling, 2014; Saunders et al., 2006; Schultz, 2011)","previouslyFormattedCitation":"(Cinner, 2018; Cowling, 2014; Saunders et al., 2006; Schultz, 2011)"},"properties":{"noteIndex":0},"schema":"https://github.com/citation-style-language/schema/raw/master/csl-citation.json"}</w:instrText>
      </w:r>
      <w:r w:rsidR="00306112" w:rsidRPr="00E7337F">
        <w:fldChar w:fldCharType="separate"/>
      </w:r>
      <w:r w:rsidR="0086250C" w:rsidRPr="00E7337F">
        <w:rPr>
          <w:noProof/>
        </w:rPr>
        <w:t>(Cinner, 2018; Cowling, 2014; Saunders et al., 2006; Schultz, 2011)</w:t>
      </w:r>
      <w:r w:rsidR="00306112" w:rsidRPr="00E7337F">
        <w:fldChar w:fldCharType="end"/>
      </w:r>
      <w:r w:rsidRPr="00E7337F">
        <w:t xml:space="preserve">. Consider </w:t>
      </w:r>
      <w:r w:rsidR="002F515E" w:rsidRPr="00E7337F">
        <w:t xml:space="preserve">the </w:t>
      </w:r>
      <w:r w:rsidRPr="00E7337F">
        <w:t xml:space="preserve">IUCN’s catalogue of intervention types </w:t>
      </w:r>
      <w:r w:rsidR="00BA6F29" w:rsidRPr="00E7337F">
        <w:t xml:space="preserve">(Table 1; </w:t>
      </w:r>
      <w:r w:rsidR="00BA6F29" w:rsidRPr="00E7337F">
        <w:fldChar w:fldCharType="begin" w:fldLock="1"/>
      </w:r>
      <w:r w:rsidR="00071F56" w:rsidRPr="00E7337F">
        <w:instrText>ADDIN CSL_CITATION {"citationItems":[{"id":"ITEM-1","itemData":{"URL":"https://nc.iucnredlist.org/redlist/content/attachment_files/dec_2012_guidance_conservation_actions_needed_classification_scheme.pdf","author":[{"dropping-particle":"","family":"IUCN","given":"","non-dropping-particle":"","parse-names":false,"suffix":""}],"id":"ITEM-1","issued":{"date-parts":[["2012"]]},"page":"1-8","title":"IUCN - CMP unified classification of conservation actions needed","type":"webpage"},"uris":["http://www.mendeley.com/documents/?uuid=aa82838c-4bbf-42e8-b3d6-b91555bdbaac"]}],"mendeley":{"formattedCitation":"(IUCN, 2012)","manualFormatting":"IUCN 2012)","plainTextFormattedCitation":"(IUCN, 2012)","previouslyFormattedCitation":"(IUCN, 2012)"},"properties":{"noteIndex":0},"schema":"https://github.com/citation-style-language/schema/raw/master/csl-citation.json"}</w:instrText>
      </w:r>
      <w:r w:rsidR="00BA6F29" w:rsidRPr="00E7337F">
        <w:fldChar w:fldCharType="separate"/>
      </w:r>
      <w:r w:rsidR="00BA6F29" w:rsidRPr="00E7337F">
        <w:rPr>
          <w:noProof/>
        </w:rPr>
        <w:t>IUCN 2012)</w:t>
      </w:r>
      <w:r w:rsidR="00BA6F29" w:rsidRPr="00E7337F">
        <w:fldChar w:fldCharType="end"/>
      </w:r>
      <w:r w:rsidR="00BA6F29" w:rsidRPr="00E7337F">
        <w:t xml:space="preserve">. </w:t>
      </w:r>
      <w:r w:rsidRPr="00E7337F">
        <w:t>Three of the six categories – Education and awareness, Law and policy, and Livelihood, economic and other incentives – are intended to alter the choices made by consumers, producers, and those who influence their decisions (</w:t>
      </w:r>
      <w:proofErr w:type="gramStart"/>
      <w:r w:rsidR="00BA6F29" w:rsidRPr="00E7337F">
        <w:t>e.g.</w:t>
      </w:r>
      <w:proofErr w:type="gramEnd"/>
      <w:r w:rsidRPr="00E7337F">
        <w:t xml:space="preserve"> policymakers, communicators and investors). The remaining intervention categories focus more directly on the protection and management of populations and habitats, but their effectiveness also depends on human behaviour changes: the actions of conservation agents in implementing the interventions, and the reactions of stakeholders who are impacted by those actions (</w:t>
      </w:r>
      <w:proofErr w:type="gramStart"/>
      <w:r w:rsidR="00BA6F29" w:rsidRPr="00E7337F">
        <w:t>e.g.</w:t>
      </w:r>
      <w:proofErr w:type="gramEnd"/>
      <w:r w:rsidRPr="00E7337F">
        <w:t xml:space="preserve"> protected area neighbours, or those harvesting a managed population). </w:t>
      </w:r>
    </w:p>
    <w:p w14:paraId="1C5574F1" w14:textId="5A05477A" w:rsidR="00450CA8" w:rsidRPr="00E7337F" w:rsidRDefault="00EE12F8" w:rsidP="00950E9F">
      <w:pPr>
        <w:spacing w:after="0" w:line="480" w:lineRule="auto"/>
        <w:ind w:firstLine="720"/>
      </w:pPr>
      <w:r w:rsidRPr="00E7337F">
        <w:t xml:space="preserve">Shifting people’s behaviours in ways that benefit nature is complex </w:t>
      </w:r>
      <w:r w:rsidR="00306112" w:rsidRPr="00E7337F">
        <w:fldChar w:fldCharType="begin" w:fldLock="1"/>
      </w:r>
      <w:r w:rsidR="00071F56" w:rsidRPr="00E7337F">
        <w:instrText>ADDIN CSL_CITATION {"citationItems":[{"id":"ITEM-1","itemData":{"DOI":"10.1111/j.1530-2415.2005.00057.x","ISSN":"15297489","abstract":"Conservation psychology is defined as psychological research oriented toward understanding why people help or hurt the natural environment and promoting environmentally sustainable practices (Saunders, 2003). Despite a growing body of research, the field is largely unfamiliar to many psychologists and to those working in the environmental field. Here we make a case for the importance of conservation psychology and describe a model for the social psychology of conservation behavior that focuses on situational context, existing schemas, and personal motives. We hope this model will be useful for policymakers and will prompt new psychological research on the topic of conservation. © 2005 The Society for the Psychological Study of Social Issues.","author":[{"dropping-particle":"","family":"Clayton","given":"Susan","non-dropping-particle":"","parse-names":false,"suffix":""},{"dropping-particle":"","family":"Brook","given":"Amara","non-dropping-particle":"","parse-names":false,"suffix":""}],"container-title":"Analyses of Social Issues and Public Policy","id":"ITEM-1","issue":"1","issued":{"date-parts":[["2005"]]},"page":"87-102","title":"Can psychology help save the world? A model for conservation psychology","type":"article-journal","volume":"5"},"uris":["http://www.mendeley.com/documents/?uuid=67832909-f4d0-4e1a-8239-f5f936678b45"]},{"id":"ITEM-2","itemData":{"ISSN":"0022-4537","author":[{"dropping-particle":"","family":"Vlek","given":"Charles","non-dropping-particle":"","parse-names":false,"suffix":""},{"dropping-particle":"","family":"Steg","given":"Linda","non-dropping-particle":"","parse-names":false,"suffix":""}],"container-title":"Journal of social issues","id":"ITEM-2","issue":"1","issued":{"date-parts":[["2007"]]},"page":"1-19","title":"Human behavior and environmental sustainability: Problems, driving forces, and research topics","type":"article-journal","volume":"63"},"uris":["http://www.mendeley.com/documents/?uuid=2d47c4c1-57ce-49b7-a10a-81d45eb9767e"]},{"id":"ITEM-3","itemData":{"DOI":"10.1111/conl.12252","ISSN":"1755263X","abstract":"Behavioral sciences can advance conservation by systematically identifying behavioral barriers to conservation and how to best overcome them. Behavioral sciences have informed policy in many other realms (e.g., health, savings), but they are a largely untapped resource for conservation. We propose a set of guiding questions for applying behavioral insights to conservation policy. These questions help define the conservation problem as a behavior change problem, understand behavioral mechanisms and identify appropriate approaches for behavior change (awareness, incentives, nudges), and evaluate and adapt approaches based on new behavioral insights. We provide a foundation for the questions by synthesizing a wide range of behavior change models and evidence related to littering, water and energy conservation, and land management. We also discuss the methodology and data needed to answer these questions. We illustrate how these questions have been answered in practice to inform efforts to promote conservation for climate risk reduction. Although more comprehensive research programs to answer these questions are needed, some insights are emerging. Integrating two or more behavior change approaches that target multiple, context-dependent factors may be most successful; however, caution must be taken to avoid approaches that could undermine one another (e.g., economic incentives crowding out intrinsic incentives).","author":[{"dropping-particle":"","family":"Reddy","given":"Sheila M.W.","non-dropping-particle":"","parse-names":false,"suffix":""},{"dropping-particle":"","family":"Montambault","given":"Jensen","non-dropping-particle":"","parse-names":false,"suffix":""},{"dropping-particle":"","family":"Masuda","given":"Yuta J.","non-dropping-particle":"","parse-names":false,"suffix":""},{"dropping-particle":"","family":"Keenan","given":"Elizabeth","non-dropping-particle":"","parse-names":false,"suffix":""},{"dropping-particle":"","family":"Butler","given":"William","non-dropping-particle":"","parse-names":false,"suffix":""},{"dropping-particle":"","family":"Fisher","given":"Jonathan R.B.","non-dropping-particle":"","parse-names":false,"suffix":""},{"dropping-particle":"","family":"Asah","given":"Stanley T.","non-dropping-particle":"","parse-names":false,"suffix":""},{"dropping-particle":"","family":"Gneezy","given":"Ayelet","non-dropping-particle":"","parse-names":false,"suffix":""}],"container-title":"Conservation Letters","id":"ITEM-3","issue":"2","issued":{"date-parts":[["2017"]]},"page":"248-256","title":"Advancing conservation by understanding and influencing human behavior","type":"article-journal","volume":"10"},"uris":["http://www.mendeley.com/documents/?uuid=72e3e80f-bc06-441a-b22e-f03982658acd"]},{"id":"ITEM-4","itemData":{"DOI":"10.1111/cobi.13106","ISSN":"15231739","author":[{"dropping-particle":"","family":"Sel</w:instrText>
      </w:r>
      <w:r w:rsidR="00071F56" w:rsidRPr="009A691C">
        <w:rPr>
          <w:lang w:val="da-DK"/>
        </w:rPr>
        <w:instrText>inske","given":"Matthew J.","non-dropping-particle":"","parse-names":false,"suffix":""},{"dropping-particle":"","family":"Garrard","given":"Georgia E.","non-dropping-particle":"","parse-names":false,"suffix":""},{"dropping-particle":"","family":"Bekessy","given":"Sarah A.","non-dropping-particle":"","parse-names":false,"suffix":""},{"dropping-particle":"","family":"Gordon","given":"Ascelin","non-dropping-particle":"","parse-names":false,"suffix":""},{"dropping-particle":"","family":"Kusmanoff","given":"Alexander M.","non-dropping-particle":"","parse-names":false,"suffix":""},{"dropping-particle":"","family":"Fidler","given":"Fiona","non-dropping-particle":"","parse-names":false,"suffix":""}],"container-title":"Conservation Biology","id":"ITEM-4","issue":"6","issued":{"date-parts":[["2018"]]},"page":"1464-1468","title":"Revisiting the promise of conservation psychology","type":"article-journal","volume":"32"},"uris":["http://www.mendeley.com/documents/?uuid=86dad9d8-4dc4-4c85-a8c5-2f4da0c0ba56"]}],"mendeley":{"formattedCitation":"(Clayton and Brook, 2005; Reddy et al., 2017; Selinske et al., 2018; Vlek and Steg, 2007)","plainTextFormattedCitation":"(Clayton and Brook, 2005; Reddy et al., 2017; Selinske et al., 2018; Vlek and Steg, 2007)","previouslyFormattedCitation":"(Clayton and Brook, 2005; Reddy et al., 2017; Selinske et al., 2018; Vlek and Steg, 2007)"},"properties":{"noteIndex":0},"schema":"https://github.com/citation-style-language/schema/raw/master/csl-citation.json"}</w:instrText>
      </w:r>
      <w:r w:rsidR="00306112" w:rsidRPr="00E7337F">
        <w:fldChar w:fldCharType="separate"/>
      </w:r>
      <w:r w:rsidR="0086250C" w:rsidRPr="009A691C">
        <w:rPr>
          <w:noProof/>
          <w:lang w:val="da-DK"/>
        </w:rPr>
        <w:t>(Clayton and Brook, 2005; Reddy et al., 2017; Selinske et al., 2018; Vlek and Steg, 2007)</w:t>
      </w:r>
      <w:r w:rsidR="00306112" w:rsidRPr="00E7337F">
        <w:fldChar w:fldCharType="end"/>
      </w:r>
      <w:r w:rsidRPr="009A691C">
        <w:rPr>
          <w:lang w:val="da-DK"/>
        </w:rPr>
        <w:t xml:space="preserve">. </w:t>
      </w:r>
      <w:r w:rsidRPr="00E7337F">
        <w:t>The target audience may respond to an intervention in unexpected ways, potentially exacerbating a problem, or creating new problems</w:t>
      </w:r>
      <w:r w:rsidR="00A92AFE" w:rsidRPr="00E7337F">
        <w:t xml:space="preserve"> </w:t>
      </w:r>
      <w:r w:rsidR="00A92AFE" w:rsidRPr="00E7337F">
        <w:fldChar w:fldCharType="begin" w:fldLock="1"/>
      </w:r>
      <w:r w:rsidR="00071F56" w:rsidRPr="00E7337F">
        <w:instrText>ADDIN CSL_CITATION {"citationItems":[{"id":"ITEM-1","itemData":{"ISSN":"0146-1672","author":[{"dropping-particle":"","family":"Blanken","given":"Irene","non-dropping-particle":"","parse-names":false,"suffix":""},{"dropping-particle":"","family":"Ven","given":"Niels","non-dropping-particle":"van de","parse-names":false,"suffix":""},{"dropping-particle":"","family":"Zeelenberg","given":"Marcel","non-dropping-particle":"","parse-names":false,"suffix":""}],"container-title":"Personality and Social Psychology Bulletin","id":"ITEM-1","issue":"4","issued":{"date-parts":[["2015"]]},"page":"540-558","title":"A meta-analytic review of moral licensing","type":"article-journal","volume":"41"},"uris":["http://www.mendeley.com/documents/?uuid=d75e086c-262b-4945-a806-d2a6450bdc33"]},{"id":"ITEM-2","itemData":{"ISSN":"0921-8009","author":[{"dropping-particle":"","family":"Rode","given":"Julian","non-dropping-particle":"","parse-names":false,"suffix":""},{"dropping-particle":"","family":"Gómez-Baggethun","given":"Erik","non-dropping-particle":"","parse-names":false,"suffix":""},{"dropping-particle":"","family":"Krause","given":"Torsten","non-dropping-particle":"","parse-names":false,"suffix":""}],"container-title":"Ecological Economics","id":"ITEM-2","issued":{"date-parts":[["2015"]]},"page":"270-282","title":"Motivation crowding by economic incentives in conservation policy: A review of the empirical evidence","type":"article-journal","volume":"117"},"uris":["http://www.mendeley.com/documents/?uuid=f29f907f-428c-4810-abbd-6748c27b60a7"]}],"mendeley":{"formattedCitation":"(Blanken et al., 2015; Rode et al., 2015)","plainTextFormattedCitation":"(Blanken et al., 2015; Rode et al., 2015)","previouslyFormattedCitation":"(Blanken et al., 2015; Rode et al., 2015)"},"properties":{"noteIndex":0},"schema":"https://github.com/citation-style-language/schema/raw/master/csl-citation.json"}</w:instrText>
      </w:r>
      <w:r w:rsidR="00A92AFE" w:rsidRPr="00E7337F">
        <w:fldChar w:fldCharType="separate"/>
      </w:r>
      <w:r w:rsidR="0086250C" w:rsidRPr="00E7337F">
        <w:rPr>
          <w:noProof/>
        </w:rPr>
        <w:t>(Blanken et al., 2015; Rode et al., 2015)</w:t>
      </w:r>
      <w:r w:rsidR="00A92AFE" w:rsidRPr="00E7337F">
        <w:fldChar w:fldCharType="end"/>
      </w:r>
      <w:r w:rsidRPr="00E7337F">
        <w:t>. Interventions that are effective for one group of stakeholders may have little impact on others</w:t>
      </w:r>
      <w:r w:rsidR="00A92AFE" w:rsidRPr="00E7337F">
        <w:t xml:space="preserve"> </w:t>
      </w:r>
      <w:r w:rsidR="00A92AFE" w:rsidRPr="00E7337F">
        <w:fldChar w:fldCharType="begin" w:fldLock="1"/>
      </w:r>
      <w:r w:rsidR="00071F56" w:rsidRPr="00E7337F">
        <w:instrText>ADDIN CSL_CITATION {"citationItems":[{"id":"ITEM-1","itemData":{"author":[{"dropping-particle":"","family":"Burgess","given":"G","non-dropping-particle":"","parse-names":false,"suffix":""},{"dropping-particle":"","family":"Zahn","given":"S","non-dropping-particle":"","parse-names":false,"suffix":""},{"dropping-particle":"","family":"Miller-Gulland","given":"E J","non-dropping-particle":"","parse-names":false,"suffix":""},{"dropping-particle":"","family":"Eisingreich","given":"A B","non-dropping-particle":"","parse-names":false,"suffix":""},{"dropping-particle":"","family":"Sharif","given":"V","non-dropping-particle":"","parse-names":false,"suffix":""},{"dropping-particle":"","family":"Ibbett","given":"H","non-dropping-particle":"","parse-names":false,"suffix":""},{"dropping-particle":"","family":"Castro","given":"A Olmedo","non-dropping-particle":"","parse-names":false,"suffix":""},{"dropping-particle":"","family":"Sohl","given":"H","non-dropping-particle":"","parse-names":false,"suffix":""}],"id":"ITEM-1","issued":{"date-parts":[["2018"]]},"publisher":"TRAFFIC, the University of Oxford, Imperial College Business","publisher-place":"Cambridge, UK","title":"Reducing demand for illegal wildlife products: Research analysis on strategies to change illegal wildlife product consumer behavior","type":"report"},"uris":["http://www.mendeley.com/documents/?uuid=59ee23e3-48fe-4a77-bf6e-d164e58fe51f"]}],"mendeley":{"formattedCitation":"(Burgess et al., 2018)","plainTextFormattedCitation":"(Burgess et al., 2018)","previouslyFormattedCitation":"(Burgess et al., 2018)"},"properties":{"noteIndex":0},"schema":"https://github.com/citation-style-language/schema/raw/master/csl-citation.json"}</w:instrText>
      </w:r>
      <w:r w:rsidR="00A92AFE" w:rsidRPr="00E7337F">
        <w:fldChar w:fldCharType="separate"/>
      </w:r>
      <w:r w:rsidR="0086250C" w:rsidRPr="00E7337F">
        <w:rPr>
          <w:noProof/>
        </w:rPr>
        <w:t>(Burgess et al., 2018)</w:t>
      </w:r>
      <w:r w:rsidR="00A92AFE" w:rsidRPr="00E7337F">
        <w:fldChar w:fldCharType="end"/>
      </w:r>
      <w:r w:rsidR="00A92AFE" w:rsidRPr="00E7337F">
        <w:t>.</w:t>
      </w:r>
      <w:r w:rsidRPr="00E7337F">
        <w:t xml:space="preserve"> More broadly, people do not necessarily use all available information, follow formal rules or behave in an economically rational fashion</w:t>
      </w:r>
      <w:r w:rsidR="00E34000" w:rsidRPr="00E7337F">
        <w:t xml:space="preserve"> </w:t>
      </w:r>
      <w:r w:rsidR="00E34000" w:rsidRPr="00E7337F">
        <w:fldChar w:fldCharType="begin" w:fldLock="1"/>
      </w:r>
      <w:r w:rsidR="00071F56" w:rsidRPr="00E7337F">
        <w:instrText>ADDIN CSL_CITATION {"citationItems":[{"id":"ITEM-1","itemData":{"ISBN":"0374275637","author":[{"dropping-particle":"","family":"Kahneman","given":"Daniel","non-dropping-particle":"","parse-names":false,"suffix":""}],"id":"ITEM-1","issued":{"date-parts":[["2011"]]},"publisher":"Macmillan","title":"Thinking, fast and slow","type":"book"},"uris":["http://www.mendeley.com/documents/?uuid=38ae0a56-33fa-46d2-af17-2752b7176526"]},{"id":"ITEM-2","itemData":{"ISBN":"0036-8075","abstract":"Much of the global burden of disease is associated with behaviors - overeating, smoking, excessive alcohol consumption, and physical inactivity - that people recognize as health-harming and yet continue to engage in, even when undesired consequences emerge. To date, interventions aimed at changing such behaviors have largely encouraged people to reflect on their behaviors. These approaches are often ineffectual, which is in keeping with the observation thatmuch human behavior is automatic, cued by environmental stimuli, resulting in actions that are largely unaccompanied by conscious reflection. We propose that interventions targeting these automatic bases of behaviors may be more effective. We discuss specific interventions and suggest ways to determine whether and how interventions that target automatic processes can enhance global efforts to prevent disease.","author":[{"dropping-particle":"","family":"Marteau","given":"Theresa M.","non-dropping-particle":"","parse-names":false,"suffix":""},{"dropping-particle":"","family":"Hollands","given":"Gareth J.","non-dropping-particle":"","parse-names":false,"suffix":""},{"dropping-particle":"","family":"Fletcher","given":"Paul C.","non-dropping-particle":"","parse-names":false,"suffix":""}],"container-title":"Science","id":"ITEM-2","issue":"6101","issued":{"date-parts":[["2012"]]},"page":"1492-1495","title":"Changing human behavior to prevent disease: The importance of targeting automatic processes","type":"article-journal","volume":"337"},"uris":["http://www.mendeley.com/documents/?uuid=c3a772f4-b78e-4284-a9d6-ea904bbb006a"]},{"id":"ITEM-3","itemData":{"ISSN":"0002-8282","author":[{"dropping-particle":"","family":"Thaler","given":"Richard H","non-dropping-particle":"","parse-names":false,"suffix":""}],"container-title":"American Economic Review","id":"ITEM-3","issue":"6","issued":{"date-parts":[["2018"]]},"page":"1265-1287","title":"From cashews to nudges: The evolution of behavioral economics","type":"article-journal","volume":"108"},"uris":["http://www.mendeley.com/documents/?uuid=e5d9c894-970a-4b49-858d-3d75f5daa749"]}],"mendeley":{"formattedCitation":"(Kahneman, 2011; Marteau et al., 2012; Thaler, 2018)","plainTextFormattedCitation":"(Kahneman, 2011; Marteau et al., 2012; Thaler, 2018)","previouslyFormattedCitation":"(Kahneman, 2011; Marteau et al., 2012; Thaler, 2018)"},"properties":{"noteIndex":0},"schema":"https://github.com/citation-style-language/schema/raw/master/csl-citation.json"}</w:instrText>
      </w:r>
      <w:r w:rsidR="00E34000" w:rsidRPr="00E7337F">
        <w:fldChar w:fldCharType="separate"/>
      </w:r>
      <w:r w:rsidR="0086250C" w:rsidRPr="00E7337F">
        <w:rPr>
          <w:noProof/>
        </w:rPr>
        <w:t>(Kahneman, 2011; Marteau et al., 2012; Thaler, 2018)</w:t>
      </w:r>
      <w:r w:rsidR="00E34000" w:rsidRPr="00E7337F">
        <w:fldChar w:fldCharType="end"/>
      </w:r>
      <w:r w:rsidRPr="00E7337F">
        <w:t>.</w:t>
      </w:r>
      <w:r w:rsidR="000C3B6C" w:rsidRPr="00E7337F">
        <w:t xml:space="preserve"> </w:t>
      </w:r>
      <w:r w:rsidRPr="00E7337F">
        <w:t xml:space="preserve">In part because conservation programmes are largely run by biologists, interventions are commonly designed in ways that fail to consider how people will implement and respond to them, and that often do not address underlying drivers of environmental degradation </w:t>
      </w:r>
      <w:r w:rsidR="00306112" w:rsidRPr="00E7337F">
        <w:fldChar w:fldCharType="begin" w:fldLock="1"/>
      </w:r>
      <w:r w:rsidR="00071F56" w:rsidRPr="00E7337F">
        <w:instrText>ADDIN CSL_CITATION {"citationItems":[{"id":"ITEM-1","itemData":{"DOI":"10.1111/conl.12720","author":[{"dropping-particle":"","family":"Williams","given":"David R","non-dropping-particle":"","parse-names":false,"suffix":""},{"dropping-particle":"","family":"Balmford","given":"Andrew","non-dropping-particle":"","parse-names":false,"suffix":""},{"dropping-particle":"","family":"Wilcove","given":"David S","non-dropping-particle":"","parse-names":false,"suffix":""}],"container-title":"Conservation Letters","id":"ITEM-1","issued":{"date-parts":[["2020"]]},"page":"e12720","title":"The past and future role of conservation science in saving biodiversity","type":"article-journal"},"uris":["http://www.mendeley.com/documents/?uuid=4aa88d0c-839c-4eeb-b9d7-e55893f115dd"]}],"mendeley":{"formattedCitation":"(Williams et al., 2020)","plainTextFormattedCitation":"(Williams et al., 2020)","previouslyFormattedCitation":"(Williams et al., 2020)"},"properties":{"noteIndex":0},"schema":"https://github.com/citation-style-language/schema/raw/master/csl-citation.json"}</w:instrText>
      </w:r>
      <w:r w:rsidR="00306112" w:rsidRPr="00E7337F">
        <w:fldChar w:fldCharType="separate"/>
      </w:r>
      <w:r w:rsidR="0086250C" w:rsidRPr="00E7337F">
        <w:rPr>
          <w:noProof/>
        </w:rPr>
        <w:t>(Williams et al., 2020)</w:t>
      </w:r>
      <w:r w:rsidR="00306112" w:rsidRPr="00E7337F">
        <w:fldChar w:fldCharType="end"/>
      </w:r>
      <w:r w:rsidRPr="00E7337F">
        <w:t xml:space="preserve">. </w:t>
      </w:r>
      <w:r w:rsidR="00C648D8" w:rsidRPr="00E7337F">
        <w:t>We contend that t</w:t>
      </w:r>
      <w:r w:rsidRPr="00E7337F">
        <w:t xml:space="preserve">he sector is </w:t>
      </w:r>
      <w:r w:rsidR="00E34000" w:rsidRPr="00E7337F">
        <w:t xml:space="preserve">failing to show sufficient awareness of the power (and indeed limitations) </w:t>
      </w:r>
      <w:r w:rsidRPr="00E7337F">
        <w:t xml:space="preserve">of new developments in behavioural science that are increasingly deployed in other sectors </w:t>
      </w:r>
      <w:r w:rsidR="00306112" w:rsidRPr="00E7337F">
        <w:fldChar w:fldCharType="begin" w:fldLock="1"/>
      </w:r>
      <w:r w:rsidR="00B40551" w:rsidRPr="00E7337F">
        <w:instrText>ADDIN CSL_CITATION {"citationItems":[{"id":"ITEM-1","itemData":{"author":[{"dropping-particle":"","family":"Burgess","given":"Gayle","non-dropping-particle":"","parse-names":false,"suffix":""}],"container-title":"TRAFFIC Bulletin","id":"ITEM-1","issue":"2","issued":{"date-parts":[["2016"]]},"page":"65-73","title":"Powers of persuasion? Conservation communications, behavioural change and reducing demand for illegal wildlife products","type":"article-journal","volume":"28"},"uris":["http://www.mendeley.com/documents/?uuid=5341162f-3228-4742-b163-ee2885d51937"]},{"id":"ITEM-2","itemData":{"DOI":"10.1111/conl.12252","ISSN":"1755263X","abstract":"Behavioral sciences can advance conservation by systematically identifying behavioral barriers to conservation and how to best overcome them. Behavioral sciences have informed policy in many other realms (e.g., health, savings), but they are a largely untapped resource for conservation. We propose a set of guiding questions for applying behavioral insights to conservation policy. These questions help define the conservation problem as a behavior change problem, understand behavioral mechanisms and identify appropriate approaches for behavior change (awareness, incentives, nudges), and evaluate and adapt approaches based on new behavioral insights. We provide a foundation for the questions by synthesizing a wide range of behavior change models and evidence related to littering, water and energy conservation, and land management. We also discuss the methodology and data needed to answer these questions. We illustrate how these questions have been answered in practice to inform efforts to promote conservation for climate risk reduction. Although more comprehensive research programs to answer these questions are needed, some insights are emerging. Integrating two or more behavior change approaches that target multiple, context-dependent factors may be most successful; however, caution must be taken to avoid approaches that could undermine one another (e.g., economic incentives crowding out intrinsic incentives).","author":[{"dropping-particle":"","family":"Reddy","given":"Sheila M.W.","non-dropping-particle":"","parse-names":false,"suffix":""},{"dropping-particle":"","family":"Montambault","given":"Jensen","non-dropping-particle":"","parse-names":false,"suffix":""},{"dropping-particle":"","family":"Masuda","given":"Yuta J.","non-dropping-particle":"","parse-names":false,"suffix":""},{"dropping-particle":"","family":"Keenan","given":"Elizabeth","non-dropping-particle":"","parse-names":false,"suffix":""},{"dropping-particle":"","family":"Butler","given":"William","non-dropping-particle":"","parse-names":false,"suffix":""},{"dropping-particle":"","family":"Fisher","given":"Jonathan R.B.","non-dropping-particle":"","parse-names":false,"suffix":""},{"dropping-particle":"","family":"Asah","given":"Stanley T.","non-dropping-particle":"","parse-names":false,"suffix":""},{"dropping-particle":"","family":"Gneezy","given":"Ayelet","non-dropping-particle":"","parse-names":false,"suffix":""}],"container-title":"Conservation Letters","id":"ITEM-2","issue":"2","issued":{"date-parts":[["2017"]]},"page":"248-256","title":"Advancing conservation by understanding and influencing human behavior","type":"article-journal","volume":"10"},"uris":["http://www.mendeley.com/documents/?uuid=72e3e80f-bc06-441a-b22e-f03982658acd"]},{"id":"ITEM-3","itemData":{"author":[{"dropping-particle":"","family":"Cinner","given":"J.","non-dropping-particle":"","parse-names":false,"suffix":""}],"container-title":"Science","id":"ITEM-3","issue":"6417","issued":{"date-parts":[["2018"]]},"page":"889-891","title":"How behavioral science can help conservation","type":"article-journal","volume":"362"},"uris":["http://www.mendeley.com/documents/?uuid=bb10f71a-227f-4b74-996c-4035b4be897f"]},{"id":"ITEM-4","itemData":{"author":[{"dropping-particle":"","family":"Rare and The Behavioural Insights Team","given":"","non-dropping-particle":"","parse-names":false,"suffix":""}],"id":"ITEM-4","issued":{"date-parts":[["2019"]]},"publisher":"Rare","publisher-place":"Arlington, VA","title":"Behavior change for nature: A behavioral science toolkit for practitioners","type":"report"},"uris":["http://www.mendeley.com/documents/?uuid=756c44a7-9e01-40b4-b6ac-9fd6d98aedb6"]},{"id":"ITEM-5","itemData":{"DOI":"10.31235/osf.io/6dhaf","author":[{"dropping-particle":"","family":"Thomas-Walters","given":"Laura","non-dropping-particle":"","parse-names":false,"suffix":""},{"dropping-particle":"","family":"McCallum","given":"Jamie","non-dropping-particle":"","parse-names":false,"suffix":""},{"dropping-particle":"","family":"Montgomery","given":"Ryan","non-dropping-particle":"","parse-names":false,"suffix":""},{"dropping-particle":"","family":"Kar","given":"Anita","non-dropping-particle":"","parse-names":false,"suffix":""},{"dropping-particle":"","family":"Wan","given":"Yan","non-dropping-particle":"","parse-names":false,"suffix":""},{"dropping-particle":"","family":"Veríssimo","given":"Diogo","non-dropping-particle":"","parse-names":false,"suffix":""}],"container-title":"SocArXiv","id":"ITEM-5","issued":{"date-parts":[["2020"]]},"page":"1-35","title":"A systematic review of conservation efforts using non-monetary, non-regulatory incentives to promote voluntary behaviour change","type":"article-journal"},"uris":["http://www.mendeley.com/documents/?uuid=8d2e528d-0714-4663-a163-c6dfbe0d98c3"]},{"id":"ITEM-6","itemData":{"DOI":"10.1016/j.biocon.2021.109092","ISSN":"00063207","abstract":"Developing interventions to change human behaviour at scale is critical to achieving the new Global Biodiversity Framework goals. One strategy that conservation practitioners can adopt in pursuing this ambition is to look for lessons from other fields engaged in sustainable development, such as development economics and behavioural science. Over the past twenty years, these fields have generated a large and growing evidence-base of strategies for improving key sustainability indicators in areas such as health, livelihoods and education. This empirical revolution has been accelerated by rapid advances in understanding the social and psychological foundations of human behaviour. In this paper, we identify three areas that can help conservation to bring behaviour change programmes to scale. First, conservation practitioners should develop expertise in human behaviour developed in the social and cognitive sciences. Second, conservation researchers should adopt empirical methods widely practiced in development economics to rigorously identify whether, how and why interventions work. Third, conservation should integrate with the policy institutions and systems to facilitate learning and scaling.","author":[{"dropping-particle":"","family":"Travers","given":"Henry","non-dropping-particle":"","parse-names":false,"suffix":""},{"dropping-particle":"","family":"Walsh","given":"James","non-dropping-particle":"","parse-names":false,"suffix":""},{"dropping-particle":"","family":"Vogt","given":"Sonja","non-dropping-particle":"","parse-names":false,"suffix":""},{"dropping-particle":"","family":"Clements","given":"Tom","non-dropping-particle":"","parse-names":false,"suffix":""},{"dropping-particle":"","family":"Milner-Gulland","given":"E. J.","non-dropping-particle":"","parse-names":false,"suffix":""}],"container-title":"Biological Conservation","id":"ITEM-6","issued":{"date-parts":[["2021"]]},"page":"109092","publisher":"Elsevier Ltd","title":"Delivering behavioural change at scale: What conservation can learn from other fields","type":"article-journal","volume":"257"},"uris":["http://www.mendeley.com/documents/?uuid=dc309870-9586-4ff5-a9e1-50fe10c5fe67"]}],"mendeley":{"formattedCitation":"(Burgess, 2016; Cinner, 2018; Rare and The Behavioural Insights Team, 2019; Reddy et al., 2017; Thomas-Walters et al., 2020a; Travers et al., 2021)","plainTextFormattedCitation":"(Burgess, 2016; Cinner, 2018; Rare and The Behavioural Insights Team, 2019; Reddy et al., 2017; Thomas-Walters et al., 2020a; Travers et al., 2021)","previouslyFormattedCitation":"(Burgess, 2016; Cinner, 2018; Rare and The Behavioural Insights Team, 2019; Reddy et al., 2017; Thomas-Walters et al., 2020a; Travers et al., 2021)"},"properties":{"noteIndex":0},"schema":"https://github.com/citation-style-language/schema/raw/master/csl-citation.json"}</w:instrText>
      </w:r>
      <w:r w:rsidR="00306112" w:rsidRPr="00E7337F">
        <w:fldChar w:fldCharType="separate"/>
      </w:r>
      <w:r w:rsidR="00400DCE" w:rsidRPr="00E7337F">
        <w:rPr>
          <w:noProof/>
        </w:rPr>
        <w:t xml:space="preserve">(Burgess, 2016; Cinner, 2018; Rare and The </w:t>
      </w:r>
      <w:r w:rsidR="00400DCE" w:rsidRPr="00E7337F">
        <w:rPr>
          <w:noProof/>
        </w:rPr>
        <w:lastRenderedPageBreak/>
        <w:t>Behavioural Insights Team, 2019; Reddy et al., 2017; Thomas-Walters et al., 2020a; Travers et al., 2021)</w:t>
      </w:r>
      <w:r w:rsidR="00306112" w:rsidRPr="00E7337F">
        <w:fldChar w:fldCharType="end"/>
      </w:r>
      <w:r w:rsidRPr="00E7337F">
        <w:t xml:space="preserve">. </w:t>
      </w:r>
    </w:p>
    <w:p w14:paraId="087592A1" w14:textId="77777777" w:rsidR="00E95A11" w:rsidRPr="00E7337F" w:rsidRDefault="00E95A11" w:rsidP="00950E9F">
      <w:pPr>
        <w:spacing w:after="0" w:line="480" w:lineRule="auto"/>
      </w:pPr>
    </w:p>
    <w:p w14:paraId="7C7901DF" w14:textId="463DD3E3" w:rsidR="00137EFA" w:rsidRPr="00E7337F" w:rsidRDefault="00950E9F" w:rsidP="00950E9F">
      <w:pPr>
        <w:spacing w:after="0" w:line="480" w:lineRule="auto"/>
        <w:rPr>
          <w:b/>
          <w:bCs/>
        </w:rPr>
      </w:pPr>
      <w:r w:rsidRPr="00E7337F">
        <w:rPr>
          <w:b/>
          <w:bCs/>
        </w:rPr>
        <w:t xml:space="preserve">3. </w:t>
      </w:r>
      <w:r w:rsidR="00F37B8D" w:rsidRPr="00E7337F">
        <w:rPr>
          <w:b/>
          <w:bCs/>
        </w:rPr>
        <w:t>Relevance</w:t>
      </w:r>
      <w:r w:rsidR="00137EFA" w:rsidRPr="00E7337F">
        <w:rPr>
          <w:b/>
          <w:bCs/>
        </w:rPr>
        <w:t xml:space="preserve"> of behavioural science</w:t>
      </w:r>
    </w:p>
    <w:p w14:paraId="5386557E" w14:textId="27D5D577" w:rsidR="00317A9A" w:rsidRPr="00E7337F" w:rsidRDefault="00EE12F8" w:rsidP="00950E9F">
      <w:pPr>
        <w:spacing w:after="0" w:line="480" w:lineRule="auto"/>
      </w:pPr>
      <w:r w:rsidRPr="00E7337F">
        <w:t xml:space="preserve">In recent decades, </w:t>
      </w:r>
      <w:proofErr w:type="gramStart"/>
      <w:r w:rsidRPr="00E7337F">
        <w:t>theories</w:t>
      </w:r>
      <w:proofErr w:type="gramEnd"/>
      <w:r w:rsidRPr="00E7337F">
        <w:t xml:space="preserve"> and evidence from behavioural science – </w:t>
      </w:r>
      <w:r w:rsidR="00584447" w:rsidRPr="00E7337F">
        <w:t xml:space="preserve">which we define as the scientific study of behaviour informed by a wide range of disciplines including psychology, sociology, economics, anthropology, political science </w:t>
      </w:r>
      <w:r w:rsidRPr="00E7337F">
        <w:t xml:space="preserve">– have shed considerable light on the social, motivational, cognitive, cultural, and contextual processes underlying behaviour. </w:t>
      </w:r>
      <w:r w:rsidR="00BB36C9" w:rsidRPr="00E7337F">
        <w:t xml:space="preserve">These have in turn informed interventions which have helped encourage </w:t>
      </w:r>
      <w:r w:rsidR="0039579D" w:rsidRPr="00E7337F">
        <w:t xml:space="preserve">societally </w:t>
      </w:r>
      <w:r w:rsidR="00AF6874" w:rsidRPr="00E7337F">
        <w:t>valued</w:t>
      </w:r>
      <w:r w:rsidR="00BB36C9" w:rsidRPr="00E7337F">
        <w:t xml:space="preserve"> behaviour change, from </w:t>
      </w:r>
      <w:r w:rsidR="000A1355" w:rsidRPr="00E7337F">
        <w:t xml:space="preserve">reductions in </w:t>
      </w:r>
      <w:r w:rsidR="00BB36C9" w:rsidRPr="00E7337F">
        <w:t xml:space="preserve">smoking, obesity and addiction, to </w:t>
      </w:r>
      <w:r w:rsidR="007F78F3" w:rsidRPr="00E7337F">
        <w:t xml:space="preserve">improvements in </w:t>
      </w:r>
      <w:r w:rsidR="00BB36C9" w:rsidRPr="00E7337F">
        <w:t xml:space="preserve">development assistance, tax compliance, and climate change mitigation </w:t>
      </w:r>
      <w:r w:rsidR="00BB36C9" w:rsidRPr="00E7337F">
        <w:fldChar w:fldCharType="begin" w:fldLock="1"/>
      </w:r>
      <w:r w:rsidR="00071F56" w:rsidRPr="00E7337F">
        <w:instrText xml:space="preserve">ADDIN CSL_CITATION {"citationItems":[{"id":"ITEM-1","itemData":{"DOI":"10.1257/aer.101.6.2350","ISSN":"00028282","abstract":"We model farmers as facing small fixed costs of purchasing fertilizer and assume some are stochastically present biased and not fully sophisticated about this bias. Such farmers may procrastinate, postponing fertilizer purchases until later periods, when they may be too impatient to purchase fertilizer. Consistent with the model, many farmers in Western Kenya fail to take advantage of apparently profitable fertilizer investments, but they do invest in response to small, time-limited discounts on the cost of acquiring fertilizer (free delivery) just after harvest. Calibration suggests that this policy can yield higher welfare than either laissez-faire policies or heavy subsidies.","author":[{"dropping-particle":"","family":"Duflo","given":"Esther","non-dropping-particle":"","parse-names":false,"suffix":""},{"dropping-particle":"","family":"Kremer","given":"Michael","non-dropping-particle":"","parse-names":false,"suffix":""},{"dropping-particle":"","family":"Robinson","given":"Jonathan","non-dropping-particle":"","parse-names":false,"suffix":""}],"container-title":"American Economic Review","id":"ITEM-1","issue":"6","issued":{"date-parts":[["2011"]]},"page":"2350-2390","title":"Nudging farmers to use fertilizer: Theory and experimental evidence from Kenya","type":"article-journal","volume":"101"},"uris":["http://www.mendeley.com/documents/?uuid=f9458ab3-4b1c-4d7b-8f76-ecb994b1228a"]},{"id":"ITEM-2","itemData":{"DOI":"10.1111/roiw.12093","ISSN":"00346586","abstract":"Successful development programs rely on people to behave and choose in certain ways, and behavioral economics helps us understand why people behave and choose as they do. This paper sketches how to design development programs and policies in ways that are cognizant of and informed by the insights behavioral economics provides into human behavior. It distills the key insights of behavioral economics into a parsimonious framework about the constraints under which people make decisions. It then shows how this framework leads to a set of design principles that can be employed to design programs in areas including health, education, productivity, agriculture, finance, and the delivery of public services. Finally, it offers some reflections on the ways in which these insights and design principles can be incorporated into existing and planned programs to improve their reach and effectiveness. © 2014 UNU-WIDER. Review of Income and Wealth published by John Wiley &amp; Sons Ltd on behalf of International Association for Research in Income and Wealth.","author":[{"dropping-particle":"","family":"Datta","given":"Saugato","non-dropping-particle":"","parse-names":false,"suffix":""},{"dropping-particle":"","family":"Mullainathan","given":"Sendhil","non-dropping-particle":"","parse-names":false,"suffix":""}],"container-title":"Review of Income and Wealth","id":"ITEM-2","issue":"1","issued":{"date-parts":[["2014"]]},"page":"7-35","title":"Behavioral design: A new approach to development policy","type":"article-journal","volume":"60"},"uris":["http://www.mendeley.com/documents/?uuid=8997600e-017f-4fd7-846d-64f866000952"]},{"id":"ITEM-3","itemData":{"ISSN":"0047-2727","author":[{"dropping-particle":"","family":"Hallsworth","given":"Michael","non-dropping-particle":"","parse-names":false,"suffix":""},{"dropping-particle":"","family":"List","given":"John A","non-dropping-particle":"","parse-names":false,"suffix":""},{"dropping-particle":"","family":"Metcalfe","given":"Robert D","non-dropping-particle":"","parse-names":false,"suffix":""},{"dropping-particle":"","family":"Vlaev","given":"Ivo","non-dropping-particle":"","parse-names":false,"suffix":""}],"container-title":"Journal of Public Economics","id":"ITEM-3","issued":{"date-parts":[["2017"]]},"page":"14-31","title":"The behavioralist as tax collector: Using natural field experiments to enhance tax compliance","type":"article-journal","volume":"148"},"uris":["http://www.mendeley.com/documents/?uuid=a80d2e1b-6d26-4557-befd-02d3189628ee"]},{"id":"ITEM-4","itemData":{"DOI":"10.1073/pnas.2004428117","abstract":"This study examines how messaging approaches in a prosocial intervention can influence not only the effectiveness of the intervention but also, contagion afterward. Our investigation focuses on leveraging two motivations for solar adoption: self-interest and prosocial. Using data from a natural field experiment in 29 municipalities containing 684,000 people, we find that self-interest messaging is twice as effective in inducing solar adoption both during and after the intervention. Adoptions under self-interest messaging have 10% higher net present value, but prosocial messaging increases the likelihood that adopters recommend solar to their friends and neighbors. Income moderates the effectiveness of self-interest messaging, performing much better in high-income communities than low-and moderate-income communities. There was no significant difference across income groups for prosocial messaging. These results provide guidance to policy makers aiming to encourage prosocial behavior across all income groups. nudge | solar photovoltaics | low and moderate income | energy | field experiment A s policy makers around the world continue to grapple with the challenge of mitigating climate change, the cost of many renewable energy technologies has plummeted. The cost declines have been especially rapid for residential rooftop solar photo-voltaic (PV) systems, which have become cost effective for many households in the United States and many other countries. Yet, they are still relatively rare, with only about 1 in 50 households in the United States hosting a rooftop solar system by the end of 2019 (SI Appendix has calculation details). Additionally, it is generally even less common for low-and moderate-income households to adopt solar PV systems (1), leading to much policy interest in accelerating adoption by this customer segment for energy equity reasons. * There is a growing literature demonstrating that interventions designed around insights from social psychology and behav-ioral economics, often called social nudges, can be cost-effective means to encourage conservation and prosocial environmental decisions (5-9). At the core of nearly all such behavioral interventions is some intended message the experimenter is </w:instrText>
      </w:r>
      <w:r w:rsidR="00071F56" w:rsidRPr="009A691C">
        <w:rPr>
          <w:lang w:val="da-DK"/>
        </w:rPr>
        <w:instrText>trying to get across, whether it be a social norms message stating that peers or neighbors are performing the behavior (10) or simply a message intending to inform consumers of a real cost (11). However , less is known about how the core message o…","author":[{"dropping-particle":"","family":"Bollinger","given":"Bryan","non-dropping-particle":"","parse-names":false,"suffix":""},{"dropping-particle":"","family":"Gillingham","given":"Kenneth T","non-dropping-particle":"","parse-names":false,"suffix":""},{"dropping-particle":"","family":"Ovaere","given":"Marten","non-dropping-particle":"","parse-names":false,"suffix":""}],"container-title":"Proceedings of the National Academy of Sciences","id":"ITEM-4","issued":{"date-parts":[["2020"]]},"page":"20503-20510","title":"Field experimental evidence shows that self-interest attracts more sunlight","type":"article-journal","volume":"117"},"uris":["http://www.mendeley.com/documents/?uuid=953acfa6-1f0b-4084-91b0-527bb7c4c9dc"]}],"mendeley":{"formattedCitation":"(Bollinger et al., 2020; Datta and Mullainathan, 2014; Duflo et al., 2011; Hallsworth et al., 2017)","plainTextFormattedCitation":"(Bollinger et al., 2020; Datta and Mullainathan, 2014; Duflo et al., 2011; Hallsworth et al., 2017)","previouslyFormattedCitation":"(Bollinger et al., 2020; Datta and Mullainathan, 2014; Duflo et al., 2011; Hallsworth et al., 2017)"},"properties":{"noteIndex":0},"schema":"https://github.com/citation-style-language/schema/raw/master/csl-citation.json"}</w:instrText>
      </w:r>
      <w:r w:rsidR="00BB36C9" w:rsidRPr="00E7337F">
        <w:fldChar w:fldCharType="separate"/>
      </w:r>
      <w:r w:rsidR="0086250C" w:rsidRPr="009A691C">
        <w:rPr>
          <w:noProof/>
          <w:lang w:val="da-DK"/>
        </w:rPr>
        <w:t>(Bollinger et al., 2020; Datta and Mullainathan, 2014; Duflo et al., 2011; Hallsworth et al., 2017)</w:t>
      </w:r>
      <w:r w:rsidR="00BB36C9" w:rsidRPr="00E7337F">
        <w:fldChar w:fldCharType="end"/>
      </w:r>
      <w:r w:rsidR="00BB36C9" w:rsidRPr="009A691C">
        <w:rPr>
          <w:lang w:val="da-DK"/>
        </w:rPr>
        <w:t xml:space="preserve">. </w:t>
      </w:r>
      <w:r w:rsidR="00317A9A" w:rsidRPr="00E7337F">
        <w:t>Th</w:t>
      </w:r>
      <w:r w:rsidR="00204BF0" w:rsidRPr="00E7337F">
        <w:t>is</w:t>
      </w:r>
      <w:r w:rsidR="00317A9A" w:rsidRPr="00E7337F">
        <w:t xml:space="preserve"> progress in understanding human behaviour and how to change it is relevant for conservation interventions in two ways</w:t>
      </w:r>
      <w:r w:rsidR="00C630D0" w:rsidRPr="00E7337F">
        <w:t>. F</w:t>
      </w:r>
      <w:r w:rsidR="00317A9A" w:rsidRPr="00E7337F">
        <w:t xml:space="preserve">irst, </w:t>
      </w:r>
      <w:r w:rsidR="00BB36C9" w:rsidRPr="00E7337F">
        <w:t xml:space="preserve">integrating </w:t>
      </w:r>
      <w:r w:rsidR="00317A9A" w:rsidRPr="00E7337F">
        <w:t xml:space="preserve">evidence from behavioural science </w:t>
      </w:r>
      <w:r w:rsidR="00BB36C9" w:rsidRPr="00E7337F">
        <w:t xml:space="preserve">into the design of </w:t>
      </w:r>
      <w:r w:rsidR="00AF6874" w:rsidRPr="00E7337F">
        <w:t xml:space="preserve">existing </w:t>
      </w:r>
      <w:r w:rsidR="00BB36C9" w:rsidRPr="00E7337F">
        <w:t>conservation interventions</w:t>
      </w:r>
      <w:r w:rsidR="00317A9A" w:rsidRPr="00E7337F">
        <w:t xml:space="preserve"> </w:t>
      </w:r>
      <w:r w:rsidR="000A1355" w:rsidRPr="00E7337F">
        <w:t>–</w:t>
      </w:r>
      <w:r w:rsidR="00AF6874" w:rsidRPr="00E7337F">
        <w:t xml:space="preserve"> </w:t>
      </w:r>
      <w:r w:rsidR="000A1355" w:rsidRPr="00E7337F">
        <w:t xml:space="preserve">currently </w:t>
      </w:r>
      <w:r w:rsidR="00AF6874" w:rsidRPr="00E7337F">
        <w:t>based largely on</w:t>
      </w:r>
      <w:r w:rsidR="00BB36C9" w:rsidRPr="00E7337F">
        <w:t xml:space="preserve"> education, regulation</w:t>
      </w:r>
      <w:r w:rsidR="00A149AE" w:rsidRPr="00E7337F">
        <w:t>,</w:t>
      </w:r>
      <w:r w:rsidR="00BB36C9" w:rsidRPr="00E7337F">
        <w:t xml:space="preserve"> and material incentivisation</w:t>
      </w:r>
      <w:r w:rsidR="00AF6874" w:rsidRPr="00E7337F">
        <w:t xml:space="preserve"> </w:t>
      </w:r>
      <w:r w:rsidR="00217143" w:rsidRPr="00E7337F">
        <w:t xml:space="preserve">– </w:t>
      </w:r>
      <w:r w:rsidR="00BB36C9" w:rsidRPr="00E7337F">
        <w:t xml:space="preserve">may enhance their effectiveness. Second, behavioural </w:t>
      </w:r>
      <w:r w:rsidR="00697D4C" w:rsidRPr="00E7337F">
        <w:t>scien</w:t>
      </w:r>
      <w:r w:rsidR="00F60AC5" w:rsidRPr="00E7337F">
        <w:t xml:space="preserve">ce has </w:t>
      </w:r>
      <w:r w:rsidR="00BB36C9" w:rsidRPr="00E7337F">
        <w:t xml:space="preserve">identified </w:t>
      </w:r>
      <w:r w:rsidR="00C910EB" w:rsidRPr="00E7337F">
        <w:t xml:space="preserve">other, novel </w:t>
      </w:r>
      <w:r w:rsidR="00697D4C" w:rsidRPr="00E7337F">
        <w:t>intervention</w:t>
      </w:r>
      <w:r w:rsidR="002F515E" w:rsidRPr="00E7337F">
        <w:t>s</w:t>
      </w:r>
      <w:r w:rsidR="00697D4C" w:rsidRPr="00E7337F">
        <w:t xml:space="preserve"> for </w:t>
      </w:r>
      <w:r w:rsidR="00194CD7" w:rsidRPr="00E7337F">
        <w:t xml:space="preserve">effectively </w:t>
      </w:r>
      <w:r w:rsidR="00697D4C" w:rsidRPr="00E7337F">
        <w:t>changing</w:t>
      </w:r>
      <w:r w:rsidR="00BB36C9" w:rsidRPr="00E7337F">
        <w:t xml:space="preserve"> behaviour, some of which may be unfamiliar to most conservationists.</w:t>
      </w:r>
      <w:r w:rsidR="00194CD7" w:rsidRPr="00E7337F">
        <w:t xml:space="preserve"> We explore </w:t>
      </w:r>
      <w:r w:rsidR="007F78F3" w:rsidRPr="00E7337F">
        <w:t xml:space="preserve">both </w:t>
      </w:r>
      <w:r w:rsidR="00194CD7" w:rsidRPr="00E7337F">
        <w:t xml:space="preserve">these </w:t>
      </w:r>
      <w:r w:rsidR="007F78F3" w:rsidRPr="00E7337F">
        <w:t xml:space="preserve">routes </w:t>
      </w:r>
      <w:r w:rsidR="00194CD7" w:rsidRPr="00E7337F">
        <w:t>throughout this review.</w:t>
      </w:r>
      <w:r w:rsidR="00697D4C" w:rsidRPr="00E7337F">
        <w:t xml:space="preserve"> </w:t>
      </w:r>
    </w:p>
    <w:p w14:paraId="1573F9AD" w14:textId="3DF6BA3C" w:rsidR="00450CA8" w:rsidRPr="00E7337F" w:rsidRDefault="00F60AC5" w:rsidP="00950E9F">
      <w:pPr>
        <w:spacing w:after="0" w:line="480" w:lineRule="auto"/>
        <w:ind w:firstLine="720"/>
      </w:pPr>
      <w:r w:rsidRPr="00E7337F">
        <w:t xml:space="preserve">To illustrate how behavioural science evidence can enhance the effectiveness of traditional interventions, consider the </w:t>
      </w:r>
      <w:r w:rsidR="00C910EB" w:rsidRPr="00E7337F">
        <w:t>approach</w:t>
      </w:r>
      <w:r w:rsidR="003D6A62">
        <w:t xml:space="preserve"> </w:t>
      </w:r>
      <w:r w:rsidR="002506A7">
        <w:t>–</w:t>
      </w:r>
      <w:r w:rsidR="00C910EB" w:rsidRPr="00E7337F">
        <w:t xml:space="preserve"> frequently deployed in conservation campaigns</w:t>
      </w:r>
      <w:r w:rsidR="003D6A62">
        <w:t xml:space="preserve"> </w:t>
      </w:r>
      <w:r w:rsidR="002506A7">
        <w:t>–</w:t>
      </w:r>
      <w:r w:rsidR="00C910EB" w:rsidRPr="00E7337F">
        <w:t xml:space="preserve"> of trying to persuade consumers, farmers</w:t>
      </w:r>
      <w:r w:rsidR="002A00BD" w:rsidRPr="00E7337F">
        <w:t>,</w:t>
      </w:r>
      <w:r w:rsidR="00C910EB" w:rsidRPr="00E7337F">
        <w:t xml:space="preserve"> or politicians to change their behaviour by informing them about its environmental</w:t>
      </w:r>
      <w:r w:rsidR="00290BD8" w:rsidRPr="00E7337F">
        <w:t xml:space="preserve"> </w:t>
      </w:r>
      <w:r w:rsidR="00C910EB" w:rsidRPr="00E7337F">
        <w:t>impact. It has long been established that broad-brush attempts to increase knowledge are often insufficient to shift behaviour (</w:t>
      </w:r>
      <w:proofErr w:type="spellStart"/>
      <w:r w:rsidR="00C910EB" w:rsidRPr="00E7337F">
        <w:t>Kollmuss</w:t>
      </w:r>
      <w:proofErr w:type="spellEnd"/>
      <w:r w:rsidR="00C910EB" w:rsidRPr="00E7337F">
        <w:t xml:space="preserve"> &amp; Agyeman 2002). Behavioural science shows instead that information campaigns </w:t>
      </w:r>
      <w:r w:rsidR="00EE12F8" w:rsidRPr="00E7337F">
        <w:lastRenderedPageBreak/>
        <w:t xml:space="preserve">can be more effective when they target discrete audience </w:t>
      </w:r>
      <w:r w:rsidR="00812DF4" w:rsidRPr="00E7337F">
        <w:t>segments</w:t>
      </w:r>
      <w:r w:rsidR="004527BD" w:rsidRPr="00E7337F">
        <w:t xml:space="preserve"> and </w:t>
      </w:r>
      <w:r w:rsidR="002F515E" w:rsidRPr="00E7337F">
        <w:t xml:space="preserve">account for </w:t>
      </w:r>
      <w:r w:rsidR="004527BD" w:rsidRPr="00E7337F">
        <w:t>their values, motives, norms, and social and physical realit</w:t>
      </w:r>
      <w:r w:rsidR="002F515E" w:rsidRPr="00E7337F">
        <w:t>ies</w:t>
      </w:r>
      <w:r w:rsidR="00812DF4" w:rsidRPr="00E7337F">
        <w:t xml:space="preserve"> </w:t>
      </w:r>
      <w:r w:rsidR="00812DF4" w:rsidRPr="00E7337F">
        <w:fldChar w:fldCharType="begin" w:fldLock="1"/>
      </w:r>
      <w:r w:rsidR="00331A5B" w:rsidRPr="00E7337F">
        <w:instrText>ADDIN CSL_CITATION {"citationItems":[{"id":"ITEM-1","itemData":{"ISSN":"1524-5004","author":[{"dropping-particle":"","family":"Cheng","given":"Tania","non-dropping-particle":"","parse-names":false,"suffix":""},{"dropping-particle":"","family":"Woon","given":"Danielle Kathryn","non-dropping-particle":"","parse-names":false,"suffix":""},{"dropping-particle":"","family":"Lynes","given":"Jennifer K","non-dropping-particle":"","parse-names":false,"suffix":""}],"container-title":"Social Marketing Quarterly","id":"ITEM-1","issue":"2","issued":{"date-parts":[["2011"]]},"page":"48-62","title":"The use of message framing in the promotion of environmentally sustainable behaviors","type":"article-journal","volume":"17"},"uris":["http://www.mendeley.com/documents/?uuid=646edf4d-4b27-4de1-ac51-19ff5db1291a"]},{"id":"ITEM-2","itemData":{"ISSN":"1758-6798","author":[{"dropping-particle":"","family":"Kahan","given":"Dan M","non-dropping-particle":"","parse-names":false,"suffix":""},{"dropping-particle":"","family":"Peters","given":"Ellen","non-dropping-particle":"","parse-names":false,"suffix":""},{"dropping-particle":"","family":"Wittlin","given":"Maggie","non-dropping-particle":"","parse-names":false,"suffix":""},{"dropping-particle":"","family":"Slovic","given":"Paul","non-dropping-particle":"","parse-names":false,"suffix":""},{"dropping-particle":"","family":"Ouellette","given":"Lisa Larrimore","non-dropping-particle":"","parse-names":false,"suffix":""},{"dropping-particle":"","family":"Braman","given":"Donald","non-dropping-particle":"","parse-names":false,"suffix":""},{"dropping-particle":"","family":"Mandel","given":"Gregory","non-dropping-particle":"","parse-names":false,"suffix":""}],"container-title":"Nature Climate Change","id":"ITEM-2","issue":"10","issued":{"date-parts":[["2012"]]},"page":"732-735","title":"The polarizing impact of science literacy and numeracy on perceived climate change risks","type":"article-journal","volume":"2"},"uris":["http://www.mendeley.com/documents/?uuid=435f892f-c34d-4c92-ad5a-7e88ee92af7f"]},{"id":"ITEM-3","itemData":{"DOI":"10.1111/cobi.13482","ISSN":"15231739","PMID":"32043648","abstract":"Communication and advocacy approaches that influence attitudes and behaviors are key to addressing conservation problems, and the way an issue is framed can affect how people view, judge, and respond to an issue. Responses to conservation interventions can also be influenced by subtle wording changes in statements that may appeal to different values, activate social norms, influence a person's affect or mood, or trigger certain biases, each of which can differently influence the resulting engagement, attitudes, and behavior. We contend that by strategically considering how conservation communications are framed, they can be made more effective with little or no additional cost. Key framing considerations include, emphasizing things that matter to the audience, evoking helpful social norms, reducing psychological distance, leveraging useful biases, and, where practicable, testing messages. These lessons will help communicators think strategically about how to frame messages for greater effect.","author":[{"dropping-particle":"","family":"Kusmanoff","given":"Alexander M.","non-dropping-particle":"","parse-names":false,"suffix":""},{"dropping-particle":"","family":"Fidler","given":"Fiona","non-dropping-particle":"","parse-names":false,"suffix":""},{"dropping-particle":"","family":"Gordon","given":"Ascelin","non-dropping-particle":"","parse-names":false,"suffix":""},{"dropping-particle":"","family":"Garrard","given":"Georgia E.","non-dropping-particle":"","parse-names":false,"suffix":""},{"dropping-particle":"","family":"Bekessy","given":"Sarah A.","non-dropping-particle":"","parse-names":false,"suffix":""}],"container-title":"Conservation Biology","id":"ITEM-3","issue":"5","issued":{"date-parts":[["2020"]]},"page":"1131-1141","title":"Five lessons to guide more effective biodiversity conservation message framing","type":"article-journal","volume":"34"},"uris":["http://www.mendeley.com/documents/?uuid=795c9faa-b291-41f2-92a2-771149a7a9bb"]}],"mendeley":{"formattedCitation":"(Cheng et al., 2011; Kahan et al., 2012; Kusmanoff et al., 2020)","plainTextFormattedCitation":"(Cheng et al., 2011; Kahan et al., 2012; Kusmanoff et al., 2020)","previouslyFormattedCitation":"(Cheng et al., 2011; Kahan et al., 2012; Kusmanoff et al., 2020)"},"properties":{"noteIndex":0},"schema":"https://github.com/citation-style-language/schema/raw/master/csl-citation.json"}</w:instrText>
      </w:r>
      <w:r w:rsidR="00812DF4" w:rsidRPr="00E7337F">
        <w:fldChar w:fldCharType="separate"/>
      </w:r>
      <w:r w:rsidR="00C4572D" w:rsidRPr="00E7337F">
        <w:rPr>
          <w:noProof/>
        </w:rPr>
        <w:t>(Cheng et al., 2011; Kahan et al., 2012; Kusmanoff et al., 2020)</w:t>
      </w:r>
      <w:r w:rsidR="00812DF4" w:rsidRPr="00E7337F">
        <w:fldChar w:fldCharType="end"/>
      </w:r>
      <w:r w:rsidR="00812DF4" w:rsidRPr="00E7337F">
        <w:t>.</w:t>
      </w:r>
      <w:r w:rsidR="003F6BEA" w:rsidRPr="00E7337F">
        <w:t xml:space="preserve"> </w:t>
      </w:r>
      <w:r w:rsidR="004527BD" w:rsidRPr="00E7337F">
        <w:t>For example</w:t>
      </w:r>
      <w:r w:rsidR="00EE12F8" w:rsidRPr="00E7337F">
        <w:t xml:space="preserve">, </w:t>
      </w:r>
      <w:r w:rsidR="003C3860" w:rsidRPr="00E7337F">
        <w:t xml:space="preserve">in the United States, </w:t>
      </w:r>
      <w:r w:rsidR="00EE12F8" w:rsidRPr="00E7337F">
        <w:t>switching from pro-social to self-interest messaging can increase adoption of solar panels</w:t>
      </w:r>
      <w:r w:rsidR="003C3860" w:rsidRPr="00E7337F">
        <w:t xml:space="preserve"> </w:t>
      </w:r>
      <w:r w:rsidR="00812DF4" w:rsidRPr="00E7337F">
        <w:fldChar w:fldCharType="begin" w:fldLock="1"/>
      </w:r>
      <w:r w:rsidR="00071F56" w:rsidRPr="00E7337F">
        <w:instrText>ADDIN CSL_CITATION {"citationItems":[{"id":"ITEM-1","itemData":{"DOI":"10.1073/pnas.2004428117","abstract":"This study examines how messaging approaches in a prosocial intervention can influence not only the effectiveness of the intervention but also, contagion afterward. Our investigation focuses on leveraging two motivations for solar adoption: self-interest and prosocial. Using data from a natural field experiment in 29 municipalities containing 684,000 people, we find that self-interest messaging is twice as effective in inducing solar adoption both during and after the intervention. Adoptions under self-interest messaging have 10% higher net present value, but prosocial messaging increases the likelihood that adopters recommend solar to their friends and neighbors. Income moderates the effectiveness of self-interest messaging, performing much better in high-income communities than low-and moderate-income communities. There was no significant difference across income groups for prosocial messaging. These results provide guidance to policy makers aiming to encourage prosocial behavior across all income groups. nudge | solar photovoltaics | low and moderate income | energy | field experiment A s policy makers around the world continue to grapple with the challenge of mitigating climate change, the cost of many renewable energy technologies has plummeted. The cost declines have been especially rapid for residential rooftop solar photo-voltaic (PV) systems, which have become cost effective for many households in the United States and many other countries. Yet, they are still relatively rare, with only about 1 in 50 households in the United States hosting a rooftop solar system by the end of 2019 (SI Appendix has calculation details). Additionally, it is generally even less common for low-and moderate-income households to adopt solar PV systems (1), leading to much policy interest in accelerating adoption by this customer segment for energy equity reasons. * There is a growing literature demonstrating that interventions designed around insights from social psychology and behav-ioral economics, often called social nudges, can be cost-effective means to encourage conservation and prosocial environmental decisions (5-9). At the core of nearly all such behavioral interventions is some intended message the experimenter is trying to get across, whether it be a social norms message stating that peers or neighbors are performing the behavior (10) or simply a message intending to inform consumers of a real cost (11). However , less is known about how the core message o…","author":[{"dropping-particle":"","family":"Bollinger","given":"Bryan","non-dropping-particle":"","parse-names":false,"suffix":""},{"dropping-particle":"","family":"Gillingham","given":"Kenneth T","non-dropping-particle":"","parse-names":false,"suffix":""},{"dropping-particle":"","family":"Ovaere","given":"Marten","non-dropping-particle":"","parse-names":false,"suffix":""}],"container-title":"Proceedings of the National Academy of Sciences","id":"ITEM-1","issued":{"date-parts":[["2020"]]},"page":"20503-20510","title":"Field experimental evidence shows that self-interest attracts more sunlight","type":"article-journal","volume":"117"},"uris":["http://www.mendeley.com/documents/?uuid=953acfa6-1f0b-4084-91b0-527bb7c4c9dc"]},{"id":"ITEM-2","itemData":{"DOI":"10.1038/s41893-017-0001-0","ISBN":"4189301700010","ISSN":"2398-9629","abstract":"Why do people contribute to important societal causes, such as sustainability? This study hypothesized that people are motivated to help because they anticipate a sense of warm glow from acting green. Although results reveal that ‘feel-good’ affect mostly drives low- rather than high-cost behaviour changes, harnessing people’s intrinsic motivation to help the environment may be an underleveraged mechanism for promoting sustainability.","author":[{"dropping-particle":"","family":"Linden","given":"Sander","non-dropping-particle":"van der","parse-names":false,"suffix":""}],"container-title":"Nature Sustainability","id":"ITEM-2","issue":"1","issued":{"date-parts":[["2018"]]},"page":"28-30","title":"Warm glow is associated with low- but not high-cost sustainable behaviour","type":"article-journal","volume":"1"},"uris":["http://www.mendeley.com/documents/?uuid=904aa0ba-c6d3-4a5d-b20d-ff3ec526e586"]},{"id":"ITEM-3","itemData":{"DOI":"10.1038/s41586-018-0647-4","ISSN":"14764687","abstract":"Promoting the adoption of public goods that are not yet widely accepted is particularly challenging. This is because most tools for increasing cooperation—such as reputation concerns1 and information about social norms2—are typically effective only for behaviours that are commonly practiced, or at least generally agreed upon as being desirable. Here we examine how advocates can successfully promote non-normative (that is, rare or unpopular) public goods. We do so by applying the cultural evolutionary theory of credibility-enhancing displays3, which argues that beliefs are spread more effectively by actions than by words alone—because actions provide information about the actor’s true beliefs. Based on this logic, people who themselves engage in a given behaviour will be more effective advocates for that behaviour than people who merely extol its virtues—specifically because engaging in a behaviour credibly signals a belief in its value. As predicted, a field study of a programme that promotes residential solar panel installation in 58 towns in the United States—comprising 1.4 million residents in total—found that community organizers who themselves installed through the programme recruited 62.8% more residents to install solar panels than community organizers who did not. This effect was replicated in three pre-registered randomized survey experiments (total n = 1,805). These experiments also support the theoretical prediction that this effect is specifically driven by subjects’ beliefs about what the community organizer believes about solar panels (that is, second-order beliefs), and demonstrate generalizability to four other highly non-normative behaviours. Our findings shed light on how to spread non-normative prosocial behaviours, offer an empirical demonstration of credibility-enhancing displays and have substantial implications for practitioners and policy-makers.","author":[{"dropping-particle":"","family":"Kraft-Todd","given":"Gordon T.","non-dropping-particle":"","parse-names":false,"suffix":""},{"dropping-particle":"","family":"Bollinger","given":"Bryan","non-dropping-particle":"","parse-names":false,"suffix":""},{"dropping-particle":"","family":"Gillingham","given":"Kenneth","non-dropping-particle":"","parse-names":false,"suffix":""},{"dropping-particle":"","family":"Lamp","given":"Stefan","non-dropping-particle":"","parse-names":false,"suffix":""},{"dropping-particle":"","family":"Rand","given":"David G.","non-dropping-particle":"","parse-names":false,"suffix":""}],"container-title":"Nature","id":"ITEM-3","issue":"7730","issued":{"date-parts":[["2018"]]},"page":"245-248","title":"Credibility-enhancing displays promote the provision of non-normative public goods","type":"article-journal","volume":"563"},"uris":["http://www.mendeley.com/documents/?uuid=cbebdefe-f2a8-4108-b109-2f9f3972dfbb"]}],"mendeley":{"formattedCitation":"(Bollinger et al., 2020; Kraft-Todd et al., 2018; van der Linden, 2018)","manualFormatting":"(Bollinger et al. 2020; but see van der Linden 2018; Kraft-Todd et al. 2018)","plainTextFormattedCitation":"(Bollinger et al., 2020; Kraft-Todd et al., 2018; van der Linden, 2018)","previouslyFormattedCitation":"(Bollinger et al., 2020; Kraft-Todd et al., 2018; van der Linden, 2018)"},"properties":{"noteIndex":0},"schema":"https://github.com/citation-style-language/schema/raw/master/csl-citation.json"}</w:instrText>
      </w:r>
      <w:r w:rsidR="00812DF4" w:rsidRPr="00E7337F">
        <w:fldChar w:fldCharType="separate"/>
      </w:r>
      <w:r w:rsidR="00812DF4" w:rsidRPr="00E7337F">
        <w:rPr>
          <w:noProof/>
        </w:rPr>
        <w:t>(Bollinger et al. 2020; but see van der Linden 2018; Kraft-Todd et al. 2018)</w:t>
      </w:r>
      <w:r w:rsidR="00812DF4" w:rsidRPr="00E7337F">
        <w:fldChar w:fldCharType="end"/>
      </w:r>
      <w:r w:rsidR="00EE12F8" w:rsidRPr="00E7337F">
        <w:t>; and emphasizing how junk-food marketing</w:t>
      </w:r>
      <w:r w:rsidR="000B5B04" w:rsidRPr="00E7337F">
        <w:t xml:space="preserve"> </w:t>
      </w:r>
      <w:r w:rsidR="00EE12F8" w:rsidRPr="00E7337F">
        <w:t xml:space="preserve">undermines autonomy and social justice can be more effective than traditional health-based messaging in reducing unhealthy food choices by adolescent males </w:t>
      </w:r>
      <w:r w:rsidR="00306112" w:rsidRPr="00E7337F">
        <w:fldChar w:fldCharType="begin" w:fldLock="1"/>
      </w:r>
      <w:r w:rsidR="00071F56" w:rsidRPr="00E7337F">
        <w:instrText>ADDIN CSL_CITATION {"citationItems":[{"id":"ITEM-1","itemData":{"DOI":"10.1038/s41562-019-0586-6","ISSN":"2397-3374","author":[{"dropping-particle":"","family":"Bryan","given":"Christopher J.","non-dropping-particle":"","parse-names":false,"suffix":""},{"dropping-particle":"","family":"Yeager","given":"David S.","non-dropping-particle":"","parse-names":false,"suffix":""},{"dropping-particle":"","family":"Hinojosa","given":"Cintia P.","non-dropping-particle":"","parse-names":false,"suffix":""}],"container-title":"Nature Human Behaviour","id":"ITEM-1","issued":{"date-parts":[["2019"]]},"page":"596-603","title":"A values-alignment intervention protects adolescents from the effects of food marketing","type":"article-journal","volume":"3"},"uris":["http://www.mendeley.com/documents/?uuid=d7ab13f0-f24e-4881-bd1f-9d4ac635b5d7"]}],"mendeley":{"formattedCitation":"(Bryan et al., 2019)","plainTextFormattedCitation":"(Bryan et al., 2019)","previouslyFormattedCitation":"(Bryan et al., 2019)"},"properties":{"noteIndex":0},"schema":"https://github.com/citation-style-language/schema/raw/master/csl-citation.json"}</w:instrText>
      </w:r>
      <w:r w:rsidR="00306112" w:rsidRPr="00E7337F">
        <w:fldChar w:fldCharType="separate"/>
      </w:r>
      <w:r w:rsidR="0086250C" w:rsidRPr="00E7337F">
        <w:rPr>
          <w:noProof/>
        </w:rPr>
        <w:t>(Bryan et al., 2019)</w:t>
      </w:r>
      <w:r w:rsidR="00306112" w:rsidRPr="00E7337F">
        <w:fldChar w:fldCharType="end"/>
      </w:r>
      <w:r w:rsidR="00EE12F8" w:rsidRPr="00E7337F">
        <w:t>.</w:t>
      </w:r>
      <w:r w:rsidR="00812DF4" w:rsidRPr="00E7337F">
        <w:t xml:space="preserve"> </w:t>
      </w:r>
    </w:p>
    <w:p w14:paraId="1D3E1733" w14:textId="595C7B59" w:rsidR="00450CA8" w:rsidRPr="00E7337F" w:rsidRDefault="00EE12F8" w:rsidP="00950E9F">
      <w:pPr>
        <w:spacing w:after="0" w:line="480" w:lineRule="auto"/>
        <w:ind w:firstLine="720"/>
      </w:pPr>
      <w:r w:rsidRPr="00E7337F">
        <w:t>Behavioural science also suggests interventions</w:t>
      </w:r>
      <w:r w:rsidR="004527BD" w:rsidRPr="00E7337F">
        <w:t xml:space="preserve"> not commonly used by conservationists</w:t>
      </w:r>
      <w:r w:rsidRPr="00E7337F">
        <w:t xml:space="preserve"> </w:t>
      </w:r>
      <w:r w:rsidR="009C4D88" w:rsidRPr="00E7337F">
        <w:fldChar w:fldCharType="begin" w:fldLock="1"/>
      </w:r>
      <w:r w:rsidR="00071F56" w:rsidRPr="00E7337F">
        <w:instrText>ADDIN CSL_CITATION {"citationItems":[{"id":"ITEM-1","itemData":{"DOI":"10.1001/archderm.1985.01660070119033","ISSN":"15383652","abstract":"Improving the design and implementation of evidence-based practice depends on successful behaviour change interventions. This requires an appropriate method for characterising interventions and linking them to an analysis of the targeted behaviour. There exists a plethora of frameworks of behaviour change interventions, but it is not clear how well they serve this purpose. This paper evaluates these frameworks, and develops and evaluates a new framework aimed at overcoming their limitations. A systematic search of electronic databases and consultation with behaviour change experts were used to identify frameworks of behaviour change interventions. These were evaluated according to three criteria: comprehensiveness, coherence, and a clear link to an overarching model of behaviour. A new framework was developed to meet these criteria. The reliability with which it could be applied was examined in two domains of behaviour change: tobacco control and obesity. Nineteen frameworks were identified covering nine intervention functions and seven policy categories that could enable those interventions. None of the frameworks reviewed covered the full range of intervention functions or policies, and only a minority met the criteria of coherence or linkage to a model of behaviour. At the centre of a proposed new framework is a 'behaviour system' involving three essential conditions: capability, opportunity, and motivation (what we term the 'COM-B system'). This forms the hub of a 'behaviour change wheel' (BCW) around which are positioned the nine intervention functions aimed at addressing deficits in one or more of these conditions; around this are placed seven categories of policy that could enable those interventions to occur. The BCW was used reliably to characterise interventions within the English Department of Health's 2010 tobacco control strategy and the National Institute of Health and Clinical Excellence's guidance on reducing obesity. Interventions and policies to change behaviour can be usefully characterised by means of a BCW comprising: a 'behaviour system' at the hub, encircled by intervention functions and then by policy categories. Research is needed to establish how far the BCW can lead to more efficient design of effective interventions.","author":[{"dropping-particle":"","family":"Michie","given":"Susan","non-dropping-particle":"","parse-names":false,"suffix":""},{"dropping-particle":"","family":"Maartje M van Stralen","given":"","non-dropping-particle":"","parse-names":false,"suffix":""},{"dropping-particle":"","family":"Robert West","given":"","non-dropping-particle":"","parse-names":false,"suffix":""}],"container-title":"Implementation Science","id":"ITEM-1","issued":{"date-parts":[["2011"]]},"page":"42","title":"The behaviour change wheel: A new method for characterising and designing behaviour change interventions","type":"article-journal","volume":"6"},"uris":["http://www.mendeley.com/documents/?uuid=67666cc3-978e-45d4-8f7f-e68cde304984"]},{"id":"ITEM-2","itemData":{"DOI":"10.1007/s12160-013-9486-6","ISSN":"08836612","abstract":"Background: CONSORT guidelines call for precise reporting of behavior change interventions: we need rigorous methods of characterizing active content of interventions with precision and specificity. Objectives: The objective of this study is to develop an extensive, consensually agreed hierarchically structured taxonomy of techniques [behavior change techniques (BCTs)] used in behavior change interventions. Methods: In a Delphi-type exercise, 14 experts rated labels and definitions of 124 BCTs from six published classification systems. Another 18 experts grouped BCTs according to similarity of active ingredients in an open-sort task. Inter-rater agreement amongst six researchers coding 85 intervention descriptions by BCTs was assessed. Results: This resulted in 93 BCTs clustered into 16 groups. Of the 26 BCTs occurring at least five times, 23 had adjusted kappas of 0.60 or above. Conclusions: \"BCT taxonomy v1,\" an extensive taxonomy of 93 consensually agreed, distinct BCTs, offers a step change as a method for specifying interventions, but we anticipate further development and evaluation based on international, interdisciplinary consensus. © 2013 The Society of Behavioral Medicine.","author":[{"dropping-particle":"","family":"Michie","given":"Susan","non-dropping-particle":"","parse-names":false,"suffix":""},{"dropping-particle":"","family":"Richardson","given":"Michelle","non-dropping-particle":"","parse-names":false,"suffix":""},{"dropping-particle":"","family":"Johnston","given":"Marie","non-dropping-particle":"","parse-names":false,"suffix":""},{"dropping-particle":"","family":"Abraham","given":"Charles","non-dropping-particle":"","parse-names":false,"suffix":""},{"dropping-particle":"","family":"Francis","given":"Jill","non-dropping-particle":"","parse-names":false,"suffix":""},{"dropping-particle":"","family":"Hardeman","given":"Wendy","non-dropping-particle":"","parse-names":false,"suffix":""},{"dropping-particle":"","family":"Eccles","given":"Martin P.","non-dropping-particle":"","parse-names":false,"suffix":""},{"dropping-particle":"","family":"Cane","given":"James","non-dropping-particle":"","parse-names":false,"suffix":""},{"dropping-particle":"","family":"Wood","given":"Caroline E.","non-dropping-particle":"","parse-names":false,"suffix":""}],"container-title":"Annals of Behavioral Medicine","id":"ITEM-2","issue":"1","issued":{"date-parts":[["2013"]]},"page":"81-95","title":"The behavior change technique taxonomy (v1) of 93 hierarchically clustered techniques: Building an international consensus for the reporting of behavior change interventions","type":"article-journal","volume":"46"},"uris":["http://www.mendeley.com/documents/?uuid=168e7356-bc8e-4c30-92da-e46393cab8f6"]}],"mendeley":{"formattedCitation":"(Michie et al., 2013, 2011)","plainTextFormattedCitation":"(Michie et al., 2013, 2011)","previouslyFormattedCitation":"(Michie et al., 2013, 2011)"},"properties":{"noteIndex":0},"schema":"https://github.com/citation-style-language/schema/raw/master/csl-citation.json"}</w:instrText>
      </w:r>
      <w:r w:rsidR="009C4D88" w:rsidRPr="00E7337F">
        <w:fldChar w:fldCharType="separate"/>
      </w:r>
      <w:r w:rsidR="0086250C" w:rsidRPr="00E7337F">
        <w:rPr>
          <w:noProof/>
        </w:rPr>
        <w:t>(Michie et al., 2013, 2011)</w:t>
      </w:r>
      <w:r w:rsidR="009C4D88" w:rsidRPr="00E7337F">
        <w:fldChar w:fldCharType="end"/>
      </w:r>
      <w:r w:rsidRPr="00E7337F">
        <w:t xml:space="preserve">. </w:t>
      </w:r>
      <w:r w:rsidR="004527BD" w:rsidRPr="00E7337F">
        <w:t xml:space="preserve">For </w:t>
      </w:r>
      <w:r w:rsidR="00C630D0" w:rsidRPr="00E7337F">
        <w:t>instance</w:t>
      </w:r>
      <w:r w:rsidR="004527BD" w:rsidRPr="00E7337F">
        <w:t>, simple alterations to the physical micro-environments in which choices are made</w:t>
      </w:r>
      <w:r w:rsidR="00E95A11" w:rsidRPr="00E7337F">
        <w:t xml:space="preserve"> (</w:t>
      </w:r>
      <w:r w:rsidR="005A6C22" w:rsidRPr="00E7337F">
        <w:t>so-</w:t>
      </w:r>
      <w:r w:rsidR="00E95A11" w:rsidRPr="00E7337F">
        <w:t>called choice architecture)</w:t>
      </w:r>
      <w:r w:rsidR="004527BD" w:rsidRPr="00E7337F">
        <w:t xml:space="preserve"> can have striking effects</w:t>
      </w:r>
      <w:r w:rsidR="004F2D1C" w:rsidRPr="00E7337F">
        <w:t xml:space="preserve"> on behaviour</w:t>
      </w:r>
      <w:r w:rsidR="004527BD" w:rsidRPr="00E7337F">
        <w:t xml:space="preserve"> </w:t>
      </w:r>
      <w:r w:rsidR="004527BD" w:rsidRPr="00E7337F">
        <w:fldChar w:fldCharType="begin" w:fldLock="1"/>
      </w:r>
      <w:r w:rsidR="00071F56" w:rsidRPr="00E7337F">
        <w:instrText>ADDIN CSL_CITATION {"citationItems":[{"id":"ITEM-1","itemData":{"ISBN":"014311526X","author":[{"dropping-particle":"","family":"Thaler","given":"Richard H","non-dropping-particle":"","parse-names":false,"suffix":""},{"dropping-particle":"","family":"Sunstein","given":"Cass R","non-dropping-particle":"","parse-names":false,"suffix":""}],"id":"ITEM-1","issued":{"date-parts":[["2009"]]},"publisher":"Penguin","title":"Nudge: Improving decisions about health, wealth, and happiness","type":"book"},"uris":["http://www.mendeley.com/documents/?uuid=bc119294-bb99-44c1-8d32-562e69353cb7"]},{"id":"ITEM-2","itemData":{"DOI":"10.1038/s41562-017-0140","ISSN":"23973374","abstract":"© 2017 Macmillan Publishers Limited, part of Springer Nature. All rights reserved. Reflecting widespread interest in concepts of â €nudging' and â € choice architecture', there is increasing research and policy attention on altering aspects of the small-scale physical environment, such as portion sizes or the placement of products, to change health-related behaviour at the population level. There is, however, a lack of clarity in characterizing these interventions and no reliable framework incorporating standardized definitions. This hampers both the synthesis of cumulative evidence about intervention effects, and the identification of intervention opportunities. To address this, a new tool, TIPPME (typology of interventions in proximal physical micro-environments), has been developed and here applied to the selection, purchase and consumption of food, alcohol and tobacco. This provides a framework to reliably classify and describe, and enable more systematic design, reporting and analysis of, an important class of interventions. In doing so, it makes a distinct contribution to collective efforts to build the cumulative evidence base for effective ways of changing behaviour across populations.","author":[{"dropping-particle":"","family":"Hollands","given":"Gareth J.","non-dropping-particle":"","parse-names":false,"suffix":""},{"dropping-particle":"","family":"Bignardi","given":"Giacomo","non-dropping-particle":"","parse-names":false,"suffix":""},{"dropping-particle":"","family":"Johnston","given":"Marie","non-dropping-particle":"","parse-names":false,"suffix":""},{"dropping-particle":"","family":"Kelly","given":"Michael P.","non-dropping-particle":"","parse-names":false,"suffix":""},{"dropping-particle":"","family":"Ogilvie","given":"David","non-dropping-particle":"","parse-names":false,"suffix":""},{"dropping-particle":"","family":"Petticrew","given":"Mark","non-dropping-particle":"","parse-names":false,"suffix":""},{"dropping-particle":"","family":"Prestwich","given":"Andrew","non-dropping-particle":"","parse-names":false,"suffix":""},{"dropping-particle":"","family":"Shemilt","given":"Ian","non-dropping-particle":"","parse-names":false,"suffix":""},{"dropping-particle":"","family":"Sutton","given":"Stephen","non-dropping-particle":"","parse-names":false,"suffix":""},{"dropping-particle":"","family":"Marteau","given":"Theresa M.","non-dropping-particle":"","parse-names":false,"suffix":""}],"container-title":"Nature Human Behaviour","id":"ITEM-2","issue":"8","issued":{"date-parts":[["2017"]]},"page":"1-9","title":"The TIPPME intervention typology for changing environments to change behaviour","type":"article-journal","volume":"1"},"uris":["http://www.mendeley.com/documents/?uuid=e28ae90e-878d-41e4-8cdc-4c30601a8a99"]}],"mendeley":{"formattedCitation":"(Hollands et al., 2017; Thaler and Sunstein, 2009)","plainTextFormattedCitation":"(Hollands et al., 2017; Thaler and Sunstein, 2009)","previouslyFormattedCitation":"(Hollands et al., 2017; Thaler and Sunstein, 2009)"},"properties":{"noteIndex":0},"schema":"https://github.com/citation-style-language/schema/raw/master/csl-citation.json"}</w:instrText>
      </w:r>
      <w:r w:rsidR="004527BD" w:rsidRPr="00E7337F">
        <w:fldChar w:fldCharType="separate"/>
      </w:r>
      <w:r w:rsidR="0086250C" w:rsidRPr="00E7337F">
        <w:rPr>
          <w:noProof/>
        </w:rPr>
        <w:t>(Hollands et al., 2017; Thaler and Sunstein, 2009)</w:t>
      </w:r>
      <w:r w:rsidR="004527BD" w:rsidRPr="00E7337F">
        <w:fldChar w:fldCharType="end"/>
      </w:r>
      <w:r w:rsidR="004527BD" w:rsidRPr="00E7337F">
        <w:t>.</w:t>
      </w:r>
      <w:r w:rsidR="004F2D1C" w:rsidRPr="00E7337F">
        <w:t xml:space="preserve"> </w:t>
      </w:r>
      <w:r w:rsidR="004F22D8" w:rsidRPr="00E7337F">
        <w:t>One such intervention involves</w:t>
      </w:r>
      <w:r w:rsidR="004F2D1C" w:rsidRPr="00E7337F">
        <w:t xml:space="preserve"> changing </w:t>
      </w:r>
      <w:r w:rsidRPr="00E7337F">
        <w:t xml:space="preserve">default settings on sign-up documentation, so that participants </w:t>
      </w:r>
      <w:r w:rsidR="00A149AE" w:rsidRPr="00E7337F">
        <w:t>must</w:t>
      </w:r>
      <w:r w:rsidRPr="00E7337F">
        <w:t xml:space="preserve"> opt out of (rather than into) individually or societally more desirable choices</w:t>
      </w:r>
      <w:r w:rsidR="004F2D1C" w:rsidRPr="00E7337F">
        <w:rPr>
          <w:rFonts w:eastAsia="Arial"/>
        </w:rPr>
        <w:t>. T</w:t>
      </w:r>
      <w:r w:rsidRPr="00E7337F">
        <w:t>his strategy</w:t>
      </w:r>
      <w:r w:rsidR="005A6C22" w:rsidRPr="00E7337F">
        <w:t xml:space="preserve"> has</w:t>
      </w:r>
      <w:r w:rsidRPr="00E7337F">
        <w:t xml:space="preserve"> increased commitments to organ donation </w:t>
      </w:r>
      <w:r w:rsidR="009C4D88" w:rsidRPr="00E7337F">
        <w:fldChar w:fldCharType="begin" w:fldLock="1"/>
      </w:r>
      <w:r w:rsidR="00071F56" w:rsidRPr="00E7337F">
        <w:instrText>ADDIN CSL_CITATION {"citationItems":[{"id":"ITEM-1","itemData":{"DOI":"10.1126/science.1091721","ISSN":"00368075","PMID":"14631022","author":[{"dropping-particle":"","family":"Johnson","given":"Eric J.","non-dropping-particle":"","parse-names":false,"suffix":""},{"dropping-particle":"","family":"Goldstein","given":"Daniel","non-dropping-particle":"","parse-names":false,"suffix":""}],"container-title":"Science","id":"ITEM-1","issue":"5649","issued":{"date-parts":[["2003"]]},"page":"1338-1339","title":"Do defaults save lives?","type":"article-journal","volume":"302"},"uris":["http://www.mendeley.com/documents/?uuid=c94fdfde-2af9-42c4-a434-47c892ce5a58"]}],"mendeley":{"formattedCitation":"(Johnson and Goldstein, 2003)","plainTextFormattedCitation":"(Johnson and Goldstein, 2003)","previouslyFormattedCitation":"(Johnson and Goldstein, 2003)"},"properties":{"noteIndex":0},"schema":"https://github.com/citation-style-language/schema/raw/master/csl-citation.json"}</w:instrText>
      </w:r>
      <w:r w:rsidR="009C4D88" w:rsidRPr="00E7337F">
        <w:fldChar w:fldCharType="separate"/>
      </w:r>
      <w:r w:rsidR="0086250C" w:rsidRPr="00E7337F">
        <w:rPr>
          <w:noProof/>
        </w:rPr>
        <w:t>(Johnson and Goldstein, 2003)</w:t>
      </w:r>
      <w:r w:rsidR="009C4D88" w:rsidRPr="00E7337F">
        <w:fldChar w:fldCharType="end"/>
      </w:r>
      <w:r w:rsidR="004F2D1C" w:rsidRPr="00E7337F">
        <w:t>,</w:t>
      </w:r>
      <w:r w:rsidR="009C4D88" w:rsidRPr="00E7337F">
        <w:t xml:space="preserve"> uptake of higher-benefit retirement plans </w:t>
      </w:r>
      <w:r w:rsidR="009C4D88" w:rsidRPr="00E7337F">
        <w:fldChar w:fldCharType="begin" w:fldLock="1"/>
      </w:r>
      <w:r w:rsidR="00071F56" w:rsidRPr="00E7337F">
        <w:instrText>ADDIN CSL_CITATION {"citationItems":[{"id":"ITEM-1","itemData":{"ISBN":"014311526X","author":[{"dropping-particle":"","family":"Thaler","given":"Richard H","non-dropping-particle":"","parse-names":false,"suffix":""},{"dropping-particle":"","family":"Sunstein","given":"Cass R","non-dropping-particle":"","parse-names":false,"suffix":""}],"id":"ITEM-1","issued":{"date-parts":[["2009"]]},"publisher":"Penguin","title":"Nudge: Improving decisions about health, wealth, and happiness","type":"book"},"uris":["http://www.mendeley.com/documents/?uuid=bc119294-bb99-44c1-8d32-562e69353cb7"]},{"id":"ITEM-2","itemData":{"ISSN":"0036-8075","author":[{"dropping-particle":"","family":"Benartzi","given":"Shlomo","non-dropping-particle":"","parse-names":false,"suffix":""},{"dropping-particle":"","family":"Thaler","given":"Richard H","non-dropping-particle":"","parse-names":false,"suffix":""}],"container-title":"Science","id":"ITEM-2","issue":"6124","issued":{"date-parts":[["2013"]]},"page":"1152-1153","title":"Behavioral economics and the retirement savings crisis","type":"article-journal","volume":"339"},"uris":["http://www.mendeley.com/documents/?uuid=e180926b-25fe-4d67-b84a-958e0dbb055d"]}],"mendeley":{"formattedCitation":"(Benartzi and Thaler, 2013; Thaler and Sunstein, 2009)","plainTextFormattedCitation":"(Benartzi and Thaler, 2013; Thaler and Sunstein, 2009)","previouslyFormattedCitation":"(Benartzi and Thaler, 2013; Thaler and Sunstein, 2009)"},"properties":{"noteIndex":0},"schema":"https://github.com/citation-style-language/schema/raw/master/csl-citation.json"}</w:instrText>
      </w:r>
      <w:r w:rsidR="009C4D88" w:rsidRPr="00E7337F">
        <w:fldChar w:fldCharType="separate"/>
      </w:r>
      <w:r w:rsidR="0086250C" w:rsidRPr="00E7337F">
        <w:rPr>
          <w:noProof/>
        </w:rPr>
        <w:t>(Benartzi and Thaler, 2013; Thaler and Sunstein, 2009)</w:t>
      </w:r>
      <w:r w:rsidR="009C4D88" w:rsidRPr="00E7337F">
        <w:fldChar w:fldCharType="end"/>
      </w:r>
      <w:r w:rsidR="004F2D1C" w:rsidRPr="00E7337F">
        <w:t xml:space="preserve">, and </w:t>
      </w:r>
      <w:r w:rsidR="005A6C22" w:rsidRPr="00E7337F">
        <w:t xml:space="preserve">household </w:t>
      </w:r>
      <w:r w:rsidR="004F2D1C" w:rsidRPr="00E7337F">
        <w:t xml:space="preserve">subscriptions to renewable energy programmes </w:t>
      </w:r>
      <w:r w:rsidR="004F2D1C" w:rsidRPr="00E7337F">
        <w:fldChar w:fldCharType="begin" w:fldLock="1"/>
      </w:r>
      <w:r w:rsidR="00071F56" w:rsidRPr="00E7337F">
        <w:instrText>ADDIN CSL_CITATION {"citationItems":[{"id":"ITEM-1","itemData":{"DOI":"10.1038/nclimate2681","ISSN":"17586798","abstract":"Motivating individuals to choose energy from sustainable sources over conventionally produced power constitutes one of the biggest policy challenges for societies. Here we present the results of a randomized controlled trial in Germany that tested the impact of default rules (that is, a type of \"nudging\") on voluntary purchases of \"green\" energy contracts that entirely stem from renewable resources. Setting the default choice to more expensive \"green\" energy (that is, where consumers have to actively opt out if they do not want it) increased purchases of such nearly tenfold. Furthermore, county-level political preference for the green party uniquely predicted behaviour in the absence of the nudge, suggesting that default setting potentially overrules motivational aspects of green energy purchases. In follow-up experiments, we provide further evidence that the effect does not seem to be driven by unawareness. Summarizing, the present research provides an example of using behavioural science for climate change mitigation and shows alternatives to the use of subsidies or other economic incentives.","author":[{"dropping-particle":"","family":"Ebeling","given":"Felix","non-dropping-particle":"","parse-names":false,"suffix":""},{"dropping-particle":"","family":"Lotz","given":"Sebastian","non-dropping-particle":"","parse-names":false,"suffix":""}],"container-title":"Nature Climate Change","id":"ITEM-1","issue":"9","issued":{"date-parts":[["2015"]]},"page":"868-871","title":"Domestic uptake of green energy promoted by opt-out tariffs","type":"article-journal","volume":"5"},"uris":["http://www.mendeley.com/documents/?uuid=0ca7fbc9-0aff-454e-9d98-730ce3c87919"]},{"id":"ITEM-2","itemData":{"DOI":"10.1038/s41562-021-01070-3","ISSN":"2397-3374","author":[{"dropping-particle":"","family":"Liebe","given":"Ulf","non-dropping-particle":"","parse-names":false,"suffix":""},{"dropping-particle":"","family":"Gewinner","given":"Jennifer","non-dropping-particle":"","parse-names":false,"suffix":""},{"dropping-particle":"","family":"Diekmann","given":"Andreas","non-dropping-particle":"","parse-names":false,"suffix":""}],"container-title":"Nature Human Behaviour","id":"ITEM-2","issued":{"date-parts":[["2021"]]},"title":"Large and persistent effects of green energy defaults in the household and business sectors","type":"article-journal"},"uris":["http://www.mendeley.com/documents/?uuid=68270317-0db4-4cae-b582-319e46a16617"]}],"mendeley":{"formattedCitation":"(Ebeling and Lotz, 2015; Liebe et al., 2021)","plainTextFormattedCitation":"(Ebeling and Lotz, 2015; Liebe et al., 2021)","previouslyFormattedCitation":"(Ebeling and Lotz, 2015; Liebe et al., 2021)"},"properties":{"noteIndex":0},"schema":"https://github.com/citation-style-language/schema/raw/master/csl-citation.json"}</w:instrText>
      </w:r>
      <w:r w:rsidR="004F2D1C" w:rsidRPr="00E7337F">
        <w:fldChar w:fldCharType="separate"/>
      </w:r>
      <w:r w:rsidR="0086250C" w:rsidRPr="00E7337F">
        <w:rPr>
          <w:noProof/>
        </w:rPr>
        <w:t>(Ebeling and Lotz, 2015; Liebe et al., 2021)</w:t>
      </w:r>
      <w:r w:rsidR="004F2D1C" w:rsidRPr="00E7337F">
        <w:fldChar w:fldCharType="end"/>
      </w:r>
      <w:r w:rsidRPr="00E7337F">
        <w:t xml:space="preserve">. </w:t>
      </w:r>
      <w:r w:rsidR="004F22D8" w:rsidRPr="00E7337F">
        <w:t xml:space="preserve">Other </w:t>
      </w:r>
      <w:r w:rsidR="00E95A11" w:rsidRPr="00E7337F">
        <w:t>related interventions</w:t>
      </w:r>
      <w:r w:rsidR="004F22D8" w:rsidRPr="00E7337F">
        <w:t xml:space="preserve"> </w:t>
      </w:r>
      <w:r w:rsidR="00E95A11" w:rsidRPr="00E7337F">
        <w:t xml:space="preserve">that </w:t>
      </w:r>
      <w:r w:rsidR="005A6C22" w:rsidRPr="00E7337F">
        <w:t xml:space="preserve">have </w:t>
      </w:r>
      <w:r w:rsidR="00E95A11" w:rsidRPr="00E7337F">
        <w:t xml:space="preserve">proven effective </w:t>
      </w:r>
      <w:r w:rsidR="004F22D8" w:rsidRPr="00E7337F">
        <w:t>include reducing the size of</w:t>
      </w:r>
      <w:r w:rsidRPr="00E7337F">
        <w:t xml:space="preserve"> wine glasses in bars</w:t>
      </w:r>
      <w:r w:rsidR="004F22D8" w:rsidRPr="00E7337F">
        <w:t>, which</w:t>
      </w:r>
      <w:r w:rsidRPr="00E7337F">
        <w:t xml:space="preserve"> may lower alcohol consumption </w:t>
      </w:r>
      <w:r w:rsidR="00625D14" w:rsidRPr="00E7337F">
        <w:fldChar w:fldCharType="begin" w:fldLock="1"/>
      </w:r>
      <w:r w:rsidR="00071F56" w:rsidRPr="00E7337F">
        <w:instrText>ADDIN CSL_CITATION {"citationItems":[{"id":"ITEM-1","itemData":{"ISSN":"1471-2458","author":[{"dropping-particle":"","family":"Pechey","given":"Rachel","non-dropping-particle":"","parse-names":false,"suffix":""},{"dropping-particle":"","family":"Couturier","given":"Dominique-Laurent","non-dropping-particle":"","parse-names":false,"suffix":""},{"dropping-particle":"","family":"Hollands","given":"Gareth J","non-dropping-particle":"","parse-names":false,"suffix":""},{"dropping-particle":"","family":"Mantzari","given":"Eleni","non-dropping-particle":"","parse-names":false,"suffix":""},{"dropping-particle":"","family":"Munafò","given":"Marcus R","non-dropping-particle":"","parse-names":false,"suffix":""},{"dropping-particle":"","family":"Marteau","given":"Theresa M","non-dropping-particle":"","parse-names":false,"suffix":""}],"container-title":"BMC Public Health","id":"ITEM-1","issue":"1","issued":{"date-parts":[["2016"]]},"page":"390","title":"Does wine glass size influence sales for on-site consumption? A multiple treatment reversal design","type":"article-journal","volume":"16"},"uris":["http://www.mendeley.com/documents/?uuid=d789266c-0874-4f0d-83e9-fd9359450dd0"]},{"id":"ITEM-2","itemData":{"ISSN":"0965-2140","author":[{"dropping-particle":"","family":"Pilling","given":"Mark","non-dropping-particle":"","parse-names":false,"suffix":""},{"dropping-particle":"","family":"Clarke","given":"Natasha","non-dropping-particle":"","parse-names":false,"suffix":""},{"dropping-particle":"","family":"Pechey","given":"Rachel","non-dropping-particle":"","parse-names":false,"suffix":""},{"dropping-particle":"","family":"Hollands","given":"Gareth J","non-dropping-particle":"","parse-names":false,"suffix":""},{"dropping-particle":"","family":"Marteau","given":"Theresa M","non-dropping-particle":"","parse-names":false,"suffix":""}],"container-title":"Addiction","id":"ITEM-2","issued":{"date-parts":[["2020"]]},"page":"1660-1667","title":"The effect of wine glass size on volume of wine sold: a mega‐analysis of studies in bars and restaurants","type":"article-journal","volume":"115"},"uris":["http://www.mendeley.com/documents/?uuid=7c8ef79a-fb35-41d3-ab03-d8ad7c22094a"]}],"mendeley":{"formattedCitation":"(Pechey et al., 2016; Pilling et al., 2020)","plainTextFormattedCitation":"(Pechey et al., 2016; Pilling et al., 2020)","previouslyFormattedCitation":"(Pechey et al., 2016; Pilling et al., 2020)"},"properties":{"noteIndex":0},"schema":"https://github.com/citation-style-language/schema/raw/master/csl-citation.json"}</w:instrText>
      </w:r>
      <w:r w:rsidR="00625D14" w:rsidRPr="00E7337F">
        <w:fldChar w:fldCharType="separate"/>
      </w:r>
      <w:r w:rsidR="0086250C" w:rsidRPr="00E7337F">
        <w:rPr>
          <w:noProof/>
        </w:rPr>
        <w:t>(Pechey et al., 2016; Pilling et al., 2020)</w:t>
      </w:r>
      <w:r w:rsidR="00625D14" w:rsidRPr="00E7337F">
        <w:fldChar w:fldCharType="end"/>
      </w:r>
      <w:r w:rsidR="004F22D8" w:rsidRPr="00E7337F">
        <w:t>, and painting</w:t>
      </w:r>
      <w:r w:rsidR="00625D14" w:rsidRPr="00E7337F">
        <w:t xml:space="preserve"> </w:t>
      </w:r>
      <w:r w:rsidR="004F22D8" w:rsidRPr="00E7337F">
        <w:t>b</w:t>
      </w:r>
      <w:r w:rsidR="003C3860" w:rsidRPr="00E7337F">
        <w:t>rightly coloured</w:t>
      </w:r>
      <w:r w:rsidRPr="00E7337F">
        <w:t xml:space="preserve"> footprints between toilet blocks and wash stations</w:t>
      </w:r>
      <w:r w:rsidR="004F22D8" w:rsidRPr="00E7337F">
        <w:t>, which</w:t>
      </w:r>
      <w:r w:rsidR="00B53FE4" w:rsidRPr="00E7337F">
        <w:t xml:space="preserve"> has</w:t>
      </w:r>
      <w:r w:rsidRPr="00E7337F">
        <w:t xml:space="preserve"> increased handwashing among Bangladeshi schoolchildren </w:t>
      </w:r>
      <w:r w:rsidR="00625D14" w:rsidRPr="00E7337F">
        <w:fldChar w:fldCharType="begin" w:fldLock="1"/>
      </w:r>
      <w:r w:rsidR="00071F56" w:rsidRPr="00E7337F">
        <w:instrText>ADDIN CSL_CITATION {"citationItems":[{"id":"ITEM-1","itemData":{"DOI":"10.3390/ijerph13010129","ISSN":"16604601","PMID":"26784210","abstract":"Behavior change communication for improving handwashing with soap can be labor and resource intensive, yet quality results are difficult to achieve. Nudges are environmental cues engaging unconscious decision-making processes to prompt behavior change. In this proof-of-concept study, we developed an inexpensive set of nudges to encourage handwashing with soap after toilet use in two primary schools in rural Bangladesh. We completed direct observation of behaviors at baseline, after providing traditional handwashing infrastructure, and at multiple time periods following targeted handwashing nudges (1 day, 2 weeks, and 6 weeks). No additional handwashing education or motivational messages were completed. Handwashing with soap among school children was low at baseline (4%), increasing to 68% the day after nudges were completed and 74% at both 2 weeks and 6 weeks post intervention. Results indicate that nudge-based interventions have the potential to improve handwashing with soap among school-aged children in Bangladesh and specific areas of further inquiry are discussed.","author":[{"dropping-particle":"","family":"Dreibelbis","given":"Robert","non-dropping-particle":"","parse-names":false,"suffix":""},{"dropping-particle":"","family":"Kroeger","given":"Anne","non-dropping-particle":"","parse-names":false,"suffix":""},{"dropping-particle":"","family":"Hossain","given":"Kamal","non-dropping-particle":"","parse-names":false,"suffix":""},{"dropping-particle":"","family":"Venkatesh","given":"Mohini","non-dropping-particle":"","parse-names":false,"suffix":""},{"dropping-particle":"","family":"Ram","given":"Pavani K.","non-dropping-particle":"","parse-names":false,"suffix":""}],"container-title":"International Journal of Environmental Research and Public Health","id":"ITEM-1","issue":"1","issued":{"date-parts":[["2016"]]},"page":"7-9","title":"Behavior change without behavior change communication: Nudging handwashing among primary school students in Bangladesh","type":"article-journal","volume":"13"},"uris":["http://www.mendeley.com/documents/?uuid=53ab8838-ae03-4457-a32a-73d3faef96cb"]}],"mendeley":{"formattedCitation":"(Dreibelbis et al., 2016)","plainTextFormattedCitation":"(Dreibelbis et al., 2016)","previouslyFormattedCitation":"(Dreibelbis et al., 2016)"},"properties":{"noteIndex":0},"schema":"https://github.com/citation-style-language/schema/raw/master/csl-citation.json"}</w:instrText>
      </w:r>
      <w:r w:rsidR="00625D14" w:rsidRPr="00E7337F">
        <w:fldChar w:fldCharType="separate"/>
      </w:r>
      <w:r w:rsidR="0086250C" w:rsidRPr="00E7337F">
        <w:rPr>
          <w:noProof/>
        </w:rPr>
        <w:t>(Dreibelbis et al., 2016)</w:t>
      </w:r>
      <w:r w:rsidR="00625D14" w:rsidRPr="00E7337F">
        <w:fldChar w:fldCharType="end"/>
      </w:r>
      <w:r w:rsidRPr="00E7337F">
        <w:t xml:space="preserve">. </w:t>
      </w:r>
    </w:p>
    <w:p w14:paraId="42AFFC6E" w14:textId="041869F8" w:rsidR="004800DC" w:rsidRPr="00E7337F" w:rsidRDefault="00C910EB" w:rsidP="00950E9F">
      <w:pPr>
        <w:spacing w:after="0" w:line="480" w:lineRule="auto"/>
        <w:ind w:firstLine="720"/>
      </w:pPr>
      <w:r w:rsidRPr="00E7337F">
        <w:t xml:space="preserve">Yet despite the promise and breadth of behaviour change interventions, researchers and practitioners have been slow to explore and apply the potential of behavioural science for biodiversity conservation. </w:t>
      </w:r>
      <w:r w:rsidR="00FF17EC" w:rsidRPr="00E7337F">
        <w:t xml:space="preserve">Work has been done to inform behaviour change interventions for </w:t>
      </w:r>
      <w:r w:rsidR="003C3860" w:rsidRPr="00E7337F">
        <w:t>related</w:t>
      </w:r>
      <w:r w:rsidR="00EE12F8" w:rsidRPr="00E7337F">
        <w:t xml:space="preserve"> environmental issues</w:t>
      </w:r>
      <w:r w:rsidR="003C3860" w:rsidRPr="00E7337F">
        <w:t>,</w:t>
      </w:r>
      <w:r w:rsidR="00EE12F8" w:rsidRPr="00E7337F">
        <w:t xml:space="preserve"> </w:t>
      </w:r>
      <w:r w:rsidR="003C3860" w:rsidRPr="00E7337F">
        <w:t>particularly</w:t>
      </w:r>
      <w:r w:rsidR="00EE12F8" w:rsidRPr="00E7337F">
        <w:t xml:space="preserve"> energy use, water use, recycling</w:t>
      </w:r>
      <w:r w:rsidR="002A00BD" w:rsidRPr="00E7337F">
        <w:t>,</w:t>
      </w:r>
      <w:r w:rsidR="00EE12F8" w:rsidRPr="00E7337F">
        <w:t xml:space="preserve"> and transport </w:t>
      </w:r>
      <w:r w:rsidR="00625D14" w:rsidRPr="00E7337F">
        <w:lastRenderedPageBreak/>
        <w:fldChar w:fldCharType="begin" w:fldLock="1"/>
      </w:r>
      <w:r w:rsidR="00071F56" w:rsidRPr="00E7337F">
        <w:instrText>ADDIN CSL_CITATION {"citationItems":[{"id":"ITEM-1","itemData":{"DOI":"10.1177/0013916511402673","ISBN":"0013916500139165","ISSN":"0013-9165","abstract":"To provide practitioners with useful information about how to promote pro­ environmental behavior (PEB), a meta­analysis was performed on 87 published reports containing 253 experimental treatments that measured an observed, not self-reported, behavioral outcome. Most studies combined multiple treatments, and this confounding precluded definitive conclusions about which individual treatments are most effective. Treatments that included cognitive dissonance, goal setting, social modeling, and prompts pro­ vided the overall largest effect sizes (Hedge’s g &gt; 0.60). Further analyses indicated that different treatments have been more effective for certain behaviors. Although average effect sizes are based on small numbers of studies, effective combinations of treatments and behaviors are making it easy to recycle, setting goals for conserving gasoline, and modeling home energy conservation. The results also reveal several gaps in the literature that should guide further research, including both treatments and PEB that have not been tested.","author":[{"dropping-particle":"","family":"Osbaldiston","given":"R.","non-dropping-particle":"","parse-names":false,"suffix":""},{"dropping-particle":"","family":"Schott","given":"J. P.","non-dropping-particle":"","parse-names":false,"suffix":""}],"container-title":"Environment and Behavior","id":"ITEM-1","issue":"2","issued":{"date-parts":[["2012"]]},"page":"257-299","title":"Environmental sustainability and behavioral science: Meta-analysis of proenvironmental behavior experiments","type":"article-journal","volume":"44"},"uris":["http://www.mendeley.com/documents/?uuid=7af7a8bb-ca21-4483-bbe4-a4cfb1e1c5fc"]},{"id":"ITEM-2","itemData":{"DOI":"10.1002/fee.1777","ISSN":"15409309","abstract":"Human behavior is responsible for many of our greatest environmental challenges. The accumulated effects of many individual and household decisions have major negative impacts on biodiversity and ecosystem health. Human behavioral science blends psychology and economics to understand how people respond to the context in which they make decisions (eg who presents the information and how it is framed). Behavioral insights have informed new strategies to improve personal health and financial choices. However, less is known about whether and how these insights can encourage choices that are better for the environment. We review 160 experimental interventions that attempt to alter behavior in six domains in which decisions have major environmental impacts: family planning, land management, meat consumption, transportation choices, waste production, and water use. The evidence suggests that social influence and simple adjustments to decision settings can influence pro?environmental decisions. We identify four important gaps in the evidence that provide opportunities for future research. To address these gaps, we encourage collaborations between researchers and practitioners that look at the effects of embedding tests of behavior?change interventions within environmental programs.","author":[{"dropping-particle":"","family":"Byerly","given":"Hilary","non-dropping-particle":"","parse-names":false,"suffix":""},{"dropping-particle":"","family":"Balmford","given":"Andrew","non-dropping-particle":"","parse-names":false,"suffix":""},{"dropping-particle":"","family":"Ferraro","given":"Paul J.","non-dropping-particle":"","parse-names":false,"suffix":""},{"dropping-particle":"","family":"Hammond Wagner","given":"Courtney","non-dropping-particle":"","parse-names":false,"suffix":""},{"dropping-particle":"","family":"Palchak","given":"Elizabeth","non-dropping-particle":"","parse-names":false,"suffix":""},{"dropping-particle":"","family":"Polasky","given":"Stephen","non-dropping-particle":"","parse-names":false,"suffix":""},{"dropping-particle":"","family":"Ricketts","given":"Taylor H.","non-dropping-particle":"","parse-names":false,"suffix":""},{"dropping-particle":"","family":"Schwartz","given":"Aaron J.","non-dropping-particle":"","parse-names":false,"suffix":""},{"dropping-particle":"","family":"Fisher","given":"Brendan","non-dropping-particle":"","parse-names":false,"suffix":""}],"container-title":"Frontiers in Ecology and the Environment","id":"ITEM-2","issue":"3","issued":{"date-parts":[["2018"]]},"page":"159-168","title":"Nudging pro-environmental behavior: evidence and opportunities","type":"article-journal","volume":"16"},"uris":["http://www.mendeley.com/documents/?uuid=7ea6a6fb-5a02-42aa-a01f-90c862beb48b"]},{"id":"ITEM-3","itemData":{"DOI":"10.1038/s41467-019-12457-2","ISSN":"20411723","abstract":"No consensus exists regarding which are the most effective mechanisms to promote household action on climate change. We present a meta-analysis of randomised controlled trials comprising 3,092,678 observations, which estimates the effects of behavioural interventions holding other factors constant. Here we show that behavioural interventions promote climate change mitigation to a very small degree while the intervention lasts (d = −0.093 95% CI −0.160, −0.055), with no evidence of sustained positive effects once the intervention ends. With the exception of recycling, most household mitigation behaviours show a low behavioural plasticity. The intervention with the highest average effect size is choice architecture (nudges) but this strategy has been tested in a limited number of behaviours. Our results do not imply behavioural interventions are less effective than alternative strategies such as financial incentives or regulations, nor exclude the possibility that behavioural interventions could have stronger effects when used in combination with alternative strategies. It is not clear which are the most effective mechanisms to achieve sustainable lifestyle behaviour. Here the authors study the impact of behavioural interventions excluding economic incentives by performing a large-scale meta-analysis and find that these interventions promote sustainable behaviours to a small degree in the short-term with no evidence of sustained positive effects once the intervention is completed.","author":[{"dropping-particle":"","family":"Nisa","given":"Claudia F.","non-dropping-particle":"","parse-names":false,"suffix":""},{"dropping-particle":"","family":"Bélanger","given":"Jocelyn J.","non-dropping-particle":"","parse-names":false,"suffix":""},{"dropping-particle":"","family":"Schumpe","given":"Birga M.","non-dropping-particle":"","parse-names":false,"suffix":""},{"dropping-particle":"","family":"Faller","given":"Daiane G.","non-dropping-particle":"","parse-names":false,"suffix":""}],"container-title":"Nature Communications","id":"ITEM-3","issue":"1","issued":{"date-parts":[["2019"]]},"page":"4545","title":"Meta-analysis of randomised controlled trials testing behavioural interventions to promote household action on climate change","type":"article-journal","volume":"10"},"uris":["http://www.mendeley.com/documents/?uuid=4e908c20-bde9-43f2-9a8c-d044ac48f883"]}],"mendeley":{"formattedCitation":"(Byerly et al., 2018; Nisa et al., 2019; Osbaldiston and Schott, 2012)","plainTextFormattedCitation":"(Byerly et al., 2018; Nisa et al., 2019; Osbaldiston and Schott, 2012)","previouslyFormattedCitation":"(Byerly et al., 2018; Nisa et al., 2019; Osbaldiston and Schott, 2012)"},"properties":{"noteIndex":0},"schema":"https://github.com/citation-style-language/schema/raw/master/csl-citation.json"}</w:instrText>
      </w:r>
      <w:r w:rsidR="00625D14" w:rsidRPr="00E7337F">
        <w:fldChar w:fldCharType="separate"/>
      </w:r>
      <w:r w:rsidR="0086250C" w:rsidRPr="00E7337F">
        <w:rPr>
          <w:noProof/>
        </w:rPr>
        <w:t>(Byerly et al., 2018; Nisa et al., 2019; Osbaldiston and Schott, 2012)</w:t>
      </w:r>
      <w:r w:rsidR="00625D14" w:rsidRPr="00E7337F">
        <w:fldChar w:fldCharType="end"/>
      </w:r>
      <w:r w:rsidR="00EE12F8" w:rsidRPr="00E7337F">
        <w:t xml:space="preserve">. </w:t>
      </w:r>
      <w:r w:rsidRPr="00E7337F">
        <w:t xml:space="preserve">But there has been far less behavioural science work addressing, for example, </w:t>
      </w:r>
      <w:r w:rsidR="00EE12F8" w:rsidRPr="00E7337F">
        <w:t>demand for threatened species, wildlife harvesting, or land management, all of which are central to conservation outcomes</w:t>
      </w:r>
      <w:r w:rsidR="00D47966" w:rsidRPr="00E7337F">
        <w:t xml:space="preserve"> </w:t>
      </w:r>
      <w:r w:rsidR="00D47966" w:rsidRPr="00E7337F">
        <w:fldChar w:fldCharType="begin" w:fldLock="1"/>
      </w:r>
      <w:r w:rsidR="00610947">
        <w:instrText>ADDIN CSL_CITATION {"citationItems":[{"id":"ITEM-1","itemData":{"DOI":"10.1016/j.marpol.2018.05.026","ISSN":"0308597X","abstract":"Enforcing compliance with rules and regulations in recreational fisheries has proved difficult due to factors such as the high number of participants and costs of enforcement, the absence of regular monitoring of recreational fishing activity, and the inherent difficulties in accurately determining catch levels. The effectiveness of traditional punitive deterrence is limited, yet current management is heavily reliant on this compliance approach. In this paper, the potential of behavioural based management is considered through a narrative review of the relevant literature; specifically, exploring the use of nudges, which aim through subtle changes and indirect suggestion to make certain decisions more salient, thereby improving voluntary compliance. This concept is explored with specific reference to the compliance of fishers within Australian recreational fisheries. There are only a few examples of behavioural based approaches found. However, based on their theoretical foundations, nudges may represent an inexpensive, and potentially highly effective tool for recreational fisheries management. Nudges do not offer a ‘quick fix’ to cases where traditional policy instruments have failed. Rather, there is the potential for behavioural nudges (based on framing, changing the physical environment, presenting default options, and social norms) to augment and complement existing deterrence regimes. A number of potential nudges for compliance management in recreational fisheries are suggested, but caution is advised. As with any novel management approach, nudges must be rigorously tested to demonstrate their cost-effectiveness and to avoid unintended consequences.","author":[{"dropping-particle":"","family":"Mackay","given":"M.","non-dropping-particle":"","parse-names":false,"suffix":""},{"dropping-particle":"","family":"Jennings","given":"S.","non-dropping-particle":"","parse-names":false,"suffix":""},{"dropping-particle":"","family":"Putten","given":"E. I.","non-dropping-particle":"van","parse-names":false,"suffix":""},{"dropping-particle":"","family":"Sibly","given":"H.","non-dropping-particle":"","parse-names":false,"suffix":""},{"dropping-particle":"","family":"Yamazaki","given":"S.","non-dropping-particle":"","parse-names":false,"suffix":""}],"container-title":"Marine Policy","id":"ITEM-1","issue":"May","issued":{"date-parts":[["2018"]]},"page":"256-266","title":"When push comes to shove in recreational fishing compliance, think ‘nudge’","type":"article-journal","volume":"95"},"uris":["http://www.mendeley.com/documents/?uuid=aabf10d0-97b0-4b47-bea2-53f471699227"]},{"id":"ITEM-2","itemData":{"ISSN":"1523-1739","abstract":"Solutions for conserving biodiversity lie in changing people's behavior. Ambitious international and national conservation policies frequently fail in effective implementation to mitigate biodiversity loss, as they rarely use behavior change theories. In this paper, we conduct a gap analysis of conservation behavior change interventions advocated in national conservation strategies using the Behaviour Change Wheel (BCW), a comprehensive framework for systematically characterizing and designing behavior change interventions. Using pollinator conservation as a case study, we analyze and categorize the conservation actions listed in national pollinator initiatives against the intervention functions and policy categories of the BCW. The study aims to identify which intervention functions and policy categories are emphasized or lacking, and to classify the intervention targets and agents of change for pollinator conservation. We searched for all national‐level policy documents from the EU in March 2019 focusing on the conservation of pollinators (n = 8). Conservation actions for pollinators were coded using in‐depth directed content analysis, guided by the BCW. A total of 610 conservation actions were coded in the eight pollinator initiatives, resulting in the identification of 787 intervention function and 766 policy category codes. We find that these initiatives failed to employ the whole breadth of behavioral interventions. Interventions most frequently identified were education (23%) and environmental restructuring (19%). Whereas, coercion was completely absent, and other behavioral interventions such as restriction (2%) or incentivization (3%) under‐used. Importantly, 41% of all pollinator conservation actions failed to identify the intervention target. Building on these analyses, we discuss reasons for the implementation gaps of conservation policies, and provide recommendations how to underpin effective future conservation policy goals with behavior change interventions.","author":[{"dropping-particle":"","family":"Marselle","given":"Melissa","non-dropping-particle":"","parse-names":false,"suffix":""},{"dropping-particle":"","family":"Turbe","given":"Anne","non-dropping-particle":"","parse-names":false,"suffix":""},{"dropping-particle":"","family":"Shwartz","given":"Assaf","non-dropping-particle":"","parse-names":false,"suffix":""},{"dropping-particle":"","family":"Bonn","given":"Aletta","non-dropping-particle":"","parse-names":false,"suffix":""},{"dropping-particle":"","family":"Colléony","given":"Agathe","non-dropping-particle":"","parse-names":false,"suffix":""}],"container-title":"Conservation Biology","id":"ITEM-2","issued":{"date-parts":[["2021"]]},"page":"610-622","title":"Addressing behavior in pollinator conservation policies to combat the implementation gap","type":"article-journal","volume":"35"},"uris":["http://www.mendeley.com/documents/?uuid=da4def69-b916-4e6b-848c-f1b392c72722"]}],"mendeley":{"formattedCitation":"(Mackay et al., 2018; Marselle et al., 2021)","plainTextFormattedCitation":"(Mackay et al., 2018; Marselle et al., 2021)","previouslyFormattedCitation":"(Mackay et al., 2018; Marselle et al., 2020)"},"properties":{"noteIndex":0},"schema":"https://github.com/citation-style-language/schema/raw/master/csl-citation.json"}</w:instrText>
      </w:r>
      <w:r w:rsidR="00D47966" w:rsidRPr="00E7337F">
        <w:fldChar w:fldCharType="separate"/>
      </w:r>
      <w:r w:rsidR="00610947" w:rsidRPr="00610947">
        <w:rPr>
          <w:noProof/>
        </w:rPr>
        <w:t>(Mackay et al., 2018; Marselle et al., 2021)</w:t>
      </w:r>
      <w:r w:rsidR="00D47966" w:rsidRPr="00E7337F">
        <w:fldChar w:fldCharType="end"/>
      </w:r>
      <w:r w:rsidR="00D47966" w:rsidRPr="00E7337F">
        <w:t>.</w:t>
      </w:r>
      <w:r w:rsidR="00EE12F8" w:rsidRPr="00E7337F">
        <w:t xml:space="preserve"> </w:t>
      </w:r>
      <w:r w:rsidR="00F977F1" w:rsidRPr="00E7337F">
        <w:t xml:space="preserve">We do, however, acknowledge the noteworthy contributions of the research traditions around human dimensions of wildlife </w:t>
      </w:r>
      <w:r w:rsidR="00F977F1" w:rsidRPr="00E7337F">
        <w:fldChar w:fldCharType="begin" w:fldLock="1"/>
      </w:r>
      <w:r w:rsidR="00F977F1" w:rsidRPr="00E7337F">
        <w:instrText>ADDIN CSL_CITATION {"citationItems":[{"id":"ITEM-1","itemData":{"DOI":"10.1080/10871209609359060","ISSN":"1533158X","abstract":"This paper develops a conceptual framework for studying human values toward wildlife. A measurement instrument for assessing basic wildlife beliefs and wildlife value orientations concerning issues of enduring relevance to wildlife management and planning was developed using the domain sampling approach. Results of confirmatory factor analysis and reliability analysis indicate that a reliable and internally consistent measurement tool for evaluating basic wildlife beliefs and wildlife value orientations was developed. Structural equation analyses conducted using LISREL 8 indicated the value orientations predicted attitudes well and that attitudes largely acted as a mediator in the relationship between wildlife value orientations and behavioral intention. These results provide support for the hierarchical model of social cognition that forms the foundation of the conceptual framework for studying wildlife value orientations. © 1996 Taylor &amp; Francis Group, LLC.","author":[{"dropping-particle":"","family":"Fulton","given":"David C.","non-dropping-particle":"","parse-names":false,"suffix":""},{"dropping-particle":"","family":"Manfredo","given":"Michael J.","non-dropping-particle":"","parse-names":false,"suffix":""},{"dropping-particle":"","family":"Lipscomb","given":"James","non-dropping-particle":"","parse-names":false,"suffix":""}],"container-title":"Human Dimensions of Wildlife","id":"ITEM-1","issue":"2","issued":{"date-parts":[["1996"]]},"page":"24-47","title":"Wildlife value orientations: A conceptual and measurement approach","type":"article-journal","volume":"1"},"uris":["http://www.mendeley.com/documents/?uuid=a9460adb-a848-4d7b-a4ef-8f17867acf0b"]},{"id":"ITEM-2","itemData":{"DOI":"10.1038/s41893-020-00655-6","ISSN":"23989629","abstract":"Global biodiversity loss is indicative of the massive influence of human activity that defines the Anthropocene. Some scholars argue that changes in behaviour at the scale necessary to address this crisis will require wholesale change in cultural values. However, evidence is lacking on whether values are shifting. To better understand this phenomenon, we analysed long-term, large-scale trend data regarding wildlife values in the United States, collected through a 19-state survey in 2004 (n = 12,673) and 2017–2018 (n = 20,674). Findings confirmed an increased endorsement of mutualism values (seeing wildlife as part of one’s social community and deserving of rights like humans) accompanied by a decline in values emphasizing domination (treating wildlife as resources to be used for human benefit), a trend further visible in cross-generational cohort analysis. We also found strong associations between state-level values and trends in urbanization, connecting the shift to macro-level socioeconomic factors. Results suggest positive outcomes for conservation but the field’s ability to adapt will be critical to realizing those outcomes.","author":[{"dropping-particle":"","family":"Manfredo","given":"Michael J.","non-dropping-particle":"","parse-names":false,"suffix":""},{"dropping-particle":"","family":"Teel","given":"Tara L.","non-dropping-particle":"","parse-names":false,"suffix":""},{"dropping-particle":"","family":"Berl","given":"Richard E.W.","non-dropping-particle":"","parse-names":false,"suffix":""},{"dropping-particle":"","family":"Bruskotter","given":"Jeremy T.","non-dropping-particle":"","parse-names":false,"suffix":""},{"dropping-particle":"","family":"Kitayama","given":"Shinobu","non-dropping-particle":"","parse-names":false,"suffix":""}],"container-title":"Nature Sustainability","id":"ITEM-2","issue":"April","issued":{"date-parts":[["2020"]]},"publisher":"Springer US","title":"Social value shift in favour of biodiversity conservation in the United States","type":"article-journal","volume":"4"},"uris":["http://www.mendeley.com/documents/?uuid=a78b7572-12da-4f1e-9390-ea53038a0e23"]}],"mendeley":{"formattedCitation":"(Fulton et al., 1996; Manfredo et al., 2020)","plainTextFormattedCitation":"(Fulton et al., 1996; Manfredo et al., 2020)","previouslyFormattedCitation":"(Fulton et al., 1996; Manfredo et al., 2020)"},"properties":{"noteIndex":0},"schema":"https://github.com/citation-style-language/schema/raw/master/csl-citation.json"}</w:instrText>
      </w:r>
      <w:r w:rsidR="00F977F1" w:rsidRPr="00E7337F">
        <w:fldChar w:fldCharType="separate"/>
      </w:r>
      <w:r w:rsidR="000F6A72" w:rsidRPr="00E7337F">
        <w:rPr>
          <w:noProof/>
        </w:rPr>
        <w:t>(Fulton et al., 1996; Manfredo et al., 2020)</w:t>
      </w:r>
      <w:r w:rsidR="00F977F1" w:rsidRPr="00E7337F">
        <w:fldChar w:fldCharType="end"/>
      </w:r>
      <w:r w:rsidR="00F977F1" w:rsidRPr="00E7337F">
        <w:t xml:space="preserve">, conservation psychology </w:t>
      </w:r>
      <w:r w:rsidR="00F977F1" w:rsidRPr="00E7337F">
        <w:fldChar w:fldCharType="begin" w:fldLock="1"/>
      </w:r>
      <w:r w:rsidR="00F977F1" w:rsidRPr="00E7337F">
        <w:instrText>ADDIN CSL_CITATION {"citationItems":[{"id":"ITEM-1","itemData":{"ISBN":"1118874609","author":[{"dropping-particle":"","family":"Clayton","given":"Susan","non-dropping-particle":"","parse-names":false,"suffix":""},{"dropping-particle":"","family":"Myers","given":"Gene","non-dropping-particle":"","parse-names":false,"suffix":""}],"id":"ITEM-1","issued":{"date-parts":[["2015"]]},"publisher":"John Wiley &amp; Sons","title":"Conservation psychology: Understanding and promoting human care for nature","type":"book"},"uris":["http://www.mendeley.com/documents/?uuid=710eb499-f19f-4cdc-9a40-c34d61c0634b"]},{"id":"ITEM-2","itemData":{"ISSN":"10744827","abstract":"The growing recognition that the social sciences play a key role in conservation requires more efficient ways for working together toward a common mission. A new field of conservation psychology is proposed to create stronger connections between the natural and social sciences, between research and practice, and between psychology and the other social sciences. The purpose of such a network is to conduct psychological research that is directly oriented toward the goal of environmental sustainability. To better understand the promise of conservation psychology, it is compared to other fields, such as conservation biology and environmental psychology. Potential conservation psychology research topics are discussed in relation to two broad outcome areas: a) motivating people to act in more environmentally-friendly ways and b) encouraging people to care about the natural world and their role in it. Within these outcome areas, research can be focused at the individual or the group level. The type of research will range from more theoretical approaches to more applied, and examples are provided for such a continuum. The dynamic process by which social scientists and practitioners identify high-priority research questions is another important aspect of conservation psychology.","author":[{"dropping-particle":"","family":"Saunders","given":"Carol D.","non-dropping-particle":"","parse-names":false,"suffix":""}],"container-title":"Human Ecology Review","id":"ITEM-2","issue":"2","issued":{"date-parts":[["2003"]]},"page":"137-149","title":"The emerging field of conservation psychology","type":"article","volume":"10"},"uris":["http://www.mendeley.com/documents/?uuid=bfb79b1b-b8f0-46a9-b85c-819383f26e0f"]},{"id":"ITEM-3","itemData":{"DOI":"10.1111/cobi.13106","ISSN":"15231739","author":[{"dropping-particle":"","family":"Selinske","given":"Matthew J.","non-dropping-particle":"","parse-names":false,"suffix":""},{"dropping-particle":"","family":"Garrard","given":"Georgia E.","non-dropping-particle":"","parse-names":false,"suffix":""},{"dropping-particle":"","family":"Bekessy","given":"Sarah A.","non-dropping-particle":"","parse-names":false,"suffix":""},{"dropping-particle":"","family":"Gordon","given":"Ascelin","non-dropping-particle":"","parse-names":false,"suffix":""},{"dropping-particle":"","family":"Kusmanoff","given":"Alexander M.","non-dropping-particle":"","parse-names":false,"suffix":""},{"dropping-particle":"","family":"Fidler","given":"Fiona","non-dropping-particle":"","parse-names":false,"suffix":""}],"container-title":"Conservation Biology","id":"ITEM-3","issue":"6","issued":{"date-parts":[["2018"]]},"page":"1464-1468","title":"Revisiting the promise of conservation psychology","type":"article-journal","volume":"32"},"uris":["http://www.mendeley.com/documents/?uuid=86dad9d8-4dc4-4c85-a8c5-2f4da0c0ba56"]}],"mendeley":{"formattedCitation":"(Clayton and Myers, 2015; Saunders, 2003; Selinske et al., 2018)","plainTextFormattedCitation":"(Clayton and Myers, 2015; Saunders, 2003; Selinske et al., 2018)","previouslyFormattedCitation":"(Clayton and Myers, 2015; Saunders, 2003; Selinske et al., 2018)"},"properties":{"noteIndex":0},"schema":"https://github.com/citation-style-language/schema/raw/master/csl-citation.json"}</w:instrText>
      </w:r>
      <w:r w:rsidR="00F977F1" w:rsidRPr="00E7337F">
        <w:fldChar w:fldCharType="separate"/>
      </w:r>
      <w:r w:rsidR="00F977F1" w:rsidRPr="00E7337F">
        <w:rPr>
          <w:noProof/>
        </w:rPr>
        <w:t>(Clayton and Myers, 2015; Saunders, 2003; Selinske et al., 2018)</w:t>
      </w:r>
      <w:r w:rsidR="00F977F1" w:rsidRPr="00E7337F">
        <w:fldChar w:fldCharType="end"/>
      </w:r>
      <w:r w:rsidR="00F977F1" w:rsidRPr="00E7337F">
        <w:t xml:space="preserve">, and social marketing </w:t>
      </w:r>
      <w:r w:rsidR="00F977F1" w:rsidRPr="00E7337F">
        <w:fldChar w:fldCharType="begin" w:fldLock="1"/>
      </w:r>
      <w:r w:rsidR="00C4572D" w:rsidRPr="00E7337F">
        <w:instrText>ADDIN CSL_CITATION {"citationItems":[{"id":"ITEM-1","itemData":{"DOI":"10.1177/1524500419825545","ISSN":"15394093","author":[{"dropping-particle":"","family":"Veríssimo","given":"Diogo","non-dropping-particle":"","parse-names":false,"suffix":""}],"container-title":"Social Marketing Quarterly","id":"ITEM-1","issue":"1","issued":{"date-parts":[["2019"]]},"page":"3-8","title":"The past, present, and future of using social marketing to conserve biodiversity","type":"article-journal","volume":"25"},"uris":["http://www.mendeley.com/documents/?uuid=c82666cf-90c3-4356-ba2b-8013e91d3668"]},{"id":"ITEM-2","itemData":{"ISSN":"1524-5004","author":[{"dropping-particle":"","family":"Green","given":"Kevin M","non-dropping-particle":"","parse-names":false,"suffix":""},{"dropping-particle":"","family":"Crawford","given":"Brian A","non-dropping-particle":"","parse-names":false,"suffix":""},{"dropping-particle":"","family":"Williamson","given":"Katherine A","non-dropping-particle":"","parse-names":false,"suffix":""},{"dropping-particle":"","family":"DeWan","given":"Amielle A","non-dropping-particle":"","parse-names":false,"suffix":""}],"container-title":"Social Marketing Quarterly","id":"ITEM-2","issue":"1","issued":{"date-parts":[["2019"]]},"page":"69-87","title":"A meta-analysis of social marketing campaigns to improve global conservation outcomes","type":"article-journal","volume":"25"},"uris":["http://www.mendeley.com/documents/?uuid=72f604e4-57e4-4c31-baac-2359da49c09b"]},{"id":"ITEM-3","itemData":{"DOI":"10.1111/cobi.13475","ISSN":"15231739","abstract":"Small-scale fisheries are an important livelihood and primary protein source for coastal communities in many of the poorest regions in the world, yet many are overfished and thus require effective and scalable management solutions. Positive ecological and socioeconomic responses to management typically lag behind immediate costs borne by fishers from fishing pressure reductions necessary for fisheries recovery. These short-term costs challenge the long-term success of these interventions. However, social marketing may increase perceptions of management benefits before ecological and socioeconomic benefits are fully realized, driving new social norms and ultimately long-term sustainable behavior change. By conducting underwater visual surveys to quantify ecological conditions and by conducting household surveys with community members to quantify their perceptions of management support and socioeconomic conditions, we assessed the impact of a standardized small-scale fisheries management intervention that was implemented across 41 sites in Brazil, Indonesia, and the Philippines. The intervention combines TURF reserves (community-based territorial use rights for fishing coupled with no-take marine reserves) with locally tailored social-marketing behavior change campaigns. Leveraging data across 22 indicators and 4 survey types, along with data from 3 control sites, we found that ecological and socioeconomic impacts varied and that communities supported the intervention and were already changing their fishing practices. These results suggest that communities were developing new social norms and fishing more sustainably before long-term ecological and socioeconomic benefits of fisheries management materialized.","author":[{"dropping-particle":"","family":"McDonald","given":"Gavin","non-dropping-particle":"","parse-names":false,"suffix":""},{"dropping-particle":"","family":"Wilson","given":"Molly","non-dropping-particle":"","parse-names":false,"suffix":""},{"dropping-particle":"","family":"Veríssimo","given":"Diogo","non-dropping-particle":"","parse-names":false,"suffix":""},{"dropping-particle":"","family":"Twohey","given":"Rebecca","non-dropping-particle":"","parse-names":false,"suffix":""},{"dropping-particle":"","family":"Clemence","given":"Michaela","non-dropping-particle":"","parse-names":false,"suffix":""},{"dropping-particle":"","family":"Apistar","given":"Dean","non-dropping-particle":"","parse-names":false,"suffix":""},{"dropping-particle":"","family":"Box","given":"Stephen","non-dropping-particle":"","parse-names":false,"suffix":""},{"dropping-particle":"","family":"Butler","given":"Paul","non-dropping-particle":"","parse-names":false,"suffix":""},{"dropping-particle":"","family":"Cadiz","given":"Fel Cesar","non-dropping-particle":"","parse-names":false,"suffix":""},{"dropping-particle":"","family":"Campbell","given":"Stuart J.","non-dropping-particle":"","parse-names":false,"suffix":""},{"dropping-particle":"","family":"Cox","given":"Courtney","non-dropping-particle":"","parse-names":false,"suffix":""},{"dropping-particle":"","family":"Effron","given":"Micah","non-dropping-particle":"","parse-names":false,"suffix":""},{"dropping-particle":"","family":"Gaines","given":"Steve","non-dropping-particle":"","parse-names":false,"suffix":""},{"dropping-particle":"","family":"Jakub","given":"Raymond","non-dropping-particle":"","parse-names":false,"suffix":""},{"dropping-particle":"","family":"Mancao","given":"Roquelito H.","non-dropping-particle":"","parse-names":false,"suffix":""},{"dropping-particle":"","family":"Rojas","given":"Pablo T.","non-dropping-particle":"","parse-names":false,"suffix":""},{"dropping-particle":"","family":"Tirona","given":"Rocky Sanchez","non-dropping-particle":"","parse-names":false,"suffix":""},{"dropping-particle":"","family":"Vianna","given":"Gabriel","non-dropping-particle":"","parse-names":false,"suffix":""}],"container-title":"Conservation Biology","id":"ITEM-3","issue":"5","issued":{"date-parts":[["2020"]]},"page":"1176-1189","title":"Catalyzing sustainable fisheries management through behavior change interventions","type":"article-journal","volume":"34"},"uris":["http://www.mendeley.com/documents/?uuid=030578bb-5f8e-42d8-967c-d9e034216ccd"]}],"mendeley":{"formattedCitation":"(Green et al., 2019; McDonald et al., 2020; Veríssimo, 2019)","plainTextFormattedCitation":"(Green et al., 2019; McDonald et al., 2020; Veríssimo, 2019)","previouslyFormattedCitation":"(Green et al., 2019; McDonald et al., 2020; Veríssimo, 2019)"},"properties":{"noteIndex":0},"schema":"https://github.com/citation-style-language/schema/raw/master/csl-citation.json"}</w:instrText>
      </w:r>
      <w:r w:rsidR="00F977F1" w:rsidRPr="00E7337F">
        <w:fldChar w:fldCharType="separate"/>
      </w:r>
      <w:r w:rsidR="009D1147" w:rsidRPr="00E7337F">
        <w:rPr>
          <w:noProof/>
        </w:rPr>
        <w:t>(Green et al., 2019; McDonald et al., 2020; Veríssimo, 2019)</w:t>
      </w:r>
      <w:r w:rsidR="00F977F1" w:rsidRPr="00E7337F">
        <w:fldChar w:fldCharType="end"/>
      </w:r>
      <w:r w:rsidR="00F977F1" w:rsidRPr="00E7337F">
        <w:t xml:space="preserve"> in </w:t>
      </w:r>
      <w:r w:rsidR="00457CAC">
        <w:t xml:space="preserve">introducing and </w:t>
      </w:r>
      <w:r w:rsidR="00F977F1" w:rsidRPr="00E7337F">
        <w:t xml:space="preserve">integrating behavioural </w:t>
      </w:r>
      <w:r w:rsidR="00457CAC">
        <w:t xml:space="preserve">and social </w:t>
      </w:r>
      <w:r w:rsidR="00F977F1" w:rsidRPr="00E7337F">
        <w:t xml:space="preserve">science evidence and theories into conservation </w:t>
      </w:r>
      <w:r w:rsidR="00505756" w:rsidRPr="00E7337F">
        <w:t>science</w:t>
      </w:r>
      <w:r w:rsidR="00F977F1" w:rsidRPr="00E7337F">
        <w:t xml:space="preserve"> and practice. </w:t>
      </w:r>
      <w:r w:rsidR="00D47966" w:rsidRPr="00E7337F">
        <w:t xml:space="preserve">The evidence base on </w:t>
      </w:r>
      <w:r w:rsidRPr="00E7337F">
        <w:t>interventions for shifting behaviours in these domains</w:t>
      </w:r>
      <w:r w:rsidR="00D47966" w:rsidRPr="00E7337F">
        <w:t xml:space="preserve"> is </w:t>
      </w:r>
      <w:r w:rsidR="00F977F1" w:rsidRPr="00E7337F">
        <w:t xml:space="preserve">nevertheless </w:t>
      </w:r>
      <w:r w:rsidR="00D47966" w:rsidRPr="00E7337F">
        <w:t xml:space="preserve">limited and rarely linked to theory </w:t>
      </w:r>
      <w:r w:rsidR="00D47966" w:rsidRPr="00E7337F">
        <w:fldChar w:fldCharType="begin" w:fldLock="1"/>
      </w:r>
      <w:r w:rsidR="00071F56" w:rsidRPr="00E7337F">
        <w:instrText>ADDIN CSL_CITATION {"citationItems":[{"id":"ITEM-1","itemData":{"DOI":"10.1002/fee.1777","ISSN":"15409309","abstract":"Human behavior is responsible for many of our greatest environmental challenges. The accumulated effects of many individual and household decisions have major negative impacts on biodiversity and ecosystem health. Human behavioral science blends psychology and economics to understand how people respond to the context in which they make decisions (eg who presents the information and how it is framed). Behavioral insights have informed new strategies to improve personal health and financial choices. However, less is known about whether and how these insights can encourage choices that are better for the environment. We review 160 experimental interventions that attempt to alter behavior in six domains in which decisions have major environmental impacts: family planning, land management, meat consumption, transportation choices, waste production, and water use. The evidence suggests that social influence and simple adjustments to decision settings can influence pro?environmental decisions. We identify four important gaps in the evidence that provide opportunities for future research. To address these gaps, we encourage collaborations between researchers and practitioners that look at the effects of embedding tests of behavior?change interventions within environmental programs.","author":[{"dropping-particle":"","family":"Byerly","given":"Hilary","non-dropping-particle":"","parse-names":false,"suffix":""},{"dropping-particle":"","family":"Balmford","given":"Andrew","non-dropping-particle":"","parse-names":false,"suffix":""},{"dropping-particle":"","family":"Ferraro","given":"Paul J.","non-dropping-particle":"","parse-names":false,"suffix":""},{"dropping-particle":"","family":"Hammond Wagner","given":"Courtney","non-dropping-particle":"","parse-names":false,"suffix":""},{"dropping-particle":"","family":"Palchak","given":"Elizabeth","non-dropping-particle":"","parse-names":false,"suffix":""},{"dropping-particle":"","family":"Polasky","given":"Stephen","non-dropping-particle":"","parse-names":false,"suffix":""},{"dropping-particle":"","family":"Ricketts","given":"Taylor H.","non-dropping-particle":"","parse-names":false,"suffix":""},{"dropping-particle":"","family":"Schwartz","given":"Aaron J.","non-dropping-particle":"","parse-names":false,"suffix":""},{"dropping-particle":"","family":"Fisher","given":"Brendan","non-dropping-particle":"","parse-names":false,"suffix":""}],"container-title":"Frontiers in Ecology and the Environment","id":"ITEM-1","issue":"3","issued":{"date-parts":[["2018"]]},"page":"159-168","title":"Nudging pro-environmental behavior: evidence and opportunities","type":"article-journal","volume":"16"},"uris":["http://www.mendeley.com/documents/?uuid=7ea6a6fb-5a02-42aa-a01f-90c862beb48b"]},{"id":"ITEM-2","itemData":{"DOI":"10.1177/1524500419825545","ISSN":"15394093","author":[{"dropping-particle":"","family":"Veríssimo","given":"Diogo","non-dropping-particle":"","parse-names":false,"suffix":""}],"container-title":"Social Marketing Quarterly","id":"ITEM-2","issue":"1","issued":{"date-parts":[["2019"]]},"page":"3-8","title":"The past, present, and future of using social marketing to conserve biodiversity","type":"article-journal","volume":"25"},"uris":["http://www.mendeley.com/documents/?uuid=c82666cf-90c3-4356-ba2b-8013e91d3668"]},{"id":"ITEM-3","itemData":{"abstract":"Conservationists have long sought to reduce consumer demand for overexploited wildlife products. More recently, health practitioners and others have begun calling for reductions in the wildlife trade to reduce the risk of pandemics. Despite this broadening interest, most wildlife-focused demand reduction campaigns have lacked rigorous evaluations and thus their impacts remain unknown. There is thus an urgent need to review the evidence from beyond conservation science to inform future demand-reduction efforts. We searched for systematic reviews of interventions that aimed to reduce consumer demand for harmful products (e.g., cigarettes and illicit drugs). In total, 41 systematic reviews were assessed, and their data extracted. Mass-media campaigns and incentive programs were, on average, ineffective. While advertising bans, social marketing and location bans were promising, there was insufficient robust evidence to draw firm conclusions. In contrast, the evidence for the effectiveness of risk warnings and appeals to norms was stronger, with some caveats.","author":[{"dropping-particle":"","family":"MacFarlane","given":"Douglas","non-dropping-particle":"","parse-names":false,"suffix":""},{"dropping-particle":"","family":"Hurlstone","given":"Mark J.","non-dropping-particle":"","parse-names":false,"suffix":""},{"dropping-particle":"","family":"Ecker","given":"Ullrich K. H.","non-dropping-particle":"","parse-names":false,"suffix":""},{"dropping-particle":"","family":"Ferraro","given":"Paul J.","non-dropping-particle":"","parse-names":false,"suffix":""},{"dropping-particle":"van der","family":"Linden","given":"Sander","non-dropping-particle":"","parse-names":false,"suffix":""},{"dropping-particle":"","family":"Wan","given":"Anita K. Y.","non-dropping-particle":"","parse-names":false,"suffix":""},{"dropping-particle":"","family":"Veríssimo","given":"Diogo","non-dropping-particle":"","parse-names":false,"suffix":""},{"dropping-particle":"","family":"Burgess","given":"Gayle","non-dropping-particle":"","parse-names":false,"suffix":""},{"dropping-particle":"","family":"Chen","given":"Frederick","non-dropping-particle":"","parse-names":false,"suffix":""},{"dropping-particle":"","family":"Hall","given":"Wayne","non-dropping-particle":"","parse-names":false,"suffix":""},{"dropping-particle":"","family":"Hollands","given":"Gareth J.","non-dropping-particle":"","parse-names":false,"suffix":""},{"dropping-particle":"","family":"Sutherland","given":"William J.","non-dropping-particle":"","parse-names":false,"suffix":""}],"container-title":"OSF Preprints","id":"ITEM-3","issued":{"date-parts"</w:instrText>
      </w:r>
      <w:r w:rsidR="00071F56" w:rsidRPr="009A691C">
        <w:rPr>
          <w:lang w:val="da-DK"/>
        </w:rPr>
        <w:instrText>:[["2020"]]},"title":"Reducing demand for overexploited wildlife products: Lessons from systematic reviews from outside conservation science","type":"article-journal"},"uris":["http://www.mendeley.com/documents/?uuid=82a86d0b-cc3f-40ea-938f-d7b9cf665c65"]},{"id":"ITEM-4","itemData":{"ISSN":"1755-263X","author":[{"dropping-particle":"","family":"Olmedo","given":"Alegría","non-dropping-particle":"","parse-names":false,"suffix":""},{"dropping-particle":"","family":"Sharif","given":"Vian","non-dropping-particle":"","parse-names":false,"suffix":""},{"dropping-particle":"","family":"Milner‐Gulland","given":"E J","non-dropping-particle":"","parse-names":false,"suffix":""}],"container-title":"Conservation Letters","id":"ITEM-4","issue":"1","issued":{"date-parts":[["2018"]]},"page":"e12365","title":"Evaluating the design of behavior change interventions: A case study of rhino horn in Vietnam","type":"article-journal","volume":"11"},"uris":["http://www.mendeley.com/documents/?uuid=34b0fa58-00c4-4ff7-bf24-493758955c83"]}],"mendeley":{"formattedCitation":"(Byerly et al., 2018; MacFarlane et al., 2020; Olmedo et al., 2018; Veríssimo, 2019)","plainTextFormattedCitation":"(Byerly et al., 2018; MacFarlane et al., 2020; Olmedo et al., 2018; Veríssimo, 2019)","previouslyFormattedCitation":"(Byerly et al., 2018; MacFarlane et al., 2020; Olmedo et al., 2018; Veríssimo, 2019)"},"properties":{"noteIndex":0},"schema":"https://github.com/citation-style-language/schema/raw/master/csl-citation.json"}</w:instrText>
      </w:r>
      <w:r w:rsidR="00D47966" w:rsidRPr="00E7337F">
        <w:fldChar w:fldCharType="separate"/>
      </w:r>
      <w:r w:rsidR="0086250C" w:rsidRPr="009A691C">
        <w:rPr>
          <w:noProof/>
          <w:lang w:val="da-DK"/>
        </w:rPr>
        <w:t>(Byerly et al., 2018; MacFarlane et al., 2020; Olmedo et al., 2018; Veríssimo, 2019)</w:t>
      </w:r>
      <w:r w:rsidR="00D47966" w:rsidRPr="00E7337F">
        <w:fldChar w:fldCharType="end"/>
      </w:r>
      <w:r w:rsidR="00D47966" w:rsidRPr="009A691C">
        <w:rPr>
          <w:lang w:val="da-DK"/>
        </w:rPr>
        <w:t xml:space="preserve">. </w:t>
      </w:r>
      <w:r w:rsidR="00D47966" w:rsidRPr="00E7337F">
        <w:t>Moreover</w:t>
      </w:r>
      <w:r w:rsidR="00EE12F8" w:rsidRPr="00E7337F">
        <w:t xml:space="preserve">, effects on target behaviours are typically assessed only through self-reporting, if at all </w:t>
      </w:r>
      <w:r w:rsidR="00A560EE" w:rsidRPr="00E7337F">
        <w:fldChar w:fldCharType="begin" w:fldLock="1"/>
      </w:r>
      <w:r w:rsidR="00071F56" w:rsidRPr="00E7337F">
        <w:instrText>ADDIN CSL_CITATION {"citationItems":[{"id":"ITEM-1","itemData":{"DOI":"10.1016/j.tree.2019.01.018","ISSN":"01695347","abstract":"In biodiversity conservation, the prevailing consensus is that optimistic messages should be used to inspire people to change their behaviour, but there is scarce empirical evidence that optimistic messages lead to favourable conservation behaviour change.","author":[{"dropping-particle":"","family":"Kidd","given":"Lindall R.","non-dropping-particle":"","parse-names":false,"suffix":""},{"dropping-particle":"","family":"Bekessy","given":"Sarah A.","non-dropping-particle":"","parse-names":false,"suffix":""},{"dropping-particle":"","family":"Garrard","given":"Georgia E.","non-dropping-particle":"","parse-names":false,"suffix":""}],"container-title":"Trends in Ecology and Evolution","id":"ITEM-1","issue":"4","issued":{"date-parts":[["2019"]]},"page":"278-282","title":"Neither hope nor fear: Empirical evidence should drive biodiversity conservation strategies","type":"article-journal","volume":"34"},"uris":["http://www.mendeley.com/documents/?uuid=98e3f3d8-8cc0-41f0-a639-74ea42e45200"]},{"id":"ITEM-2","itemData":{"DOI":"10.1111/cobi.13363","author":[{"dropping-particle":"","family":"Nilsson","given":"Danielle","non-dropping-particle":"","parse-names":false,"suffix":""},{"dropping-particle":"","family":"Fielding","given":"Kelly","non-dropping-particle":"","parse-names":false,"suffix":""},{"dropping-particle":"","family":"Dean","given":"Angela J","non-dropping-particle":"","parse-names":false,"suffix":""}],"container-title":"Conservation Biology","id":"ITEM-2","issued":{"date-parts":[["2020"]]},"page":"93-102","title":"Achieving conservation impact by shifting focus from human attitudes to behaviors","type":"article-journal","volume":"34"},"uris":["http://www.mendeley.com/documents/?uuid=ce3dec8f-f77c-41c1-be80-96f2670e14c9"]}],"mendeley":{"formattedCitation":"(Kidd et al., 2019; Nilsson et al., 2020)","plainTextFormattedCitation":"(Kidd et al., 2019; Nilsson et al., 2020)","previouslyFormattedCitation":"(Kidd et al., 2019; Nilsson et al., 2020)"},"properties":{"noteIndex":0},"schema":"https://github.com/citation-style-language/schema/raw/master/csl-citation.json"}</w:instrText>
      </w:r>
      <w:r w:rsidR="00A560EE" w:rsidRPr="00E7337F">
        <w:fldChar w:fldCharType="separate"/>
      </w:r>
      <w:r w:rsidR="0086250C" w:rsidRPr="00E7337F">
        <w:rPr>
          <w:noProof/>
        </w:rPr>
        <w:t>(Kidd et al., 2019; Nilsson et al., 2020)</w:t>
      </w:r>
      <w:r w:rsidR="00A560EE" w:rsidRPr="00E7337F">
        <w:fldChar w:fldCharType="end"/>
      </w:r>
      <w:r w:rsidR="00EE12F8" w:rsidRPr="00E7337F">
        <w:t>.</w:t>
      </w:r>
      <w:r w:rsidR="004800DC" w:rsidRPr="00E7337F">
        <w:t xml:space="preserve"> </w:t>
      </w:r>
    </w:p>
    <w:p w14:paraId="51C8BF77" w14:textId="37574691" w:rsidR="00697165" w:rsidRPr="00E7337F" w:rsidRDefault="00EE12F8" w:rsidP="00950E9F">
      <w:pPr>
        <w:spacing w:after="0" w:line="480" w:lineRule="auto"/>
        <w:ind w:firstLine="720"/>
      </w:pPr>
      <w:r w:rsidRPr="00E7337F">
        <w:t>Th</w:t>
      </w:r>
      <w:r w:rsidR="00C910EB" w:rsidRPr="00E7337F">
        <w:t>e rest of th</w:t>
      </w:r>
      <w:r w:rsidRPr="00E7337F">
        <w:t>is review aims to encourage wider integration of behavioural science in biodiversity conservation, extending recent calls by developing a framework for identifying and prioritising potentially effective behaviour changes and interventions for achieving them</w:t>
      </w:r>
      <w:r w:rsidR="000452C9" w:rsidRPr="00E7337F">
        <w:t xml:space="preserve"> </w:t>
      </w:r>
      <w:r w:rsidR="00304073" w:rsidRPr="00E7337F">
        <w:t>(Fig. 1</w:t>
      </w:r>
      <w:r w:rsidR="00CD401B" w:rsidRPr="00E7337F">
        <w:t>; see also</w:t>
      </w:r>
      <w:r w:rsidR="00304073" w:rsidRPr="00E7337F">
        <w:t xml:space="preserve"> </w:t>
      </w:r>
      <w:r w:rsidR="000452C9" w:rsidRPr="00E7337F">
        <w:fldChar w:fldCharType="begin" w:fldLock="1"/>
      </w:r>
      <w:r w:rsidR="0084777E">
        <w:instrText>ADDIN CSL_CITATION {"citationItems":[{"id":"ITEM-1","itemData":{"DOI":"10.1111/csp2.249","ISSN":"2578-4854","author":[{"dropping-particle":"","family":"Selinske","given":"Matthew J.","non-dropping-particle":"","parse-names":false,"suffix":""},{"dropping-particle":"","family":"Garrard","given":"Georgia E.","non-dropping-particle":"","parse-names":false,"suffix":""},{"dropping-particle":"","family":"Gregg","given":"Emily A.","non-dropping-particle":"","parse-names":false,"suffix":""},{"dropping-particle":"","family":"Kusmanoff","given":"Alexander M.","non-dropping-particle":"","parse-names":false,"suffix":""},{"dropping-particle":"","family":"Kidd","given":"Lindall R.","non-dropping-particle":"","parse-names":false,"suffix":""},{"dropping-particle":"","family":"Cullen","given":"Meghan T.","non-dropping-particle":"","parse-names":false,"suffix":""},{"dropping-particle":"","family":"Cooper","given":"Michelle","non-dropping-particle":"","parse-names":false,"suffix":""},{"dropping-particle":"","family":"Geary","given":"William L.","non-dropping-particle":"","parse-names":false,"suffix":""},{"dropping-particle":"","family":"Hatty","given":"Melissa A.","non-dropping-particle":"","parse-names":false,"suffix":""},{"dropping-particle":"","family":"Hames","given":"Fern","non-dropping-particle":"","parse-names":false,"suffix":""},{"dropping-particle":"","family":"Kneebone","given":"Sarah","non-dropping-particle":"","parse-names":false,"suffix":""},{"dropping-particle":"","family":"McLeod","given":"Emily M.","non-dropping-particle":"","parse-names":false,"suffix":""},{"dropping-particle":"","family":"Ritchie","given":"Euan G.","non-dropping-particle":"","parse-names":false,"suffix":""},{"dropping-particle":"","family":"Squires","given":"Zoe E.","non-dropping-particle":"","parse-names":false,"suffix":""},{"dropping-particle":"","family":"Thomas","given":"Janelle","non-dropping-particle":"","parse-names":false,"suffix":""},{"dropping-particle":"","family":"Willcock","given":"Madelaine A. W.","non-dropping-particle":"","parse-names":false,"suffix":""},{"dropping-particle":"","family":"Blair","given":"Sera","non-dropping-particle":"","parse-names":false,"suffix":""},{"dropping-particle":"","family":"Bekessy","given":"Sarah A.","non-dropping-particle":"","parse-names":false,"suffix":""}],"container-title":"Conservation Science and Practice","id":"ITEM-1","issue":"9","issued":{"date-parts":[["2020"]]},"page":"e249","title":"Identifying and prioritizing human behaviors that benefit biodiversity","type":"article-journal","volume":"2"},"uris":["http://www.mendeley.com/documents/?uuid=288f94f6-a9c6-460d-ab06-14448689d24d"]}],"mendeley":{"formattedCitation":"(Selinske et al., 2020)","manualFormatting":"Selinske et al., 2020)","plainTextFormattedCitation":"(Selinske et al., 2020)","previouslyFormattedCitation":"(Selinske et al., 2020)"},"properties":{"noteIndex":0},"schema":"https://github.com/citation-style-language/schema/raw/master/csl-citation.json"}</w:instrText>
      </w:r>
      <w:r w:rsidR="000452C9" w:rsidRPr="00E7337F">
        <w:fldChar w:fldCharType="separate"/>
      </w:r>
      <w:r w:rsidR="000452C9" w:rsidRPr="00E7337F">
        <w:rPr>
          <w:noProof/>
        </w:rPr>
        <w:t>Selinske et al., 2020)</w:t>
      </w:r>
      <w:r w:rsidR="000452C9" w:rsidRPr="00E7337F">
        <w:fldChar w:fldCharType="end"/>
      </w:r>
      <w:r w:rsidRPr="00E7337F">
        <w:t xml:space="preserve">. Starting with the familiar territory (for conservation biologists) of threatening processes and the wide range of actors and behaviours shaping them, we then unpack the interventions that might achieve behaviour change. We explore attributes to consider in identifying which behaviour changes and interventions to prioritise. Throughout, we use examples from conservation and other fields to illustrate the promise of </w:t>
      </w:r>
      <w:r w:rsidR="001E0F42" w:rsidRPr="00E7337F">
        <w:t xml:space="preserve">behaviour change </w:t>
      </w:r>
      <w:r w:rsidRPr="00E7337F">
        <w:t xml:space="preserve">interventions, their likely limitations, and the complexities involved in </w:t>
      </w:r>
      <w:r w:rsidR="00C910EB" w:rsidRPr="00E7337F">
        <w:t>realising their potential</w:t>
      </w:r>
      <w:r w:rsidRPr="00E7337F">
        <w:t>. We close with a call for experimental testing, evaluation</w:t>
      </w:r>
      <w:r w:rsidR="0080016E">
        <w:t>,</w:t>
      </w:r>
      <w:r w:rsidRPr="00E7337F">
        <w:t xml:space="preserve"> and reporting of </w:t>
      </w:r>
      <w:r w:rsidR="00C910EB" w:rsidRPr="00E7337F">
        <w:t xml:space="preserve">both </w:t>
      </w:r>
      <w:r w:rsidRPr="00E7337F">
        <w:t>novel interventions and modifications of more traditional behaviour</w:t>
      </w:r>
      <w:r w:rsidR="00E46F89" w:rsidRPr="00E7337F">
        <w:t xml:space="preserve"> </w:t>
      </w:r>
      <w:r w:rsidRPr="00E7337F">
        <w:t xml:space="preserve">change approaches. </w:t>
      </w:r>
    </w:p>
    <w:p w14:paraId="73902303" w14:textId="77777777" w:rsidR="00697165" w:rsidRPr="00E7337F" w:rsidRDefault="00697165" w:rsidP="00950E9F">
      <w:pPr>
        <w:spacing w:after="0" w:line="480" w:lineRule="auto"/>
        <w:rPr>
          <w:b/>
          <w:bCs/>
        </w:rPr>
      </w:pPr>
    </w:p>
    <w:p w14:paraId="0774E329" w14:textId="2B7910BC" w:rsidR="00450CA8" w:rsidRPr="00E7337F" w:rsidRDefault="00950E9F" w:rsidP="00950E9F">
      <w:pPr>
        <w:spacing w:after="0" w:line="480" w:lineRule="auto"/>
        <w:rPr>
          <w:b/>
          <w:bCs/>
        </w:rPr>
      </w:pPr>
      <w:r w:rsidRPr="00E7337F">
        <w:rPr>
          <w:b/>
          <w:bCs/>
        </w:rPr>
        <w:t>4</w:t>
      </w:r>
      <w:r w:rsidR="00DA2905" w:rsidRPr="00E7337F">
        <w:rPr>
          <w:b/>
          <w:bCs/>
        </w:rPr>
        <w:t xml:space="preserve">. </w:t>
      </w:r>
      <w:r w:rsidR="00EE12F8" w:rsidRPr="00E7337F">
        <w:rPr>
          <w:b/>
          <w:bCs/>
        </w:rPr>
        <w:t>Identifying key actors and behaviours</w:t>
      </w:r>
    </w:p>
    <w:p w14:paraId="2A3B5B83" w14:textId="075F2281" w:rsidR="00450CA8" w:rsidRPr="00E7337F" w:rsidRDefault="00EE12F8" w:rsidP="00950E9F">
      <w:pPr>
        <w:spacing w:after="0" w:line="480" w:lineRule="auto"/>
      </w:pPr>
      <w:r w:rsidRPr="00E7337F">
        <w:t xml:space="preserve">To investigate the effective use of behavioural science in conservation, we convened a three-day workshop bringing together </w:t>
      </w:r>
      <w:r w:rsidR="00A237C9" w:rsidRPr="00E7337F">
        <w:t xml:space="preserve">an international group of </w:t>
      </w:r>
      <w:r w:rsidR="00072477" w:rsidRPr="00E7337F">
        <w:t xml:space="preserve">behavioural scientists from </w:t>
      </w:r>
      <w:r w:rsidR="00E46F89" w:rsidRPr="00E7337F">
        <w:t xml:space="preserve">health </w:t>
      </w:r>
      <w:r w:rsidR="00072477" w:rsidRPr="00E7337F">
        <w:t xml:space="preserve">research, </w:t>
      </w:r>
      <w:r w:rsidR="00E46F89" w:rsidRPr="00E7337F">
        <w:t xml:space="preserve">psychology, </w:t>
      </w:r>
      <w:r w:rsidR="00072477" w:rsidRPr="00E7337F">
        <w:t xml:space="preserve">economics, </w:t>
      </w:r>
      <w:r w:rsidR="00584447" w:rsidRPr="00E7337F">
        <w:t xml:space="preserve">and </w:t>
      </w:r>
      <w:r w:rsidR="00072477" w:rsidRPr="00E7337F">
        <w:t>marketing</w:t>
      </w:r>
      <w:r w:rsidR="007F78F3" w:rsidRPr="00E7337F">
        <w:t>,</w:t>
      </w:r>
      <w:r w:rsidR="00072477" w:rsidRPr="00E7337F">
        <w:t xml:space="preserve"> </w:t>
      </w:r>
      <w:r w:rsidRPr="00E7337F">
        <w:t>and conserva</w:t>
      </w:r>
      <w:r w:rsidR="00072477" w:rsidRPr="00E7337F">
        <w:t xml:space="preserve">tion scientists </w:t>
      </w:r>
      <w:r w:rsidRPr="00E7337F">
        <w:t>from academia and NGOs</w:t>
      </w:r>
      <w:r w:rsidR="00D10E14" w:rsidRPr="00E7337F">
        <w:t xml:space="preserve"> (see</w:t>
      </w:r>
      <w:r w:rsidR="002028EF" w:rsidRPr="00E7337F">
        <w:t xml:space="preserve"> online</w:t>
      </w:r>
      <w:r w:rsidR="00D10E14" w:rsidRPr="00E7337F">
        <w:t xml:space="preserve"> </w:t>
      </w:r>
      <w:r w:rsidR="002028EF" w:rsidRPr="00E7337F">
        <w:t>Appendix</w:t>
      </w:r>
      <w:r w:rsidR="00D10E14" w:rsidRPr="00E7337F">
        <w:t xml:space="preserve"> for </w:t>
      </w:r>
      <w:r w:rsidR="002028EF" w:rsidRPr="00E7337F">
        <w:t>further</w:t>
      </w:r>
      <w:r w:rsidR="00D10E14" w:rsidRPr="00E7337F">
        <w:t xml:space="preserve"> workshop</w:t>
      </w:r>
      <w:r w:rsidR="002028EF" w:rsidRPr="00E7337F">
        <w:t xml:space="preserve"> details</w:t>
      </w:r>
      <w:r w:rsidR="00D10E14" w:rsidRPr="00E7337F">
        <w:t>)</w:t>
      </w:r>
      <w:r w:rsidRPr="00E7337F">
        <w:t>. To catalyse consideration of a wide range of behaviours, we began by compiling a series of threat chains: simplified models describing our understanding of the reasons for the undesirable state of a conservation target</w:t>
      </w:r>
      <w:r w:rsidR="007F78F3" w:rsidRPr="00E7337F">
        <w:t>,</w:t>
      </w:r>
      <w:r w:rsidRPr="00E7337F">
        <w:t xml:space="preserve"> from changes in ecological dynamics to the socioeconomic mechanisms and underlying drivers likely to be responsible. We derived threat chains using the grey and peer-reviewed literature and participants’ working knowledge. For tractability, the workshop typically considered only one of potentially several threats to each population or habitat. Participants then identified key actors along the threat chain and suggested changes in behaviour which could potentially reduce the focal threat.</w:t>
      </w:r>
    </w:p>
    <w:p w14:paraId="42326C3C" w14:textId="16D5D3EF" w:rsidR="00450CA8" w:rsidRPr="00E7337F" w:rsidRDefault="00EE12F8" w:rsidP="00950E9F">
      <w:pPr>
        <w:spacing w:after="0" w:line="480" w:lineRule="auto"/>
        <w:ind w:firstLine="720"/>
      </w:pPr>
      <w:r w:rsidRPr="00E7337F">
        <w:t xml:space="preserve">For example, a major threat to the Hudsonian godwit population overwintering on </w:t>
      </w:r>
      <w:proofErr w:type="spellStart"/>
      <w:r w:rsidRPr="00E7337F">
        <w:t>Chiloé</w:t>
      </w:r>
      <w:proofErr w:type="spellEnd"/>
      <w:r w:rsidRPr="00E7337F">
        <w:t xml:space="preserve"> Island in Chile</w:t>
      </w:r>
      <w:r w:rsidR="00386E8A" w:rsidRPr="00E7337F">
        <w:t xml:space="preserve"> is</w:t>
      </w:r>
      <w:r w:rsidRPr="00E7337F">
        <w:t xml:space="preserve"> their ingestion of litter on beaches (Fig</w:t>
      </w:r>
      <w:r w:rsidR="00304073" w:rsidRPr="00E7337F">
        <w:t>.</w:t>
      </w:r>
      <w:r w:rsidRPr="00E7337F">
        <w:t xml:space="preserve"> </w:t>
      </w:r>
      <w:r w:rsidR="00B3771D" w:rsidRPr="00E7337F">
        <w:t>2</w:t>
      </w:r>
      <w:r w:rsidRPr="00E7337F">
        <w:t xml:space="preserve">; DE, pers. obs.). Tracing the causes of this backwards (reading the red boxes in the figure from left to right), the litter is left by </w:t>
      </w:r>
      <w:r w:rsidR="009C4C21" w:rsidRPr="00E7337F">
        <w:t xml:space="preserve">residents and </w:t>
      </w:r>
      <w:r w:rsidRPr="00E7337F">
        <w:t xml:space="preserve">visitors who lack access to waste bins, have limited concerns for the ecological consequences of poor waste management, and use many products sold in non-recyclable or non-degradable packaging. Additionally, there is no collection of plastic waste </w:t>
      </w:r>
      <w:r w:rsidR="00386E8A" w:rsidRPr="00E7337F">
        <w:t>washing ashore</w:t>
      </w:r>
      <w:r w:rsidRPr="00E7337F">
        <w:t xml:space="preserve"> from aquaculture operations, which dispose of plastic directly into the sea. Behaviour changes by specific actors that might reduce the threat to godwits (blue boxes) include increased litter collection by citizens or local agencies, reduced littering by residents and visitors, and the cessation of at-sea disposal of plastics by those working in the aquaculture industry.</w:t>
      </w:r>
    </w:p>
    <w:p w14:paraId="236F03C1" w14:textId="00C01C09" w:rsidR="00450CA8" w:rsidRPr="00E7337F" w:rsidRDefault="00EE12F8" w:rsidP="00950E9F">
      <w:pPr>
        <w:spacing w:after="0" w:line="480" w:lineRule="auto"/>
        <w:ind w:firstLine="720"/>
      </w:pPr>
      <w:r w:rsidRPr="00E7337F">
        <w:lastRenderedPageBreak/>
        <w:t xml:space="preserve">We repeated this threat-chain exercise </w:t>
      </w:r>
      <w:r w:rsidR="00386E8A" w:rsidRPr="00E7337F">
        <w:t xml:space="preserve">for </w:t>
      </w:r>
      <w:r w:rsidRPr="00E7337F">
        <w:t xml:space="preserve">examples that collectively spanned habitat loss and degradation, overexploitation, invasion and disease, </w:t>
      </w:r>
      <w:proofErr w:type="gramStart"/>
      <w:r w:rsidRPr="00E7337F">
        <w:t>pollution</w:t>
      </w:r>
      <w:proofErr w:type="gramEnd"/>
      <w:r w:rsidRPr="00E7337F">
        <w:t xml:space="preserve"> and climate change, as well as terrestrial, freshwater and marine ecosystems and higher- and lower-income countries</w:t>
      </w:r>
      <w:r w:rsidRPr="00E7337F">
        <w:rPr>
          <w:rFonts w:eastAsia="Arial"/>
        </w:rPr>
        <w:t xml:space="preserve"> </w:t>
      </w:r>
      <w:r w:rsidRPr="00E7337F">
        <w:t>(</w:t>
      </w:r>
      <w:r w:rsidR="00072CF5" w:rsidRPr="00E7337F">
        <w:t xml:space="preserve">Table </w:t>
      </w:r>
      <w:r w:rsidR="002028EF" w:rsidRPr="00E7337F">
        <w:t>A</w:t>
      </w:r>
      <w:r w:rsidRPr="00E7337F">
        <w:t>1</w:t>
      </w:r>
      <w:r w:rsidR="00072CF5" w:rsidRPr="00E7337F">
        <w:t xml:space="preserve"> in </w:t>
      </w:r>
      <w:r w:rsidR="002028EF" w:rsidRPr="00E7337F">
        <w:t>online Appendix</w:t>
      </w:r>
      <w:r w:rsidRPr="00E7337F">
        <w:t>). For each threat chain</w:t>
      </w:r>
      <w:r w:rsidR="00882511" w:rsidRPr="00E7337F">
        <w:t>,</w:t>
      </w:r>
      <w:r w:rsidRPr="00E7337F">
        <w:t xml:space="preserve"> we identified relevant actors and suggested multiple behaviour changes </w:t>
      </w:r>
      <w:r w:rsidR="00882511" w:rsidRPr="00E7337F">
        <w:t xml:space="preserve">that </w:t>
      </w:r>
      <w:r w:rsidRPr="00E7337F">
        <w:t xml:space="preserve">could </w:t>
      </w:r>
      <w:r w:rsidR="00386E8A" w:rsidRPr="00E7337F">
        <w:t xml:space="preserve">potentially </w:t>
      </w:r>
      <w:r w:rsidRPr="00E7337F">
        <w:t xml:space="preserve">reduce the focal threat. Looking across all threat chains, we classified actors into groups defined by the ways they impact conservation targets and identified a broad array of important behaviour changes conservationists might </w:t>
      </w:r>
      <w:r w:rsidR="00386E8A" w:rsidRPr="00E7337F">
        <w:t xml:space="preserve">seek </w:t>
      </w:r>
      <w:r w:rsidRPr="00E7337F">
        <w:t>to mitigate those impacts (</w:t>
      </w:r>
      <w:r w:rsidRPr="00E7337F">
        <w:rPr>
          <w:color w:val="000000"/>
        </w:rPr>
        <w:t>Table 2)</w:t>
      </w:r>
      <w:r w:rsidRPr="00E7337F">
        <w:t xml:space="preserve">. </w:t>
      </w:r>
    </w:p>
    <w:p w14:paraId="598783AE" w14:textId="313C2BF8" w:rsidR="001C47BA" w:rsidRPr="00E7337F" w:rsidRDefault="001C47BA" w:rsidP="00950E9F">
      <w:pPr>
        <w:spacing w:after="0" w:line="480" w:lineRule="auto"/>
        <w:ind w:firstLine="720"/>
      </w:pPr>
      <w:r w:rsidRPr="00E7337F">
        <w:t>These b</w:t>
      </w:r>
      <w:r w:rsidR="00EE12F8" w:rsidRPr="00E7337F">
        <w:t>ehaviourally</w:t>
      </w:r>
      <w:r w:rsidR="001D5C1A" w:rsidRPr="00E7337F">
        <w:t xml:space="preserve"> </w:t>
      </w:r>
      <w:r w:rsidR="00EE12F8" w:rsidRPr="00E7337F">
        <w:t xml:space="preserve">defined groups of actors </w:t>
      </w:r>
      <w:r w:rsidRPr="00E7337F">
        <w:t xml:space="preserve">range from </w:t>
      </w:r>
      <w:r w:rsidR="00EE12F8" w:rsidRPr="00E7337F">
        <w:t>primary producers and extractors (</w:t>
      </w:r>
      <w:proofErr w:type="gramStart"/>
      <w:r w:rsidR="00882511" w:rsidRPr="00E7337F">
        <w:t>e.g.</w:t>
      </w:r>
      <w:proofErr w:type="gramEnd"/>
      <w:r w:rsidR="00EE12F8" w:rsidRPr="00E7337F">
        <w:t xml:space="preserve"> farmers, fishers and mining operators</w:t>
      </w:r>
      <w:r w:rsidR="00386E8A" w:rsidRPr="00E7337F">
        <w:t>)</w:t>
      </w:r>
      <w:r w:rsidRPr="00E7337F">
        <w:t xml:space="preserve"> and</w:t>
      </w:r>
      <w:r w:rsidR="00386E8A" w:rsidRPr="00E7337F">
        <w:t xml:space="preserve"> </w:t>
      </w:r>
      <w:r w:rsidR="00EE12F8" w:rsidRPr="00E7337F">
        <w:t>conservation and environmental managers</w:t>
      </w:r>
      <w:r w:rsidRPr="00E7337F">
        <w:t xml:space="preserve"> </w:t>
      </w:r>
      <w:r w:rsidR="00711E08" w:rsidRPr="00E7337F">
        <w:t>–</w:t>
      </w:r>
      <w:r w:rsidR="000A1355" w:rsidRPr="00E7337F">
        <w:t xml:space="preserve"> </w:t>
      </w:r>
      <w:r w:rsidR="00EE12F8" w:rsidRPr="00E7337F">
        <w:t>whose activities directly impact conservation targets</w:t>
      </w:r>
      <w:r w:rsidRPr="00E7337F">
        <w:t xml:space="preserve"> – through to</w:t>
      </w:r>
      <w:r w:rsidR="000A1355" w:rsidRPr="00E7337F">
        <w:t xml:space="preserve"> </w:t>
      </w:r>
      <w:r w:rsidR="00EE12F8" w:rsidRPr="00E7337F">
        <w:t>consumers of goods derived from or linked to the conservation targets</w:t>
      </w:r>
      <w:r w:rsidRPr="00E7337F">
        <w:t>,</w:t>
      </w:r>
      <w:r w:rsidR="00EE12F8" w:rsidRPr="00E7337F">
        <w:t xml:space="preserve"> and those involved in manufacturing, shipping or selling those goods. Other actor groups impact conservation targets in less direct but nonetheless potentially significant ways</w:t>
      </w:r>
      <w:r w:rsidR="005B0C54" w:rsidRPr="00E7337F">
        <w:t xml:space="preserve"> </w:t>
      </w:r>
      <w:r w:rsidR="003F21C1" w:rsidRPr="00E7337F">
        <w:t xml:space="preserve">– through providing financial support, </w:t>
      </w:r>
      <w:proofErr w:type="gramStart"/>
      <w:r w:rsidR="003F21C1" w:rsidRPr="00E7337F">
        <w:t>making</w:t>
      </w:r>
      <w:proofErr w:type="gramEnd"/>
      <w:r w:rsidR="003F21C1" w:rsidRPr="00E7337F">
        <w:t xml:space="preserve"> or delivering policy, or influencing other actors through voting, communicating</w:t>
      </w:r>
      <w:r w:rsidR="00E74672">
        <w:t>,</w:t>
      </w:r>
      <w:r w:rsidR="003F21C1" w:rsidRPr="00E7337F">
        <w:t xml:space="preserve"> or campaigning for particular outcomes. These groupings are approximate, and inevitably incomplete. </w:t>
      </w:r>
    </w:p>
    <w:p w14:paraId="74EFC14D" w14:textId="35048696" w:rsidR="00450CA8" w:rsidRPr="00E7337F" w:rsidRDefault="00EE12F8" w:rsidP="00950E9F">
      <w:pPr>
        <w:spacing w:after="0" w:line="480" w:lineRule="auto"/>
        <w:ind w:firstLine="720"/>
      </w:pPr>
      <w:r w:rsidRPr="00E7337F">
        <w:t xml:space="preserve">The different ways in which actors influence threats in turn suggest diverse opportunities for behaviour change interventions. Changes in the behaviour of more proximal, downstream actors </w:t>
      </w:r>
      <w:r w:rsidR="000A59F4" w:rsidRPr="00E7337F">
        <w:fldChar w:fldCharType="begin" w:fldLock="1"/>
      </w:r>
      <w:r w:rsidR="00B40551" w:rsidRPr="00E7337F">
        <w:instrText>ADDIN CSL_CITATION {"citationItems":[{"id":"ITEM-1","itemData":{"DOI":"10.1111/csp2.248","author":[{"dropping-particle":"","family":"Thomas-Walters","given":"Laura","non-dropping-particle":"","parse-names":false,"suffix":""},{"dropping-particle":"","family":"Roberts","given":"David","non-dropping-particle":"","parse-names":false,"suffix":""},{"dropping-particle":"","family":"Smith","given":"Robert J","non-dropping-particle":"","parse-names":false,"suffix":""}],"container-title":"Conservation Science and Practice","id":"ITEM-1","issue":"9","issued":{"date-parts":[["2020"]]},"page":"e248","title":"Taking a more nuanced look at behavior change for demand reduction in the illegal wildlife trade","type":"article-journal","volume":"2"},"uris":["http://www.mendeley.com/documents/?uuid=d21454a6-8033-476f-bb5f-aff6284118ca"]}],"mendeley":{"formattedCitation":"(Thomas-Walters et al., 2020b)","manualFormatting":"(sensu Thomas-Walters et al. 2020a)","plainTextFormattedCitation":"(Thomas-Walters et al., 2020b)","previouslyFormattedCitation":"(Thomas-Walters et al., 2020b)"},"properties":{"noteIndex":0},"schema":"https://github.com/citation-style-language/schema/raw/master/csl-citation.json"}</w:instrText>
      </w:r>
      <w:r w:rsidR="000A59F4" w:rsidRPr="00E7337F">
        <w:fldChar w:fldCharType="separate"/>
      </w:r>
      <w:r w:rsidR="000A59F4" w:rsidRPr="00E7337F">
        <w:rPr>
          <w:noProof/>
        </w:rPr>
        <w:t>(</w:t>
      </w:r>
      <w:r w:rsidR="000A59F4" w:rsidRPr="00E7337F">
        <w:rPr>
          <w:i/>
          <w:iCs/>
          <w:noProof/>
        </w:rPr>
        <w:t>sensu</w:t>
      </w:r>
      <w:r w:rsidR="000A59F4" w:rsidRPr="00E7337F">
        <w:rPr>
          <w:noProof/>
        </w:rPr>
        <w:t xml:space="preserve"> Thomas-Walters et al. 2020</w:t>
      </w:r>
      <w:r w:rsidR="001C47BA" w:rsidRPr="00E7337F">
        <w:rPr>
          <w:noProof/>
        </w:rPr>
        <w:t>a</w:t>
      </w:r>
      <w:r w:rsidR="000A59F4" w:rsidRPr="00E7337F">
        <w:rPr>
          <w:noProof/>
        </w:rPr>
        <w:t>)</w:t>
      </w:r>
      <w:r w:rsidR="000A59F4" w:rsidRPr="00E7337F">
        <w:fldChar w:fldCharType="end"/>
      </w:r>
      <w:r w:rsidRPr="00E7337F">
        <w:t xml:space="preserve"> are likely to impact a conservation target </w:t>
      </w:r>
      <w:r w:rsidR="003F21C1" w:rsidRPr="00E7337F">
        <w:t xml:space="preserve">directly – for example fishers changing how or where they harvest their catch. Changes in the behaviour of actors further upstream in contrast tend to impact a conservation target indirectly, by influencing the behaviour of downstream actors – for instance voters increasing pressure on policymakers to remove subsidies for unsustainable fishing practices, which then shifts fisher behaviour. </w:t>
      </w:r>
      <w:r w:rsidRPr="00E7337F">
        <w:t xml:space="preserve">Upstream interventions aimed at </w:t>
      </w:r>
      <w:r w:rsidRPr="00E7337F">
        <w:lastRenderedPageBreak/>
        <w:t>delivering such chains of behaviour change could influence large numbers of downstream actors but can be correspondingly complex and politically challenging</w:t>
      </w:r>
      <w:r w:rsidRPr="00E7337F">
        <w:rPr>
          <w:rFonts w:eastAsia="Arial"/>
        </w:rPr>
        <w:t xml:space="preserve"> </w:t>
      </w:r>
      <w:r w:rsidR="000A59F4" w:rsidRPr="00E7337F">
        <w:fldChar w:fldCharType="begin" w:fldLock="1"/>
      </w:r>
      <w:r w:rsidR="00B40551" w:rsidRPr="00E7337F">
        <w:instrText>ADDIN CSL_CITATION {"citationItems":[{"id":"ITEM-1","itemData":{"DOI":"10.1111/csp2.248","author":[{"dropping-particle":"","family":"Thomas-Walters","given":"Laura","non-dropping-particle":"","parse-names":false,"suffix":""},{"dropping-particle":"","family":"Roberts","given":"David","non-dropping-particle":"","parse-names":false,"suffix":""},{"dropping-particle":"","family":"Smith","given":"Robert J","non-dropping-particle":"","parse-names":false,"suffix":""}],"container-title":"Conservation Science and Practice","id":"ITEM-1","issue":"9","issued":{"date-parts":[["2020"]]},"page":"e248","title":"Taking a more nuanced look at behavior change for demand reduction in the illegal wildlife trade","type":"article-journal","volume":"2"},"uris":["http://www.mendeley.com/documents/?uuid=d21454a6-8033-476f-bb5f-aff6284118ca"]}],"mendeley":{"formattedCitation":"(Thomas-Walters et al., 2020b)","plainTextFormattedCitation":"(Thomas-Walters et al., 2020b)","previouslyFormattedCitation":"(Thomas-Walters et al., 2020b)"},"properties":{"noteIndex":0},"schema":"https://github.com/citation-style-language/schema/raw/master/csl-citation.json"}</w:instrText>
      </w:r>
      <w:r w:rsidR="000A59F4" w:rsidRPr="00E7337F">
        <w:fldChar w:fldCharType="separate"/>
      </w:r>
      <w:r w:rsidR="0086250C" w:rsidRPr="00E7337F">
        <w:rPr>
          <w:noProof/>
        </w:rPr>
        <w:t>(Thomas-Walters et al., 2020b)</w:t>
      </w:r>
      <w:r w:rsidR="000A59F4" w:rsidRPr="00E7337F">
        <w:fldChar w:fldCharType="end"/>
      </w:r>
      <w:r w:rsidRPr="00E7337F">
        <w:t xml:space="preserve">. </w:t>
      </w:r>
    </w:p>
    <w:p w14:paraId="2CD79E09" w14:textId="77777777" w:rsidR="00450CA8" w:rsidRPr="00E7337F" w:rsidRDefault="00450CA8" w:rsidP="00950E9F">
      <w:pPr>
        <w:spacing w:after="0" w:line="480" w:lineRule="auto"/>
      </w:pPr>
    </w:p>
    <w:p w14:paraId="66D68ADF" w14:textId="3B046659" w:rsidR="00450CA8" w:rsidRPr="00E7337F" w:rsidRDefault="00950E9F" w:rsidP="00950E9F">
      <w:pPr>
        <w:spacing w:after="0" w:line="480" w:lineRule="auto"/>
        <w:rPr>
          <w:b/>
          <w:bCs/>
        </w:rPr>
      </w:pPr>
      <w:r w:rsidRPr="00E7337F">
        <w:rPr>
          <w:b/>
          <w:bCs/>
        </w:rPr>
        <w:t>5</w:t>
      </w:r>
      <w:r w:rsidR="00071F56" w:rsidRPr="00E7337F">
        <w:rPr>
          <w:b/>
          <w:bCs/>
        </w:rPr>
        <w:t xml:space="preserve">. </w:t>
      </w:r>
      <w:r w:rsidR="00EE12F8" w:rsidRPr="00E7337F">
        <w:rPr>
          <w:b/>
          <w:bCs/>
        </w:rPr>
        <w:t>A catalogue of behaviour change interventions</w:t>
      </w:r>
    </w:p>
    <w:p w14:paraId="15E2B048" w14:textId="338116B4" w:rsidR="00CD2CBA" w:rsidRPr="00E7337F" w:rsidRDefault="00D75329" w:rsidP="00950E9F">
      <w:pPr>
        <w:spacing w:after="0" w:line="480" w:lineRule="auto"/>
      </w:pPr>
      <w:proofErr w:type="gramStart"/>
      <w:r w:rsidRPr="00E7337F">
        <w:t>So</w:t>
      </w:r>
      <w:proofErr w:type="gramEnd"/>
      <w:r w:rsidRPr="00E7337F">
        <w:t xml:space="preserve"> w</w:t>
      </w:r>
      <w:r w:rsidR="00EE12F8" w:rsidRPr="00E7337F">
        <w:t xml:space="preserve">hat types of interventions </w:t>
      </w:r>
      <w:r w:rsidR="00206981" w:rsidRPr="00E7337F">
        <w:t xml:space="preserve">are capable of influencing </w:t>
      </w:r>
      <w:r w:rsidR="00EE12F8" w:rsidRPr="00E7337F">
        <w:t xml:space="preserve">such a wide-ranging mix of actors and behaviours? Building on similar efforts in the health sector </w:t>
      </w:r>
      <w:r w:rsidR="00FC51B3" w:rsidRPr="00E7337F">
        <w:fldChar w:fldCharType="begin" w:fldLock="1"/>
      </w:r>
      <w:r w:rsidR="00071F56" w:rsidRPr="00E7337F">
        <w:instrText>ADDIN CSL_CITATION {"citationItems":[{"id":"ITEM-1","itemData":{"author":[{"dropping-particle":"","family":"Swinburn","given":"Boyd","non-dropping-particle":"","parse-names":false,"suffix":""},{"dropping-particle":"","family":"Egger","given":"Garry","non-dropping-particle":"","parse-names":false,"suffix":""},{"dropping-particle":"","family":"Raza","given":"Fazeela","non-dropping-particle":"","parse-names":false,"suffix":""}],"container-title":"Dissecting Obesogenic Environments","id":"ITEM-1","issued":{"date-parts":[["1999"]]},"page":"563-570","title":"The development and application of a framework for identifying and prioritizing environmental interventions for obesity","type":"article-journal","volume":"29"},"uris":["http://www.mendeley.com/documents/?uuid=13825a3d-0f55-4156-a5cf-0497deaeca41"]},{"id":"ITEM-2","itemData":{"DOI":"10.1001/archderm.1985.01660070119033","ISSN":"15383652","abstract":"Improving the design and implementation of evidence-based practice depends on successful behaviour change interventions. This requires an appropriate method for characterising interventions and linking them to an analysis of the targeted behaviour. There exists a plethora of frameworks of behaviour change interventions, but it is not clear how well they serve this purpose. This paper evaluates these frameworks, and develops and evaluates a new framework aimed at overcoming their limitations. A systematic search of electronic databases and consultation with behaviour change experts were used to identify frameworks of behaviour change interventions. These were evaluated according to three criteria: comprehensiveness, coherence, and a clear link to an overarching model of behaviour. A new framework was developed to meet these criteria. The reliability with which it could be applied was examined in two domains of behaviour change: tobacco control and obesity. Nineteen frameworks were identified covering nine intervention functions and seven policy categories that could enable those interventions. None of the frameworks reviewed covered the full range of intervention functions or policies, and only a minority met the criteria of coherence or linkage to a model of behaviour. At the centre of a proposed new framework is a 'behaviour system' involving three essential conditions: capability, opportunity, and motivation (what we term the 'COM-B system'). This forms the hub of a 'behaviour change wheel' (BCW) around which are positioned the nine intervention functions aimed at addressing deficits in one or more of these conditions; around this are placed seven categories of policy that could enable those interventions to occur. The BCW was used reliably to characterise interventions within the English Department of Health's 2010 tobacco control strategy and the National Institute of Health and Clinical Excellence's guidance on reducing obesity. Interventions and policies to change behaviour can be usefully characterised by means of a BCW comprising: a 'behaviour system' at the hub, encircled by intervention functions and then by policy categories. Research is needed to establish how far the BCW can lead to more efficient design of effective interventions.","author":[{"dropping-particle":"","family":"Michie","given":"Susan","non-dropping-particle":"","parse-names":false,"suffix":""},{"dropping-particle":"","family":"Maartje M van Stralen","given":"","non-dropping-particle":"","parse-names":false,"suffix":""},{"dropping-particle":"","family":"Robert West","given":"","non-dropping-particle":"","parse-names":false,"suffix":""}],"container-title":"Implementation Science","id":"ITEM-2","issued":{"date-parts":[["2011"]]},"page":"42","title":"The behaviour change wheel: A new method for characterising and designing behaviour change interventions","type":"article-journal","volume":"6"},"uris":["http://www.mendeley.com/documents/?uuid=67666cc3-978e-45d4-8f7f-e68cde304984"]},{"id":"ITEM-3","itemData":{"DOI":"10.1038/s41562-017-0140","ISSN":"23973374","abstract":"© 2017 Macmillan Publishers Limited, part of Springer Nature. All rights reserved. Reflecting widespread interest in concepts of â €nudging' and â € choice architecture', there is increasing research and policy attention on altering aspects of the small-scale physical environment, such as portion sizes or the placement of products, to change health-related behaviour at the population level. There is, however, a lack of clarity in characterizing these interventions and no reliable framework incorporating standardized definitions. This hampers both the synthesis of cumulative evidence about intervention effects, and the identification of intervention opportunities. To address this, a new tool, TIPPME (typology of interventions in proximal physical micro-environments), has been developed and here applied to the selection, purchase and consumption of food, alcohol and tobacco. This provides a framework to reliably classify and describe, and enable more systematic design, reporting and analysis of, an important class of interventions. In doing so, it makes a distinct contribution to collective efforts to build the cumulative evidence base for effective ways of changing behaviour across populations.","author":[{"dropping-particle":"","family":"Hollands","given":"Gareth J.","non-dropping-particle":"","parse-names":false,"suffix":""},{"dropping-particle":"","family":"Bignardi","given":"Giacomo","non-dropping-particle":"","parse-names":false,"suffix":""},{"dropping-particle":"","family":"Johnston","given":"Marie","non-dropping-particle":"","parse-names":false,"suffix":""},{"dropping-particle":"","family":"Kelly","given":"Michael P.","non-dropping-particle":"","parse-names":false,"suffix":""},{"dropping-particle":"","family":"Ogilvie","given":"David","non-dropping-particle":"","parse-names":false,"suffix":""},{"dropping-particle":"","family":"Petticrew","given":"Mark","non-dropping-particle":"","parse-names":false,"suffix":""},{"dropping-particle":"","family":"Prestwich","given":"Andrew","non-dropping-particle":"","parse-names":false,"suffix":""},{"dropping-particle":"","family":"Shemilt","given":"Ian","non-dropping-particle":"","parse-names":false,"suffix":""},{"dropping-particle":"","family":"Sutton","given":"Stephen","non-dropping-particle":"","parse-names":false,"suffix":""},{"dropping-particle":"","family":"Marteau","given":"Theresa M.","non-dropping-particle":"","parse-names":false,"suffix":""}],"container-title":"Nature Human Behaviour","id":"ITEM-3","issue":"8","issued":{"date-parts":[["2017"]]},"page":"1-9","title":"The TIPPME intervention typology for changing environments to change behaviour","type":"article-journal","volume":"1"},"uris":["http://www.mendeley.com/documents/?uuid=e28ae90e-878d-41e4-8cdc-4c30601a8a99"]}],"mendeley":{"formattedCitation":"(Hollands et al., 2017; Michie et al., 2011; Swinburn et al., 1999)","plainTextFormattedCitation":"(Hollands et al., 2017; Michie et al., 2011; Swinburn et al., 1999)","previouslyFormattedCitation":"(Hollands et al., 2017; Michie et al., 2011; Swinburn et al., 1999)"},"properties":{"noteIndex":0},"schema":"https://github.com/citation-style-language/schema/raw/master/csl-citation.json"}</w:instrText>
      </w:r>
      <w:r w:rsidR="00FC51B3" w:rsidRPr="00E7337F">
        <w:fldChar w:fldCharType="separate"/>
      </w:r>
      <w:r w:rsidR="0086250C" w:rsidRPr="00E7337F">
        <w:rPr>
          <w:noProof/>
        </w:rPr>
        <w:t>(Hollands et al., 2017; Michie et al., 2011; Swinburn et al., 1999)</w:t>
      </w:r>
      <w:r w:rsidR="00FC51B3" w:rsidRPr="00E7337F">
        <w:fldChar w:fldCharType="end"/>
      </w:r>
      <w:r w:rsidR="00EE12F8" w:rsidRPr="00E7337F">
        <w:t xml:space="preserve">, we produced a simple catalogue </w:t>
      </w:r>
      <w:r w:rsidR="007F0AFB" w:rsidRPr="00E7337F">
        <w:t xml:space="preserve">of behaviour change interventions </w:t>
      </w:r>
      <w:r w:rsidR="00EE12F8" w:rsidRPr="00E7337F">
        <w:t>that</w:t>
      </w:r>
      <w:r w:rsidR="000C3B6C" w:rsidRPr="00E7337F">
        <w:t xml:space="preserve"> </w:t>
      </w:r>
      <w:r w:rsidR="007F0AFB" w:rsidRPr="00E7337F">
        <w:t>distinguishes between</w:t>
      </w:r>
      <w:r w:rsidR="00EE12F8" w:rsidRPr="00E7337F">
        <w:t xml:space="preserve"> level of delivery (</w:t>
      </w:r>
      <w:r w:rsidR="007F0AFB" w:rsidRPr="00E7337F">
        <w:t>individual versus population</w:t>
      </w:r>
      <w:r w:rsidR="00EE12F8" w:rsidRPr="00E7337F">
        <w:t xml:space="preserve">) and the broad mechanisms through which </w:t>
      </w:r>
      <w:r w:rsidR="007F0AFB" w:rsidRPr="00E7337F">
        <w:t xml:space="preserve">the </w:t>
      </w:r>
      <w:r w:rsidRPr="00E7337F">
        <w:t>behaviour is</w:t>
      </w:r>
      <w:r w:rsidR="007F0AFB" w:rsidRPr="00E7337F">
        <w:t xml:space="preserve"> </w:t>
      </w:r>
      <w:r w:rsidR="00EE12F8" w:rsidRPr="00E7337F">
        <w:t>influence</w:t>
      </w:r>
      <w:r w:rsidRPr="00E7337F">
        <w:t>d</w:t>
      </w:r>
      <w:r w:rsidR="00EE12F8" w:rsidRPr="00E7337F">
        <w:t xml:space="preserve"> (see Table 3, with generic and conservation-specific examples for each intervention class).</w:t>
      </w:r>
      <w:r w:rsidR="007F0AFB" w:rsidRPr="00E7337F">
        <w:t xml:space="preserve"> </w:t>
      </w:r>
      <w:r w:rsidRPr="00E7337F">
        <w:t>The</w:t>
      </w:r>
      <w:r w:rsidR="006642F0" w:rsidRPr="00E7337F">
        <w:t xml:space="preserve"> relevance and potential effectiveness of the different intervention types </w:t>
      </w:r>
      <w:r w:rsidR="00E97756" w:rsidRPr="00E7337F">
        <w:t>is likely to</w:t>
      </w:r>
      <w:r w:rsidRPr="00E7337F">
        <w:t xml:space="preserve"> </w:t>
      </w:r>
      <w:r w:rsidR="006642F0" w:rsidRPr="00E7337F">
        <w:t xml:space="preserve">vary depending on context and characteristics of the behaviour change and actor. For example, </w:t>
      </w:r>
      <w:r w:rsidR="00704A84" w:rsidRPr="00E7337F">
        <w:t xml:space="preserve">sometimes </w:t>
      </w:r>
      <w:r w:rsidR="00E97756" w:rsidRPr="00E7337F">
        <w:t>a small number of individuals or organisations –</w:t>
      </w:r>
      <w:r w:rsidR="00543E46" w:rsidRPr="00E7337F">
        <w:t xml:space="preserve"> </w:t>
      </w:r>
      <w:r w:rsidR="00E97756" w:rsidRPr="00E7337F">
        <w:t>very active hunters, highly-regarded farmers, or large transnational corporations</w:t>
      </w:r>
      <w:r w:rsidR="00206981" w:rsidRPr="00E7337F">
        <w:t>, perhaps</w:t>
      </w:r>
      <w:r w:rsidR="00E97756" w:rsidRPr="00E7337F">
        <w:t xml:space="preserve"> – may play disproportionate, keystone roles </w:t>
      </w:r>
      <w:r w:rsidR="00E97756" w:rsidRPr="00E7337F">
        <w:fldChar w:fldCharType="begin" w:fldLock="1"/>
      </w:r>
      <w:r w:rsidR="00071F56" w:rsidRPr="00E7337F">
        <w:instrText>ADDIN CSL_CITATION {"citationItems":[{"id":"ITEM-1","itemData":{"DOI":"10.1371/journal.pone.0127533","ISBN":"1932-6203","ISSN":"19326203","PMID":"26017777","abstract":"Keystone species have a disproportionate influence on the structure and function of ecosystems. Here we analyze whether a keystone-like pattern can be observed in the relationship between transnational corporations and marine ecosystems globally. We show how thirteen corporations control 11-16% of the global marine catch (9-13 million tons) and 19-40% of the largest and most valuable stocks, including species that play important roles in their respective ecosystem. They dominate all segments of seafood production, operate through an extensive global network of subsidiaries and are profoundly involved in fisheries and aquaculture decision-making. Based on our findings, we define these companies as keystone actors of the Anthropocene. The phenomenon of keystone actors represents an increasingly important feature of the human-dominated world. Sustainable leadership by keystone actors could result in cascading effects throughout the entire seafood industry and enable a critical transition towards improved management of marine living resources and ecosystems.","author":[{"dropping-particle":"","family":"Osterblom","given":"Henrik","non-dropping-particle":"","parse-names":false,"suffix":""},{"dropping-particle":"","family":"Jouffray","given":"Jean Baptiste","non-dropping-particle":"","parse-names":false,"suffix":""},{"dropping-particle":"","family":"Folke","given":"Carl","non-dropping-particle":"","parse-names":false,"suffix":""},{"dropping-particle":"","family":"Crona","given":"Beatrice","non-dropping-particle":"","parse-names":false,"suffix":""},{"dropping-particle":"","family":"Troell","given":"Max","non-dropping-particle":"","parse-names":false,"suffix":""},{"dropping-particle":"","family":"Merrie","given":"Andrew","non-dropping-particle":"","parse-names":false,"suffix":""},{"dropping-particle":"","family":"Rockström","given":"Johan","non-dropping-particle":"","parse-names":false,"suffix":""}],"container-title":"PLoS ONE","id":"ITEM-1","issue":"5","issued":{"date-parts":[["2015"]]},"page":"1-15","title":"Transnational corporations as 'keystone actors' in marine ecosystems","type":"article-journal","volume":"10"},"uris":["http://www.mendeley.com/documents/?uuid=01a3efcf-c4d1-4c1e-abef-3ca235e18c37"]},{"id":"ITEM-2","itemData":{"DOI":"10.1038/s41559-019-0978-z","ISSN":"2397-334X","abstract":"Sustainability within planetary boundaries requires concerted action by individuals, governments, civil society and private actors. For the private sector, there is concern that the power exercised by transnational corporations generates, and is even central to, global environmental change. Here, we ask under which conditions transnational corporations could either hinder or promote a global shift towards sustainability. We show that a handful of transnational corporations have become a major force shaping the global intertwined system of people and planet. Transnational corporations in agriculture, forestry, seafood, cement, minerals and fossil energy cause environmental impacts and possess the ability to influence critical functions of the biosphere. We review evidence of current practices and identify six observed features of change towards ‘corporate biosphere stewardship’, with significant potential for upscaling. Actions by transnational corporations, if combined with effective public policies and improved governmental regulations, could substantially accelerate sustainability efforts.","author":[{"dropping-particle":"","family":"Folke","given":"Carl","non-dropping-particle":"","parse-names":false,"suffix":""},{"dropping-particle":"","family":"Österblom","given":"Henrik","non-dropping-particle":"","parse-names":false,"suffix":""},{"dropping-particle":"","family":"Jouffray","given":"Jean-baptiste","non-dropping-particle":"","parse-names":false,"suffix":""},{"dropping-particle":"","family":"Lambin","given":"Eric F","non-dropping-particle":"","parse-names":false,"suffix":""},{"dropping-particle":"","family":"Adger","given":"W Neil","non-dropping-particle":"","parse-names":false,"suffix":""},{"dropping-particle":"","family":"Scheffer","given":"Marten","non-dropping-particle":"","parse-names":false,"suffix":""},{"dropping-particle":"","family":"Crona","given":"Beatrice I","non-dropping-particle":"","parse-names":false,"suffix":""},{"dropping-particle":"","family":"Nyström","given":"Magnus","non-dropping-particle":"","parse-names":false,"suffix":""},{"dropping-particle":"","family":"Levin","given":"Simon A","non-dropping-particle":"","parse-names":false,"suffix":""},{"dropping-particle":"","family":"Carpenter","given":"Stephen R","non-dropping-particle":"","parse-names":false,"suffix":""},{"dropping-particle":"","family":"Anderies","given":"John M","non-dropping-particle":"","parse-names":false,"suffix":""},{"dropping-particle":"","family":"Iii","given":"Stuart Chapin","non-dropping-particle":"","parse-names":false,"suffix":""},{"dropping-particle":"","family":"Crépin","given":"Anne-sophie","non-dropping-particle":"","parse-names":false,"suffix":""},{"dropping-particle":"","family":"Dauriach","given":"Alice","non-dropping-particle":"","parse-names":false,"suffix":""},{"dropping-particle":"","family":"Galaz","given":"Victor","non-dropping-particle":"","parse-names":false,"suffix":""},{"dropping-particle":"","family":"Gordon","given":"Line J","non-dropping-particle":"","parse-names":false,"suffix":""},{"dropping-particle":"","family":"Kautsky","given":"Nils","non-dropping-particle":"","parse-names":false,"suffix":""},{"dropping-particle":"","family":"Walker","given":"Brian H","non-dropping-particle":"","parse-names":false,"suffix":""},{"dropping-particle":"","family":"Watson","given":"James R","non-dropping-particle":"","parse-names":false,"suffix":""},{"dropping-particle":"","family":"Wilen","given":"James","non-dropping-particle":"","parse-names":false,"suffix":""}],"container-title":"Nature Ecology &amp; Evolution","id":"ITEM-2","issue":"10","issued":{"date-parts":[["2019"]]},"page":"1396-1403","publisher":"Springer US","title":"Transnational corporations and the challenge of biosphere stewardship","type":"article-journal","volume":"3"},"uris":["http://www.mendeley.com/documents/?uuid=cbb1be00-6881-4f28-b3a8-dab8d8414b9d"]}],"mendeley":{"formattedCitation":"(Folke et al., 2019; Osterblom et al., 2015)","plainTextFormattedCitation":"(Folke et al., 2019; Osterblom et al., 2015)","previouslyFormattedCitation":"(Folke et al., 2019; Osterblom et al., 2015)"},"properties":{"noteIndex":0},"schema":"https://github.com/citation-style-language/schema/raw/master/csl-citation.json"}</w:instrText>
      </w:r>
      <w:r w:rsidR="00E97756" w:rsidRPr="00E7337F">
        <w:fldChar w:fldCharType="separate"/>
      </w:r>
      <w:r w:rsidR="0086250C" w:rsidRPr="00E7337F">
        <w:rPr>
          <w:noProof/>
        </w:rPr>
        <w:t>(Folke et al., 2019; Osterblom et al., 2015)</w:t>
      </w:r>
      <w:r w:rsidR="00E97756" w:rsidRPr="00E7337F">
        <w:fldChar w:fldCharType="end"/>
      </w:r>
      <w:r w:rsidR="00704A84" w:rsidRPr="00E7337F">
        <w:t>.</w:t>
      </w:r>
      <w:r w:rsidR="00E97756" w:rsidRPr="00E7337F">
        <w:t xml:space="preserve"> In such situations narrowly targeted interventions may be </w:t>
      </w:r>
      <w:r w:rsidR="00704A84" w:rsidRPr="00E7337F">
        <w:t xml:space="preserve">most </w:t>
      </w:r>
      <w:r w:rsidR="001E4B6D" w:rsidRPr="00E7337F">
        <w:t>effective</w:t>
      </w:r>
      <w:r w:rsidR="00704A84" w:rsidRPr="00E7337F">
        <w:t xml:space="preserve">. In other </w:t>
      </w:r>
      <w:r w:rsidR="0039579D" w:rsidRPr="00E7337F">
        <w:t>instances,</w:t>
      </w:r>
      <w:r w:rsidR="00704A84" w:rsidRPr="00E7337F">
        <w:t xml:space="preserve"> interventions might be more effectively directed at large numbers of people</w:t>
      </w:r>
      <w:r w:rsidR="00EE7733" w:rsidRPr="00E7337F">
        <w:t xml:space="preserve">. </w:t>
      </w:r>
      <w:r w:rsidR="00704A84" w:rsidRPr="00E7337F">
        <w:t>A</w:t>
      </w:r>
      <w:r w:rsidR="001E4B6D" w:rsidRPr="00E7337F">
        <w:t>ddressing</w:t>
      </w:r>
      <w:r w:rsidR="00EE7733" w:rsidRPr="00E7337F">
        <w:t xml:space="preserve"> complex behaviours</w:t>
      </w:r>
      <w:r w:rsidR="001E4B6D" w:rsidRPr="00E7337F">
        <w:t xml:space="preserve"> </w:t>
      </w:r>
      <w:r w:rsidR="00704A84" w:rsidRPr="00E7337F">
        <w:t>may often</w:t>
      </w:r>
      <w:r w:rsidR="001E4B6D" w:rsidRPr="00E7337F">
        <w:t xml:space="preserve"> </w:t>
      </w:r>
      <w:r w:rsidR="007F1E3B" w:rsidRPr="00E7337F">
        <w:t>necessitate</w:t>
      </w:r>
      <w:r w:rsidR="001E4B6D" w:rsidRPr="00E7337F">
        <w:t xml:space="preserve"> interventions at both individual and population level. </w:t>
      </w:r>
    </w:p>
    <w:p w14:paraId="6CE1261F" w14:textId="77777777" w:rsidR="00500CCF" w:rsidRPr="00E7337F" w:rsidRDefault="00500CCF" w:rsidP="00950E9F">
      <w:pPr>
        <w:spacing w:after="0" w:line="480" w:lineRule="auto"/>
      </w:pPr>
    </w:p>
    <w:p w14:paraId="58B6D337" w14:textId="5118B2DC" w:rsidR="007F0AFB" w:rsidRPr="00E7337F" w:rsidRDefault="00CB6397" w:rsidP="00950E9F">
      <w:pPr>
        <w:spacing w:after="0" w:line="480" w:lineRule="auto"/>
        <w:rPr>
          <w:i/>
          <w:iCs/>
        </w:rPr>
      </w:pPr>
      <w:r w:rsidRPr="00E7337F">
        <w:rPr>
          <w:i/>
          <w:iCs/>
        </w:rPr>
        <w:t xml:space="preserve">5.1. </w:t>
      </w:r>
      <w:r w:rsidR="00BE29FE" w:rsidRPr="00E7337F">
        <w:rPr>
          <w:i/>
          <w:iCs/>
        </w:rPr>
        <w:t>Individual-level interventions</w:t>
      </w:r>
    </w:p>
    <w:p w14:paraId="72FDD8A1" w14:textId="08C09FEC" w:rsidR="00450CA8" w:rsidRPr="00E7337F" w:rsidRDefault="009B17C9" w:rsidP="00950E9F">
      <w:pPr>
        <w:spacing w:after="0" w:line="480" w:lineRule="auto"/>
        <w:rPr>
          <w:color w:val="000000"/>
        </w:rPr>
      </w:pPr>
      <w:r w:rsidRPr="00E7337F">
        <w:t>B</w:t>
      </w:r>
      <w:r w:rsidR="00EE12F8" w:rsidRPr="00E7337F">
        <w:t xml:space="preserve">ehaviour change interventions targeting </w:t>
      </w:r>
      <w:r w:rsidRPr="00E7337F">
        <w:t xml:space="preserve">specific </w:t>
      </w:r>
      <w:r w:rsidR="00EE12F8" w:rsidRPr="00E7337F">
        <w:t xml:space="preserve">individuals or groups of individuals </w:t>
      </w:r>
      <w:r w:rsidR="00517646" w:rsidRPr="00E7337F">
        <w:t>fall into</w:t>
      </w:r>
      <w:r w:rsidR="00EE12F8" w:rsidRPr="00E7337F">
        <w:t xml:space="preserve"> two classes: interventions that target an individual’s capability, and those targeting their motivation </w:t>
      </w:r>
      <w:r w:rsidR="00FC51B3" w:rsidRPr="00E7337F">
        <w:rPr>
          <w:color w:val="000000" w:themeColor="text1"/>
        </w:rPr>
        <w:fldChar w:fldCharType="begin" w:fldLock="1"/>
      </w:r>
      <w:r w:rsidR="00071F56" w:rsidRPr="00E7337F">
        <w:rPr>
          <w:color w:val="000000" w:themeColor="text1"/>
        </w:rPr>
        <w:instrText>ADDIN CSL_CITATION {"citationItems":[{"id":"ITEM-1","itemData":{"DOI":"10.1007/s12160-013-9486-6","ISSN":"08836612","abstract":"Background: CONSORT guidelines call for precise reporting of behavior change interventions: we need rigorous methods of characterizing active content of interventions with precision and specificity. Objectives: The objective of this study is to develop an extensive, consensually agreed hierarchically structured taxonomy of techniques [behavior change techniques (BCTs)] used in behavior change interventions. Methods: In a Delphi-type exercise, 14 experts rated labels and definitions of 124 BCTs from six published classification systems. Another 18 experts grouped BCTs according to similarity of active ingredients in an open-sort task. Inter-rater agreement amongst six researchers coding 85 intervention descriptions by BCTs was assessed. Results: This resulted in 93 BCTs clustered into 16 groups. Of the 26 BCTs occurring at least five times, 23 had adjusted kappas of 0.60 or above. Conclusions: \"BCT taxonomy v1,\" an extensive taxonomy of 93 consensually agreed, distinct BCTs, offers a step change as a method for specifying interventions, but we anticipate further development and evaluation based on international, interdisciplinary consensus. © 2013 The Society of Behavioral Medicine.","author":[{"dropping-particle":"","family":"Michie","given":"Susan","non-dropping-particle":"","parse-names":false,"suffix":""},{"dropping-particle":"","family":"Richardson","given":"Michelle","non-dropping-particle":"","parse-names":false,"suffix":""},{"dropping-particle":"","family":"Johnston","given":"Marie","non-dropping-particle":"","parse-names":false,"suffix":""},{"dropping-particle":"","family":"Abraham","given":"Charles","non-dropping-particle":"","parse-names":false,"suffix":""},{"dropping-particle":"","family":"Francis","given":"Jill","non-dropping-particle":"","parse-names":false,"suffix":""},{"dropping-particle":"","family":"Hardeman","given":"Wendy","non-dropping-particle":"","parse-names":false,"suffix":""},{"dropping-particle":"","family":"Eccles","given":"Martin P.","non-dropping-particle":"","parse-names":false,"suffix":""},{"dropping-particle":"","family":"Cane","given":"James","non-dropping-particle":"","parse-names":false,"suffix":""},{"dropping-particle":"","family":"Wood","given":"Caroline E.","non-dropping-particle":"","parse-names":false,"suffix":""}],"container-title":"Annals of Behavioral Medicine","id":"ITEM-1","issue":"1","issued":{"date-parts":[["2013"]]},"page":"81-95","title":"The behavior change technique taxonomy (v1) of 93 hierarchically clustered techniques: Building an international consensus for the reporting of behavior change interventions","type":"article-journal","volume":"46"},"uris":["http://www.mendeley.com/documents/?uuid=168e7356-bc8e-4c30-92da-e46393cab8f6"]},{"id":"ITEM-2","itemData":{"DOI":"10.1001/archderm.1985.01660070119033","ISSN":"15383652","abstract":"Improving the design and implementation of evidence-based practice depends on successful behaviour change interventions. This requires an appropriate method for characterising interventions and linking them to an analysis of the targeted behaviour. There exists a plethora of frameworks of behaviour change interventions, but it is not clear how well they serve this purpose. This paper evaluates these frameworks, and develops and evaluates a new framework aimed at overcoming their limitations. A systematic search of electronic databases and consultation with behaviour change experts were used to identify frameworks of behaviour change interventions. These were evaluated according to three criteria: comprehensiveness, coherence, and a clear link to an overarching model of behaviour. A new framework was developed to meet these criteria. The reliability with which it could be applied was examined in two domains of behaviour change: tobacco control and obesity. Nineteen frameworks were identified covering nine intervention functions and seven policy categories that could enable those interventions. None of the frameworks reviewed covered the full range of intervention functions or policies, and only a minority met the criteria of coherence or linkage to a model of behaviour. At the centre of a proposed new framework is a 'behaviour system' involving three essential conditions: capability, opportunity, and motivation (what we term the 'COM-B system'). This forms the hub of a 'behaviour change wheel' (BCW) around which are positioned the nine intervention functions aimed at addressing deficits in one or more of these conditions; around this are placed seven categories of policy that could enable those interventions to occur. The BCW was used reliably to characterise interventions within the English Department of Health's 2010 tobacco control strategy and the National Institute of Health and Clinical Excellence's guidance on reducing obesity. Interventions and policies to change behaviour can be usefully characterised by means of a BCW comprising: a 'behaviour system' at the hub, encircled by intervention functions and then by policy categories. Research is needed to establish how far the BCW can lead to more efficient design of effective interventions.","author":[{"dropping-particle":"","family":"Michie","given":"Susan","non-dropping-particle":"","parse-names":false,"suffix":""},{"dropping-particle":"","family":"Maartje M van Stralen","given":"","non-dropping-particle":"","parse-names":false,"suffix":""},{"dropping-particle":"","family":"Robert West","given":"","non-dropping-particle":"","parse-names":false,"suffix":""}],"container-title":"Implementation Science","id":"ITEM-2","issued":{"date-parts":[["2011"]]},"page":"42","title":"The behaviour change wheel: A new method for characterising and designing behaviour change interventions","type":"article-journal","volume":"6"},"uris":["http://www.mendeley.com/documents/?uuid=67666cc3-978e-45d4-8f7f-e68cde304984"]}],"mendeley":{"formattedCitation":"(Michie et al., 2013, 2011)","plainTextFormattedCitation":"(Michie et al., 2013, 2011)","previouslyFormattedCitation":"(Michie et al., 2013, 2011)"},"properties":{"noteIndex":0},"schema":"https://github.com/citation-style-language/schema/raw/master/csl-citation.json"}</w:instrText>
      </w:r>
      <w:r w:rsidR="00FC51B3" w:rsidRPr="00E7337F">
        <w:rPr>
          <w:color w:val="000000" w:themeColor="text1"/>
        </w:rPr>
        <w:fldChar w:fldCharType="separate"/>
      </w:r>
      <w:r w:rsidR="0086250C" w:rsidRPr="00E7337F">
        <w:rPr>
          <w:noProof/>
          <w:color w:val="000000" w:themeColor="text1"/>
        </w:rPr>
        <w:t>(Michie et al., 2013, 2011)</w:t>
      </w:r>
      <w:r w:rsidR="00FC51B3" w:rsidRPr="00E7337F">
        <w:rPr>
          <w:color w:val="000000" w:themeColor="text1"/>
        </w:rPr>
        <w:fldChar w:fldCharType="end"/>
      </w:r>
      <w:r w:rsidR="00EE12F8" w:rsidRPr="00E7337F">
        <w:t xml:space="preserve">. Capability-focused interventions aim to improve a person’s physical, psychological, or management resources to perform, modulate, or resist an </w:t>
      </w:r>
      <w:r w:rsidR="00EE12F8" w:rsidRPr="00E7337F">
        <w:lastRenderedPageBreak/>
        <w:t>activity. A new behaviour may not be successfully adopted because the individual does not possess the requisite skills or knowledge.</w:t>
      </w:r>
      <w:r w:rsidR="00EE12F8" w:rsidRPr="00E7337F">
        <w:rPr>
          <w:rFonts w:eastAsia="Arial"/>
        </w:rPr>
        <w:t xml:space="preserve"> </w:t>
      </w:r>
      <w:r w:rsidR="00EE12F8" w:rsidRPr="00E7337F">
        <w:rPr>
          <w:color w:val="000000"/>
        </w:rPr>
        <w:t xml:space="preserve">Capability-building interventions are a traditional part of the conservationists’ </w:t>
      </w:r>
      <w:r w:rsidR="000C3B6C" w:rsidRPr="00E7337F">
        <w:rPr>
          <w:color w:val="000000"/>
        </w:rPr>
        <w:t>toolbox but</w:t>
      </w:r>
      <w:r w:rsidR="00EE12F8" w:rsidRPr="00E7337F">
        <w:rPr>
          <w:color w:val="000000"/>
        </w:rPr>
        <w:t xml:space="preserve"> are sometimes overlooked. </w:t>
      </w:r>
      <w:r w:rsidR="00813CF5" w:rsidRPr="00E7337F">
        <w:rPr>
          <w:color w:val="000000"/>
        </w:rPr>
        <w:t>F</w:t>
      </w:r>
      <w:r w:rsidR="00EE12F8" w:rsidRPr="00E7337F">
        <w:rPr>
          <w:color w:val="000000"/>
        </w:rPr>
        <w:t xml:space="preserve">or example, offering Amazonian </w:t>
      </w:r>
      <w:r w:rsidR="000C3B6C" w:rsidRPr="00E7337F">
        <w:rPr>
          <w:color w:val="000000"/>
        </w:rPr>
        <w:t>households</w:t>
      </w:r>
      <w:r w:rsidR="00EE12F8" w:rsidRPr="00E7337F">
        <w:rPr>
          <w:color w:val="000000"/>
        </w:rPr>
        <w:t xml:space="preserve"> coupons for chicken to reduce consumption of wild meat was only successful when advice about how to cook chicken was provided </w:t>
      </w:r>
      <w:r w:rsidR="00FC51B3" w:rsidRPr="00E7337F">
        <w:rPr>
          <w:color w:val="000000" w:themeColor="text1"/>
        </w:rPr>
        <w:fldChar w:fldCharType="begin" w:fldLock="1"/>
      </w:r>
      <w:r w:rsidR="00071F56" w:rsidRPr="00E7337F">
        <w:rPr>
          <w:color w:val="000000" w:themeColor="text1"/>
        </w:rPr>
        <w:instrText xml:space="preserve">ADDIN CSL_CITATION {"citationItems":[{"id":"ITEM-1","itemData":{"DOI":"10.1111/conl.12391","ISSN":"1755263X","abstract":"Millions of people across the tropics rely on wildlife for food and income. However, overhunting to satisfy this demand is causing the decline of many species; an issue known as the wild meat crisis. We applied a before-after control-intervention design to assess the effects of social marketing (an information campaign and community engagement) with and without an economic incentive (discount coupons for chicken) on wild meat consumption. Coupons increased chicken consumption, as expected, but did not reduce wild meat consumption. In contrast, social marketing without the price incentive reduced wild meat consumption by </w:instrText>
      </w:r>
      <w:r w:rsidR="00071F56" w:rsidRPr="00E7337F">
        <w:rPr>
          <w:rFonts w:ascii="Cambria Math" w:hAnsi="Cambria Math" w:cs="Cambria Math"/>
          <w:color w:val="000000" w:themeColor="text1"/>
        </w:rPr>
        <w:instrText>∼</w:instrText>
      </w:r>
      <w:r w:rsidR="00071F56" w:rsidRPr="00E7337F">
        <w:rPr>
          <w:color w:val="000000" w:themeColor="text1"/>
        </w:rPr>
        <w:instrText>62%. This study demonstrates how social marketing and price incentives may be effective at reducing demand for meat and other wildlife products.","author":[{"dropping-particle":"","family":"Chaves","given":"Willandia A.","non-dropping-particle":"","parse-names":false,"suffix":""},{"dropping-particle":"","family":"Valle","given":"Denis R.","non-dropping-particle":"","parse-names":false,"suffix":""},{"dropping-particle":"","family":"Monroe","given":"Martha C.","non-dropping-particle":"","parse-names":false,"suffix":""},{"dropping-particle":"","family":"Wilkie","given":"David S.","non-dropping-particle":"","parse-names":false,"suffix":""},{"dropping-particle":"","family":"Sieving","given":"Kathryn E.","non-dropping-particle":"","parse-names":false,"suffix":""},{"dropping-particle":"","family":"Sadowsky","given":"Brooke","non-dropping-particle":"","parse-names":false,"suffix":""}],"container-title":"Conservation Letters","id":"ITEM-1","issue":"2","issued":{"date-parts":[["2018"]]},"page":"1-10","title":"Changing wild meat consumption: An experiment in the Central Amazon, Brazil","type":"article-journal","volume":"11"},"uris":["http://www.mendeley.com/documents/?uuid=3147d092-8309-463d-b9a5-9b7863a3fceb"]}],"mendeley":{"formattedCitation":"(Chaves et al., 2018)","plainTextFormattedCitation":"(Chaves et al., 2018)","previouslyFormattedCitation":"(Chaves et al., 2018)"},"properties":{"noteIndex":0},"schema":"https://github.com/citation-style-language/schema/raw/master/csl-citation.json"}</w:instrText>
      </w:r>
      <w:r w:rsidR="00FC51B3" w:rsidRPr="00E7337F">
        <w:rPr>
          <w:color w:val="000000" w:themeColor="text1"/>
        </w:rPr>
        <w:fldChar w:fldCharType="separate"/>
      </w:r>
      <w:r w:rsidR="0086250C" w:rsidRPr="00E7337F">
        <w:rPr>
          <w:noProof/>
          <w:color w:val="000000" w:themeColor="text1"/>
        </w:rPr>
        <w:t>(Chaves et al., 2018)</w:t>
      </w:r>
      <w:r w:rsidR="00FC51B3" w:rsidRPr="00E7337F">
        <w:rPr>
          <w:color w:val="000000" w:themeColor="text1"/>
        </w:rPr>
        <w:fldChar w:fldCharType="end"/>
      </w:r>
      <w:r w:rsidR="00EE12F8" w:rsidRPr="00E7337F">
        <w:rPr>
          <w:color w:val="000000"/>
        </w:rPr>
        <w:t>. Behavioural science can also shed light on how to improve existing efforts to enhance capability</w:t>
      </w:r>
      <w:r w:rsidR="00D56285" w:rsidRPr="00E7337F">
        <w:rPr>
          <w:color w:val="000000"/>
        </w:rPr>
        <w:t xml:space="preserve">. For example, </w:t>
      </w:r>
      <w:r w:rsidR="00EE12F8" w:rsidRPr="00E7337F">
        <w:rPr>
          <w:color w:val="000000"/>
        </w:rPr>
        <w:t xml:space="preserve">increasing numbers of female instructors in a farmer outreach scheme in Mozambique significantly increased uptake of sustainable land management techniques </w:t>
      </w:r>
      <w:r w:rsidR="00FC51B3" w:rsidRPr="00E7337F">
        <w:rPr>
          <w:color w:val="000000" w:themeColor="text1"/>
        </w:rPr>
        <w:fldChar w:fldCharType="begin" w:fldLock="1"/>
      </w:r>
      <w:r w:rsidR="00071F56" w:rsidRPr="00E7337F">
        <w:rPr>
          <w:color w:val="000000" w:themeColor="text1"/>
        </w:rPr>
        <w:instrText>ADDIN CSL_CITATION {"citationItems":[{"id":"ITEM-1","itemData":{"DOI":"10.1016/j.worlddev.2015.10.036","ISSN":"18735991","abstract":"Agricultural innovation is essential to meet the food requirements of Africa's growing population. One pathway to increasing yields may be to enhance female farmer productivity. In many settings, married women cultivate plots separated from those of other family members. They face different challenges to productivity, such as deficiencies in inputs, weak property rights, and time constraints. It has long been argued that traditionally male-dominated extension services may also contribute to a gender bias in adoption of new agricultural techniques. If this is true, placing women in extension positions may help other women overcome barriers to adoption posed by inequitable access to agricultural extension services or exposure to inapt information. To better understand the role of gender in the dissemination of sustainable land management (SLM) techniques, this study uses a randomized policy experiment conducted in 200 communities in Mozambique. We examine the impact of training female messengers of SLM techniques on the awareness, knowledge, and adoption of SLM practices by other female farmers. Communities were randomly selected in 2010 to have a female messenger trained in SLM who was encouraged to teach other women the techniques. Using data from panel surveys collected in the experimental areas, we find women's awareness of pit planting farming techniques increased by 9 percentage points in 2012 and adoption of the technology by 5 percentage points in 2013 in communities with female messengers.","author":[{"dropping-particle":"","family":"Kondylis","given":"Florence","non-dropping-particle":"","parse-names":false,"suffix":""},{"dropping-particle":"","family":"Mueller","given":"Valerie","non-dropping-particle":"","parse-names":false,"suffix":""},{"dropping-particle":"","family":"Sheriff","given":"Glenn","non-dropping-particle":"","parse-names":false,"suffix":""},{"dropping-particle":"","family":"Zhu","given":"Siyao","non-dropping-particle":"","parse-names":false,"suffix":""}],"container-title":"World Development","id":"ITEM-1","issued":{"date-parts":[["2016"]]},"page":"436-449","title":"Do female instructors reduce gender bias in diffusion of sustainable land management techniques? Experimental evidence from Mozambique","type":"article-journal","volume":"78"},"uris":["http://www.mendeley.com/documents/?uuid=05ecbcee-7789-4a21-95a3-92c276b96118"]}],"mendeley":{"formattedCitation":"(Kondylis et al., 2016)","plainTextFormattedCitation":"(Kondylis et al., 2016)","previouslyFormattedCitation":"(Kondylis et al., 2016)"},"properties":{"noteIndex":0},"schema":"https://github.com/citation-style-language/schema/raw/master/csl-citation.json"}</w:instrText>
      </w:r>
      <w:r w:rsidR="00FC51B3" w:rsidRPr="00E7337F">
        <w:rPr>
          <w:color w:val="000000" w:themeColor="text1"/>
        </w:rPr>
        <w:fldChar w:fldCharType="separate"/>
      </w:r>
      <w:r w:rsidR="0086250C" w:rsidRPr="00E7337F">
        <w:rPr>
          <w:noProof/>
          <w:color w:val="000000" w:themeColor="text1"/>
        </w:rPr>
        <w:t>(Kondylis et al., 2016)</w:t>
      </w:r>
      <w:r w:rsidR="00FC51B3" w:rsidRPr="00E7337F">
        <w:rPr>
          <w:color w:val="000000" w:themeColor="text1"/>
        </w:rPr>
        <w:fldChar w:fldCharType="end"/>
      </w:r>
      <w:r w:rsidR="00EE12F8" w:rsidRPr="00E7337F">
        <w:rPr>
          <w:color w:val="000000"/>
        </w:rPr>
        <w:t xml:space="preserve">. </w:t>
      </w:r>
      <w:r w:rsidR="00EC51DD" w:rsidRPr="00E7337F">
        <w:rPr>
          <w:color w:val="000000"/>
        </w:rPr>
        <w:t>Such effects of messengers on capability-building efforts are rarely evaluated in the conservation literature</w:t>
      </w:r>
      <w:r w:rsidR="00EC51DD" w:rsidRPr="00E7337F" w:rsidDel="00D56285">
        <w:rPr>
          <w:color w:val="000000"/>
        </w:rPr>
        <w:t xml:space="preserve"> </w:t>
      </w:r>
      <w:r w:rsidR="00EC51DD" w:rsidRPr="00E7337F">
        <w:rPr>
          <w:color w:val="000000"/>
        </w:rPr>
        <w:fldChar w:fldCharType="begin" w:fldLock="1"/>
      </w:r>
      <w:r w:rsidR="00071F56" w:rsidRPr="00E7337F">
        <w:rPr>
          <w:color w:val="000000"/>
        </w:rPr>
        <w:instrText>ADDIN CSL_CITATION {"citationItems":[{"id":"ITEM-1","itemData":{"DOI":"10.1002/fee.1777","ISSN":"15409309","abstract":"Human behavior is responsible for many of our greatest environmental challenges. The accumulated effects of many individual and household decisions have major negative impacts on biodiversity and ecosystem health. Human behavioral science blends psychology and economics to understand how people respond to the context in which they make decisions (eg who presents the information and how it is framed). Behavioral insights have informed new strategies to improve personal health and financial choices. However, less is known about whether and how these insights can encourage choices that are better for the environment. We review 160 experimental interventions that attempt to alter behavior in six domains in which decisions have major environmental impacts: family planning, land management, meat consumption, transportation choices, waste production, and water use. The evidence suggests that social influence and simple adjustments to decision settings can influence pro?environmental decisions. We identify four important gaps in the evidence that provide opportunities for future research. To address these gaps, we encourage collaborations between researchers and practitioners that look at the effects of embedding tests of behavior?change interventions within environmental programs.","author":[{"dropping-particle":"","family":"Byerly","given":"Hilary","non-dropping-particle":"","parse-names":false,"suffix":""},{"dropping-particle":"","family":"Balmford","given":"Andrew","non-dropping-particle":"","parse-names":false,"suffix":""},{"dropping-particle":"","family":"Ferraro","given":"Paul J.","non-dropping-particle":"","parse-names":false,"suffix":""},{"dropping-particle":"","family":"Hammond Wagner","given":"Courtney","non-dropping-particle":"","parse-names":false,"suffix":""},{"dropping-particle":"","family":"Palchak","given":"Elizabeth","non-dropping-particle":"","parse-names":false,"suffix":""},{"dropping-particle":"","family":"Polasky","given":"Stephen","non-dropping-particle":"","parse-names":false,"suffix":""},{"dropping-particle":"","family":"Ricketts","given":"Taylor H.","non-dropping-particle":"","parse-names":false,"suffix":""},{"dropping-particle":"","family":"Schwartz","given":"Aaron J.","non-dropping-particle":"","parse-names":false,"suffix":""},{"dropping-particle":"","family":"Fisher","given":"Brendan","non-dropping-particle":"","parse-names":false,"suffix":""}],"container-title":"Frontiers in Ecology and the Environment","id":"ITEM-1","issue":"3","issued":{"date-parts":[["2018"]]},"page":"159-168","title":"Nudging pro-environmental behavior: evidence and opportunities","type":"article-journal","volume":"16"},"uris":["http://www.mendeley.com/documents/?uuid=7ea6a6fb-5a02-42aa-a01f-90c862beb48b"]}],"mendeley":{"formattedCitation":"(Byerly et al., 2018)","plainTextFormattedCitation":"(Byerly et al., 2018)","previouslyFormattedCitation":"(Byerly et al., 2018)"},"properties":{"noteIndex":0},"schema":"https://github.com/citation-style-language/schema/raw/master/csl-citation.json"}</w:instrText>
      </w:r>
      <w:r w:rsidR="00EC51DD" w:rsidRPr="00E7337F">
        <w:rPr>
          <w:color w:val="000000"/>
        </w:rPr>
        <w:fldChar w:fldCharType="separate"/>
      </w:r>
      <w:r w:rsidR="0086250C" w:rsidRPr="00E7337F">
        <w:rPr>
          <w:noProof/>
          <w:color w:val="000000"/>
        </w:rPr>
        <w:t>(Byerly et al., 2018)</w:t>
      </w:r>
      <w:r w:rsidR="00EC51DD" w:rsidRPr="00E7337F">
        <w:rPr>
          <w:color w:val="000000"/>
        </w:rPr>
        <w:fldChar w:fldCharType="end"/>
      </w:r>
      <w:r w:rsidR="00EC51DD" w:rsidRPr="00E7337F">
        <w:rPr>
          <w:color w:val="000000"/>
        </w:rPr>
        <w:t>.</w:t>
      </w:r>
    </w:p>
    <w:p w14:paraId="0F6C92A0" w14:textId="32C45345" w:rsidR="00450CA8" w:rsidRPr="00E7337F" w:rsidRDefault="00EE12F8" w:rsidP="00950E9F">
      <w:pPr>
        <w:spacing w:after="0" w:line="480" w:lineRule="auto"/>
        <w:ind w:firstLine="720"/>
      </w:pPr>
      <w:r w:rsidRPr="00E7337F">
        <w:rPr>
          <w:color w:val="000000"/>
        </w:rPr>
        <w:t xml:space="preserve">Motivation has been the subject of intense research in behavioural science, spawning many kinds of interventions. </w:t>
      </w:r>
      <w:r w:rsidRPr="00E7337F">
        <w:t>A</w:t>
      </w:r>
      <w:r w:rsidRPr="00E7337F">
        <w:rPr>
          <w:color w:val="000000"/>
        </w:rPr>
        <w:t xml:space="preserve">ll of them target the processes that energize, direct, and sustain behaviour </w:t>
      </w:r>
      <w:r w:rsidR="00FC51B3" w:rsidRPr="00E7337F">
        <w:rPr>
          <w:color w:val="000000" w:themeColor="text1"/>
        </w:rPr>
        <w:fldChar w:fldCharType="begin" w:fldLock="1"/>
      </w:r>
      <w:r w:rsidR="00071F56" w:rsidRPr="00E7337F">
        <w:rPr>
          <w:color w:val="000000" w:themeColor="text1"/>
        </w:rPr>
        <w:instrText>ADDIN CSL_CITATION {"citationItems":[{"id":"ITEM-1","itemData":{"DOI":"10.1001/archderm.1985.01660070119033","ISSN":"15383652","abstract":"Improving the design and implementation of evidence-based practice depends on successful behaviour change interventions. This requires an appropriate method for characterising interventions and linking them to an analysis of the targeted behaviour. There exists a plethora of frameworks of behaviour change interventions, but it is not clear how well they serve this purpose. This paper evaluates these frameworks, and develops and evaluates a new framework aimed at overcoming their limitations. A systematic search of electronic databases and consultation with behaviour change experts were used to identify frameworks of behaviour change interventions. These were evaluated according to three criteria: comprehensiveness, coherence, and a clear link to an overarching model of behaviour. A new framework was developed to meet these criteria. The reliability with which it could be applied was examined in two domains of behaviour change: tobacco control and obesity. Nineteen frameworks were identified covering nine intervention functions and seven policy categories that could enable those interventions. None of the frameworks reviewed covered the full range of intervention functions or policies, and only a minority met the criteria of coherence or linkage to a model of behaviour. At the centre of a proposed new framework is a 'behaviour system' involving three essential conditions: capability, opportunity, and motivation (what we term the 'COM-B system'). This forms the hub of a 'behaviour change wheel' (BCW) around which are positioned the nine intervention functions aimed at addressing deficits in one or more of these conditions; around this are placed seven categories of policy that could enable those interventions to occur. The BCW was used reliably to characterise interventions within the English Department of Health's 2010 tobacco control strategy and the National Institute of Health and Clinical Excellence's guidance on reducing obesity. Interventions and policies to change behaviour can be usefully characterised by means of a BCW comprising: a 'behaviour system' at the hub, encircled by intervention functions and then by policy categories. Research is needed to establish how far the BCW can lead to more efficient design of effective interventions.","author":[{"dropping-particle":"","family":"Michie","given":"Susan","non-dropping-particle":"","parse-names":false,"suffix":""},{"dropping-particle":"","family":"Maartje M van Stralen","given":"","non-dropping-particle":"","parse-names":false,"suffix":""},{"dropping-particle":"","family":"Robert West","given":"","non-dropping-particle":"","parse-names":false,"suffix":""}],"container-title":"Implementation Science","id":"ITEM-1","issued":{"date-parts":[["2011"]]},"page":"42","title":"The behaviour change wheel: A new method for characterising and designing behaviour change interventions","type":"article-journal","volume":"6"},"uris":["http://www.mendeley.com/documents/?uuid=67666cc3-978e-45d4-8f7f-e68cde304984"]},{"id":"ITEM-2","itemData":{"DOI":"10.1037/0003-066X.55.1.68","ISBN":"1935-990X(Electronic);0003-066X(Print)","ISSN":"0003-066X","PMID":"11392867","author":[{"dropping-particle":"","family":"Ryan","given":"R.","non-dropping-particle":"","parse-names":false,"suffix":""},{"dropping-particle":"","family":"Deci","given":"E.","non-dropping-particle":"","parse-names":false,"suffix":""}],"container-title":"American Psychologist","id":"ITEM-2","issue":"1","issued":{"date-parts":[["2000"]]},"page":"68-78","title":"Self-determination theory and the facilitation of intrinsic motivation","type":"article-journal","volume":"55"},"uris":["http://www.mendeley.com/documents/?uuid=615c01f7-7576-4e1f-ba13-e0ce0b6977f3"]}],"mendeley":{"formattedCitation":"(Michie et al., 2011; Ryan and Deci, 2000)","plainTextFormattedCitation":"(Michie et al., 2011; Ryan and Deci, 2000)","previouslyFormattedCitation":"(Michie et al., 2011; Ryan and Deci, 2000)"},"properties":{"noteIndex":0},"schema":"https://github.com/citation-style-language/schema/raw/master/csl-citation.json"}</w:instrText>
      </w:r>
      <w:r w:rsidR="00FC51B3" w:rsidRPr="00E7337F">
        <w:rPr>
          <w:color w:val="000000" w:themeColor="text1"/>
        </w:rPr>
        <w:fldChar w:fldCharType="separate"/>
      </w:r>
      <w:r w:rsidR="0086250C" w:rsidRPr="00E7337F">
        <w:rPr>
          <w:noProof/>
          <w:color w:val="000000" w:themeColor="text1"/>
        </w:rPr>
        <w:t>(Michie et al., 2011; Ryan and Deci, 2000)</w:t>
      </w:r>
      <w:r w:rsidR="00FC51B3" w:rsidRPr="00E7337F">
        <w:rPr>
          <w:color w:val="000000" w:themeColor="text1"/>
        </w:rPr>
        <w:fldChar w:fldCharType="end"/>
      </w:r>
      <w:r w:rsidRPr="00E7337F">
        <w:rPr>
          <w:color w:val="000000"/>
        </w:rPr>
        <w:t xml:space="preserve">. These can be an individual’s reflective thought processes, often predictive of important and infrequent behaviour, or the automatic processes characteristic of habitual and frequently performed behaviour </w:t>
      </w:r>
      <w:r w:rsidR="00FC51B3" w:rsidRPr="00E7337F">
        <w:rPr>
          <w:color w:val="000000" w:themeColor="text1"/>
        </w:rPr>
        <w:fldChar w:fldCharType="begin" w:fldLock="1"/>
      </w:r>
      <w:r w:rsidR="00071F56" w:rsidRPr="00E7337F">
        <w:rPr>
          <w:color w:val="000000" w:themeColor="text1"/>
        </w:rPr>
        <w:instrText>ADDIN CSL_CITATION {"citationItems":[{"id":"ITEM-1","itemData":{"ISBN":"0036-8075","abstract":"Much of the global burden of disease is associated with behaviors - overeating, smoking, excessive alcohol consumption, and physical inactivity - that people recognize as health-harming and yet continue to engage in, even when undesired consequences emerge. To date, interventions aimed at changing such behaviors have largely encouraged people to reflect on their behaviors. These approaches are often ineffectual, which is in keeping with the observation thatmuch human behavior is automatic, cued by environmental stimuli, resulting in actions that are largely unaccompanied by conscious reflection. We propose that interventions targeting these automatic bases of behaviors may be more effective. We discuss specific interventions and suggest ways to determine whether and how interventions that target automatic processes can enhance global efforts to prevent disease.","author":[{"dropping-particle":"","family":"Marteau","given":"Theresa M.","non-dropping-particle":"","parse-names":false,"suffix":""},{"dropping-particle":"","family":"Hollands","given":"Gareth J.","non-dropping-particle":"","parse-names":false,"suffix":""},{"dropping-particle":"","family":"Fletcher","given":"Paul C.","non-dropping-particle":"","parse-names":false,"suffix":""}],"container-title":"Science","id":"ITEM-1","issue":"6101","issued":{"date-parts":[["2012"]]},"page":"1492-1495","title":"Changing human behavior to prevent disease: The importance of targeting automatic processes","type":"article-journal","volume":"337"},"uris":["http://www.mendeley.com/documents/?uuid=c3a772f4-b78e-4284-a9d6-ea904bbb006a"]},{"id":"ITEM-2","itemData":{"ISBN":"0374275637","author":[{"dropping-particle":"","family":"Kahneman","given":"Daniel","non-dropping-particle":"","parse-names":false,"suffix":""}],"id":"ITEM-2","issued":{"date-parts":[["2011"]]},"publisher":"Macmillan","title":"Thinking, fast and slow","type":"book"},"uris":["http://www.mendeley.com/documents/?uuid=38ae0a56-33fa-46d2-af17-2752b7176526"]},{"id":"ITEM-3","itemData":{"DOI":"10.1207/s15327957pspr0803_1","ISBN":"10888683","ISSN":"1088-8683","PMID":"15454347","abstract":"This article describes a 2-systems model that explains social behavior as a joint function of reflective and impulsive processes. In particular, it is assumed that social behavior is controlled by 2 interacting systems that follow different operating principles. The reflective system generates behavioral decisions that are based on knowledge about facts and values, whereas the impulsive system elicits behavior through associative links and motivational orientations. The proposed model describes how the 2 systems interact at various stages of processing, and how their outputs may determine behavior in a synergistic or antagonistic fashion. It extends previous models by integrating motivational components that allow more precise predictions of behavior. The implications of this reflective-impulsive model are applied to various phenomena from social psychology and beyond. Extending previous dual-process accounts, this model is not limited to specific domains of mental functioning and attempts to integrate cognitive, motivational, and behavioral mechanisms.","author":[{"dropping-particle":"","family":"Strack","given":"Fritz","non-dropping-particle":"","parse-names":false,"suffix":""},{"dropping-particle":"","family":"Deutsch","given":"Roland","non-dropping-particle":"","parse-names":false,"suffix":""}],"container-title":"Personality and Social Psychology Review","id":"ITEM-3","issue":"3","issued":{"date-parts":[["2004"]]},"page":"220-247","title":"Reflective and impulsive determinants of social behavior.","type":"article-journal","volume":"8"},"uris":["http://www.mendeley.com/documents/?uuid=882b23e9-2565-41e0-95be-453542042807"]}],"mendeley":{"formattedCitation":"(Kahneman, 2011; Marteau et al., 2012; Strack and Deutsch, 2004)","plainTextFormattedCitation":"(Kahneman, 2011; Marteau et al., 2012; Strack and Deutsch, 2004)","previouslyFormattedCitation":"(Kahneman, 2011; Marteau et al., 2012; Strack and Deutsch, 2004)"},"properties":{"noteIndex":0},"schema":"https://github.com/citation-style-language/schema/raw/master/csl-citation.json"}</w:instrText>
      </w:r>
      <w:r w:rsidR="00FC51B3" w:rsidRPr="00E7337F">
        <w:rPr>
          <w:color w:val="000000" w:themeColor="text1"/>
        </w:rPr>
        <w:fldChar w:fldCharType="separate"/>
      </w:r>
      <w:r w:rsidR="0086250C" w:rsidRPr="00E7337F">
        <w:rPr>
          <w:noProof/>
          <w:color w:val="000000" w:themeColor="text1"/>
        </w:rPr>
        <w:t>(Kahneman, 2011; Marteau et al., 2012; Strack and Deutsch, 2004)</w:t>
      </w:r>
      <w:r w:rsidR="00FC51B3" w:rsidRPr="00E7337F">
        <w:rPr>
          <w:color w:val="000000" w:themeColor="text1"/>
        </w:rPr>
        <w:fldChar w:fldCharType="end"/>
      </w:r>
      <w:r w:rsidRPr="00E7337F">
        <w:rPr>
          <w:color w:val="000000"/>
        </w:rPr>
        <w:t>. Note that motivation is irrelevant in the absence of capability</w:t>
      </w:r>
      <w:r w:rsidR="00AC2837" w:rsidRPr="00E7337F">
        <w:t>.</w:t>
      </w:r>
      <w:r w:rsidRPr="00E7337F">
        <w:t xml:space="preserve"> </w:t>
      </w:r>
      <w:r w:rsidR="00AC2837" w:rsidRPr="00E7337F">
        <w:t>M</w:t>
      </w:r>
      <w:r w:rsidRPr="00E7337F">
        <w:t xml:space="preserve">any individuals may want to protect nature in general or a particular place or </w:t>
      </w:r>
      <w:r w:rsidR="00C6787A" w:rsidRPr="00E7337F">
        <w:t>species but</w:t>
      </w:r>
      <w:r w:rsidRPr="00E7337F">
        <w:t xml:space="preserve"> lack the understanding or ability that allows them to do so. </w:t>
      </w:r>
      <w:r w:rsidR="00C6787A" w:rsidRPr="00E7337F">
        <w:t>Unfortunately,</w:t>
      </w:r>
      <w:r w:rsidRPr="00E7337F">
        <w:t xml:space="preserve"> </w:t>
      </w:r>
      <w:r w:rsidR="00D92986" w:rsidRPr="00E7337F">
        <w:t xml:space="preserve">these complexities are </w:t>
      </w:r>
      <w:r w:rsidRPr="00E7337F">
        <w:t xml:space="preserve">often overlooked in persuasive communications. </w:t>
      </w:r>
      <w:r w:rsidRPr="00E7337F">
        <w:rPr>
          <w:color w:val="000000"/>
        </w:rPr>
        <w:t>In conservation, the repertoire of motivation-focused interventions has largely been limited to education and individual material incentivisation. Behavioural science can enhance the effectiveness of these traditional interventions. For example,</w:t>
      </w:r>
      <w:r w:rsidR="00862601" w:rsidRPr="00E7337F">
        <w:rPr>
          <w:color w:val="000000"/>
        </w:rPr>
        <w:t xml:space="preserve"> working with Islamic leaders to </w:t>
      </w:r>
      <w:r w:rsidR="00FE1AD7" w:rsidRPr="00E7337F">
        <w:rPr>
          <w:color w:val="000000"/>
        </w:rPr>
        <w:t>incorporate</w:t>
      </w:r>
      <w:r w:rsidR="00862601" w:rsidRPr="00E7337F">
        <w:rPr>
          <w:color w:val="000000"/>
        </w:rPr>
        <w:t xml:space="preserve"> conservation messages into sermons increased community awareness of turtle conservation in Malaysia </w:t>
      </w:r>
      <w:r w:rsidR="00862601" w:rsidRPr="00E7337F">
        <w:rPr>
          <w:color w:val="000000"/>
        </w:rPr>
        <w:fldChar w:fldCharType="begin" w:fldLock="1"/>
      </w:r>
      <w:r w:rsidR="00071F56" w:rsidRPr="00E7337F">
        <w:rPr>
          <w:color w:val="000000"/>
        </w:rPr>
        <w:instrText>ADDIN CSL_CITATION {"citationItems":[{"id":"ITEM-1","itemData":{"ISSN":"0888-8892","author":[{"dropping-particle":"","family":"Clements","given":"Reuben","non-dropping-particle":"","parse-names":false,"suffix":""},{"dropping-particle":"","family":"Foo","given":"River","non-dropping-particle":"","parse-names":false,"suffix":""},{"dropping-particle":"","family":"Othman","given":"Syahaneem","non-dropping-particle":"","parse-names":false,"suffix":""},{"dropping-particle":"","family":"Rahman","given":"Umi","non-dropping-particle":"","parse-names":false,"suffix":""},{"dropping-particle":"","family":"Mustafa","given":"Sharifah Ruqaiyah Syed","non-dropping-particle":"","parse-names":false,"suffix":""},{"dropping-particle":"","family":"Zulkifli","given":"Rahayu","non-dropping-particle":"","parse-names":false,"suffix":""}],"container-title":"Conservation Biology","id":"ITEM-1","issue":"3","issued":{"date-parts":[["2009"]]},"page":"516-517","title":"Islam, turtle conservation, and coastal communities","type":"article-journal","volume":"23"},"uris":["http://www.mendeley.com/documents/?uuid=cfe04dc4-dc9d-4d00-ab10-bd46ecf3139b"]}],"mendeley":{"formattedCitation":"(Clements et al., 2009)","plainTextFormattedCitation":"(Clements et al., 2009)","previouslyFormattedCitation":"(Clements et al., 2009)"},"properties":{"noteIndex":0},"schema":"https://github.com/citation-style-language/schema/raw/master/csl-citation.json"}</w:instrText>
      </w:r>
      <w:r w:rsidR="00862601" w:rsidRPr="00E7337F">
        <w:rPr>
          <w:color w:val="000000"/>
        </w:rPr>
        <w:fldChar w:fldCharType="separate"/>
      </w:r>
      <w:r w:rsidR="0086250C" w:rsidRPr="00E7337F">
        <w:rPr>
          <w:noProof/>
          <w:color w:val="000000"/>
        </w:rPr>
        <w:t>(Clements et al., 2009)</w:t>
      </w:r>
      <w:r w:rsidR="00862601" w:rsidRPr="00E7337F">
        <w:rPr>
          <w:color w:val="000000"/>
        </w:rPr>
        <w:fldChar w:fldCharType="end"/>
      </w:r>
      <w:r w:rsidR="00862601" w:rsidRPr="00E7337F">
        <w:rPr>
          <w:color w:val="000000"/>
        </w:rPr>
        <w:t xml:space="preserve">. Likewise, </w:t>
      </w:r>
      <w:r w:rsidRPr="00E7337F">
        <w:rPr>
          <w:color w:val="000000"/>
        </w:rPr>
        <w:t xml:space="preserve">tailoring motivational messages to the values of wealthy Vietnamese professionals through appeals to their strength of </w:t>
      </w:r>
      <w:r w:rsidRPr="00E7337F">
        <w:rPr>
          <w:color w:val="000000"/>
        </w:rPr>
        <w:lastRenderedPageBreak/>
        <w:t xml:space="preserve">character is likely to prove more successful in reducing the use of rhino horn than messages emphasizing the animals’ rarity and suffering </w:t>
      </w:r>
      <w:r w:rsidR="00FC51B3" w:rsidRPr="00E7337F">
        <w:rPr>
          <w:color w:val="000000" w:themeColor="text1"/>
        </w:rPr>
        <w:fldChar w:fldCharType="begin" w:fldLock="1"/>
      </w:r>
      <w:r w:rsidR="00071F56" w:rsidRPr="00E7337F">
        <w:rPr>
          <w:color w:val="000000" w:themeColor="text1"/>
        </w:rPr>
        <w:instrText>ADDIN CSL_CITATION {"citationItems":[{"id":"ITEM-1","itemData":{"ISSN":"1026-2881","author":[{"dropping-particle":"","family":"Offord-Woolley","given":"Susie","non-dropping-particle":"","parse-names":false,"suffix":""}],"container-title":"Pachyderm","id":"ITEM-1","issue":"58","issued":{"date-parts":[["2017"]]},"page":"144-147","title":"The Chi initiative: A behaviour change initiative to reduce the demand for rhino horn in Viet Nam","type":"article-journal"},"uris":["http://www.mendeley.com/documents/?uuid=b9bcee9a-11cc-44ce-aade-574e86735251"]}],"mendeley":{"formattedCitation":"(Offord-Woolley, 2017)","plainTextFormattedCitation":"(Offord-Woolley, 2017)","previouslyFormattedCitation":"(Offord-Woolley, 2017)"},"properties":{"noteIndex":0},"schema":"https://github.com/citation-style-language/schema/raw/master/csl-citation.json"}</w:instrText>
      </w:r>
      <w:r w:rsidR="00FC51B3" w:rsidRPr="00E7337F">
        <w:rPr>
          <w:color w:val="000000" w:themeColor="text1"/>
        </w:rPr>
        <w:fldChar w:fldCharType="separate"/>
      </w:r>
      <w:r w:rsidR="0086250C" w:rsidRPr="00E7337F">
        <w:rPr>
          <w:noProof/>
          <w:color w:val="000000" w:themeColor="text1"/>
        </w:rPr>
        <w:t>(Offord-Woolley, 2017)</w:t>
      </w:r>
      <w:r w:rsidR="00FC51B3" w:rsidRPr="00E7337F">
        <w:rPr>
          <w:color w:val="000000" w:themeColor="text1"/>
        </w:rPr>
        <w:fldChar w:fldCharType="end"/>
      </w:r>
      <w:r w:rsidRPr="00E7337F">
        <w:rPr>
          <w:color w:val="000000"/>
        </w:rPr>
        <w:t xml:space="preserve">. Behavioural science also suggests many other ways to motivate actors </w:t>
      </w:r>
      <w:r w:rsidR="00FC51B3" w:rsidRPr="00E7337F">
        <w:rPr>
          <w:color w:val="000000" w:themeColor="text1"/>
        </w:rPr>
        <w:fldChar w:fldCharType="begin" w:fldLock="1"/>
      </w:r>
      <w:r w:rsidR="00071F56" w:rsidRPr="00E7337F">
        <w:rPr>
          <w:color w:val="000000" w:themeColor="text1"/>
        </w:rPr>
        <w:instrText>ADDIN CSL_CITATION {"citationItems":[{"id":"ITEM-1","itemData":{"DOI":"10.1007/s12160-013-9486-6","ISSN":"08836612","abstract":"Background: CONSORT guidelines call for precise reporting of behavior change interventions: we need rigorous methods of characterizing active content of interventions with precision and specificity. Objectives: The objective of this study is to develop an extensive, consensually agreed hierarchically structured taxonomy of techniques [behavior change techniques (BCTs)] used in behavior change interventions. Methods: In a Delphi-type exercise, 14 experts rated labels and definitions of 124 BCTs from six published classification systems. Another 18 experts grouped BCTs according to similarity of active ingredients in an open-sort task. Inter-rater agreement amongst six researchers coding 85 intervention descriptions by BCTs was assessed. Results: This resulted in 93 BCTs clustered into 16 groups. Of the 26 BCTs occurring at least five times, 23 had adjusted kappas of 0.60 or above. Conclusions: \"BCT taxonomy v1,\" an extensive taxonomy of 93 consensually agreed, distinct BCTs, offers a step change as a method for specifying interventions, but we anticipate further development and evaluation based on international, interdisciplinary consensus. © 2013 The Society of Behavioral Medicine.","author":[{"dropping-particle":"","family":"Michie","given":"Susan","non-dropping-particle":"","parse-names":false,"suffix":""},{"dropping-particle":"","family":"Richardson","given":"Michelle","non-dropping-particle":"","parse-names":false,"suffix":""},{"dropping-particle":"","family":"Johnston","given":"Marie","non-dropping-particle":"","parse-names":false,"suffix":""},{"dropping-particle":"","family":"Abraham","given":"Charles","non-dropping-particle":"","parse-names":false,"suffix":""},{"dropping-particle":"","family":"Francis","given":"Jill","non-dropping-particle":"","parse-names":false,"suffix":""},{"dropping-particle":"","family":"Hardeman","given":"Wendy","non-dropping-particle":"","parse-names":false,"suffix":""},{"dropping-particle":"","family":"Eccles","given":"Martin P.","non-dropping-particle":"","parse-names":false,"suffix":""},{"dropping-particle":"","family":"Cane","given":"James","non-dropping-particle":"","parse-names":false,"suffix":""},{"dropping-particle":"","family":"Wood","given":"Caroline E.","non-dropping-particle":"","parse-names":false,"suffix":""}],"container-title":"Annals of Behavioral Medicine","id":"ITEM-1","issue":"1","issued":{"date-parts":[["2013"]]},"page":"81-95","title":"The behavior change technique taxonomy (v1) of 93 hierarchically clustered techniques: Building an international consensus for the reporting of behavior change interventions","type":"article-journal","volume":"46"},"uris":["http://www.mendeley.com/documents/?uuid=168e7356-bc8e-4c30-92da-e46393cab8f6"]},{"id":"ITEM-2","itemData":{"author":[{"dropping-particle":"","family":"Teixeira","given":"Pedro J","non-dropping-particle":"","parse-names":false,"suffix":""},{"dropping-particle":"","family":"Marques","given":"Marta M","non-dropping-particle":"","parse-names":false,"suffix":""},{"dropping-particle":"","family":"Silva","given":"Marlene N","non-dropping-particle":"","parse-names":false,"suffix":""},{"dropping-particle":"","family":"Brunet","given":"Jennifer","non-dropping-particle":"","parse-names":false,"suffix":""},{"dropping-particle":"","family":"Duda","given":"J L","non-dropping-particle":"","parse-names":false,"suffix":""},{"dropping-particle":"","family":"Haerens","given":"Leen","non-dropping-particle":"","parse-names":false,"suffix":""},{"dropping-particle":"","family":"Guardia","given":"Jennifer","non-dropping-particle":"La","parse-names":false,"suffix":""},{"dropping-particle":"","family":"Lindwall","given":"Magnus","non-dropping-particle":"","parse-names":false,"suffix":""},{"dropping-particle":"","family":"Lonsdale","given":"Chris","non-dropping-particle":"","parse-names":false,"suffix":""},{"dropping-particle":"","family":"Markland","given":"David","non-dropping-particle":"","parse-names":false,"suffix":""}],"container-title":"Motivation Science","id":"ITEM-2","issued":{"date-parts":[["2020"]]},"title":"A classification of motivation and behavior change techniques used in self-determination theory-based interventions in health contexts","type":"article-journal"},"uris":["http://www.mendeley.com/documents/?uuid=8ea38ca2-5b68-4100-8966-3ced8e2a6be7"]}],"mendeley":{"formattedCitation":"(Michie et al., 2013; Teixeira et al., 2020)","manualFormatting":"(e.g. Michie et al. 2013; Teixeira et al. 2020)","plainTextFormattedCitation":"(Michie et al., 2013; Teixeira et al., 2020)","previouslyFormattedCitation":"(Michie et al., 2013; Teixeira et al., 2020)"},"properties":{"noteIndex":0},"schema":"https://github.com/citation-style-language/schema/raw/master/csl-citation.json"}</w:instrText>
      </w:r>
      <w:r w:rsidR="00FC51B3" w:rsidRPr="00E7337F">
        <w:rPr>
          <w:color w:val="000000" w:themeColor="text1"/>
        </w:rPr>
        <w:fldChar w:fldCharType="separate"/>
      </w:r>
      <w:r w:rsidR="00FC51B3" w:rsidRPr="00E7337F">
        <w:rPr>
          <w:noProof/>
          <w:color w:val="000000" w:themeColor="text1"/>
        </w:rPr>
        <w:t>(e.g. Michie et al. 2013; Teixeira et al. 2020)</w:t>
      </w:r>
      <w:r w:rsidR="00FC51B3" w:rsidRPr="00E7337F">
        <w:rPr>
          <w:color w:val="000000" w:themeColor="text1"/>
        </w:rPr>
        <w:fldChar w:fldCharType="end"/>
      </w:r>
      <w:r w:rsidRPr="00E7337F">
        <w:rPr>
          <w:color w:val="000000"/>
        </w:rPr>
        <w:t xml:space="preserve">. Inducing pride in charismatic local species, fostering pro-environmental </w:t>
      </w:r>
      <w:r w:rsidR="005B0C54" w:rsidRPr="00E7337F">
        <w:rPr>
          <w:color w:val="000000"/>
        </w:rPr>
        <w:t xml:space="preserve">changes in </w:t>
      </w:r>
      <w:r w:rsidRPr="00E7337F">
        <w:rPr>
          <w:color w:val="000000"/>
        </w:rPr>
        <w:t xml:space="preserve">norms through peer-to-peer conversations, and providing dynamic feedback on individuals’ environmental impacts have all </w:t>
      </w:r>
      <w:r w:rsidRPr="00E7337F">
        <w:t>motivated</w:t>
      </w:r>
      <w:r w:rsidRPr="00E7337F">
        <w:rPr>
          <w:color w:val="000000"/>
        </w:rPr>
        <w:t xml:space="preserve"> positive behaviour change </w:t>
      </w:r>
      <w:r w:rsidR="00FC51B3" w:rsidRPr="00E7337F">
        <w:rPr>
          <w:color w:val="000000" w:themeColor="text1"/>
        </w:rPr>
        <w:fldChar w:fldCharType="begin" w:fldLock="1"/>
      </w:r>
      <w:r w:rsidR="00071F56" w:rsidRPr="00E7337F">
        <w:rPr>
          <w:color w:val="000000" w:themeColor="text1"/>
        </w:rPr>
        <w:instrText>ADDIN CSL_CITATION {"citationItems":[{"id":"ITEM-1","itemData":{"author":[{"dropping-particle":"","family":"DeWan","given":"Amielle","non-dropping-particle":"","parse-names":false,"suffix":""},{"dropping-particle":"","family":"Green","given":"Kevin","non-dropping-particle":"","parse-names":false,"suffix":""},{"dropping-particle":"","family":"Li","given":"Xiaohong","non-dropping-particle":"","parse-names":false,"suffix":""},{"dropping-particle":"","family":"Hayden","given":"Daniel","non-dropping-particle":"","parse-names":false,"suffix":""}],"container-title":"Conservation Evidence","id":"ITEM-1","issue":"1","issued":{"date-parts":[["2013"]]},"page":"32-36","title":"Using social marketing tools to increase fuel-efficient stove adoption for conservation of the golden snub-nosed monkey, Gansu Province, China","type":"article-journal","volume":"10"},"uris":["http://www.mendeley.com/documents/?uuid=dfd1f69c-0dee-4d31-8bf8-9c57815bb041"]},{"id":"ITEM-2","itemData":{"ISSN":"1524-5004","author":[{"dropping-particle":"","family":"Green","given":"Kevin M","non-dropping-particle":"","parse-names":false,"suffix":""},{"dropping-particle":"","family":"Crawford","given":"Brian A","non-dropping-particle":"","parse-names":false,"suffix":""},{"dropping-particle":"","family":"Williamson","given":"Katherine A","non-dropping-particle":"","parse-names":false,"suffix":""},{"dropping-particle":"","family":"DeWan","given":"Amielle A","non-dropping-particle":"","parse-names":false,"suffix":""}],"container-title":"Social Marketing Quarterly","id":"ITEM-2","issue":"1","issued":{"date-parts":[["2019"]]},"page":"69-87","title":"A meta-analysis of social marketing campaigns to improve global conservation outcomes","type":"article-journal","volume":"25"},"uris":["http://www.mendeley.com/documents/?uuid=72f604e4-57e4-4c31-baac-2359da49c09b"]},{"id":"ITEM-3","itemData":{"author":[{"dropping-particle":"","family":"Karlin","given":"Beth","non-dropping-particle":"","parse-names":false,"suffix":""},{"dropping-particle":"","family":"Zinger","given":"Joanne F","non-dropping-particle":"","parse-names":false,"suffix":""},{"dropping-particle":"","family":"Ford","given":"Rebecca","non-dropping-particle":"","parse-names":false,"suffix":""}],"container-title":"Psychological Bulletin","id":"ITEM-3","issue":"6","issued":{"date-parts":[["2015"]]},"page":"1205-1227","title":"The effects of feedback on energy conservation: A meta-analysis","type":"article-journal","volume":"141"},"uris":["http://www.mendeley.com/documents/?uuid=b8560a95-19fc-48ff-b15e-8f6c8338009c"]}],"mendeley":{"formattedCitation":"(DeWan et al., 2013; Green et al., 2019; Karlin et al., 2015)","plainTextFormattedCitation":"(DeWan et al., 2013; Green et al., 2019; Karlin et al., 2015)","previouslyFormattedCitation":"(DeWan et al., 2013; Green et al., 2019; Karlin et al., 2015)"},"properties":{"noteIndex":0},"schema":"https://github.com/citation-style-language/schema/raw/master/csl-citation.json"}</w:instrText>
      </w:r>
      <w:r w:rsidR="00FC51B3" w:rsidRPr="00E7337F">
        <w:rPr>
          <w:color w:val="000000" w:themeColor="text1"/>
        </w:rPr>
        <w:fldChar w:fldCharType="separate"/>
      </w:r>
      <w:r w:rsidR="0086250C" w:rsidRPr="00E7337F">
        <w:rPr>
          <w:noProof/>
          <w:color w:val="000000" w:themeColor="text1"/>
        </w:rPr>
        <w:t>(DeWan et al., 2013; Green et al., 2019; Karlin et al., 2015)</w:t>
      </w:r>
      <w:r w:rsidR="00FC51B3" w:rsidRPr="00E7337F">
        <w:rPr>
          <w:color w:val="000000" w:themeColor="text1"/>
        </w:rPr>
        <w:fldChar w:fldCharType="end"/>
      </w:r>
      <w:r w:rsidRPr="00E7337F">
        <w:rPr>
          <w:color w:val="000000"/>
        </w:rPr>
        <w:t xml:space="preserve">. </w:t>
      </w:r>
    </w:p>
    <w:p w14:paraId="5B241BB7" w14:textId="0D94CA0E" w:rsidR="0066436D" w:rsidRPr="00E7337F" w:rsidRDefault="009401B9" w:rsidP="00950E9F">
      <w:pPr>
        <w:spacing w:after="0" w:line="480" w:lineRule="auto"/>
        <w:ind w:firstLine="720"/>
        <w:rPr>
          <w:color w:val="000000"/>
        </w:rPr>
      </w:pPr>
      <w:r w:rsidRPr="00E7337F">
        <w:rPr>
          <w:color w:val="000000"/>
        </w:rPr>
        <w:t>However, w</w:t>
      </w:r>
      <w:r w:rsidR="007128C6" w:rsidRPr="00E7337F">
        <w:rPr>
          <w:color w:val="000000"/>
        </w:rPr>
        <w:t>hile</w:t>
      </w:r>
      <w:r w:rsidR="00286DDB" w:rsidRPr="00E7337F">
        <w:rPr>
          <w:color w:val="000000"/>
        </w:rPr>
        <w:t xml:space="preserve"> capability and motivation</w:t>
      </w:r>
      <w:r w:rsidR="000D02EA" w:rsidRPr="00E7337F">
        <w:rPr>
          <w:color w:val="000000"/>
        </w:rPr>
        <w:t xml:space="preserve"> can be important</w:t>
      </w:r>
      <w:r w:rsidR="007128C6" w:rsidRPr="00E7337F">
        <w:rPr>
          <w:color w:val="000000"/>
        </w:rPr>
        <w:t xml:space="preserve"> for</w:t>
      </w:r>
      <w:r w:rsidR="00286DDB" w:rsidRPr="00E7337F">
        <w:rPr>
          <w:color w:val="000000"/>
        </w:rPr>
        <w:t xml:space="preserve"> behaviour change, no change will happen </w:t>
      </w:r>
      <w:r w:rsidR="001F0D4B" w:rsidRPr="00E7337F">
        <w:rPr>
          <w:color w:val="000000"/>
        </w:rPr>
        <w:t>without</w:t>
      </w:r>
      <w:r w:rsidR="00286DDB" w:rsidRPr="00E7337F">
        <w:rPr>
          <w:color w:val="000000"/>
        </w:rPr>
        <w:t xml:space="preserve"> the</w:t>
      </w:r>
      <w:r w:rsidR="0066436D" w:rsidRPr="00E7337F">
        <w:rPr>
          <w:color w:val="000000"/>
        </w:rPr>
        <w:t xml:space="preserve"> physical</w:t>
      </w:r>
      <w:r w:rsidR="00286DDB" w:rsidRPr="00E7337F">
        <w:rPr>
          <w:color w:val="000000"/>
        </w:rPr>
        <w:t xml:space="preserve"> </w:t>
      </w:r>
      <w:r w:rsidR="0066436D" w:rsidRPr="00E7337F">
        <w:rPr>
          <w:color w:val="000000"/>
        </w:rPr>
        <w:t>or social</w:t>
      </w:r>
      <w:r w:rsidR="00286DDB" w:rsidRPr="00E7337F">
        <w:rPr>
          <w:color w:val="000000"/>
        </w:rPr>
        <w:t xml:space="preserve"> opportunity to </w:t>
      </w:r>
      <w:r w:rsidR="00790B3A" w:rsidRPr="00E7337F">
        <w:rPr>
          <w:color w:val="000000"/>
        </w:rPr>
        <w:t>realize t</w:t>
      </w:r>
      <w:r w:rsidR="004D6083" w:rsidRPr="00E7337F">
        <w:rPr>
          <w:color w:val="000000"/>
        </w:rPr>
        <w:t>he change</w:t>
      </w:r>
      <w:r w:rsidR="00286DDB" w:rsidRPr="00E7337F">
        <w:rPr>
          <w:color w:val="000000"/>
        </w:rPr>
        <w:t xml:space="preserve"> </w:t>
      </w:r>
      <w:r w:rsidR="00286DDB" w:rsidRPr="00E7337F">
        <w:rPr>
          <w:color w:val="000000"/>
        </w:rPr>
        <w:fldChar w:fldCharType="begin" w:fldLock="1"/>
      </w:r>
      <w:r w:rsidR="00071F56" w:rsidRPr="00E7337F">
        <w:rPr>
          <w:color w:val="000000"/>
        </w:rPr>
        <w:instrText>ADDIN CSL_CITATION {"citationItems":[{"id":"ITEM-1","itemData":{"DOI":"10.1001/archderm.1985.01660070119033","ISSN":"15383652","abstract":"Improving the design and implementation of evidence-based practice depends on successful behaviour change interventions. This requires an appropriate method for characterising interventions and linking them to an analysis of the targeted behaviour. There exists a plethora of frameworks of behaviour change interventions, but it is not clear how well they serve this purpose. This paper evaluates these frameworks, and develops and evaluates a new framework aimed at overcoming their limitations. A systematic search of electronic databases and consultation with behaviour change experts were used to identify frameworks of behaviour change interventions. These were evaluated according to three criteria: comprehensiveness, coherence, and a clear link to an overarching model of behaviour. A new framework was developed to meet these criteria. The reliability with which it could be applied was examined in two domains of behaviour change: tobacco control and obesity. Nineteen frameworks were identified covering nine intervention functions and seven policy categories that could enable those interventions. None of the frameworks reviewed covered the full range of intervention functions or policies, and only a minority met the criteria of coherence or linkage to a model of behaviour. At the centre of a proposed new framework is a 'behaviour system' involving three essential conditions: capability, opportunity, and motivation (what we term the 'COM-B system'). This forms the hub of a 'behaviour change wheel' (BCW) around which are positioned the nine intervention functions aimed at addressing deficits in one or more of these conditions; around this are placed seven categories of policy that could enable those interventions to occur. The BCW was used reliably to characterise interventions within the English Department of Health's 2010 tobacco control strategy and the National Institute of Health and Clinical Excellence's guidance on reducing obesity. Interventions and policies to change behaviour can be usefully characterised by means of a BCW comprising: a 'behaviour system' at the hub, encircled by intervention functions and then by policy categories. Research is needed to establish how far the BCW can lead to more efficient design of effective interventions.","author":[{"dropping-particle":"","family":"Michie","given":"Susan","non-dropping-particle":"","parse-names":false,"suffix":""},{"dropping-particle":"","family":"Maartje M van Stralen","given":"","non-dropping-particle":"","parse-names":false,"suffix":""},{"dropping-particle":"","family":"Robert West","given":"","non-dropping-particle":"","parse-names":false,"suffix":""}],"container-title":"Implementation Science","id":"ITEM-1","issued":{"date-parts":[["2011"]]},"page":"42","title":"The behaviour change wheel: A new method for characterising and designing behaviour change interventions","type":"article-journal","volume":"6"},"uris":["http://www.mendeley.com/documents/?uuid=67666cc3-978e-45d4-8f7f-e68cde304984"]}],"mendeley":{"formattedCitation":"(Michie et al., 2011)","plainTextFormattedCitation":"(Michie et al., 2011)","previouslyFormattedCitation":"(Michie et al., 2011)"},"properties":{"noteIndex":0},"schema":"https://github.com/citation-style-language/schema/raw/master/csl-citation.json"}</w:instrText>
      </w:r>
      <w:r w:rsidR="00286DDB" w:rsidRPr="00E7337F">
        <w:rPr>
          <w:color w:val="000000"/>
        </w:rPr>
        <w:fldChar w:fldCharType="separate"/>
      </w:r>
      <w:r w:rsidR="0086250C" w:rsidRPr="00E7337F">
        <w:rPr>
          <w:noProof/>
          <w:color w:val="000000"/>
        </w:rPr>
        <w:t>(Michie et al., 2011)</w:t>
      </w:r>
      <w:r w:rsidR="00286DDB" w:rsidRPr="00E7337F">
        <w:rPr>
          <w:color w:val="000000"/>
        </w:rPr>
        <w:fldChar w:fldCharType="end"/>
      </w:r>
      <w:r w:rsidR="00286DDB" w:rsidRPr="00E7337F">
        <w:rPr>
          <w:color w:val="000000"/>
        </w:rPr>
        <w:t xml:space="preserve">. For example, wild meat hunters </w:t>
      </w:r>
      <w:r w:rsidR="00D92986" w:rsidRPr="00E7337F">
        <w:rPr>
          <w:color w:val="000000"/>
        </w:rPr>
        <w:t xml:space="preserve">may </w:t>
      </w:r>
      <w:r w:rsidR="00286DDB" w:rsidRPr="00E7337F">
        <w:rPr>
          <w:color w:val="000000"/>
        </w:rPr>
        <w:t>not change their behaviour without alternative ways to ensure their livelihoods</w:t>
      </w:r>
      <w:r w:rsidR="001F0D4B" w:rsidRPr="00E7337F">
        <w:rPr>
          <w:color w:val="000000"/>
        </w:rPr>
        <w:t>, and</w:t>
      </w:r>
      <w:r w:rsidR="007128C6" w:rsidRPr="00E7337F">
        <w:rPr>
          <w:color w:val="000000"/>
        </w:rPr>
        <w:t xml:space="preserve"> city dwellers </w:t>
      </w:r>
      <w:r w:rsidR="00D92986" w:rsidRPr="00E7337F">
        <w:rPr>
          <w:color w:val="000000"/>
        </w:rPr>
        <w:t xml:space="preserve">may decide </w:t>
      </w:r>
      <w:r w:rsidR="007128C6" w:rsidRPr="00E7337F">
        <w:rPr>
          <w:color w:val="000000"/>
        </w:rPr>
        <w:t xml:space="preserve">not </w:t>
      </w:r>
      <w:r w:rsidR="00D92986" w:rsidRPr="00E7337F">
        <w:rPr>
          <w:color w:val="000000"/>
        </w:rPr>
        <w:t xml:space="preserve">to </w:t>
      </w:r>
      <w:r w:rsidR="007128C6" w:rsidRPr="00E7337F">
        <w:rPr>
          <w:color w:val="000000"/>
        </w:rPr>
        <w:t xml:space="preserve">cycle to work if </w:t>
      </w:r>
      <w:r w:rsidR="004D6083" w:rsidRPr="00E7337F">
        <w:rPr>
          <w:color w:val="000000"/>
        </w:rPr>
        <w:t xml:space="preserve">they </w:t>
      </w:r>
      <w:r w:rsidR="007128C6" w:rsidRPr="00E7337F">
        <w:rPr>
          <w:color w:val="000000"/>
        </w:rPr>
        <w:t>jeopardise their safety</w:t>
      </w:r>
      <w:r w:rsidR="004D6083" w:rsidRPr="00E7337F">
        <w:rPr>
          <w:color w:val="000000"/>
        </w:rPr>
        <w:t xml:space="preserve"> by doing so</w:t>
      </w:r>
      <w:r w:rsidR="000D02EA" w:rsidRPr="00E7337F">
        <w:rPr>
          <w:color w:val="000000"/>
        </w:rPr>
        <w:t xml:space="preserve"> </w:t>
      </w:r>
      <w:r w:rsidR="000D02EA" w:rsidRPr="00E7337F">
        <w:rPr>
          <w:color w:val="000000"/>
        </w:rPr>
        <w:fldChar w:fldCharType="begin" w:fldLock="1"/>
      </w:r>
      <w:r w:rsidR="00071F56" w:rsidRPr="00E7337F">
        <w:rPr>
          <w:color w:val="000000"/>
        </w:rPr>
        <w:instrText>ADDIN CSL_CITATION {"citationItems":[{"id":"ITEM-1","itemData":{"ISSN":"2214-1405","author":[{"dropping-particle":"","family":"Fowler","given":"Stephanie L","non-dropping-particle":"","parse-names":false,"suffix":""},{"dropping-particle":"","family":"Berrigan","given":"David","non-dropping-particle":"","parse-names":false,"suffix":""},{"dropping-particle":"","family":"Pollack","given":"Keshia M","non-dropping-particle":"","parse-names":false,"suffix":""}],"container-title":"Journal of Transport &amp; Health","id":"ITEM-1","issued":{"date-parts":[["2017"]]},"page":"474-480","title":"Perceived barriers to bicycling in an urban US environment","type":"article-journal","volume":"6"},"uris":["http://www.mendeley.com/documents/?uuid=079a24b7-6af5-4901-b3e1-f346e3a22567"]},{"id":"ITEM-2","itemData":{"ISSN":"1465-5489","author":[{"dropping-particle":"","family":"Gils","given":"Elke J T","non-dropping-particle":"Van","parse-names":false,"suffix":""},{"dropping-particle":"","family":"Ingram","given":"Verina J","non-dropping-particle":"","parse-names":false,"suffix":""},{"dropping-particle":"","family":"Iponga","given":"D Midoko","non-dropping-particle":"","parse-names":false,"suffix":""},{"dropping-particle":"","family":"Abernethy","given":"Katharine","non-dropping-particle":"","parse-names":false,"suffix":""}],"container-title":"International Forestry Review","id":"ITEM-2","issue":"1","issued":{"date-parts":[["2019"]]},"page":"108-127","publisher":"Commonwealth Forestry Association","title":"Changes in livelihood practices, strategies and dependence on bushmeat in two provinces in Gabon","type":"article-journal","volume":"21"},"uris":["http://www.mendeley.com/documents/?uuid=f8ff09ff-e707-4f27-8d75-95cb11452dc2"]}],"mendeley":{"formattedCitation":"(Fowler et al., 2017; Van Gils et al., 2019)","plainTextFormattedCitation":"(Fowler et al., 2017; Van Gils et al., 2019)","previouslyFormattedCitation":"(Fowler et al., 2017; Van Gils et al., 2019)"},"properties":{"noteIndex":0},"schema":"https://github.com/citation-style-language/schema/raw/master/csl-citation.json"}</w:instrText>
      </w:r>
      <w:r w:rsidR="000D02EA" w:rsidRPr="00E7337F">
        <w:rPr>
          <w:color w:val="000000"/>
        </w:rPr>
        <w:fldChar w:fldCharType="separate"/>
      </w:r>
      <w:r w:rsidR="0086250C" w:rsidRPr="00E7337F">
        <w:rPr>
          <w:noProof/>
          <w:color w:val="000000"/>
        </w:rPr>
        <w:t>(Fowler et al., 2017; Van Gils et al., 2019)</w:t>
      </w:r>
      <w:r w:rsidR="000D02EA" w:rsidRPr="00E7337F">
        <w:rPr>
          <w:color w:val="000000"/>
        </w:rPr>
        <w:fldChar w:fldCharType="end"/>
      </w:r>
      <w:r w:rsidR="0066436D" w:rsidRPr="00E7337F">
        <w:rPr>
          <w:color w:val="000000"/>
        </w:rPr>
        <w:t xml:space="preserve">. </w:t>
      </w:r>
      <w:r w:rsidR="00440397" w:rsidRPr="00E7337F">
        <w:rPr>
          <w:color w:val="000000"/>
        </w:rPr>
        <w:t>While o</w:t>
      </w:r>
      <w:r w:rsidR="0066436D" w:rsidRPr="00E7337F">
        <w:rPr>
          <w:color w:val="000000"/>
        </w:rPr>
        <w:t xml:space="preserve">pportunity </w:t>
      </w:r>
      <w:r w:rsidR="00790B3A" w:rsidRPr="00E7337F">
        <w:rPr>
          <w:color w:val="000000"/>
        </w:rPr>
        <w:t>may</w:t>
      </w:r>
      <w:r w:rsidR="0066436D" w:rsidRPr="00E7337F">
        <w:rPr>
          <w:color w:val="000000"/>
        </w:rPr>
        <w:t xml:space="preserve"> be enhanced through individual-level interventions</w:t>
      </w:r>
      <w:r w:rsidR="00E22E6D" w:rsidRPr="00E7337F">
        <w:rPr>
          <w:color w:val="000000"/>
        </w:rPr>
        <w:t>,</w:t>
      </w:r>
      <w:r w:rsidR="001E19F5" w:rsidRPr="00E7337F">
        <w:rPr>
          <w:color w:val="000000"/>
        </w:rPr>
        <w:t xml:space="preserve"> </w:t>
      </w:r>
      <w:r w:rsidR="00440397" w:rsidRPr="00E7337F">
        <w:rPr>
          <w:color w:val="000000"/>
        </w:rPr>
        <w:t>it is typically</w:t>
      </w:r>
      <w:r w:rsidR="001E19F5" w:rsidRPr="00E7337F">
        <w:rPr>
          <w:color w:val="000000"/>
        </w:rPr>
        <w:t xml:space="preserve"> shaped by population-level </w:t>
      </w:r>
      <w:r w:rsidR="00E22E6D" w:rsidRPr="00E7337F">
        <w:rPr>
          <w:color w:val="000000"/>
        </w:rPr>
        <w:t>circumstances</w:t>
      </w:r>
      <w:r w:rsidR="00392D3F" w:rsidRPr="00E7337F">
        <w:rPr>
          <w:color w:val="000000"/>
        </w:rPr>
        <w:t xml:space="preserve"> (</w:t>
      </w:r>
      <w:proofErr w:type="gramStart"/>
      <w:r w:rsidR="00392D3F" w:rsidRPr="00E7337F">
        <w:rPr>
          <w:color w:val="000000"/>
        </w:rPr>
        <w:t>e.g.</w:t>
      </w:r>
      <w:proofErr w:type="gramEnd"/>
      <w:r w:rsidR="004D6083" w:rsidRPr="00E7337F">
        <w:rPr>
          <w:color w:val="000000"/>
        </w:rPr>
        <w:t xml:space="preserve"> infrastructure</w:t>
      </w:r>
      <w:r w:rsidR="00392D3F" w:rsidRPr="00E7337F">
        <w:rPr>
          <w:color w:val="000000"/>
        </w:rPr>
        <w:t xml:space="preserve"> or</w:t>
      </w:r>
      <w:r w:rsidR="004D6083" w:rsidRPr="00E7337F">
        <w:rPr>
          <w:color w:val="000000"/>
        </w:rPr>
        <w:t xml:space="preserve"> </w:t>
      </w:r>
      <w:r w:rsidR="00392D3F" w:rsidRPr="00E7337F">
        <w:rPr>
          <w:color w:val="000000"/>
        </w:rPr>
        <w:t xml:space="preserve">economic environment). </w:t>
      </w:r>
      <w:r w:rsidR="00440397" w:rsidRPr="00E7337F">
        <w:rPr>
          <w:color w:val="000000"/>
        </w:rPr>
        <w:t xml:space="preserve">Moreover </w:t>
      </w:r>
      <w:r w:rsidR="00392D3F" w:rsidRPr="00E7337F">
        <w:rPr>
          <w:color w:val="000000"/>
        </w:rPr>
        <w:t>individual- and population-level interventions may interact</w:t>
      </w:r>
      <w:r w:rsidRPr="00E7337F">
        <w:rPr>
          <w:color w:val="000000"/>
        </w:rPr>
        <w:t xml:space="preserve"> –</w:t>
      </w:r>
      <w:r w:rsidR="00B17C31" w:rsidRPr="00E7337F">
        <w:rPr>
          <w:color w:val="000000"/>
        </w:rPr>
        <w:t xml:space="preserve"> </w:t>
      </w:r>
      <w:r w:rsidRPr="00E7337F">
        <w:rPr>
          <w:color w:val="000000"/>
        </w:rPr>
        <w:t xml:space="preserve">so </w:t>
      </w:r>
      <w:r w:rsidR="00392D3F" w:rsidRPr="00E7337F">
        <w:rPr>
          <w:color w:val="000000"/>
        </w:rPr>
        <w:t xml:space="preserve">a motivation-focused intervention may convince policymakers to </w:t>
      </w:r>
      <w:r w:rsidRPr="00E7337F">
        <w:rPr>
          <w:color w:val="000000"/>
        </w:rPr>
        <w:t xml:space="preserve">invest </w:t>
      </w:r>
      <w:r w:rsidR="00392D3F" w:rsidRPr="00E7337F">
        <w:rPr>
          <w:color w:val="000000"/>
        </w:rPr>
        <w:t xml:space="preserve">in </w:t>
      </w:r>
      <w:r w:rsidRPr="00E7337F">
        <w:rPr>
          <w:color w:val="000000"/>
        </w:rPr>
        <w:t>cycling</w:t>
      </w:r>
      <w:r w:rsidR="00392D3F" w:rsidRPr="00E7337F">
        <w:rPr>
          <w:color w:val="000000"/>
        </w:rPr>
        <w:t xml:space="preserve"> infrastructure</w:t>
      </w:r>
      <w:r w:rsidRPr="00E7337F">
        <w:rPr>
          <w:color w:val="000000"/>
        </w:rPr>
        <w:t xml:space="preserve">, for example, </w:t>
      </w:r>
      <w:r w:rsidR="00440397" w:rsidRPr="00E7337F">
        <w:rPr>
          <w:color w:val="000000"/>
        </w:rPr>
        <w:t>creating opp</w:t>
      </w:r>
      <w:r w:rsidR="004A44C8" w:rsidRPr="00E7337F">
        <w:rPr>
          <w:color w:val="000000"/>
        </w:rPr>
        <w:t>o</w:t>
      </w:r>
      <w:r w:rsidR="00440397" w:rsidRPr="00E7337F">
        <w:rPr>
          <w:color w:val="000000"/>
        </w:rPr>
        <w:t xml:space="preserve">rtunity which </w:t>
      </w:r>
      <w:r w:rsidRPr="00E7337F">
        <w:rPr>
          <w:color w:val="000000"/>
        </w:rPr>
        <w:t>may in turn</w:t>
      </w:r>
      <w:r w:rsidR="00392D3F" w:rsidRPr="00E7337F">
        <w:rPr>
          <w:color w:val="000000"/>
        </w:rPr>
        <w:t xml:space="preserve"> increase city dwellers</w:t>
      </w:r>
      <w:r w:rsidRPr="00E7337F">
        <w:rPr>
          <w:color w:val="000000"/>
        </w:rPr>
        <w:t>’</w:t>
      </w:r>
      <w:r w:rsidR="00392D3F" w:rsidRPr="00E7337F">
        <w:rPr>
          <w:color w:val="000000"/>
        </w:rPr>
        <w:t xml:space="preserve"> motivation</w:t>
      </w:r>
      <w:r w:rsidR="005B0C54" w:rsidRPr="00E7337F">
        <w:rPr>
          <w:color w:val="000000"/>
        </w:rPr>
        <w:t xml:space="preserve"> to</w:t>
      </w:r>
      <w:r w:rsidR="00392D3F" w:rsidRPr="00E7337F">
        <w:rPr>
          <w:color w:val="000000"/>
        </w:rPr>
        <w:t xml:space="preserve"> </w:t>
      </w:r>
      <w:r w:rsidRPr="00E7337F">
        <w:rPr>
          <w:color w:val="000000"/>
        </w:rPr>
        <w:t>travel by bike</w:t>
      </w:r>
      <w:r w:rsidR="00D30D00" w:rsidRPr="00E7337F">
        <w:rPr>
          <w:color w:val="000000"/>
        </w:rPr>
        <w:t xml:space="preserve"> </w:t>
      </w:r>
      <w:r w:rsidR="00D30D00" w:rsidRPr="00E7337F">
        <w:rPr>
          <w:color w:val="000000"/>
        </w:rPr>
        <w:fldChar w:fldCharType="begin" w:fldLock="1"/>
      </w:r>
      <w:r w:rsidR="005706F2" w:rsidRPr="00E7337F">
        <w:rPr>
          <w:color w:val="000000"/>
        </w:rPr>
        <w:instrText>ADDIN CSL_CITATION {"citationItems":[{"id":"ITEM-1","itemData":{"DOI":"10.1073/pnas.2024399118","ISBN":"2024399118","ISSN":"1091-6490","PMID":"33782111","abstract":"The bicycle is a low-cost means of transport linked to low risk of transmission of infectious disease. During the COVID-19 crisis, governments have therefore incentivized cycling by provisionally redistributing street space. We evaluate the impact of this new bicycle infrastructure on cycling traffic using a generalized difference in differences design. We scrape daily bicycle counts from 736 bicycle counters in 106 European cities. We combine these with data on announced and completed pop-up bike lane road work projects. Within 4 mo, an average of 11.5 km of provisional pop-up bike lanes have been built per city and the policy has increased cycling between 11 and 48% on average. We calculate that the new infrastructure will generate between $1 and $7 billion in health benefits per year if cycling habits are sticky.","author":[{"dropping-particle":"","family":"Kraus","given":"Sebastian","non-dropping-particle":"","parse-names":false,"suffix":""},{"dropping-particle":"","family":"Koch","given":"Nicolas","non-dropping-particle":"","parse-names":false,"suffix":""}],"container-title":"Proceedings of the National Academy of Sciences","id":"ITEM-1","issue":"15","issued":{"date-parts":[["2021"]]},"page":"1-6","title":"Provisional COVID-19 infrastructure induces large, rapid increases in cycling.","type":"article-journal","volume":"118"},"uris":["http://www.mendeley.com/documents/?uuid=9002c9d5-4413-498d-8467-51e07329960f"]}],"mendeley":{"formattedCitation":"(Kraus and Koch, 2021)","plainTextFormattedCitation":"(Kraus and Koch, 2021)","previouslyFormattedCitation":"(Kraus and Koch, 2021)"},"properties":{"noteIndex":0},"schema":"https://github.com/citation-style-language/schema/raw/master/csl-citation.json"}</w:instrText>
      </w:r>
      <w:r w:rsidR="00D30D00" w:rsidRPr="00E7337F">
        <w:rPr>
          <w:color w:val="000000"/>
        </w:rPr>
        <w:fldChar w:fldCharType="separate"/>
      </w:r>
      <w:r w:rsidR="00D30D00" w:rsidRPr="00E7337F">
        <w:rPr>
          <w:noProof/>
          <w:color w:val="000000"/>
        </w:rPr>
        <w:t>(Kraus and Koch, 2021)</w:t>
      </w:r>
      <w:r w:rsidR="00D30D00" w:rsidRPr="00E7337F">
        <w:rPr>
          <w:color w:val="000000"/>
        </w:rPr>
        <w:fldChar w:fldCharType="end"/>
      </w:r>
      <w:r w:rsidR="00392D3F" w:rsidRPr="00E7337F">
        <w:rPr>
          <w:color w:val="000000"/>
        </w:rPr>
        <w:t xml:space="preserve">.   </w:t>
      </w:r>
    </w:p>
    <w:p w14:paraId="060C4E92" w14:textId="77777777" w:rsidR="00E22E6D" w:rsidRPr="00E7337F" w:rsidRDefault="00E22E6D" w:rsidP="00950E9F">
      <w:pPr>
        <w:spacing w:after="0" w:line="480" w:lineRule="auto"/>
        <w:rPr>
          <w:color w:val="000000"/>
        </w:rPr>
      </w:pPr>
    </w:p>
    <w:p w14:paraId="6ED17EF8" w14:textId="56E2F1E4" w:rsidR="009B17C9" w:rsidRPr="00E7337F" w:rsidRDefault="00CB6397" w:rsidP="00950E9F">
      <w:pPr>
        <w:spacing w:after="0" w:line="480" w:lineRule="auto"/>
        <w:rPr>
          <w:i/>
          <w:iCs/>
          <w:color w:val="000000"/>
        </w:rPr>
      </w:pPr>
      <w:r w:rsidRPr="00E7337F">
        <w:rPr>
          <w:i/>
          <w:iCs/>
          <w:color w:val="000000"/>
        </w:rPr>
        <w:t xml:space="preserve">5.2. </w:t>
      </w:r>
      <w:r w:rsidR="009B17C9" w:rsidRPr="00E7337F">
        <w:rPr>
          <w:i/>
          <w:iCs/>
          <w:color w:val="000000"/>
        </w:rPr>
        <w:t>Population-level interventions</w:t>
      </w:r>
    </w:p>
    <w:p w14:paraId="1BA05B72" w14:textId="2479B2C2" w:rsidR="00450CA8" w:rsidRPr="00E7337F" w:rsidRDefault="00EE12F8" w:rsidP="00950E9F">
      <w:pPr>
        <w:spacing w:after="0" w:line="480" w:lineRule="auto"/>
        <w:rPr>
          <w:color w:val="000000"/>
        </w:rPr>
      </w:pPr>
      <w:r w:rsidRPr="00E7337F">
        <w:rPr>
          <w:color w:val="000000"/>
        </w:rPr>
        <w:t>Despite the potential efficacy of individual-level interventions, tackling many of the underlying causes of conservation problem</w:t>
      </w:r>
      <w:r w:rsidR="004D6083" w:rsidRPr="00E7337F">
        <w:rPr>
          <w:color w:val="000000"/>
        </w:rPr>
        <w:t>s,</w:t>
      </w:r>
      <w:r w:rsidRPr="00E7337F">
        <w:rPr>
          <w:color w:val="000000"/>
        </w:rPr>
        <w:t xml:space="preserve"> such as society-wide unsustainable consumption of resources</w:t>
      </w:r>
      <w:r w:rsidR="004D6083" w:rsidRPr="00E7337F">
        <w:rPr>
          <w:color w:val="000000"/>
        </w:rPr>
        <w:t>,</w:t>
      </w:r>
      <w:r w:rsidRPr="00E7337F">
        <w:rPr>
          <w:color w:val="000000"/>
        </w:rPr>
        <w:t xml:space="preserve"> typically requires intervention at the population level.</w:t>
      </w:r>
      <w:r w:rsidR="00B17C31" w:rsidRPr="00E7337F">
        <w:rPr>
          <w:color w:val="000000"/>
        </w:rPr>
        <w:t xml:space="preserve"> </w:t>
      </w:r>
      <w:r w:rsidRPr="00E7337F">
        <w:rPr>
          <w:color w:val="000000"/>
        </w:rPr>
        <w:t xml:space="preserve">We identify four types of behaviour change interventions that operate at </w:t>
      </w:r>
      <w:r w:rsidR="00880C04" w:rsidRPr="00E7337F">
        <w:rPr>
          <w:color w:val="000000"/>
        </w:rPr>
        <w:t>this</w:t>
      </w:r>
      <w:r w:rsidR="006F22A4" w:rsidRPr="00E7337F">
        <w:rPr>
          <w:color w:val="000000"/>
        </w:rPr>
        <w:t xml:space="preserve"> </w:t>
      </w:r>
      <w:r w:rsidRPr="00E7337F">
        <w:rPr>
          <w:color w:val="000000"/>
        </w:rPr>
        <w:t xml:space="preserve">level. </w:t>
      </w:r>
      <w:r w:rsidR="00EE699C" w:rsidRPr="00E7337F">
        <w:rPr>
          <w:color w:val="000000"/>
        </w:rPr>
        <w:t xml:space="preserve">The first encompasses physical </w:t>
      </w:r>
      <w:r w:rsidRPr="00E7337F">
        <w:rPr>
          <w:color w:val="000000"/>
        </w:rPr>
        <w:t xml:space="preserve">microenvironment interventions </w:t>
      </w:r>
      <w:r w:rsidR="00EE699C" w:rsidRPr="00E7337F">
        <w:rPr>
          <w:color w:val="000000"/>
        </w:rPr>
        <w:t>that change</w:t>
      </w:r>
      <w:r w:rsidRPr="00E7337F">
        <w:rPr>
          <w:color w:val="000000"/>
        </w:rPr>
        <w:t xml:space="preserve"> the characteristics of products and services or </w:t>
      </w:r>
      <w:r w:rsidRPr="00E7337F">
        <w:rPr>
          <w:color w:val="000000"/>
        </w:rPr>
        <w:lastRenderedPageBreak/>
        <w:t xml:space="preserve">the environments within which they are available </w:t>
      </w:r>
      <w:r w:rsidR="00FC51B3" w:rsidRPr="00E7337F">
        <w:rPr>
          <w:color w:val="000000" w:themeColor="text1"/>
        </w:rPr>
        <w:t>(e.g. shops, restaurants, workplaces or websites;</w:t>
      </w:r>
      <w:r w:rsidR="00FC51B3" w:rsidRPr="00E7337F">
        <w:rPr>
          <w:color w:val="000000" w:themeColor="text1"/>
        </w:rPr>
        <w:fldChar w:fldCharType="begin" w:fldLock="1"/>
      </w:r>
      <w:r w:rsidR="00071F56" w:rsidRPr="00E7337F">
        <w:rPr>
          <w:color w:val="000000" w:themeColor="text1"/>
        </w:rPr>
        <w:instrText>ADDIN CSL_CITATION {"citationItems":[{"id":"ITEM-1","itemData":{"DOI":"10.1038/s41562-017-0140","ISSN":"23973374","abstract":"© 2017 Macmillan Publishers Limited, part of Springer Nature. All rights reserved. Reflecting widespread interest in concepts of â €nudging' and â € choice architecture', there is increasing research and policy attention on altering aspects of the small-scale physical environment, such as portion sizes or the placement of products, to change health-related behaviour at the population level. There is, however, a lack of clarity in characterizing these interventions and no reliable framework incorporating standardized definitions. This hampers both the synthesis of cumulative evidence about intervention effects, and the identification of intervention opportunities. To address this, a new tool, TIPPME (typology of interventions in proximal physical micro-environments), has been developed and here applied to the selection, purchase and consumption of food, alcohol and tobacco. This provides a framework to reliably classify and describe, and enable more systematic design, reporting and analysis of, an important class of interventions. In doing so, it makes a distinct contribution to collective efforts to build the cumulative evidence base for effective ways of changing behaviour across populations.","author":[{"dropping-particle":"","family":"Hollands","given":"Gareth J.","non-dropping-particle":"","parse-names":false,"suffix":""},{"dropping-particle":"","family":"Bignardi","given":"Giacomo","non-dropping-particle":"","parse-names":false,"suffix":""},{"dropping-particle":"","family":"Johnston","given":"Marie","non-dropping-particle":"","parse-names":false,"suffix":""},{"dropping-particle":"","family":"Kelly","given":"Michael P.","non-dropping-particle":"","parse-names":false,"suffix":""},{"dropping-particle":"","family":"Ogilvie","given":"David","non-dropping-particle":"","parse-names":false,"suffix":""},{"dropping-particle":"","family":"Petticrew","given":"Mark","non-dropping-particle":"","parse-names":false,"suffix":""},{"dropping-particle":"","family":"Prestwich","given":"Andrew","non-dropping-particle":"","parse-names":false,"suffix":""},{"dropping-particle":"","family":"Shemilt","given":"Ian","non-dropping-particle":"","parse-names":false,"suffix":""},{"dropping-particle":"","family":"Sutton","given":"Stephen","non-dropping-particle":"","parse-names":false,"suffix":""},{"dropping-particle":"","family":"Marteau","given":"Theresa M.","non-dropping-particle":"","parse-names":false,"suffix":""}],"container-title":"Nature Human Behaviour","id":"ITEM-1","issue":"8","issued":{"date-parts":[["2017"]]},"page":"1-9","title":"The TIPPME intervention typology for changing environments to change behaviour","type":"article-journal","volume":"1"},"uris":["http://www.mendeley.com/documents/?uuid=e28ae90e-878d-41e4-8cdc-4c30601a8a99"]}],"mendeley":{"formattedCitation":"(Hollands et al., 2017)","manualFormatting":" Hollands et al., 2017; Marteau et al., 2020).","plainTextFormattedCitation":"(Hollands et al., 2017)","previouslyFormattedCitation":"(Hollands et al., 2017)"},"properties":{"noteIndex":0},"schema":"https://github.com/citation-style-language/schema/raw/master/csl-citation.json"}</w:instrText>
      </w:r>
      <w:r w:rsidR="00FC51B3" w:rsidRPr="00E7337F">
        <w:rPr>
          <w:color w:val="000000" w:themeColor="text1"/>
        </w:rPr>
        <w:fldChar w:fldCharType="separate"/>
      </w:r>
      <w:r w:rsidR="00FC51B3" w:rsidRPr="00E7337F">
        <w:rPr>
          <w:noProof/>
          <w:color w:val="000000" w:themeColor="text1"/>
        </w:rPr>
        <w:t xml:space="preserve"> </w:t>
      </w:r>
      <w:r w:rsidR="00FC51B3" w:rsidRPr="00E7337F">
        <w:rPr>
          <w:noProof/>
          <w:color w:val="000000" w:themeColor="text1"/>
        </w:rPr>
        <w:fldChar w:fldCharType="begin" w:fldLock="1"/>
      </w:r>
      <w:r w:rsidR="00071F56" w:rsidRPr="00E7337F">
        <w:rPr>
          <w:noProof/>
          <w:color w:val="000000" w:themeColor="text1"/>
        </w:rPr>
        <w:instrText>ADDIN CSL_CITATION {"citationItems":[{"id":"ITEM-1","itemData":{"DOI":"10.1038/s41562-017-0140","ISSN":"23973374","abstract":"© 2017 Macmillan Publishers Limited, part of Springer Nature. All rights reserved. Reflecting widespread interest in concepts of â €nudging' and â € choice architecture', there is increasing research and policy attention on altering aspects of the small-scale physical environment, such as portion sizes or the placement of products, to change health-related behaviour at the population level. There is, however, a lack of clarity in characterizing these interventions and no reliable framework incorporating standardized definitions. This hampers both the synthesis of cumulative evidence about intervention effects, and the identification of intervention opportunities. To address this, a new tool, TIPPME (typology of interventions in proximal physical micro-environments), has been developed and here applied to the selection, purchase and consumption of food, alcohol and tobacco. This provides a framework to reliably classify and describe, and enable more systematic design, reporting and analysis of, an important class of interventions. In doing so, it makes a distinct contribution to collective efforts to build the cumulative evidence base for effective ways of changing behaviour across populations.","author":[{"dropping-particle":"","family":"Hollands","given":"Gareth J.","non-dropping-particle":"","parse-names":false,"suffix":""},{"dropping-particle":"","family":"Bignardi","given":"Giacomo","non-dropping-particle":"","parse-names":false,"suffix":""},{"dropping-particle":"","family":"Johnston","given":"Marie","non-dropping-particle":"","parse-names":false,"suffix":""},{"dropping-particle":"","family":"Kelly","given":"Michael P.","non-dropping-particle":"","parse-names":false,"suffix":""},{"dropping-particle":"","family":"Ogilvie","given":"David","non-dropping-particle":"","parse-names":false,"suffix":""},{"dropping-particle":"","family":"Petticrew","given":"Mark","non-dropping-particle":"","parse-names":false,"suffix":""},{"dropping-particle":"","family":"Prestwich","given":"Andrew","non-dropping-particle":"","parse-names":false,"suffix":""},{"dropping-particle":"","family":"Shemilt","given":"Ian","non-dropping-particle":"","parse-names":false,"suffix":""},{"dropping-particle":"","family":"Sutton","given":"Stephen","non-dropping-particle":"","parse-names":false,"suffix":""},{"dropping-particle":"","family":"Marteau","given":"Theresa M.","non-dropping-particle":"","parse-names":false,"suffix":""}],"container-title":"Nature Human Behaviour","id":"ITEM-1","issue":"8","issued":{"date-parts":[["2017"]]},"page":"1-9","title":"The TIPPME intervention typology for changing environments to change behaviour","type":"article-journal","volume":"1"},"uris":["http://www.mendeley.com/documents/?uuid=e28ae90e-878d-41e4-8cdc-4c30601a8a99"]},{"id":"ITEM-2","itemData":{"author":[{"dropping-particle":"","family":"Marteau","given":"Theresa M.","non-dropping-particle":"","parse-names":false,"suffix":""},{"dropping-particle":"","family":"Fletcher","given":"Paul C.","non-dropping-particle":"","parse-names":false,"suffix":""},{"dropping-particle":"","family":"Hollands","given":"Gareth J.","non-dropping-particle":"","parse-names":false,"suffix":""},{"dropping-particle":"","family":"Munafo","given":"Marcus R.","non-dropping-particle":"","parse-names":false,"suffix":""}],"container-title":"Handbook of Behavior Change","editor":[{"dropping-particle":"","family":"Hagger","given":"Martin S.","non-dropping-particle":"","parse-names":false,"suffix":""},{"dropping-particle":"","family":"Cameron","given":"Linda D.","non-dropping-particle":"","parse-names":false,"suffix":""},{"dropping-particle":"","family":"Hamilton","given":"Kyra","non-dropping-particle":"","parse-names":false,"suffix":""},{"dropping-particle":"","family":"Hankonen","given":"Nelli","non-dropping-particle":"","parse-names":false,"suffix":""},{"dropping-particle":"","family":"Lintunen","given":"Taru","non-dropping-particle":"","parse-names":false,"suffix":""}],"id":"ITEM-2","issued":{"date-parts":[["2020"]]},"page":"193-207","publisher":"Cambridge University Press","title":"Changing behaviour by changing environments","type":"chapter"},"uris":["http://www.mendeley.com/documents/?uuid=b51113c3-11e0-494e-8d8d-7f5d5876bc80"]}],"mendeley":{"formattedCitation":"(Hollands et al., 2017; Marteau et al., 2020)","manualFormatting":"Hollands et al., 2017; Marteau et al., 2020)","plainTextFormattedCitation":"(Hollands et al., 2017; Marteau et al., 2020)","previouslyFormattedCitation":"(Hollands et al., 2017; Marteau et al., 2020)"},"properties":{"noteIndex":0},"schema":"https://github.com/citation-style-language/schema/raw/master/csl-citation.json"}</w:instrText>
      </w:r>
      <w:r w:rsidR="00FC51B3" w:rsidRPr="00E7337F">
        <w:rPr>
          <w:noProof/>
          <w:color w:val="000000" w:themeColor="text1"/>
        </w:rPr>
        <w:fldChar w:fldCharType="separate"/>
      </w:r>
      <w:r w:rsidR="00FC51B3" w:rsidRPr="00E7337F">
        <w:rPr>
          <w:noProof/>
          <w:color w:val="000000" w:themeColor="text1"/>
        </w:rPr>
        <w:t>Hollands et al., 2017; Marteau et al., 2020)</w:t>
      </w:r>
      <w:r w:rsidR="00FC51B3" w:rsidRPr="00E7337F">
        <w:rPr>
          <w:noProof/>
          <w:color w:val="000000" w:themeColor="text1"/>
        </w:rPr>
        <w:fldChar w:fldCharType="end"/>
      </w:r>
      <w:r w:rsidR="00FC51B3" w:rsidRPr="00E7337F">
        <w:rPr>
          <w:noProof/>
          <w:color w:val="000000" w:themeColor="text1"/>
        </w:rPr>
        <w:t>.</w:t>
      </w:r>
      <w:r w:rsidR="00FC51B3" w:rsidRPr="00E7337F">
        <w:rPr>
          <w:color w:val="000000" w:themeColor="text1"/>
        </w:rPr>
        <w:fldChar w:fldCharType="end"/>
      </w:r>
      <w:r w:rsidR="00FC51B3" w:rsidRPr="00E7337F">
        <w:rPr>
          <w:color w:val="000000" w:themeColor="text1"/>
        </w:rPr>
        <w:t xml:space="preserve"> </w:t>
      </w:r>
      <w:r w:rsidRPr="00E7337F">
        <w:rPr>
          <w:color w:val="000000"/>
        </w:rPr>
        <w:t>These interventions embrace the concept of choice architecture</w:t>
      </w:r>
      <w:r w:rsidR="00046F98" w:rsidRPr="00E7337F">
        <w:rPr>
          <w:color w:val="000000"/>
        </w:rPr>
        <w:t>, also known as</w:t>
      </w:r>
      <w:r w:rsidRPr="00E7337F">
        <w:rPr>
          <w:color w:val="000000"/>
        </w:rPr>
        <w:t xml:space="preserve"> nudging</w:t>
      </w:r>
      <w:r w:rsidR="00880C04" w:rsidRPr="00E7337F">
        <w:rPr>
          <w:color w:val="000000"/>
        </w:rPr>
        <w:t>; they</w:t>
      </w:r>
      <w:r w:rsidRPr="00E7337F">
        <w:rPr>
          <w:color w:val="000000"/>
        </w:rPr>
        <w:t xml:space="preserve"> usually operate through </w:t>
      </w:r>
      <w:r w:rsidR="00046F98" w:rsidRPr="00E7337F">
        <w:rPr>
          <w:color w:val="000000"/>
        </w:rPr>
        <w:t xml:space="preserve">non-conscious routes to action, </w:t>
      </w:r>
      <w:r w:rsidRPr="00E7337F">
        <w:rPr>
          <w:color w:val="000000"/>
        </w:rPr>
        <w:t>and have</w:t>
      </w:r>
      <w:r w:rsidR="00D92986" w:rsidRPr="00E7337F">
        <w:rPr>
          <w:color w:val="000000"/>
        </w:rPr>
        <w:t xml:space="preserve"> </w:t>
      </w:r>
      <w:r w:rsidRPr="00E7337F">
        <w:rPr>
          <w:color w:val="000000"/>
        </w:rPr>
        <w:t xml:space="preserve">gained considerable popularity since the publication of the book </w:t>
      </w:r>
      <w:r w:rsidRPr="00E7337F">
        <w:rPr>
          <w:i/>
          <w:color w:val="000000"/>
        </w:rPr>
        <w:t>Nudge</w:t>
      </w:r>
      <w:r w:rsidRPr="00E7337F">
        <w:rPr>
          <w:color w:val="000000"/>
        </w:rPr>
        <w:t xml:space="preserve"> </w:t>
      </w:r>
      <w:r w:rsidR="00FC51B3" w:rsidRPr="00E7337F">
        <w:rPr>
          <w:color w:val="000000" w:themeColor="text1"/>
        </w:rPr>
        <w:fldChar w:fldCharType="begin" w:fldLock="1"/>
      </w:r>
      <w:r w:rsidR="00071F56" w:rsidRPr="00E7337F">
        <w:rPr>
          <w:color w:val="000000" w:themeColor="text1"/>
        </w:rPr>
        <w:instrText>ADDIN CSL_CITATION {"citationItems":[{"id":"ITEM-1","itemData":{"ISBN":"014311526X","author":[{"dropping-particle":"","family":"Thaler","given":"Richard H","non-dropping-particle":"","parse-names":false,"suffix":""},{"dropping-particle":"","family":"Sunstein","given":"Cass R","non-dropping-particle":"","parse-names":false,"suffix":""}],"id":"ITEM-1","issued":{"date-parts":[["2009"]]},"publisher":"Penguin","title":"Nudge: Improving decisions about health, wealth, and happiness","type":"book"},"uris":["http://www.mendeley.com/documents/?uuid=bc119294-bb99-44c1-8d32-562e69353cb7"]}],"mendeley":{"formattedCitation":"(Thaler and Sunstein, 2009)","plainTextFormattedCitation":"(Thaler and Sunstein, 2009)","previouslyFormattedCitation":"(Thaler and Sunstein, 2009)"},"properties":{"noteIndex":0},"schema":"https://github.com/citation-style-language/schema/raw/master/csl-citation.json"}</w:instrText>
      </w:r>
      <w:r w:rsidR="00FC51B3" w:rsidRPr="00E7337F">
        <w:rPr>
          <w:color w:val="000000" w:themeColor="text1"/>
        </w:rPr>
        <w:fldChar w:fldCharType="separate"/>
      </w:r>
      <w:r w:rsidR="0086250C" w:rsidRPr="00E7337F">
        <w:rPr>
          <w:noProof/>
          <w:color w:val="000000" w:themeColor="text1"/>
        </w:rPr>
        <w:t>(Thaler and Sunstein, 2009)</w:t>
      </w:r>
      <w:r w:rsidR="00FC51B3" w:rsidRPr="00E7337F">
        <w:rPr>
          <w:color w:val="000000" w:themeColor="text1"/>
        </w:rPr>
        <w:fldChar w:fldCharType="end"/>
      </w:r>
      <w:r w:rsidRPr="00E7337F">
        <w:rPr>
          <w:color w:val="000000"/>
        </w:rPr>
        <w:t xml:space="preserve">. Notable examples with conservation relevance include changing the relative availability of plant- and meat-based meals in </w:t>
      </w:r>
      <w:r w:rsidR="00EC51DD" w:rsidRPr="00E7337F">
        <w:rPr>
          <w:color w:val="000000"/>
        </w:rPr>
        <w:t>cafeteria</w:t>
      </w:r>
      <w:r w:rsidR="000C365A" w:rsidRPr="00E7337F">
        <w:rPr>
          <w:color w:val="000000"/>
        </w:rPr>
        <w:t>s</w:t>
      </w:r>
      <w:r w:rsidRPr="00E7337F">
        <w:rPr>
          <w:color w:val="000000"/>
        </w:rPr>
        <w:t xml:space="preserve"> </w:t>
      </w:r>
      <w:r w:rsidR="00FC51B3" w:rsidRPr="00E7337F">
        <w:rPr>
          <w:color w:val="000000" w:themeColor="text1"/>
        </w:rPr>
        <w:fldChar w:fldCharType="begin" w:fldLock="1"/>
      </w:r>
      <w:r w:rsidR="00400DCE" w:rsidRPr="00E7337F">
        <w:rPr>
          <w:color w:val="000000" w:themeColor="text1"/>
        </w:rPr>
        <w:instrText>ADDIN CSL_CITATION {"citationItems":[{"id":"ITEM-1","itemData":{"ISSN":"2398-063X","author":[{"dropping-particle":"","family":"Gravert","given":"Christina","non-dropping-particle":"","parse-names":false,"suffix":""},{"dropping-particle":"","family":"Kurz","given":"Verena","non-dropping-particle":"","parse-names":false,"suffix":""}],"container-title":"Behavioural Public Policy","id":"ITEM-1","issued":{"date-parts":[["2019"]]},"page":"1-18","title":"Nudging à la carte: a field experiment on climate-friendly food choice","type":"article-journal"},"uris":["http://www.mendeley.com/documents/?uuid=0405cef2-7a1d-49a3-9b6c-60a66c1a2cf3"]},{"id":"ITEM-2","itemData":{"DOI":"10.1073/pnas.1907207116","author":[{"dropping-particle":"","family":"Garnett","given":"Emma E","non-dropping-particle":"","parse-names":false,"suffix":""},{"dropping-particle":"","family":"Balmford","given":"Andrew","non-dropping-particle":"","parse-names":false,"suffix":""},{"dropping-particle":"","family":"Sandbrook","given":"Chris","non-dropping-particle":"","parse-names":false,"suffix":""},{"dropping-particle":"","family":"Pilling","given":"Mark A","non-dropping-particle":"","parse-names":false,"suffix":""},{"dropping-particle":"","family":"Marteau","given":"Theresa M","non-dropping-particle":"","parse-names":false,"suffix":""}],"container-title":"Proceedings of the National Academy of Sciences","id":"ITEM-2","issued":{"date-parts":[["2019"]]},"page":"20923-20929","title":"Impact of increasing vegetarian availability on meal selection and sales in cafeterias","type":"article-journal","volume":"116"},"uris":["http://www.mendeley.com/documents/?uuid=1826427c-464c-46cb-b53e-7864564836f5"]}],"mendeley":{"formattedCitation":"(Garnett et al., 2019; Gravert and Kurz, 2019)","plainTextFormattedCitation":"(Garnett et al., 2019; Gravert and Kurz, 2019)","previouslyFormattedCitation":"(Garnett et al., 2019; Gravert and Kurz, 2019)"},"properties":{"noteIndex":0},"schema":"https://github.com/citation-style-language/schema/raw/master/csl-citation.json"}</w:instrText>
      </w:r>
      <w:r w:rsidR="00FC51B3" w:rsidRPr="00E7337F">
        <w:rPr>
          <w:color w:val="000000" w:themeColor="text1"/>
        </w:rPr>
        <w:fldChar w:fldCharType="separate"/>
      </w:r>
      <w:r w:rsidR="00072CF5" w:rsidRPr="00E7337F">
        <w:rPr>
          <w:noProof/>
          <w:color w:val="000000" w:themeColor="text1"/>
        </w:rPr>
        <w:t>(Garnett et al., 2019; Gravert and Kurz, 2019)</w:t>
      </w:r>
      <w:r w:rsidR="00FC51B3" w:rsidRPr="00E7337F">
        <w:rPr>
          <w:color w:val="000000" w:themeColor="text1"/>
        </w:rPr>
        <w:fldChar w:fldCharType="end"/>
      </w:r>
      <w:r w:rsidRPr="00E7337F">
        <w:rPr>
          <w:color w:val="000000"/>
        </w:rPr>
        <w:t xml:space="preserve">; altering the positioning of high- and lower-footprint options on menus and in buffets </w:t>
      </w:r>
      <w:r w:rsidR="00FC51B3" w:rsidRPr="00E7337F">
        <w:rPr>
          <w:color w:val="000000" w:themeColor="text1"/>
        </w:rPr>
        <w:fldChar w:fldCharType="begin" w:fldLock="1"/>
      </w:r>
      <w:r w:rsidR="00071F56" w:rsidRPr="00E7337F">
        <w:rPr>
          <w:color w:val="000000" w:themeColor="text1"/>
        </w:rPr>
        <w:instrText>ADDIN CSL_CITATION {"citationItems":[{"id":"ITEM-1","itemData":{"DOI":"10.1038/s43016-020-0132-8","ISSN":"2662-1355","author":[{"dropping-particle":"","family":"Garnett","given":"Emma E","non-dropping-particle":"","parse-names":false,"suffix":""},{"dropping-particle":"","family":"Marteau","given":"Theresa M","non-dropping-particle":"","parse-names":false,"suffix":""},{"dropping-particle":"","family":"Sandbrook","given":"Chris","non-dropping-particle":"","parse-names":false,"suffix":""},{"dropping-particle":"","family":"Pilling","given":"Mark A","non-dropping-particle":"","parse-names":false,"suffix":""},{"dropping-particle":"","family":"Balmford","given":"Andrew","non-dropping-particle":"","parse-names":false,"suffix":""}],"container-title":"Nature Food","id":"ITEM-1","issue":"August","issued":{"date-parts":[["2020"]]},"page":"485-488","title":"Order of meals at the counter and distance between options affect student cafeteria vegetarian sales","type":"article-journal","volume":"1"},"uris":["http://www.mendeley.com/documents/?uuid=50e85037-34cd-4e46-98a9-2c6d87509037"]},{"id":"ITEM-2","itemData":{"ISSN":"0095-0696","author":[{"dropping-particle":"","family":"Kurz","given":"Verena","non-dropping-particle":"","parse-names":false,"suffix":""}],"container-title":"Journal of Environmental Economics and Management","id":"ITEM-2","issued":{"date-parts":[["2018"]]},"page":"317-341","title":"Nudging to reduce meat consumption: Immediate and persistent effects of an intervention at a university restaurant","type":"article-journal","volume":"90"},"uris":["http://www.mendeley.com/documents/?uuid=8b5c4ad8-8cf0-4e17-9095-aae210326cc1"]}],"mendeley":{"formattedCitation":"(Garnett et al., 2020; Kurz, 2018)","plainTextFormattedCitation":"(Garnett et al., 2020; Kurz, 2018)","previouslyFormattedCitation":"(Garnett et al., 2020; Kurz, 2018)"},"properties":{"noteIndex":0},"schema":"https://github.com/citation-style-language/schema/raw/master/csl-citation.json"}</w:instrText>
      </w:r>
      <w:r w:rsidR="00FC51B3" w:rsidRPr="00E7337F">
        <w:rPr>
          <w:color w:val="000000" w:themeColor="text1"/>
        </w:rPr>
        <w:fldChar w:fldCharType="separate"/>
      </w:r>
      <w:r w:rsidR="0086250C" w:rsidRPr="00E7337F">
        <w:rPr>
          <w:noProof/>
          <w:color w:val="000000" w:themeColor="text1"/>
        </w:rPr>
        <w:t>(Garnett et al., 2020; Kurz, 2018)</w:t>
      </w:r>
      <w:r w:rsidR="00FC51B3" w:rsidRPr="00E7337F">
        <w:rPr>
          <w:color w:val="000000" w:themeColor="text1"/>
        </w:rPr>
        <w:fldChar w:fldCharType="end"/>
      </w:r>
      <w:r w:rsidR="00FC51B3" w:rsidRPr="00E7337F">
        <w:rPr>
          <w:color w:val="000000" w:themeColor="text1"/>
        </w:rPr>
        <w:t xml:space="preserve">; </w:t>
      </w:r>
      <w:r w:rsidR="00965C4F" w:rsidRPr="00E7337F">
        <w:rPr>
          <w:color w:val="000000" w:themeColor="text1"/>
        </w:rPr>
        <w:t xml:space="preserve">and </w:t>
      </w:r>
      <w:r w:rsidR="00FC51B3" w:rsidRPr="00E7337F">
        <w:rPr>
          <w:color w:val="000000" w:themeColor="text1"/>
        </w:rPr>
        <w:t xml:space="preserve">providing accessible litterbins in outdoor spaces </w:t>
      </w:r>
      <w:r w:rsidR="00FC51B3" w:rsidRPr="00E7337F">
        <w:rPr>
          <w:color w:val="000000" w:themeColor="text1"/>
        </w:rPr>
        <w:fldChar w:fldCharType="begin" w:fldLock="1"/>
      </w:r>
      <w:r w:rsidR="00071F56" w:rsidRPr="00E7337F">
        <w:rPr>
          <w:color w:val="000000" w:themeColor="text1"/>
        </w:rPr>
        <w:instrText>ADDIN CSL_CITATION {"citationItems":[{"id":"ITEM-1","itemData":{"ISSN":"0013-9165","author":[{"dropping-particle":"","family":"Schultz","given":"P Wesley","non-dropping-particle":"","parse-names":false,"suffix":""},{"dropping-particle":"","family":"Bator","given":"Renée J","non-dropping-particle":"","parse-names":false,"suffix":""},{"dropping-particle":"","family":"Large","given":"Lori Brown","non-dropping-particle":"","parse-names":false,"suffix":""},{"dropping-particle":"","family":"Bruni","given":"Coral M","non-dropping-particle":"","parse-names":false,"suffix":""},{"dropping-particle":"","family":"Tabanico","given":"Jennifer J","non-dropping-particle":"","parse-names":false,"suffix":""}],"container-title":"Environment and Behavior","id":"ITEM-1","issue":"1","issued":{"date-parts":[["2013"]]},"page":"35-59","title":"Littering in context: Personal and environmental predictors of littering behavior","type":"article-journal","volume":"45"},"uris":["http://www.mendeley.com/documents/?uuid=d94eb1a4-1f27-4173-bf68-f646049aff7e"]}],"mendeley":{"formattedCitation":"(Schultz et al., 2013)","plainTextFormattedCitation":"(Schultz et al., 2013)","previouslyFormattedCitation":"(Schultz et al., 2013)"},"properties":{"noteIndex":0},"schema":"https://github.com/citation-style-language/schema/raw/master/csl-citation.json"}</w:instrText>
      </w:r>
      <w:r w:rsidR="00FC51B3" w:rsidRPr="00E7337F">
        <w:rPr>
          <w:color w:val="000000" w:themeColor="text1"/>
        </w:rPr>
        <w:fldChar w:fldCharType="separate"/>
      </w:r>
      <w:r w:rsidR="0086250C" w:rsidRPr="00E7337F">
        <w:rPr>
          <w:noProof/>
          <w:color w:val="000000" w:themeColor="text1"/>
        </w:rPr>
        <w:t>(Schultz et al., 2013)</w:t>
      </w:r>
      <w:r w:rsidR="00FC51B3" w:rsidRPr="00E7337F">
        <w:rPr>
          <w:color w:val="000000" w:themeColor="text1"/>
        </w:rPr>
        <w:fldChar w:fldCharType="end"/>
      </w:r>
      <w:r w:rsidRPr="00E7337F">
        <w:t>.</w:t>
      </w:r>
      <w:r w:rsidRPr="00E7337F">
        <w:rPr>
          <w:color w:val="000000"/>
        </w:rPr>
        <w:t xml:space="preserve"> Extensive research in other sectors suggests that physical microenvironment interventions can have </w:t>
      </w:r>
      <w:r w:rsidR="000A16F8" w:rsidRPr="00E7337F">
        <w:t>significant</w:t>
      </w:r>
      <w:r w:rsidR="000A16F8" w:rsidRPr="00E7337F">
        <w:rPr>
          <w:color w:val="000000"/>
        </w:rPr>
        <w:t xml:space="preserve"> </w:t>
      </w:r>
      <w:r w:rsidRPr="00E7337F">
        <w:rPr>
          <w:color w:val="000000"/>
        </w:rPr>
        <w:t xml:space="preserve">effects on behaviour </w:t>
      </w:r>
      <w:r w:rsidR="00900FBA" w:rsidRPr="00E7337F">
        <w:rPr>
          <w:color w:val="000000" w:themeColor="text1"/>
        </w:rPr>
        <w:fldChar w:fldCharType="begin" w:fldLock="1"/>
      </w:r>
      <w:r w:rsidR="00071F56" w:rsidRPr="00E7337F">
        <w:rPr>
          <w:color w:val="000000" w:themeColor="text1"/>
        </w:rPr>
        <w:instrText>ADDIN CSL_CITATION {"citationItems":[{"id":"ITEM-1","itemData":{"ISBN":"0036-8075","abstract":"Much of the global burden of disease is associated with behaviors - overeating, smoking, excessive alcohol consumption, and physical inactivity - that people recognize as health-harming and yet continue to engage in, even when undesired consequences emerge. To date, interventions aimed at changing such behaviors have largely encouraged people to reflect on their behaviors. These approaches are often ineffectual, which is in keeping with the observation thatmuch human behavior is automatic, cued by environmental stimuli, resulting in actions that are largely unaccompanied by conscious reflection. We propose that interventions targeting these automatic bases of behaviors may be more effective. We discuss specific interventions and suggest ways to determine whether and how interventions that target automatic processes can enhance global efforts to prevent disease.","author":[{"dropping-particle":"","family":"Marteau","given":"Theresa M.","non-dropping-particle":"","parse-names":false,"suffix":""},{"dropping-particle":"","family":"Hollands","given":"Gareth J.","non-dropping-particle":"","parse-names":false,"suffix":""},{"dropping-particle":"","family":"Fletcher","given":"Paul C.","non-dropping-particle":"","parse-names":false,"suffix":""}],"container-title":"Science","id":"ITEM-1","issue":"6101","issued":{"date-parts":[["2012"]]},"page":"1492-1495","title":"Changing human behavior to prevent disease: The importance of targeting automatic processes","type":"article-journal","volume":"337"},"uris":["http://www.mendeley.com/documents/?uuid=c3a772f4-b78e-4284-a9d6-ea904bbb006a"]},{"id":"ITEM-2","itemData":{"ISSN":"1756-1833","author":[{"dropping-particle":"","family":"Marteau","given":"Theresa M","non-dropping-particle":"","parse-names":false,"suffix":""},{"dropping-particle":"","family":"Hollands","given":"Gareth J","non-dropping-particle":"","parse-names":false,"suffix":""},{"dropping-particle":"","family":"Shemilt","given":"Ian","non-dropping-particle":"","parse-names":false,"suffix":""},{"dropping-particle":"","family":"Jebb","given":"Susan A","non-dropping-particle":"","parse-names":false,"suffix":""}],"container-title":"Bmj","id":"ITEM-2","issued":{"date-parts":[["2015"]]},"title":"Downsizing: policy options to reduce portion sizes to help tackle obesity","type":"article-journal","volume":"351"},"uris":["http://www.mendeley.com/documents/?uuid=a998578d-adf6-42c0-af27-85ddf3a52189"]},{"id":"ITEM-3","itemData":{"DOI":"10.1038/s41467-019-12457-2","ISSN":"20411723","abstract":"No consensus exists regarding which are the most effective mechanisms to promote household action on climate change. We present a meta-analysis of randomised controlled trials comprising 3,092,678 observations, which estimates the effects of behavioural interventions holding other factors constant. Here we show that behavioural interventions promote climate change mitigation to a very small degree while the intervention lasts (d = −0.093 95% CI −0.160, −0.055), with no evidence of sustained positive effects once the intervention ends. With the exception of recycling, most household mitigation behaviours show a low behavioural plasticity. The intervention with the highest average effect size is choice architecture (nudges) but this strategy has been tested in a limited number of behaviours. Our results do not imply behavioural interventions are less effective than alternative strategies such as financial incentives or regulations, nor exclude the possibility that behavioural interventions could have stronger effects when used in combination with alternative strategies. It is not clear which are the most effective mechanisms to achieve sustainable lifestyle behaviour. Here the authors study the impact of behavioural interventions excluding economic incentives by performing a large-scale meta-analysis and find that these interventions promote sustainable behaviours to a small degree in the short-term with no evidence of sustained positive effects once the intervention is completed.","author":[{"dropping-particle":"","family":"Nisa","given":"Claudia F.","non-dropping-particle":"","parse-names":false,"suffix":""},{"dropping-particle":"","family":"Bélanger","given":"Jocelyn J.","non-dropping-particle":"","parse-names":false,"suffix":""},{"dropping-particle":"","family":"Schumpe","given":"Birga M.","non-dropping-particle":"","parse-names":false,"suffix":""},{"dropping-particle":"","family":"Faller","given":"Daiane G.","non-dropping-particle":"","parse-names":false,"suffix":""}],"container-title":"Nature Communications","id":"ITEM-3","issue":"1","issued":{"date-parts":[["2019"]]},"page":"4545","title":"Meta-analysis of randomised controlled trials testing behavioural interventions to promote household action on climate change","type":"article-journal","volume":"10"},"uris":["http://www.mendeley.com/documents/?uuid=4e908c20-bde9-43f2-9a8c-d044ac48f883"]}],"mendeley":{"formattedCitation":"(Marteau et al., 2015, 2012; Nisa et al., 2019)","plainTextFormattedCitation":"(Marteau et al., 2015, 2012; Nisa et al., 2019)","previouslyFormattedCitation":"(Marteau et al., 2015, 2012; Nisa et al., 2019)"},"properties":{"noteIndex":0},"schema":"https://github.com/citation-style-language/schema/raw/master/csl-citation.json"}</w:instrText>
      </w:r>
      <w:r w:rsidR="00900FBA" w:rsidRPr="00E7337F">
        <w:rPr>
          <w:color w:val="000000" w:themeColor="text1"/>
        </w:rPr>
        <w:fldChar w:fldCharType="separate"/>
      </w:r>
      <w:r w:rsidR="0086250C" w:rsidRPr="00E7337F">
        <w:rPr>
          <w:noProof/>
          <w:color w:val="000000" w:themeColor="text1"/>
        </w:rPr>
        <w:t>(Marteau et al., 2015, 2012; Nisa et al., 2019)</w:t>
      </w:r>
      <w:r w:rsidR="00900FBA" w:rsidRPr="00E7337F">
        <w:rPr>
          <w:color w:val="000000" w:themeColor="text1"/>
        </w:rPr>
        <w:fldChar w:fldCharType="end"/>
      </w:r>
      <w:r w:rsidRPr="00E7337F">
        <w:t xml:space="preserve">, </w:t>
      </w:r>
      <w:r w:rsidRPr="00E7337F">
        <w:rPr>
          <w:color w:val="000000"/>
        </w:rPr>
        <w:t xml:space="preserve">sometimes disproportionately impacting higher-footprint segments of the population (such as those eating more meat) whose behaviour might be harder to shift by other means </w:t>
      </w:r>
      <w:r w:rsidR="00900FBA" w:rsidRPr="00E7337F">
        <w:rPr>
          <w:color w:val="000000" w:themeColor="text1"/>
        </w:rPr>
        <w:fldChar w:fldCharType="begin" w:fldLock="1"/>
      </w:r>
      <w:r w:rsidR="00071F56" w:rsidRPr="00E7337F">
        <w:rPr>
          <w:color w:val="000000" w:themeColor="text1"/>
        </w:rPr>
        <w:instrText>ADDIN CSL_CITATION {"citationItems":[{"id":"ITEM-1","itemData":{"DOI":"10.1038/nclimate2681","ISSN":"17586798","abstract":"Motivating individuals to choose energy from sustainable sources over conventionally produced power constitutes one of the biggest policy challenges for societies. Here we present the results of a randomized controlled trial in Germany that tested the impact of default rules (that is, a type of \"nudging\") on voluntary purchases of \"green\" energy contracts that entirely stem from renewable resources. Setting the default choice to more expensive \"green\" energy (that is, where consumers have to actively opt out if they do not want it) increased purchases of such nearly tenfold. Furthermore, county-level political preference for the green party uniquely predicted behaviour in the absence of the nudge, suggesting that default setting potentially overrules motivational aspects of green energy purchases. In follow-up experiments, we provide further evidence that the effect does not seem to be driven by unawareness. Summarizing, the present research provides an example of using behavioural science for climate change mitigation and shows alternatives to the use of subsidies or other economic incentives.","author":[{"dropping-particle":"","family":"Ebeling","given":"Felix","non-dropping-particle":"","parse-names":false,"suffix":""},{"dropping-particle":"","family":"Lotz","given":"Sebastian","non-dropping-particle":"","parse-names":false,"suffix":""}],"container-title":"Nature Climate Change","id":"ITEM-1","issue":"9","issued":{"date-parts":[["2015"]]},"page":"868-871","title":"Domestic uptake of green energy promoted by opt-out tariffs","type":"article-journal","volume":"5"},"uris":["http://www.mendeley.com/documents/?uuid=0ca7fbc9-0aff-454e-9d98-730ce3c87919"]},{"id":"ITEM-2","itemData":{"DOI":"10.1073/pnas.1907207116","author":[{"dropping-particle":"","family":"Garnett","given":"Emma E","non-dropping-particle":"","parse-names":false,"suffix":""},{"dropping-particle":"","family":"Balmford","given":"Andrew","non-dropping-particle":"","parse-names":false,"suffix":""},{"dropping-particle":"","family":"Sandbrook","given":"Chris","non-dropping-particle":"","parse-names":false,"suffix":""},{"dropping-particle":"","family":"Pilling","given":"Mark A","non-dropping-particle":"","parse-names":false,"suffix":""},{"dropping-particle":"","family":"Marteau","given":"Theresa M","non-dropping-particle":"","parse-names":false,"suffix":""}],"container-title":"Proceedings of the National Academy of Sciences","id":"ITEM-2","issued":{"date-parts":[["2019"]]},"page":"20923-20929","title":"Impact of increasing vegetarian availability on meal selection and sales in cafeterias","type":"article-journal","volume":"116"},"uris":["http://www.mendeley.com/documents/?uuid=1826427c-464c-46cb-b53e-7864564836f5"]},{"id":"ITEM-3","itemData":{"DOI":"10.1038/s41562-021-01070-3","ISSN":"2397-3374","author":[{"dropping-particle":"","family":"Liebe","given":"Ulf","non-dropping-particle":"","parse-names":false,"suffix":""},{"dropping-particle":"","family":"Gewinner","given":"Jennifer","non-dropping-particle":"","parse-names":false,"suffix":""},{"dropping-particle":"","family":"Diekmann","given":"Andreas","non-dropping-particle":"","parse-names":false,"suffix":""}],"container-title":"Nature Human Behaviour","id":"ITEM-3","issued":{"date-parts":[["2021"]]},"title":"Large and persistent effects of green energy defaults in the household and business sectors","type":"article-journal"},"uris":["http://www.mendeley.com/documents/?uuid=68270317-0db4-4cae-b582-319e46a16617"]}],"mendeley":{"formattedCitation":"(Ebeling and Lotz, 2015; Garnett et al., 2019; Liebe et al., 2021)","plainTextFormattedCitation":"(Ebeling and Lotz, 2015; Garnett et al., 2019; Liebe et al., 2021)","previouslyFormattedCitation":"(Ebeling and Lotz, 2015; Garnett et al., 2019; Liebe et al., 2021)"},"properties":{"noteIndex":0},"schema":"https://github.com/citation-style-language/schema/raw/master/csl-citation.json"}</w:instrText>
      </w:r>
      <w:r w:rsidR="00900FBA" w:rsidRPr="00E7337F">
        <w:rPr>
          <w:color w:val="000000" w:themeColor="text1"/>
        </w:rPr>
        <w:fldChar w:fldCharType="separate"/>
      </w:r>
      <w:r w:rsidR="0086250C" w:rsidRPr="00E7337F">
        <w:rPr>
          <w:noProof/>
          <w:color w:val="000000" w:themeColor="text1"/>
        </w:rPr>
        <w:t>(Ebeling and Lotz, 2015; Garnett et al., 2019; Liebe et al., 2021)</w:t>
      </w:r>
      <w:r w:rsidR="00900FBA" w:rsidRPr="00E7337F">
        <w:rPr>
          <w:color w:val="000000" w:themeColor="text1"/>
        </w:rPr>
        <w:fldChar w:fldCharType="end"/>
      </w:r>
      <w:r w:rsidRPr="00E7337F">
        <w:rPr>
          <w:color w:val="000000"/>
        </w:rPr>
        <w:t>.</w:t>
      </w:r>
    </w:p>
    <w:p w14:paraId="71E0F269" w14:textId="34BB86E0" w:rsidR="00450CA8" w:rsidRPr="00E7337F" w:rsidRDefault="00EE12F8" w:rsidP="00950E9F">
      <w:pPr>
        <w:spacing w:after="0" w:line="480" w:lineRule="auto"/>
        <w:ind w:firstLine="720"/>
        <w:rPr>
          <w:color w:val="000000"/>
        </w:rPr>
      </w:pPr>
      <w:r w:rsidRPr="00E7337F">
        <w:rPr>
          <w:color w:val="000000"/>
        </w:rPr>
        <w:t xml:space="preserve">The second type of population-level interventions relates to the physical macroenvironment. It involves changing the basic physical and organizational structures and facilities needed for the operation of a society or organization </w:t>
      </w:r>
      <w:r w:rsidR="00900FBA" w:rsidRPr="00E7337F">
        <w:rPr>
          <w:color w:val="000000" w:themeColor="text1"/>
        </w:rPr>
        <w:fldChar w:fldCharType="begin" w:fldLock="1"/>
      </w:r>
      <w:r w:rsidR="00071F56" w:rsidRPr="00E7337F">
        <w:rPr>
          <w:color w:val="000000" w:themeColor="text1"/>
        </w:rPr>
        <w:instrText>ADDIN CSL_CITATION {"citationItems":[{"id":"ITEM-1","itemData":{"author":[{"dropping-particle":"","family":"Swinburn","given":"Boyd","non-dropping-particle":"","parse-names":false,"suffix":""},{"dropping-particle":"","family":"Egger","given":"Garry","non-dropping-particle":"","parse-names":false,"suffix":""},{"dropping-particle":"","family":"Raza","given":"Fazeela","non-dropping-particle":"","parse-names":false,"suffix":""}],"container-title":"Dissecting Obesogenic Environments","id":"ITEM-1","issued":{"date-parts":[["1999"]]},"page":"563-570","title":"The development and application of a framework for identifying and prioritizing environmental interventions for obesity","type":"article-journal","volume":"29"},"uris":["http://www.mendeley.com/documents/?uuid=13825a3d-0f55-4156-a5cf-0497deaeca41"]}],"mendeley":{"formattedCitation":"(Swinburn et al., 1999)","plainTextFormattedCitation":"(Swinburn et al., 1999)","previouslyFormattedCitation":"(Swinburn et al., 1999)"},"properties":{"noteIndex":0},"schema":"https://github.com/citation-style-language/schema/raw/master/csl-citation.json"}</w:instrText>
      </w:r>
      <w:r w:rsidR="00900FBA" w:rsidRPr="00E7337F">
        <w:rPr>
          <w:color w:val="000000" w:themeColor="text1"/>
        </w:rPr>
        <w:fldChar w:fldCharType="separate"/>
      </w:r>
      <w:r w:rsidR="0086250C" w:rsidRPr="00E7337F">
        <w:rPr>
          <w:noProof/>
          <w:color w:val="000000" w:themeColor="text1"/>
        </w:rPr>
        <w:t>(Swinburn et al., 1999)</w:t>
      </w:r>
      <w:r w:rsidR="00900FBA" w:rsidRPr="00E7337F">
        <w:rPr>
          <w:color w:val="000000" w:themeColor="text1"/>
        </w:rPr>
        <w:fldChar w:fldCharType="end"/>
      </w:r>
      <w:r w:rsidRPr="00E7337F">
        <w:rPr>
          <w:color w:val="000000"/>
        </w:rPr>
        <w:t>. These systems</w:t>
      </w:r>
      <w:r w:rsidR="006F22A4" w:rsidRPr="00E7337F">
        <w:rPr>
          <w:color w:val="000000"/>
        </w:rPr>
        <w:t xml:space="preserve">, </w:t>
      </w:r>
      <w:r w:rsidRPr="00E7337F">
        <w:rPr>
          <w:color w:val="000000"/>
        </w:rPr>
        <w:t xml:space="preserve">which include </w:t>
      </w:r>
      <w:r w:rsidRPr="00E7337F">
        <w:t>the educational system, built infrastructure, industries, and the media</w:t>
      </w:r>
      <w:r w:rsidR="006F22A4" w:rsidRPr="00E7337F">
        <w:t xml:space="preserve">, </w:t>
      </w:r>
      <w:r w:rsidRPr="00E7337F">
        <w:t xml:space="preserve">exert direct effects on behaviour by </w:t>
      </w:r>
      <w:r w:rsidRPr="00E7337F">
        <w:rPr>
          <w:color w:val="000000"/>
        </w:rPr>
        <w:t xml:space="preserve">influencing what actions can feasibly be performed </w:t>
      </w:r>
      <w:r w:rsidR="00900FBA" w:rsidRPr="00E7337F">
        <w:rPr>
          <w:color w:val="000000" w:themeColor="text1"/>
        </w:rPr>
        <w:fldChar w:fldCharType="begin" w:fldLock="1"/>
      </w:r>
      <w:r w:rsidR="00071F56" w:rsidRPr="00E7337F">
        <w:rPr>
          <w:color w:val="000000" w:themeColor="text1"/>
        </w:rPr>
        <w:instrText>ADDIN CSL_CITATION {"citationItems":[{"id":"ITEM-1","itemData":{"DOI":"10.1073/pnas.1315545112","ISSN":"10916490","PMID":"25583508","abstract":"The aggregate potential for urban mitigation of global climate change is insufficiently understood. Our analysis, using a dataset of 274 cities representing all city sizes and regions worldwide, demonstrates that economic activity, transport costs, geographic factors, and urban form explain 37% of urban direct energy use and 88% of urban transport energy use. If current trends in urban expansion continue, urban energy use will increase more than threefold, from 240 EJ in 2005 to 730 EJ in 2050. Our model shows that urban planning and transport policies can limit the future increase in urban energy use to 540 EJ in 2050 and contribute to mitigating climate change. However, effective policies for reducing urban greenhouse gas emissions differ with city type. The results show that, for affluent and mature cities, higher gasoline prices combined with compact urban form can result in savings in both residential and transport energy use. In contrast, for developing-country cities with emerging or nascent infrastructures, compact urban form, and transport planning can encourage higher population densities and subsequently avoid lock-in of high carbon emission patterns for travel. The results underscore a significant potential urbanization wedge for reducing energy use in rapidly urbanizing Asia, Africa, and the Middle East.","author":[{"dropping-particle":"","family":"Creutzig","given":"Felix","non-dropping-particle":"","parse-names":false,"suffix":""},{"dropping-particle":"","family":"Baiocchi","given":"Giovanni","non-dropping-particle":"","parse-names":false,"suffix":""},{"dropping-particle":"","family":"Bierkandt","given":"Robert","non-dropping-particle":"","parse-names":false,"suffix":""},{"dropping-particle":"","family":"Pichler","given":"Peter Paul","non-dropping-particle":"","parse-names":false,"suffix":""},{"dropping-particle":"","family":"Seto","given":"Karen C.","non-dropping-particle":"","parse-names":false,"suffix":""}],"container-title":"Proceedings of the National Academy of Sciences","id":"ITEM-1","issue":"20","issued":{"date-parts":[["2015"]]},"page":"6283-6288","title":"Global typology of urban energy use and potentials for an urbanization mitigation wedge","type":"article-journal","volume":"112"},"uris":["http://www.mendeley.com/documents/?uuid=8f1608b6-c441-4fd8-865a-96c7d456fd9b"]}],"mendeley":{"formattedCitation":"(Creutzig et al., 2015)","plainTextFormattedCitation":"(Creutzig et al., 2015)","previouslyFormattedCitation":"(Creutzig et al., 2015)"},"properties":{"noteIndex":0},"schema":"https://github.com/citation-style-language/schema/raw/master/csl-citation.json"}</w:instrText>
      </w:r>
      <w:r w:rsidR="00900FBA" w:rsidRPr="00E7337F">
        <w:rPr>
          <w:color w:val="000000" w:themeColor="text1"/>
        </w:rPr>
        <w:fldChar w:fldCharType="separate"/>
      </w:r>
      <w:r w:rsidR="0086250C" w:rsidRPr="00E7337F">
        <w:rPr>
          <w:noProof/>
          <w:color w:val="000000" w:themeColor="text1"/>
        </w:rPr>
        <w:t>(Creutzig et al., 2015)</w:t>
      </w:r>
      <w:r w:rsidR="00900FBA" w:rsidRPr="00E7337F">
        <w:rPr>
          <w:color w:val="000000" w:themeColor="text1"/>
        </w:rPr>
        <w:fldChar w:fldCharType="end"/>
      </w:r>
      <w:r w:rsidRPr="00E7337F">
        <w:rPr>
          <w:color w:val="000000"/>
        </w:rPr>
        <w:t xml:space="preserve">. </w:t>
      </w:r>
      <w:r w:rsidR="00880C04" w:rsidRPr="00E7337F">
        <w:rPr>
          <w:color w:val="000000"/>
        </w:rPr>
        <w:t>As described above, t</w:t>
      </w:r>
      <w:r w:rsidRPr="00E7337F">
        <w:rPr>
          <w:color w:val="000000"/>
        </w:rPr>
        <w:t xml:space="preserve">hey can also act as constraints on other intervention types, such as capability-building or motivation, thereby limiting </w:t>
      </w:r>
      <w:r w:rsidR="006F22A4" w:rsidRPr="00E7337F">
        <w:rPr>
          <w:color w:val="000000"/>
        </w:rPr>
        <w:t xml:space="preserve">the extent to which behaviours can be readily changed </w:t>
      </w:r>
      <w:r w:rsidR="00900FBA" w:rsidRPr="00E7337F">
        <w:rPr>
          <w:color w:val="000000" w:themeColor="text1"/>
        </w:rPr>
        <w:fldChar w:fldCharType="begin" w:fldLock="1"/>
      </w:r>
      <w:r w:rsidR="00071F56" w:rsidRPr="00E7337F">
        <w:rPr>
          <w:color w:val="000000" w:themeColor="text1"/>
        </w:rPr>
        <w:instrText>ADDIN CSL_CITATION {"citationItems":[{"id":"ITEM-1","itemData":{"DOI":"10.1073/pnas.1315545112","ISSN":"10916490","PMID":"25583508","abstract":"The aggregate potential for urban mitigation of global climate change is insufficiently understood. Our analysis, using a dataset of 274 cities representing all city sizes and regions worldwide, demonstrates that economic activity, transport costs, geographic factors, and urban form explain 37% of urban direct energy use and 88% of urban transport energy use. If current trends in urban expansion continue, urban energy use will increase more than threefold, from 240 EJ in 2005 to 730 EJ in 2050. Our model shows that urban planning and transport policies can limit the future increase in urban energy use to 540 EJ in 2050 and contribute to mitigating climate change. However, effective policies for reducing urban greenhouse gas emissions differ with city type. The results show that, for affluent and mature cities, higher gasoline prices combined with compact urban form can result in savings in both residential and transport energy use. In contrast, for developing-country cities with emerging or nascent infrastructures, compact urban form, and transport planning can encourage higher population densities and subsequently avoid lock-in of high carbon emission patterns for travel. The results underscore a significant potential urbanization wedge for reducing energy use in rapidly urbanizing Asia, Africa, and the Middle East.","author":[{"dropping-particle":"","family":"Creutzig","given":"Felix","non-dropping-particle":"","parse-names":false,"suffix":""},{"dropping-particle":"","family":"Baiocchi","given":"Giovanni","non-dropping-particle":"","parse-names":false,"suffix":""},{"dropping-particle":"","family":"Bierkandt","given":"Robert","non-dropping-particle":"","parse-names":false,"suffix":""},{"dropping-particle":"","family":"Pichler","given":"Peter Paul","non-dropping-particle":"","parse-names":false,"suffix":""},{"dropping-particle":"","family":"Seto","given":"Karen C.","non-dropping-particle":"","parse-names":false,"suffix":""}],"container-title":"Proceedings of the National Academy of Sciences","id":"ITEM-1","issue":"20","issued":{"date-parts":[["2015"]]},"page":"6283-6288","title":"Global typology of urban energy use and potentials for an urbanization mitigation wedge","type":"article-journal","volume":"112"},"uris":["http://www.mendeley.com/documents/?uuid=8f1608b6-c441-4fd8-865a-96c7d456fd9b"]},{"id":"ITEM-2","itemData":{"DOI":"10.1146/annurev-environ-110615-085934","author":[{"dropping-particle":"","family":"Seto","given":"Karen C","non-dropping-particle":"","parse-names":false,"suffix":""},{"dropping-particle":"","family":"Davis","given":"Steven J","non-dropping-particle":"","parse-names":false,"suffix":""},{"dropping-particle":"","family":"Mitchell","given":"Ronald B","non-dropping-particle":"","parse-names":false,"suffix":""},{"dropping-particle":"","family":"Stokes","given":"Eleanor C","non-dropping-particle":"","parse-names":false,"suffix":""},{"dropping-particle":"","family":"Unruh","given":"Gregory","non-dropping-particle":"","parse-names":false,"suffix":""},{"dropping-particle":"","family":"Urge-vorsatz","given":"Diana","non-dropping-particle":"","parse-names":false,"suffix":""}],"container-title":"Annual Review of Environment and Resources","id":"ITEM-2","issued":{"date-parts":[["2016"]]},"page":"425-452","title":"Carbon lock-in: Types, causes, and policy implications","type":"article-journal","volume":"41"},"uris":["http://www.mendeley.com/documents/?uuid=3c1c43da-e9b5-4da0-a0fd-8c6d01b12caf"]}],"mendeley":{"formattedCitation":"(Creutzig et al., 2015; Seto et al., 2016)","plainTextFormattedCitation":"(Creutzig et al., 2015; Seto et al., 2016)","previouslyFormattedCitation":"(Creutzig et al., 2015; Seto et al., 2016)"},"properties":{"noteIndex":0},"schema":"https://github.com/citation-style-language/schema/raw/master/csl-citation.json"}</w:instrText>
      </w:r>
      <w:r w:rsidR="00900FBA" w:rsidRPr="00E7337F">
        <w:rPr>
          <w:color w:val="000000" w:themeColor="text1"/>
        </w:rPr>
        <w:fldChar w:fldCharType="separate"/>
      </w:r>
      <w:r w:rsidR="0086250C" w:rsidRPr="00E7337F">
        <w:rPr>
          <w:noProof/>
          <w:color w:val="000000" w:themeColor="text1"/>
        </w:rPr>
        <w:t>(Creutzig et al., 2015; Seto et al., 2016)</w:t>
      </w:r>
      <w:r w:rsidR="00900FBA" w:rsidRPr="00E7337F">
        <w:rPr>
          <w:color w:val="000000" w:themeColor="text1"/>
        </w:rPr>
        <w:fldChar w:fldCharType="end"/>
      </w:r>
      <w:r w:rsidRPr="00E7337F">
        <w:rPr>
          <w:color w:val="000000"/>
        </w:rPr>
        <w:t xml:space="preserve">: individuals cannot switch from wild meat to chicken, for instance, if limited production means </w:t>
      </w:r>
      <w:r w:rsidRPr="00E7337F">
        <w:t>chicken</w:t>
      </w:r>
      <w:r w:rsidRPr="00E7337F">
        <w:rPr>
          <w:color w:val="000000"/>
        </w:rPr>
        <w:t xml:space="preserve"> is not available at a competitive price. Conservation-relevant interventions targeting the physical macroenvironment include increasing the availability of public transportation in </w:t>
      </w:r>
      <w:r w:rsidRPr="00E7337F">
        <w:rPr>
          <w:color w:val="000000"/>
        </w:rPr>
        <w:lastRenderedPageBreak/>
        <w:t>urban and suburban areas, scaling-up renewable energy supplies, and incorporating greater environmental literacy into school curricula.</w:t>
      </w:r>
    </w:p>
    <w:p w14:paraId="5DC0A9B8" w14:textId="5FC4D808" w:rsidR="00450CA8" w:rsidRPr="00E7337F" w:rsidRDefault="00EE12F8" w:rsidP="00950E9F">
      <w:pPr>
        <w:spacing w:after="0" w:line="480" w:lineRule="auto"/>
        <w:ind w:firstLine="720"/>
      </w:pPr>
      <w:r w:rsidRPr="00E7337F">
        <w:rPr>
          <w:color w:val="000000"/>
        </w:rPr>
        <w:t>A third population-</w:t>
      </w:r>
      <w:r w:rsidR="00FC1B29" w:rsidRPr="00E7337F">
        <w:rPr>
          <w:color w:val="000000"/>
        </w:rPr>
        <w:t xml:space="preserve">level </w:t>
      </w:r>
      <w:r w:rsidRPr="00E7337F">
        <w:rPr>
          <w:color w:val="000000"/>
        </w:rPr>
        <w:t>class of interventions involves altering the economic environment of actors by introducing, modifying, or removing taxes, subsidies, and other material incentives</w:t>
      </w:r>
      <w:r w:rsidRPr="00E7337F">
        <w:t>, which</w:t>
      </w:r>
      <w:r w:rsidRPr="00E7337F">
        <w:rPr>
          <w:color w:val="000000"/>
        </w:rPr>
        <w:t xml:space="preserve"> can act as powerful drivers of individual and organizational behaviour </w:t>
      </w:r>
      <w:r w:rsidR="001A5B90" w:rsidRPr="00E7337F">
        <w:rPr>
          <w:color w:val="000000"/>
        </w:rPr>
        <w:fldChar w:fldCharType="begin" w:fldLock="1"/>
      </w:r>
      <w:r w:rsidR="00071F56" w:rsidRPr="00E7337F">
        <w:rPr>
          <w:color w:val="000000"/>
        </w:rPr>
        <w:instrText>ADDIN CSL_CITATION {"citationItems":[{"id":"ITEM-1","itemData":{"DOI":"10.1016/S0140-6736(19)31510-7","ISSN":"1474547X","abstract":"In 2018, the UK Government's Secretary of State for Health and Social Care articulated an ambition to increase healthy life expectancy by at least 5 years by 2035 for England, while also reducing the gap in life expectancy between the richest and the poorest groups within the population. 1 Although we doubt that England-or indeed any high-income country-could achieve this ambition, we describe a set of policies with the potential to make a major contribution to such a target as part of an expected new prevention strategy for England. The leading causes of years of life lost in England are tobacco use, unhealthy diet, alcohol consumption, and physical inactivity. 2 All of these behaviours are socioeconomically patterned. Changing them has the potential to increase healthy life expectancy and to reduce the gap between rich and poor. The upward trend in life expectancy in England has stalled since 2010 and is now declining in older adults living in poorer areas. 3,4 Healthy life expectancy has also slowed since 2010, again particularly among the poorest and those living in the least-compared with the most-affluent areas of England, who live 19 fewer years in good health. 4 One plausible explanation for this change is the impact of austerity measures intended to reduce the national budget deficit. 5 The focus of this Comment is on population-level interventions to modify health behaviours, but we also recognise the need for coordinated action across many other areas, including targeting underlying structural causes of health inequalities. 6 Two complementary approaches to disease prevention involve targeting individuals at high risk and targeting whole populations. 7 Here we emphasise the latter and propose structural or policy interventions that create healthier physical, economic, digital, social, and commercial environments. Healthier environments not only enable healthier behaviours but also provide contexts in which behaviour change among individuals at high risk is more likely to be sustained. 8-10 Both approaches are needed: targeting individuals through, for example, weight loss programmes without changing the environments that promote excessive energy consumption is akin to treating people for cholera and then sending them back to communities with contaminated water supplies. Some interventions that target individuals engender inappropriately high expectations of effectiveness, particularly those arising from technological innovations that aim to m…","author":[{"dropping-particle":"","family":"Marteau","given":"Theresa M.","non-dropping-particle":"","parse-names":false,"suffix":""},{"dropping-particle":"","family":"White","given":"Martin","non-dropping-particle":"","parse-names":false,"suffix":""},{"dropping-particle":"","family":"Rutter","given":"Harry","non-dropping-particle":"","parse-names":false,"suffix":""},{"dropping-particle":"","family":"Petticrew","given":"Mark","non-dropping-particle":"","parse-names":false,"suffix":""},{"dropping-particle":"","family":"Mytton","given":"Oliver T.","non-dropping-particle":"","parse-names":false,"suffix":""},{"dropping-particle":"","family":"McGowan","given":"James G.","non-dropping-particle":"","parse-names":false,"suffix":""},{"dropping-particle":"","family":"Aldridge","given":"Robert W.","non-dropping-particle":"","parse-names":false,"suffix":""}],"container-title":"The Lancet","id":"ITEM-1","issue":"10191","issued":{"date-parts":[["2019"]]},"page":"2571-2573","title":"Increasing healthy life expectancy equitably in England by 5 years by 2035: could it be achieved?","type":"article-journal","volume":"393"},"uris":["http://www.mendeley.com/documents/?uuid=3b268a59-e1bc-4e40-8fa3-2feba0dae44a"]},{"id":"ITEM-2","itemData":{"ISSN":"1541-0048","author":[{"dropping-particle":"","family":"Andreyeva","given":"Tatiana","non-dropping-particle":"","parse-names":false,"suffix":""},{"dropping-particle":"","family":"Long","given":"Michael W","non-dropping-particle":"","parse-names":false,"suffix":""},{"dropping-particle":"","family":"Brownell","given":"Kelly D","non-dropping-particle":"","parse-names":false,"suffix":""}],"container-title":"American Journal of Public Health","id":"ITEM-2","issue":"2","issued":{"date-parts":[["2010"]]},"page":"216-222","title":"The impact of food prices on consumption: a systematic review of research on the price elasticity of demand for food","type":"article-journal","volume":"100"},"uris":["http://www.mendeley.com/documents/?uuid=f03cbd28-48ec-41d0-8d2b-d502cccdbae2"]}],"mendeley":{"formattedCitation":"(Andreyeva et al., 2010; Marteau et al., 2019)","plainTextFormattedCitation":"(Andreyeva et al., 2010; Marteau et al., 2019)","previouslyFormattedCitation":"(Andreyeva et al., 2010; Marteau et al., 2019)"},"properties":{"noteIndex":0},"schema":"https://github.com/citation-style-language/schema/raw/master/csl-citation.json"}</w:instrText>
      </w:r>
      <w:r w:rsidR="001A5B90" w:rsidRPr="00E7337F">
        <w:rPr>
          <w:color w:val="000000"/>
        </w:rPr>
        <w:fldChar w:fldCharType="separate"/>
      </w:r>
      <w:r w:rsidR="0086250C" w:rsidRPr="00E7337F">
        <w:rPr>
          <w:noProof/>
          <w:color w:val="000000"/>
        </w:rPr>
        <w:t>(Andreyeva et al., 2010; Marteau et al., 2019)</w:t>
      </w:r>
      <w:r w:rsidR="001A5B90" w:rsidRPr="00E7337F">
        <w:rPr>
          <w:color w:val="000000"/>
        </w:rPr>
        <w:fldChar w:fldCharType="end"/>
      </w:r>
      <w:r w:rsidRPr="00E7337F">
        <w:rPr>
          <w:color w:val="000000"/>
        </w:rPr>
        <w:t>. This type of intervention has commonly been advocated as central to confronting biodiversity decline, in large part due to its effectiveness in changing behaviour across actors and affecting both the supply and demand of goods and services</w:t>
      </w:r>
      <w:r w:rsidR="001A5B90" w:rsidRPr="00E7337F">
        <w:rPr>
          <w:color w:val="000000"/>
        </w:rPr>
        <w:t xml:space="preserve"> </w:t>
      </w:r>
      <w:r w:rsidR="001A5B90" w:rsidRPr="00E7337F">
        <w:rPr>
          <w:color w:val="000000"/>
        </w:rPr>
        <w:fldChar w:fldCharType="begin" w:fldLock="1"/>
      </w:r>
      <w:r w:rsidR="00071F56" w:rsidRPr="00E7337F">
        <w:rPr>
          <w:color w:val="000000"/>
        </w:rPr>
        <w:instrText>ADDIN CSL_CITATION {"citationItems":[{"id":"ITEM-1","itemData":{"ISSN":"1525-3244","author":[{"dropping-particle":"","family":"James","given":"Alexander","non-dropping-particle":"","parse-names":false,"suffix":""},{"dropping-particle":"","family":"Gaston","given":"Kevin J","non-dropping-particle":"","parse-names":false,"suffix":""},{"dropping-particle":"","family":"Balmford","given":"Andrew","non-dropping-particle":"","parse-names":false,"suffix":""}],"container-title":"BioScience","id":"ITEM-1","issue":"1","issued":{"date-parts":[["2001"]]},"page":"43-52","title":"Can we afford to conserve biodiversity?","type":"article-journal","volume":"51"},"uris":["http://www.mendeley.com/documents/?uuid=bd1a72b9-ec7c-4855-b278-bddf0d60583c"]},{"id":"ITEM-2","itemData":{"ISSN":"1476-4687","author":[{"dropping-particle":"","family":"Myers","given":"Norman","non-dropping-particle":"","parse-names":false,"suffix":""}],"container-title":"Nature","id":"ITEM-2","issue":"6674","issued":{"date-parts":[["1998"]]},"page":"327-328","title":"Lifting the veil on perverse subsidies","type":"article-journal","volume":"392"},"uris":["http://www.mendeley.com/documents/?uuid=66befdcf-6953-43c5-8ec7-d331bd3d428d"]}],"mendeley":{"formattedCitation":"(James et al., 2001; Myers, 1998)","plainTextFormattedCitation":"(James et al., 2001; Myers, 1998)","previouslyFormattedCitation":"(James et al., 2001; Myers, 1998)"},"properties":{"noteIndex":0},"schema":"https://github.com/citation-style-language/schema/raw/master/csl-citation.json"}</w:instrText>
      </w:r>
      <w:r w:rsidR="001A5B90" w:rsidRPr="00E7337F">
        <w:rPr>
          <w:color w:val="000000"/>
        </w:rPr>
        <w:fldChar w:fldCharType="separate"/>
      </w:r>
      <w:r w:rsidR="0086250C" w:rsidRPr="00E7337F">
        <w:rPr>
          <w:noProof/>
          <w:color w:val="000000"/>
        </w:rPr>
        <w:t>(James et al., 2001; Myers, 1998)</w:t>
      </w:r>
      <w:r w:rsidR="001A5B90" w:rsidRPr="00E7337F">
        <w:rPr>
          <w:color w:val="000000"/>
        </w:rPr>
        <w:fldChar w:fldCharType="end"/>
      </w:r>
      <w:r w:rsidRPr="00E7337F">
        <w:rPr>
          <w:color w:val="000000"/>
        </w:rPr>
        <w:t xml:space="preserve">. Examples include public or market-based payments to farmers and other land managers to protect or restore </w:t>
      </w:r>
      <w:r w:rsidRPr="00E7337F">
        <w:t>the biodiversity or ecosystem service values of natural habitats</w:t>
      </w:r>
      <w:r w:rsidRPr="00E7337F">
        <w:rPr>
          <w:color w:val="000000"/>
        </w:rPr>
        <w:t xml:space="preserve"> </w:t>
      </w:r>
      <w:r w:rsidR="001A5B90" w:rsidRPr="00E7337F">
        <w:rPr>
          <w:color w:val="000000" w:themeColor="text1"/>
        </w:rPr>
        <w:fldChar w:fldCharType="begin" w:fldLock="1"/>
      </w:r>
      <w:r w:rsidR="00071F56" w:rsidRPr="00E7337F">
        <w:rPr>
          <w:color w:val="000000" w:themeColor="text1"/>
        </w:rPr>
        <w:instrText>ADDIN CSL_CITATION {"citationItems":[{"id":"ITEM-1","itemData":{"ISSN":"1750-6816","author":[{"dropping-particle":"","family":"Pattanayak","given":"Subhrendu K","non-dropping-particle":"","parse-names":false,"suffix":""},{"dropping-particle":"","family":"Wunder","given":"Sven","non-dropping-particle":"","parse-names":false,"suffix":""},{"dropping-particle":"","family":"Ferraro","given":"Paul J","non-dropping-particle":"","parse-names":false,"suffix":""}],"container-title":"Review of Environmental Economics and Policy","id":"ITEM-1","issue":"2","issued":{"date-parts":[["2010"]]},"page":"254-274","title":"Show me the money: do payments supply environmental services in developing countries?","type":"article-journal","volume":"4"},"uris":["http://www.mendeley.com/documents/?uuid=135428ef-e72d-4672-841c-5058a5e2dfe6"]},{"id":"ITEM-2","itemData":{"ISSN":"0036-8075","author":[{"dropping-particle":"","family":"Jayachandran","given":"Seema","non-dropping-particle":"","parse-names":false,"suffix":""},{"dropping-particle":"","family":"Laat","given":"Joost","non-dropping-particle":"De","parse-names":false,"suffix":""},{"dropping-particle":"","family":"Lambin","given":"Eric F","non-dropping-particle":"","parse-names":false,"suffix":""},{"dropping-particle":"","family":"Stanton","given":"Charlotte Y","non-dropping-particle":"","parse-names":false,"suffix":""},{"dropping-particle":"","family":"Audy","given":"Robin","non-dropping-particle":"","parse-names":false,"suffix":""},{"dropping-particle":"","family":"Thomas","given":"Nancy E","non-dropping-particle":"","parse-names":false,"suffix":""}],"container-title":"Science","id":"ITEM-2","issue":"6348","issued":{"date-parts":[["2017"]]},"page":"267-273","title":"Cash for carbon: A randomized trial of payments for ecosystem services to reduce deforestation","type":"article-journal","volume":"357"},"uris":["http://www.mendeley.com/documents/?uuid=328c9ba5-e191-499c-9fd7-fb6569252e7b"]}],"mendeley":{"formattedCitation":"(Jayachandran et al., 2017; Pattanayak et al., 2010)","plainTextFormattedCitation":"(Jayachandran et al., 2017; Pattanayak et al., 2010)","previouslyFormattedCitation":"(Jayachandran et al., 2017; Pattanayak et al., 2010)"},"properties":{"noteIndex":0},"schema":"https://github.com/citation-style-language/schema/raw/master/csl-citation.json"}</w:instrText>
      </w:r>
      <w:r w:rsidR="001A5B90" w:rsidRPr="00E7337F">
        <w:rPr>
          <w:color w:val="000000" w:themeColor="text1"/>
        </w:rPr>
        <w:fldChar w:fldCharType="separate"/>
      </w:r>
      <w:r w:rsidR="0086250C" w:rsidRPr="00E7337F">
        <w:rPr>
          <w:noProof/>
          <w:color w:val="000000" w:themeColor="text1"/>
        </w:rPr>
        <w:t>(Jayachandran et al., 2017; Pattanayak et al., 2010)</w:t>
      </w:r>
      <w:r w:rsidR="001A5B90" w:rsidRPr="00E7337F">
        <w:rPr>
          <w:color w:val="000000" w:themeColor="text1"/>
        </w:rPr>
        <w:fldChar w:fldCharType="end"/>
      </w:r>
      <w:r w:rsidRPr="00E7337F">
        <w:rPr>
          <w:color w:val="000000"/>
        </w:rPr>
        <w:t>, and the removal of subsidies or introduction of taxes on environmentally harmful products</w:t>
      </w:r>
      <w:r w:rsidR="001A5B90" w:rsidRPr="00E7337F">
        <w:rPr>
          <w:color w:val="000000"/>
        </w:rPr>
        <w:t xml:space="preserve"> </w:t>
      </w:r>
      <w:r w:rsidR="001A5B90" w:rsidRPr="00E7337F">
        <w:rPr>
          <w:color w:val="000000"/>
        </w:rPr>
        <w:fldChar w:fldCharType="begin" w:fldLock="1"/>
      </w:r>
      <w:r w:rsidR="00071F56" w:rsidRPr="00E7337F">
        <w:rPr>
          <w:color w:val="000000"/>
        </w:rPr>
        <w:instrText>ADDIN CSL_CITATION {"citationItems":[{"id":"ITEM-1","itemData":{"ISSN":"1758-6798","author":[{"dropping-particle":"","family":"Springmann","given":"Marco","non-dropping-particle":"","parse-names":false,"suffix":""},{"dropping-particle":"","family":"Mason-D’Croz","given":"Daniel","non-dropping-particle":"","parse-names":false,"suffix":""},{"dropping-particle":"","family":"Robinson","given":"Sherman","non-dropping-particle":"","parse-names":false,"suffix":""},{"dropping-particle":"","family":"Wiebe","given":"Keith","non-dropping-particle":"","parse-names":false,"suffix":""},{"dropping-particle":"","family":"Godfray","given":"H Charles J","non-dropping-particle":"","parse-names":false,"suffix":""},{"dropping-particle":"","family":"Rayner","given":"Mike","non-dropping-particle":"","parse-names":false,"suffix":""},{"dropping-particle":"","family":"Scarborough","given":"Peter","non-dropping-particle":"","parse-names":false,"suffix":""}],"container-title":"Nature Climate Change","id":"ITEM-1","issue":"1","issued":{"date-parts":[["2017"]]},"page":"69-74","title":"Mitigation potential and global health impacts from emissions pricing of food commodities","type":"article-journal","volume":"7"},"uris":["http://www.mendeley.com/documents/?uuid=fc71d605-8542-4333-a914-678904b27f36"]}],"mendeley":{"formattedCitation":"(Springmann et al., 2017)","plainTextFormattedCitation":"(Springmann et al., 2017)","previouslyFormattedCitation":"(Springmann et al., 2017)"},"properties":{"noteIndex":0},"schema":"https://github.com/citation-style-language/schema/raw/master/csl-citation.json"}</w:instrText>
      </w:r>
      <w:r w:rsidR="001A5B90" w:rsidRPr="00E7337F">
        <w:rPr>
          <w:color w:val="000000"/>
        </w:rPr>
        <w:fldChar w:fldCharType="separate"/>
      </w:r>
      <w:r w:rsidR="0086250C" w:rsidRPr="00E7337F">
        <w:rPr>
          <w:noProof/>
          <w:color w:val="000000"/>
        </w:rPr>
        <w:t>(Springmann et al., 2017)</w:t>
      </w:r>
      <w:r w:rsidR="001A5B90" w:rsidRPr="00E7337F">
        <w:rPr>
          <w:color w:val="000000"/>
        </w:rPr>
        <w:fldChar w:fldCharType="end"/>
      </w:r>
      <w:r w:rsidR="001A5B90" w:rsidRPr="00E7337F">
        <w:rPr>
          <w:color w:val="000000"/>
        </w:rPr>
        <w:t>.</w:t>
      </w:r>
      <w:r w:rsidRPr="00E7337F">
        <w:rPr>
          <w:color w:val="000000"/>
        </w:rPr>
        <w:t xml:space="preserve"> Despite </w:t>
      </w:r>
      <w:r w:rsidR="00A76D32" w:rsidRPr="00E7337F">
        <w:rPr>
          <w:color w:val="000000"/>
        </w:rPr>
        <w:t>commonly being recommended in conservation</w:t>
      </w:r>
      <w:r w:rsidRPr="00E7337F">
        <w:rPr>
          <w:color w:val="000000"/>
        </w:rPr>
        <w:t xml:space="preserve">, such interventions face numerous challenges </w:t>
      </w:r>
      <w:r w:rsidR="00900FBA" w:rsidRPr="00E7337F">
        <w:rPr>
          <w:color w:val="000000" w:themeColor="text1"/>
        </w:rPr>
        <w:fldChar w:fldCharType="begin" w:fldLock="1"/>
      </w:r>
      <w:r w:rsidR="00071F56" w:rsidRPr="00E7337F">
        <w:rPr>
          <w:color w:val="000000" w:themeColor="text1"/>
        </w:rPr>
        <w:instrText>ADDIN CSL_CITATION {"citationItems":[{"id":"ITEM-1","itemData":{"ISSN":"0888-8892","author":[{"dropping-particle":"","family":"Wunder","given":"Sven","non-dropping-particle":"","parse-names":false,"suffix":""}],"container-title":"Conservation Biology","id":"ITEM-1","issue":"1","issued":{"date-parts":[["2007"]]},"page":"48-58","title":"The efficiency of payments for environmental services in tropical conservation","type":"article-journal","volume":"21"},"uris":["http://www.mendeley.com/documents/?uuid=cd12415d-05f4-4dac-a972-bff1f45caeda"]},{"id":"ITEM-2","itemData":{"ISSN":"1750-6816","author":[{"dropping-particle":"","family":"Pattanayak","given":"Subhrendu K","non-dropping-particle":"","parse-names":false,"suffix":""},{"dropping-particle":"","family":"Wunder","given":"Sven","non-dropping-particle":"","parse-names":false,"suffix":""},{"dropping-particle":"","family":"Ferraro","given":"Paul J","non-dropping-particle":"","parse-names":false,"suffix":""}],"container-title":"Review of Environmental Economics and Policy","id":"ITEM-2","issue":"2","issued":{"date-parts":[["2010"]]},"page":"254-274","title":"Show me the money: do payments supply environmental services in developing countries?","type":"article-journal","volume":"4"},"uris":["http://www.mendeley.com/documents/?uuid=135428ef-e72d-4672-841c-5058a5e2dfe6"]}],"mendeley":{"formattedCitation":"(Pattanayak et al., 2010; Wunder, 2007)","plainTextFormattedCitation":"(Pattanayak et al., 2010; Wunder, 2007)","previouslyFormattedCitation":"(Pattanayak et al., 2010; Wunder, 2007)"},"properties":{"noteIndex":0},"schema":"https://github.com/citation-style-language/schema/raw/master/csl-citation.json"}</w:instrText>
      </w:r>
      <w:r w:rsidR="00900FBA" w:rsidRPr="00E7337F">
        <w:rPr>
          <w:color w:val="000000" w:themeColor="text1"/>
        </w:rPr>
        <w:fldChar w:fldCharType="separate"/>
      </w:r>
      <w:r w:rsidR="0086250C" w:rsidRPr="00E7337F">
        <w:rPr>
          <w:noProof/>
          <w:color w:val="000000" w:themeColor="text1"/>
        </w:rPr>
        <w:t>(Pattanayak et al., 2010; Wunder, 2007)</w:t>
      </w:r>
      <w:r w:rsidR="00900FBA" w:rsidRPr="00E7337F">
        <w:rPr>
          <w:color w:val="000000" w:themeColor="text1"/>
        </w:rPr>
        <w:fldChar w:fldCharType="end"/>
      </w:r>
      <w:r w:rsidRPr="00E7337F">
        <w:rPr>
          <w:color w:val="000000"/>
        </w:rPr>
        <w:t xml:space="preserve">: payments are often only weakly linked to environmental performance or to individual actors’ costs (so schemes may be inefficient); implementation is commonly constrained by poor governance; and imposition of taxes is </w:t>
      </w:r>
      <w:r w:rsidR="00A47BEB" w:rsidRPr="00E7337F">
        <w:rPr>
          <w:color w:val="000000"/>
        </w:rPr>
        <w:t xml:space="preserve">often </w:t>
      </w:r>
      <w:r w:rsidRPr="00E7337F">
        <w:rPr>
          <w:color w:val="000000"/>
        </w:rPr>
        <w:t>politically unpopular</w:t>
      </w:r>
      <w:r w:rsidR="001A5B90" w:rsidRPr="00E7337F">
        <w:rPr>
          <w:color w:val="000000"/>
        </w:rPr>
        <w:t xml:space="preserve"> </w:t>
      </w:r>
      <w:r w:rsidR="001A5B90" w:rsidRPr="00E7337F">
        <w:rPr>
          <w:color w:val="000000" w:themeColor="text1"/>
        </w:rPr>
        <w:fldChar w:fldCharType="begin" w:fldLock="1"/>
      </w:r>
      <w:r w:rsidR="00071F56" w:rsidRPr="00E7337F">
        <w:rPr>
          <w:color w:val="000000" w:themeColor="text1"/>
        </w:rPr>
        <w:instrText>ADDIN CSL_CITATION {"citationItems":[{"id":"ITEM-1","itemData":{"DOI":"10.1098/rsta.2016.0371","ISBN":"0000000330251","ISSN":"1364503X","abstract":"Meeting climate change targets to limit global warming to 2°C requires rapid and large reductions in demand for products that most contribute to greenhouse gas (GHG) emissions. These include production of bulk materials (e.g. steel and cement), energy supply (e.g. fossil fuels) and animal source foods (particularly ruminants and their products). Effective strategies to meet these targets require transformative changes in supply as well as demand, involving changes in economic, political and legal systems at local, national and international levels, building on evidence from many disciplines. This paper outlines contributions from behavioural science in reducing demand. Grounded in dual-process models of human behaviour (involving non-conscious and conscious processes) this paper considers first why interventions aimed at changing population values towards the environment are usually insufficient or unnecessary for reducing demand although they may be important in increasing public acceptability of policies that could reduce demand. It then outlines two sets of evidence from behavioural science towards effective systems-based strategies, to identify interventions likely to be effective at: (i) reducing demand for products that contribute most to GHG emissions, mainly targeting non-conscious processes and (ii) increasing","author":[{"dropping-particle":"","family":"Marteau","given":"Theresa M.","non-dropping-particle":"","parse-names":false,"suffix":""}],"container-title":"Philosophical Transactions of the Royal Society A: Mathematical, Physical and Engineering Sciences","id":"ITEM-1","issue":"2095","issued":{"date-parts":[["2017"]]},"page":"20160371","title":"Towards environmentally sustainable human behaviour: Targeting non-conscious and conscious processes for effective and acceptable policies","type":"article-journal","volume":"375"},"uris":["http://www.mendeley.com/documents/?uuid=35f253d8-c44d-4b2e-adcd-37fd09846b4d"]},{"id":"ITEM-2","itemData":{"DOI":"10.1038/s41893-018-0036-x","ISSN":"23989629","abstract":"Payments for Environmental Services (PES) constitute an innovative economic intervention to counteract the global loss of biodiversity and ecosystem functions. In theory, some appealing features should enable PES to perform well in achieving conservation and welfare goals. In practice, outcomes depend on the interplay between context, design and implementation. Inspecting a new global dataset, we find that some PES design principles pre-identified in the social-science literature as desirable, such as spatial targeting and payment differentiation, are only partially being applied in practice. More importantly, the PES-defining principle of conditionality-monitoring compliance and sanctioning detected non-compliance-is seldom being implemented. Administrative ease, multiple non-environmental side objectives and social equity concerns may jointly help explain the reluctance to adopt more sophisticated, theoretically informed practices. However, by taking simplifying shortcuts in design and implementation, PES programmes may become less environmentally effective and efficient as economic incentives, thus underperforming their conservation potential.","author":[{"dropping-particle":"","family":"Wunder","given":"S.","non-dropping-particle":"","parse-names":false,"suffix":""},{"dropping-particle":"","family":"Brouwer","given":"R.","non-dropping-particle":"","parse-names":false,"suffix":""},{"dropping-particle":"","family":"Engel","given":"S.","non-dropping-particle":"","parse-names":false,"suffix":""},{"dropping-particle":"","family":"Ezzine-De-Blas","given":"D.","non-dropping-particle":"","parse-names":false,"suffix":""},{"dropping-particle":"","family":"Muradian","given":"R.","non-dropping-particle":"","parse-names":false,"suffix":""},{"dropping-particle":"","family":"Pascual","given":"U.","non-dropping-particle":"","parse-names":false,"suffix":""},{"dropping-particle":"","family":"Pinto","given":"R.","non-dropping-particle":"","parse-names":false,"suffix":""}],"container-title":"Nature Sustainability","id":"ITEM-2","issue":"3","issued":{"date-parts":[["2018"]]},"page":"145-150","title":"From principles to practice in paying for nature's services","type":"article-journal","volume":"1"},"uris":["http://www.mendeley.com/documents/?uuid=2234e95f-5a3d-44c4-b752-cf9f2990fe8a"]}],"mendeley":{"formattedCitation":"(Marteau, 2017; Wunder et al., 2018)","plainTextFormattedCitation":"(Marteau, 2017; Wunder et al., 2018)","previouslyFormattedCitation":"(Marteau, 2017; Wunder et al., 2018)"},"properties":{"noteIndex":0},"schema":"https://github.com/citation-style-language/schema/raw/master/csl-citation.json"}</w:instrText>
      </w:r>
      <w:r w:rsidR="001A5B90" w:rsidRPr="00E7337F">
        <w:rPr>
          <w:color w:val="000000" w:themeColor="text1"/>
        </w:rPr>
        <w:fldChar w:fldCharType="separate"/>
      </w:r>
      <w:r w:rsidR="0086250C" w:rsidRPr="00E7337F">
        <w:rPr>
          <w:noProof/>
          <w:color w:val="000000" w:themeColor="text1"/>
        </w:rPr>
        <w:t>(Marteau, 2017; Wunder et al., 2018)</w:t>
      </w:r>
      <w:r w:rsidR="001A5B90" w:rsidRPr="00E7337F">
        <w:rPr>
          <w:color w:val="000000" w:themeColor="text1"/>
        </w:rPr>
        <w:fldChar w:fldCharType="end"/>
      </w:r>
      <w:r w:rsidRPr="00E7337F">
        <w:rPr>
          <w:color w:val="000000"/>
        </w:rPr>
        <w:t xml:space="preserve">. </w:t>
      </w:r>
      <w:r w:rsidR="00704A84" w:rsidRPr="00E7337F">
        <w:rPr>
          <w:color w:val="000000" w:themeColor="text1"/>
        </w:rPr>
        <w:t xml:space="preserve">Although not yet widely utilised, it seems plausible that behavioural science could enhance the effectiveness of economic interventions. </w:t>
      </w:r>
      <w:r w:rsidRPr="00E7337F">
        <w:t>For</w:t>
      </w:r>
      <w:r w:rsidRPr="00E7337F">
        <w:rPr>
          <w:color w:val="000000"/>
        </w:rPr>
        <w:t xml:space="preserve"> example, altering the default cost-share in negotiated on-farm conservation actions significantly increased </w:t>
      </w:r>
      <w:r w:rsidRPr="00E7337F">
        <w:t xml:space="preserve">farmer contributions and lowered the </w:t>
      </w:r>
      <w:r w:rsidRPr="00E7337F">
        <w:rPr>
          <w:color w:val="000000"/>
        </w:rPr>
        <w:t>cost</w:t>
      </w:r>
      <w:r w:rsidRPr="00E7337F">
        <w:t xml:space="preserve"> of resulting agreements</w:t>
      </w:r>
      <w:r w:rsidRPr="00E7337F">
        <w:rPr>
          <w:color w:val="000000"/>
        </w:rPr>
        <w:t xml:space="preserve"> to the taxpayer</w:t>
      </w:r>
      <w:r w:rsidR="001A5B90" w:rsidRPr="00E7337F">
        <w:t xml:space="preserve"> </w:t>
      </w:r>
      <w:r w:rsidR="001A5B90" w:rsidRPr="00E7337F">
        <w:fldChar w:fldCharType="begin" w:fldLock="1"/>
      </w:r>
      <w:r w:rsidR="00071F56" w:rsidRPr="00E7337F">
        <w:instrText>ADDIN CSL_CITATION {"citationItems":[{"id":"ITEM-1","itemData":{"ISSN":"0002-9092","author":[{"dropping-particle":"","family":"Wallander","given":"Steven","non-dropping-particle":"","parse-names":false,"suffix":""},{"dropping-particle":"","family":"Ferraro","given":"Paul","non-dropping-particle":"","parse-names":false,"suffix":""},{"dropping-particle":"","family":"Higgins","given":"Nathaniel","non-dropping-particle":"","parse-names":false,"suffix":""}],"container-title":"American Journal of Agricultural Economics","id":"ITEM-1","issue":"4","issued":{"date-parts":[["2017"]]},"page":"914-931","title":"Addressing participant inattention in federal programs: A field experiment with the conservation reserve program","type":"article-journal","volume":"99"},"uris":["http://www.mendeley.com/documents/?uuid=4041318e-7b8b-4d78-9592-96ed5558906c"]}],"mendeley":{"formattedCitation":"(Wallander et al., 2017)","plainTextFormattedCitation":"(Wallander et al., 2017)","previouslyFormattedCitation":"(Wallander et al., 2017)"},"properties":{"noteIndex":0},"schema":"https://github.com/citation-style-language/schema/raw/master/csl-citation.json"}</w:instrText>
      </w:r>
      <w:r w:rsidR="001A5B90" w:rsidRPr="00E7337F">
        <w:fldChar w:fldCharType="separate"/>
      </w:r>
      <w:r w:rsidR="0086250C" w:rsidRPr="00E7337F">
        <w:rPr>
          <w:noProof/>
        </w:rPr>
        <w:t>(Wallander et al., 2017)</w:t>
      </w:r>
      <w:r w:rsidR="001A5B90" w:rsidRPr="00E7337F">
        <w:fldChar w:fldCharType="end"/>
      </w:r>
      <w:r w:rsidRPr="00E7337F">
        <w:t>. Other routes for enhancing the performance of economic interventions might include framing payments in terms of what individuals stand to lose from non-participation</w:t>
      </w:r>
      <w:r w:rsidR="00072CF5" w:rsidRPr="00E7337F">
        <w:t xml:space="preserve"> (drawing on ideas about loss aversion)</w:t>
      </w:r>
      <w:r w:rsidRPr="00E7337F">
        <w:t xml:space="preserve">; increasing scheme uptake </w:t>
      </w:r>
      <w:r w:rsidRPr="00E7337F">
        <w:lastRenderedPageBreak/>
        <w:t xml:space="preserve">through the use of trusted messengers; and emphasizing social norms that align with scheme compliance </w:t>
      </w:r>
      <w:r w:rsidR="00900FBA" w:rsidRPr="00E7337F">
        <w:fldChar w:fldCharType="begin" w:fldLock="1"/>
      </w:r>
      <w:r w:rsidR="00071F56" w:rsidRPr="00E7337F">
        <w:instrText>ADDIN CSL_CITATION {"citationItems":[{"id":"ITEM-1","itemData":{"author":[{"dropping-particle":"","family":"Cinner","given":"J.","non-dropping-particle":"","parse-names":false,"suffix":""}],"container-title":"Science","id":"ITEM-1","issue":"6417","issued":{"date-parts":[["2018"]]},"page":"889-891","title":"How behavioral science can help conservation","type":"article-journal","volume":"362"},"uris":["http://www.mendeley.com/documents/?uuid=bb10f71a-227f-4b74-996c-4035b4be897f"]}],"mendeley":{"formattedCitation":"(Cinner, 2018)","plainTextFormattedCitation":"(Cinner, 2018)","previouslyFormattedCitation":"(Cinner, 2018)"},"properties":{"noteIndex":0},"schema":"https://github.com/citation-style-language/schema/raw/master/csl-citation.json"}</w:instrText>
      </w:r>
      <w:r w:rsidR="00900FBA" w:rsidRPr="00E7337F">
        <w:fldChar w:fldCharType="separate"/>
      </w:r>
      <w:r w:rsidR="0086250C" w:rsidRPr="00E7337F">
        <w:rPr>
          <w:noProof/>
        </w:rPr>
        <w:t>(Cinner, 2018)</w:t>
      </w:r>
      <w:r w:rsidR="00900FBA" w:rsidRPr="00E7337F">
        <w:fldChar w:fldCharType="end"/>
      </w:r>
      <w:r w:rsidRPr="00E7337F">
        <w:t xml:space="preserve">. </w:t>
      </w:r>
    </w:p>
    <w:p w14:paraId="433BD02F" w14:textId="6BBBB059" w:rsidR="00450CA8" w:rsidRPr="00E7337F" w:rsidRDefault="00EE12F8" w:rsidP="00950E9F">
      <w:pPr>
        <w:spacing w:after="0" w:line="480" w:lineRule="auto"/>
        <w:ind w:firstLine="720"/>
        <w:rPr>
          <w:color w:val="000000"/>
        </w:rPr>
      </w:pPr>
      <w:r w:rsidRPr="00E7337F">
        <w:rPr>
          <w:color w:val="000000"/>
        </w:rPr>
        <w:t xml:space="preserve">The </w:t>
      </w:r>
      <w:r w:rsidRPr="00E7337F">
        <w:t>fourth set</w:t>
      </w:r>
      <w:r w:rsidRPr="00E7337F">
        <w:rPr>
          <w:color w:val="000000"/>
        </w:rPr>
        <w:t xml:space="preserve"> of population-level interventions target the institutional environment by changing the voluntary and regulatory codes of practice to which organizations must conform. These interventions – such as introducing, modifying, or removing fines; establishing or altering institutional standards; or banning certain behaviours outright – may be implemented by governments or private organizations </w:t>
      </w:r>
      <w:r w:rsidR="005A1158" w:rsidRPr="00E7337F">
        <w:rPr>
          <w:color w:val="000000" w:themeColor="text1"/>
        </w:rPr>
        <w:fldChar w:fldCharType="begin" w:fldLock="1"/>
      </w:r>
      <w:r w:rsidR="00071F56" w:rsidRPr="00E7337F">
        <w:rPr>
          <w:color w:val="000000" w:themeColor="text1"/>
        </w:rPr>
        <w:instrText>ADDIN CSL_CITATION {"citationItems":[{"id":"ITEM-1","itemData":{"ISBN":"1107181224","author":[{"dropping-particle":"","family":"Vandenbergh","given":"Michael P","non-dropping-particle":"","parse-names":false,"suffix":""},{"dropping-particle":"","family":"Gilligan","given":"Jonathan M","non-dropping-particle":"","parse-names":false,"suffix":""}],"id":"ITEM-1","issued":{"date-parts":[["2017"]]},"publisher":"Cambridge University Press","title":"Beyond politics","type":"book"},"uris":["http://www.mendeley.com/documents/?uuid=3bb780b0-4cfb-476e-8365-a8f351c1707e"]}],"mendeley":{"formattedCitation":"(Vandenbergh and Gilligan, 2017)","plainTextFormattedCitation":"(Vandenbergh and Gilligan, 2017)","previouslyFormattedCitation":"(Vandenbergh and Gilligan, 2017)"},"properties":{"noteIndex":0},"schema":"https://github.com/citation-style-language/schema/raw/master/csl-citation.json"}</w:instrText>
      </w:r>
      <w:r w:rsidR="005A1158" w:rsidRPr="00E7337F">
        <w:rPr>
          <w:color w:val="000000" w:themeColor="text1"/>
        </w:rPr>
        <w:fldChar w:fldCharType="separate"/>
      </w:r>
      <w:r w:rsidR="0086250C" w:rsidRPr="00E7337F">
        <w:rPr>
          <w:noProof/>
          <w:color w:val="000000" w:themeColor="text1"/>
        </w:rPr>
        <w:t>(Vandenbergh and Gilligan, 2017)</w:t>
      </w:r>
      <w:r w:rsidR="005A1158" w:rsidRPr="00E7337F">
        <w:rPr>
          <w:color w:val="000000" w:themeColor="text1"/>
        </w:rPr>
        <w:fldChar w:fldCharType="end"/>
      </w:r>
      <w:r w:rsidRPr="00E7337F">
        <w:rPr>
          <w:color w:val="000000"/>
        </w:rPr>
        <w:t xml:space="preserve">. Institutional interventions </w:t>
      </w:r>
      <w:r w:rsidRPr="00E7337F">
        <w:t>are a</w:t>
      </w:r>
      <w:r w:rsidR="00A4361B" w:rsidRPr="00E7337F">
        <w:t>gain a</w:t>
      </w:r>
      <w:r w:rsidRPr="00E7337F">
        <w:t xml:space="preserve"> conventional</w:t>
      </w:r>
      <w:r w:rsidRPr="00E7337F">
        <w:rPr>
          <w:color w:val="000000"/>
        </w:rPr>
        <w:t xml:space="preserve"> part of the conservationist’s arsenal and include rules about harvesting potentially vulnerable populations, restrictions on access to </w:t>
      </w:r>
      <w:proofErr w:type="gramStart"/>
      <w:r w:rsidRPr="00E7337F">
        <w:rPr>
          <w:color w:val="000000"/>
        </w:rPr>
        <w:t>particular areas</w:t>
      </w:r>
      <w:proofErr w:type="gramEnd"/>
      <w:r w:rsidRPr="00E7337F">
        <w:rPr>
          <w:color w:val="000000"/>
        </w:rPr>
        <w:t xml:space="preserve">, and regulations of farming or forestry practices. More recent ideas include instituting sustainability standards for public procurement of farmed or harvested goods, strategically realigning business practices with the Sustainable Development Goals </w:t>
      </w:r>
      <w:r w:rsidR="005A1158" w:rsidRPr="00E7337F">
        <w:rPr>
          <w:color w:val="000000" w:themeColor="text1"/>
          <w:szCs w:val="28"/>
        </w:rPr>
        <w:fldChar w:fldCharType="begin" w:fldLock="1"/>
      </w:r>
      <w:r w:rsidR="00071F56" w:rsidRPr="00E7337F">
        <w:rPr>
          <w:color w:val="000000" w:themeColor="text1"/>
          <w:szCs w:val="28"/>
        </w:rPr>
        <w:instrText>ADDIN CSL_CITATION {"citationItems":[{"id":"ITEM-1","itemData":{"DOI":"10.1073/pnas.1704453114","ISSN":"0027-8424","PMID":"28784792","abstract":"The ocean represents a fundamental source of micronutrients and protein for a growing world population. Seafood is a highly traded and sought after commodity on international markets, and is critically dependent on healthy marine ecosystems. A global trend of wild stocks being overfished and in decline, as well as multiple sustainability challenges associated with a rapid growth of aquaculture, represent key concerns in relation to the United Nations Sustainable Development Goals. Existing efforts aimed to improve the sustainability of seafood production have generated important progress, primarily at the local and national levels, but have yet to effectively address the global challenges associated with the ocean. This study highlights the importance of transnational corporations in enabling transformative change, and thereby contributes to advancing the limited understanding of large-scale private actors within the sustainability science literature. We describe how we engaged with large seafood producers to coproduce a global science-business initiative for ocean stewardship. We suggest that this initiative is improving the prospects for transformative change by providing novel links between science and business, between wild-capture fisheries and aquaculture, and across geographical space. We argue that scientists can play an important role in facilitating change by connecting knowledge to action among global actors, while recognizing risks associated with such engagement. The methods developed through this case study contribute to identifying key competences in sustainability science and hold promises for other sectors as well.","author":[{"dropping-particle":"","family":"Österblom","given":"Henrik","non-dropping-particle":"","parse-names":false,"suffix":""},{"dropping-particle":"","family":"Jouffray","given":"Jean-Baptiste","non-dropping-particle":"","parse-names":false,"suffix":""},{"dropping-particle":"","family":"Folke","given":"Carl","non-dropping-particle":"","parse-names":false,"suffix":""},{"dropping-particle":"","family":"Rockström","given":"Johan","non-dropping-particle":"","parse-names":false,"suffix":""}],"container-title":"Proceedings of the National Academy of Sciences","id":"ITEM-1","issue":"34","issued":{"date-parts":[["2017"]]},"page":"9038-9043","title":"Emergence of a global science–business initiative for ocean stewardship","type":"article-journal","volume":"114"},"uris":["http://www.mendeley.com/documents/?uuid=8351e4e9-9790-4b98-af12-66743b85330f"]},{"id":"ITEM-2","itemData":{"author":[{"dropping-particle":"","family":"Waddock","given":"Sandra","non-dropping-particle":"","parse-names":false,"suffix":""}],"container-title":"Global Sustainability","id":"ITEM-2","issue":"3","issued":{"date-parts":[["2020"]]},"page":"e12","title":"Achieving sustainability requires systemic business transformation","type":"article-journal"},"uris":["http://www.mendeley.com/documents/?uuid=e919cb50-f864-4ad9-99b4-95be53d922b8"]}],"mendeley":{"formattedCitation":"(Österblom et al., 2017; Waddock, 2020)","plainTextFormattedCitation":"(Österblom et al., 2017; Waddock, 2020)","previouslyFormattedCitation":"(Österblom et al., 2017; Waddock, 2020)"},"properties":{"noteIndex":0},"schema":"https://github.com/citation-style-language/schema/raw/master/csl-citation.json"}</w:instrText>
      </w:r>
      <w:r w:rsidR="005A1158" w:rsidRPr="00E7337F">
        <w:rPr>
          <w:color w:val="000000" w:themeColor="text1"/>
          <w:szCs w:val="28"/>
        </w:rPr>
        <w:fldChar w:fldCharType="separate"/>
      </w:r>
      <w:r w:rsidR="0086250C" w:rsidRPr="00E7337F">
        <w:rPr>
          <w:noProof/>
          <w:color w:val="000000" w:themeColor="text1"/>
          <w:szCs w:val="28"/>
        </w:rPr>
        <w:t>(Österblom et al., 2017; Waddock, 2020)</w:t>
      </w:r>
      <w:r w:rsidR="005A1158" w:rsidRPr="00E7337F">
        <w:rPr>
          <w:color w:val="000000" w:themeColor="text1"/>
          <w:szCs w:val="28"/>
        </w:rPr>
        <w:fldChar w:fldCharType="end"/>
      </w:r>
      <w:r w:rsidRPr="00E7337F">
        <w:rPr>
          <w:color w:val="000000"/>
        </w:rPr>
        <w:t xml:space="preserve">, and shortening the working week to reduce greenhouse gas emissions and improve worker wellbeing </w:t>
      </w:r>
      <w:r w:rsidR="005A1158" w:rsidRPr="00E7337F">
        <w:rPr>
          <w:color w:val="000000" w:themeColor="text1"/>
          <w:szCs w:val="28"/>
        </w:rPr>
        <w:fldChar w:fldCharType="begin" w:fldLock="1"/>
      </w:r>
      <w:r w:rsidR="00071F56" w:rsidRPr="00E7337F">
        <w:rPr>
          <w:color w:val="000000" w:themeColor="text1"/>
          <w:szCs w:val="28"/>
        </w:rPr>
        <w:instrText>ADDIN CSL_CITATION {"citationItems":[{"id":"ITEM-1","itemData":{"DOI":"10.1016/j.ecolecon.2016.10.011","ISSN":"0921-8009","author":[{"dropping-particle":"","family":"King","given":"Lewis C","non-dropping-particle":"","parse-names":false,"suffix":""},{"dropping-particle":"Van Den","family":"Bergh","given":"Jeroen C J M","non-dropping-particle":"","parse-names":false,"suffix":""}],"container-title":"Ecological Economics","id":"ITEM-1","issued":{"date-parts":[["2017"]]},"page":"124-134","title":"Worktime reduction as a solution to climate change: Five scenarios compared for the UK","type":"article-journal","volume":"132"},"uris":["http://www.mendeley.com/documents/?uuid=47b8b5ca-4b56-4362-afbd-907aaa01f37c"]}],"mendeley":{"formattedCitation":"(King and Bergh, 2017)","plainTextFormattedCitation":"(King and Bergh, 2017)","previouslyFormattedCitation":"(King and Bergh, 2017)"},"properties":{"noteIndex":0},"schema":"https://github.com/citation-style-language/schema/raw/master/csl-citation.json"}</w:instrText>
      </w:r>
      <w:r w:rsidR="005A1158" w:rsidRPr="00E7337F">
        <w:rPr>
          <w:color w:val="000000" w:themeColor="text1"/>
          <w:szCs w:val="28"/>
        </w:rPr>
        <w:fldChar w:fldCharType="separate"/>
      </w:r>
      <w:r w:rsidR="0086250C" w:rsidRPr="00E7337F">
        <w:rPr>
          <w:noProof/>
          <w:color w:val="000000" w:themeColor="text1"/>
          <w:szCs w:val="28"/>
        </w:rPr>
        <w:t>(King and Bergh, 2017)</w:t>
      </w:r>
      <w:r w:rsidR="005A1158" w:rsidRPr="00E7337F">
        <w:rPr>
          <w:color w:val="000000" w:themeColor="text1"/>
          <w:szCs w:val="28"/>
        </w:rPr>
        <w:fldChar w:fldCharType="end"/>
      </w:r>
      <w:r w:rsidRPr="00E7337F">
        <w:rPr>
          <w:color w:val="000000"/>
        </w:rPr>
        <w:t xml:space="preserve">. </w:t>
      </w:r>
      <w:r w:rsidR="007E168A" w:rsidRPr="00E7337F">
        <w:rPr>
          <w:color w:val="000000"/>
        </w:rPr>
        <w:t>Evidence from b</w:t>
      </w:r>
      <w:r w:rsidRPr="00E7337F">
        <w:rPr>
          <w:color w:val="000000"/>
        </w:rPr>
        <w:t xml:space="preserve">ehavioural science </w:t>
      </w:r>
      <w:r w:rsidR="007E168A" w:rsidRPr="00E7337F">
        <w:rPr>
          <w:color w:val="000000"/>
        </w:rPr>
        <w:t xml:space="preserve">may be used to design and </w:t>
      </w:r>
      <w:r w:rsidRPr="00E7337F">
        <w:rPr>
          <w:color w:val="000000"/>
        </w:rPr>
        <w:t>enhance</w:t>
      </w:r>
      <w:r w:rsidR="007E168A" w:rsidRPr="00E7337F">
        <w:rPr>
          <w:color w:val="000000"/>
        </w:rPr>
        <w:t xml:space="preserve"> the effectiveness of</w:t>
      </w:r>
      <w:r w:rsidRPr="00E7337F">
        <w:rPr>
          <w:color w:val="000000"/>
        </w:rPr>
        <w:t xml:space="preserve"> such interventions. In one example, an experiment manipulating signs aimed at discouraging theft of petrified wood in an Arizonan national park found that </w:t>
      </w:r>
      <w:r w:rsidRPr="00E7337F">
        <w:t>a</w:t>
      </w:r>
      <w:r w:rsidRPr="00E7337F">
        <w:rPr>
          <w:color w:val="000000"/>
        </w:rPr>
        <w:t xml:space="preserve"> descriptive norm (</w:t>
      </w:r>
      <w:r w:rsidRPr="00E7337F">
        <w:t>describing the theft behavio</w:t>
      </w:r>
      <w:r w:rsidR="005A1158" w:rsidRPr="00E7337F">
        <w:t>u</w:t>
      </w:r>
      <w:r w:rsidRPr="00E7337F">
        <w:t>r of others)</w:t>
      </w:r>
      <w:r w:rsidRPr="00E7337F">
        <w:rPr>
          <w:color w:val="000000"/>
        </w:rPr>
        <w:t xml:space="preserve"> actually increased theft by showing it was widespread, whereas an injunctive norm (</w:t>
      </w:r>
      <w:r w:rsidR="00A4361B" w:rsidRPr="00E7337F">
        <w:t>asking visitors not to steal</w:t>
      </w:r>
      <w:r w:rsidRPr="00E7337F">
        <w:t>)</w:t>
      </w:r>
      <w:r w:rsidRPr="00E7337F">
        <w:rPr>
          <w:color w:val="000000"/>
        </w:rPr>
        <w:t xml:space="preserve"> reduced theft </w:t>
      </w:r>
      <w:r w:rsidR="005A1158" w:rsidRPr="00E7337F">
        <w:rPr>
          <w:color w:val="000000" w:themeColor="text1"/>
          <w:szCs w:val="28"/>
        </w:rPr>
        <w:fldChar w:fldCharType="begin" w:fldLock="1"/>
      </w:r>
      <w:r w:rsidR="00071F56" w:rsidRPr="00E7337F">
        <w:rPr>
          <w:color w:val="000000" w:themeColor="text1"/>
          <w:szCs w:val="28"/>
        </w:rPr>
        <w:instrText>ADDIN CSL_CITATION {"citationItems":[{"id":"ITEM-1","itemData":{"ISSN":"1553-4510","author":[{"dropping-particle":"","family":"Cialdini","given":"Robert B","non-dropping-particle":"","parse-names":false,"suffix":""},{"dropping-particle":"","family":"Demaine","given":"Linda J","non-dropping-particle":"","parse-names":false,"suffix":""},{"dropping-particle":"","family":"Sagarin","given":"Brad J","non-dropping-particle":"","parse-names":false,"suffix":""},{"dropping-particle":"","family":"Barrett","given":"Daniel W","non-dropping-particle":"","parse-names":false,"suffix":""},{"dropping-particle":"","family":"Rhoads","given":"Kelton","non-dropping-particle":"","parse-names":false,"suffix":""},{"dropping-particle":"","family":"Winter","given":"Patricia L","non-dropping-particle":"","parse-names":false,"suffix":""}],"container-title":"Social Influence","id":"ITEM-1","issue":"1","issued":{"date-parts":[["2006"]]},"page":"3-15","title":"Managing social norms for persuasive impact","type":"article-journal","volume":"1"},"uris":["http://www.mendeley.com/documents/?uuid=23c97df9-15e0-4b94-a44b-f7087088cccf"]}],"mendeley":{"formattedCitation":"(Cialdini et al., 2006)","plainTextFormattedCitation":"(Cialdini et al., 2006)","previouslyFormattedCitation":"(Cialdini et al., 2006)"},"properties":{"noteIndex":0},"schema":"https://github.com/citation-style-language/schema/raw/master/csl-citation.json"}</w:instrText>
      </w:r>
      <w:r w:rsidR="005A1158" w:rsidRPr="00E7337F">
        <w:rPr>
          <w:color w:val="000000" w:themeColor="text1"/>
          <w:szCs w:val="28"/>
        </w:rPr>
        <w:fldChar w:fldCharType="separate"/>
      </w:r>
      <w:r w:rsidR="0086250C" w:rsidRPr="00E7337F">
        <w:rPr>
          <w:noProof/>
          <w:color w:val="000000" w:themeColor="text1"/>
          <w:szCs w:val="28"/>
        </w:rPr>
        <w:t>(Cialdini et al., 2006)</w:t>
      </w:r>
      <w:r w:rsidR="005A1158" w:rsidRPr="00E7337F">
        <w:rPr>
          <w:color w:val="000000" w:themeColor="text1"/>
          <w:szCs w:val="28"/>
        </w:rPr>
        <w:fldChar w:fldCharType="end"/>
      </w:r>
      <w:r w:rsidRPr="00E7337F">
        <w:rPr>
          <w:color w:val="000000"/>
        </w:rPr>
        <w:t>.</w:t>
      </w:r>
      <w:r w:rsidR="004B6A42" w:rsidRPr="00E7337F">
        <w:rPr>
          <w:color w:val="000000"/>
        </w:rPr>
        <w:t xml:space="preserve"> </w:t>
      </w:r>
      <w:r w:rsidR="00A4361B" w:rsidRPr="00E7337F">
        <w:rPr>
          <w:color w:val="000000"/>
        </w:rPr>
        <w:t>As with</w:t>
      </w:r>
      <w:r w:rsidR="004B6A42" w:rsidRPr="00E7337F">
        <w:rPr>
          <w:color w:val="000000"/>
        </w:rPr>
        <w:t xml:space="preserve"> interventions based on </w:t>
      </w:r>
      <w:r w:rsidR="00072CF5" w:rsidRPr="00E7337F">
        <w:rPr>
          <w:color w:val="000000"/>
        </w:rPr>
        <w:t xml:space="preserve">education and </w:t>
      </w:r>
      <w:r w:rsidR="004B6A42" w:rsidRPr="00E7337F">
        <w:rPr>
          <w:color w:val="000000"/>
        </w:rPr>
        <w:t>material incentives, behavioural science could</w:t>
      </w:r>
      <w:r w:rsidR="006A2C0E">
        <w:rPr>
          <w:color w:val="000000"/>
        </w:rPr>
        <w:t xml:space="preserve"> potentially</w:t>
      </w:r>
      <w:r w:rsidR="004B6A42" w:rsidRPr="00E7337F">
        <w:rPr>
          <w:color w:val="000000"/>
        </w:rPr>
        <w:t xml:space="preserve"> yield</w:t>
      </w:r>
      <w:r w:rsidRPr="00E7337F">
        <w:rPr>
          <w:color w:val="000000"/>
        </w:rPr>
        <w:t xml:space="preserve"> </w:t>
      </w:r>
      <w:r w:rsidR="004B6A42" w:rsidRPr="00E7337F">
        <w:rPr>
          <w:color w:val="000000"/>
        </w:rPr>
        <w:t>m</w:t>
      </w:r>
      <w:r w:rsidRPr="00E7337F">
        <w:rPr>
          <w:color w:val="000000"/>
        </w:rPr>
        <w:t xml:space="preserve">any </w:t>
      </w:r>
      <w:r w:rsidRPr="00E7337F">
        <w:t>opportunities for</w:t>
      </w:r>
      <w:r w:rsidRPr="00E7337F">
        <w:rPr>
          <w:color w:val="000000"/>
        </w:rPr>
        <w:t xml:space="preserve"> enhancing the effectiveness of </w:t>
      </w:r>
      <w:r w:rsidR="00A4361B" w:rsidRPr="00E7337F">
        <w:rPr>
          <w:color w:val="000000"/>
        </w:rPr>
        <w:t>interventions targeting</w:t>
      </w:r>
      <w:r w:rsidRPr="00E7337F">
        <w:rPr>
          <w:color w:val="000000"/>
        </w:rPr>
        <w:t xml:space="preserve"> institutional environments. </w:t>
      </w:r>
    </w:p>
    <w:p w14:paraId="68AE7AD5" w14:textId="4FC6C79B" w:rsidR="00450CA8" w:rsidRPr="00E7337F" w:rsidRDefault="00EE12F8" w:rsidP="00950E9F">
      <w:pPr>
        <w:spacing w:after="0" w:line="480" w:lineRule="auto"/>
        <w:ind w:firstLine="720"/>
        <w:rPr>
          <w:color w:val="000000"/>
        </w:rPr>
      </w:pPr>
      <w:r w:rsidRPr="00E7337F">
        <w:rPr>
          <w:color w:val="000000"/>
        </w:rPr>
        <w:t>Finally, in this section it is worth noting that, as with climate change, fully addressing the underlying drivers of the biodiversity crisis requires even broader, system-level interventions which re-organise the political and economic system</w:t>
      </w:r>
      <w:r w:rsidR="00B90752" w:rsidRPr="00E7337F">
        <w:rPr>
          <w:color w:val="000000"/>
        </w:rPr>
        <w:t xml:space="preserve"> </w:t>
      </w:r>
      <w:r w:rsidR="00B90752" w:rsidRPr="00E7337F">
        <w:rPr>
          <w:color w:val="000000"/>
        </w:rPr>
        <w:fldChar w:fldCharType="begin" w:fldLock="1"/>
      </w:r>
      <w:r w:rsidR="00071F56" w:rsidRPr="00E7337F">
        <w:rPr>
          <w:color w:val="000000"/>
        </w:rPr>
        <w:instrText>ADDIN CSL_CITATION {"citationItems":[{"id":"ITEM-1","itemData":{"ISSN":"1755-263X","author":[{"dropping-particle":"","family":"Otero","given":"Iago","non-dropping-particle":"","parse-names":false,"suffix":""},{"dropping-particle":"","family":"Farrell","given":"Katharine N","non-dropping-particle":"","parse-names":false,"suffix":""},{"dropping-particle":"","family":"Pueyo","given":"Salvador","non-dropping-particle":"","parse-names":false,"suffix":""},{"dropping-particle":"","family":"Kallis","given":"Giorgos","non-dropping-particle":"","parse-names":false,"suffix":""},{"dropping-particle":"","family":"Kehoe","given":"Laura","non-dropping-particle":"","parse-names":false,"suffix":""},{"dropping-particle":"","family":"Haberl","given":"Helmut","non-dropping-particle":"","parse-names":false,"suffix":""},{"dropping-particle":"","family":"Plutzar","given":"Christoph","non-dropping-particle":"","parse-names":false,"suffix":""},{"dropping-particle":"","family":"Hobson","given":"Peter","non-dropping-particle":"","parse-names":false,"suffix":""},{"dropping-particle":"","family":"García‐Márquez","given":"Jaime","non-dropping-particle":"","parse-names":false,"suffix":""},{"dropping-particle":"","family":"Rodríguez‐Labajos","given":"Beatriz","non-dropping-particle":"","parse-names":false,"suffix":""}],"container-title":"Conservation Letters","id":"ITEM-1","issued":{"date-parts":[["2020"]]},"page":"e12713","title":"Biodiversity policy beyond economic growth","type":"article-journal"},"uris":["http://www.mendeley.com/documents/?uuid=76ea8ef8-cd26-458e-95f3-4238753f237b"]}],"mendeley":{"formattedCitation":"(Otero et al., 2020)","plainTextFormattedCitation":"(Otero et al., 2020)","previouslyFormattedCitation":"(Otero et al., 2020)"},"properties":{"noteIndex":0},"schema":"https://github.com/citation-style-language/schema/raw/master/csl-citation.json"}</w:instrText>
      </w:r>
      <w:r w:rsidR="00B90752" w:rsidRPr="00E7337F">
        <w:rPr>
          <w:color w:val="000000"/>
        </w:rPr>
        <w:fldChar w:fldCharType="separate"/>
      </w:r>
      <w:r w:rsidR="0086250C" w:rsidRPr="00E7337F">
        <w:rPr>
          <w:noProof/>
          <w:color w:val="000000"/>
        </w:rPr>
        <w:t>(Otero et al., 2020)</w:t>
      </w:r>
      <w:r w:rsidR="00B90752" w:rsidRPr="00E7337F">
        <w:rPr>
          <w:color w:val="000000"/>
        </w:rPr>
        <w:fldChar w:fldCharType="end"/>
      </w:r>
      <w:r w:rsidRPr="00E7337F">
        <w:rPr>
          <w:color w:val="000000"/>
        </w:rPr>
        <w:t xml:space="preserve">. In the </w:t>
      </w:r>
      <w:r w:rsidRPr="00E7337F">
        <w:rPr>
          <w:color w:val="000000"/>
        </w:rPr>
        <w:lastRenderedPageBreak/>
        <w:t xml:space="preserve">environmental space, the most prominent example of such macro-economic reorganisation is perhaps the proposed Green New Deal </w:t>
      </w:r>
      <w:r w:rsidR="00B90752" w:rsidRPr="00E7337F">
        <w:rPr>
          <w:color w:val="000000" w:themeColor="text1"/>
        </w:rPr>
        <w:fldChar w:fldCharType="begin" w:fldLock="1"/>
      </w:r>
      <w:r w:rsidR="00071F56" w:rsidRPr="00E7337F">
        <w:rPr>
          <w:color w:val="000000" w:themeColor="text1"/>
        </w:rPr>
        <w:instrText>ADDIN CSL_CITATION {"citationItems":[{"id":"ITEM-1","itemData":{"DOI":"10.1016/j.ecolecon.2020.106832","ISSN":"0921-8009","author":[{"dropping-particle":"","family":"Mastini","given":"Riccardo","non-dropping-particle":"","parse-names":false,"suffix":""},{"dropping-particle":"","family":"Kallis","given":"Giorgos","non-dropping-particle":"","parse-names":false,"suffix":""},{"dropping-particle":"","family":"Hickel","given":"Jason","non-dropping-particle":"","parse-names":false,"suffix":""}],"container-title":"Ecological Economics","id":"ITEM-1","issued":{"date-parts":[["2021"]]},"page":"106832","title":"A Green New Deal without growth?","type":"article-journal","volume":"179"},"uris":["http://www.mendeley.com/documents/?uuid=de4e5c09-d455-4c46-8f6e-35d13fab80cd"]}],"mendeley":{"formattedCitation":"(Mastini et al., 2021)","plainTextFormattedCitation":"(Mastini et al., 2021)","previouslyFormattedCitation":"(Mastini et al., 2021)"},"properties":{"noteIndex":0},"schema":"https://github.com/citation-style-language/schema/raw/master/csl-citation.json"}</w:instrText>
      </w:r>
      <w:r w:rsidR="00B90752" w:rsidRPr="00E7337F">
        <w:rPr>
          <w:color w:val="000000" w:themeColor="text1"/>
        </w:rPr>
        <w:fldChar w:fldCharType="separate"/>
      </w:r>
      <w:r w:rsidR="0086250C" w:rsidRPr="00E7337F">
        <w:rPr>
          <w:noProof/>
          <w:color w:val="000000" w:themeColor="text1"/>
        </w:rPr>
        <w:t>(Mastini et al., 2021)</w:t>
      </w:r>
      <w:r w:rsidR="00B90752" w:rsidRPr="00E7337F">
        <w:rPr>
          <w:color w:val="000000" w:themeColor="text1"/>
        </w:rPr>
        <w:fldChar w:fldCharType="end"/>
      </w:r>
      <w:r w:rsidR="00B90752" w:rsidRPr="00E7337F">
        <w:rPr>
          <w:color w:val="000000" w:themeColor="text1"/>
        </w:rPr>
        <w:t>; others include a fundamental shift from indefinite economic</w:t>
      </w:r>
      <w:r w:rsidR="00E8147C" w:rsidRPr="00E7337F">
        <w:rPr>
          <w:color w:val="000000" w:themeColor="text1"/>
        </w:rPr>
        <w:t xml:space="preserve"> </w:t>
      </w:r>
      <w:r w:rsidR="00B90752" w:rsidRPr="00E7337F">
        <w:rPr>
          <w:color w:val="000000" w:themeColor="text1"/>
        </w:rPr>
        <w:t xml:space="preserve">growth towards zero growth or even de-growth </w:t>
      </w:r>
      <w:r w:rsidR="00B90752" w:rsidRPr="00E7337F">
        <w:rPr>
          <w:color w:val="000000" w:themeColor="text1"/>
        </w:rPr>
        <w:fldChar w:fldCharType="begin" w:fldLock="1"/>
      </w:r>
      <w:r w:rsidR="00071F56" w:rsidRPr="00E7337F">
        <w:rPr>
          <w:color w:val="000000" w:themeColor="text1"/>
        </w:rPr>
        <w:instrText>ADDIN CSL_CITATION {"citationItems":[{"id":"ITEM-1","itemData":{"DOI":"10.1146/annurev-environ-102017-025941","ISSN":"1543-5938","abstract":"Scholars and activists mobilize increasingly the term degrowth when producing knowledge critical of the ideology and costs of growth-based development. Degrowth signals a radical political and economic reorganization leading to reduced resource and energy use. The degrowth hypothesis posits that such a trajectory of social transformation is necessary, desirable, and possible; the conditions of its realization require additional study. Research on degrowth has reinvigorated the limits to growth debate with critical examination of the historical, cultural, social, and political forces that have made economic growth a dominant objective. Here we review studies of economic stability in the absence of growth and of societies that have managed well without growth. We reflect on forms of technology and democracy compatible with degrowth and discuss plausible openings for a degrowth transition. This dynamic and productive research agenda asks inconvenient questions that sustainability sciences can no longer affor...","author":[{"dropping-particle":"","family":"Kallis","given":"Giorgos","non-dropping-particle":"","parse-names":false,"suffix":""},{"dropping-particle":"","family":"Kostakis","given":"Vasilis","non-dropping-particle":"","parse-names":false,"suffix":""},{"dropping-particle":"","family":"Lange","given":"Steffen","non-dropping-particle":"","parse-names":false,"suffix":""},{"dropping-particle":"","family":"Muraca","given":"Barbara","non-dropping-particle":"","parse-names":false,"suffix":""},{"dropping-particle":"","family":"Paulson","given":"Susan","non-dropping-particle":"","parse-names":false,"suffix":""},{"dropping-particle":"","family":"Schmelzer","given":"Matthias","non-dropping-particle":"","parse-names":false,"suffix":""}],"container-title":"Annual Review of Environment and Resources","id":"ITEM-1","issue":"1","issued":{"date-parts":[["2018"]]},"page":"291–316","title":"Research on degrowth","type":"article-journal","volume":"43"},"uris":["http://www.mendeley.com/documents/?uuid=67e1c206-92ed-4dbe-a2e6-77ec7f1a9a8f"]},{"id":"ITEM-2","itemData":{"DOI":"10.1038/s41893-020-0484-y","ISSN":"23989629","abstract":"Climate change and increasing income inequality have emerged as twin threats to contemporary standards of living, peace and democracy. These two problems are usually tackled separately in the policy agenda. A new breed of radical proposals have been advanced to manage a fair low-carbon transition. In this spirit, we develop a dynamic macrosimulation model to investigate the long-term effects of three scenarios: green growth, policies for social equity, and degrowth. The green growth scenario, based on technological progress and environmental policies, achieves a significant reduction in greenhouse gas emissions at the cost of increasing income inequality and unemployment. The policies for social equity scenario adds direct labour market interventions that result in an environmental performance similar to green growth while improving social conditions at the cost of increasing public deficit. The degrowth scenario further adds a reduction in consumption and exports, and achieves a greater reduction in emissions and inequality with higher public deficit, despite the introduction of a wealth tax. We argue that new radical social policies can combine social prosperity and low-carbon emissions and are economically and politically feasible.","author":[{"dropping-particle":"","family":"D’Alessandro","given":"Simone","non-dropping-particle":"","parse-names":false,"suffix":""},{"dropping-particle":"","family":"Cieplinski","given":"André","non-dropping-particle":"","parse-names":false,"suffix":""},{"dropping-particle":"","family":"Distefano","given":"Tiziano","non-dropping-particle":"","parse-names":false,"suffix":""},{"dropping-particle":"","family":"Dittmer","given":"Kristofer","non-dropping-particle":"","parse-names":false,"suffix":""}],"container-title":"Nature Sustainability","id":"ITEM-2","issued":{"date-parts":[["2020"]]},"page":"329-335","title":"Feasible alternatives to green growth","type":"article-journal","volume":"3"},"uris":["http://www.mendeley.com/documents/?uuid=69e653bd-3bca-4010-b6cb-be1bddcafc50"]},{"id":"ITEM-3","itemData":{"ISSN":"0958-305X","author":[{"dropping-particle":"","family":"Jackson","given":"Tim","non-dropping-particle":"","parse-names":false,"suffix":""}],"id":"ITEM-3","issued":{"date-parts":[["2009"]]},"publisher":"Earthscan","publisher-place":"London","title":"Prosperity without growth: Economics for a finite planet","type":"book"},"uris":["http://www.mendeley.com/documents/?uuid=bfbb7f71-b595-46eb-bb71-e951536c7c52"]}],"mendeley":{"formattedCitation":"(D’Alessandro et al., 2020; Jackson, 2009; Kallis et al., 2018)","plainTextFormattedCitation":"(D’Alessandro et al., 2020; Jackson, 2009; Kallis et al., 2018)","previouslyFormattedCitation":"(D’Alessandro et al., 2020; Jackson, 2009; Kallis et al., 2018)"},"properties":{"noteIndex":0},"schema":"https://github.com/citation-style-language/schema/raw/master/csl-citation.json"}</w:instrText>
      </w:r>
      <w:r w:rsidR="00B90752" w:rsidRPr="00E7337F">
        <w:rPr>
          <w:color w:val="000000" w:themeColor="text1"/>
        </w:rPr>
        <w:fldChar w:fldCharType="separate"/>
      </w:r>
      <w:r w:rsidR="0086250C" w:rsidRPr="00E7337F">
        <w:rPr>
          <w:noProof/>
          <w:color w:val="000000" w:themeColor="text1"/>
        </w:rPr>
        <w:t>(D’Alessandro et al., 2020; Jackson, 2009; Kallis et al., 2018)</w:t>
      </w:r>
      <w:r w:rsidR="00B90752" w:rsidRPr="00E7337F">
        <w:rPr>
          <w:color w:val="000000" w:themeColor="text1"/>
        </w:rPr>
        <w:fldChar w:fldCharType="end"/>
      </w:r>
      <w:r w:rsidR="00B90752" w:rsidRPr="00E7337F">
        <w:rPr>
          <w:color w:val="000000" w:themeColor="text1"/>
        </w:rPr>
        <w:t xml:space="preserve">. </w:t>
      </w:r>
      <w:r w:rsidR="0013407E" w:rsidRPr="00E7337F">
        <w:rPr>
          <w:color w:val="000000"/>
        </w:rPr>
        <w:t>S</w:t>
      </w:r>
      <w:r w:rsidRPr="00E7337F">
        <w:rPr>
          <w:color w:val="000000"/>
        </w:rPr>
        <w:t>uch interventions clearly have greater transformative potential than individual- and population-level interventions</w:t>
      </w:r>
      <w:r w:rsidR="0013407E" w:rsidRPr="00E7337F">
        <w:rPr>
          <w:color w:val="000000"/>
        </w:rPr>
        <w:t xml:space="preserve">. While </w:t>
      </w:r>
      <w:r w:rsidRPr="00E7337F">
        <w:rPr>
          <w:color w:val="000000"/>
        </w:rPr>
        <w:t>at present it remains challenging to see how they could be implemented</w:t>
      </w:r>
      <w:r w:rsidR="0013407E" w:rsidRPr="00E7337F">
        <w:rPr>
          <w:color w:val="000000"/>
        </w:rPr>
        <w:t xml:space="preserve">, behavioural science may have an important role to play in understanding what motivates </w:t>
      </w:r>
      <w:r w:rsidR="00946B00" w:rsidRPr="00E7337F">
        <w:rPr>
          <w:color w:val="000000"/>
        </w:rPr>
        <w:t xml:space="preserve">transformative </w:t>
      </w:r>
      <w:r w:rsidR="0013407E" w:rsidRPr="00E7337F">
        <w:rPr>
          <w:color w:val="000000"/>
        </w:rPr>
        <w:t>social change</w:t>
      </w:r>
      <w:r w:rsidRPr="00E7337F">
        <w:rPr>
          <w:color w:val="000000"/>
        </w:rPr>
        <w:t>.</w:t>
      </w:r>
    </w:p>
    <w:p w14:paraId="08AB1C77" w14:textId="77777777" w:rsidR="00450CA8" w:rsidRPr="00E7337F" w:rsidRDefault="00450CA8" w:rsidP="00950E9F">
      <w:pPr>
        <w:spacing w:after="0" w:line="480" w:lineRule="auto"/>
        <w:rPr>
          <w:color w:val="000000"/>
        </w:rPr>
      </w:pPr>
    </w:p>
    <w:p w14:paraId="276FC7F7" w14:textId="24F15149" w:rsidR="00450CA8" w:rsidRPr="00E7337F" w:rsidRDefault="00CB6397" w:rsidP="00950E9F">
      <w:pPr>
        <w:spacing w:after="0" w:line="480" w:lineRule="auto"/>
        <w:rPr>
          <w:b/>
          <w:bCs/>
          <w:color w:val="000000"/>
        </w:rPr>
      </w:pPr>
      <w:r w:rsidRPr="00E7337F">
        <w:rPr>
          <w:b/>
          <w:bCs/>
          <w:color w:val="000000"/>
        </w:rPr>
        <w:t xml:space="preserve">6. </w:t>
      </w:r>
      <w:r w:rsidR="00EE12F8" w:rsidRPr="00E7337F">
        <w:rPr>
          <w:b/>
          <w:bCs/>
          <w:color w:val="000000"/>
        </w:rPr>
        <w:t>Exploring the diversity of potential interventions</w:t>
      </w:r>
    </w:p>
    <w:p w14:paraId="06571431" w14:textId="4CDFB503" w:rsidR="00450CA8" w:rsidRPr="00E7337F" w:rsidRDefault="00EE12F8" w:rsidP="00950E9F">
      <w:pPr>
        <w:spacing w:after="0" w:line="480" w:lineRule="auto"/>
        <w:rPr>
          <w:color w:val="000000"/>
        </w:rPr>
      </w:pPr>
      <w:r w:rsidRPr="00E7337F">
        <w:t>H</w:t>
      </w:r>
      <w:r w:rsidRPr="00E7337F">
        <w:rPr>
          <w:color w:val="000000"/>
        </w:rPr>
        <w:t xml:space="preserve">ow might this array of </w:t>
      </w:r>
      <w:r w:rsidRPr="00E7337F">
        <w:t xml:space="preserve">traditional and novel </w:t>
      </w:r>
      <w:r w:rsidR="00305C09">
        <w:rPr>
          <w:color w:val="000000"/>
        </w:rPr>
        <w:t xml:space="preserve">behaviour </w:t>
      </w:r>
      <w:r w:rsidRPr="00E7337F">
        <w:rPr>
          <w:color w:val="000000"/>
        </w:rPr>
        <w:t xml:space="preserve">change interventions </w:t>
      </w:r>
      <w:r w:rsidRPr="00E7337F">
        <w:t xml:space="preserve">increase impact across </w:t>
      </w:r>
      <w:r w:rsidRPr="00E7337F">
        <w:rPr>
          <w:color w:val="000000"/>
        </w:rPr>
        <w:t xml:space="preserve">the breadth of problems which conservationists are trying to tackle? </w:t>
      </w:r>
      <w:r w:rsidR="00072CF5" w:rsidRPr="00E7337F">
        <w:rPr>
          <w:color w:val="000000"/>
        </w:rPr>
        <w:t xml:space="preserve">We sought to explore this question using our panel of heuristic threat chains (Table </w:t>
      </w:r>
      <w:r w:rsidR="00B3771D" w:rsidRPr="00E7337F">
        <w:rPr>
          <w:color w:val="000000"/>
        </w:rPr>
        <w:t>A</w:t>
      </w:r>
      <w:r w:rsidR="00072CF5" w:rsidRPr="00E7337F">
        <w:rPr>
          <w:color w:val="000000"/>
        </w:rPr>
        <w:t xml:space="preserve">1 in </w:t>
      </w:r>
      <w:r w:rsidR="002028EF" w:rsidRPr="00E7337F">
        <w:rPr>
          <w:color w:val="000000"/>
        </w:rPr>
        <w:t>online Appendix</w:t>
      </w:r>
      <w:r w:rsidR="00072CF5" w:rsidRPr="00E7337F">
        <w:rPr>
          <w:color w:val="000000"/>
        </w:rPr>
        <w:t xml:space="preserve">). </w:t>
      </w:r>
      <w:r w:rsidRPr="00E7337F">
        <w:rPr>
          <w:color w:val="000000"/>
        </w:rPr>
        <w:t xml:space="preserve">Considering first the Hudsonian godwit example, potentially promising interventions for achieving relevant behaviour changes (blue boxes in Fig. </w:t>
      </w:r>
      <w:r w:rsidR="002028EF" w:rsidRPr="00E7337F">
        <w:rPr>
          <w:color w:val="000000"/>
        </w:rPr>
        <w:t>2</w:t>
      </w:r>
      <w:r w:rsidRPr="00E7337F">
        <w:rPr>
          <w:color w:val="000000"/>
        </w:rPr>
        <w:t>) could include installing and emptying bins to reduce littering (a physical microenvironment intervention aimed at consumers); introducing a tax on non-degradable packaging (an economic intervention targeting consumers); and regulating against the at-sea disposal of plastics (an institutional intervention aimed at producers – in this case the aquaculture sector). To be enacted, each intervention may also require lobbying politicians (</w:t>
      </w:r>
      <w:proofErr w:type="gramStart"/>
      <w:r w:rsidRPr="00E7337F">
        <w:rPr>
          <w:color w:val="000000"/>
        </w:rPr>
        <w:t>i.e.</w:t>
      </w:r>
      <w:proofErr w:type="gramEnd"/>
      <w:r w:rsidRPr="00E7337F">
        <w:rPr>
          <w:color w:val="000000"/>
        </w:rPr>
        <w:t xml:space="preserve"> motivational interventions targeting policymakers) to introduce supporting policies and regulations.</w:t>
      </w:r>
    </w:p>
    <w:p w14:paraId="55AE5DE3" w14:textId="26F03C7B" w:rsidR="00450CA8" w:rsidRPr="00E7337F" w:rsidRDefault="00EE12F8" w:rsidP="00950E9F">
      <w:pPr>
        <w:spacing w:after="0" w:line="480" w:lineRule="auto"/>
        <w:ind w:firstLine="720"/>
        <w:rPr>
          <w:color w:val="000000"/>
        </w:rPr>
      </w:pPr>
      <w:r w:rsidRPr="00E7337F">
        <w:rPr>
          <w:color w:val="000000"/>
        </w:rPr>
        <w:t>The diversity of desirable behaviour changes and possible interventions for delivering them was underscored when</w:t>
      </w:r>
      <w:r w:rsidRPr="00E7337F">
        <w:t>,</w:t>
      </w:r>
      <w:r w:rsidRPr="00E7337F">
        <w:rPr>
          <w:color w:val="000000"/>
        </w:rPr>
        <w:t xml:space="preserve"> as a heuristic exercis</w:t>
      </w:r>
      <w:r w:rsidRPr="00E7337F">
        <w:t>e,</w:t>
      </w:r>
      <w:r w:rsidRPr="00E7337F">
        <w:rPr>
          <w:color w:val="000000"/>
        </w:rPr>
        <w:t xml:space="preserve"> we considered ways of addressing each of </w:t>
      </w:r>
      <w:r w:rsidR="00946154" w:rsidRPr="00E7337F">
        <w:t xml:space="preserve">our </w:t>
      </w:r>
      <w:r w:rsidRPr="00E7337F">
        <w:rPr>
          <w:color w:val="000000"/>
        </w:rPr>
        <w:t xml:space="preserve">example threats </w:t>
      </w:r>
      <w:r w:rsidR="00946154" w:rsidRPr="00E7337F">
        <w:rPr>
          <w:color w:val="000000"/>
        </w:rPr>
        <w:t>in turn</w:t>
      </w:r>
      <w:r w:rsidR="00466284" w:rsidRPr="00E7337F">
        <w:rPr>
          <w:color w:val="000000"/>
        </w:rPr>
        <w:t xml:space="preserve"> (see </w:t>
      </w:r>
      <w:r w:rsidR="002028EF" w:rsidRPr="00E7337F">
        <w:rPr>
          <w:color w:val="000000"/>
        </w:rPr>
        <w:t>online Appendix</w:t>
      </w:r>
      <w:r w:rsidR="00466284" w:rsidRPr="00E7337F">
        <w:rPr>
          <w:color w:val="000000"/>
        </w:rPr>
        <w:t>)</w:t>
      </w:r>
      <w:r w:rsidRPr="00E7337F">
        <w:rPr>
          <w:color w:val="000000"/>
        </w:rPr>
        <w:t xml:space="preserve">. Across the 12 threat chains </w:t>
      </w:r>
      <w:r w:rsidR="00946154" w:rsidRPr="00E7337F">
        <w:rPr>
          <w:color w:val="000000"/>
        </w:rPr>
        <w:t xml:space="preserve">we </w:t>
      </w:r>
      <w:r w:rsidRPr="00E7337F">
        <w:rPr>
          <w:color w:val="000000"/>
        </w:rPr>
        <w:t xml:space="preserve">examined in detail, workshop participants suggested 130 interventions which might </w:t>
      </w:r>
      <w:r w:rsidRPr="00E7337F">
        <w:t>deliver</w:t>
      </w:r>
      <w:r w:rsidRPr="00E7337F">
        <w:rPr>
          <w:color w:val="000000"/>
        </w:rPr>
        <w:t xml:space="preserve"> </w:t>
      </w:r>
      <w:r w:rsidRPr="00E7337F">
        <w:t>beneficial</w:t>
      </w:r>
      <w:r w:rsidRPr="00E7337F">
        <w:rPr>
          <w:color w:val="000000"/>
        </w:rPr>
        <w:t xml:space="preserve"> behaviour changes (see Table 4, which sorts them into intervention and actor </w:t>
      </w:r>
      <w:r w:rsidRPr="00E7337F">
        <w:rPr>
          <w:color w:val="000000"/>
        </w:rPr>
        <w:lastRenderedPageBreak/>
        <w:t xml:space="preserve">groupings). </w:t>
      </w:r>
      <w:r w:rsidR="00AA61FF" w:rsidRPr="00E7337F">
        <w:rPr>
          <w:color w:val="000000"/>
        </w:rPr>
        <w:t>T</w:t>
      </w:r>
      <w:r w:rsidR="00C82D45" w:rsidRPr="00E7337F">
        <w:rPr>
          <w:color w:val="000000"/>
        </w:rPr>
        <w:t>hese suggestion</w:t>
      </w:r>
      <w:r w:rsidR="00AA61FF" w:rsidRPr="00E7337F">
        <w:rPr>
          <w:color w:val="000000"/>
        </w:rPr>
        <w:t xml:space="preserve">s were </w:t>
      </w:r>
      <w:r w:rsidR="002F2002" w:rsidRPr="00E7337F">
        <w:rPr>
          <w:color w:val="000000"/>
        </w:rPr>
        <w:t>quite diverse</w:t>
      </w:r>
      <w:r w:rsidR="00AA61FF" w:rsidRPr="00E7337F">
        <w:rPr>
          <w:color w:val="000000"/>
        </w:rPr>
        <w:t xml:space="preserve">. </w:t>
      </w:r>
      <w:r w:rsidR="007C73B0" w:rsidRPr="00E7337F">
        <w:rPr>
          <w:color w:val="000000"/>
        </w:rPr>
        <w:t>P</w:t>
      </w:r>
      <w:r w:rsidRPr="00E7337F">
        <w:rPr>
          <w:color w:val="000000"/>
        </w:rPr>
        <w:t>roposed interventions for tackling examples of habitat loss or degradation</w:t>
      </w:r>
      <w:r w:rsidR="007C73B0" w:rsidRPr="00E7337F">
        <w:rPr>
          <w:color w:val="000000"/>
        </w:rPr>
        <w:t>, for example,</w:t>
      </w:r>
      <w:r w:rsidRPr="00E7337F">
        <w:rPr>
          <w:color w:val="000000"/>
        </w:rPr>
        <w:t xml:space="preserve"> included incentivising forest retention by providing Amazonian ranchers who do not deforest with better training in animal </w:t>
      </w:r>
      <w:r w:rsidR="00E8147C" w:rsidRPr="00E7337F">
        <w:rPr>
          <w:color w:val="000000"/>
        </w:rPr>
        <w:t>husbandry</w:t>
      </w:r>
      <w:r w:rsidR="007C73B0" w:rsidRPr="00E7337F">
        <w:rPr>
          <w:color w:val="000000"/>
        </w:rPr>
        <w:t>,</w:t>
      </w:r>
      <w:r w:rsidR="00E8147C" w:rsidRPr="00E7337F">
        <w:rPr>
          <w:color w:val="000000"/>
        </w:rPr>
        <w:t xml:space="preserve"> and</w:t>
      </w:r>
      <w:r w:rsidR="00892B84" w:rsidRPr="00E7337F">
        <w:rPr>
          <w:color w:val="000000"/>
        </w:rPr>
        <w:t xml:space="preserve"> </w:t>
      </w:r>
      <w:r w:rsidRPr="00E7337F">
        <w:rPr>
          <w:color w:val="000000"/>
        </w:rPr>
        <w:t xml:space="preserve">enhancing water quality for threatened vendace populations by simplifying the administrative burden of farmers participating in catchment management schemes. Ideas for tackling other threats included reducing local overexploitation of Caribbean fisheries by providing refrigeration to traders to reduce supply chain wastage; slowing the expansion of alien lionfish in Mexican waters by training chefs in how to handle and cook them; and reducing the impact of climate change on alpine plant communities in Snowdonia by encouraging climbers to make social media commitments to avoid using sensitive routes during warmer weather.  </w:t>
      </w:r>
    </w:p>
    <w:p w14:paraId="1D54AF40" w14:textId="0EFE6AF4" w:rsidR="00450CA8" w:rsidRPr="00E7337F" w:rsidRDefault="00EE12F8" w:rsidP="00950E9F">
      <w:pPr>
        <w:spacing w:after="0" w:line="480" w:lineRule="auto"/>
        <w:ind w:firstLine="720"/>
        <w:rPr>
          <w:color w:val="000000"/>
        </w:rPr>
      </w:pPr>
      <w:r w:rsidRPr="00E7337F">
        <w:rPr>
          <w:color w:val="000000"/>
        </w:rPr>
        <w:t xml:space="preserve">Some </w:t>
      </w:r>
      <w:r w:rsidR="000D10AE" w:rsidRPr="00E7337F">
        <w:rPr>
          <w:color w:val="000000"/>
        </w:rPr>
        <w:t xml:space="preserve">of the listed </w:t>
      </w:r>
      <w:r w:rsidRPr="00E7337F">
        <w:rPr>
          <w:color w:val="000000"/>
        </w:rPr>
        <w:t xml:space="preserve">interventions have been </w:t>
      </w:r>
      <w:r w:rsidR="00892B84" w:rsidRPr="00E7337F">
        <w:rPr>
          <w:color w:val="000000"/>
        </w:rPr>
        <w:t xml:space="preserve">implemented </w:t>
      </w:r>
      <w:r w:rsidRPr="00E7337F">
        <w:rPr>
          <w:color w:val="000000"/>
        </w:rPr>
        <w:t xml:space="preserve">and found to be at least partially successful. </w:t>
      </w:r>
      <w:r w:rsidR="005F68E5" w:rsidRPr="00E7337F">
        <w:rPr>
          <w:color w:val="000000"/>
        </w:rPr>
        <w:t xml:space="preserve">An awareness-raising campaign describing recommended hygiene measures to reduce the spread of aquatic invasive species has been linked to an increase in self-reported adoption of those behaviours by recreational boat-users and anglers around Lake Michigan </w:t>
      </w:r>
      <w:r w:rsidR="00EC1C75" w:rsidRPr="00E7337F">
        <w:rPr>
          <w:color w:val="000000"/>
        </w:rPr>
        <w:fldChar w:fldCharType="begin" w:fldLock="1"/>
      </w:r>
      <w:r w:rsidR="00071F56" w:rsidRPr="00E7337F">
        <w:rPr>
          <w:color w:val="000000"/>
        </w:rPr>
        <w:instrText>ADDIN CSL_CITATION {"citationItems":[{"id":"ITEM-1","itemData":{"ISSN":"1387-3547","author":[{"dropping-particle":"","family":"Seekamp","given":"Erin","non-dropping-particle":"","parse-names":false,"suffix":""},{"dropping-particle":"","family":"McCreary","given":"Allie","non-dropping-particle":"","parse-names":false,"suffix":""},{"dropping-particle":"","family":"Mayer","given":"Jessica","non-dropping-particle":"","parse-names":false,"suffix":""},{"dropping-particle":"","family":"Zack","given":"Sarah","non-dropping-particle":"","parse-names":false,"suffix":""},{"dropping-particle":"","family":"Charlebois","given":"Patrice","non-dropping-particle":"","parse-names":false,"suffix":""},{"dropping-particle":"","family":"Pasternak","given":"Lainey","non-dropping-particle":"","parse-names":false,"suffix":""}],"container-title":"Biological Invasions","id":"ITEM-1","issue":"6","issued":{"date-parts":[["2016"]]},"page":"1745-1758","title":"Exploring the efficacy of an aquatic invasive species prevention campaign among water recreationists","type":"article-journal","volume":"18"},"uris":["http://www.mendeley.com/documents/?uuid=5151ae4e-a9aa-4008-92a0-b130c216e862"]}],"mendeley":{"formattedCitation":"(Seekamp et al., 2016)","plainTextFormattedCitation":"(Seekamp et al., 2016)","previouslyFormattedCitation":"(Seekamp et al., 2016)"},"properties":{"noteIndex":0},"schema":"https://github.com/citation-style-language/schema/raw/master/csl-citation.json"}</w:instrText>
      </w:r>
      <w:r w:rsidR="00EC1C75" w:rsidRPr="00E7337F">
        <w:rPr>
          <w:color w:val="000000"/>
        </w:rPr>
        <w:fldChar w:fldCharType="separate"/>
      </w:r>
      <w:r w:rsidR="0086250C" w:rsidRPr="00E7337F">
        <w:rPr>
          <w:noProof/>
          <w:color w:val="000000"/>
        </w:rPr>
        <w:t>(Seekamp et al., 2016)</w:t>
      </w:r>
      <w:r w:rsidR="00EC1C75" w:rsidRPr="00E7337F">
        <w:rPr>
          <w:color w:val="000000"/>
        </w:rPr>
        <w:fldChar w:fldCharType="end"/>
      </w:r>
      <w:r w:rsidR="005F68E5" w:rsidRPr="00E7337F">
        <w:rPr>
          <w:color w:val="000000"/>
        </w:rPr>
        <w:t xml:space="preserve">. </w:t>
      </w:r>
      <w:r w:rsidRPr="00E7337F">
        <w:rPr>
          <w:color w:val="000000"/>
        </w:rPr>
        <w:t>Likewise</w:t>
      </w:r>
      <w:r w:rsidR="000D10AE" w:rsidRPr="00E7337F">
        <w:rPr>
          <w:color w:val="000000"/>
        </w:rPr>
        <w:t>,</w:t>
      </w:r>
      <w:r w:rsidRPr="00E7337F">
        <w:rPr>
          <w:color w:val="000000"/>
        </w:rPr>
        <w:t xml:space="preserve"> efforts to recover South Asian vulture populations following inadvertent but devastating die-offs from feeding on carcasses contaminated with the veterinary drug diclofenac have been boosted by removing from patent a safer alternative with which small</w:t>
      </w:r>
      <w:r w:rsidRPr="00E7337F">
        <w:t>holder</w:t>
      </w:r>
      <w:r w:rsidRPr="00E7337F">
        <w:rPr>
          <w:color w:val="000000"/>
        </w:rPr>
        <w:t xml:space="preserve"> farmers can treat cattle </w:t>
      </w:r>
      <w:r w:rsidR="000D10AE" w:rsidRPr="00E7337F">
        <w:rPr>
          <w:color w:val="000000"/>
        </w:rPr>
        <w:fldChar w:fldCharType="begin" w:fldLock="1"/>
      </w:r>
      <w:r w:rsidR="00071F56" w:rsidRPr="00E7337F">
        <w:rPr>
          <w:color w:val="000000"/>
        </w:rPr>
        <w:instrText>ADDIN CSL_CITATION {"citationItems":[{"id":"ITEM-1","itemData":{"ISSN":"0959-2709","author":[{"dropping-particle":"","family":"Galligan","given":"Toby H","non-dropping-particle":"","parse-names":false,"suffix":""},{"dropping-particle":"","family":"Mallord","given":"John W","non-dropping-particle":"","parse-names":false,"suffix":""},{"dropping-particle":"","family":"Prakash","given":"Vibhu M","non-dropping-particle":"","parse-names":false,"suffix":""},{"dropping-particle":"","family":"Bhusal","given":"Krishna P","non-dropping-particle":"","parse-names":false,"suffix":""},{"dropping-particle":"","family":"Alam","given":"A B M Sarowar","non-dropping-particle":"","parse-names":false,"suffix":""},{"dropping-particle":"","family":"Anthony","given":"Fergus M","non-dropping-particle":"","parse-names":false,"suffix":""},{"dropping-particle":"","family":"Dave","given":"Ruchi","non-dropping-particle":"","parse-names":false,"suffix":""},{"dropping-particle":"","family":"Dube","given":"Alka","non-dropping-particle":"","parse-names":false,"suffix":""},{"dropping-particle":"","family":"Shastri","given":"Kartik","non-dropping-particle":"","parse-names":false,"suffix":""},{"dropping-particle":"","family":"Kumar","given":"Yoges","non-dropping-particle":"","parse-names":false,"suffix":""}],"container-title":"Bird Conservation International","id":"ITEM-1","issued":{"date-parts":[["2020"]]},"page":"1-17","title":"Trends in the availability of the vulture-toxic drug, diclofenac, and other NSAIDs in South Asia, as revealed by covert pharmacy surveys","type":"article-journal"},"uris":["http://www.mendeley.com/documents/?uuid=45d2f9c8-dcaa-443b-8ea3-eb204c70405f"]}],"mendeley":{"formattedCitation":"(Galligan et al., 2020)","plainTextFormattedCitation":"(Galligan et al., 2020)","previouslyFormattedCitation":"(Galligan et al., 2020)"},"properties":{"noteIndex":0},"schema":"https://github.com/citation-style-language/schema/raw/master/csl-citation.json"}</w:instrText>
      </w:r>
      <w:r w:rsidR="000D10AE" w:rsidRPr="00E7337F">
        <w:rPr>
          <w:color w:val="000000"/>
        </w:rPr>
        <w:fldChar w:fldCharType="separate"/>
      </w:r>
      <w:r w:rsidR="0086250C" w:rsidRPr="00E7337F">
        <w:rPr>
          <w:noProof/>
          <w:color w:val="000000"/>
        </w:rPr>
        <w:t>(Galligan et al., 2020)</w:t>
      </w:r>
      <w:r w:rsidR="000D10AE" w:rsidRPr="00E7337F">
        <w:rPr>
          <w:color w:val="000000"/>
        </w:rPr>
        <w:fldChar w:fldCharType="end"/>
      </w:r>
      <w:r w:rsidRPr="00E7337F">
        <w:rPr>
          <w:color w:val="000000"/>
        </w:rPr>
        <w:t xml:space="preserve">. This latter example involved several linked interventions </w:t>
      </w:r>
      <w:r w:rsidRPr="00E7337F">
        <w:t>including</w:t>
      </w:r>
      <w:r w:rsidRPr="00E7337F">
        <w:rPr>
          <w:color w:val="000000"/>
        </w:rPr>
        <w:t xml:space="preserve"> motivating a multinational corporation to cede its patent, thereby altering the economic incentives for local pharmaceutical manufacturers, who in turn provided a more sustainable option for cattle-owners. Other sequences of interventions are even more complex (asterisks in Table 4) and, as with efforts to reduce litter on </w:t>
      </w:r>
      <w:proofErr w:type="spellStart"/>
      <w:r w:rsidRPr="00E7337F">
        <w:rPr>
          <w:color w:val="000000"/>
        </w:rPr>
        <w:t>Chiloé’s</w:t>
      </w:r>
      <w:proofErr w:type="spellEnd"/>
      <w:r w:rsidRPr="00E7337F">
        <w:rPr>
          <w:color w:val="000000"/>
        </w:rPr>
        <w:t xml:space="preserve"> beaches, many will hinge on first motivating upstream policymakers. </w:t>
      </w:r>
    </w:p>
    <w:p w14:paraId="54D3DF4C" w14:textId="7AA8DD6E" w:rsidR="00450CA8" w:rsidRPr="00E7337F" w:rsidRDefault="00EE12F8" w:rsidP="00950E9F">
      <w:pPr>
        <w:spacing w:after="0" w:line="480" w:lineRule="auto"/>
        <w:ind w:firstLine="720"/>
        <w:rPr>
          <w:color w:val="000000"/>
        </w:rPr>
      </w:pPr>
      <w:r w:rsidRPr="00E7337F">
        <w:lastRenderedPageBreak/>
        <w:t xml:space="preserve">While we considered only a few example threats and </w:t>
      </w:r>
      <w:r w:rsidR="00892B84" w:rsidRPr="00E7337F">
        <w:t xml:space="preserve">our </w:t>
      </w:r>
      <w:r w:rsidR="00C82D45" w:rsidRPr="00E7337F">
        <w:t xml:space="preserve">exploration </w:t>
      </w:r>
      <w:r w:rsidRPr="00E7337F">
        <w:t>of promising interventions was not systematic or comprehensive, the distribution of suggestions across actors and intervention types</w:t>
      </w:r>
      <w:r w:rsidRPr="00E7337F">
        <w:rPr>
          <w:color w:val="000000"/>
        </w:rPr>
        <w:t xml:space="preserve"> (shown by shading in Table 4) does hint at some interesting patterns. Most</w:t>
      </w:r>
      <w:r w:rsidR="00892B84" w:rsidRPr="00E7337F">
        <w:rPr>
          <w:color w:val="000000"/>
        </w:rPr>
        <w:t xml:space="preserve"> of the </w:t>
      </w:r>
      <w:r w:rsidR="00892B84" w:rsidRPr="00E7337F">
        <w:t>identified</w:t>
      </w:r>
      <w:r w:rsidR="00892B84" w:rsidRPr="00E7337F">
        <w:rPr>
          <w:color w:val="000000"/>
        </w:rPr>
        <w:t xml:space="preserve"> </w:t>
      </w:r>
      <w:r w:rsidRPr="00E7337F">
        <w:rPr>
          <w:color w:val="000000"/>
        </w:rPr>
        <w:t>interventions were aimed at producers</w:t>
      </w:r>
      <w:r w:rsidR="00A12410" w:rsidRPr="00E7337F">
        <w:rPr>
          <w:color w:val="000000"/>
        </w:rPr>
        <w:t xml:space="preserve"> and</w:t>
      </w:r>
      <w:r w:rsidRPr="00E7337F">
        <w:rPr>
          <w:color w:val="000000"/>
        </w:rPr>
        <w:t xml:space="preserve"> extractors, and consumers, with fewer directed towards conservation managers</w:t>
      </w:r>
      <w:r w:rsidRPr="00E7337F">
        <w:t xml:space="preserve">, </w:t>
      </w:r>
      <w:r w:rsidRPr="00E7337F">
        <w:rPr>
          <w:color w:val="000000"/>
        </w:rPr>
        <w:t xml:space="preserve">supply-chain </w:t>
      </w:r>
      <w:proofErr w:type="gramStart"/>
      <w:r w:rsidRPr="00E7337F">
        <w:rPr>
          <w:color w:val="000000"/>
        </w:rPr>
        <w:t>manufacturers</w:t>
      </w:r>
      <w:proofErr w:type="gramEnd"/>
      <w:r w:rsidRPr="00E7337F">
        <w:rPr>
          <w:color w:val="000000"/>
        </w:rPr>
        <w:t xml:space="preserve"> or sellers, and fewer still at actors further upstream. Interventions aimed at producers and consumers were spread across several intervention classes, though quite heavily focused on economic incentives (for producers) and motivational interventions (for consumers). Suggested interventions changing the behaviour of upstream actors (so that they provide financial support, </w:t>
      </w:r>
      <w:r w:rsidR="00C82D45" w:rsidRPr="00E7337F">
        <w:rPr>
          <w:color w:val="000000"/>
        </w:rPr>
        <w:t>institu</w:t>
      </w:r>
      <w:r w:rsidR="00C82D45" w:rsidRPr="00E7337F">
        <w:t>te</w:t>
      </w:r>
      <w:r w:rsidR="00C82D45" w:rsidRPr="00E7337F">
        <w:rPr>
          <w:color w:val="000000"/>
        </w:rPr>
        <w:t xml:space="preserve"> </w:t>
      </w:r>
      <w:r w:rsidRPr="00E7337F">
        <w:rPr>
          <w:color w:val="000000"/>
        </w:rPr>
        <w:t xml:space="preserve">policy, or otherwise influence the behaviour of downstream actors) were focused almost entirely on motivation. These patterns might in part reflect genuine constraints on what interventions are possible, but we suggest more expansive thinking </w:t>
      </w:r>
      <w:r w:rsidR="005B0C54" w:rsidRPr="00E7337F">
        <w:rPr>
          <w:color w:val="000000"/>
        </w:rPr>
        <w:t>may</w:t>
      </w:r>
      <w:r w:rsidRPr="00E7337F">
        <w:rPr>
          <w:color w:val="000000"/>
        </w:rPr>
        <w:t xml:space="preserve"> identify rewarding interventions of kinds we failed to imagine</w:t>
      </w:r>
      <w:r w:rsidR="00A12410" w:rsidRPr="00E7337F">
        <w:rPr>
          <w:color w:val="000000"/>
        </w:rPr>
        <w:t xml:space="preserve"> (white cells in Table 4)</w:t>
      </w:r>
      <w:r w:rsidRPr="00E7337F">
        <w:rPr>
          <w:color w:val="000000"/>
        </w:rPr>
        <w:t>.</w:t>
      </w:r>
    </w:p>
    <w:p w14:paraId="5F2A5786" w14:textId="77777777" w:rsidR="00450CA8" w:rsidRPr="00E7337F" w:rsidRDefault="00450CA8" w:rsidP="00950E9F">
      <w:pPr>
        <w:spacing w:after="0" w:line="480" w:lineRule="auto"/>
        <w:rPr>
          <w:color w:val="000000"/>
        </w:rPr>
      </w:pPr>
    </w:p>
    <w:p w14:paraId="766CA59D" w14:textId="09F9120F" w:rsidR="00450CA8" w:rsidRPr="00E7337F" w:rsidRDefault="00CB6397" w:rsidP="00950E9F">
      <w:pPr>
        <w:spacing w:after="0" w:line="480" w:lineRule="auto"/>
        <w:rPr>
          <w:b/>
          <w:bCs/>
          <w:color w:val="000000"/>
        </w:rPr>
      </w:pPr>
      <w:r w:rsidRPr="00E7337F">
        <w:rPr>
          <w:b/>
          <w:bCs/>
          <w:color w:val="000000"/>
        </w:rPr>
        <w:t xml:space="preserve">7. </w:t>
      </w:r>
      <w:r w:rsidR="00EE12F8" w:rsidRPr="00E7337F">
        <w:rPr>
          <w:b/>
          <w:bCs/>
          <w:color w:val="000000"/>
        </w:rPr>
        <w:t>Selecting behaviours and interventions to focus on</w:t>
      </w:r>
    </w:p>
    <w:p w14:paraId="6CD8028C" w14:textId="0FA99EF6" w:rsidR="00DE58A5" w:rsidRPr="00E7337F" w:rsidRDefault="00DE58A5" w:rsidP="00950E9F">
      <w:pPr>
        <w:spacing w:after="0" w:line="480" w:lineRule="auto"/>
        <w:rPr>
          <w:color w:val="000000"/>
        </w:rPr>
      </w:pPr>
      <w:r w:rsidRPr="00E7337F">
        <w:t>Clearly in tackling any threat to a population or habitat of conservation concern</w:t>
      </w:r>
      <w:r w:rsidR="00E8637C" w:rsidRPr="00E7337F">
        <w:t>,</w:t>
      </w:r>
      <w:r w:rsidRPr="00E7337F">
        <w:t xml:space="preserve"> several human behaviours could be targeted, each through multiple interventions. </w:t>
      </w:r>
      <w:r w:rsidR="00EE12F8" w:rsidRPr="00E7337F">
        <w:t xml:space="preserve">So how can conservationists </w:t>
      </w:r>
      <w:r w:rsidR="00896B25" w:rsidRPr="00E7337F">
        <w:t xml:space="preserve">practically </w:t>
      </w:r>
      <w:r w:rsidR="00EE12F8" w:rsidRPr="00E7337F">
        <w:t>narrow their focus? Work on prioritising climate change interventions can help. This proposes that the impact of a behaviour</w:t>
      </w:r>
      <w:r w:rsidR="00896B25" w:rsidRPr="00E7337F">
        <w:t xml:space="preserve"> </w:t>
      </w:r>
      <w:r w:rsidR="00EE12F8" w:rsidRPr="00E7337F">
        <w:t>change intervention is a function of</w:t>
      </w:r>
      <w:r w:rsidRPr="00E7337F">
        <w:t xml:space="preserve"> </w:t>
      </w:r>
      <w:r w:rsidR="00EE12F8" w:rsidRPr="00E7337F">
        <w:t xml:space="preserve"> the degree to which the target behaviour change would, if achieved in full, influence the outcome of interest (its technical potential); and the degree to which the target behaviour can be changed (its behavioural plasticity) by the intervention over the period of interest </w:t>
      </w:r>
      <w:r w:rsidR="00286072" w:rsidRPr="00E7337F">
        <w:fldChar w:fldCharType="begin" w:fldLock="1"/>
      </w:r>
      <w:r w:rsidR="00400DCE" w:rsidRPr="00E7337F">
        <w:instrText>ADDIN CSL_CITATION {"citationItems":[{"id":"ITEM-1","itemData":{"author":[{"dropping-particle":"","family":"Dietz","given":"Thomas","non-dropping-particle":"","parse-names":false,"suffix":""},{"dropping-particle":"","family":"Gardner","given":"Gerald T","non-dropping-particle":"","parse-names":false,"suffix":""},{"dropping-particle":"","family":"Gilligan","given":"Jonathan","non-dropping-particle":"","parse-names":false,"suffix":""},{"dropping-particle":"","family":"Stern","given":"Paul C","non-dropping-particle":"","parse-names":false,"suffix":""},{"dropping-particle":"","family":"Vandenbergh","given":"Michael P","non-dropping-particle":"","parse-names":false,"suffix":""}],"container-title":"Proceedings of the National Academy of Sciences","id":"ITEM-1","issue":"44","issued":{"date-parts":[["2009"]]},"page":"18452-18456","title":"Household actions can provide a behavioral wedge to rapidly reduce U.S. carbon emissions","type":"article-journal","volume":"106"},"uris":["http://www.mendeley.com/documents/?uuid=940bbde2-809f-416a-b4c3-c8a667f0721f"]},{"id":"ITEM-2","itemData":{"DOI":"10.1037/amp0000624","ISSN":"0003-066X","abstract":"The Intergovernmental Panel on Climate Change (IPCC) has encouraged psychologists to become part of the integrated scientific effort to support the achievement of climate change targets such as keeping within 1.5?C or 2?C of global warming. To date, the typical psychological approach has been to demonstrate that specific concepts and theories can predict behaviors that contribute to or mitigate climate change. Psychologists need to go further, and in particular to show that integrating psychological concepts into feasible interventions can reduce greenhouse gas emissions far more than would be achieved without such integration. While critiquing some aspects of current approaches, we describe psychological research that is pointing the way by distinguishing different types of behavior, acknowledging sociocultural context, and collaborating with other disciplines. Engaging this challenge offers psychologists new opportunities for promoting mitigation, advancing psychological understanding, and developing better interdisciplinary interactions.","author":[{"dropping-particle":"","family":"Nielsen","given":"Kristian S.","non-dropping-particle":"","parse-names":false,"suffix":""},{"dropping-particle":"","family":"Clayton","given":"Susan","non-dropping-particle":"","parse-names":false,"suffix":""},{"dropping-particle":"","family":"Stern","given":"Paul C.","non-dropping-particle":"","parse-names":false,"suffix":""},{"dropping-particle":"","family":"Dietz","given":"Thomas","non-dropping-particle":"","parse-names":false,"suffix":""},{"dropping-particle":"","family":"Capstick","given":"Stuart","non-dropping-particle":"","parse-names":false,"suffix":""},{"dropping-particle":"","family":"Whitmarsh","given":"Lorraine","non-dropping-particle":"","parse-names":false,"suffix":""}],"container-title":"American Psychologist","id":"ITEM-2","issued":{"date-parts":[["2021"]]},"page":"130-144","title":"How psychology can help limit climate change","type":"article-journal","volume":"76"},"uris":["http://www.mendeley.com/documents/?uuid=c528b6c0-5d90-45e0-96a7-57e328d65707"]}],"mendeley":{"formattedCitation":"(Dietz et al., 2009; Nielsen et al., 2021a)","plainTextFormattedCitation":"(Dietz et al., 2009; Nielsen et al., 2021a)","previouslyFormattedCitation":"(Dietz et al., 2009; Nielsen et al., 2021a)"},"properties":{"noteIndex":0},"schema":"https://github.com/citation-style-language/schema/raw/master/csl-citation.json"}</w:instrText>
      </w:r>
      <w:r w:rsidR="00286072" w:rsidRPr="00E7337F">
        <w:fldChar w:fldCharType="separate"/>
      </w:r>
      <w:r w:rsidR="00072CF5" w:rsidRPr="00E7337F">
        <w:rPr>
          <w:noProof/>
        </w:rPr>
        <w:t>(Dietz et al., 2009; Nielsen et al., 2021a)</w:t>
      </w:r>
      <w:r w:rsidR="00286072" w:rsidRPr="00E7337F">
        <w:fldChar w:fldCharType="end"/>
      </w:r>
      <w:r w:rsidR="00EE12F8" w:rsidRPr="00E7337F">
        <w:t>. Both depend on the scale and nature of the behaviour change sought, while the latter also depend</w:t>
      </w:r>
      <w:r w:rsidR="00946B00" w:rsidRPr="00E7337F">
        <w:t>s</w:t>
      </w:r>
      <w:r w:rsidR="00EE12F8" w:rsidRPr="00E7337F">
        <w:t xml:space="preserve"> on the specific intervention. These two attributes may often co-vary negatively. For example, while timing devices can </w:t>
      </w:r>
      <w:r w:rsidR="00EE12F8" w:rsidRPr="00E7337F">
        <w:lastRenderedPageBreak/>
        <w:t>successfully shorten how long people spend showering, and plastic bag taxes can persuade people to use canvas bags (</w:t>
      </w:r>
      <w:proofErr w:type="gramStart"/>
      <w:r w:rsidR="00EE12F8" w:rsidRPr="00E7337F">
        <w:t>i.e.</w:t>
      </w:r>
      <w:proofErr w:type="gramEnd"/>
      <w:r w:rsidR="00EE12F8" w:rsidRPr="00E7337F">
        <w:t xml:space="preserve"> they have high behavioural plasticity), both behaviour changes have low technical potential to reduce </w:t>
      </w:r>
      <w:r w:rsidR="000602B8" w:rsidRPr="00E7337F">
        <w:t xml:space="preserve">greenhouse gas </w:t>
      </w:r>
      <w:r w:rsidR="00EE12F8" w:rsidRPr="00E7337F">
        <w:t>emissions. Conversely</w:t>
      </w:r>
      <w:r w:rsidR="000602B8" w:rsidRPr="00E7337F">
        <w:t>,</w:t>
      </w:r>
      <w:r w:rsidR="00EE12F8" w:rsidRPr="00E7337F">
        <w:t xml:space="preserve"> switching from petrol to electric vehicles or avoiding air travel has high technical potential, but interventions to achieve these changes speedily and at scale remain elusive.</w:t>
      </w:r>
      <w:r w:rsidRPr="00E7337F">
        <w:t xml:space="preserve"> One other consideration is th</w:t>
      </w:r>
      <w:r w:rsidR="007052B9" w:rsidRPr="00E7337F">
        <w:t>at while</w:t>
      </w:r>
      <w:r w:rsidRPr="00E7337F">
        <w:rPr>
          <w:color w:val="000000"/>
        </w:rPr>
        <w:t xml:space="preserve"> some interventions may appear promising, they might not be feasible to implement or deliver at scale </w:t>
      </w:r>
      <w:r w:rsidRPr="00E7337F">
        <w:rPr>
          <w:color w:val="000000" w:themeColor="text1"/>
        </w:rPr>
        <w:fldChar w:fldCharType="begin" w:fldLock="1"/>
      </w:r>
      <w:r w:rsidR="00F977F1" w:rsidRPr="00E7337F">
        <w:rPr>
          <w:color w:val="000000" w:themeColor="text1"/>
        </w:rPr>
        <w:instrText>ADDIN CSL_CITATION {"citationItems":[{"id":"ITEM-1","itemData":{"ISBN":"1107181224","author":[{"dropping-particle":"","family":"Vandenbergh","given":"Michael P","non-dropping-particle":"","parse-names":false,"suffix":""},{"dropping-particle":"","family":"Gilligan","given":"Jonathan M","non-dropping-particle":"","parse-names":false,"suffix":""}],"id":"ITEM-1","issued":{"date-parts":[["2017"]]},"publisher":"Cambridge University Press","title":"Beyond politics","type":"book"},"uris":["http://www.mendeley.com/documents/?uuid=3bb780b0-4cfb-476e-8365-a8f351c1707e"]},{"id":"ITEM-2","itemData":{"DOI":"10.1016/j.oneear.2020.08.007","ISSN":"2590-3322","author":[{"dropping-particle":"","family":"Nielsen","given":"Kristian S.","non-dropping-particle":"","parse-names":false,"suffix":""},{"dropping-particle":"","family":"Stern","given":"Paul C.","non-dropping-particle":"","parse-names":false,"suffix":""},{"dropping-particle":"","family":"Dietz","given":"Thomas","non-dropping-particle":"","parse-names":false,"suffix":""},{"dropping-particle":"","family":"Gilligan","given":"Jonathan M.","non-dropping-particle":"","parse-names":false,"suffix":""},{"dropping-particle":"","family":"Vuuren","given":"Detlef P.","non-dropping-particle":"van","parse-names":false,"suffix":""},{"dropping-particle":"","family":"Figueroa","given":"Maria J.","non-dropping-particle":"","parse-names":false,"suffix":""},{"dropping-particle":"","family":"Folke","given":"Carl","non-dropping-particle":"","parse-names":false,"suffix":""},{"dropping-particle":"","family":"Gwozdz","given":"Wencke","non-dropping-particle":"","parse-names":false,"suffix":""},{"dropping-particle":"","family":"Ivanova","given":"Diana","non-dropping-particle":"","parse-names":false,"suffix":""},{"dropping-particle":"","family":"Reisch","given":"Lucia A.","non-dropping-particle":"","parse-names":false,"suffix":""},{"dropping-particle":"","family":"Vandenbergh","given":"Michael P.","non-dropping-particle":"","parse-names":false,"suffix":""},{"dropping-particle":"","family":"Wolske","given":"Kimberly S.","non-dropping-particle":"","parse-names":false,"suffix":""},{"dropping-particle":"","family":"Wood","given":"Richard","non-dropping-particle":"","parse-names":false,"suffix":""}],"container-title":"One Earth","id":"ITEM-2","issue":"3","issued":{"date-parts":[["2020"]]},"page":"325-336","title":"Improving climate change mitigation analysis: A framework for examining feasibility","type":"article-journal","volume":"3"},"uris":["http://www.mendeley.com/documents/?uuid=d0ddc2f4-eb33-4912-9e9d-d1c41cc4533a"]}],"mendeley":{"formattedCitation":"(Nielsen et al., 2020; Vandenbergh and Gilligan, 2017)","manualFormatting":"(the concept of initiative feasibility; Nielsen et al., 2020; Vandenbergh and Gilligan, 2017)","plainTextFormattedCitation":"(Nielsen et al., 2020; Vandenbergh and Gilligan, 2017)","previouslyFormattedCitation":"(Nielsen et al., 2020; Vandenbergh and Gilligan, 2017)"},"properties":{"noteIndex":0},"schema":"https://github.com/citation-style-language/schema/raw/master/csl-citation.json"}</w:instrText>
      </w:r>
      <w:r w:rsidRPr="00E7337F">
        <w:rPr>
          <w:color w:val="000000" w:themeColor="text1"/>
        </w:rPr>
        <w:fldChar w:fldCharType="separate"/>
      </w:r>
      <w:r w:rsidR="005706F2" w:rsidRPr="00E7337F">
        <w:rPr>
          <w:noProof/>
          <w:color w:val="000000" w:themeColor="text1"/>
        </w:rPr>
        <w:t>(the concept of initiative feasibility; Nielsen et al., 2020; Vandenbergh and Gilligan, 2017)</w:t>
      </w:r>
      <w:r w:rsidRPr="00E7337F">
        <w:rPr>
          <w:color w:val="000000" w:themeColor="text1"/>
        </w:rPr>
        <w:fldChar w:fldCharType="end"/>
      </w:r>
      <w:r w:rsidRPr="00E7337F">
        <w:rPr>
          <w:color w:val="000000"/>
        </w:rPr>
        <w:t xml:space="preserve">. This may be because of cost, political inertia, vested interests of policymakers or corporations, or indeed political feedback: if they are effective in changing behaviour, beneficiaries of the current behaviour may pressure policymakers to limit or even reverse their implementation </w:t>
      </w:r>
      <w:r w:rsidRPr="00E7337F">
        <w:rPr>
          <w:color w:val="000000" w:themeColor="text1"/>
        </w:rPr>
        <w:fldChar w:fldCharType="begin" w:fldLock="1"/>
      </w:r>
      <w:r w:rsidR="00071F56" w:rsidRPr="00E7337F">
        <w:rPr>
          <w:color w:val="000000" w:themeColor="text1"/>
        </w:rPr>
        <w:instrText>ADDIN CSL_CITATION {"citationItems":[{"id":"ITEM-1","itemData":{"DOI":"10.1038/d41586-019-00124-x","ISSN":"0028-0836","author":[{"dropping-particle":"","family":"Carattini","given":"Stefano","non-dropping-particle":"","parse-names":false,"suffix":""},{"dropping-particle":"","family":"Kallbekken","given":"Steffen","non-dropping-particle":"","parse-names":false,"suffix":""},{"dropping-particle":"","family":"Orlov","given":"Anton","non-dropping-particle":"","parse-names":false,"suffix":""}],"container-title":"Nature","id":"ITEM-1","issue":"7739","issued":{"date-parts":[["2019"]]},"page":"289-291","title":"How to win public support for a global carbon tax","type":"article-journal","volume":"565"},"uris":["http://www.mendeley.com/documents/?uuid=18ad4e56-8a1c-4556-8483-3b9250c19131"]},{"id":"ITEM-2","itemData":{"DOI":"10.1038/s41558-018-0201-2","ISSN":"1758-678X","abstract":"The gap between actual carbon prices and those required to achieve ambitious climate change mitigation could be closed by enhancing the public acceptability of carbon pricing through appropriate use of the revenues raised. In this Perspective, we synthesize findings regarding the optimal use of carbon revenues from both traditional economic analyses and studies in behavioural and political science that are focused on public acceptability. We then compare real-world carbon pricing regimes with theoretical insights on distributional fairness, revenue salience, political trust and policy stability. We argue that traditional economic lessons on efficiency and equity are subsidiary to the primary challenge of garnering greater political acceptability and make recommendations for enhancing political support through appropriate revenue uses in different economic and political circumstances.","author":[{"dropping-particle":"","family":"Klenert","given":"David","non-dropping-particle":"","parse-names":false,"suffix":""},{"dropping-particle":"","family":"Mattauch","given":"Linus","non-dropping-particle":"","parse-names":false,"suffix":""},{"dropping-particle":"","family":"Combet","given":"Emmanuel","non-dropping-particle":"","parse-names":false,"suffix":""},{"dropping-particle":"","family":"Edenhofer","given":"Ottmar","non-dropping-particle":"","parse-names":false,"suffix":""},{"dropping-particle":"","family":"Hepburn","given":"Cameron","non-dropping-particle":"","parse-names":false,"suffix":""},{"dropping-particle":"","family":"Rafaty","given":"Ryan","non-dropping-particle":"","parse-names":false,"suffix":""},{"dropping-particle":"","family":"Stern","given":"Nicholas","non-dropping-particle":"","parse-names":false,"suffix":""}],"container-title":"Nature Climate Change","id":"ITEM-2","issue":"8","issued":{"date-parts":[["2018"]]},"page":"669-677","title":"Making carbon pricing work for citizens","type":"article-journal","volume":"8"},"uris":["http://www.mendeley.com/documents/?uuid=13d1d6df-3b4e-4cb8-a7f1-c2bd8912fff5"]},{"id":"ITEM-3","itemData":{"ISBN":"1608193942","author":[{"dropping-particle":"","family":"Oreskes","given":"Naomi","non-dropping-particle":"","parse-names":false,"suffix":""},{"dropping-particle":"","family":"Conway","given":"Erik M","non-dropping-particle":"","parse-names":false,"suffix":""}],"id":"ITEM-3","issued":{"date-parts":[["2011"]]},"publisher":"Bloomsbury Publishing","publisher-place":"New York, USA","title":"Merchants of doubt: How a handful of scientists obscured the truth on issues from tobacco smoke to global warming","type":"book"},"uris":["http://www.mendeley.com/documents/?uuid=c631ee21-685e-428b-8be1-f620d72b289f"]}],"mendeley":{"formattedCitation":"(Carattini et al., 2019; Klenert et al., 2018; Oreskes and Conway, 2011)","plainTextFormattedCitation":"(Carattini et al., 2019; Klenert et al., 2018; Oreskes and Conway, 2011)","previouslyFormattedCitation":"(Carattini et al., 2019; Klenert et al., 2018; Oreskes and Conway, 2011)"},"properties":{"noteIndex":0},"schema":"https://github.com/citation-style-language/schema/raw/master/csl-citation.json"}</w:instrText>
      </w:r>
      <w:r w:rsidRPr="00E7337F">
        <w:rPr>
          <w:color w:val="000000" w:themeColor="text1"/>
        </w:rPr>
        <w:fldChar w:fldCharType="separate"/>
      </w:r>
      <w:r w:rsidR="0086250C" w:rsidRPr="00E7337F">
        <w:rPr>
          <w:noProof/>
          <w:color w:val="000000" w:themeColor="text1"/>
        </w:rPr>
        <w:t>(Carattini et al., 2019; Klenert et al., 2018; Oreskes and Conway, 2011)</w:t>
      </w:r>
      <w:r w:rsidRPr="00E7337F">
        <w:rPr>
          <w:color w:val="000000" w:themeColor="text1"/>
        </w:rPr>
        <w:fldChar w:fldCharType="end"/>
      </w:r>
      <w:r w:rsidRPr="00E7337F">
        <w:rPr>
          <w:color w:val="000000"/>
        </w:rPr>
        <w:t xml:space="preserve">. </w:t>
      </w:r>
    </w:p>
    <w:p w14:paraId="2EF3D460" w14:textId="1343D67A" w:rsidR="00450CA8" w:rsidRPr="00E7337F" w:rsidRDefault="00EE12F8" w:rsidP="00950E9F">
      <w:pPr>
        <w:spacing w:after="0" w:line="480" w:lineRule="auto"/>
        <w:ind w:firstLine="720"/>
      </w:pPr>
      <w:r w:rsidRPr="00E7337F">
        <w:t>Assessing t</w:t>
      </w:r>
      <w:r w:rsidR="007052B9" w:rsidRPr="00E7337F">
        <w:t xml:space="preserve">he relative technical potential, </w:t>
      </w:r>
      <w:r w:rsidRPr="00E7337F">
        <w:t>behavioural plasticity</w:t>
      </w:r>
      <w:r w:rsidR="007052B9" w:rsidRPr="00E7337F">
        <w:t>, feasibility and cost</w:t>
      </w:r>
      <w:r w:rsidRPr="00E7337F">
        <w:t xml:space="preserve"> of alternative intervention options</w:t>
      </w:r>
      <w:r w:rsidR="007052B9" w:rsidRPr="00E7337F">
        <w:t xml:space="preserve"> is </w:t>
      </w:r>
      <w:r w:rsidR="00E8637C" w:rsidRPr="00E7337F">
        <w:t xml:space="preserve">core to effective and efficient </w:t>
      </w:r>
      <w:r w:rsidR="007052B9" w:rsidRPr="00E7337F">
        <w:t>efforts to</w:t>
      </w:r>
      <w:r w:rsidR="00E8637C" w:rsidRPr="00E7337F">
        <w:t xml:space="preserve"> develop</w:t>
      </w:r>
      <w:r w:rsidR="007052B9" w:rsidRPr="00E7337F">
        <w:t xml:space="preserve"> and deliver </w:t>
      </w:r>
      <w:r w:rsidR="00E8637C" w:rsidRPr="00E7337F">
        <w:t xml:space="preserve">interventions that </w:t>
      </w:r>
      <w:r w:rsidR="007052B9" w:rsidRPr="00E7337F">
        <w:t>change</w:t>
      </w:r>
      <w:r w:rsidR="00E8637C" w:rsidRPr="00E7337F">
        <w:t xml:space="preserve"> behaviour</w:t>
      </w:r>
      <w:r w:rsidR="007052B9" w:rsidRPr="00E7337F">
        <w:t xml:space="preserve"> </w:t>
      </w:r>
      <w:r w:rsidR="00286072" w:rsidRPr="00E7337F">
        <w:fldChar w:fldCharType="begin" w:fldLock="1"/>
      </w:r>
      <w:r w:rsidR="00400DCE" w:rsidRPr="00E7337F">
        <w:instrText>ADDIN CSL_CITATION {"citationItems":[{"id":"ITEM-1","itemData":{"DOI":"10.1038/s41467-019-12457-2","ISSN":"20411723","abstract":"No consensus exists regarding which are the most effective mechanisms to promote household action on climate change. We present a meta-analysis of randomised controlled trials comprising 3,092,678 observations, which estimates the effects of behavioural interventions holding other factors constant. Here we show that behavioural interventions promote climate change mitigation to a very small degree while the intervention lasts (d = −0.093 95% CI −0.160, −0.055), with no evidence of sustained positive effects once the intervention ends. With the exception of recycling, most household mitigation behaviours show a low behavioural plasticity. The intervention with the highest average effect size is choice architecture (nudges) but this strategy has been tested in a limited number of behaviours. Our results do not imply behavioural interventions are less effective than alternative strategies such as financial incentives or regulations, nor exclude the possibility that behavioural interventions could have stronger effects when used in combination with alternative strategies. It is not clear which are the most effective mechanisms to achieve sustainable lifestyle behaviour. Here the authors study the impact of behavioural interventions excluding economic incentives by performing a large-scale meta-analysis and find that these interventions promote sustainable behaviours to a small degree in the short-term with no evidence of sustained positive effects once the intervention is completed.","author":[{"dropping-particle":"","family":"Nisa","given":"Claudia F.","non-dropping-particle":"","parse-names":false,"suffix":""},{"dropping-particle":"","family":"Bélanger","given":"Jocelyn J.","non-dropping-particle":"","parse-names":false,"suffix":""},{"dropping-particle":"","family":"Schumpe","given":"Birga M.","non-dropping-particle":"","parse-names":false,"suffix":""},{"dropping-particle":"","family":"Faller","given":"Daiane G.","non-dropping-particle":"","parse-names":false,"suffix":""}],"container-title":"Nature Communications","id":"ITEM-1","issue":"1","issued":{"date-parts":[["2019"]]},"page":"4545","title":"Meta-analysis of randomised controlled trials testing behavioural interventions to promote household action on climate change","type":"article-journal","volume":"10"},"uris":["http://www.mendeley.com/documents/?uuid=4e908c20-bde9-43f2-9a8c-d044ac48f883"]},{"id":"ITEM-2","itemData":{"DOI":"10.1037/amp0000624","ISSN":"0003-066X","abstract":"The Intergovernmental Panel on Climate Change (IPCC) has encouraged psychologists to become part of the integrated scientific effort to support the achievement of climate change targets such as keeping within 1.5?C or 2?C of global warming. To date, the typical psychological approach has been to demonstrate that specific concepts and theories can predict behaviors that contribute to or mitigate climate change. Psychologists need to go further, and in particular to show that integrating psychological concepts into feasible interventions can reduce greenhouse gas emissions far more than would be achieved without such integration. While critiquing some aspects of current approaches, we describe psychological research that is pointing the way by distinguishing different types of behavior, acknowledging sociocultural context, and collaborating with other disciplines. Engaging this challenge offers psychologists new opportunities for promoting mitigation, advancing psychological understanding, and developing better interdisciplinary interactions.","author":[{"dropping-particle":"","family":"Nielsen","given":"Kristian S.","non-dropping-particle":"","parse-names":false,"suffix":""},{"dropping-particle":"","family":"Clayton","given":"Susan","non-dropping-particle":"","parse-names":false,"suffix":""},{"dropping-particle":"","family":"Stern","given":"Paul C.","non-dropping-particle":"","parse-names":false,"suffix":""},{"dropping-particle":"","family":"Dietz","given":"Thomas","non-dropping-particle":"","parse-names":false,"suffix":""},{"dropping-particle":"","family":"Capstick","given":"Stuart","non-dropping-particle":"","parse-names":false,"suffix":""},{"dropping-particle":"","family":"Whitmarsh","given":"Lorraine","non-dropping-particle":"","parse-names":false,"suffix":""}],"container-title":"American Psychologist","id":"ITEM-2","issued":{"date-parts":[["2021"]]},"page":"130-144","title":"How psychology can help limit climate change","type":"article-journal","volume":"76"},"uris":["http://www.mendeley.com/documents/?uuid=c528b6c0-5d90-45e0-96a7-57e328d65707"]}],"mendeley":{"formattedCitation":"(Nielsen et al., 2021a; Nisa et al., 2019)","plainTextFormattedCitation":"(Nielsen et al., 2021a; Nisa et al., 2019)","previouslyFormattedCitation":"(Nielsen et al., 2021a; Nisa et al., 2019)"},"properties":{"noteIndex":0},"schema":"https://github.com/citation-style-language/schema/raw/master/csl-citation.json"}</w:instrText>
      </w:r>
      <w:r w:rsidR="00286072" w:rsidRPr="00E7337F">
        <w:fldChar w:fldCharType="separate"/>
      </w:r>
      <w:r w:rsidR="00072CF5" w:rsidRPr="00E7337F">
        <w:rPr>
          <w:noProof/>
        </w:rPr>
        <w:t>(Nielsen et al., 2021a; Nisa et al., 2019)</w:t>
      </w:r>
      <w:r w:rsidR="00286072" w:rsidRPr="00E7337F">
        <w:fldChar w:fldCharType="end"/>
      </w:r>
      <w:r w:rsidRPr="00E7337F">
        <w:t xml:space="preserve">. In the context of biodiversity conservation, </w:t>
      </w:r>
      <w:r w:rsidR="00E8637C" w:rsidRPr="00E7337F">
        <w:t>existing evidence</w:t>
      </w:r>
      <w:r w:rsidRPr="00E7337F">
        <w:t xml:space="preserve"> can provide some guidance,</w:t>
      </w:r>
      <w:r w:rsidR="00E8637C" w:rsidRPr="00E7337F">
        <w:t xml:space="preserve"> </w:t>
      </w:r>
      <w:r w:rsidR="00A56C11" w:rsidRPr="00E7337F">
        <w:t xml:space="preserve">but the views of </w:t>
      </w:r>
      <w:r w:rsidR="00E8637C" w:rsidRPr="00E7337F">
        <w:t xml:space="preserve">those with </w:t>
      </w:r>
      <w:r w:rsidRPr="00E7337F">
        <w:t>behavioural expert</w:t>
      </w:r>
      <w:r w:rsidR="00E8637C" w:rsidRPr="00E7337F">
        <w:t>ise</w:t>
      </w:r>
      <w:r w:rsidRPr="00E7337F">
        <w:t xml:space="preserve"> and </w:t>
      </w:r>
      <w:r w:rsidR="00E8637C" w:rsidRPr="00E7337F">
        <w:t xml:space="preserve">with </w:t>
      </w:r>
      <w:r w:rsidRPr="00E7337F">
        <w:t>familiar</w:t>
      </w:r>
      <w:r w:rsidR="00E8637C" w:rsidRPr="00E7337F">
        <w:t>ity</w:t>
      </w:r>
      <w:r w:rsidRPr="00E7337F">
        <w:t xml:space="preserve"> with the focal threat</w:t>
      </w:r>
      <w:r w:rsidR="00A56C11" w:rsidRPr="00E7337F">
        <w:t xml:space="preserve"> will also be key</w:t>
      </w:r>
      <w:r w:rsidRPr="00E7337F">
        <w:t xml:space="preserve">. Such assessment was beyond the scope of our </w:t>
      </w:r>
      <w:r w:rsidR="000C3B6C" w:rsidRPr="00E7337F">
        <w:t>workshop but</w:t>
      </w:r>
      <w:r w:rsidRPr="00E7337F">
        <w:t xml:space="preserve"> thinking briefly about the godwit interventions suggested above indicates that </w:t>
      </w:r>
      <w:r w:rsidR="00086A0F" w:rsidRPr="00E7337F">
        <w:t>trade-offs</w:t>
      </w:r>
      <w:r w:rsidRPr="00E7337F">
        <w:t xml:space="preserve"> between technical potential and behavioural plasticity may not be uncommon </w:t>
      </w:r>
      <w:r w:rsidR="00086A0F" w:rsidRPr="00E7337F">
        <w:fldChar w:fldCharType="begin" w:fldLock="1"/>
      </w:r>
      <w:r w:rsidR="00B40551" w:rsidRPr="00E7337F">
        <w:instrText>ADDIN CSL_CITATION {"citationItems":[{"id":"ITEM-1","itemData":{"DOI":"10.1111/csp2.248","author":[{"dropping-particle":"","family":"Thomas-Walters","given":"Laura","non-dropping-particle":"","parse-names":false,"suffix":""},{"dropping-particle":"","family":"Roberts","given":"David","non-dropping-particle":"","parse-names":false,"suffix":""},{"dropping-particle":"","family":"Smith","given":"Robert J","non-dropping-particle":"","parse-names":false,"suffix":""}],"container-title":"Conservation Science and Practice","id":"ITEM-1","issue":"9","issued":{"date-parts":[["2020"]]},"page":"e248","title":"Taking a more nuanced look at behavior change for demand reduction in the illegal wildlife trade","type":"article-journal","volume":"2"},"uris":["http://www.mendeley.com/documents/?uuid=d21454a6-8033-476f-bb5f-aff6284118ca"]},{"id":"ITEM-2","itemData":{"DOI":"10.1111/csp2.249","ISSN":"2578-4854","author":[{"dropping-particle":"","family":"Selinske","given":"Matthew J.","non-dropping-particle":"","parse-names":false,"suffix":""},{"dropping-particle":"","family":"Garrard","given":"Georgia E.","non-dropping-particle":"","parse-names":false,"suffix":""},{"dropping-particle":"","family":"Gregg","given":"Emily A.","non-dropping-particle":"","parse-names":false,"suffix":""},{"dropping-particle":"","family":"Kusmanoff","given":"Alexander M.","non-dropping-particle":"","parse-names":false,"suffix":""},{"dropping-particle":"","family":"Kidd","given":"Lindall R.","non-dropping-particle":"","parse-names":false,"suffix":""},{"dropping-particle":"","family":"Cullen","given":"Meghan T.","non-dropping-particle":"","parse-names":false,"suffix":""},{"dropping-particle":"","family":"Cooper","given":"Michelle","non-dropping-particle":"","parse-names":false,"suffix":""},{"dropping-particle":"","family":"Geary","given":"William L.","non-dropping-particle":"","parse-names":false,"suffix":""},{"dropping-particle":"","family":"Hatty","given":"Melissa A.","non-dropping-particle":"","parse-names":false,"suffix":""},{"dropping-particle":"","family":"Hames","given":"Fern","non-dropping-particle":"","parse-names":false,"suffix":""},{"dropping-particle":"","family":"Kneebone","given":"Sarah","non-dropping-particle":"","parse-names":false,"suffix":""},{"dropping-particle":"","family":"McLeod","given":"Emily M.","non-dropping-particle":"","parse-names":false,"suffix":""},{"dropping-particle":"","family</w:instrText>
      </w:r>
      <w:r w:rsidR="00B40551" w:rsidRPr="009A691C">
        <w:rPr>
          <w:lang w:val="da-DK"/>
        </w:rPr>
        <w:instrText>":"Ritchie","given":"Euan G.","non-dropping-particle":"","parse-names":false,"suffix":""},{"dropping-particle":"","family":"Squires","given":"Zoe E.","non-dropping-particle":"","parse-names":false,"suffix":""},{"dropping-particle":"","family":"Thomas","given":"Janelle","non-dropping-particle":"","parse-names":false,"suffix":""},{"dropping-particle":"","family":"Willcock","given":"Madelaine A. W.","non-dropping-particle":"","parse-names":false,"suffix":""},{"dropping-particle":"","family":"Blair","given":"Sera","non-dropping-particle":"","parse-names":false,"suffix":""},{"dropping-particle":"","family":"Bekessy","given":"Sarah A.","non-dropping-particle":"","parse-names":false,"suffix":""}],"container-title":"Conservation Science and Practice","id":"ITEM-2","issue":"9","issued":{"date-parts":[["2020"]]},"page":"e249","title":"Identifying and prioritizing human behaviors that benefit biodiversity","type":"article-journal","volume":"2"},"uris":["http://www.mendeley.com/documents/?uuid=288f94f6-a9c6-460d-ab06-14448689d24d"]}],"mendeley":{"formattedCitation":"(Selinske et al., 2020; Thomas-Walters et al., 2020b)","manualFormatting":"(see also Selinske et al. 2020; Thomas-Walters et al. 2020b)","plainTextFormattedCitation":"(Selinske et al., 2020; Thomas-Walters et al., 2020b)","previouslyFormattedCitation":"(Selinske et al., 2020; Thomas-Walters et al., 2020b)"},"properties":{"noteIndex":0},"schema":"https://github.com/citation-style-language/schema/raw/master/csl-citation.json"}</w:instrText>
      </w:r>
      <w:r w:rsidR="00086A0F" w:rsidRPr="00E7337F">
        <w:fldChar w:fldCharType="separate"/>
      </w:r>
      <w:r w:rsidR="004E0E75" w:rsidRPr="009A691C">
        <w:rPr>
          <w:noProof/>
          <w:lang w:val="da-DK"/>
        </w:rPr>
        <w:t>(see also Selinske et al. 2020; Thomas-Walters et al. 2020b)</w:t>
      </w:r>
      <w:r w:rsidR="00086A0F" w:rsidRPr="00E7337F">
        <w:fldChar w:fldCharType="end"/>
      </w:r>
      <w:r w:rsidRPr="009A691C">
        <w:rPr>
          <w:lang w:val="da-DK"/>
        </w:rPr>
        <w:t xml:space="preserve">. </w:t>
      </w:r>
      <w:r w:rsidRPr="00E7337F">
        <w:t>Taxing non-</w:t>
      </w:r>
      <w:r w:rsidR="00A12410" w:rsidRPr="00E7337F">
        <w:t>degradable</w:t>
      </w:r>
      <w:r w:rsidRPr="00E7337F">
        <w:t xml:space="preserve"> packaging, for instance, may have high behavioural plasticity but low technical potential: people may change what they buy, but without other interventions will still leave litter on beaches. Conversely</w:t>
      </w:r>
      <w:r w:rsidR="00165E07" w:rsidRPr="00E7337F">
        <w:t>,</w:t>
      </w:r>
      <w:r w:rsidRPr="00E7337F">
        <w:t xml:space="preserve"> stopping at-sea waste disposal could substantially impact how much washes ashore, but a ban may be </w:t>
      </w:r>
      <w:r w:rsidR="00165E07" w:rsidRPr="00E7337F">
        <w:t xml:space="preserve">difficult </w:t>
      </w:r>
      <w:r w:rsidRPr="00E7337F">
        <w:t xml:space="preserve">to enforce and hence have little effect on behaviour. </w:t>
      </w:r>
      <w:r w:rsidR="007052B9" w:rsidRPr="00E7337F">
        <w:t xml:space="preserve">Both taxation and introducing bans may also be </w:t>
      </w:r>
      <w:r w:rsidR="007052B9" w:rsidRPr="00E7337F">
        <w:lastRenderedPageBreak/>
        <w:t>politically costly</w:t>
      </w:r>
      <w:r w:rsidR="00896B25" w:rsidRPr="00E7337F">
        <w:t>.</w:t>
      </w:r>
      <w:r w:rsidR="007052B9" w:rsidRPr="00E7337F">
        <w:t xml:space="preserve"> </w:t>
      </w:r>
      <w:r w:rsidRPr="00E7337F">
        <w:t>The third option of installing and emptying litterbins might be the most promising</w:t>
      </w:r>
      <w:r w:rsidR="005B0C54" w:rsidRPr="00E7337F">
        <w:t xml:space="preserve"> and affordable intervention</w:t>
      </w:r>
      <w:r w:rsidRPr="00E7337F">
        <w:t>, as littering strongly impacts litter build-up</w:t>
      </w:r>
      <w:r w:rsidR="00165E07" w:rsidRPr="00E7337F">
        <w:t>,</w:t>
      </w:r>
      <w:r w:rsidR="00896B25" w:rsidRPr="00E7337F">
        <w:t xml:space="preserve"> </w:t>
      </w:r>
      <w:r w:rsidR="00FE1AD7" w:rsidRPr="00E7337F">
        <w:rPr>
          <w:noProof/>
        </w:rPr>
        <w:t xml:space="preserve">and </w:t>
      </w:r>
      <w:r w:rsidR="00896B25" w:rsidRPr="00E7337F">
        <w:rPr>
          <w:noProof/>
        </w:rPr>
        <w:t>may be red</w:t>
      </w:r>
      <w:r w:rsidR="00FE1AD7" w:rsidRPr="00E7337F">
        <w:rPr>
          <w:noProof/>
        </w:rPr>
        <w:t>uc</w:t>
      </w:r>
      <w:r w:rsidR="00896B25" w:rsidRPr="00E7337F">
        <w:rPr>
          <w:noProof/>
        </w:rPr>
        <w:t>ed by bin provisioning</w:t>
      </w:r>
      <w:r w:rsidRPr="00E7337F">
        <w:t xml:space="preserve"> </w:t>
      </w:r>
      <w:r w:rsidR="00286072" w:rsidRPr="00E7337F">
        <w:fldChar w:fldCharType="begin" w:fldLock="1"/>
      </w:r>
      <w:r w:rsidR="00071F56" w:rsidRPr="00E7337F">
        <w:instrText>ADDIN CSL_CITATION {"citationItems":[{"id":"ITEM-1","itemData":{"ISSN":"0013-9165","author":[{"dropping-particle":"","family":"Schultz","given":"P Wesley","non-dropping-particle":"","parse-names":false,"suffix":""},{"dropping-particle":"","family":"Bator","given":"Renée J","non-dropping-particle":"","parse-names":false,"suffix":""},{"dropping-particle":"","family":"Large","given":"Lori Brown","non-dropping-particle":"","parse-names":false,"suffix":""},{"dropping-particle":"","family":"Bruni","given":"Coral M","non-dropping-particle":"","parse-names":false,"suffix":""},{"dropping-particle":"","family":"Tabanico","given":"Jennifer J","non-dropping-particle":"","parse-names":false,"suffix":""}],"container-title":"Environment and Behavior","id":"ITEM-1","issue":"1","issued":{"date-parts":[["2013"]]},"page":"35-59","title":"Littering in context: Personal and environmental predictors of littering behavior","type":"article-journal","volume":"45"},"uris":["http://www.mendeley.com/documents/?uuid=d94eb1a4-1f27-4173-bf68-f646049aff7e"]}],"mendeley":{"formattedCitation":"(Schultz et al., 2013)","manualFormatting":"(Schultz et al. 2013)","plainTextFormattedCitation":"(Schultz et al., 2013)","previouslyFormattedCitation":"(Schultz et al., 2013)"},"properties":{"noteIndex":0},"schema":"https://github.com/citation-style-language/schema/raw/master/csl-citation.json"}</w:instrText>
      </w:r>
      <w:r w:rsidR="00286072" w:rsidRPr="00E7337F">
        <w:fldChar w:fldCharType="separate"/>
      </w:r>
      <w:r w:rsidR="00165E07" w:rsidRPr="00E7337F">
        <w:rPr>
          <w:noProof/>
        </w:rPr>
        <w:t>(</w:t>
      </w:r>
      <w:r w:rsidR="00286072" w:rsidRPr="00E7337F">
        <w:rPr>
          <w:noProof/>
        </w:rPr>
        <w:t>Schultz et al. 2013)</w:t>
      </w:r>
      <w:r w:rsidR="00286072" w:rsidRPr="00E7337F">
        <w:fldChar w:fldCharType="end"/>
      </w:r>
      <w:r w:rsidRPr="00E7337F">
        <w:t xml:space="preserve">. </w:t>
      </w:r>
    </w:p>
    <w:p w14:paraId="5B272F1B" w14:textId="548302EA" w:rsidR="00450CA8" w:rsidRPr="00E7337F" w:rsidRDefault="00EE12F8" w:rsidP="00950E9F">
      <w:pPr>
        <w:spacing w:after="0" w:line="480" w:lineRule="auto"/>
        <w:ind w:firstLine="720"/>
        <w:rPr>
          <w:color w:val="000000"/>
        </w:rPr>
      </w:pPr>
      <w:r w:rsidRPr="00E7337F">
        <w:t xml:space="preserve">Two further </w:t>
      </w:r>
      <w:r w:rsidR="007052B9" w:rsidRPr="00E7337F">
        <w:t>issues</w:t>
      </w:r>
      <w:r w:rsidRPr="00E7337F">
        <w:t xml:space="preserve"> are important when prioritising interventions. </w:t>
      </w:r>
      <w:r w:rsidR="00896B25" w:rsidRPr="00E7337F">
        <w:t>Obviously,</w:t>
      </w:r>
      <w:r w:rsidR="007052B9" w:rsidRPr="00E7337F">
        <w:t xml:space="preserve"> many conservation targets face multiple threats, so if mitigation efforts are to be efficient the likely ability of candidate interventions to enhance the state of the focal population or habitat must be compared across all main threats. Finally</w:t>
      </w:r>
      <w:r w:rsidR="00896B25" w:rsidRPr="00E7337F">
        <w:t>,</w:t>
      </w:r>
      <w:r w:rsidR="007052B9" w:rsidRPr="00E7337F">
        <w:t xml:space="preserve"> some </w:t>
      </w:r>
      <w:r w:rsidR="00955EC8" w:rsidRPr="00E7337F">
        <w:t>behaviour changes</w:t>
      </w:r>
      <w:r w:rsidR="007052B9" w:rsidRPr="00E7337F">
        <w:t xml:space="preserve"> </w:t>
      </w:r>
      <w:r w:rsidR="00955EC8" w:rsidRPr="00E7337F">
        <w:t>might benefit</w:t>
      </w:r>
      <w:r w:rsidR="007052B9" w:rsidRPr="00E7337F">
        <w:t xml:space="preserve"> multiple conservation targets: delivery of co-benefits should </w:t>
      </w:r>
      <w:r w:rsidR="00955EC8" w:rsidRPr="00E7337F">
        <w:t xml:space="preserve">also </w:t>
      </w:r>
      <w:r w:rsidR="007052B9" w:rsidRPr="00E7337F">
        <w:t>be considered</w:t>
      </w:r>
      <w:r w:rsidR="00955EC8" w:rsidRPr="00E7337F">
        <w:t xml:space="preserve"> when assessing the relative merits of alternative candidate interventions.</w:t>
      </w:r>
    </w:p>
    <w:p w14:paraId="0946FC8C" w14:textId="77777777" w:rsidR="00450CA8" w:rsidRPr="00E7337F" w:rsidRDefault="00450CA8" w:rsidP="00950E9F">
      <w:pPr>
        <w:spacing w:after="0" w:line="480" w:lineRule="auto"/>
      </w:pPr>
    </w:p>
    <w:p w14:paraId="03534341" w14:textId="29D7E470" w:rsidR="00450CA8" w:rsidRPr="00E7337F" w:rsidRDefault="00CB6397" w:rsidP="00950E9F">
      <w:pPr>
        <w:spacing w:after="0" w:line="480" w:lineRule="auto"/>
        <w:rPr>
          <w:b/>
          <w:bCs/>
          <w:color w:val="000000"/>
        </w:rPr>
      </w:pPr>
      <w:r w:rsidRPr="00E7337F">
        <w:rPr>
          <w:b/>
          <w:bCs/>
          <w:color w:val="000000"/>
        </w:rPr>
        <w:t xml:space="preserve">8. </w:t>
      </w:r>
      <w:r w:rsidR="00EE12F8" w:rsidRPr="00E7337F">
        <w:rPr>
          <w:b/>
          <w:bCs/>
          <w:color w:val="000000"/>
        </w:rPr>
        <w:t>Cautions and caveats</w:t>
      </w:r>
      <w:r w:rsidR="009F1758" w:rsidRPr="00E7337F">
        <w:rPr>
          <w:b/>
          <w:bCs/>
          <w:color w:val="000000"/>
        </w:rPr>
        <w:t xml:space="preserve"> </w:t>
      </w:r>
    </w:p>
    <w:p w14:paraId="7D44A0A0" w14:textId="5431B455" w:rsidR="008D1781" w:rsidRPr="00E7337F" w:rsidRDefault="00EE12F8" w:rsidP="00950E9F">
      <w:pPr>
        <w:spacing w:after="0" w:line="480" w:lineRule="auto"/>
        <w:rPr>
          <w:color w:val="000000"/>
        </w:rPr>
      </w:pPr>
      <w:r w:rsidRPr="00E7337F">
        <w:rPr>
          <w:color w:val="000000"/>
        </w:rPr>
        <w:t xml:space="preserve">Although behavioural science has considerable untapped potential to contribute to biodiversity conservation, </w:t>
      </w:r>
      <w:r w:rsidR="00955EC8" w:rsidRPr="00E7337F">
        <w:rPr>
          <w:color w:val="000000"/>
        </w:rPr>
        <w:t>it is of course</w:t>
      </w:r>
      <w:r w:rsidRPr="00E7337F">
        <w:rPr>
          <w:color w:val="000000"/>
        </w:rPr>
        <w:t xml:space="preserve"> not a </w:t>
      </w:r>
      <w:r w:rsidR="00E8637C" w:rsidRPr="00E7337F">
        <w:rPr>
          <w:color w:val="000000"/>
        </w:rPr>
        <w:t>panacea</w:t>
      </w:r>
      <w:r w:rsidRPr="00E7337F">
        <w:rPr>
          <w:color w:val="000000"/>
        </w:rPr>
        <w:t xml:space="preserve">. Several important cautions are in order. Behaviour change may require multiple, linked interventions (Table 4), with the success of one contingent on the successful deployment of others. Leakage effects </w:t>
      </w:r>
      <w:r w:rsidRPr="00E7337F">
        <w:t>may arise</w:t>
      </w:r>
      <w:r w:rsidRPr="00E7337F">
        <w:rPr>
          <w:color w:val="000000"/>
        </w:rPr>
        <w:t xml:space="preserve"> whereby an intervention simply displaces a behaviour: </w:t>
      </w:r>
      <w:r w:rsidR="00DE5A8F" w:rsidRPr="00E7337F">
        <w:t>i</w:t>
      </w:r>
      <w:r w:rsidRPr="00E7337F">
        <w:t>n</w:t>
      </w:r>
      <w:r w:rsidRPr="00E7337F">
        <w:rPr>
          <w:color w:val="000000"/>
        </w:rPr>
        <w:t xml:space="preserve"> a conservation example, reducing Japanese consumers’ use of rhino horn has been linked to increased demand for the horns of now critically endangered saiga antelope </w:t>
      </w:r>
      <w:r w:rsidR="00286072" w:rsidRPr="00E7337F">
        <w:rPr>
          <w:color w:val="000000" w:themeColor="text1"/>
        </w:rPr>
        <w:fldChar w:fldCharType="begin" w:fldLock="1"/>
      </w:r>
      <w:r w:rsidR="00B40551" w:rsidRPr="00E7337F">
        <w:rPr>
          <w:color w:val="000000" w:themeColor="text1"/>
        </w:rPr>
        <w:instrText>ADDIN CSL_CITATION {"citationItems":[{"id":"ITEM-1","itemData":{"author":[{"dropping-particle":"","family":"Kitade","given":"T","non-dropping-particle":"","parse-names":false,"suffix":""},{"dropping-particle":"","family":"Toko","given":"A","non-dropping-particle":"","parse-names":false,"suffix":""}],"id":"ITEM-1","issued":{"date-parts":[["2016"]]},"publisher-place":"Tokyo, Japan","title":"Setting suns: the historical decline of ivory and rhino horn markets in Japan","type":"report"},"uris":["http://www.mendeley.com/documents/?uuid=a4cffae9-b6bd-4b2f-bedd-3be51dd6cc13"]},{"id":"ITEM-2","itemData":{"DOI":"10.1111/csp2.248","author":[{"dropping-particle":"","family":"Thomas-Walters","given":"Laura","non-dropping-particle":"","parse-names":false,"suffix":""},{"dropping-particle":"","family":"Roberts","given":"David","non-dropping-particle":"","parse-names":false,"suffix":""},{"dropping-particle":"","family":"Smith","given":"Robert J","non-dropping-particle":"","parse-names":false,"suffix":""}],"container-title":"Conservation Science and Practice","id":"ITEM-2","issue":"9","issued":{"date-parts":[["2020"]]},"page":"e248","title":"Taking a more nuanced look at behavior change for demand reduction in the illegal wildlife trade","type":"article-journal","volume":"2"},"uris":["http://www.mendeley.com/documents/?uuid=d21454a6-8033-476f-bb5f-aff6284118ca"]}],"mendeley":{"formattedCitation":"(Kitade and Toko, 2016; Thomas-Walters et al., 2020b)","plainTextFormattedCitation":"(Kitade and Toko, 2016; Thomas-Walters et al., 2020b)","previouslyFormattedCitation":"(Kitade and Toko, 2016; Thomas-Walters et al., 2020b)"},"properties":{"noteIndex":0},"schema":"https://github.com/citation-style-language/schema/raw/master/csl-citation.json"}</w:instrText>
      </w:r>
      <w:r w:rsidR="00286072" w:rsidRPr="00E7337F">
        <w:rPr>
          <w:color w:val="000000" w:themeColor="text1"/>
        </w:rPr>
        <w:fldChar w:fldCharType="separate"/>
      </w:r>
      <w:r w:rsidR="0086250C" w:rsidRPr="00E7337F">
        <w:rPr>
          <w:noProof/>
          <w:color w:val="000000" w:themeColor="text1"/>
        </w:rPr>
        <w:t>(Kitade and Toko, 2016; Thomas-Walters et al., 2020b)</w:t>
      </w:r>
      <w:r w:rsidR="00286072" w:rsidRPr="00E7337F">
        <w:rPr>
          <w:color w:val="000000" w:themeColor="text1"/>
        </w:rPr>
        <w:fldChar w:fldCharType="end"/>
      </w:r>
      <w:r w:rsidRPr="00E7337F">
        <w:rPr>
          <w:color w:val="000000"/>
        </w:rPr>
        <w:t xml:space="preserve">. </w:t>
      </w:r>
    </w:p>
    <w:p w14:paraId="08F19BCA" w14:textId="20AD35A8" w:rsidR="00CD401B" w:rsidRPr="00E7337F" w:rsidRDefault="00955EC8" w:rsidP="00E7337F">
      <w:pPr>
        <w:spacing w:after="0" w:line="480" w:lineRule="auto"/>
        <w:ind w:firstLine="720"/>
        <w:rPr>
          <w:color w:val="000000"/>
        </w:rPr>
      </w:pPr>
      <w:r w:rsidRPr="00E7337F">
        <w:rPr>
          <w:color w:val="000000" w:themeColor="text1"/>
        </w:rPr>
        <w:t>Rebound effects are also possible: where an intervention reduces personal expenditure (through cutting household energy bills, for instance) people may plausibly respond by spending more on other, higher footprint activities</w:t>
      </w:r>
      <w:r w:rsidRPr="00E7337F">
        <w:t xml:space="preserve"> </w:t>
      </w:r>
      <w:r w:rsidR="00EE12F8" w:rsidRPr="00E7337F">
        <w:t>(</w:t>
      </w:r>
      <w:r w:rsidR="00947D26" w:rsidRPr="00E7337F">
        <w:t>e.g.</w:t>
      </w:r>
      <w:r w:rsidR="00EE12F8" w:rsidRPr="00E7337F">
        <w:t xml:space="preserve"> overseas air travel)</w:t>
      </w:r>
      <w:r w:rsidR="00286072" w:rsidRPr="00E7337F">
        <w:rPr>
          <w:color w:val="000000" w:themeColor="text1"/>
        </w:rPr>
        <w:fldChar w:fldCharType="begin" w:fldLock="1"/>
      </w:r>
      <w:r w:rsidR="00071F56" w:rsidRPr="00E7337F">
        <w:rPr>
          <w:color w:val="000000" w:themeColor="text1"/>
        </w:rPr>
        <w:instrText>ADDIN CSL_CITATION {"citationItems":[{"id":"ITEM-1","itemData":{"DOI":"10.1016/j.erss.2020.101439","ISSN":"22146296","abstract":"‘Energy sufficiency’ involves reducing consumption of energy services in order to minimise the associated environmental impacts. This may either be through individual actions, such as reducing car travel, or through reducing working time, income and aggregate consumption (‘downshifting’). However, the environmental benefits of both strategies may be less than anticipated. First, people may save money that they can spend on other goods and services that require energy to provide (rebounds). Second, people may feel they have ‘done her bit’ for the environment and can spend time and money on more energy-intensive goods and activities (spillovers). Third, people may save time that they can spend on other activities that require energy to participate in (time-use rebounds). This paper reviews the current state of knowledge on rebounds and spillovers from sufficiency actions, and on time-use rebounds from downshifting. It concludes that: first, rebound effects can erode a significant proportion of the anticipated energy and emission savings from sufficiency actions; second, that such actions appear to have a very limited influence on aggregate energy use and emissions; and third, that downshifting should reduce energy use and emissions, but by proportionately less than the reduction in working hours and income.","author":[{"dropping-particle":"","family":"Sorrell","given":"Steve","non-dropping-particle":"","parse-names":false,"suffix":""},{"dropping-particle":"","family":"Gatersleben","given":"Birgitta","non-dropping-particle":"","parse-names":false,"suffix":""},{"dropping-particle":"","family":"Druckman","given":"Angela","non-dropping-particle":"","parse-names":false,"suffix":""}],"container-title":"Energy Research and Social Science","id":"ITEM-1","issued":{"date-parts":[["2020"]]},"page":"101439","title":"The limits of energy sufficiency: A review of the evidence for rebound effects and negative spillovers from behavioural change","type":"article-journal","volume":"64"},"uris":["http://www.mendeley.com/documents/?uuid=94719bad-f547-47d6-979d-902a58320b03"]},{"id":"ITEM-2","itemData":{"DOI":"10.1162/1088198054084635","ISBN":"1530-9290","ISSN":"10881980","abstract":"Measures taken to protect the environment often have other, unintended effects on society. One concern is that changed behavior may offset part of the environmental gain, something that has variously been labeled “take-back” or “rebound.” In energy economics, the rebound effect encompasses both the behavioral and systems responses to cost reductions of energy services as a result of energy efficiency measures. From an industrial ecology perspective, we are concerned about more than just energy use. Any given efficiency measure has several types of environmental impacts. Changes in the various impact indicators are not necessarily in the same direction. Both co-benefits and negative side effects of measures directed to solve one type of problem have been identified. Environment is often a free input, so that a price-based rebound effect is not expected, but other indirect effects not connected to the price, such as spillover of environmental behavior, also occur. If the costs and impact of products that are already environmentally friendly are reduced, the “rebound” can be in the opposite, desired direction. Furthermore, I identify technical spillover effects. Hence a number of related effects, often producing positive results, are not as well understood. Household environmental impact assessments and eco-efficiency assessments take into account the rebound effect, but they do not necessarily take into account these other effects. The analysis hence indicates that the current focus on the rebound effect is too narrow and needs to be extended to cover co-benefits, negative side effects, and spillover effects.","author":[{"dropping-particle":"","family":"Hertwich","given":"Edgar G","non-dropping-particle":"","parse-names":false,"suffix":""}],"container-title":"Journal of Industrial Ecology","id":"ITEM-2","issue":"1-2","issued":{"date-parts":[["2005"]]},"page":"85-98","title":"Consumption and the rebound effect: An industrial ecology perspective","type":"article-journal","volume":"9"},"uris":["http://www.mendeley.com/documents/?uuid=93c145af-159f-4933-bc12-33e42da2cdc1"]}],"mendeley":{"formattedCitation":"(Hertwich, 2005; Sorrell et al., 2020)","manualFormatting":" (Hertwich 2005; Sorrell et al. 2020)","plainTextFormattedCitation":"(Hertwich, 2005; Sorrell et al., 2020)","previouslyFormattedCitation":"(Hertwich, 2005; Sorrell et al., 2020)"},"properties":{"noteIndex":0},"schema":"https://github.com/citation-style-language/schema/raw/master/csl-citation.json"}</w:instrText>
      </w:r>
      <w:r w:rsidR="00286072" w:rsidRPr="00E7337F">
        <w:rPr>
          <w:color w:val="000000" w:themeColor="text1"/>
        </w:rPr>
        <w:fldChar w:fldCharType="separate"/>
      </w:r>
      <w:r w:rsidR="00286072" w:rsidRPr="00E7337F">
        <w:rPr>
          <w:noProof/>
          <w:color w:val="000000" w:themeColor="text1"/>
        </w:rPr>
        <w:t xml:space="preserve"> (Hertwich 2005; Sorrell et al. 2020)</w:t>
      </w:r>
      <w:r w:rsidR="00286072" w:rsidRPr="00E7337F">
        <w:rPr>
          <w:color w:val="000000" w:themeColor="text1"/>
        </w:rPr>
        <w:fldChar w:fldCharType="end"/>
      </w:r>
      <w:r w:rsidR="00EE12F8" w:rsidRPr="00E7337F">
        <w:rPr>
          <w:color w:val="000000"/>
        </w:rPr>
        <w:t xml:space="preserve">. </w:t>
      </w:r>
      <w:r w:rsidR="00EE12F8" w:rsidRPr="00E7337F">
        <w:t>M</w:t>
      </w:r>
      <w:r w:rsidR="00EE12F8" w:rsidRPr="00E7337F">
        <w:rPr>
          <w:color w:val="000000"/>
        </w:rPr>
        <w:t>oral licensing</w:t>
      </w:r>
      <w:r w:rsidR="00EE12F8" w:rsidRPr="00E7337F">
        <w:t xml:space="preserve">, </w:t>
      </w:r>
      <w:r w:rsidR="00EE12F8" w:rsidRPr="00E7337F">
        <w:rPr>
          <w:color w:val="000000"/>
        </w:rPr>
        <w:t xml:space="preserve">where individuals undertaking one pro-social action feel justified in not taking others </w:t>
      </w:r>
      <w:r w:rsidR="00286072" w:rsidRPr="00E7337F">
        <w:rPr>
          <w:color w:val="000000" w:themeColor="text1"/>
        </w:rPr>
        <w:fldChar w:fldCharType="begin" w:fldLock="1"/>
      </w:r>
      <w:r w:rsidR="00071F56" w:rsidRPr="00E7337F">
        <w:rPr>
          <w:color w:val="000000" w:themeColor="text1"/>
        </w:rPr>
        <w:instrText>ADDIN CSL_CITATION {"citationItems":[{"id":"ITEM-1","itemData":{"DOI":"10.1111/j.1751-9004.2010.00263.x","ISBN":"1751-9004","ISSN":"17519004","abstract":"Past good deeds can liberate individuals to engage in behaviors that are immoral, unethical, or otherwise problematic, behaviors that they would otherwise avoid for fear of feeling or appearing immoral. We review research on this moral self-licensing effect in the domains of political correct- ness, prosocial behavior, and consumer choice. We also discuss remaining theoretical tensions in the literature: Do good deeds reframe bad deeds (moral credentials) or merely balance them out (moral credits)? When does past behavior liberate and when does it constrain? Is self-licensing primarily for others’ benefit (self-presentational) or is it also a way for people to reassure themselves that they are moral people? Finally, we propose avenues for future research that could begin to address these unanswered questions.","author":[{"dropping-particle":"","family":"Merritt","given":"Anna C.","non-dropping-particle":"","parse-names":false,"suffix":""},{"dropping-particle":"","family":"Effron","given":"Daniel a.","non-dropping-particle":"","parse-names":false,"suffix":""},{"dropping-particle":"","family":"Monin","given":"Benoît","non-dropping-particle":"","parse-names":false,"suffix":""}],"container-title":"Social and Personality Psychology Compass","id":"ITEM-1","issued":{"date-parts":[["2010"]]},"page":"344-357","title":"Moral self-licensing: When being good frees us to be bad","type":"article-journal","volume":"4"},"uris":["http://www.mendeley.com/documents/?uuid=5f057e40-f402-4fd2-8afa-f1cf194179f1"]},{"id":"ITEM-2","itemData":{"DOI":"10.1126/science.1251560","ISBN":"MPI: E 96/156 + 2","ISSN":"0036-8075, 1095-9203","PMID":"25214626","abstract":"The science of morality has drawn heavily on well-controlled but artificial laboratory settings. To study everyday morality, we repeatedly assessed moral or immoral acts and experiences in a large (N = 1252) sample using ecological momentary assessment. Moral experiences were surprisingly frequent and manifold. Liberals and conservatives emphasized somewhat different moral dimensions. Religious and nonreligious participants did not differ in the likelihood or quality of committed moral and immoral acts. Being the target of moral or immoral deeds had the strongest impact on happiness, whereas committing moral or immoral deeds had the strongest impact on sense of purpose. Analyses of daily dynamics revealed evidence for both moral contagion and moral licensing. In sum, morality science may benefit from a closer look at the antecedents, dynamics, and consequences of everyday moral experience.\\nMoral homeostasis in real life vs. the lab\\nIndividuals who witnessed a moral deed are more likely than nonwitnesses to perform a moral deed themselves and are also more likely to allow themselves to act immorally. Hofmann et al. asked smartphone users to report their encounters with morality (see the Perspective by Graham). Most moral judgment experiments are lab-based and don't allow for conclusions based on what people experience in their daily lives. This field experiment revealed that people experience moral events frequently in daily life. A respondent's ideology influenced the kind of event reported and the frequency, which is consistent with moral foundations theory.\\nScience, this issue p. 1340; see also p. 1242","author":[{"dropping-particle":"","family":"Hofmann","given":"Wilhelm","non-dropping-particle":"","parse-names":false,"suffix":""},{"dropping-particle":"","family":"Wisneski","given":"Daniel C.","non-dropping-particle":"","parse-names":false,"suffix":""},{"dropping-particle":"","family":"Brandt","given":"Mark J.","non-dropping-particle":"","parse-names":false,"suffix":""},{"dropping-particle":"","family":"Skitka","given":"Linda J.","non-dropping-particle":"","parse-names":false,"suffix":""}],"container-title":"Science","id":"ITEM-2","issue":"6202","issued":{"date-parts":[["2014"]]},"page":"1340-1343","title":"Morality in everyday life","type":"article-journal","volume":"345"},"uris":["http://www.mendeley.com/documents/?uuid=f95265f4-29c2-4350-93f7-dba057e54dbd"]}],"mendeley":{"formattedCitation":"(Hofmann et al., 2014; Merritt et al., 2010)","plainTextFormattedCitation":"(Hofmann et al., 2014; Merritt et al., 2010)","previouslyFormattedCitation":"(Hofmann et al., 2014; Merritt et al., 2010)"},"properties":{"noteIndex":0},"schema":"https://github.com/citation-style-language/schema/raw/master/csl-citation.json"}</w:instrText>
      </w:r>
      <w:r w:rsidR="00286072" w:rsidRPr="00E7337F">
        <w:rPr>
          <w:color w:val="000000" w:themeColor="text1"/>
        </w:rPr>
        <w:fldChar w:fldCharType="separate"/>
      </w:r>
      <w:r w:rsidR="0086250C" w:rsidRPr="00E7337F">
        <w:rPr>
          <w:noProof/>
          <w:color w:val="000000" w:themeColor="text1"/>
        </w:rPr>
        <w:t>(Hofmann et al., 2014; Merritt et al., 2010)</w:t>
      </w:r>
      <w:r w:rsidR="00286072" w:rsidRPr="00E7337F">
        <w:rPr>
          <w:color w:val="000000" w:themeColor="text1"/>
        </w:rPr>
        <w:fldChar w:fldCharType="end"/>
      </w:r>
      <w:r w:rsidR="00EE12F8" w:rsidRPr="00E7337F">
        <w:rPr>
          <w:color w:val="000000"/>
        </w:rPr>
        <w:t>; and crowding-out</w:t>
      </w:r>
      <w:r w:rsidR="00EE12F8" w:rsidRPr="00E7337F">
        <w:t xml:space="preserve">, </w:t>
      </w:r>
      <w:r w:rsidR="00EE12F8" w:rsidRPr="00E7337F">
        <w:rPr>
          <w:color w:val="000000"/>
        </w:rPr>
        <w:t>where providing extrinsic motivation for a behaviour reduces intrinsic motivation</w:t>
      </w:r>
      <w:r w:rsidR="008D1781" w:rsidRPr="00E7337F">
        <w:rPr>
          <w:color w:val="000000"/>
        </w:rPr>
        <w:t xml:space="preserve"> </w:t>
      </w:r>
      <w:r w:rsidR="008D1781" w:rsidRPr="00E7337F">
        <w:rPr>
          <w:color w:val="000000"/>
        </w:rPr>
        <w:fldChar w:fldCharType="begin" w:fldLock="1"/>
      </w:r>
      <w:r w:rsidR="00071F56" w:rsidRPr="00E7337F">
        <w:rPr>
          <w:color w:val="000000"/>
        </w:rPr>
        <w:instrText>ADDIN CSL_CITATION {"citationItems":[{"id":"ITEM-1","itemData":{"DOI":"10.1111/cobi.13606","ISSN":"0888-8892","author":[{"dropping-particle":"","family":"Cinner","given":"Joshua E","non-dropping-particle":"","parse-names":false,"suffix":""},{"dropping-particle":"","family":"Barnes","given":"Michele L","non-dropping-particle":"","parse-names":false,"suffix":""},{"dropping-particle":"","family":"Gurney","given":"Georgina G","non-dropping-particle":"","parse-names":false,"suffix":""},{"dropping-particle":"","family":"Lockie","given":"Stewart","non-dropping-particle":"","parse-names":false,"suffix":""},{"dropping-particle":"","family":"Rojas","given":"Cristian","non-dropping-particle":"","parse-names":false,"suffix":""}],"container-title":"Conservation Biology","id":"ITEM-1","issued":{"date-parts":[["2020"]]},"title":"Markets and the crowding out of conservation‐relevant behavior","type":"article-journal"},"uris":["http://www.mendeley.com/documents/?uuid=1ea5d49e-56f0-4719-8cb4-2b39098f93b7"]},{"id":"ITEM-2","itemData":{"DOI":"10.1037/a0032727","ISSN":"19307810","abstract":"Objective: To review existing evidence on the potential of incentives to undermine or \"crowd out\" intrinsic motivation, in order to establish whether and when it predicts financial incentives to crowd out motivation for health-related behaviors. Method: We conducted a conceptual analysis to compare definitions and operationalizations of the effect, and reviewed existing evidence to identify potential moderators of the effect. Results: In the psychological literature, we find strong evidence for an undermining effect of tangible rewards on intrinsic motivation for simple tasks when motivation manifest in behavior is initially high. In the economic literature, evidence for undermining effects exists for a broader variety of behaviors, in settings that involve a conflict of interest between parties. By contrast, for health related behaviors, baseline levels of incentivized behaviors are usually low, and only a subset involve an interpersonal conflict of interest. Correspondingly, we find no evidence for crowding out of incentivized health behaviors. Conclusion: The existing evidence does not warrant a priori predictions that an undermining effect would be found for health-related behaviors. Health-related behaviors and incentives schemes differ greatly in moderating characteristics, which should be the focus of future research. (PsycINFO Database Record (c) 2013 APA, all rights reserved).","author":[{"dropping-particle":"","family":"Promberger","given":"Marianne","non-dropping-particle":"","parse-names":false,"suffix":""},{"dropping-particle":"","family":"Marteau","given":"Theresa M.","non-dropping-particle":"","parse-names":false,"suffix":""}],"container-title":"Health Psychology","id":"ITEM-2","issue":"9","issued":{"date-parts":[["2013"]]},"page":"950-957","title":"When do financial incentives reduce intrinsic motivation? Comparing behaviors studied in psychological and economic literatures","type":"article-journal","volume":"32"},"uris":["http://www.mendeley.com/documents/?uuid=ef3f205e-aaa0-47c9-9cbc-a88b51e8c5fd"]}],"mendeley":{"formattedCitation":"(Cinner et al., 2020; Promberger and Marteau, 2013)","plainTextFormattedCitation":"(Cinner et al., 2020; Promberger and Marteau, 2013)","previouslyFormattedCitation":"(Cinner et al., 2020; Promberger and Marteau, 2013)"},"properties":{"noteIndex":0},"schema":"https://github.com/citation-style-language/schema/raw/master/csl-citation.json"}</w:instrText>
      </w:r>
      <w:r w:rsidR="008D1781" w:rsidRPr="00E7337F">
        <w:rPr>
          <w:color w:val="000000"/>
        </w:rPr>
        <w:fldChar w:fldCharType="separate"/>
      </w:r>
      <w:r w:rsidR="0086250C" w:rsidRPr="00E7337F">
        <w:rPr>
          <w:noProof/>
          <w:color w:val="000000"/>
        </w:rPr>
        <w:t xml:space="preserve">(Cinner et </w:t>
      </w:r>
      <w:r w:rsidR="0086250C" w:rsidRPr="00E7337F">
        <w:rPr>
          <w:noProof/>
          <w:color w:val="000000"/>
        </w:rPr>
        <w:lastRenderedPageBreak/>
        <w:t>al., 2020; Promberger and Marteau, 2013)</w:t>
      </w:r>
      <w:r w:rsidR="008D1781" w:rsidRPr="00E7337F">
        <w:rPr>
          <w:color w:val="000000"/>
        </w:rPr>
        <w:fldChar w:fldCharType="end"/>
      </w:r>
      <w:r w:rsidR="00947D26" w:rsidRPr="00E7337F">
        <w:rPr>
          <w:color w:val="000000"/>
        </w:rPr>
        <w:t>,</w:t>
      </w:r>
      <w:r w:rsidR="00EE12F8" w:rsidRPr="00E7337F">
        <w:rPr>
          <w:color w:val="000000"/>
        </w:rPr>
        <w:t xml:space="preserve"> also require consideration. </w:t>
      </w:r>
      <w:r w:rsidR="00EE12F8" w:rsidRPr="00E7337F">
        <w:t>E</w:t>
      </w:r>
      <w:r w:rsidR="00EE12F8" w:rsidRPr="00E7337F">
        <w:rPr>
          <w:color w:val="000000"/>
        </w:rPr>
        <w:t>vidence suggests</w:t>
      </w:r>
      <w:r w:rsidR="00947D26" w:rsidRPr="00E7337F">
        <w:rPr>
          <w:color w:val="000000"/>
        </w:rPr>
        <w:t>, however, that</w:t>
      </w:r>
      <w:r w:rsidR="00EE12F8" w:rsidRPr="00E7337F">
        <w:rPr>
          <w:color w:val="000000"/>
        </w:rPr>
        <w:t xml:space="preserve"> </w:t>
      </w:r>
      <w:r w:rsidR="00947D26" w:rsidRPr="00E7337F">
        <w:rPr>
          <w:color w:val="000000"/>
        </w:rPr>
        <w:t>such</w:t>
      </w:r>
      <w:r w:rsidR="00EE12F8" w:rsidRPr="00E7337F">
        <w:rPr>
          <w:color w:val="000000"/>
        </w:rPr>
        <w:t xml:space="preserve"> negative </w:t>
      </w:r>
      <w:proofErr w:type="spellStart"/>
      <w:r w:rsidR="00EE12F8" w:rsidRPr="00E7337F">
        <w:rPr>
          <w:color w:val="000000"/>
        </w:rPr>
        <w:t>spillover</w:t>
      </w:r>
      <w:proofErr w:type="spellEnd"/>
      <w:r w:rsidR="00EE12F8" w:rsidRPr="00E7337F">
        <w:rPr>
          <w:color w:val="000000"/>
        </w:rPr>
        <w:t xml:space="preserve"> effects may be quite limited </w:t>
      </w:r>
      <w:r w:rsidR="00286072" w:rsidRPr="00E7337F">
        <w:rPr>
          <w:color w:val="000000" w:themeColor="text1"/>
        </w:rPr>
        <w:fldChar w:fldCharType="begin" w:fldLock="1"/>
      </w:r>
      <w:r w:rsidR="00071F56" w:rsidRPr="00E7337F">
        <w:rPr>
          <w:color w:val="000000" w:themeColor="text1"/>
        </w:rPr>
        <w:instrText>ADDIN CSL_CITATION {"citationItems":[{"id":"ITEM-1","itemData":{"ISSN":"1469-1779","author":[{"dropping-particle":"","family":"Künemund","given":"Harald","non-dropping-particle":"","parse-names":false,"suffix":""},{"dropping-particle":"","family":"Rein","given":"Martin","non-dropping-particle":"","parse-names":false,"suffix":""}],"container-title":"Ageing &amp; Society","id":"ITEM-1","issue":"1","issued":{"date-parts":[["1999"]]},"page":"93-121","title":"There is more to receiving than needing: theoretical arguments and empirical explorations of crowding in and crowding out","type":"article-journal","volume":"19"},"uris":["http://www.mendeley.com/documents/?uuid=471005f2-614b-4387-96a5-e3a3c3775087"]},{"id":"ITEM-2","itemData":{"DOI":"10.1038/s41893-019-0263-9","ISSN":"23989629","abstract":"When people engage in a first pro-environmental behaviour (PEB1; for example, conserving energy at home), are they more or less likely (positive and negative spillover, respectively) to engage in other pro-environmental behaviours (‘PEB2’; for example, conserving water at home)? We examined evidence for spillover using a meta-analysis of interventions. We coded 22 studies and unpublished data that fulfilled the following criteria: used experimental or quasi-experimental design, showed change in a PEB1 and measured at least one PEB2. Analysis of the 77 effect sizes found in these studies showed that the overall spillover from a PEB1 was positive, though small, on the intention to perform a PEB2 (pooled mean effect size estimate d+ = 0.17). However, the spillover effect was negative and small for actual behaviour (d+ = −0.03) and policy support (d+ = −0.01) for PEB2. Positive spillover was most likely when interventions targeted intrinsic motivation and when PEB1 and PEB2 were similar. Future research in the area should target and measure spillover processes, collect larger samples and statistically test for spillover in more consistent ways.","author":[{"dropping-particle":"","family":"Maki","given":"Alexander","non-dropping-particle":"","parse-names":false,"suffix":""},{"dropping-particle":"","family":"Carrico","given":"Amanda R.","non-dropping-particle":"","parse-names":false,"suffix":""},{"dropping-particle":"","family":"Raimi","given":"Kaitlin T.","non-dropping-particle":"","parse-names":false,"suffix":""},{"dropping-particle":"","family":"Truelove","given":"Heather Barnes","non-dropping-particle":"","parse-names":false,"suffix":""},{"dropping-particle":"","family":"Araujo","given":"Brandon","non-dropping-particle":"","parse-names":false,"suffix":""},{"dropping-particle":"","family":"Yeung","given":"Kam Leung","non-dropping-particle":"","parse-names":false,"suffix":""}],"container-title":"Nature Sustainability","id":"ITEM-2","issue":"4","issued":{"date-parts":[["2019"]]},"page":"307-315","title":"Meta-analysis of pro-environmental behaviour spillover","type":"article-journal","volume":"2"},"uris":["http://www.mendeley.com/documents/?uuid=ab467f68-cb9c-4e67-a73f-31d6026ef0eb"]},{"id":"ITEM-3","itemData":{"DOI":"10.1037/a0032727","ISSN":"19307810","abstract":"Objective: To review existing evidence on the potential of incentives to undermine or \"crowd out\" intrinsic motivation, in order to establish whether and when it predicts financial incentives to crowd out motivation for health-related behaviors. Method: We conducted a conceptual analysis to compare definitions and operationalizations of the effect, and reviewed existing evidence to identify potential moderators of the effect. Results: In the psychological literature, we find strong evidence for an undermining effect of tangible rewards on intrinsic motivation for simple tasks when motivation manifest in behavior is initially high. In the economic literature, evidence for undermining effects exists for a broader variety of behaviors, in settings that involve a conflict of interest between parties. By contrast, for health related behaviors, baseline levels of incentivized behaviors are usually low, and only a subset involve an interpersonal conflict of interest. Correspondingly, we find no evidence for crowding out of incentivized health behaviors. Conclusion: The existing evidence does not warrant a priori predictions that an undermining effect would be found for health-related behaviors. Health-related behaviors and incentives schemes differ greatly in moderating characteristics, which should be the focus of future research. (PsycINFO Database Record (c) 2013 APA, all rights reserved).","author":[{"dropping-particle":"","family":"Promberger","given":"Marianne","non-dropping-particle":"","parse-names":false,"suffix":""},{"dropping-particle":"","family":"Marteau","given":"Theresa M.","non-dropping-particle":"","parse-names":false,"suffix":""}],"container-title":"Health Psychology","id":"ITEM-3","issue":"9","issued":{"date-parts":[["2013"]]},"page":"950-957","title":"When do financial incentives reduce intrinsic motivation? Comparing behaviors studied in psychological and economic literatures","type":"article-journal","volume":"32"},"uris":["http://www.mendeley.com/documents/?uuid=ef3f205e-aaa0-47c9-9cbc-a88b51e8c5fd"]}],"mendeley":{"formattedCitation":"(Künemund and Rein, 1999; Maki et al., 2019; Promberger and Marteau, 2013)","plainTextFormattedCitation":"(Künemund and Rein, 1999; Maki et al., 2019; Promberger and Marteau, 2013)","previouslyFormattedCitation":"(Künemund and Rein, 1999; Maki et al., 2019; Promberger and Marteau, 2013)"},"properties":{"noteIndex":0},"schema":"https://github.com/citation-style-language/schema/raw/master/csl-citation.json"}</w:instrText>
      </w:r>
      <w:r w:rsidR="00286072" w:rsidRPr="00E7337F">
        <w:rPr>
          <w:color w:val="000000" w:themeColor="text1"/>
        </w:rPr>
        <w:fldChar w:fldCharType="separate"/>
      </w:r>
      <w:r w:rsidR="0086250C" w:rsidRPr="00E7337F">
        <w:rPr>
          <w:noProof/>
          <w:color w:val="000000" w:themeColor="text1"/>
        </w:rPr>
        <w:t>(Künemund and Rein, 1999; Maki et al., 2019; Promberger and Marteau, 2013)</w:t>
      </w:r>
      <w:r w:rsidR="00286072" w:rsidRPr="00E7337F">
        <w:rPr>
          <w:color w:val="000000" w:themeColor="text1"/>
        </w:rPr>
        <w:fldChar w:fldCharType="end"/>
      </w:r>
      <w:r w:rsidR="00EE12F8" w:rsidRPr="00E7337F">
        <w:rPr>
          <w:color w:val="000000"/>
        </w:rPr>
        <w:t>, but relevant studies are scarce.</w:t>
      </w:r>
    </w:p>
    <w:p w14:paraId="55FB9891" w14:textId="7CEB7493" w:rsidR="00590001" w:rsidRPr="005F61F3" w:rsidRDefault="00590001" w:rsidP="00E7337F">
      <w:pPr>
        <w:spacing w:after="0" w:line="480" w:lineRule="auto"/>
        <w:ind w:firstLine="720"/>
        <w:rPr>
          <w:color w:val="000000" w:themeColor="text1"/>
          <w:lang w:val="en-US"/>
        </w:rPr>
      </w:pPr>
      <w:r w:rsidRPr="00356461">
        <w:rPr>
          <w:color w:val="000000" w:themeColor="text1"/>
        </w:rPr>
        <w:t xml:space="preserve">Behaviour change interventions also raise important ethical concerns. For example, population-level interventions using choice architecture (or nudging) have been criticized for undermining personal autonomy and for being undemocratic and non-transparent in defining what is considered societally good or bad behaviour </w:t>
      </w:r>
      <w:r w:rsidR="0084777E" w:rsidRPr="00356461">
        <w:rPr>
          <w:color w:val="000000" w:themeColor="text1"/>
        </w:rPr>
        <w:fldChar w:fldCharType="begin" w:fldLock="1"/>
      </w:r>
      <w:r w:rsidR="0084777E" w:rsidRPr="00356461">
        <w:rPr>
          <w:color w:val="000000" w:themeColor="text1"/>
        </w:rPr>
        <w:instrText>ADDIN CSL_CITATION {"citationItems":[{"id":"ITEM-1","itemData":{"DOI":"10.1017/bpp.2018.40","ISSN":"2398-063X","abstract":"From an ethical standpoint, transparency is an essential requirement in public policy-making. Ideally, policy-makers are transparent and actively disclose the presence, purpose and means of a decision aid. From a practical point of view, however, transparency has been discussed as reducing the effectiveness of decision aids. In the present paper, we elaborate on how transparency affects the effectiveness of defaults. In three experiments, we manipulated whether the endorser was transparent about the default or not and assessed participants’ decisions to opt out or comply. Throughout the experiments, we found that proactive transparency reduced opt-out rates as compared to a non-transparent default condition. Moreover, proactive disclosure of a default reduced opt-out rates as compared to informed control groups, where participants imagined they had retrieved the default-related information by themselves (Studies 1 and 2). The results further indicate that a lack of proactive disclosure may lead targets to perceive the endorser as less sincere and to feel deceived, which in turn hinders the effectiveness of the default. In general, our findings lend support to the proactive transparency paradigm in governance and show that a default-based policy can be transparent and effective at the same time.","author":[{"dropping-particle":"","family":"Paunov","given":"Yavor","non-dropping-particle":"","parse-names":false,"suffix":""},{"dropping-particle":"","family":"Wänke","given":"Michela","non-dropping-particle":"","parse-names":false,"suffix":""},{"dropping-particle":"","family":"Vogel","given":"Tobias","non-dropping-particle":"","parse-names":false,"suffix":""}],"container-title":"Behavioural Public Policy","id":"ITEM-1","issue":"2","issued":{"date-parts":[["2019"]]},"page":"187-208","title":"Transparency effects on policy compliance: disclosing how defaults work can enhance their effectiveness","type":"article-journal","volume":"3"},"uris":["http://www.mendeley.com/documents/?uuid=d69b3e0b-7204-46ed-ae55-3190f8972842"]},{"id":"ITEM-2","itemData":{"DOI":"10.1111/phc3.12658","ISSN":"17479991","abstract":"So-called nudge policies utilize insights from behavioral science to achieve policy outcomes. Nudge policies try to improve people's decisions by changing the ways options are presented to them, rather than changing the options themselves or incentivizing or coercing people. Nudging has been met with great enthusiasm but also fierce criticism. This paper provides an overview of the debate on the ethics of nudging to date. After outlining arguments in favor of nudging, we first discuss different objections that all revolve around the worry that nudging vitiates personal autonomy. We split up this worry into different dimensions of autonomy, such as freedom of choice, volitional autonomy, rational agency, and freedom as nondomination. We next discuss worries that nudging is manipulative, violates human dignity, and prevents more important structural reform. Throughout, we will present responses that proponents of nudging can muster. On the whole, we conclude that the objections fail to establish that the nudge program as a whole should be rejected. At the same time, they give us important guidance when moving towards an ethical assessment of nudges on a case-by-case basis. Towards the end, we provide some possible ways forward in debates around the ethics of nudging.","author":[{"dropping-particle":"","family":"Schmidt","given":"Andreas T.","non-dropping-particle":"","parse-names":false,"suffix":""},{"dropping-particle":"","family":"Engelen","given":"Bart","non-dropping-particle":"","parse-names":false,"suffix":""}],"container-title":"Philosophy Compass","id":"ITEM-2","issue":"4","issued":{"date-parts":[["2020"]]},"page":"1-13","title":"The ethics of nudging: An overview","type":"article-journal","volume":"15"},"uris":["http://www.mendeley.com/documents/?uuid=58587764-6fe3-410e-82e0-0b4e8b60c5e6"]},{"id":"ITEM-3","itemData":{"DOI":"10.1016/j.joep.2018.02.002","ISSN":"01674870","abstract":"Nudges receive growing attention as an effective concept to alter people's decisions without significantly changing economic incentives or limiting options. However, being often very subtle and covert, nudges are also criticized as unethical. By not being transparent about the intention to influence individual choice they might be perceived as limiting freedom of autonomous actions and decisions. So far, empirical research on this issue is scarce. In this study, we investigate whether nudges can be made transparent without limiting their effectiveness. For this purpose we conduct a laboratory experiment where we nudge contributions to carbon emission reduction by introducing a default value. We test how different types of transparency (i.e. knowledge of the potential influence of the default, its purpose, or both) influence the effect of the default. Our findings demonstrate that the default increases contributions, and information on the potential influence, its purpose, or both combined do not significantly influence the default effect. Furthermore, we do not find evidence that psychological reactance interacts with the influence of transparency. Findings support the policy-relevant claim that nudges (in the form of defaults</w:instrText>
      </w:r>
      <w:r w:rsidR="0084777E" w:rsidRPr="005F61F3">
        <w:rPr>
          <w:color w:val="000000" w:themeColor="text1"/>
          <w:lang w:val="da-DK"/>
        </w:rPr>
        <w:instrText>) can be transparent and yet effective.","author":[{"dropping-particle":"","family":"Bruns","given":"Hendrik","non-dropping-particle":"","parse-names":false,"suffix":""},{"dropping-particle":"","family":"Kantorowicz-Reznichenko","given":"Elena","non-dropping-particle":"","parse-names":false,"suffix":""},{"dropping-particle":"","family":"Klement","given":"Katharina","non-dropping-particle":"","parse-names":false,"suffix":""},{"dropping-particle":"","family":"Luistro Jonsson","given":"Marijane","non-dropping-particle":"","parse-names":false,"suffix":""},{"dropping-particle":"","family":"Rahali","given":"Bilel","non-dropping-particle":"","parse-names":false,"suffix":""}],"container-title":"Journal of Economic Psychology","id":"ITEM-3","issued":{"date-parts":[["2018"]]},"page":"41-59","title":"Can nudges be transparent and yet effective?","type":"article-journal","volume":"65"},"uris":["http://www.mendeley.com/documents/?uuid=1a79fef9-6c76-4184-b40e-d3e662a0725b"]}],"mendeley":{"formattedCitation":"(Bruns et al., 2018; Paunov et al., 2019; Schmidt and Engelen, 2020)","manualFormatting":"(Schmidt and Engelen, 2020; but see Bruns et al., 2018; Paunov et al., 2019)","plainTextFormattedCitation":"(Bruns et al., 2018; Paunov et al., 2019; Schmidt and Engelen, 2020)","previouslyFormattedCitation":"(Bruns et al., 2018; Paunov et al., 2019; Schmidt and Engelen, 2020)"},"properties":{"noteIndex":0},"schema":"https://github.com/citation-style-language/schema/raw/master/csl-citation.json"}</w:instrText>
      </w:r>
      <w:r w:rsidR="0084777E" w:rsidRPr="00356461">
        <w:rPr>
          <w:color w:val="000000" w:themeColor="text1"/>
        </w:rPr>
        <w:fldChar w:fldCharType="separate"/>
      </w:r>
      <w:r w:rsidR="0084777E" w:rsidRPr="00356461">
        <w:rPr>
          <w:noProof/>
          <w:color w:val="000000" w:themeColor="text1"/>
          <w:lang w:val="da-DK"/>
        </w:rPr>
        <w:t>(Schmidt and Engelen, 2020; but see Bruns et al., 2018; Paunov et al., 2019)</w:t>
      </w:r>
      <w:r w:rsidR="0084777E" w:rsidRPr="00356461">
        <w:rPr>
          <w:color w:val="000000" w:themeColor="text1"/>
        </w:rPr>
        <w:fldChar w:fldCharType="end"/>
      </w:r>
      <w:r w:rsidRPr="00356461">
        <w:rPr>
          <w:color w:val="000000" w:themeColor="text1"/>
          <w:lang w:val="da-DK"/>
        </w:rPr>
        <w:t xml:space="preserve">. </w:t>
      </w:r>
      <w:r w:rsidRPr="00356461">
        <w:rPr>
          <w:color w:val="000000" w:themeColor="text1"/>
        </w:rPr>
        <w:t xml:space="preserve">Considering this carefully is especially important given the context of power imbalances between different actors involved in, and affected by, conservation, both now and in the past </w:t>
      </w:r>
      <w:r w:rsidR="0084777E" w:rsidRPr="00356461">
        <w:rPr>
          <w:color w:val="000000" w:themeColor="text1"/>
        </w:rPr>
        <w:fldChar w:fldCharType="begin" w:fldLock="1"/>
      </w:r>
      <w:r w:rsidR="0084777E" w:rsidRPr="00356461">
        <w:rPr>
          <w:color w:val="000000" w:themeColor="text1"/>
        </w:rPr>
        <w:instrText>ADDIN CSL_CITATION {"citationItems":[{"id":"ITEM-1","itemData":{"ISSN":"0030-6053","author":[{"dropping-particle":"","family":"Sandbrook","given":"Chris","non-dropping-particle":"","parse-names":false,"suffix":""}],"container-title":"Oryx","id":"ITEM-1","issue":"3","issued":{"date-parts":[["2017"]]},"page":"379-380","title":"Weak yet strong: The uneven power relations of conservation","type":"article-journal","volume":"51"},"uris":["http://www.mendeley.com/documents/?uuid=c89c10fa-4e28-4d61-af7f-e826897a93a0"]}],"mendeley":{"formattedCitation":"(Sandbrook, 2017)","plainTextFormattedCitation":"(Sandbrook, 2017)","previouslyFormattedCitation":"(Sandbrook, 2017)"},"properties":{"noteIndex":0},"schema":"https://github.com/citation-style-language/schema/raw/master/csl-citation.json"}</w:instrText>
      </w:r>
      <w:r w:rsidR="0084777E" w:rsidRPr="00356461">
        <w:rPr>
          <w:color w:val="000000" w:themeColor="text1"/>
        </w:rPr>
        <w:fldChar w:fldCharType="separate"/>
      </w:r>
      <w:r w:rsidR="0084777E" w:rsidRPr="00356461">
        <w:rPr>
          <w:noProof/>
          <w:color w:val="000000" w:themeColor="text1"/>
        </w:rPr>
        <w:t>(Sandbrook, 2017)</w:t>
      </w:r>
      <w:r w:rsidR="0084777E" w:rsidRPr="00356461">
        <w:rPr>
          <w:color w:val="000000" w:themeColor="text1"/>
        </w:rPr>
        <w:fldChar w:fldCharType="end"/>
      </w:r>
      <w:r w:rsidRPr="00356461">
        <w:rPr>
          <w:color w:val="000000" w:themeColor="text1"/>
        </w:rPr>
        <w:t xml:space="preserve">. </w:t>
      </w:r>
      <w:r w:rsidR="0084777E" w:rsidRPr="00356461">
        <w:rPr>
          <w:rFonts w:eastAsia="Times New Roman"/>
          <w:color w:val="000000" w:themeColor="text1"/>
        </w:rPr>
        <w:t xml:space="preserve">Other population-level interventions may also reinforce socioeconomic inequalities unless designed to protect vulnerable and/or poorly represented groups </w:t>
      </w:r>
      <w:r w:rsidR="0084777E" w:rsidRPr="00356461">
        <w:rPr>
          <w:rFonts w:eastAsia="Times New Roman"/>
          <w:color w:val="000000" w:themeColor="text1"/>
        </w:rPr>
        <w:fldChar w:fldCharType="begin" w:fldLock="1"/>
      </w:r>
      <w:r w:rsidR="0084777E">
        <w:rPr>
          <w:rFonts w:eastAsia="Times New Roman"/>
          <w:color w:val="000000" w:themeColor="text1"/>
        </w:rPr>
        <w:instrText>ADDIN CSL_CITATION {"citationItems":[{"id":"ITEM-1","itemData":{"author":[{"dropping-particle":"","family":"Dietz","given":"Thomas","non-dropping-particle":"","parse-names":false,"suffix":""},{"dropping-particle":"","family":"Whitley","given":"Cameron T.","non-dropping-particle":"","parse-names":false,"suffix":""}],"container-title":"Sociology of Development","id":"ITEM-1","issued":{"date-parts":[["2018"]]},"page":"282-303","title":"Inequality, decisions, and altruism","type":"article-journal","volume":"4"},"uris":["http://www.mendeley.com/documents/?uuid=f6d77453-a6c0-4b01-863d-03ec0d022f19"]}],"mendeley":{"formattedCitation":"(Dietz and Whitley, 2018)","plainTextFormattedCitation":"(Dietz and Whitley, 2018)","previouslyFormattedCitation":"(Dietz and Whitley, 2018)"},"properties":{"noteIndex":0},"schema":"https://github.com/citation-style-language/schema/raw/master/csl-citation.json"}</w:instrText>
      </w:r>
      <w:r w:rsidR="0084777E" w:rsidRPr="00356461">
        <w:rPr>
          <w:rFonts w:eastAsia="Times New Roman"/>
          <w:color w:val="000000" w:themeColor="text1"/>
        </w:rPr>
        <w:fldChar w:fldCharType="separate"/>
      </w:r>
      <w:r w:rsidR="0084777E" w:rsidRPr="00356461">
        <w:rPr>
          <w:rFonts w:eastAsia="Times New Roman"/>
          <w:noProof/>
          <w:color w:val="000000" w:themeColor="text1"/>
        </w:rPr>
        <w:t>(Dietz and Whitley, 2018)</w:t>
      </w:r>
      <w:r w:rsidR="0084777E" w:rsidRPr="00356461">
        <w:rPr>
          <w:rFonts w:eastAsia="Times New Roman"/>
          <w:color w:val="000000" w:themeColor="text1"/>
        </w:rPr>
        <w:fldChar w:fldCharType="end"/>
      </w:r>
      <w:r w:rsidR="0084777E" w:rsidRPr="00356461">
        <w:rPr>
          <w:rFonts w:eastAsia="Times New Roman"/>
          <w:color w:val="000000" w:themeColor="text1"/>
        </w:rPr>
        <w:t xml:space="preserve">. For example, physical macroenvironment interventions to improve low-carbon infrastructure and to reduce air pollution may favour wealthier over poorer neighbourhoods, and economic environment interventions, such as offering tax benefits to incentivize energy-efficiency investments in housing, may benefit homeowners and wealthier households who can afford such investments </w:t>
      </w:r>
      <w:r w:rsidR="0084777E">
        <w:rPr>
          <w:rFonts w:eastAsia="Times New Roman"/>
          <w:color w:val="000000" w:themeColor="text1"/>
        </w:rPr>
        <w:fldChar w:fldCharType="begin" w:fldLock="1"/>
      </w:r>
      <w:r w:rsidR="0084777E">
        <w:rPr>
          <w:rFonts w:eastAsia="Times New Roman"/>
          <w:color w:val="000000" w:themeColor="text1"/>
        </w:rPr>
        <w:instrText>ADDIN CSL_CITATION {"citationItems":[{"id":"ITEM-1","itemData":{"DOI":"10.1080/14693062.2020.1773754","ISSN":"1469-3062","author":[{"dropping-particle":"","family":"Owen","given":"Anne","non-dropping-particle":"","parse-names":false,"suffix":""},{"dropping-particle":"","family":"Barrett","given":"John","non-dropping-particle":"","parse-names":false,"suffix":""},{"dropping-particle":"","family":"Owen","given":"Anne","non-dropping-particle":"","parse-names":false,"suffix":""},{"dropping-particle":"","family":"Barrett","given":"John","non-dropping-particle":"","parse-names":false,"suffix":""}],"container-title":"Climate Policy","id":"ITEM-1","issued":{"date-parts":[["2020"]]},"page":"1193-1208","publisher":"Taylor &amp; Francis","title":"Reducing inequality resulting from UK low-carbon policy","type":"article-journal","volume":"20"},"uris":["http://www.mendeley.com/documents/?uuid=e77cfdbd-1602-441b-bef9-1f07e342cf20"]}],"mendeley":{"formattedCitation":"(Owen et al., 2020)","plainTextFormattedCitation":"(Owen et al., 2020)","previouslyFormattedCitation":"(Owen et al., 2020)"},"properties":{"noteIndex":0},"schema":"https://github.com/citation-style-language/schema/raw/master/csl-citation.json"}</w:instrText>
      </w:r>
      <w:r w:rsidR="0084777E">
        <w:rPr>
          <w:rFonts w:eastAsia="Times New Roman"/>
          <w:color w:val="000000" w:themeColor="text1"/>
        </w:rPr>
        <w:fldChar w:fldCharType="separate"/>
      </w:r>
      <w:r w:rsidR="0084777E" w:rsidRPr="0084777E">
        <w:rPr>
          <w:rFonts w:eastAsia="Times New Roman"/>
          <w:noProof/>
          <w:color w:val="000000" w:themeColor="text1"/>
        </w:rPr>
        <w:t>(Owen et al., 2020)</w:t>
      </w:r>
      <w:r w:rsidR="0084777E">
        <w:rPr>
          <w:rFonts w:eastAsia="Times New Roman"/>
          <w:color w:val="000000" w:themeColor="text1"/>
        </w:rPr>
        <w:fldChar w:fldCharType="end"/>
      </w:r>
      <w:r w:rsidR="0084777E" w:rsidRPr="00356461">
        <w:rPr>
          <w:rFonts w:eastAsia="Times New Roman"/>
          <w:color w:val="000000" w:themeColor="text1"/>
        </w:rPr>
        <w:t>. We note, however, that such ethical concerns are not unique to the sorts of interventions reviewed here but rather apply to much policymaking. Citizen engagement through deliberative and other processes comprise an important set of interventions to engage citizens, communities, and different stakeholder groups in the design of behaviour change interventions to ensure their impacts are equitable</w:t>
      </w:r>
      <w:r w:rsidR="0084777E">
        <w:rPr>
          <w:rFonts w:eastAsia="Times New Roman"/>
          <w:color w:val="000000" w:themeColor="text1"/>
        </w:rPr>
        <w:t xml:space="preserve"> </w:t>
      </w:r>
      <w:r w:rsidR="0084777E">
        <w:rPr>
          <w:rFonts w:eastAsia="Times New Roman"/>
          <w:color w:val="000000" w:themeColor="text1"/>
        </w:rPr>
        <w:fldChar w:fldCharType="begin" w:fldLock="1"/>
      </w:r>
      <w:r w:rsidR="00610947">
        <w:rPr>
          <w:rFonts w:eastAsia="Times New Roman"/>
          <w:color w:val="000000" w:themeColor="text1"/>
        </w:rPr>
        <w:instrText>ADDIN CSL_CITATION {"citationItems":[{"id":"ITEM-1","itemData":{"DOI":"10.1111/csp2.278","ISSN":"2578-4854","abstract":"Many threats to biodiversity are the result of human actions, which means that changing human behavior can positively alter the trajectory of our cur- rent biodiversity crisis. While there is an increasing number of behavior change interventions being implemented in biodiversity conservation, their design is rarely informed by the people they try to influence, thereby lower- ing the probability of success. Building successful interventions requires sub- stantial audience research, but this can be challenging for conservation projects with perennially limited time and resources. Here, we critically dis- cuss co-design as a useful and effective approach for gathering audience insights relatively quickly, allowing conservation practitioners to integrate end-user voices when they would otherwise be excluded from intervention design. Specifically, we present a seven-step co-design process, providing an outline and guidance for how to generate more user-centric intervention ideas and transform them into feasible prototype interventions. Further, we show how we applied this seven-step process with coffee consumers in a sustainable conservation context. This study outlines contributions that showcase the value of user-centered design approaches to behavior change interventions for biodi- versity conservation. KEYWORDS behavior change, biodiversity change, co-design, coffee, conservation, consumer behavior, interventions, sustainable 1","author":[{"dropping-particle":"","family":"Bowie","given":"Matthew J.","non-dropping-particle":"","parse-names":false,"suffix":""},{"dropping-particle":"","family":"Dietrich","given":"Timo","non-dropping-particle":"","parse-names":false,"suffix":""},{"dropping-particle":"","family":"Cassey","given":"Phillip","non-dropping-particle":"","parse-names":false,"suffix":""},{"dropping-particle":"","family":"Veríssimo","given":"Diogo","non-dropping-particle":"","parse-names":false,"suffix":""}],"container-title":"Conservation Science and Practice","id":"ITEM-1","issue":"11","issued":{"date-parts":[["2020"]]},"page":"1-14","title":"Co‐designing behavior change interventions to conserve biodiversity","type":"article-journal","volume":"2"},"uris":["http://www.mendeley.com/documents/?uuid=8e4758c4-b1f8-4a9a-aebc-61faffb116b6"]},{"id":"ITEM-2","itemData":{"DOI":"https://doi.org/10.1787/339306da-en","author":[{"dropping-particle":"","family":"OECD","given":"","non-dropping-particle":"","parse-names":false,"suffix":""}],"id":"ITEM-2","issued":{"date-parts":[["2020"]]},"publisher-place":"Paris","title":"Innovative citizen participation and new democratic institutions: Catching the new deliberative wave","type":"report"},"uris":["http://www.mendeley.com/documents/?uuid=7b2002fb-66cd-4c2c-963d-8046ffef6829"]},{"id":"ITEM-3","itemData":{"DOI":"10.1016/j.cosust.2021.05.002","ISSN":"1877-3435","author":[{"dropping-particle":"","family":"Stern","given":"Paul C","non-dropping-particle":"","parse-names":false,"suffix":""},{"dropping-particle":"","family":"Wolske","given":"Kimberly S","non-dropping-particle":"","parse-names":false,"suffix":""},{"dropping-particle":"","family":"Dietz","given":"Thomas","non-dropping-particle":"","parse-names":false,"suffix":""}],"container-title":"Current Opinion in Environmental Sustainability","id":"ITEM-3","issue":"2","issued":{"date-parts":[["2021"]]},"page":"9-18","publisher":"Elsevier B.V.","title":"Design principles for climate change decisions","type":"article-journal","volume":"52"},"uris":["http://www.mendeley.com/documents/?uuid=45c760be-2389-4c46-98cb-f4ac34b72c03"]}],"mendeley":{"formattedCitation":"(Bowie et al., 2020; OECD, 2020; Stern et al., 2021)","plainTextFormattedCitation":"(Bowie et al., 2020; OECD, 2020; Stern et al., 2021)","previouslyFormattedCitation":"(Bowie et al., 2020; OECD, 2020; Stern et al., 2021)"},"properties":{"noteIndex":0},"schema":"https://github.com/citation-style-language/schema/raw/master/csl-citation.json"}</w:instrText>
      </w:r>
      <w:r w:rsidR="0084777E">
        <w:rPr>
          <w:rFonts w:eastAsia="Times New Roman"/>
          <w:color w:val="000000" w:themeColor="text1"/>
        </w:rPr>
        <w:fldChar w:fldCharType="separate"/>
      </w:r>
      <w:r w:rsidR="0084777E" w:rsidRPr="005F61F3">
        <w:rPr>
          <w:rFonts w:eastAsia="Times New Roman"/>
          <w:noProof/>
          <w:color w:val="000000" w:themeColor="text1"/>
          <w:lang w:val="en-US"/>
        </w:rPr>
        <w:t>(Bowie et al., 2020; OECD, 2020; Stern et al., 2021)</w:t>
      </w:r>
      <w:r w:rsidR="0084777E">
        <w:rPr>
          <w:rFonts w:eastAsia="Times New Roman"/>
          <w:color w:val="000000" w:themeColor="text1"/>
        </w:rPr>
        <w:fldChar w:fldCharType="end"/>
      </w:r>
      <w:r w:rsidRPr="005F61F3">
        <w:rPr>
          <w:color w:val="000000" w:themeColor="text1"/>
          <w:lang w:val="en-US"/>
        </w:rPr>
        <w:t>.</w:t>
      </w:r>
    </w:p>
    <w:p w14:paraId="5B241163" w14:textId="2234F945" w:rsidR="00450CA8" w:rsidRPr="00E7337F" w:rsidRDefault="00EE12F8" w:rsidP="00950E9F">
      <w:pPr>
        <w:spacing w:after="0" w:line="480" w:lineRule="auto"/>
        <w:ind w:firstLine="720"/>
        <w:rPr>
          <w:color w:val="000000"/>
        </w:rPr>
      </w:pPr>
      <w:r w:rsidRPr="00E7337F">
        <w:rPr>
          <w:color w:val="000000"/>
        </w:rPr>
        <w:t>Most significantly, evidence across sectors shows that the effects of behaviour change interventions</w:t>
      </w:r>
      <w:r w:rsidR="00A16A57" w:rsidRPr="00E7337F">
        <w:rPr>
          <w:color w:val="000000"/>
        </w:rPr>
        <w:t xml:space="preserve"> are</w:t>
      </w:r>
      <w:r w:rsidRPr="00E7337F">
        <w:rPr>
          <w:color w:val="000000"/>
        </w:rPr>
        <w:t xml:space="preserve"> </w:t>
      </w:r>
      <w:r w:rsidR="00A16A57" w:rsidRPr="00E7337F">
        <w:rPr>
          <w:color w:val="000000"/>
        </w:rPr>
        <w:t>(like many other interventions) t</w:t>
      </w:r>
      <w:r w:rsidRPr="00E7337F">
        <w:rPr>
          <w:color w:val="000000"/>
        </w:rPr>
        <w:t>ypically modest</w:t>
      </w:r>
      <w:r w:rsidR="00714210" w:rsidRPr="00E7337F">
        <w:rPr>
          <w:color w:val="000000"/>
        </w:rPr>
        <w:t xml:space="preserve"> </w:t>
      </w:r>
      <w:r w:rsidR="00714210" w:rsidRPr="00E7337F">
        <w:rPr>
          <w:color w:val="000000" w:themeColor="text1"/>
        </w:rPr>
        <w:fldChar w:fldCharType="begin" w:fldLock="1"/>
      </w:r>
      <w:r w:rsidR="00B40551" w:rsidRPr="00E7337F">
        <w:rPr>
          <w:color w:val="000000" w:themeColor="text1"/>
        </w:rPr>
        <w:instrText>ADDIN CSL_CITATION {"citationItems":[{"id":"ITEM-1","itemData":{"DOI":"10.1111/csp2.248","author":[{"dropping-particle":"","family":"Thomas-Walters","given":"Laura","non-dropping-particle":"","parse-names":false,"suffix":""},{"dropping-particle":"","family":"Roberts","given":"David","non-dropping-particle":"","parse-names":false,"suffix":""},{"dropping-particle":"","family":"Smith","given":"Robert J","non-dropping-particle":"","parse-names":false,"suffix":""}],"container-title":"Conservation Science and Practice","id":"ITEM-1","issue":"9","issued":{"date-parts":[["2020"]]},"page":"e248","title":"Taking a more nuanced look at behavior change for demand reduction in the illegal wildlife trade","type":"article-journal","volume":"2"},"uris":["http://www.mendeley.com/documents/?uuid=d21454a6-8033-476f-bb5f-aff6284118ca"]},{"id":"ITEM-2","itemData":{"DOI":"10.1038/s41467-019-12457-2","ISSN":"20411723","abstract":"No consensus exists regarding which are the most effective mechanisms to promote household action on climate change. We present a meta-analysis of randomised controlled trials comprising 3,092,678 observations, which estimates the effects of behavioural interventions holding other factors constant. Here we show that behavioural interventions promote climate change mitigation to a very small degree while the intervention lasts (d = −0.093 95% CI −0.160, −0.055), with no evidence of sustained positive effects once the intervention ends. With the exception of recycling, most household mitigation behaviours show a low behavioural plasticity. The intervention with the highest average effect size is choice architecture (nudges) but this strategy has been tested in a limited number of behaviours. Our results do not imply behavioural interventions are less effective than alternative strategies such as financial incentives or regulations, nor exclude the possibility that behavioural interventions could have stronger effects when used in combination with alternative strategies. It is not clear which are the most effective mechanisms to achieve sustainable lifestyle behaviour. Here the authors study the impact of behavioural interventions excluding economic incentives by performing a large-scale meta-analysis and find that these interventions promote sustainable behaviours to a small degree in the short-term with no evidence of sustained positive effects once the intervention is completed.","author":[{"dropping-particle":"","family":"Nisa","given":"Claudia F.","non-dropping-particle":"","parse-names":false,"suffix":""},{"dropping-particle":"","family":"Bélanger","given":"Jocelyn J.","non-dropping-particle":"","parse-names":false,"suffix":""},{"dropping-particle":"","family":"Schumpe","given":"Birga M.","non-dropping-particle":"","parse-names":false,"suffix":""},{"dropping-particle":"","family":"Faller","given":"Daiane G.","non-dropping-particle":"","parse-names":false,"suffix":""}],"container-title":"Nature Communications","id":"ITEM-2","issue":"1","issued":{"date-parts":[["2019"]]},"page":"4545","title":"Meta-analysis of randomised controlled trials testing behavioural interventions to promote household action on climate change","type":"article-journal","volume":"10"},"uris":["http://www.mendeley.com/documents/?uuid=4e908c20-bde9-43f2-9a8c-d044ac48f883"]}],"mendeley":{"formattedCitation":"(Nisa et al., 2019; Thomas-Walters et al., 2020b)","plainTextFormattedCitation":"(Nisa et al., 2019; Thomas-Walters et al., 2020b)","previouslyFormattedCitation":"(Nisa et al., 2019; Thomas-Walters et al., 2020b)"},"properties":{"noteIndex":0},"schema":"https://github.com/citation-style-language/schema/raw/master/csl-citation.json"}</w:instrText>
      </w:r>
      <w:r w:rsidR="00714210" w:rsidRPr="00E7337F">
        <w:rPr>
          <w:color w:val="000000" w:themeColor="text1"/>
        </w:rPr>
        <w:fldChar w:fldCharType="separate"/>
      </w:r>
      <w:r w:rsidR="0086250C" w:rsidRPr="00E7337F">
        <w:rPr>
          <w:noProof/>
          <w:color w:val="000000" w:themeColor="text1"/>
        </w:rPr>
        <w:t>(Nisa et al., 2019; Thomas-Walters et al., 2020b)</w:t>
      </w:r>
      <w:r w:rsidR="00714210" w:rsidRPr="00E7337F">
        <w:rPr>
          <w:color w:val="000000" w:themeColor="text1"/>
        </w:rPr>
        <w:fldChar w:fldCharType="end"/>
      </w:r>
      <w:r w:rsidRPr="00E7337F">
        <w:rPr>
          <w:color w:val="000000"/>
        </w:rPr>
        <w:t xml:space="preserve">. When properly evaluated, behaviour change interventions </w:t>
      </w:r>
      <w:r w:rsidR="007D5B48" w:rsidRPr="00E7337F">
        <w:rPr>
          <w:color w:val="000000"/>
        </w:rPr>
        <w:t xml:space="preserve">sometimes </w:t>
      </w:r>
      <w:r w:rsidRPr="00E7337F">
        <w:rPr>
          <w:color w:val="000000"/>
        </w:rPr>
        <w:lastRenderedPageBreak/>
        <w:t xml:space="preserve">fail to </w:t>
      </w:r>
      <w:r w:rsidR="00714210" w:rsidRPr="00E7337F">
        <w:rPr>
          <w:color w:val="000000"/>
        </w:rPr>
        <w:t xml:space="preserve">produce </w:t>
      </w:r>
      <w:r w:rsidRPr="00E7337F">
        <w:rPr>
          <w:color w:val="000000"/>
        </w:rPr>
        <w:t>behaviour</w:t>
      </w:r>
      <w:r w:rsidR="00714210" w:rsidRPr="00E7337F">
        <w:rPr>
          <w:color w:val="000000"/>
        </w:rPr>
        <w:t xml:space="preserve"> change</w:t>
      </w:r>
      <w:r w:rsidRPr="00E7337F">
        <w:rPr>
          <w:color w:val="000000"/>
        </w:rPr>
        <w:t xml:space="preserve"> </w:t>
      </w:r>
      <w:r w:rsidR="00286072" w:rsidRPr="00E7337F">
        <w:rPr>
          <w:color w:val="000000" w:themeColor="text1"/>
        </w:rPr>
        <w:fldChar w:fldCharType="begin" w:fldLock="1"/>
      </w:r>
      <w:r w:rsidR="00071F56" w:rsidRPr="00E7337F">
        <w:rPr>
          <w:color w:val="000000" w:themeColor="text1"/>
        </w:rPr>
        <w:instrText>ADDIN CSL_CITATION {"citationItems":[{"id":"ITEM-1","itemData":{"DOI":"10.1177/1524500417734806","ISSN":"15394093","abstract":"There is a growing realization among conservationists that human behavior is the main driver of all key threats to biodiversity and the environment. This realization has led to an escalation of the efforts to influence human behavior toward the adoption of more sustainable alternatives, more recently through the use of social marketing theory and tools. However, these initiatives have traditionally suffered from a lack of robust impact evaluation, which limits not only accountability but also a practitioner’s ability to learn and improve over time. We evaluated three social marketing campaigns conducted in the Philippines, which aimed at increasing the sustainability of local fisheries. To achieve this, we used the results not only from questionnaire surveys but also from biological and enforcement data. We found that although there is some evidence of impact around human behavior and perceptions of conservation results, those changes did not translate into biological outcomes during the 2-year time frame considered in this evaluation. We discuss many of the barriers to causal inference that still remain, particularly if causal links between outcomes and specific interventions are to be drawn, but also showcase how this current methodology can help us go further than the more basic approaches to impact evaluation commonly used. Lastly, we highlight a number of lessons learned from this experience in seeking a practical, ethical, and effective approach to impact evaluation.","author":[{"dropping-particle":"","family":"Veríssimo","given":"Diogo","non-dropping-particle":"","parse-names":false,"suffix":""},{"dropping-particle":"","family":"Bianchessi","given":"Annalisa","non-dropping-particle":"","parse-names":false,"suffix":""},{"dropping-particle":"","family":"Arrivillaga","given":"Alejandro","non-dropping-particle":"","parse-names":false,"suffix":""},{"dropping-particle":"","family":"Cadiz","given":"Fel Ceasar","non-dropping-particle":"","parse-names":false,"suffix":""},{"dropping-particle":"","family":"Mancao","given":"Roquelito","non-dropping-particle":"","parse-names":false,"suffix":""},{"dropping-particle":"","family":"Green","given":"Kevin","non-dropping-particle":"","parse-names":false,"suffix":""}],"container-title":"Social Marketing Quarterly","id":"ITEM-1","issue":"1","issued":{"date-parts":[["2018"]]},"page":"18-34","title":"Does it work for biodiversity? Experiences and challenges in the evaluation of social marketing campaigns","type":"article-journal","volume":"24"},"uris":["http://www.mendeley.com/documents/?uuid=0743d7ae-0b2d-4051-9008-bb1144638f84"]}],"mendeley":{"formattedCitation":"(Veríssimo et al., 2018a)","plainTextFormattedCitation":"(Veríssimo et al., 2018a)","previouslyFormattedCitation":"(Veríssimo et al., 2018a)"},"properties":{"noteIndex":0},"schema":"https://github.com/citation-style-language/schema/raw/master/csl-citation.json"}</w:instrText>
      </w:r>
      <w:r w:rsidR="00286072" w:rsidRPr="00E7337F">
        <w:rPr>
          <w:color w:val="000000" w:themeColor="text1"/>
        </w:rPr>
        <w:fldChar w:fldCharType="separate"/>
      </w:r>
      <w:r w:rsidR="0086250C" w:rsidRPr="00E7337F">
        <w:rPr>
          <w:noProof/>
          <w:color w:val="000000" w:themeColor="text1"/>
        </w:rPr>
        <w:t>(Veríssimo et al., 2018a)</w:t>
      </w:r>
      <w:r w:rsidR="00286072" w:rsidRPr="00E7337F">
        <w:rPr>
          <w:color w:val="000000" w:themeColor="text1"/>
        </w:rPr>
        <w:fldChar w:fldCharType="end"/>
      </w:r>
      <w:r w:rsidRPr="00E7337F">
        <w:rPr>
          <w:color w:val="000000"/>
        </w:rPr>
        <w:t xml:space="preserve">, even when they draw on theoretically plausible mechanisms. Conveying </w:t>
      </w:r>
      <w:r w:rsidR="009C4798" w:rsidRPr="00E7337F">
        <w:rPr>
          <w:color w:val="000000"/>
        </w:rPr>
        <w:t xml:space="preserve">educational </w:t>
      </w:r>
      <w:r w:rsidRPr="00E7337F">
        <w:rPr>
          <w:color w:val="000000"/>
        </w:rPr>
        <w:t xml:space="preserve">conservation messages through a Tanzanian radio show, for instance, failed to reduce demand for wild meat </w:t>
      </w:r>
      <w:r w:rsidR="00286072" w:rsidRPr="00E7337F">
        <w:rPr>
          <w:color w:val="000000" w:themeColor="text1"/>
        </w:rPr>
        <w:fldChar w:fldCharType="begin" w:fldLock="1"/>
      </w:r>
      <w:r w:rsidR="00071F56" w:rsidRPr="00E7337F">
        <w:rPr>
          <w:color w:val="000000" w:themeColor="text1"/>
        </w:rPr>
        <w:instrText>ADDIN CSL_CITATION {"citationItems":[{"id":"ITEM-1","itemData":{"ISSN":"1367-9430","author":[{"dropping-particle":"","family":"Veríssimo","given":"Diogo","non-dropping-particle":"","parse-names":false,"suffix":""},{"dropping-particle":"","family":"Schmid","given":"Carina","non-dropping-particle":"","parse-names":false,"suffix":""},{"dropping-particle":"","family":"Kimario","given":"F F","non-dropping-particle":"","parse-names":false,"suffix":""},{"dropping-particle":"","family":"Eves","given":"H E","non-dropping-particle":"","parse-names":false,"suffix":""}],"container-title":"Animal Conservation","id":"ITEM-1","issue":"4","issued":{"date-parts":[["2018"]]},"page":"324-331","title":"Measuring the impact of an entertainment‐education intervention to reduce demand for bushmeat","type":"article-journal","volume":"21"},"uris":["http://www.mendeley.com/documents/?uuid=3c390b82-3f92-4c7e-a101-82c42800d49c"]}],"mendeley":{"formattedCitation":"(Veríssimo et al., 2018b)","plainTextFormattedCitation":"(Veríssimo et al., 2018b)","previouslyFormattedCitation":"(Veríssimo et al., 2018b)"},"properties":{"noteIndex":0},"schema":"https://github.com/citation-style-language/schema/raw/master/csl-citation.json"}</w:instrText>
      </w:r>
      <w:r w:rsidR="00286072" w:rsidRPr="00E7337F">
        <w:rPr>
          <w:color w:val="000000" w:themeColor="text1"/>
        </w:rPr>
        <w:fldChar w:fldCharType="separate"/>
      </w:r>
      <w:r w:rsidR="0086250C" w:rsidRPr="00E7337F">
        <w:rPr>
          <w:noProof/>
          <w:color w:val="000000" w:themeColor="text1"/>
        </w:rPr>
        <w:t>(Veríssimo et al., 2018b)</w:t>
      </w:r>
      <w:r w:rsidR="00286072" w:rsidRPr="00E7337F">
        <w:rPr>
          <w:color w:val="000000" w:themeColor="text1"/>
        </w:rPr>
        <w:fldChar w:fldCharType="end"/>
      </w:r>
      <w:r w:rsidR="00A144D2" w:rsidRPr="00E7337F">
        <w:rPr>
          <w:color w:val="000000"/>
        </w:rPr>
        <w:t>; and</w:t>
      </w:r>
      <w:r w:rsidRPr="00E7337F">
        <w:rPr>
          <w:color w:val="000000"/>
        </w:rPr>
        <w:t xml:space="preserve"> in a recent UK study an array of </w:t>
      </w:r>
      <w:r w:rsidR="006B0A24" w:rsidRPr="00E7337F">
        <w:rPr>
          <w:color w:val="000000"/>
        </w:rPr>
        <w:t xml:space="preserve">interventions </w:t>
      </w:r>
      <w:r w:rsidRPr="00E7337F">
        <w:rPr>
          <w:color w:val="000000"/>
        </w:rPr>
        <w:t xml:space="preserve">using tailored information provision, peer-based </w:t>
      </w:r>
      <w:r w:rsidR="006B0A24" w:rsidRPr="00E7337F">
        <w:rPr>
          <w:color w:val="000000"/>
        </w:rPr>
        <w:t>descriptive norms</w:t>
      </w:r>
      <w:r w:rsidRPr="00E7337F">
        <w:rPr>
          <w:color w:val="000000"/>
        </w:rPr>
        <w:t>, loss aversion</w:t>
      </w:r>
      <w:r w:rsidR="006443E4" w:rsidRPr="00E7337F">
        <w:rPr>
          <w:color w:val="000000"/>
        </w:rPr>
        <w:t>,</w:t>
      </w:r>
      <w:r w:rsidRPr="00E7337F">
        <w:rPr>
          <w:color w:val="000000"/>
        </w:rPr>
        <w:t xml:space="preserve"> and </w:t>
      </w:r>
      <w:r w:rsidR="00A47A9A" w:rsidRPr="00E7337F">
        <w:rPr>
          <w:color w:val="000000"/>
        </w:rPr>
        <w:t xml:space="preserve">material </w:t>
      </w:r>
      <w:r w:rsidRPr="00E7337F">
        <w:rPr>
          <w:color w:val="000000"/>
        </w:rPr>
        <w:t xml:space="preserve">incentives failed to increase </w:t>
      </w:r>
      <w:r w:rsidR="007C5EC0">
        <w:rPr>
          <w:color w:val="000000"/>
        </w:rPr>
        <w:t>car</w:t>
      </w:r>
      <w:r w:rsidRPr="00E7337F">
        <w:rPr>
          <w:color w:val="000000"/>
        </w:rPr>
        <w:t xml:space="preserve">-sharing </w:t>
      </w:r>
      <w:r w:rsidR="00286072" w:rsidRPr="00E7337F">
        <w:rPr>
          <w:color w:val="000000" w:themeColor="text1"/>
        </w:rPr>
        <w:fldChar w:fldCharType="begin" w:fldLock="1"/>
      </w:r>
      <w:r w:rsidR="00071F56" w:rsidRPr="00E7337F">
        <w:rPr>
          <w:color w:val="000000" w:themeColor="text1"/>
        </w:rPr>
        <w:instrText>ADDIN CSL_CITATION {"citationItems":[{"id":"ITEM-1","itemData":{"DOI":"10.1038/s41562-019-0795-z","ISSN":"23973374","abstract":"Across five field experiments with employees of a large organization (n = 68,915), we examined whether standard behavioural interventions (‘nudges’) successfully reduced single-occupancy vehicle commutes. In Studies 1 and 2, we sent letters and emails with nudges designed to increase carpooling. These interventions failed to increase carpool sign-up or usage. In Studies 3a and 4, we examined the efficacy of other well-established behavioural interventions: non-cash incentives and personalized travel plans. Again, we found no positive effect of these interventions. Across studies, effect sizes ranged from Cohen’s d = −0.01 to d = 0.05. Equivalence testing, using study-specific smallest effect sizes of interest, revealed that the treatment effects observed in four out of five of our experiments were statistically equivalent to zero (P &lt; 0.04). The failure of these well-powered experiments designed to nudge commuting behaviour highlights both the difficulty of changing commuter behaviour and the importance of publishing null results to build cumulative knowledge about how to encourage sustainable travel.","author":[{"dropping-particle":"","family":"Kristal","given":"Ariella S.","non-dropping-particle":"","parse-names":false,"suffix":""},{"dropping-particle":"V.","family":"Whillans","given":"Ashley","non-dropping-particle":"","parse-names":false,"suffix":""}],"container-title":"Nature Human Behaviour","id":"ITEM-1","issued":{"date-parts":[["2020"]]},"page":"169-176","title":"What we can learn from five naturalistic field experiments that failed to shift commuter behaviour","type":"article-journal","volume":"4"},"uris":["http://www.mendeley.com/documents/?uuid=33e098d6-600a-43a1-a59f-e5201852ad32"]}],"mendeley":{"formattedCitation":"(Kristal and Whillans, 2020)","plainTextFormattedCitation":"(Kristal and Whillans, 2020)","previouslyFormattedCitation":"(Kristal and Whillans, 2020)"},"properties":{"noteIndex":0},"schema":"https://github.com/citation-style-language/schema/raw/master/csl-citation.json"}</w:instrText>
      </w:r>
      <w:r w:rsidR="00286072" w:rsidRPr="00E7337F">
        <w:rPr>
          <w:color w:val="000000" w:themeColor="text1"/>
        </w:rPr>
        <w:fldChar w:fldCharType="separate"/>
      </w:r>
      <w:r w:rsidR="0086250C" w:rsidRPr="00E7337F">
        <w:rPr>
          <w:noProof/>
          <w:color w:val="000000" w:themeColor="text1"/>
        </w:rPr>
        <w:t>(Kristal and Whillans, 2020)</w:t>
      </w:r>
      <w:r w:rsidR="00286072" w:rsidRPr="00E7337F">
        <w:rPr>
          <w:color w:val="000000" w:themeColor="text1"/>
        </w:rPr>
        <w:fldChar w:fldCharType="end"/>
      </w:r>
      <w:r w:rsidR="00286072" w:rsidRPr="00E7337F">
        <w:rPr>
          <w:color w:val="000000" w:themeColor="text1"/>
        </w:rPr>
        <w:t>. In other instances</w:t>
      </w:r>
      <w:r w:rsidR="006443E4" w:rsidRPr="00E7337F">
        <w:rPr>
          <w:color w:val="000000" w:themeColor="text1"/>
        </w:rPr>
        <w:t>,</w:t>
      </w:r>
      <w:r w:rsidR="00A144D2" w:rsidRPr="00E7337F">
        <w:rPr>
          <w:color w:val="000000" w:themeColor="text1"/>
        </w:rPr>
        <w:t xml:space="preserve"> </w:t>
      </w:r>
      <w:r w:rsidR="00A144D2" w:rsidRPr="00E7337F">
        <w:t xml:space="preserve">studies </w:t>
      </w:r>
      <w:r w:rsidR="005B0C54" w:rsidRPr="00E7337F">
        <w:t>are</w:t>
      </w:r>
      <w:r w:rsidR="00A144D2" w:rsidRPr="00E7337F">
        <w:t xml:space="preserve"> too underpowered to detect true effects</w:t>
      </w:r>
      <w:r w:rsidR="00D321FF" w:rsidRPr="00E7337F">
        <w:t xml:space="preserve"> </w:t>
      </w:r>
      <w:r w:rsidR="00D321FF" w:rsidRPr="00E7337F">
        <w:fldChar w:fldCharType="begin" w:fldLock="1"/>
      </w:r>
      <w:r w:rsidR="00071F56" w:rsidRPr="00E7337F">
        <w:instrText>ADDIN CSL_CITATION {"citationItems":[{"id":"ITEM-1","itemData":{"DOI":"10.1002/fee.1777","ISSN":"15409309","abstract":"Human behavior is responsible for many of our greatest environmental challenges. The accumulated effects of many individual and household decisions have major negative impacts on biodiversity and ecosystem health. Human behavioral science blends psychology and economics to understand how people respond to the context in which they make decisions (eg who presents the information and how it is framed). Behavioral insights have informed new strategies to improve personal health and financial choices. However, less is known about whether and how these insights can encourage choices that are better for the environment. We review 160 experimental interventions that attempt to alter behavior in six domains in which decisions have major environmental impacts: family planning, land management, meat consumption, transportation choices, waste production, and water use. The evidence suggests that social influence and simple adjustments to decision settings can influence pro?environmental decisions. We identify four important gaps in the evidence that provide opportunities for future research. To address these gaps, we encourage collaborations between researchers and practitioners that look at the effects of embedding tests of behavior?change interventions within environmental programs.","author":[{"dropping-particle":"","family":"Byerly","given":"Hilary","non-dropping-particle":"","parse-names":false,"suffix":""},{"dropping-particle":"","family":"Balmford","given":"Andrew","non-dropping-particle":"","parse-names":false,"suffix":""},{"dropping-particle":"","family":"Ferraro","given":"Paul J.","non-dropping-particle":"","parse-names":false,"suffix":""},{"dropping-particle":"","family":"Hammond Wagner","given":"Courtney","non-dropping-particle":"","parse-names":false,"suffix":""},{"dropping-particle":"","family":"Palchak","given":"Elizabeth","non-dropping-particle":"","parse-names":false,"suffix":""},{"dropping-particle":"","family":"Polasky","given":"Stephen","non-dropping-particle":"","parse-names":false,"suffix":""},{"dropping-particle":"","family":"Ricketts","given":"Taylor H.","non-dropping-particle":"","parse-names":false,"suffix":""},{"dropping-particle":"","family":"Schwartz","given":"Aaron J.","non-dropping-particle":"","parse-names":false,"suffix":""},{"dropping-particle":"","family":"Fisher","given":"Brendan","non-dropping-particle":"","parse-names":false,"suffix":""}],"container-title":"Frontiers in Ecology and the Environment","id":"ITEM-1","issue":"3","issued":{"date-parts":[["2018"]]},"page":"159-168","title":"Nudging pro-environmental behavior: evidence and opportunities","type":"article-journal","volume":"16"},"uris":["http://ww</w:instrText>
      </w:r>
      <w:r w:rsidR="00071F56" w:rsidRPr="009A691C">
        <w:rPr>
          <w:lang w:val="da-DK"/>
        </w:rPr>
        <w:instrText>w.mendeley.com/documents/?uuid=7ea6a6fb-5a02-42aa-a01f-90c862beb48b"]},{"id":"ITEM-2","itemData":{"ISSN":"0924-6460","author":[{"dropping-particle":"","family":"Palm-Forster","given":"Leah H","non-dropping-particle":"","parse-names":false,"suffix":""},{"dropping-particle":"","family":"Ferraro","given":"Paul J","non-dropping-particle":"","parse-names":false,"suffix":""},{"dropping-particle":"","family":"Janusch","given":"Nicholas","non-dropping-particle":"","parse-names":false,"suffix":""},{"dropping-particle":"","family":"Vossler","given":"Christian A","non-dropping-particle":"","parse-names":false,"suffix":""},{"dropping-particle":"","family":"Messer","given":"Kent D","non-dropping-particle":"","parse-names":false,"suffix":""}],"container-title":"Environmental and Resource Economics","id":"ITEM-2","issue":"3","issued":{"date-parts":[["2019"]]},"page":"719-742","title":"Behavioral and experimental agri-environmental research: methodological challenges, literature gaps, and recommendations","type":"article-journal","volume":"73"},"uris":["http://www.mendeley.com/documents/?uuid=ef09d8ef-3083-4e18-9bd9-225988888607"]}],"mendeley":{"formattedCitation":"(Byerly et al., 2018; Palm-Forster et al., 2019)","plainTextFormattedCitation":"(Byerly et al., 2018; Palm-Forster et al., 2019)","previouslyFormattedCitation":"(Byerly et al., 2018; Palm-Forster et al., 2019)"},"properties":{"noteIndex":0},"schema":"https://github.com/citation-style-language/schema/raw/master/csl-citation.json"}</w:instrText>
      </w:r>
      <w:r w:rsidR="00D321FF" w:rsidRPr="00E7337F">
        <w:fldChar w:fldCharType="separate"/>
      </w:r>
      <w:r w:rsidR="0086250C" w:rsidRPr="009A691C">
        <w:rPr>
          <w:noProof/>
          <w:lang w:val="da-DK"/>
        </w:rPr>
        <w:t>(Byerly et al., 2018; Palm-Forster et al., 2019)</w:t>
      </w:r>
      <w:r w:rsidR="00D321FF" w:rsidRPr="00E7337F">
        <w:fldChar w:fldCharType="end"/>
      </w:r>
      <w:r w:rsidR="00286072" w:rsidRPr="009A691C">
        <w:rPr>
          <w:color w:val="000000" w:themeColor="text1"/>
          <w:lang w:val="da-DK"/>
        </w:rPr>
        <w:t>,</w:t>
      </w:r>
      <w:r w:rsidR="00A144D2" w:rsidRPr="009A691C">
        <w:rPr>
          <w:color w:val="000000" w:themeColor="text1"/>
          <w:lang w:val="da-DK"/>
        </w:rPr>
        <w:t xml:space="preserve"> or</w:t>
      </w:r>
      <w:r w:rsidR="00286072" w:rsidRPr="009A691C">
        <w:rPr>
          <w:color w:val="000000" w:themeColor="text1"/>
          <w:lang w:val="da-DK"/>
        </w:rPr>
        <w:t xml:space="preserve"> effect</w:t>
      </w:r>
      <w:r w:rsidR="006443E4" w:rsidRPr="009A691C">
        <w:rPr>
          <w:color w:val="000000" w:themeColor="text1"/>
          <w:lang w:val="da-DK"/>
        </w:rPr>
        <w:t xml:space="preserve"> </w:t>
      </w:r>
      <w:r w:rsidR="00286072" w:rsidRPr="009A691C">
        <w:rPr>
          <w:color w:val="000000" w:themeColor="text1"/>
          <w:lang w:val="da-DK"/>
        </w:rPr>
        <w:t xml:space="preserve">sizes are </w:t>
      </w:r>
      <w:r w:rsidR="006B0A24" w:rsidRPr="009A691C">
        <w:rPr>
          <w:color w:val="000000" w:themeColor="text1"/>
          <w:lang w:val="da-DK"/>
        </w:rPr>
        <w:t xml:space="preserve">small </w:t>
      </w:r>
      <w:r w:rsidR="00286072" w:rsidRPr="00E7337F">
        <w:rPr>
          <w:color w:val="000000" w:themeColor="text1"/>
        </w:rPr>
        <w:fldChar w:fldCharType="begin" w:fldLock="1"/>
      </w:r>
      <w:r w:rsidR="00071F56" w:rsidRPr="009A691C">
        <w:rPr>
          <w:color w:val="000000" w:themeColor="text1"/>
          <w:lang w:val="da-DK"/>
        </w:rPr>
        <w:instrText>ADDIN CSL_CITATION {"citationItems":[{"id":"ITEM-1","itemData":{"DOI":"10.1038/s41467-019-12457-2","ISSN":"20411723","abstract":"No consensus exists regarding which are the most effective mechanisms to promote household action on climate change. We present a meta-analysis of randomised controlled trials comprising 3,092,678 observations, which estimates the effects of behavioural interventions holding other factors constant. Here we show that behavioural interventions promote climate change mitigation to a very small degree while the intervention lasts (d = −0.093 95% CI −0.160, −0.055), with no evidence of sustained positive effects once the intervention ends. With the exception of recycling, most household mitigation behaviours show a low behavioural plasticity. The intervention with the highest average effect size is choice architecture (nudges) but this strategy has been tested in a limited number of behaviours. Our results do not imply behavioural interventions are less effective than alternative strategies such as financial incentives or regulations, nor exclude the possibility that behavioural interventions could have stronger effects when used in combination with alternative strategies. It is not clear which are the most effective mechanisms to achieve sustainable lifestyle behaviour. Here the authors study the impact of behavioural interventions excluding economic incentives by performing a</w:instrText>
      </w:r>
      <w:r w:rsidR="00071F56" w:rsidRPr="00E7337F">
        <w:rPr>
          <w:color w:val="000000" w:themeColor="text1"/>
        </w:rPr>
        <w:instrText xml:space="preserve"> large-scale meta-analysis and find that these interventions promote sustainable behaviours to a small degree in the short-term with no evidence of sustained positive effects once the intervention is completed.","author":[{"dropping-particle":"","family":"Nisa","given":"Claudia F.","non-dropping-particle":"","parse-names":false,"suffix":""},{"dropping-particle":"","family":"Bélanger","given":"Jocelyn J.","non-dropping-particle":"","parse-names":false,"suffix":""},{"dropping-particle":"","family":"Schumpe","given":"Birga M.","non-dropping-particle":"","parse-names":false,"suffix":""},{"dropping-particle":"","family":"Faller","given":"Daiane G.","non-dropping-particle":"","parse-names":false,"suffix":""}],"container-title":"Nature Communications","id":"ITEM-1","issue":"1","issued":{"date-parts":[["2019"]]},"page":"4545","title":"Meta-analysis of randomised controlled trials testing behavioural interventions to promote household action on climate change","type":"article-journal","volume":"10"},"uris":["http://www.mendeley.com/documents/?uuid=4e908c20-bde9-43f2-9a8c-d044ac48f883"]},{"id":"ITEM-2","itemData":{"ISSN":"2041-1723","author":[{"dropping-particle":"","family":"Linden","given":"Sander","non-dropping-particle":"van der","parse-names":false,"suffix":""},{"dropping-particle":"","family":"Goldberg","given":"Matthew H","non-dropping-particle":"","parse-names":false,"suffix":""}],"container-title":"Nature Communications","id":"ITEM-2","issue":"1","issued":{"date-parts":[["2020"]]},"page":"1-2","title":"Alternative meta-analysis of behavioral interventions to promote action on climate change yields different conclusions","type":"article-journal","volume":"11"},"uris":["http://www.mendeley.com/documents/?uuid=e567d331-b00f-4fab-8d28-9bd24291828b"]}],"mendeley":{"formattedCitation":"(Nisa et al., 2019; van der Linden and Goldberg, 2020)","manualFormatting":"(Nisa et al. 2019, but see van der Linden &amp; Goldberg 2020)","plainTextFormattedCitation":"(Nisa et al., 2019; van der Linden and Goldberg, 2020)","previouslyFormattedCitation":"(Nisa et al., 2019; van der Linden and Goldberg, 2020)"},"properties":{"noteIndex":0},"schema":"https://github.com/citation-style-language/schema/raw/master/csl-citation.json"}</w:instrText>
      </w:r>
      <w:r w:rsidR="00286072" w:rsidRPr="00E7337F">
        <w:rPr>
          <w:color w:val="000000" w:themeColor="text1"/>
        </w:rPr>
        <w:fldChar w:fldCharType="separate"/>
      </w:r>
      <w:r w:rsidR="00286072" w:rsidRPr="00E7337F">
        <w:rPr>
          <w:noProof/>
          <w:color w:val="000000" w:themeColor="text1"/>
        </w:rPr>
        <w:t>(Nisa et al. 2019</w:t>
      </w:r>
      <w:r w:rsidR="00714210" w:rsidRPr="00E7337F">
        <w:rPr>
          <w:noProof/>
          <w:color w:val="000000" w:themeColor="text1"/>
        </w:rPr>
        <w:t>, but</w:t>
      </w:r>
      <w:r w:rsidR="00286072" w:rsidRPr="00E7337F">
        <w:rPr>
          <w:noProof/>
          <w:color w:val="000000" w:themeColor="text1"/>
        </w:rPr>
        <w:t xml:space="preserve"> see van der Linden &amp; Goldberg 2020)</w:t>
      </w:r>
      <w:r w:rsidR="00286072" w:rsidRPr="00E7337F">
        <w:rPr>
          <w:color w:val="000000" w:themeColor="text1"/>
        </w:rPr>
        <w:fldChar w:fldCharType="end"/>
      </w:r>
      <w:r w:rsidR="00A144D2" w:rsidRPr="00E7337F">
        <w:rPr>
          <w:color w:val="000000"/>
        </w:rPr>
        <w:t xml:space="preserve">. </w:t>
      </w:r>
      <w:r w:rsidR="009C4798" w:rsidRPr="00E7337F">
        <w:rPr>
          <w:color w:val="000000"/>
        </w:rPr>
        <w:t>S</w:t>
      </w:r>
      <w:r w:rsidRPr="00E7337F">
        <w:rPr>
          <w:color w:val="000000"/>
        </w:rPr>
        <w:t>ome evidence</w:t>
      </w:r>
      <w:r w:rsidR="009C4798" w:rsidRPr="00E7337F">
        <w:rPr>
          <w:color w:val="000000"/>
        </w:rPr>
        <w:t xml:space="preserve"> suggests that</w:t>
      </w:r>
      <w:r w:rsidRPr="00E7337F">
        <w:rPr>
          <w:color w:val="000000"/>
        </w:rPr>
        <w:t xml:space="preserve"> </w:t>
      </w:r>
      <w:r w:rsidR="005B0C54" w:rsidRPr="00E7337F">
        <w:rPr>
          <w:color w:val="000000"/>
        </w:rPr>
        <w:t>the latter</w:t>
      </w:r>
      <w:r w:rsidRPr="00E7337F">
        <w:rPr>
          <w:color w:val="000000"/>
        </w:rPr>
        <w:t xml:space="preserve"> is particularly </w:t>
      </w:r>
      <w:r w:rsidR="009C4798" w:rsidRPr="00E7337F">
        <w:rPr>
          <w:color w:val="000000"/>
        </w:rPr>
        <w:t>true of</w:t>
      </w:r>
      <w:r w:rsidRPr="00E7337F">
        <w:rPr>
          <w:color w:val="000000"/>
        </w:rPr>
        <w:t xml:space="preserve"> habitual behaviours</w:t>
      </w:r>
      <w:r w:rsidR="006B0A24" w:rsidRPr="00E7337F">
        <w:rPr>
          <w:color w:val="000000"/>
        </w:rPr>
        <w:t xml:space="preserve"> reinforced by the social or physical environment</w:t>
      </w:r>
      <w:r w:rsidRPr="00E7337F">
        <w:rPr>
          <w:color w:val="000000"/>
        </w:rPr>
        <w:t>, or whe</w:t>
      </w:r>
      <w:r w:rsidR="006B0A24" w:rsidRPr="00E7337F">
        <w:rPr>
          <w:color w:val="000000"/>
        </w:rPr>
        <w:t>n</w:t>
      </w:r>
      <w:r w:rsidRPr="00E7337F">
        <w:rPr>
          <w:color w:val="000000"/>
        </w:rPr>
        <w:t xml:space="preserve"> the benefits of behaviour change to the actor are limited or delayed </w:t>
      </w:r>
      <w:r w:rsidR="009C4798" w:rsidRPr="00E7337F">
        <w:rPr>
          <w:color w:val="000000" w:themeColor="text1"/>
        </w:rPr>
        <w:fldChar w:fldCharType="begin" w:fldLock="1"/>
      </w:r>
      <w:r w:rsidR="00071F56" w:rsidRPr="00E7337F">
        <w:rPr>
          <w:color w:val="000000" w:themeColor="text1"/>
        </w:rPr>
        <w:instrText>ADDIN CSL_CITATION {"citationItems":[{"id":"ITEM-1","itemData":{"ISSN":"0272-4944","author":[{"dropping-particle":"","family":"Verplanken","given":"Bas","non-dropping-particle":"","parse-names":false,"suffix":""},{"dropping-particle":"","family":"Walker","given":"Ian","non-dropping-particle":"","parse-names":false,"suffix":""},{"dropping-particle":"","family":"Davis","given":"Adrian","non-dropping-particle":"","parse-names":false,"suffix":""},{"dropping-particle":"","family":"Jurasek","given":"Michaela","non-dropping-particle":"","parse-names":false,"suffix":""}],"container-title":"Journal of Environmental Psychology","id":"ITEM-1","issue":"2","issued":{"date-parts":[["2008"]]},"page":"121-127","title":"Context change and travel mode choice: Combining the habit discontinuity and self-activation hypotheses","type":"article-journal","volume":"28"},"uris":["http://www.mendeley.com/documents/?uuid=7275a0c0-61dd-4bd2-abde-7ae1df7e8b9d"]},{"id":"ITEM-2","itemData":{"ISBN":"0036-8075","abstract":"Much of the global burden of disease is associated with behaviors - overeating, smoking, excessive alcohol consumption, and physical inactivity - that people recognize as health-harming and yet continue to engage in, even when undesired consequences emerge. To date, interventions aimed at changing such behaviors have largely encouraged people to reflect on their behaviors. These approaches are often ineffectual, which is in keeping with the observation thatmuch human behavior is automatic, cued by environmental stimuli, resulting in actions that are largely unaccompanied by conscious reflection. We propose that interventions targeting these automatic bases of behaviors may be more effective. We discuss specific interventions and suggest ways to determine whether and how interventions that target automatic processes can enhance global efforts to prevent disease.","author":[{"dropping-particle":"","family":"Marteau","given":"Theresa M.","non-dropping-particle":"","parse-names":false,"suffix":""},{"dropping-particle":"","family":"Hollands","given":"Gareth J.","non-dropping-particle":"","parse-names":false,"suffix":""},{"dropping-particle":"","family":"Fletcher","given":"Paul C.","non-dropping-particle":"","parse-names":false,"suffix":""}],"container-title":"Science","id":"ITEM-2","issue":"6101","issued":{"date-parts":[["2012"]]},"page":"1492-1495","title":"Changing human behavior to prevent disease: The importance of targeting automatic processes","type":"article-journal","volume":"337"},"uris":["http://www.mendeley.com/documents/?uuid=c3a772f4-b78e-4284-a9d6-ea904bbb006a"]}],"mendeley":{"formattedCitation":"(Marteau et al., 2012; Verplanken et al., 2008)","plainTextFormattedCitation":"(Marteau et al., 2012; Verplanken et al., 2008)","previouslyFormattedCitation":"(Marteau et al., 2012; Verplanken et al., 2008)"},"properties":{"noteIndex":0},"schema":"https://github.com/citation-style-language/schema/raw/master/csl-citation.json"}</w:instrText>
      </w:r>
      <w:r w:rsidR="009C4798" w:rsidRPr="00E7337F">
        <w:rPr>
          <w:color w:val="000000" w:themeColor="text1"/>
        </w:rPr>
        <w:fldChar w:fldCharType="separate"/>
      </w:r>
      <w:r w:rsidR="0086250C" w:rsidRPr="00E7337F">
        <w:rPr>
          <w:noProof/>
          <w:color w:val="000000" w:themeColor="text1"/>
        </w:rPr>
        <w:t>(Marteau et al., 2012; Verplanken et al., 2008)</w:t>
      </w:r>
      <w:r w:rsidR="009C4798" w:rsidRPr="00E7337F">
        <w:rPr>
          <w:color w:val="000000" w:themeColor="text1"/>
        </w:rPr>
        <w:fldChar w:fldCharType="end"/>
      </w:r>
      <w:r w:rsidRPr="00E7337F">
        <w:rPr>
          <w:color w:val="000000"/>
        </w:rPr>
        <w:t xml:space="preserve">. </w:t>
      </w:r>
      <w:r w:rsidR="007D5B48" w:rsidRPr="00E7337F">
        <w:rPr>
          <w:color w:val="000000"/>
        </w:rPr>
        <w:t xml:space="preserve">Effects may also wane over time </w:t>
      </w:r>
      <w:r w:rsidR="007D5B48" w:rsidRPr="00E7337F">
        <w:rPr>
          <w:color w:val="000000"/>
        </w:rPr>
        <w:fldChar w:fldCharType="begin" w:fldLock="1"/>
      </w:r>
      <w:r w:rsidR="00071F56" w:rsidRPr="00E7337F">
        <w:rPr>
          <w:color w:val="000000"/>
        </w:rPr>
        <w:instrText>ADDIN CSL_CITATION {"citationItems":[{"id":"ITEM-1","itemData":{"ISSN":"0168-7034","author":[{"dropping-particle":"","family":"Bernedo","given":"Maria","non-dropping-particle":"","parse-names":false,"suffix":""},{"dropping-particle":"","family":"Ferraro","given":"Paul J","non-dropping-particle":"","parse-names":false,"suffix":""},{"dropping-particle":"","family":"Price","given":"Michael","non-dropping-particle":"","parse-names":false,"suffix":""}],"container-title":"Journal of Consumer Policy","id":"ITEM-1","issue":"3","issued":{"date-parts":[["2014"]]},"page":"437-452","title":"The persistent impacts of norm-based messaging and their implications for water conservation","type":"article-journal","volume":"37"},"uris":["http://www.mendeley.com/documents/?uuid=fd4ecc99-6435-4aff-91c5-8bce2823abe5"]},{"id":"ITEM-2","itemData":{"DOI":"10.1162/REST_a_00344","ISSN":"00346535","abstract":"Policymakers are increasingly using norm-based messages to influence individual decision making. We partner with a metropolitan water utility to implement a natural field experiment to examine the effect of such messages on residential water demand. The data, drawn from more than 100,000 households, indicate that social comparison messages had a greater influence on behavior than simple prosocial messages or technical information alone. Moreover, our data suggest that social comparison messages are most effective among households identified as the least price sensitive: high users. Yet the effectiveness of such messages wanes over time. Our results thus highlight important complementarities between pecuniary and nonpecuniary strategies. © 2013 by the President and Fellows of Harvard College and the Massachusetts Institute of Technology.","author":[{"dropping-particle":"","family":"Ferraro","given":"Paul J.","non-dropping-particle":"","parse-names":false,"suffix":""},{"dropping-particle":"","family":"Price","given":"Michael K.","non-dropping-particle":"","parse-names":false,"suffix":""}],"container-title":"Review of Economics and Statistics","id":"ITEM-2","issue":"1","issued":{"date-parts":[["2013"]]},"page":"64-73","title":"Using nonpecuniary strategies to influence behavior: Evidence from a large-scale field experiment","type":"article-journal","volume":"95"},"uris":["http://www.mendeley.com/documents/?uuid=a4d5eb82-f854-439c-a779-ace8c3fe665f"]}],"mendeley":{"formattedCitation":"(Bernedo et al., 2014; Ferraro and Price, 2013)","plainTextFormattedCitation":"(Bernedo et al., 2014; Ferraro and Price, 2013)","previouslyFormattedCitation":"(Bernedo et al., 2014; Ferraro and Price, 2013)"},"properties":{"noteIndex":0},"schema":"https://github.com/citation-style-language/schema/raw/master/csl-citation.json"}</w:instrText>
      </w:r>
      <w:r w:rsidR="007D5B48" w:rsidRPr="00E7337F">
        <w:rPr>
          <w:color w:val="000000"/>
        </w:rPr>
        <w:fldChar w:fldCharType="separate"/>
      </w:r>
      <w:r w:rsidR="0086250C" w:rsidRPr="00E7337F">
        <w:rPr>
          <w:noProof/>
          <w:color w:val="000000"/>
        </w:rPr>
        <w:t>(Bernedo et al., 2014; Ferraro and Price, 2013)</w:t>
      </w:r>
      <w:r w:rsidR="007D5B48" w:rsidRPr="00E7337F">
        <w:rPr>
          <w:color w:val="000000"/>
        </w:rPr>
        <w:fldChar w:fldCharType="end"/>
      </w:r>
      <w:r w:rsidR="007D5B48" w:rsidRPr="00E7337F">
        <w:rPr>
          <w:color w:val="000000"/>
        </w:rPr>
        <w:t xml:space="preserve">, particularly if a treatment is withdrawn or if it requires maintenance to remain functional </w:t>
      </w:r>
      <w:r w:rsidR="007D5B48" w:rsidRPr="00E7337F">
        <w:rPr>
          <w:color w:val="000000"/>
        </w:rPr>
        <w:fldChar w:fldCharType="begin" w:fldLock="1"/>
      </w:r>
      <w:r w:rsidR="00071F56" w:rsidRPr="00E7337F">
        <w:rPr>
          <w:color w:val="000000"/>
        </w:rPr>
        <w:instrText>ADDIN CSL_CITATION {"citationItems":[{"id":"ITEM-1","itemData":{"ISSN":"1758-6798","author":[{"dropping-particle":"","family":"Linden","given":"Sander","non-dropping-particle":"van der","parse-names":false,"suffix":""}],"container-title":"Nature Climate Change","id":"ITEM-1","issue":"7","issued":{"date-parts":[["2015"]]},"page":"612-613","title":"Intrinsic motivation and pro-environmental behaviour","type":"article-journal","volume":"5"},"uris":["http://www.mendeley.com/documents/?uuid=eab8844e-775e-4269-8bb4-be7dd13ccd5a"]},{"id":"ITEM-2","itemData":{"DOI":"10.1257/pol.20140008","ISSN":"1945774X","abstract":"Laboratory studies suggest that improved cooking stoves can reduce indoor air pollution, improve health, and decrease greenhouse gas emissions in developing countries. We provide evidence, from a large-scale randomized trial in India, on the benefits of a common, laboratory-validated stove with a four-year follow-up. While smoke inhalation initially falls, this effect disappears by year two. We find no changes across health outcomes or greenhouse gas emissions. Households used the stoves irregularly and inappropriately, failed to maintain them, and usage declined over time. This study underscores the need to test environmental technologies in real-world settings where behavior may undermine potential impacts.","author":[{"dropping-particle":"","family":"Hanna","given":"Rema","non-dropping-particle":"","parse-names":false,"suffix":""},{"dropping-particle":"","family":"Duflo","given":"Esther","non-dropping-particle":"","parse-names":false,"suffix":""},{"dropping-particle":"","family":"Greenstone","given":"Michael","non-dropping-particle":"","parse-names":false,"suffix":""}],"container-title":"American Economic Journal: Economic Policy","id":"ITEM-2","issue":"1","issued":{"date-parts":[["2016"]]},"page":"80-114","title":"Up in smoke: The influence of household behavior on the long-run impact of improved cooking stoves","type":"article-journal","volume":"8"},"uris":["http://www.mendeley.com/documents/?uuid=2de9d2f6-60e0-485f-a33f-e51da4a01e8e"]}],"mendeley":{"formattedCitation":"(Hanna et al., 2016; van der Linden, 2015)","plainTextFormattedCitation":"(Hanna et al., 2016; van der Linden, 2015)","previouslyFormattedCitation":"(Hanna et al., 2016; van der Linden, 2015)"},"properties":{"noteIndex":0},"schema":"https://github.com/citation-style-language/schema/raw/master/csl-citation.json"}</w:instrText>
      </w:r>
      <w:r w:rsidR="007D5B48" w:rsidRPr="00E7337F">
        <w:rPr>
          <w:color w:val="000000"/>
        </w:rPr>
        <w:fldChar w:fldCharType="separate"/>
      </w:r>
      <w:r w:rsidR="0086250C" w:rsidRPr="00E7337F">
        <w:rPr>
          <w:noProof/>
          <w:color w:val="000000"/>
        </w:rPr>
        <w:t>(Hanna et al., 2016; van der Linden, 2015)</w:t>
      </w:r>
      <w:r w:rsidR="007D5B48" w:rsidRPr="00E7337F">
        <w:rPr>
          <w:color w:val="000000"/>
        </w:rPr>
        <w:fldChar w:fldCharType="end"/>
      </w:r>
      <w:r w:rsidR="007D5B48" w:rsidRPr="00E7337F">
        <w:rPr>
          <w:color w:val="000000"/>
        </w:rPr>
        <w:t>.</w:t>
      </w:r>
    </w:p>
    <w:p w14:paraId="11BBEE6A" w14:textId="415AF5C8" w:rsidR="00450CA8" w:rsidRPr="00E7337F" w:rsidRDefault="00A144D2" w:rsidP="00950E9F">
      <w:pPr>
        <w:spacing w:after="0" w:line="480" w:lineRule="auto"/>
        <w:ind w:firstLine="720"/>
        <w:rPr>
          <w:color w:val="000000"/>
        </w:rPr>
      </w:pPr>
      <w:r w:rsidRPr="00E7337F">
        <w:rPr>
          <w:color w:val="000000"/>
        </w:rPr>
        <w:t>Importantly, t</w:t>
      </w:r>
      <w:r w:rsidR="00492111" w:rsidRPr="00E7337F">
        <w:rPr>
          <w:color w:val="000000"/>
        </w:rPr>
        <w:t>he</w:t>
      </w:r>
      <w:r w:rsidR="00EE12F8" w:rsidRPr="00E7337F">
        <w:rPr>
          <w:color w:val="000000"/>
        </w:rPr>
        <w:t xml:space="preserve"> effects </w:t>
      </w:r>
      <w:r w:rsidR="00257AE1" w:rsidRPr="00E7337F">
        <w:rPr>
          <w:color w:val="000000"/>
        </w:rPr>
        <w:t xml:space="preserve">of behaviour change interventions </w:t>
      </w:r>
      <w:r w:rsidR="00EE12F8" w:rsidRPr="00E7337F">
        <w:rPr>
          <w:color w:val="000000"/>
        </w:rPr>
        <w:t>are</w:t>
      </w:r>
      <w:r w:rsidR="00257AE1" w:rsidRPr="00E7337F">
        <w:rPr>
          <w:color w:val="000000"/>
        </w:rPr>
        <w:t xml:space="preserve"> typically</w:t>
      </w:r>
      <w:r w:rsidR="00EE12F8" w:rsidRPr="00E7337F">
        <w:rPr>
          <w:color w:val="000000"/>
        </w:rPr>
        <w:t xml:space="preserve"> context- and actor-dependent. </w:t>
      </w:r>
      <w:r w:rsidR="00257AE1" w:rsidRPr="00E7337F">
        <w:rPr>
          <w:color w:val="000000"/>
        </w:rPr>
        <w:t>For example</w:t>
      </w:r>
      <w:r w:rsidR="00EE12F8" w:rsidRPr="00E7337F">
        <w:rPr>
          <w:color w:val="000000"/>
        </w:rPr>
        <w:t xml:space="preserve">, the </w:t>
      </w:r>
      <w:r w:rsidR="00CE5D6D" w:rsidRPr="00E7337F">
        <w:rPr>
          <w:color w:val="000000"/>
        </w:rPr>
        <w:t xml:space="preserve">remarkable </w:t>
      </w:r>
      <w:r w:rsidR="00EE12F8" w:rsidRPr="00E7337F">
        <w:rPr>
          <w:color w:val="000000"/>
        </w:rPr>
        <w:t>impact of subtle linguistic cues</w:t>
      </w:r>
      <w:r w:rsidR="00EE12F8" w:rsidRPr="00E7337F">
        <w:t xml:space="preserve"> on voter turnout </w:t>
      </w:r>
      <w:r w:rsidR="007D5B48" w:rsidRPr="00E7337F">
        <w:t xml:space="preserve">in the United States </w:t>
      </w:r>
      <w:r w:rsidR="00EE12F8" w:rsidRPr="00E7337F">
        <w:t xml:space="preserve">revealed by one study </w:t>
      </w:r>
      <w:r w:rsidR="001E57A0" w:rsidRPr="00E7337F">
        <w:fldChar w:fldCharType="begin" w:fldLock="1"/>
      </w:r>
      <w:r w:rsidR="00071F56" w:rsidRPr="00E7337F">
        <w:instrText>ADDIN CSL_CITATION {"citationItems":[{"id":"ITEM-1","itemData":{"DOI":"10.1073/pnas.1103343108","ISSN":"00278424","PMID":"21768362","abstract":"Three randomized experiments found that subtle linguistic cues have the power to increase voting and related behavior. The phrasing of survey items was varied to frame voting either as the enactment of a personal identity (e.g., \"being a voter\") or as simply a behavior (e.g., \"voting\"). As predicted, the personal-identity phrasing significantly increased interest in registering to vote (experiment 1) and, in two statewide elections in the United States, voter turnout as assessed by official state records (experiments 2 and 3). These results provide evidence that people are continually managing their self-concepts, seeking to assume or affirm valued personal identities. The results further demonstrate how this process can be channeled to motivate important socially relevant behavior.","author":[{"dropping-particle":"","family":"Bryan","given":"Christopher J.","non-dropping-particle":"","parse-names":false,"suffix":""},{"dropping-particle":"","family":"Walton","given":"Gregory M.","non-dropping-particle":"","parse-names":false,"suffix":""},{"dropping-particle":"","family":"Rogers","given":"Todd","non-dropping-particle":"","parse-names":false,"suffix":""},{"dropping-particle":"","family":"Dweck","given":"Carol S.","non-dropping-particle":"","parse-names":false,"suffix":""}],"container-title":"Proceedings of the National Academy of Sciences","id":"ITEM-1","issue":"31","issued":{"date-parts":[["2011"]]},"page":"12653-12656","title":"Motivating voter turnout by invoking the self","type":"article-journal","volume":"108"},"uris":["http://www.mendeley.com/documents/?uuid=ec90f688-60da-4620-acff-4d9e8086042e"]}],"mendeley":{"formattedCitation":"(Bryan et al., 2011)","plainTextFormattedCitation":"(Bryan et al., 2011)","previouslyFormattedCitation":"(Bryan et al., 2011)"},"properties":{"noteIndex":0},"schema":"https://github.com/citation-style-language/schema/raw/master/csl-citation.json"}</w:instrText>
      </w:r>
      <w:r w:rsidR="001E57A0" w:rsidRPr="00E7337F">
        <w:fldChar w:fldCharType="separate"/>
      </w:r>
      <w:r w:rsidR="0086250C" w:rsidRPr="00E7337F">
        <w:rPr>
          <w:noProof/>
        </w:rPr>
        <w:t>(Bryan et al., 2011)</w:t>
      </w:r>
      <w:r w:rsidR="001E57A0" w:rsidRPr="00E7337F">
        <w:fldChar w:fldCharType="end"/>
      </w:r>
      <w:r w:rsidR="001E57A0" w:rsidRPr="00E7337F">
        <w:t xml:space="preserve"> could not be replicated in a second </w:t>
      </w:r>
      <w:r w:rsidR="001E57A0" w:rsidRPr="00E7337F">
        <w:fldChar w:fldCharType="begin" w:fldLock="1"/>
      </w:r>
      <w:r w:rsidR="00071F56" w:rsidRPr="00E7337F">
        <w:instrText>ADDIN CSL_CITATION {"citationItems":[{"id":"ITEM-1","itemData":{"DOI":"10.1073/pnas.1513727113","ISSN":"10916490","PMID":"27298362","abstract":"One of the most important recent developments in social psychology is the discovery of minor interventions that have large and enduring effects on behavior. A leading example of this class of results is in the work by Bryan et al. [Bryan CJ, Walton GM, Rogers T, Dweck CS (2011) Proc Natl Acad Sci USA 108(31):12653-12656], which shows that administering a set of survey items worded so that subjects think of themselves as voters (noun treatment) rather than as voting (verb treatment) substantially increases political participation (voter turnout) among subjects. We revisit these experiments by replicating and extending their research design in a large-scale field experiment. In contrast to the 11 to 14% point greater turnout among those exposed to the noun rather than the verb treatment reported in the work by Bryan et al., we find no statistically significant difference in turnout between the noun and verb treatments (the point estimate of the difference is approximately zero). Furthermore, when we benchmark these treatments against a standard get out the vote message, we estimate that both are less effective at increasing turnout than a much shorter basic mobilization message. In our conclusion, we detail how our study differs from the work by Bryan et al. and discuss how our results might be interpreted.","author":[{"dropping-particle":"","family":"Gerber","given":"Alan S.","non-dropping-particle":"","parse-names":false,"suffix":""},{"dropping-particle":"","family":"Huber","given":"Gregory A.","non-dropping-particle":"","parse-names":false,"suffix":""},{"dropping-particle":"","family":"Biggers","given":"Daniel R.","non-dropping-particle":"","parse-names":false,"suffix":""}],"container-title":"Proceedings of the National Academy of Sciences","id":"ITEM-1","issue":"26","issued":{"date-parts":[["2016"]]},"page":"7112-7117","title":"A field experiment shows that subtle linguistic cues might not affect voter behavior","type":"article-journal","volume":"113"},"uris":["http://www.mendeley.com/documents/?uuid=7007985e-5402-47c3-a12c-29658a3ec75d"]}],"mendeley":{"formattedCitation":"(Gerber et al., 2016)","plainTextFormattedCitation":"(Gerber et al., 2016)","previouslyFormattedCitation":"(Gerber et al., 2016)"},"properties":{"noteIndex":0},"schema":"https://github.com/citation-style-language/schema/raw/master/csl-citation.json"}</w:instrText>
      </w:r>
      <w:r w:rsidR="001E57A0" w:rsidRPr="00E7337F">
        <w:fldChar w:fldCharType="separate"/>
      </w:r>
      <w:r w:rsidR="0086250C" w:rsidRPr="00E7337F">
        <w:rPr>
          <w:noProof/>
        </w:rPr>
        <w:t>(Gerber et al., 2016)</w:t>
      </w:r>
      <w:r w:rsidR="001E57A0" w:rsidRPr="00E7337F">
        <w:fldChar w:fldCharType="end"/>
      </w:r>
      <w:r w:rsidR="00EE12F8" w:rsidRPr="00E7337F">
        <w:t xml:space="preserve">; and </w:t>
      </w:r>
      <w:r w:rsidR="00EE12F8" w:rsidRPr="00E7337F">
        <w:rPr>
          <w:color w:val="000000"/>
        </w:rPr>
        <w:t>placing vegetarian meals before meat dishes in buffets increased vegetarian sales in one cafeteria but not another</w:t>
      </w:r>
      <w:r w:rsidR="00A12410" w:rsidRPr="00E7337F">
        <w:rPr>
          <w:color w:val="000000"/>
        </w:rPr>
        <w:t xml:space="preserve"> </w:t>
      </w:r>
      <w:r w:rsidR="00D318F1" w:rsidRPr="00E7337F">
        <w:rPr>
          <w:color w:val="000000"/>
        </w:rPr>
        <w:t>at</w:t>
      </w:r>
      <w:r w:rsidR="00A12410" w:rsidRPr="00E7337F">
        <w:rPr>
          <w:color w:val="000000"/>
        </w:rPr>
        <w:t xml:space="preserve"> the same university</w:t>
      </w:r>
      <w:r w:rsidR="00EE12F8" w:rsidRPr="00E7337F">
        <w:rPr>
          <w:color w:val="000000"/>
        </w:rPr>
        <w:t xml:space="preserve"> </w:t>
      </w:r>
      <w:r w:rsidR="001E57A0" w:rsidRPr="00E7337F">
        <w:rPr>
          <w:color w:val="000000" w:themeColor="text1"/>
        </w:rPr>
        <w:fldChar w:fldCharType="begin" w:fldLock="1"/>
      </w:r>
      <w:r w:rsidR="00071F56" w:rsidRPr="00E7337F">
        <w:rPr>
          <w:color w:val="000000" w:themeColor="text1"/>
        </w:rPr>
        <w:instrText>ADDIN CSL_CITATION {"citationItems":[{"id":"ITEM-1","itemData":{"DOI":"10.1038/s43016-020-0132-8","ISSN":"2662-1355","author":[{"dropping-particle":"","family":"Garnett","given":"Emma E","non-dropping-particle":"","parse-names":false,"suffix":""},{"dropping-particle":"","family":"Marteau","given":"Theresa M","non-dropping-particle":"","parse-names":false,"suffix":""},{"dropping-particle":"","family":"Sandbrook","given":"Chris","non-dropping-particle":"","parse-names":false,"suffix":""},{"dropping-particle":"","family":"Pilling","given":"Mark A","non-dropping-particle":"","parse-names":false,"suffix":""},{"dropping-particle":"","family":"Balmford","given":"Andrew","non-dropping-particle":"","parse-names":false,"suffix":""}],"container-title":"Nature Food","id":"ITEM-1","issue":"August","issued":{"date-parts":[["2020"]]},"page":"485-488","title":"Order of meals at the counter and distance between options affect student cafeteria vegetarian sales","type":"article-journal","volume":"1"},"uris":["http://www.mendeley.com/documents/?uuid=50e85037-34cd-4e46-98a9-2c6d87509037"]}],"mendeley":{"formattedCitation":"(Garnett et al., 2020)","plainTextFormattedCitation":"(Garnett et al., 2020)","previouslyFormattedCitation":"(Garnett et al., 2020)"},"properties":{"noteIndex":0},"schema":"https://github.com/citation-style-language/schema/raw/master/csl-citation.json"}</w:instrText>
      </w:r>
      <w:r w:rsidR="001E57A0" w:rsidRPr="00E7337F">
        <w:rPr>
          <w:color w:val="000000" w:themeColor="text1"/>
        </w:rPr>
        <w:fldChar w:fldCharType="separate"/>
      </w:r>
      <w:r w:rsidR="0086250C" w:rsidRPr="00E7337F">
        <w:rPr>
          <w:noProof/>
          <w:color w:val="000000" w:themeColor="text1"/>
        </w:rPr>
        <w:t>(Garnett et al., 2020)</w:t>
      </w:r>
      <w:r w:rsidR="001E57A0" w:rsidRPr="00E7337F">
        <w:rPr>
          <w:color w:val="000000" w:themeColor="text1"/>
        </w:rPr>
        <w:fldChar w:fldCharType="end"/>
      </w:r>
      <w:r w:rsidR="00EE12F8" w:rsidRPr="00E7337F">
        <w:rPr>
          <w:color w:val="000000"/>
        </w:rPr>
        <w:t xml:space="preserve">. </w:t>
      </w:r>
      <w:r w:rsidR="00955EC8" w:rsidRPr="00E7337F">
        <w:rPr>
          <w:color w:val="000000" w:themeColor="text1"/>
        </w:rPr>
        <w:t>Individual studies</w:t>
      </w:r>
      <w:r w:rsidR="006443E4" w:rsidRPr="00E7337F">
        <w:rPr>
          <w:color w:val="000000" w:themeColor="text1"/>
        </w:rPr>
        <w:t xml:space="preserve"> may</w:t>
      </w:r>
      <w:r w:rsidR="00955EC8" w:rsidRPr="00E7337F">
        <w:rPr>
          <w:color w:val="000000" w:themeColor="text1"/>
        </w:rPr>
        <w:t xml:space="preserve"> thus have low external validity, and the power of interventions tested in other contexts needs to be explicitly evaluated, not assumed</w:t>
      </w:r>
      <w:r w:rsidR="00955EC8" w:rsidRPr="00E7337F">
        <w:t xml:space="preserve"> </w:t>
      </w:r>
      <w:r w:rsidR="009C4798" w:rsidRPr="00E7337F">
        <w:fldChar w:fldCharType="begin" w:fldLock="1"/>
      </w:r>
      <w:r w:rsidR="00071F56" w:rsidRPr="00E7337F">
        <w:instrText>ADDIN CSL_CITATION {"citationItems":[{"id":"ITEM-1","itemData":{"DOI":"10.1038/s41562-018-0399-z","ISSN":"2397-3374","author":[{"dropping-particle":"","family":"Camerer","given":"Colin F.","non-dropping-particle":"","parse-names":false,"suffix":""},{"dropping-particle":"","family":"Dreber","given":"Anna","non-dropping-particle":"","parse-names":false,"suffix":""},{"dropping-particle":"","family":"Holzmeister","given":"Felix","non-dropping-particle":"","parse-names":false,"suffix":""},{"dropping-particle":"","family":"Ho","given":"Teck-Hua","non-dropping-particle":"","parse-names":false,"suffix":""},{"dropping-particle":"","family":"Huber","given":"Jürgen","non-dropping-particle":"","parse-names":false,"suffix":""},{"dropping-particle":"","family":"Johannesson","given":"Magnus","non-dropping-particle":"","parse-names":false,"suffix":""},{"dropping-particle":"","family":"Kirchler","given":"Michael","non-dropping-particle":"","parse-names":false,"suffix":""},{"dropping-particle":"","family":"Nave","given":"Gideon","non-dropping-particle":"","parse-names":false,"suffix":""},{"dropping-particle":"","family":"Nosek","given":"Brian A.","non-dropping-particle":"","parse-names":false,"suffix":""},{"dropping-particle":"","family":"Pfeiffer","given":"Thomas","non-dropping-particle":"","parse-names":false,"suffix":""},{"dropping-particle":"","family":"Altmejd","given":"Adam","non-dropping-particle":"","parse-names":false,"suffix":""},{"dropping-particle":"","family":"Buttrick","given":"Nick","non-dropping-particle":"","parse-names":false,"suffix":""},{"dropping-particle":"","family":"Chan","given":"Taizan","non-dropping-particle":"","parse-names":false,"suffix":""},{"dropping-particle":"","family":"Chen","given":"Yiling","non-dropping-particle":"","parse-names":false,"suffix":""},{"dropping-particle":"","family":"Forsell","given":"Eskil","non-dropping-particle":"","parse-names":false,"suffix":""},{"dropping-particle":"","family":"Gampa","given":"Anup","non-dropping-particle":"","parse-names":false,"suffix":""},{"dropping-particle":"","family":"Heikensten","given":"Emma","non-dropping-particle":"","parse-names":false,"suffix":""},{"dropping-particle":"","family":"Hummer","given":"Lily","non-dropping-particle":"","parse-names":false,"suffix":""},{"dropping-particle":"","family":"Imai","given":"Taisuke","non-dropping-particle":"","parse-names":false,"suffix":""},{"dropping-particle":"","family":"Isaksson","given":"Siri","non-dropping-particle":"","parse-names":false,"suffix":""},{"dropping-particle":"","family":"Manfredi","given":"Dylan","non-dropping-particle":"","parse-names":false,"suffix":""},{"dropping-particle":"","family":"Rose","given":"Julia","non-dropping-particle":"","parse-names":false,"suffix":""},{"dropping-particle":"","family":"Wagenmakers","given":"Eric-Jan","non-dropping-particle":"","parse-names":false,"suffix":""},{"dropping-particle":"","family":"Wu","given":"Hang","non-dropping-particle":"","parse-names":false,"suffix":""}],"container-title":"Nature Human Behaviour","id":"ITEM-1","issued":{"date-parts":[["2018"]]},"page":"637-644","title":"Evaluating the replicability of social science experiments in Nature and Science between 2010 and 2015","type":"article-journal","volume":"2"},"uris":["http://www.mendeley.com/documents/?uuid=be4ad180-d852-43b2-a018-2501b3a62d65"]},{"id":"ITEM-2","itemData":{"DOI":"10.1017/S0140525X0999152X","ISBN":"0140-525X","ISSN":"14691825","PMID":"20550733","abstract":"Behavioral scientists routinely publish broad claims about human psychology and behavior in the world’s top journals based on samples drawn entirely from Western, Educated, Industrialized, Rich and Democratic (WEIRD) societies. Researchers - often implicitly - assume that either there is little variation across human populations, or that these “standard subjects” are as representative of the species as any other population. Are these assumptions justified? Here, our review of the comparative database from across the behavioral sciences suggests both that there is substantial variability in experimental results across populations and that WEIRD subjects are particularly unusual compared with the rest of the species - frequent outliers. The domains reviewed include visual perception, fairness, cooperation, spatial reasoning, categorization and inferential induction, moral reasoning, reasoning styles, self-concepts and related motivations, and the heritability of IQ. The findings suggest that members of WEIRD societies, including young children, are among the least representative populations one could find for generalizing about humans. Many of these findings involve domains that are associated with fundamental aspects of psychology, motivation, and behavior - hence, there are no obvious a priori grounds for claiming that a particular behavioral phenomenon is universal based on sampling from a single subpopulation. Overall, these empirical patterns suggests that we need to be less cavalier in addressing questions of human nature on the basis of data drawn from this particularly thin, and rather unusual, slice of humanity. We close by proposing ways to structurally re‐organize the behavioral sciences to best tackle these challenges.","author":[{"dropping-particle":"","family":"Henrich","given":"Joseph","non-dropping-particle":"","parse-names":false,"suffix":""},{"dropping-particle":"","family":"Heine","given":"Steven J.","non-dropping-particle":"","parse-names":false,"suffix":""},{"dropping-particle":"","family":"Norenzayan","given":"Ara","non-dropping-particle":"","parse-names":false,"suffix":""}],"container-title":"Behavioral and Brain Sciences","id":"ITEM-2","issue":"2-3","issued":{"date-parts":[["2010"]]},"page":"61-83","title":"The weirdest people in the world?","type":"article-journal","volume":"33"},"uris":["http://www.mendeley.com/documents/?uuid=81b8a293-ee1c-48c2-a122-acc69c40bfdb"]}],"mendeley":{"formattedCitation":"(Camerer et al., 2018; Henrich et al., 2010)","plainTextFormattedCitation":"(Camerer et al., 2018; Henrich et al., 2010)","previouslyFormattedCitation":"(Camerer et al., 2018; Henrich et al., 2010)"},"properties":{"noteIndex":0},"schema":"https://github.com/citation-style-language/schema/raw/master/csl-citation.json"}</w:instrText>
      </w:r>
      <w:r w:rsidR="009C4798" w:rsidRPr="00E7337F">
        <w:fldChar w:fldCharType="separate"/>
      </w:r>
      <w:r w:rsidR="0086250C" w:rsidRPr="00E7337F">
        <w:rPr>
          <w:noProof/>
        </w:rPr>
        <w:t>(Camerer et al., 2018; Henrich et al., 2010)</w:t>
      </w:r>
      <w:r w:rsidR="009C4798" w:rsidRPr="00E7337F">
        <w:fldChar w:fldCharType="end"/>
      </w:r>
      <w:r w:rsidR="009C4798" w:rsidRPr="00E7337F">
        <w:t>.</w:t>
      </w:r>
      <w:r w:rsidR="00EE12F8" w:rsidRPr="00E7337F">
        <w:t xml:space="preserve"> </w:t>
      </w:r>
      <w:r w:rsidR="007D5B48" w:rsidRPr="00E7337F">
        <w:rPr>
          <w:color w:val="000000"/>
        </w:rPr>
        <w:t>Taken together</w:t>
      </w:r>
      <w:r w:rsidR="00EE12F8" w:rsidRPr="00E7337F">
        <w:rPr>
          <w:color w:val="000000"/>
        </w:rPr>
        <w:t xml:space="preserve">, </w:t>
      </w:r>
      <w:r w:rsidR="000008FB" w:rsidRPr="00E7337F">
        <w:rPr>
          <w:color w:val="000000"/>
        </w:rPr>
        <w:t xml:space="preserve">these considerations suggest that </w:t>
      </w:r>
      <w:r w:rsidR="00EE12F8" w:rsidRPr="00E7337F">
        <w:rPr>
          <w:color w:val="000000"/>
        </w:rPr>
        <w:t>conservationists interested in shifting human behaviours may be well advised to implement multiple (though separately tested) interventions, each</w:t>
      </w:r>
      <w:r w:rsidR="00EE12F8" w:rsidRPr="00E7337F">
        <w:t xml:space="preserve"> with a</w:t>
      </w:r>
      <w:r w:rsidR="00EE12F8" w:rsidRPr="00E7337F">
        <w:rPr>
          <w:color w:val="000000"/>
        </w:rPr>
        <w:t xml:space="preserve"> potentially small</w:t>
      </w:r>
      <w:r w:rsidRPr="00E7337F">
        <w:rPr>
          <w:color w:val="000000"/>
        </w:rPr>
        <w:t xml:space="preserve"> but</w:t>
      </w:r>
      <w:r w:rsidR="00EE12F8" w:rsidRPr="00E7337F">
        <w:rPr>
          <w:color w:val="000000"/>
        </w:rPr>
        <w:t xml:space="preserve"> additive effect </w:t>
      </w:r>
      <w:r w:rsidR="009C4798" w:rsidRPr="00E7337F">
        <w:rPr>
          <w:color w:val="000000" w:themeColor="text1"/>
        </w:rPr>
        <w:fldChar w:fldCharType="begin" w:fldLock="1"/>
      </w:r>
      <w:r w:rsidR="00B40551" w:rsidRPr="00E7337F">
        <w:rPr>
          <w:color w:val="000000" w:themeColor="text1"/>
        </w:rPr>
        <w:instrText>ADDIN CSL_CITATION {"citationItems":[{"id":"ITEM-1","itemData":{"DOI":"10.1162/REST_a_00344","ISSN":"00346535","abstract":"Policymakers are increasingly using norm-based messages to influence individual decision making. We partner with a metropolitan water utility to implement a natural field experiment to examine the effect of such messages on residential water demand. The data, drawn from more than 100,000 households, indicate that social comparison messages had a greater influence on behavior than simple prosocial messages or technical information alone. Moreover, our data suggest that social comparison messages are most effective among households identified as the least price sensitive: high users. Yet the effectiveness of such messages wanes over time. Our results thus highlight important complementarities between pecuniary and nonpecuniary strategies. © 2013 by the President and Fellows of Harvard College and the Massachusetts Institute of Technology.","author":[{"dropping-particle":"","family":"Ferraro","given":"Paul J.","non-dropping-particle":"","parse-names":false,"suffix":""},{"dropping-particle":"","family":"Price","given":"Michael K.","non-dropping-particle":"","parse-names":false,"suffix":""}],"container-title":"Review of Economics and Statistics","id":"ITEM-1","issue":"1","issued":{"date-parts":[["2013"]]},"page":"64-73","title":"Using nonpecuniary strategies to influence behavior: Evidence from a large-scale field experiment","type":"article-journal","volume":"95"},"uris":["http://www.mendeley.com/documents/?uuid=a4d5eb82-f854-439c-a779-ace8c3fe665f"]},{"id":"ITEM-2","itemData":{"DOI":"10.1111/csp2.248","author":[{"dropping-particle":"","family":"Thomas-Walters","given":"Laura","non-dropping-particle":"","parse-names":false,"suffix":""},{"dropping-particle":"","family":"Roberts","given":"David","non-dropping-particle":"","parse-names":false,"suffix":""},{"dropping-particle":"","family":"Smith","given":"Robert J","non-dropping-particle":"","parse-names":false,"suffix":""}],"container-title":"Conservation Science and Practice","id":"ITEM-2","issue":"9","issued":{"date-parts":[["2020"]]},"page":"e248","title":"Taking a more nuanced look at behavior change for demand reduction in the illegal wildlife trade","type":"article-journal","volume":"2"},"uris":["http://www.mendeley.com/documents/?uuid=d21454a6-8033-476f-bb5f-aff6284118ca"]}],"mendeley":{"formattedCitation":"(Ferraro and Price, 2013; Thomas-Walters et al., 2020b)","plainTextFormattedCitation":"(Ferraro and Price, 2013; Thomas-Walters et al., 2020b)","previouslyFormattedCitation":"(Ferraro and Price, 2013; Thomas-Walters et al., 2020b)"},"properties":{"noteIndex":0},"schema":"https://github.com/citation-style-language/schema/raw/master/csl-citation.json"}</w:instrText>
      </w:r>
      <w:r w:rsidR="009C4798" w:rsidRPr="00E7337F">
        <w:rPr>
          <w:color w:val="000000" w:themeColor="text1"/>
        </w:rPr>
        <w:fldChar w:fldCharType="separate"/>
      </w:r>
      <w:r w:rsidR="0086250C" w:rsidRPr="00E7337F">
        <w:rPr>
          <w:noProof/>
          <w:color w:val="000000" w:themeColor="text1"/>
        </w:rPr>
        <w:t>(Ferraro and Price, 2013; Thomas-Walters et al., 2020b)</w:t>
      </w:r>
      <w:r w:rsidR="009C4798" w:rsidRPr="00E7337F">
        <w:rPr>
          <w:color w:val="000000" w:themeColor="text1"/>
        </w:rPr>
        <w:fldChar w:fldCharType="end"/>
      </w:r>
      <w:r w:rsidR="00825FF3" w:rsidRPr="00E7337F">
        <w:rPr>
          <w:color w:val="000000" w:themeColor="text1"/>
        </w:rPr>
        <w:t>.</w:t>
      </w:r>
    </w:p>
    <w:p w14:paraId="71B61E1D" w14:textId="77777777" w:rsidR="00450CA8" w:rsidRPr="00E7337F" w:rsidRDefault="00450CA8" w:rsidP="00950E9F">
      <w:pPr>
        <w:spacing w:after="0" w:line="480" w:lineRule="auto"/>
        <w:rPr>
          <w:color w:val="000000"/>
        </w:rPr>
      </w:pPr>
    </w:p>
    <w:p w14:paraId="72AE34EB" w14:textId="2083FABB" w:rsidR="00450CA8" w:rsidRPr="00E7337F" w:rsidRDefault="00CB6397" w:rsidP="00950E9F">
      <w:pPr>
        <w:spacing w:after="0" w:line="480" w:lineRule="auto"/>
        <w:rPr>
          <w:b/>
          <w:bCs/>
          <w:color w:val="000000"/>
        </w:rPr>
      </w:pPr>
      <w:r w:rsidRPr="00E7337F">
        <w:rPr>
          <w:b/>
          <w:bCs/>
          <w:color w:val="000000"/>
        </w:rPr>
        <w:lastRenderedPageBreak/>
        <w:t xml:space="preserve">9. </w:t>
      </w:r>
      <w:r w:rsidR="00EE12F8" w:rsidRPr="00E7337F">
        <w:rPr>
          <w:b/>
          <w:bCs/>
          <w:color w:val="000000"/>
        </w:rPr>
        <w:t xml:space="preserve">Growing the field </w:t>
      </w:r>
    </w:p>
    <w:p w14:paraId="20311B47" w14:textId="50FD0773" w:rsidR="00450CA8" w:rsidRPr="00E7337F" w:rsidRDefault="00EE12F8" w:rsidP="00950E9F">
      <w:pPr>
        <w:spacing w:after="0" w:line="480" w:lineRule="auto"/>
        <w:rPr>
          <w:color w:val="000000"/>
        </w:rPr>
      </w:pPr>
      <w:r w:rsidRPr="00E7337F">
        <w:rPr>
          <w:color w:val="000000"/>
        </w:rPr>
        <w:t xml:space="preserve">This review has illustrated the potential of behaviour change interventions in conservation, their diversity, and crucially, some of their limitations. We also hope that it provides some guidance on how to select promising interventions </w:t>
      </w:r>
      <w:r w:rsidRPr="00E7337F">
        <w:t>by</w:t>
      </w:r>
      <w:r w:rsidRPr="00E7337F">
        <w:rPr>
          <w:color w:val="000000"/>
        </w:rPr>
        <w:t xml:space="preserve"> characterizing the dynamics of the focal threats, identifying actors and behaviours, considering a wide range of candidate interventions, and prioritising among them based on their likely impact, fe</w:t>
      </w:r>
      <w:r w:rsidRPr="00E7337F">
        <w:t>asibility</w:t>
      </w:r>
      <w:r w:rsidR="004301DF" w:rsidRPr="00E7337F">
        <w:t>,</w:t>
      </w:r>
      <w:r w:rsidRPr="00E7337F">
        <w:t xml:space="preserve"> and cost</w:t>
      </w:r>
      <w:r w:rsidRPr="00E7337F">
        <w:rPr>
          <w:color w:val="000000"/>
        </w:rPr>
        <w:t xml:space="preserve">. Given its potential societal benefits, and the methodological and conceptual insights that might emerge from working in a diverse array of field settings, we hope that devising and testing interventions to avert the extinction crisis </w:t>
      </w:r>
      <w:r w:rsidR="00B25E66" w:rsidRPr="00E7337F">
        <w:rPr>
          <w:color w:val="000000"/>
        </w:rPr>
        <w:t xml:space="preserve">can </w:t>
      </w:r>
      <w:r w:rsidR="00861E5B" w:rsidRPr="00E7337F">
        <w:rPr>
          <w:color w:val="000000"/>
        </w:rPr>
        <w:t xml:space="preserve">also </w:t>
      </w:r>
      <w:r w:rsidR="00B25E66" w:rsidRPr="00E7337F">
        <w:rPr>
          <w:color w:val="000000"/>
        </w:rPr>
        <w:t>motivate</w:t>
      </w:r>
      <w:r w:rsidRPr="00E7337F">
        <w:rPr>
          <w:color w:val="000000"/>
        </w:rPr>
        <w:t xml:space="preserve"> behavioural scientists</w:t>
      </w:r>
      <w:r w:rsidR="00B25E66" w:rsidRPr="00E7337F">
        <w:rPr>
          <w:color w:val="000000"/>
        </w:rPr>
        <w:t xml:space="preserve"> to become </w:t>
      </w:r>
      <w:r w:rsidR="00A144D2" w:rsidRPr="00E7337F">
        <w:rPr>
          <w:color w:val="000000"/>
        </w:rPr>
        <w:t>more</w:t>
      </w:r>
      <w:r w:rsidR="00B25E66" w:rsidRPr="00E7337F">
        <w:rPr>
          <w:color w:val="000000"/>
        </w:rPr>
        <w:t xml:space="preserve"> engaged in biodiversity conservation </w:t>
      </w:r>
      <w:r w:rsidR="004301DF" w:rsidRPr="00E7337F">
        <w:rPr>
          <w:color w:val="000000"/>
        </w:rPr>
        <w:fldChar w:fldCharType="begin" w:fldLock="1"/>
      </w:r>
      <w:r w:rsidR="005706F2" w:rsidRPr="00E7337F">
        <w:rPr>
          <w:color w:val="000000"/>
        </w:rPr>
        <w:instrText>ADDIN CSL_CITATION {"citationItems":[{"id":"ITEM-1","itemData":{"author":[{"dropping-particle":"","family":"Nielsen","given":"Kristian S.","non-dropping-particle":"","parse-names":false,"suffix":""},{"dropping-particle":"","family":"Marteau","given":"Theresa M.","non-dropping-particle":"","parse-names":false,"suffix":""},{"dropping-particle":"","family":"Bauer","given":"Jan M.","non-dropping-particle":"","parse-names":false,"suffix":""},{"dropping-particle":"","family":"Bradbury","given":"Richard","non-dropping-particle":"","parse-names":false,"suffix":""},{"dropping-particle":"","family":"Broad","given":"Steven","non-dropping-particle":"","parse-names":false,"suffix":""},{"dropping-particle":"","family":"Burgess","given":"Gayle","non-dropping-particle":"","parse-names":false,"suffix":""},{"dropping-particle":"","family":"Burgman","given":"Mark","non-dropping-particle":"","parse-names":false,"suffix":""},{"dropping-particle":"","family":"Byerly","given":"Hilary","non-dropping-particle":"","parse-names":false,"suffix":""},{"dropping-particle":"","family":"Clayton","given":"Susan","non-dropping-particle":"","parse-names":false,"suffix":""},{"dropping-particle":"","family":"Espelosin","given":"Dulce","non-dropping-particle":"","parse-names":false,"suffix":""},{"dropping-particle":"","family":"Ferraro","given":"Paul J.","non-dropping-particle":"","parse-names":false,"suffix":""},{"dropping-particle":"","family":"Fisher","given":"Brendan","non-dropping-particle":"","parse-names":false,"suffix":""},{"dropping-particle":"","family":"Garnett","given":"Emma E.","non-dropping-particle":"","parse-names":false,"suffix":""},{"dropping-particle":"","family":"Jones","given":"Julia P. G.","non-dropping-particle":"","parse-names":false,"suffix":""},{"dropping-particle":"","family":"Otieno","given":"Mark","non-dropping-particle":"","parse-names":false,"suffix":""},{"dropping-particle":"","family":"Polasky","given":"Stephen","non-dropping-particle":"","parse-names":false,"suffix":""},{"dropping-particle":"","family":"Ricketts","given":"Taylor H.","non-dropping-particle":"","parse-names":false,"suffix":""},{"dropping-particle":"","family":"Trevelyan","given":"Rosie","non-dropping-particle":"","parse-names":false,"suffix":""},{"dropping-particle":"van der","family":"Linden","given":"Sander","non-dropping-particle":"","parse-names":false,"suffix":""},{"dropping-particle":"","family":"Verissimo","given":"Diogo","non-dropping-particle":"","parse-names":false,"suffix":""},{"dropping-particle":"","family":"Balmford","given":"Andrew","non-dropping-particle":"","parse-names":false,"suffix":""}],"container-title":"Nature Human Behaviour","id":"ITEM-1","issued":{"date-parts":[["2021"]]},"page":"550-556","title":"Biodiversity conservation as a promising frontier for behavioural science","type":"article-journal","volume":"5"},"uris":["http://www.mendeley.com/documents/?uuid=ef07622d-58b2-491d-8de2-d609e8a60de6"]}],"mendeley":{"formattedCitation":"(Nielsen et al., 2021b)","plainTextFormattedCitation":"(Nielsen et al., 2021b)","previouslyFormattedCitation":"(Nielsen et al., 2021b)"},"properties":{"noteIndex":0},"schema":"https://github.com/citation-style-language/schema/raw/master/csl-citation.json"}</w:instrText>
      </w:r>
      <w:r w:rsidR="004301DF" w:rsidRPr="00E7337F">
        <w:rPr>
          <w:color w:val="000000"/>
        </w:rPr>
        <w:fldChar w:fldCharType="separate"/>
      </w:r>
      <w:r w:rsidR="00072CF5" w:rsidRPr="00E7337F">
        <w:rPr>
          <w:noProof/>
          <w:color w:val="000000"/>
        </w:rPr>
        <w:t>(Nielsen et al., 2021b)</w:t>
      </w:r>
      <w:r w:rsidR="004301DF" w:rsidRPr="00E7337F">
        <w:rPr>
          <w:color w:val="000000"/>
        </w:rPr>
        <w:fldChar w:fldCharType="end"/>
      </w:r>
      <w:r w:rsidRPr="00E7337F">
        <w:rPr>
          <w:color w:val="000000"/>
        </w:rPr>
        <w:t xml:space="preserve">.   </w:t>
      </w:r>
    </w:p>
    <w:p w14:paraId="0AAA0268" w14:textId="687ABB83" w:rsidR="00872A55" w:rsidRPr="00E7337F" w:rsidRDefault="00EE12F8" w:rsidP="00950E9F">
      <w:pPr>
        <w:spacing w:after="0" w:line="480" w:lineRule="auto"/>
        <w:ind w:firstLine="720"/>
        <w:rPr>
          <w:color w:val="000000"/>
        </w:rPr>
      </w:pPr>
      <w:r w:rsidRPr="00E7337F">
        <w:rPr>
          <w:color w:val="000000"/>
        </w:rPr>
        <w:t>We close by stressing the clear need for learning by doing</w:t>
      </w:r>
      <w:r w:rsidR="008C7963" w:rsidRPr="00E7337F">
        <w:rPr>
          <w:color w:val="000000"/>
        </w:rPr>
        <w:t xml:space="preserve"> </w:t>
      </w:r>
      <w:r w:rsidR="00336903" w:rsidRPr="00E7337F">
        <w:rPr>
          <w:color w:val="000000"/>
        </w:rPr>
        <w:t>–</w:t>
      </w:r>
      <w:r w:rsidR="008C7963" w:rsidRPr="00E7337F">
        <w:rPr>
          <w:color w:val="000000"/>
        </w:rPr>
        <w:t xml:space="preserve"> </w:t>
      </w:r>
      <w:r w:rsidRPr="00E7337F">
        <w:rPr>
          <w:color w:val="000000"/>
        </w:rPr>
        <w:t xml:space="preserve">testing and reporting on interventions applied within real-world conservation programmes. </w:t>
      </w:r>
      <w:r w:rsidR="00A655B0" w:rsidRPr="00E7337F">
        <w:rPr>
          <w:color w:val="000000"/>
        </w:rPr>
        <w:t>Like other fields</w:t>
      </w:r>
      <w:r w:rsidR="00861E5B" w:rsidRPr="00E7337F">
        <w:rPr>
          <w:color w:val="000000"/>
        </w:rPr>
        <w:t>, b</w:t>
      </w:r>
      <w:r w:rsidRPr="00E7337F">
        <w:rPr>
          <w:color w:val="000000"/>
        </w:rPr>
        <w:t xml:space="preserve">ehavioural science faces significant challenges of generalisability and reproducibility </w:t>
      </w:r>
      <w:r w:rsidR="001E57A0" w:rsidRPr="00E7337F">
        <w:rPr>
          <w:color w:val="000000" w:themeColor="text1"/>
        </w:rPr>
        <w:fldChar w:fldCharType="begin" w:fldLock="1"/>
      </w:r>
      <w:r w:rsidR="00071F56" w:rsidRPr="00E7337F">
        <w:rPr>
          <w:color w:val="000000" w:themeColor="text1"/>
        </w:rPr>
        <w:instrText>ADDIN CSL_CITATION {"citationItems":[{"id":"ITEM-1","itemData":{"DOI":"10.1177/0956797611417632","author":[{"dropping-particle":"","family":"Simmons","given":"Joseph P","non-dropping-particle":"","parse-names":false,"suffix":""},{"dropping-particle":"","family":"Nelson","given":"Leif D","non-dropping-particle":"","parse-names":false,"suffix":""},{"dropping-particle":"","family":"Simonsohn","given":"Uri","non-dropping-particle":"","parse-names":false,"suffix":""}],"container-title":"Psychological Science","id":"ITEM-1","issue":"11","issued":{"date-parts":[["2011"]]},"page":"1359-1366","title":"False-positive psychology: Undisclosed flexibility in data collection and analysis allows presenting anything as significant","type":"article-journal","volume":"22"},"uris":["http://www.mendeley.com/documents/?uuid=52324956-34e4-4e5e-9017-040a3bc61ba4"]},{"id":"ITEM-2","itemData":{"DOI":"10.1017/S0140525X0999152X","ISBN":"0140-525X","ISSN":"14691825","PMID":"20550733","abstract":"Behavioral scientists routinely publish broad claims about human psychology and behavior in the world’s top journals based on samples drawn entirely from Western, Educated, Industrialized, Rich and Democratic (WEIRD) societies. Researchers - often implicitly - assume that either there is little variation across human populations, or that these “standard subjects” are as representative of the species as any other population. Are these assumptions justified? Here, our review of the comparative database from across the behavioral sciences suggests both that there is substantial variability in experimental results across populations and that WEIRD subjects are particularly unusual compared with the rest of the species - frequent outliers. The domains reviewed include visual perception, fairness, cooperation, spatial reasoning, categorization and inferential induction, moral reasoning, reasoning styles, self-concepts and related motivations, and the heritability of IQ. The findings suggest that members of WEIRD societies, including young children, are among the least representative populations one could find for generalizing about humans. Many of these findings involve domains that are associated with fundamental aspects of psychology, motivation, and behavior - hence, there are no obvious a priori grounds for claiming that a particular behavioral phenomenon is universal based on sampling from a single subpopulation. Overall, these empirical patterns suggests that we need to be less cavalier in addressing questions of human nature on the basis of data drawn from this particularly thin, and rather unusual, slice of humanity. We close by proposing ways to structurally re‐organize the behavioral sciences to best tackle these challenges.","author":[{"dropping-particle":"","family":"Henrich","given":"Joseph","non-dropping-particle":"","parse-names":false,"suffix":""},{"dropping-particle":"","family":"Heine","given":"Steven J.","non-dropping-particle":"","parse-names":false,"suffix":""},{"dropping-particle":"","family":"Norenzayan","given":"Ara","non-dropping-particle":"","parse-names":false,"suffix":""}],"container-title":"Behavioral and Brain Sciences","id":"ITEM-2","issue":"2-3","issued":{"date-parts":[["2010"]]},"page":"61-83","title":"The weirdest people in the world?","type":"article-journal","volume":"33"},"uris":["http://www.mendeley.com/documents/?uuid=81b8a293-ee1c-48c2-a122-acc69c40bfdb"]},{"id":"ITEM-3","itemData":{"author":[{"dropping-particle":"","family":"Nelson","given":"Leif D","non-dropping-particle":"","parse-names":false,"suffix":""},{"dropping-particle":"","family":"Simmons","given":"Joseph","non-dropping-particle":"","parse-names":false,"suffix":""},{"dropping-particle":"","family":"Simonsohn","given":"Uri","non-dropping-particle":"","parse-names":false,"suffix":""}],"container-title":"Annual Review of Psychology","id":"ITEM-3","issue":"5","issued":{"date-parts":[["2018"]]},"page":"11-34","title":"Psychology’s renaissance","type":"article-journal","volume":"69"},"uris":["http://www.mendeley.com/documents/?uuid=ae36a231-50e8-4856-88af-65c3f96dee69"]}],"mendeley":{"formattedCitation":"(Henrich et al., 2010; Nelson et al., 2018; Simmons et al., 2011)","plainTextFormattedCitation":"(Henrich et al., 2010; Nelson et al., 2018; Simmons et al., 2011)","previouslyFormattedCitation":"(Henrich et al., 2010; Nelson et al., 2018; Simmons et al., 2011)"},"properties":{"noteIndex":0},"schema":"https://github.com/citation-style-language/schema/raw/master/csl-citation.json"}</w:instrText>
      </w:r>
      <w:r w:rsidR="001E57A0" w:rsidRPr="00E7337F">
        <w:rPr>
          <w:color w:val="000000" w:themeColor="text1"/>
        </w:rPr>
        <w:fldChar w:fldCharType="separate"/>
      </w:r>
      <w:r w:rsidR="0086250C" w:rsidRPr="00E7337F">
        <w:rPr>
          <w:noProof/>
          <w:color w:val="000000" w:themeColor="text1"/>
        </w:rPr>
        <w:t>(Henrich et al., 2010; Nelson et al., 2018; Simmons et al., 2011)</w:t>
      </w:r>
      <w:r w:rsidR="001E57A0" w:rsidRPr="00E7337F">
        <w:rPr>
          <w:color w:val="000000" w:themeColor="text1"/>
        </w:rPr>
        <w:fldChar w:fldCharType="end"/>
      </w:r>
      <w:r w:rsidRPr="00E7337F">
        <w:rPr>
          <w:color w:val="000000"/>
        </w:rPr>
        <w:t xml:space="preserve">. Given that </w:t>
      </w:r>
      <w:r w:rsidR="004D2F27" w:rsidRPr="00E7337F">
        <w:rPr>
          <w:color w:val="000000"/>
        </w:rPr>
        <w:t xml:space="preserve">evidence </w:t>
      </w:r>
      <w:r w:rsidRPr="00E7337F">
        <w:rPr>
          <w:color w:val="000000"/>
        </w:rPr>
        <w:t xml:space="preserve">is especially limited in conservation </w:t>
      </w:r>
      <w:r w:rsidR="00B25E66" w:rsidRPr="00E7337F">
        <w:rPr>
          <w:color w:val="000000"/>
        </w:rPr>
        <w:fldChar w:fldCharType="begin" w:fldLock="1"/>
      </w:r>
      <w:r w:rsidR="00071F56" w:rsidRPr="00E7337F">
        <w:rPr>
          <w:color w:val="000000"/>
        </w:rPr>
        <w:instrText>ADDIN CSL_CITATION {"citationItems":[{"id":"ITEM-1","itemData":{"DOI":"10.1002/fee.1777","ISSN":"15409309","abstract":"Human behavior is responsible for many of our greatest environmental challenges. The accumulated effects of many individual and household decisions have major negative impacts on biodiversity and ecosystem health. Human behavioral science blends psychology and economics to understand how people respond to the context in which they make decisions (eg who presents the information and how it is framed). Behavioral insights have informed new strategies to improve personal health and financial choices. However, less is known about whether and how these insights can encourage choices that are better for the environment. We review 160 experimental interventions that attempt to alter behavior in six domains in which decisions have major environmental impacts: family planning, land management, meat consumption, transportation choices, waste production, and water use. The evidence suggests that social influence and simple adjustments to decision settings can influence pro?environmental decisions. We identify four important gaps in the evidence that provide opportunities for future research. To address these gaps, we encourage collaborations between researchers and practitioners that look at the effects of embedding tests of behavior?change interventions within environmental programs.","author":[{"dropping-particle":"","family":"Byerly","given":"Hilary","non-dropping-particle":"","parse-names":false,"suffix":""},{"dropping-particle":"","family":"Balmford","given":"Andrew","non-dropping-particle":"","parse-names":false,"suffix":""},{"dropping-particle":"","family":"Ferraro","given":"Paul J.","non-dropping-particle":"","parse-names":false,"suffix":""},{"dropping-particle":"","family":"Hammond Wagner","given":"Courtney","non-dropping-particle":"","parse-names":false,"suffix":""},{"dropping-particle":"","family":"Palchak","given":"Elizabeth","non-dropping-particle":"","parse-names":false,"suffix":""},{"dropping-particle":"","family":"Polasky","given":"Stephen","non-dropping-particle":"","parse-names":false,"suffix":""},{"dropping-particle":"","family":"Ricketts","given":"Taylor H.","non-dropping-particle":"","parse-names":false,"suffix":""},{"dropping-particle":"","family":"Schwartz","given":"Aaron J.","non-dropping-particle":"","parse-names":false,"suffix":""},{"dropping-particle":"","family":"Fisher","given":"Brendan","non-dropping-particle":"","parse-names":false,"suffix":""}],"container-title":"Frontiers in Ecology and the Environment","id":"ITEM-1","issue":"3","issued":{"date-parts":[["2018"]]},"page":"159-168","title":"Nudging pro-environmental behavior: evidence and opportunities","type":"article-journal","volume":"16"},"uris":["http://www.mendeley.com/documents/?uuid=7ea6a6fb-5a02-42aa-a01f-90c862beb48b"]},{"id":"ITEM-2","itemData":{"ISSN":"0924-6460","author":[{"dropping-particle":"","family":"Palm-Forster","given":"Leah H","non-dropping-particle":"","parse-names":false,"suffix":""},{"dropping-particle":"","family":"Ferraro","given":"Paul J","non-dropping-particle":"","parse-names":false,"suffix":""},{"dropping-particle":"","family":"Janusch","given":"Nicholas","non-dropping-particle":"","parse-names":false,"suffix":""},{"dropping-particle":"","family":"Vossler","given":"Christian A","non-dropping-particle":"","parse-names":false,"suffix":""},{"dropping-particle":"","family":"Messer","given":"Kent D","non-dropping-particle":"","parse-names":false,"suffix":""}],"container-title":"Environmental and Resource Economics","id":"ITEM-2","issue":"3","issued":{"date-parts":[["2019"]]},"page":"719-742","title":"Behavioral and experimental agri-environmental research: methodological challenges, literature gaps, and recommendations","type":"article-journal","volume":"73"},"uris":["http://www.mendeley.com/documents/?uuid=ef09d8ef-3083-4e18-9bd9-225988888607"]}],"mendeley":{"formattedCitation":"(Byerly et al., 2018; Palm-Forster et al., 2019)","plainTextFormattedCitation":"(Byerly et al., 2018; Palm-Forster et al., 2019)","previouslyFormattedCitation":"(Byerly et al., 2018; Palm-Forster et al., 2019)"},"properties":{"noteIndex":0},"schema":"https://github.com/citation-style-language/schema/raw/master/csl-citation.json"}</w:instrText>
      </w:r>
      <w:r w:rsidR="00B25E66" w:rsidRPr="00E7337F">
        <w:rPr>
          <w:color w:val="000000"/>
        </w:rPr>
        <w:fldChar w:fldCharType="separate"/>
      </w:r>
      <w:r w:rsidR="0086250C" w:rsidRPr="00E7337F">
        <w:rPr>
          <w:noProof/>
          <w:color w:val="000000"/>
        </w:rPr>
        <w:t>(Byerly et al., 2018; Palm-Forster et al., 2019)</w:t>
      </w:r>
      <w:r w:rsidR="00B25E66" w:rsidRPr="00E7337F">
        <w:rPr>
          <w:color w:val="000000"/>
        </w:rPr>
        <w:fldChar w:fldCharType="end"/>
      </w:r>
      <w:r w:rsidRPr="00E7337F">
        <w:rPr>
          <w:color w:val="000000"/>
        </w:rPr>
        <w:t xml:space="preserve">, we urgently need to build an evidence base </w:t>
      </w:r>
      <w:r w:rsidR="00B25E66" w:rsidRPr="00E7337F">
        <w:rPr>
          <w:color w:val="000000" w:themeColor="text1"/>
        </w:rPr>
        <w:fldChar w:fldCharType="begin" w:fldLock="1"/>
      </w:r>
      <w:r w:rsidR="00071F56" w:rsidRPr="00E7337F">
        <w:rPr>
          <w:color w:val="000000" w:themeColor="text1"/>
        </w:rPr>
        <w:instrText>ADDIN CSL_CITATION {"citationItems":[{"id":"ITEM-1","itemData":{"ISSN":"1545-7885","author":[{"dropping-particle":"","family":"Ferraro","given":"Paul J","non-dropping-particle":"","parse-names":false,"suffix":""},{"dropping-particle":"","family":"Pattanayak","given":"Subhrendu K","non-dropping-particle":"","parse-names":false,"suffix":""}],"container-title":"PLoS Biol","id":"ITEM-1","issue":"4","issued":{"date-parts":[["2006"]]},"page":"e105","title":"Money for nothing? A call for empirical evaluation of biodiversity conservation investments","type":"article-journal","volume":"4"},"uris":["http://www.mendeley.com/documents/?uuid=f071d6e0-4721-44f6-a45d-c747345ed54c"]},{"id":"ITEM-2","itemData":{"DOI":"10.1177/1524500417734806","ISSN":"15394093","abstract":"There is a growing realization among conservationists that human behavior is the main driver of all key threats to biodiversity and the environment. This realization has led to an escalation of the efforts to influence human behavior toward the adoption of more sustainable alternatives, more recently through the use of social marketing theory and tools. However, these initiatives have traditionally suffered from a lack of robust impact evaluation, which limits not only accountability but also a practitioner’s ability to learn and improve over time. We evaluated three social marketing campaigns conducted in the Philippines, which aimed at increasing the sustainability of local fisheries. To achieve this, we used the results not only from questionnaire surveys but also from biological and enforcement data. We found that although there is some evidence of impact around human behavior and perceptions of conservation results, those changes did not translate into biological outcomes during the 2-year time frame considered in this evaluation. We discuss many of the barriers to causal inference that still remain, particularly if causal links between outcomes and specific interventions are to be drawn, but also showcase how this current methodology can help us go further than the more basic approaches to impact evaluation commonly used. Lastly, we highlight a number of lessons learned from this experience in seeking a practical, ethical, and effective approach to impact evaluation.","author":[{"dropping-particle":"","family":"Veríssimo","given":"Diogo","non-dropping-particle":"","parse-names":false,"suffix":""},{"dropping-particle":"","family":"Bianchessi","given":"Annalisa","non-dropping-particle":"","parse-names":false,"suffix":""},{"dropping-particle":"","family":"Arrivillaga","given":"Alejandro","non-dropping-particle":"","parse-names":false,"suffix":""},{"dropping-particle":"","family":"Cadiz","given":"Fel Ceasar","non-dropping-particle":"","parse-names":false,"suffix":""},{"dropping-particle":"","family":"Mancao","given":"Roquelito","non-dropping-particle":"","parse-names":false,"suffix":""},{"dropping-particle":"","family":"Green","given":"Kevin","non-dropping-particle":"","parse-names":false,"suffix":""}],"container-title":"Social Marketing Quarterly","id":"ITEM-2","issue":"1","issued":{"date-parts":[["2018"]]},"page":"18-34","title":"Does it work for biodiversity? Experiences and challenges in the evaluation of social marketing campaigns","type":"article-journal","volume":"24"},"uris":["http://www.mendeley.com/documents/?uuid=0743d7ae-0b2d-4051-9008-bb1144638f84"]}],"mendeley":{"formattedCitation":"(Ferraro and Pattanayak, 2006; Veríssimo et al., 2018a)","plainTextFormattedCitation":"(Ferraro and Pattanayak, 2006; Veríssimo et al., 2018a)","previouslyFormattedCitation":"(Ferraro and Pattanayak, 2006; Veríssimo et al., 2018a)"},"properties":{"noteIndex":0},"schema":"https://github.com/citation-style-language/schema/raw/master/csl-citation.json"}</w:instrText>
      </w:r>
      <w:r w:rsidR="00B25E66" w:rsidRPr="00E7337F">
        <w:rPr>
          <w:color w:val="000000" w:themeColor="text1"/>
        </w:rPr>
        <w:fldChar w:fldCharType="separate"/>
      </w:r>
      <w:r w:rsidR="0086250C" w:rsidRPr="00E7337F">
        <w:rPr>
          <w:noProof/>
          <w:color w:val="000000" w:themeColor="text1"/>
        </w:rPr>
        <w:t>(Ferraro and Pattanayak, 2006; Veríssimo et al., 2018a)</w:t>
      </w:r>
      <w:r w:rsidR="00B25E66" w:rsidRPr="00E7337F">
        <w:rPr>
          <w:color w:val="000000" w:themeColor="text1"/>
        </w:rPr>
        <w:fldChar w:fldCharType="end"/>
      </w:r>
      <w:r w:rsidRPr="00E7337F">
        <w:rPr>
          <w:color w:val="000000"/>
        </w:rPr>
        <w:t>. Where possible,</w:t>
      </w:r>
      <w:r w:rsidR="004D2F27" w:rsidRPr="00E7337F">
        <w:rPr>
          <w:color w:val="000000"/>
        </w:rPr>
        <w:t xml:space="preserve"> behaviour change</w:t>
      </w:r>
      <w:r w:rsidRPr="00E7337F">
        <w:rPr>
          <w:color w:val="000000"/>
        </w:rPr>
        <w:t xml:space="preserve"> interventions should be tested singly (rather than in bundles), in adequately powered experiments or quasi-experiments, delivered in field settings, and involving real-world actors </w:t>
      </w:r>
      <w:r w:rsidR="00A13E00" w:rsidRPr="00E7337F">
        <w:rPr>
          <w:color w:val="000000" w:themeColor="text1"/>
        </w:rPr>
        <w:fldChar w:fldCharType="begin" w:fldLock="1"/>
      </w:r>
      <w:r w:rsidR="00071F56" w:rsidRPr="00E7337F">
        <w:rPr>
          <w:color w:val="000000" w:themeColor="text1"/>
        </w:rPr>
        <w:instrText>ADDIN CSL_CITATION {"citationItems":[{"id":"ITEM-1","itemData":{"DOI":"10.1111/conl.12180","ISSN":"1755263X","abstract":"An important part of conservation practice is the empirical evaluation of program and policy impacts. Understanding why conservation programs succeed or fail is essential for designing cost-effective initiatives and for improving the livelihoods of natural resource users. The evidence we seek can be generated with modern impact evaluation designs. Such designs measure causal effects of specific interventions by comparing outcomes with the interventions to outcomes in credible counterfactual scenarios. Good designs also identify the conditions under which the causal effect arises. Despite a critical need for empirical evidence, conservation science has been slow to adopt these impact evaluation designs. We identify reasons for the slow rate of adoption and provide suggestions for mainstreaming impact evaluation in nature conservation.","author":[{"dropping-particle":"","family":"Baylis","given":"Kathy","non-dropping-particle":"","parse-names":false,"suffix":""},{"dropping-particle":"","family":"Honey-Rosés","given":"Jordi","non-dropping-particle":"","parse-names":false,"suffix":""},{"dropping-particle":"","family":"Börner","given":"Jan","non-dropping-particle":"","parse-names":false,"suffix":""},{"dropping-particle":"","family":"Corbera","given":"Esteve","non-dropping-particle":"","parse-names":false,"suffix":""},{"dropping-particle":"","family":"Ezzine-de-Blas","given":"Driss","non-dropping-particle":"","parse-names":false,"suffix":""},{"dropping-particle":"","family":"Ferraro","given":"Paul J.","non-dropping-particle":"","parse-names":false,"suffix":""},{"dropping-particle":"","family":"Lapeyre","given":"Renaud","non-dropping-particle":"","parse-names":false,"suffix":""},{"dropping-particle":"","family":"Persson","given":"U. Martin","non-dropping-particle":"","parse-names":false,"suffix":""},{"dropping-particle":"","family":"Pfaff","given":"Alex","non-dropping-particle":"","parse-names":false,"suffix":""},{"dropping-particle":"","family":"Wunder","given":"Sven","non-dropping-particle":"","parse-names":false,"suffix":""}],"container-title":"Conservation Letters","id":"ITEM-1","issue":"1","issued":{"date-parts":[["2016"]]},"page":"58-64","title":"Mainstreaming impact evaluation in nature conservation","type":"article-journal","volume":"9"},"uris":["http://www.mendeley.com/documents/?uuid=032d27e0-e894-44b0-865a-f67d5ba23942"]},{"id":"ITEM-2","itemData":{"DOI":"10.1111/conl.12252","ISSN":"1755263X","abstract":"Behavioral sciences can advance conservation by systematically identifying behavioral barriers to conservation and how to best overcome them. Behavioral sciences have informed policy in many other realms (e.g., health, savings), but they are a largely untapped resource for conservation. We propose a set of guiding questions for applying behavioral insights to conservation policy. These questions help define the conservation problem as a behavior change problem, understand behavioral mechanisms and identify appropriate approaches for behavior change (awareness, incentives, nudges), and evaluate and adapt approaches based on new behavioral insights. We provide a foundation for the questions by synthesizing a wide range of behavior change models and evidence related to littering, water and energy conservation, and land management. We also discuss the methodology and data needed to answer these questions. We illustrate how these questions have been answered in practice to inform efforts to promote conservation for climate risk reduction. Although more comprehensive research programs to answer these questions are needed, some insights are emerging. Integrating two or more behavior change approaches that target multiple, context-dependent factors may be most successful; however, caution must be taken to avoid approaches that could undermine one another (e.g., economic incentives crowding out intrinsic incentives).","author":[{"dropping-particle":"","family":"Reddy","given":"Sheila M.W.","non-dropping-particle":"","parse-names":false,"suffix":""},{"dropping-particle":"","family":"Montambault","given":"Jensen","non-dropping-particle":"","parse-names":false,"suffix":""},{"dropping-particle":"","family":"Masuda","given":"Yuta J.","non-dropping-particle":"","parse-names":false,"suffix":""},{"dropping-particle":"","family":"Keenan","given":"Elizabeth","non-dropping-particle":"","parse-names":false,"suffix":""},{"dropping-particle":"","family":"Butler","given":"William","non-dropping-particle":"","parse-names":false,"suffix":""},{"dropping-particle":"","family":"Fisher","given":"Jonathan R.B.","non-dropping-particle":"","parse-names":false,"suffix":""},{"dropping-particle":"","family":"Asah","given":"Stanley T.","non-dropping-particle":"","parse-names":false,"suffix":""},{"dropping-particle":"","family":"Gneezy","given":"Ayelet","non-dropping-particle":"","parse-names":false,"suffix":""}],"container-title":"Conservation Letters","id":"ITEM-2","issue":"2","issued":{"date-parts":[["2017"]]},"page":"248-256","title":"Advancing conservation by understanding and influencing human behavior","type":"article-journal","volume":"10"},"uris":["http://www.mendeley.com/documents/?uuid=72e3e80f-bc06-441a-b22e-f03982658acd"]}],"mendeley":{"formattedCitation":"(Baylis et al., 2016; Reddy et al., 2017)","plainTextFormattedCitation":"(Baylis et al., 2016; Reddy et al., 2017)","previouslyFormattedCitation":"(Baylis et al., 2016; Reddy et al., 2017)"},"properties":{"noteIndex":0},"schema":"https://github.com/citation-style-language/schema/raw/master/csl-citation.json"}</w:instrText>
      </w:r>
      <w:r w:rsidR="00A13E00" w:rsidRPr="00E7337F">
        <w:rPr>
          <w:color w:val="000000" w:themeColor="text1"/>
        </w:rPr>
        <w:fldChar w:fldCharType="separate"/>
      </w:r>
      <w:r w:rsidR="0086250C" w:rsidRPr="00E7337F">
        <w:rPr>
          <w:noProof/>
          <w:color w:val="000000" w:themeColor="text1"/>
        </w:rPr>
        <w:t>(Baylis et al., 2016; Reddy et al., 2017)</w:t>
      </w:r>
      <w:r w:rsidR="00A13E00" w:rsidRPr="00E7337F">
        <w:rPr>
          <w:color w:val="000000" w:themeColor="text1"/>
        </w:rPr>
        <w:fldChar w:fldCharType="end"/>
      </w:r>
      <w:r w:rsidRPr="00E7337F">
        <w:rPr>
          <w:color w:val="000000"/>
        </w:rPr>
        <w:t>. Particular attention should be paid to selection bias</w:t>
      </w:r>
      <w:r w:rsidRPr="00E7337F">
        <w:t xml:space="preserve">, </w:t>
      </w:r>
      <w:r w:rsidRPr="00E7337F">
        <w:rPr>
          <w:color w:val="000000"/>
        </w:rPr>
        <w:t xml:space="preserve">whereby interested participants self-assign to a treatment group, thereby confounding estimation of its impact </w:t>
      </w:r>
      <w:r w:rsidR="00A13E00" w:rsidRPr="00E7337F">
        <w:rPr>
          <w:color w:val="000000" w:themeColor="text1"/>
        </w:rPr>
        <w:fldChar w:fldCharType="begin" w:fldLock="1"/>
      </w:r>
      <w:r w:rsidR="00071F56" w:rsidRPr="00E7337F">
        <w:rPr>
          <w:color w:val="000000" w:themeColor="text1"/>
        </w:rPr>
        <w:instrText>ADDIN CSL_CITATION {"citationItems":[{"id":"ITEM-1","itemData":{"DOI":"10.1177/1524500417734806","ISSN":"15394093","abstract":"There is a growing realization among conservationists that human behavior is the main driver of all key threats to biodiversity and the environment. This realization has led to an escalation of the efforts to influence human behavior toward the adoption of more sustainable alternatives, more recently through the use of social marketing theory and tools. However, these initiatives have traditionally suffered from a lack of robust impact evaluation, which limits not only accountability but also a practitioner’s ability to learn and improve over time. We evaluated three social marketing campaigns conducted in the Philippines, which aimed at increasing the sustainability of local fisheries. To achieve this, we used the results not only from questionnaire surveys but also from biological and enforcement data. We found that although there is some evidence of impact around human behavior and perceptions of conservation results, those changes did not translate into biological outcomes during the 2-year time frame considered in this evaluation. We discuss many of the barriers to causal inference that still remain, particularly if causal links between outcomes and specific interventions are to be drawn, but also showcase how this current methodology can help us go further than the more basic approaches to impact evaluation commonly used. Lastly, we highlight a number of lessons learned from this experience in seeking a practical, ethical, and effective approach to impact evaluation.","author":[{"dropping-particle":"","family":"Veríssimo","given":"Diogo","non-dropping-particle":"","parse-names":false,"suffix":""},{"dropping-particle":"","family":"Bianchessi","given":"Annalisa","non-dropping-particle":"","parse-names":false,"suffix":""},{"dropping-particle":"","family":"Arrivillaga","given":"Alejandro","non-dropping-particle":"","parse-names":false,"suffix":""},{"dropping-particle":"","family":"Cadiz","given":"Fel Ceasar","non-dropping-particle":"","parse-names":false,"suffix":""},{"dropping-particle":"","family":"Mancao","given":"Roquelito","non-dropping-particle":"","parse-names":false,"suffix":""},{"dropping-particle":"","family":"Green","given":"Kevin","non-dropping-particle":"","parse-names":false,"suffix":""}],"container-title":"Social Marketing Quarterly","id":"ITEM-1","issue":"1","issued":{"date-parts":[["2018"]]},"page":"18-34","title":"Does it work for biodiversity? Experiences and challenges in the evaluation of social marketing campaigns","type":"article-journal","volume":"24"},"uris":["http://www.mendeley.com/documents/?uuid=0743d7ae-0b2d-4051-9008-bb1144638f84"]}],"mendeley":{"formattedCitation":"(Veríssimo et al., 2018a)","plainTextFormattedCitation":"(Veríssimo et al., 2018a)","previouslyFormattedCitation":"(Veríssimo et al., 2018a)"},"properties":{"noteIndex":0},"schema":"https://github.com/citation-style-language/schema/raw/master/csl-citation.json"}</w:instrText>
      </w:r>
      <w:r w:rsidR="00A13E00" w:rsidRPr="00E7337F">
        <w:rPr>
          <w:color w:val="000000" w:themeColor="text1"/>
        </w:rPr>
        <w:fldChar w:fldCharType="separate"/>
      </w:r>
      <w:r w:rsidR="0086250C" w:rsidRPr="00E7337F">
        <w:rPr>
          <w:noProof/>
          <w:color w:val="000000" w:themeColor="text1"/>
        </w:rPr>
        <w:t>(Veríssimo et al., 2018a)</w:t>
      </w:r>
      <w:r w:rsidR="00A13E00" w:rsidRPr="00E7337F">
        <w:rPr>
          <w:color w:val="000000" w:themeColor="text1"/>
        </w:rPr>
        <w:fldChar w:fldCharType="end"/>
      </w:r>
      <w:r w:rsidRPr="00E7337F">
        <w:rPr>
          <w:color w:val="000000"/>
        </w:rPr>
        <w:t xml:space="preserve">. Effects should be assessed over the long run (and ideally after an intervention has ceased), and measured in terms of </w:t>
      </w:r>
      <w:r w:rsidR="005C393E" w:rsidRPr="00E7337F">
        <w:rPr>
          <w:color w:val="000000"/>
        </w:rPr>
        <w:t xml:space="preserve">actual </w:t>
      </w:r>
      <w:r w:rsidRPr="00E7337F">
        <w:rPr>
          <w:color w:val="000000"/>
        </w:rPr>
        <w:t>behaviour rather than knowledge</w:t>
      </w:r>
      <w:r w:rsidR="00A13E00" w:rsidRPr="00E7337F">
        <w:rPr>
          <w:color w:val="000000"/>
        </w:rPr>
        <w:t>,</w:t>
      </w:r>
      <w:r w:rsidRPr="00E7337F">
        <w:rPr>
          <w:color w:val="000000"/>
        </w:rPr>
        <w:t xml:space="preserve"> attitudes</w:t>
      </w:r>
      <w:r w:rsidR="00A13E00" w:rsidRPr="00E7337F">
        <w:rPr>
          <w:color w:val="000000"/>
        </w:rPr>
        <w:t>, or intentions</w:t>
      </w:r>
      <w:r w:rsidRPr="00E7337F">
        <w:rPr>
          <w:color w:val="000000"/>
        </w:rPr>
        <w:t xml:space="preserve"> </w:t>
      </w:r>
      <w:r w:rsidR="00A13E00" w:rsidRPr="00E7337F">
        <w:rPr>
          <w:color w:val="000000" w:themeColor="text1"/>
        </w:rPr>
        <w:fldChar w:fldCharType="begin" w:fldLock="1"/>
      </w:r>
      <w:r w:rsidR="00071F56" w:rsidRPr="00E7337F">
        <w:rPr>
          <w:color w:val="000000" w:themeColor="text1"/>
        </w:rPr>
        <w:instrText>ADDIN CSL_CITATION {"citationItems":[{"id":"ITEM-1","itemData":{"DOI":"10.1080/13504620220145401","ISBN":"3527303545","ISSN":"1350-4622","PMID":"14695871","abstract":"Numerous theoretical frameworks have been developed to explain the gap between the possession of environmental knowledge and environmental awareness, and displaying pro-environmental behavior. Although many hundreds of studies have been undertaken, no de?nitive explanation has yet been found. Our article describes a few of the most in?uential and commonly used analytical frameworks: early US linear progression models; altruism, empathy and prosocial behavior models; and ?nally, sociological models. All of the models we discuss (and many of the ones we do not such as economic models, psychological models that look at behavior in general, social marketing models and that have become known as deliberative and inclusionary processes or procedures (DIPS)) have some validity in certain circumstances. This indicates that the question of what shapes pro-environmental behavior is such a complex one that it cannot be visualized through one single framework or diagram. We then analyze the factors that have been found to have some in?uence, positive or negative, on pro-environmental behavior such as demographic factors, external factors (e.g. institutional, economic, social and cultural) and internal factors (e.g. motivation, pro-environmental knowledge, awareness, values, attitudes, emotion, locus of control, responsibilities and priorities). Although we point out that developing a model that tries to incorporate all factors might neither be feasible nor useful, we feel that it can help illuminate this complex ?eld. Accordingly, we propose our own model based on the work of Fliegenschnee and Schelakovsky (1998) who were in?uenced by Fietkau and Kessel (1981)","author":[{"dropping-particle":"","family":"Kollmuss","given":"Anja","non-dropping-particle":"","parse-names":false,"suffix":""},{"dropping-particle":"","family":"Agyeman","given":"Julian","non-dropping-particle":"","parse-names":false,"suffix":""}],"container-title":"Environmental Education Research","id":"ITEM-1","issue":"3","issued":{"date-parts":[["2002"]]},"page":"239-260","title":"Mind the gap: Why do people act environmentally and what are the barriers to pro-environmental behavior?","type":"article-journal","volume":"8"},"uris":["http://www.mendeley.com/documents/?uuid=52bee0b7-c0f3-4616-99b8-771bbc801b2b"]},{"id":"ITEM-2","itemData":{"DOI":"10.1111/cobi.13363","author":[{"dropping-particle":"","family":"Nilsson","given":"Danielle","non-dropping-particle":"","parse-names":false,"suffix":""},{"dropping-particle":"","family":"Fielding","given":"Kelly","non-dropping-particle":"","parse-names":false,"suffix":""},{"dropping-particle":"","family":"Dean","given":"Angela J","non-dropping-particle":"","parse-names":false,"suffix":""}],"container-title":"Conservation Biology","id":"ITEM-2","issued":{"date-parts":[["2020"]]},"page":"93-102","title":"Achieving conservation impact by shifting focus from human attitudes to behaviors","type":"article-journal","volume":"34"},"uris":["http://www.mendeley.com/documents/?uuid=ce3dec8f-f77c-41c1-be80-96f2670e14c9"]},{"id":"ITEM-3","itemData":{"DOI":"10.1080/14792772143000003","ISBN":"1046-3283","ISSN":"1046-3283","abstract":"This chapter addresses two questions; how big is the ?gap? between intentions and behavior, and what psychological variables might be able to ?bridge? the intention?behavior gap? A meta-analysis of meta-analyses is used to quantify the gap and a conceptual analysis of intention?behavior discrepancies is presented. Research is described on the extent to which four groups of variables?behavior type, intention type, properties of intention, and cognitive and personality variables?moderate intention?behavior relations. Finally, the scope of the intention construct is discussed in the light of recent evidence concerning the role of habits and automaticity in human behavior. This chapter addresses two questions; how big is the ?gap? between intentions and behavior, and what psychological variables might be able to ?bridge? the intention?behavior gap? A meta-analysis of meta-analyses is used to quantify the gap and a conceptual analysis of intention?behavior discrepancies is presented. Research is described on the extent to which four groups of variables?behavior type, intention type, properties of intention, and cognitive and personality variables?moderate intention?behavior relations. Finally, the scope of the intention construct is discussed in the light of recent evidence concerning the role of habits and automaticity in human behavior.","author":[{"dropping-particle":"","family":"Sheeran","given":"Paschal","non-dropping-particle":"","parse-names":false,"suffix":""}],"container-title":"European Review of Social Psychology","id":"ITEM-3","issued":{"date-parts":[["2002"]]},"page":"1-36","title":"Intention-behavior relations: A conceptual and empirical review","type":"article-journal","volume":"12"},"uris":["http://www.mendeley.com/documents/?uuid=47bd3419-5300-4f39-9ac7-e5287268e48b"]}],"mendeley":{"formattedCitation":"(Kollmuss and Agyeman, 2002; Nilsson et al., 2020; Sheeran, 2002)","plainTextFormattedCitation":"(Kollmuss and Agyeman, 2002; Nilsson et al., 2020; Sheeran, 2002)","previouslyFormattedCitation":"(Kollmuss and Agyeman, 2002; Nilsson et al., 2020; Sheeran, 2002)"},"properties":{"noteIndex":0},"schema":"https://github.com/citation-style-language/schema/raw/master/csl-citation.json"}</w:instrText>
      </w:r>
      <w:r w:rsidR="00A13E00" w:rsidRPr="00E7337F">
        <w:rPr>
          <w:color w:val="000000" w:themeColor="text1"/>
        </w:rPr>
        <w:fldChar w:fldCharType="separate"/>
      </w:r>
      <w:r w:rsidR="0086250C" w:rsidRPr="00E7337F">
        <w:rPr>
          <w:noProof/>
          <w:color w:val="000000" w:themeColor="text1"/>
        </w:rPr>
        <w:t>(Kollmuss and Agyeman, 2002; Nilsson et al., 2020; Sheeran, 2002)</w:t>
      </w:r>
      <w:r w:rsidR="00A13E00" w:rsidRPr="00E7337F">
        <w:rPr>
          <w:color w:val="000000" w:themeColor="text1"/>
        </w:rPr>
        <w:fldChar w:fldCharType="end"/>
      </w:r>
      <w:r w:rsidRPr="00E7337F">
        <w:rPr>
          <w:color w:val="000000"/>
        </w:rPr>
        <w:t>. Researchers should</w:t>
      </w:r>
      <w:r w:rsidR="004D2F27" w:rsidRPr="00E7337F">
        <w:rPr>
          <w:color w:val="000000"/>
        </w:rPr>
        <w:t>,</w:t>
      </w:r>
      <w:r w:rsidRPr="00E7337F">
        <w:rPr>
          <w:color w:val="000000"/>
        </w:rPr>
        <w:t xml:space="preserve"> </w:t>
      </w:r>
      <w:r w:rsidRPr="00E7337F">
        <w:rPr>
          <w:color w:val="000000"/>
        </w:rPr>
        <w:lastRenderedPageBreak/>
        <w:t>where possible</w:t>
      </w:r>
      <w:r w:rsidR="004D2F27" w:rsidRPr="00E7337F">
        <w:rPr>
          <w:color w:val="000000"/>
        </w:rPr>
        <w:t>,</w:t>
      </w:r>
      <w:r w:rsidRPr="00E7337F">
        <w:rPr>
          <w:color w:val="000000"/>
        </w:rPr>
        <w:t xml:space="preserve"> a</w:t>
      </w:r>
      <w:r w:rsidRPr="00E7337F">
        <w:t>void</w:t>
      </w:r>
      <w:r w:rsidRPr="00E7337F">
        <w:rPr>
          <w:color w:val="000000"/>
        </w:rPr>
        <w:t xml:space="preserve"> </w:t>
      </w:r>
      <w:r w:rsidRPr="00E7337F">
        <w:t>s</w:t>
      </w:r>
      <w:r w:rsidRPr="00E7337F">
        <w:rPr>
          <w:color w:val="000000"/>
        </w:rPr>
        <w:t>elf-reported behaviour</w:t>
      </w:r>
      <w:r w:rsidRPr="00E7337F">
        <w:t>,</w:t>
      </w:r>
      <w:r w:rsidRPr="00E7337F">
        <w:rPr>
          <w:color w:val="000000"/>
        </w:rPr>
        <w:t xml:space="preserve"> which </w:t>
      </w:r>
      <w:r w:rsidR="00B25E66" w:rsidRPr="00E7337F">
        <w:rPr>
          <w:color w:val="000000"/>
        </w:rPr>
        <w:t xml:space="preserve">can be </w:t>
      </w:r>
      <w:r w:rsidRPr="00E7337F">
        <w:rPr>
          <w:color w:val="000000"/>
        </w:rPr>
        <w:t xml:space="preserve">vulnerable to </w:t>
      </w:r>
      <w:r w:rsidR="00B25E66" w:rsidRPr="00E7337F">
        <w:rPr>
          <w:color w:val="000000"/>
        </w:rPr>
        <w:t xml:space="preserve">social desirability bias </w:t>
      </w:r>
      <w:r w:rsidR="00B25E66" w:rsidRPr="00E7337F">
        <w:rPr>
          <w:color w:val="000000" w:themeColor="text1"/>
        </w:rPr>
        <w:fldChar w:fldCharType="begin" w:fldLock="1"/>
      </w:r>
      <w:r w:rsidR="00071F56" w:rsidRPr="00E7337F">
        <w:rPr>
          <w:color w:val="000000" w:themeColor="text1"/>
        </w:rPr>
        <w:instrText>ADDIN CSL_CITATION {"citationItems":[{"id":"ITEM-1","itemData":{"DOI":"10.1016/j.jenvp.2014.09.003","ISSN":"15229610","abstract":"Do self-reports match objective behavior? We performed a meta-analysis to quantify the association between self-reported and objective measures of proenvironmental behavior, and to evaluate the moderating influence of two socio-demographic and seven methodological moderators. Data from 6260 individuals or households, involving 19 measures of association in 15 studies, revealed a positive and nominally large (Cohen, 1988) effect size (r = 46). However, this means that 79% of the variance in the association between self-reported and objective behavior remains unexplained, which is especially troubling given the environmental context. We conclude that although this effect size is conventionally large, it is functionally small for testing theory and devising intervention campaigns, possibly leading researchers to draw misleading conclusions about the usefulness of theories that employ self-reports to predict objective behavior. These findings highlight a crucial need for research that strengthens the validity of self-reports for well-defined types of environmental behavior.","author":[{"dropping-particle":"","family":"Kormos","given":"Christine","non-dropping-particle":"","parse-names":false,"suffix":""},{"dropping-particle":"","family":"Gifford","given":"Robert","non-dropping-particle":"","parse-names":false,"suffix":""}],"container-title":"Journal of Environmental Psychology","id":"ITEM-1","issued":{"date-parts":[["2014"]]},"page":"359-371","title":"The validity of self-report measures of proenvironmental behavior: A meta-analytic review","type":"article-journal","volume":"40"},"uris":["http://www.mendeley.com/documents/?uuid=554236be-83ef-440e-97f9-3c6dad53eae1"]},{"id":"ITEM-2","itemData":{"DOI":"10.1016/j.tree.2019.01.018","ISSN":"01695347","abstract":"In biodiversity conservation, the prevailing consensus is that optimistic messages should be used to inspire people to change their behaviour, but there is scarce empirical evidence that optimistic messages lead to favourable conservation behaviour change.","author":[{"dropping-particle":"","family":"Kidd","given":"Lindall R.","non-dropping-particle":"","parse-names":false,"suffix":""},{"dropping-particle":"","family":"Bekessy","given":"Sarah A.","non-dropping-particle":"","parse-names":false,"suffix":""},{"dropping-particle":"","family":"Garrard","given":"Georgia E.","non-dropping-particle":"","parse-names":false,"suffix":""}],"container-title":"Trends in Ecology and Evolution","id":"ITEM-2","issue":"4","issued":{"date-parts":[["2019"]]},"page":"278-282","title":"Neither hope nor fear: Empirical evidence should drive biodiversity conservation strategies","type":"article-journal","volume":"34"},"uris":["http://www.mendeley.com/documents/?uuid=98e3f3d8-8cc0-41f0-a639-74ea42e45200"]}],"mendeley":{"formattedCitation":"(Kidd et al., 2019; Kormos and Gifford, 2014)","manualFormatting":"(people’s wish to be viewed favourably; Kormos &amp; Gifford 2014; Kidd et al. 2019)","plainTextFormattedCitation":"(Kidd et al., 2019; Kormos and Gifford, 2014)","previouslyFormattedCitation":"(Kidd et al., 2019; Kormos and Gifford, 2014)"},"properties":{"noteIndex":0},"schema":"https://github.com/citation-style-language/schema/raw/master/csl-citation.json"}</w:instrText>
      </w:r>
      <w:r w:rsidR="00B25E66" w:rsidRPr="00E7337F">
        <w:rPr>
          <w:color w:val="000000" w:themeColor="text1"/>
        </w:rPr>
        <w:fldChar w:fldCharType="separate"/>
      </w:r>
      <w:r w:rsidR="00062DEC" w:rsidRPr="00E7337F">
        <w:rPr>
          <w:noProof/>
          <w:color w:val="000000" w:themeColor="text1"/>
        </w:rPr>
        <w:t>(</w:t>
      </w:r>
      <w:r w:rsidR="00062DEC" w:rsidRPr="00E7337F">
        <w:rPr>
          <w:noProof/>
          <w:color w:val="000000"/>
        </w:rPr>
        <w:t>people’s wish to be viewed favourably</w:t>
      </w:r>
      <w:r w:rsidR="00062DEC" w:rsidRPr="00E7337F">
        <w:rPr>
          <w:noProof/>
          <w:color w:val="000000" w:themeColor="text1"/>
        </w:rPr>
        <w:t>; Kormos &amp; Gifford 2014; Kidd et al. 2019)</w:t>
      </w:r>
      <w:r w:rsidR="00B25E66" w:rsidRPr="00E7337F">
        <w:rPr>
          <w:color w:val="000000" w:themeColor="text1"/>
        </w:rPr>
        <w:fldChar w:fldCharType="end"/>
      </w:r>
      <w:r w:rsidR="0023044B" w:rsidRPr="00E7337F">
        <w:rPr>
          <w:color w:val="000000"/>
        </w:rPr>
        <w:t>.</w:t>
      </w:r>
    </w:p>
    <w:p w14:paraId="7B6138F2" w14:textId="4D8560BE" w:rsidR="00D772EE" w:rsidRPr="00E7337F" w:rsidRDefault="00EE12F8" w:rsidP="00CB6397">
      <w:pPr>
        <w:spacing w:after="0" w:line="480" w:lineRule="auto"/>
        <w:ind w:firstLine="720"/>
      </w:pPr>
      <w:r w:rsidRPr="00E7337F">
        <w:rPr>
          <w:color w:val="000000"/>
        </w:rPr>
        <w:t xml:space="preserve">Last, given that effect sizes </w:t>
      </w:r>
      <w:r w:rsidRPr="00E7337F">
        <w:t>may</w:t>
      </w:r>
      <w:r w:rsidRPr="00E7337F">
        <w:rPr>
          <w:color w:val="000000"/>
        </w:rPr>
        <w:t xml:space="preserve"> be small and potentially context-dependent it is critically important to report non-significant findings </w:t>
      </w:r>
      <w:r w:rsidR="00A13E00" w:rsidRPr="00E7337F">
        <w:rPr>
          <w:color w:val="000000" w:themeColor="text1"/>
        </w:rPr>
        <w:fldChar w:fldCharType="begin" w:fldLock="1"/>
      </w:r>
      <w:r w:rsidR="00071F56" w:rsidRPr="00E7337F">
        <w:rPr>
          <w:color w:val="000000" w:themeColor="text1"/>
        </w:rPr>
        <w:instrText>ADDIN CSL_CITATION {"citationItems":[{"id":"ITEM-1","itemData":{"DOI":"10.1177/1524500417734806","ISSN":"15394093","abstract":"There is a growing realization among conservationists that human behavior is the main driver of all key threats to biodiversity and the environment. This realization has led to an escalation of the efforts to influence human behavior toward the adoption of more sustainable alternatives, more recently through the use of social marketing theory and tools. However, these initiatives have traditionally suffered from a lack of robust impact evaluation, which limits not only accountability but also a practitioner’s ability to learn and improve over time. We evaluated three social marketing campaigns conducted in the Philippines, which aimed at increasing the sustainability of local fisheries. To achieve this, we used the results not only from questionnaire surveys but also from biological and enforcement data. We found that although there is some evidence of impact around human behavior and perceptions of conservation results, those changes did not translate into biological outcomes during the 2-year time frame considered in this evaluation. We discuss many of the barriers to causal inference that still remain, particularly if causal links between outcomes and specific interventions are to be drawn, but also showcase how this current methodology can help us go further than the more basic approaches to impact evaluation commonly used. Lastly, we highlight a number of lessons learned from this experience in seeking a practical, ethical, and effective approach to impact evaluation.","author":[{"dropping-particle":"","family":"Veríssimo","given":"Diogo","non-dropping-particle":"","parse-names":false,"suffix":""},{"dropping-particle":"","family":"Bianchessi","given":"Annalisa","non-dropping-particle":"","parse-names":false,"suffix":""},{"dropping-particle":"","family":"Arrivillaga","given":"Alejandro","non-dropping-particle":"","parse-names":false,"suffix":""},{"dropping-particle":"","family":"Cadiz","given":"Fel Ceasar","non-dropping-particle":"","parse-names":false,"suffix":""},{"dropping-particle":"","family":"Mancao","given":"Roquelito","non-dropping-particle":"","parse-names":false,"suffix":""},{"dropping-particle":"","family":"Green","given":"Kevin","non-dropping-particle":"","parse-names":false,"suffix":""}],"container-title":"Social Marketing Quarterly","id":"ITEM-1","issue":"1","issued":{"date-parts":[["2018"]]},"page":"18-34","title":"Does it work for biodiversity? Experiences and challenges in the evaluation of social marketing campaigns","type":"article-journal","volume":"24"},"uris":["http://www.mendeley.com/documents/?uuid=0743d7ae-0b2d-4051-9008-bb1144638f84"]},{"id":"ITEM-2","itemData":{"DOI":"10.1038/s41562-019-0795-z","ISSN":"23973374","abstract":"Across five field experiments with employees of a large organization (n = 68,915), we examined whether standard behavioural interventions (‘nudges’) successfully reduced single-occupancy vehicle commutes. In Studies 1 and 2, we sent letters and emails with nudges designed to increase carpooling. These interventions failed to increase carpool sign-up or usage. In Studies 3a and 4, we examined the efficacy of other well-established behavioural interventions: non-cash incentives and personalized travel plans. Again, we found no positive effect of these interventions. Across studies, effect sizes ranged from Cohen’s d = −0.01 to d = 0.05. Equivalence testing, using study-specific smallest effect sizes of interest, revealed that the treatment effects observed in four out of five of our experiments were statistically equivalent to zero (P &lt; 0.04). The failure of these well-powered experiments designed to nudge commuting behaviour highlights both the difficulty of changing commuter behaviour and the importance of publishing null results to build cumulative knowledge about how to encourage sustainable travel.","author":[{"dropping-particle":"","family":"Kristal","given":"Ariella S.","non-dropping-particle":"","parse-names":false,"suffix":""},{"dropping-particle":"V.","family":"Whillans","given":"Ashley","non-dropping-particle":"","parse-names":false,"suffix":""}],"container-title":"Nature Human Behaviour","id":"ITEM-2","issued":{"date-parts":[["2020"]]},"page":"169-176","title":"What we can learn from five naturalistic field experiments that failed to shift commuter behaviour","type":"article-journal","volume":"4"},"uris":["http://www.mendeley.com/documents/?uuid=33e098d6-600a-43a1-a59f-e5201852ad32"]},{"id":"ITEM-3","itemData":{"DOI":"10.1038/s41562-019-0787-z","ISSN":"23973374","abstract":"Many researchers rely on meta-analysis to summarize research evidence. However, there is a concern that publication bias and selective reporting may lead to biased meta-analytic effect sizes. We compare the results of meta-analyses to large-scale preregistered replications in psychology carried out at multiple laboratories. The multiple-laboratory replications provide precisely estimated effect sizes that do not suffer from publication bias or selective reporting. We searched the literature and identified 15 meta-analyses on the same topics as multiple-laboratory replications. We find that meta-analytic effect sizes are significantly different from replication effect sizes for 12 out of the 15 meta-replication pairs. These differences are systematic and, on average, meta-analytic effect sizes are almost three times as large as replication effect sizes. We also implement three methods of correcting meta-analysis for bias, but these methods do not substantively improve the meta-analytic results.","author":[{"dropping-particle":"","family":"Kvarven","given":"Amanda","non-dropping-particle":"","parse-names":false,"suffix":""},{"dropping-particle":"","family":"Strømland","given":"Eirik","non-dropping-particle":"","parse-names":false,"suffix":""},{"dropping-particle":"","family":"Johannesson","given":"Magnus","non-dropping-particle":"","parse-names":false,"suffix":""}],"container-title":"Nature Human Behaviour","id":"ITEM-3","issued":{"date-parts":[["2020"]]},"page":"423-434","title":"Comparing meta-analyses and preregistered multiple-laboratory replication projects","type":"article-journal","volume":"4"},"uris":["http://www.mendeley.com/documents/?uuid=c429048c-1cea-4fbe-8236-4c05a81ba66f"]},{"id":"ITEM-4","itemData":{"DOI":"10.1016/j.tics.2020.09.009","ISSN":"13646613","abstract":"Behavioural change techniques are currently used by many global organisations and public institutions. The amassing evidence base is used to answer practical and scientific questions regarding what cognitive, affective, and environment factors lead to successful behavioural change in the lab and in the field. In this piece we show that there is also value toexamining interventions that inadvertently fail in achieving their desired behavioural change (e.g.,backfiring effects). We identify the underlying causal pathways that characterise different types of failure, and show how a taxonomy of causal interactions that result in failure exposes new insights that can advance theory and practice.","author":[{"dropping-particle":"","family</w:instrText>
      </w:r>
      <w:r w:rsidR="00071F56" w:rsidRPr="009A691C">
        <w:rPr>
          <w:color w:val="000000" w:themeColor="text1"/>
          <w:lang w:val="da-DK"/>
        </w:rPr>
        <w:instrText>":"Osman","given":"Magda","non-dropping-particle":"","parse-names":false,"suffix":""},{"dropping-particle":"","family":"McLachlan","given":"Scott","non-dropping-particle":"","parse-names":false,"suffix":""},{"dropping-particle":"","family":"Fenton","given":"Norman","non-dropping-particle":"","parse-names":false,"suffix":""},{"dropping-particle":"","family":"Neil","given":"Martin","non-dropping-particle":"","parse-names":false,"suffix":""},{"dropping-particle":"","family":"Löfstedt","given":"Ragnar","non-dropping-particle":"","parse-names":false,"suffix":""},{"dropping-particle":"","family":"Meder","given":"Björn","non-dropping-particle":"","parse-names":false,"suffix":""}],"container-title":"Trends in Cognitive Sciences","id":"ITEM-4","issue":"12","issued":{"date-parts":[["2020"]]},"page":"969-980","title":"Learning from behavioural changes that fail","type":"article-journal","volume":"24"},"uris":["http://www.mendeley.com/documents/?uuid=65517159-9857-488e-b018-32a66ba2b8b9"]}],"mendeley":{"formattedCitation":"(Kristal and Whillans, 2020; Kvarven et al., 2020; Osman et al., 2020; Veríssimo et al., 2018a)","plainTextFormattedCitation":"(Kristal and Whillans, 2020; Kvarven et al., 2020; Osman et al., 2020; Veríssimo et al., 2018a)","previouslyFormattedCitation":"(Kristal and Whillans, 2020; Kvarven et al., 2020; Osman et al., 2020; Veríssimo et al., 2018a)"},"properties":{"noteIndex":0},"schema":"https://github.com/citation-style-language/schema/raw/master/csl-citation.json"}</w:instrText>
      </w:r>
      <w:r w:rsidR="00A13E00" w:rsidRPr="00E7337F">
        <w:rPr>
          <w:color w:val="000000" w:themeColor="text1"/>
        </w:rPr>
        <w:fldChar w:fldCharType="separate"/>
      </w:r>
      <w:r w:rsidR="0086250C" w:rsidRPr="009A691C">
        <w:rPr>
          <w:noProof/>
          <w:color w:val="000000" w:themeColor="text1"/>
          <w:lang w:val="da-DK"/>
        </w:rPr>
        <w:t>(Kristal and Whillans, 2020; Kvarven et al., 2020; Osman et al., 2020; Veríssimo et al., 2018a)</w:t>
      </w:r>
      <w:r w:rsidR="00A13E00" w:rsidRPr="00E7337F">
        <w:rPr>
          <w:color w:val="000000" w:themeColor="text1"/>
        </w:rPr>
        <w:fldChar w:fldCharType="end"/>
      </w:r>
      <w:r w:rsidRPr="009A691C">
        <w:rPr>
          <w:color w:val="000000"/>
          <w:lang w:val="da-DK"/>
        </w:rPr>
        <w:t xml:space="preserve">. </w:t>
      </w:r>
      <w:r w:rsidRPr="00E7337F">
        <w:rPr>
          <w:color w:val="000000"/>
        </w:rPr>
        <w:t>A recent comparison of nudg</w:t>
      </w:r>
      <w:r w:rsidR="00BE557B" w:rsidRPr="00E7337F">
        <w:rPr>
          <w:color w:val="000000"/>
        </w:rPr>
        <w:t>e</w:t>
      </w:r>
      <w:r w:rsidRPr="00E7337F">
        <w:rPr>
          <w:color w:val="000000"/>
        </w:rPr>
        <w:t xml:space="preserve"> studies in </w:t>
      </w:r>
      <w:r w:rsidR="002705C8" w:rsidRPr="00E7337F">
        <w:rPr>
          <w:color w:val="000000"/>
        </w:rPr>
        <w:t>academic articles</w:t>
      </w:r>
      <w:r w:rsidRPr="00E7337F">
        <w:rPr>
          <w:color w:val="000000"/>
        </w:rPr>
        <w:t xml:space="preserve"> and the grey literature indicates that a failure to publish lower-effect studies may be systematically distorting </w:t>
      </w:r>
      <w:r w:rsidR="00A655B0" w:rsidRPr="00E7337F">
        <w:rPr>
          <w:color w:val="000000"/>
        </w:rPr>
        <w:t xml:space="preserve">our </w:t>
      </w:r>
      <w:r w:rsidRPr="00E7337F">
        <w:rPr>
          <w:color w:val="000000"/>
        </w:rPr>
        <w:t>understanding of</w:t>
      </w:r>
      <w:r w:rsidR="00A655B0" w:rsidRPr="00E7337F">
        <w:rPr>
          <w:color w:val="000000"/>
        </w:rPr>
        <w:t xml:space="preserve"> intervention</w:t>
      </w:r>
      <w:r w:rsidRPr="00E7337F">
        <w:rPr>
          <w:color w:val="000000"/>
        </w:rPr>
        <w:t xml:space="preserve"> effectiveness </w:t>
      </w:r>
      <w:r w:rsidR="00A13E00" w:rsidRPr="00E7337F">
        <w:rPr>
          <w:color w:val="000000" w:themeColor="text1"/>
        </w:rPr>
        <w:fldChar w:fldCharType="begin" w:fldLock="1"/>
      </w:r>
      <w:r w:rsidR="00610947">
        <w:rPr>
          <w:color w:val="000000" w:themeColor="text1"/>
        </w:rPr>
        <w:instrText>ADDIN CSL_CITATION {"citationItems":[{"id":"ITEM-1","itemData":{"abstract":"Nudge interventions-behaviorally-motivated design changes with no financial incentives-have quickly expanded from academic studies to larger implementations in so-called Nudge Units in governments. This provides a unique opportunity to compare interventions in research studies, versus at scale. In this paper, we assemble a unique data set including all trials run by two of the largest Nudge Units in the United States, including 126 RCTs covering over 23 million individuals. We compare these trials to a separate sample of nudge trials published in academic journals from two recent meta-analyses. In papers published in academic journals, the average impact of a nudge is very large-an 8.7 percentage point take-up increase over the control. In the Nudge Unit trials, the average impact is still sizable and highly statistically significant, but smaller at 1.4 percentage points. We show that a large share of the gap is accounted for by publication bias, exacerbated by low statistical power, in the sample of published papers; in contrast, the Nudge Unit studies are well-powered, a hallmark of \"at scale\" interventions. Accounting for publication bias, and some differences in characteristics, reconciles the two estimates. We also compare these results to the predictions of academics and practitioners. Most forecasters overestimate the impact for the Nudge Unit interventions, though nudge practitioners are almost perfectly calibrated.","author":[{"dropping-particle":"","family":"DellaVigna","given":"Stefano","non-dropping-particle":"","parse-names":false,"suffix":""},{"dropping-particle":"","family":"Linos","given":"Elizabeth","non-dropping-particle":"","parse-names":false,"suffix":""}],"collection-title":"NBER Working Paper","id":"ITEM-1","issue":"March","issued":{"date-parts":[["2020"]]},"number":"27594","title":"RCTs to scale: Comprehensive evidence from two nudge units","type":"report"},"uris":["http://www.mendeley.com/documents/?uuid=aec3a609-7b05-43e7-8420-7d8b9588306f"]}],"mendeley":{"formattedCitation":"(DellaVigna and Linos, 2020)","plainTextFormattedCitation":"(DellaVigna and Linos, 2020)","previouslyFormattedCitation":"(DellaVigna and Linos, 2020)"},"properties":{"noteIndex":0},"schema":"https://github.com/citation-style-language/schema/raw/master/csl-citation.json"}</w:instrText>
      </w:r>
      <w:r w:rsidR="00A13E00" w:rsidRPr="00E7337F">
        <w:rPr>
          <w:color w:val="000000" w:themeColor="text1"/>
        </w:rPr>
        <w:fldChar w:fldCharType="separate"/>
      </w:r>
      <w:r w:rsidR="0086250C" w:rsidRPr="00E7337F">
        <w:rPr>
          <w:noProof/>
          <w:color w:val="000000" w:themeColor="text1"/>
        </w:rPr>
        <w:t>(DellaVigna and Linos, 2020)</w:t>
      </w:r>
      <w:r w:rsidR="00A13E00" w:rsidRPr="00E7337F">
        <w:rPr>
          <w:color w:val="000000" w:themeColor="text1"/>
        </w:rPr>
        <w:fldChar w:fldCharType="end"/>
      </w:r>
      <w:r w:rsidRPr="00E7337F">
        <w:rPr>
          <w:color w:val="000000"/>
        </w:rPr>
        <w:t xml:space="preserve">. </w:t>
      </w:r>
      <w:r w:rsidR="002705C8" w:rsidRPr="00E7337F">
        <w:rPr>
          <w:color w:val="000000"/>
        </w:rPr>
        <w:t xml:space="preserve">Preregistration and </w:t>
      </w:r>
      <w:r w:rsidR="002705C8" w:rsidRPr="00E7337F">
        <w:t>r</w:t>
      </w:r>
      <w:r w:rsidRPr="00E7337F">
        <w:t xml:space="preserve">egistered reports </w:t>
      </w:r>
      <w:r w:rsidR="00D868C0" w:rsidRPr="00E7337F">
        <w:fldChar w:fldCharType="begin" w:fldLock="1"/>
      </w:r>
      <w:r w:rsidR="00071F56" w:rsidRPr="00E7337F">
        <w:instrText>ADDIN CSL_CITATION {"citationItems":[{"id":"ITEM-1","itemData":{"DOI":"10.1111/cobi.13508.This","author":[{"dropping-particle":"","family":"Wiik","given":"Emma","non-dropping-particle":"","parse-names":false,"suffix":""},{"dropping-particle":"","family":"Jones","given":"Julia P G","non-dropping-particle":"","parse-names":false,"suffix":""},{"dropping-particle":"","family":"Pynegar","given":"Edwin","non-dropping-particle":"","parse-names":false,"suffix":""},{"dropping-particle":"","family":"Bottazzi","given":"Patrick","non-dropping-particle":"","parse-names":false,"suffix":""},{"dropping-particle":"","family":"Asquith","given":"Nigel","non-dropping-particle":"","parse-names":false,"suffix":""},{"dropping-particle":"","family":"Gibbons","given":"James","non-dropping-particle":"","parse-names":false,"suffix":""},{"dropping-particle":"","family":"Kontoleon","given":"Andreas","non-dropping-particle":"","parse-names":false,"suffix":""}],"container-title":"Conservation Biology","id":"ITEM-1","issued":{"date-parts":[["2020"]]},"page":"1076-1088","title":"Mechanisms and impacts of an incentive-based conservation program with evidence from a Randomized Control Trial","type":"article-journal","volume":"34"},"uris":["http://www.mendeley.com/documents/?uuid=8494109e-3d43-475c-bbff-e7b8b1431ca6"]}],"mendeley":{"formattedCitation":"(Wiik et al., 2020)","manualFormatting":"(where journals agree to publish a study based on the introduction and methods, before results are available; e.g. Wiik et al. 2020)","plainTextFormattedCitation":"(Wiik et al., 2020)","previouslyFormattedCitation":"(Wiik et al., 2020)"},"properties":{"noteIndex":0},"schema":"https://github.com/citation-style-language/schema/raw/master/csl-citation.json"}</w:instrText>
      </w:r>
      <w:r w:rsidR="00D868C0" w:rsidRPr="00E7337F">
        <w:fldChar w:fldCharType="separate"/>
      </w:r>
      <w:r w:rsidR="00D868C0" w:rsidRPr="00E7337F">
        <w:rPr>
          <w:noProof/>
        </w:rPr>
        <w:t>(where journals agree to publish a study based on the introduction and methods, before results are available;</w:t>
      </w:r>
      <w:r w:rsidR="001B4A01" w:rsidRPr="00E7337F">
        <w:rPr>
          <w:noProof/>
        </w:rPr>
        <w:t xml:space="preserve"> e.g.</w:t>
      </w:r>
      <w:r w:rsidR="00D868C0" w:rsidRPr="00E7337F">
        <w:rPr>
          <w:noProof/>
        </w:rPr>
        <w:t xml:space="preserve"> Wiik et al. 2020)</w:t>
      </w:r>
      <w:r w:rsidR="00D868C0" w:rsidRPr="00E7337F">
        <w:fldChar w:fldCharType="end"/>
      </w:r>
      <w:r w:rsidRPr="00E7337F">
        <w:t xml:space="preserve"> can substantially </w:t>
      </w:r>
      <w:r w:rsidR="00A13E00" w:rsidRPr="00E7337F">
        <w:t xml:space="preserve">improve transparency and </w:t>
      </w:r>
      <w:r w:rsidRPr="00E7337F">
        <w:t xml:space="preserve">reduce publication bias </w:t>
      </w:r>
      <w:r w:rsidR="002705C8" w:rsidRPr="00E7337F">
        <w:fldChar w:fldCharType="begin" w:fldLock="1"/>
      </w:r>
      <w:r w:rsidR="00071F56" w:rsidRPr="00E7337F">
        <w:instrText>ADDIN CSL_CITATION {"citationItems":[{"id":"ITEM-1","itemData":{"author":[{"dropping-particle":"","family":"Parker","given":"Timothy","non-dropping-particle":"","parse-names":false,"suffix":""},{"dropping-particle":"","family":"Fraser","given":"Hannah","non-dropping-particle":"","parse-names":false,"suffix":""},{"dropping-particle":"","family":"Nakagawa","given":"Shinichi","non-dropping-particle":"","parse-names":false,"suffix":""},{"dropping-particle":"","family":"Hampton","given":"Jordan O","non-dropping-particle":"","parse-names":false,"suffix":""},{"dropping-particle":"","family":"Warburton","given":"Bruce","non-dropping-particle":"","parse-names":false,"suffix":""},{"dropping-particle":"","family":"Sandøe","given":"Peter","non-dropping-particle":"","parse-names":false,"suffix":""}],"container-title":"Conservation Biology","id":"ITEM-1","issue":"4","issued":{"date-parts":[["2019"]]},"page":"747-750","title":"Making conservation science more reliable with preregistration and registered reports","type":"article-journal","volume":"33"},"uris":["http://www.mendeley.com/documents/?uuid=7b2775e6-e4c6-4679-b3ac-dd0838a601f5"]},{"id":"ITEM-2","itemData":{"DOI":"10.1073/pnas.1708274114","ISSN":"10916490","PMID":"29531091","abstract":"Progress in science relies in part on generating hypotheses with existing observations and testing hypotheses with new observations. This distinction between postdiction and prediction is appreciated conceptually but is not respected in practice. Mistaking generation of postdictions with testing of predictions reduces the credibility of research findings. However, ordinary biases in human reasoning, such as hindsight bias, make it hard to avoid this mistake. An effective solution is to define the research questions and analysis plan before observing the research outcomes—a process called preregistration. Preregistration distinguishes analyses and outcomes that result from predictions from those that result from postdictions. A variety of practical strategies are available to make the best possible use of preregistration in circumstances that fall short of the ideal application, such as when the data are preexisting. Services are now available for preregistration across all disciplines, facilitating a rapid increase in the practice. Widespread adoption of preregistration will increase distinctiveness between hypothesis generation and hypothesis testing and will improve the credibility of research findings.","author":[{"dropping-particle":"","family":"Nosek","given":"Brian A.","non-dropping-particle":"","parse-names":false,"suffix":""},{"dropping-particle":"","family":"Ebersole","given":"Charles R.","non-dropping-particle":"","parse-names":false,"suffix":""},{"dropping-particle":"","family":"DeHaven","given":"Alexander C.","non-dropping-particle":"","parse-names":false,"suffix":""},{"dropping-particle":"","family":"Mellor","given":"David T.","non-dropping-particle":"","parse-names":false,"suffix":""}],"container-title":"Proceedings of the National Academy of Sciences","id":"ITEM-2","issue":"11","issued":{"date-parts":[["2018"]]},"page":"2600-2606","title":"The preregistration revolution","type":"article-journal","volume":"115"},"uris":["http://www.mendeley.com/documents/?uuid=a75d235f-52fc-45c3-84b2-a9607b0e6b45"]}],"mendeley":{"formattedCitation":"(Nosek et al., 2018; Parker et al., 2019)","plainTextFormattedCitation":"(Nosek et al., 2018; Parker et al., 2019)","previouslyFormattedCitation":"(Nosek et al., 2018; Parker et al., 2019)"},"properties":{"noteIndex":0},"schema":"https://github.com/citation-style-language/schema/raw/master/csl-citation.json"}</w:instrText>
      </w:r>
      <w:r w:rsidR="002705C8" w:rsidRPr="00E7337F">
        <w:fldChar w:fldCharType="separate"/>
      </w:r>
      <w:r w:rsidR="0086250C" w:rsidRPr="00E7337F">
        <w:rPr>
          <w:noProof/>
        </w:rPr>
        <w:t>(Nosek et al., 2018; Parker et al., 2019)</w:t>
      </w:r>
      <w:r w:rsidR="002705C8" w:rsidRPr="00E7337F">
        <w:fldChar w:fldCharType="end"/>
      </w:r>
      <w:r w:rsidR="002705C8" w:rsidRPr="00E7337F">
        <w:t>.</w:t>
      </w:r>
      <w:r w:rsidRPr="00E7337F">
        <w:t xml:space="preserve"> </w:t>
      </w:r>
      <w:r w:rsidRPr="00E7337F">
        <w:rPr>
          <w:color w:val="000000"/>
        </w:rPr>
        <w:t>Ideally, resulting data could then</w:t>
      </w:r>
      <w:r w:rsidRPr="00E7337F">
        <w:t xml:space="preserve"> be shared in a transparent and open source manner (as in the Human Behaviour Change Project; </w:t>
      </w:r>
      <w:hyperlink r:id="rId12">
        <w:r w:rsidRPr="00E7337F">
          <w:rPr>
            <w:color w:val="0000FF"/>
            <w:u w:val="single"/>
          </w:rPr>
          <w:t>www.humanbehaviourchange.org</w:t>
        </w:r>
      </w:hyperlink>
      <w:r w:rsidRPr="00E7337F">
        <w:t>), and in due course synthesi</w:t>
      </w:r>
      <w:r w:rsidR="00100335">
        <w:t>s</w:t>
      </w:r>
      <w:r w:rsidRPr="00E7337F">
        <w:t>ed through initiatives such as Conservation Evidence (</w:t>
      </w:r>
      <w:hyperlink r:id="rId13">
        <w:r w:rsidRPr="00E7337F">
          <w:rPr>
            <w:color w:val="0000FF"/>
            <w:u w:val="single"/>
          </w:rPr>
          <w:t>www.conservationevidence.com/</w:t>
        </w:r>
      </w:hyperlink>
      <w:r w:rsidRPr="00E7337F">
        <w:t xml:space="preserve">). Sharing and </w:t>
      </w:r>
      <w:r w:rsidR="004738F4" w:rsidRPr="00E7337F">
        <w:t>synthesi</w:t>
      </w:r>
      <w:r w:rsidR="006775C6" w:rsidRPr="00E7337F">
        <w:t>si</w:t>
      </w:r>
      <w:r w:rsidR="004738F4" w:rsidRPr="00E7337F">
        <w:t>ng</w:t>
      </w:r>
      <w:r w:rsidRPr="00E7337F">
        <w:t xml:space="preserve"> information </w:t>
      </w:r>
      <w:r w:rsidR="00B03CCE" w:rsidRPr="00E7337F">
        <w:t xml:space="preserve">in </w:t>
      </w:r>
      <w:r w:rsidRPr="00E7337F">
        <w:t>this way</w:t>
      </w:r>
      <w:r w:rsidRPr="00E7337F">
        <w:rPr>
          <w:color w:val="000000"/>
        </w:rPr>
        <w:t xml:space="preserve"> should help make experimental tests of interventions as informative for others as possible, and thereby move the </w:t>
      </w:r>
      <w:r w:rsidR="00A12410" w:rsidRPr="00E7337F">
        <w:rPr>
          <w:color w:val="000000"/>
        </w:rPr>
        <w:t xml:space="preserve">significance </w:t>
      </w:r>
      <w:r w:rsidRPr="00E7337F">
        <w:rPr>
          <w:color w:val="000000"/>
        </w:rPr>
        <w:t xml:space="preserve">of behavioural science </w:t>
      </w:r>
      <w:r w:rsidR="00A12410" w:rsidRPr="00E7337F">
        <w:rPr>
          <w:color w:val="000000"/>
        </w:rPr>
        <w:t xml:space="preserve">for </w:t>
      </w:r>
      <w:r w:rsidRPr="00E7337F">
        <w:rPr>
          <w:color w:val="000000"/>
        </w:rPr>
        <w:t xml:space="preserve">conservation from being either overlooked (in many instances) or overstated (in some others), </w:t>
      </w:r>
      <w:r w:rsidR="00A12410" w:rsidRPr="00E7337F">
        <w:rPr>
          <w:color w:val="000000"/>
        </w:rPr>
        <w:t xml:space="preserve">to being better understood and cautiously but widely </w:t>
      </w:r>
      <w:r w:rsidR="00304073" w:rsidRPr="00E7337F">
        <w:rPr>
          <w:color w:val="000000"/>
        </w:rPr>
        <w:t>used</w:t>
      </w:r>
      <w:r w:rsidRPr="00E7337F">
        <w:rPr>
          <w:color w:val="000000"/>
        </w:rPr>
        <w:t>.</w:t>
      </w:r>
      <w:r w:rsidR="00D772EE" w:rsidRPr="00E7337F">
        <w:rPr>
          <w:color w:val="FF0000"/>
        </w:rPr>
        <w:br w:type="page"/>
      </w:r>
    </w:p>
    <w:p w14:paraId="1177CA2E" w14:textId="77777777" w:rsidR="00450CA8" w:rsidRPr="00E7337F" w:rsidRDefault="00EE12F8" w:rsidP="00950E9F">
      <w:pPr>
        <w:spacing w:after="0" w:line="480" w:lineRule="auto"/>
        <w:rPr>
          <w:b/>
          <w:bCs/>
        </w:rPr>
      </w:pPr>
      <w:r w:rsidRPr="00E7337F">
        <w:rPr>
          <w:b/>
          <w:bCs/>
        </w:rPr>
        <w:lastRenderedPageBreak/>
        <w:t>References</w:t>
      </w:r>
    </w:p>
    <w:p w14:paraId="6CE2D9A3" w14:textId="3493A780" w:rsidR="00610947" w:rsidRPr="00610947" w:rsidRDefault="00243E33" w:rsidP="00610947">
      <w:pPr>
        <w:widowControl w:val="0"/>
        <w:autoSpaceDE w:val="0"/>
        <w:autoSpaceDN w:val="0"/>
        <w:adjustRightInd w:val="0"/>
        <w:spacing w:after="0" w:line="480" w:lineRule="auto"/>
        <w:ind w:left="480" w:hanging="480"/>
        <w:rPr>
          <w:noProof/>
        </w:rPr>
      </w:pPr>
      <w:r w:rsidRPr="00E7337F">
        <w:fldChar w:fldCharType="begin" w:fldLock="1"/>
      </w:r>
      <w:r w:rsidRPr="00E7337F">
        <w:instrText xml:space="preserve">ADDIN Mendeley Bibliography CSL_BIBLIOGRAPHY </w:instrText>
      </w:r>
      <w:r w:rsidRPr="00E7337F">
        <w:fldChar w:fldCharType="separate"/>
      </w:r>
      <w:r w:rsidR="00610947" w:rsidRPr="00610947">
        <w:rPr>
          <w:noProof/>
        </w:rPr>
        <w:t>Alder, J., Sumaila, U.R., 2004. Western Africa: a fish basket of Europe past and present. J. Environ. Dev. 13, 156–178.</w:t>
      </w:r>
    </w:p>
    <w:p w14:paraId="55C4208C"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Andreyeva, T., Long, M.W., Brownell, K.D., 2010. The impact of food prices on consumption: a systematic review of research on the price elasticity of demand for food. Am. J. Public Health 100, 216–222.</w:t>
      </w:r>
    </w:p>
    <w:p w14:paraId="60218F12"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Balmford, A., Carey, P., Kapos, V., Manica, A., Rodrigues, A.S.L., Scharlemann, J.P.W., Green, R.E., 2009. Capturing the many dimensions of threat: Comment on Salafsky et al. Conserv. Biol. 23, 482–487. https://doi.org/10.1111/j.1523-1739.2009.01196.x</w:t>
      </w:r>
    </w:p>
    <w:p w14:paraId="027A9B2E"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Balmford, A., Cowling, R.M., 2006. Fusion or failure? The future of conservation biology. Conserv. Biol. 20, 692–695. https://doi.org/10.1111/j.1523-1739.2006.00434.x</w:t>
      </w:r>
    </w:p>
    <w:p w14:paraId="349FEDEE"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Baylis, K., Honey-Rosés, J., Börner, J., Corbera, E., Ezzine-de-Blas, D., Ferraro, P.J., Lapeyre, R., Persson, U.M., Pfaff, A., Wunder, S., 2016. Mainstreaming impact evaluation in nature conservation. Conserv. Lett. 9, 58–64. https://doi.org/10.1111/conl.12180</w:t>
      </w:r>
    </w:p>
    <w:p w14:paraId="7677A278"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Benartzi, S., Thaler, R.H., 2013. </w:t>
      </w:r>
      <w:r w:rsidRPr="00610947">
        <w:rPr>
          <w:noProof/>
        </w:rPr>
        <w:t>Behavioral economics and the retirement savings crisis. Science. 339, 1152–1153.</w:t>
      </w:r>
    </w:p>
    <w:p w14:paraId="66A0D2B9"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610947">
        <w:rPr>
          <w:noProof/>
        </w:rPr>
        <w:t xml:space="preserve">Bernedo, M., Ferraro, P.J., Price, M., 2014. The persistent impacts of norm-based messaging and their implications for water conservation. </w:t>
      </w:r>
      <w:r w:rsidRPr="005F61F3">
        <w:rPr>
          <w:noProof/>
          <w:lang w:val="da-DK"/>
        </w:rPr>
        <w:t>J. Consum. Policy 37, 437–452.</w:t>
      </w:r>
    </w:p>
    <w:p w14:paraId="42C0EA3C"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Blanken, I., van de Ven, N., Zeelenberg, M., 2015. </w:t>
      </w:r>
      <w:r w:rsidRPr="00610947">
        <w:rPr>
          <w:noProof/>
        </w:rPr>
        <w:t>A meta-analytic review of moral licensing. Personal. Soc. Psychol. Bull. 41, 540–558.</w:t>
      </w:r>
    </w:p>
    <w:p w14:paraId="7DE6D044"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610947">
        <w:rPr>
          <w:noProof/>
        </w:rPr>
        <w:t xml:space="preserve">Bolam, F., Mair, L., Angelico, M., Brooks, T., Burgman, M., Hermes, C., Hoffmann, M., Martin, R., McGowan, P., Rodrigues, A., Rondinini, C., Wheatley, H., Bedolla-Guzmán, Y., Calzada, J., Child, M., Cranswick, P., Dickman, C., Fessl, B., Fisher, D., Garnett, S., Groombridge, J., Johnson, C., Kennerley, R., King, S., Lamoreux, J., Lees, A., Lens, L., </w:t>
      </w:r>
      <w:r w:rsidRPr="00610947">
        <w:rPr>
          <w:noProof/>
        </w:rPr>
        <w:lastRenderedPageBreak/>
        <w:t xml:space="preserve">Mahood, S., Mallon, D., Meijaard, E., Méndez-Sánchez, F., Percequillo, A.R., Regan, T., Renjifo, L.M., Rivers, M., Roach, N., Roxburgh, L., Safford, R., Salaman, P., Squires, T., Vázquez-Domínguez, E., Visconti, P., Westrip, J., Woinarski, J., Young, R., Butchart, S., 2021. How many bird and mammal extinctions has recent conservation action prevented? </w:t>
      </w:r>
      <w:r w:rsidRPr="005F61F3">
        <w:rPr>
          <w:noProof/>
          <w:lang w:val="da-DK"/>
        </w:rPr>
        <w:t>Conserv. Lett. 14, e12762.</w:t>
      </w:r>
    </w:p>
    <w:p w14:paraId="1AD0C40E"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Bollinger, B., Gillingham, K.T., Ovaere, M., 2020. </w:t>
      </w:r>
      <w:r w:rsidRPr="00610947">
        <w:rPr>
          <w:noProof/>
        </w:rPr>
        <w:t>Field experimental evidence shows that self-interest attracts more sunlight. Proc. Natl. Acad. Sci. 117, 20503–20510. https://doi.org/10.1073/pnas.2004428117</w:t>
      </w:r>
    </w:p>
    <w:p w14:paraId="55FE1098"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Bowie, M.J., Dietrich, T., Cassey, P., Veríssimo, D., 2020. Co‐designing behavior change interventions to conserve biodiversity. Conserv. Sci. Pract. 2, 1–14. https://doi.org/10.1111/csp2.278</w:t>
      </w:r>
    </w:p>
    <w:p w14:paraId="0ECF8A50"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Bruns, H., Kantorowicz-Reznichenko, E., Klement, K., Luistro Jonsson, M., Rahali, B., 2018. Can nudges be transparent and yet effective? J. Econ. Psychol. 65, 41–59. https://doi.org/10.1016/j.joep.2018.02.002</w:t>
      </w:r>
    </w:p>
    <w:p w14:paraId="4AF9D28A"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Bryan, C.J., Walton, G.M., Rogers, T., Dweck, C.S., 2011. Motivating voter turnout by invoking the self. Proc. Natl. Acad. Sci. 108, 12653–12656. https://doi.org/10.1073/pnas.1103343108</w:t>
      </w:r>
    </w:p>
    <w:p w14:paraId="6D0EC9CD"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Bryan, C.J., Yeager, D.S., Hinojosa, C.P., 2019. A values-alignment intervention protects adolescents from the effects of food marketing. Nat. Hum. Behav. 3, 596–603. https://doi.org/10.1038/s41562-019-0586-6</w:t>
      </w:r>
    </w:p>
    <w:p w14:paraId="6B60BD39"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Burgess, G., 2016. Powers of persuasion? Conservation communications, behavioural change and reducing demand for illegal wildlife products. TRAFFIC Bull. 28, 65–73.</w:t>
      </w:r>
    </w:p>
    <w:p w14:paraId="7948285E"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 xml:space="preserve">Burgess, G., Zahn, S., Miller-Gulland, E.J., Eisingreich, A.B., Sharif, V., Ibbett, H., Castro, A.O., Sohl, H., 2018. Reducing demand for illegal wildlife products: Research analysis on strategies to change illegal wildlife product consumer behavior. TRAFFIC, the </w:t>
      </w:r>
      <w:r w:rsidRPr="00610947">
        <w:rPr>
          <w:noProof/>
        </w:rPr>
        <w:lastRenderedPageBreak/>
        <w:t>University of Oxford, Imperial College Business, Cambridge, UK.</w:t>
      </w:r>
    </w:p>
    <w:p w14:paraId="6041974E"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Byerly, H., Balmford, A., Ferraro, P.J., Hammond Wagner, C., Palchak, E., Polasky, S., Ricketts, T.H., Schwartz, A.J., Fisher, B., 2018. Nudging pro-environmental behavior: evidence and opportunities. Front. Ecol. Environ. 16, 159–168. https://doi.org/10.1002/fee.1777</w:t>
      </w:r>
    </w:p>
    <w:p w14:paraId="4F568099"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610947">
        <w:rPr>
          <w:noProof/>
        </w:rPr>
        <w:t xml:space="preserve">Camerer, C.F., Dreber, A., Holzmeister, F., Ho, T.-H., Huber, J., Johannesson, M., Kirchler, M., Nave, G., Nosek, B.A., Pfeiffer, T., Altmejd, A., Buttrick, N., Chan, T., Chen, Y., Forsell, E., Gampa, A., Heikensten, E., Hummer, L., Imai, T., Isaksson, S., Manfredi, D., Rose, J., Wagenmakers, E.-J., Wu, H., 2018. Evaluating the replicability of social science experiments in Nature and Science between 2010 and 2015. </w:t>
      </w:r>
      <w:r w:rsidRPr="005F61F3">
        <w:rPr>
          <w:noProof/>
          <w:lang w:val="da-DK"/>
        </w:rPr>
        <w:t>Nat. Hum. Behav. 2, 637–644. https://doi.org/10.1038/s41562-018-0399-z</w:t>
      </w:r>
    </w:p>
    <w:p w14:paraId="449051B0"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Carattini, S., Kallbekken, S., Orlov, A., 2019. </w:t>
      </w:r>
      <w:r w:rsidRPr="00610947">
        <w:rPr>
          <w:noProof/>
        </w:rPr>
        <w:t>How to win public support for a global carbon tax. Nature 565, 289–291. https://doi.org/10.1038/d41586-019-00124-x</w:t>
      </w:r>
    </w:p>
    <w:p w14:paraId="6F9A9A30"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Chaves, W.A., Valle, D.R., Monroe, M.C., Wilkie, D.S., Sieving, K.E., Sadowsky, B., 2018. Changing wild meat consumption: An experiment in the Central Amazon, Brazil. Conserv. Lett. 11, 1–10. https://doi.org/10.1111/conl.12391</w:t>
      </w:r>
    </w:p>
    <w:p w14:paraId="191A07B2"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Cheng, T., Woon, D.K., Lynes, J.K., 2011. The use of message framing in the promotion of environmentally sustainable behaviors. Soc. Mar. Q. 17, 48–62.</w:t>
      </w:r>
    </w:p>
    <w:p w14:paraId="16A5ECA4"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Cialdini, R.B., Demaine, L.J., Sagarin, B.J., Barrett, D.W., Rhoads, K., Winter, P.L., 2006. Managing social norms for persuasive impact. Soc. Influ. 1, 3–15.</w:t>
      </w:r>
    </w:p>
    <w:p w14:paraId="76741329"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Cinner, J., 2018. How behavioral science can help conservation. Science. 362, 889–891.</w:t>
      </w:r>
    </w:p>
    <w:p w14:paraId="5E1005F4"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Cinner, J.E., Barnes, M.L., Gurney, G.G., Lockie, S., Rojas, C., 2020. Markets and the crowding out of conservation‐relevant behavior. Conserv. Biol. https://doi.org/10.1111/cobi.13606</w:t>
      </w:r>
    </w:p>
    <w:p w14:paraId="27C1376F"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 xml:space="preserve">Clarke Murray, C., Pakhomov, E.A., Therriault, T.W., 2011. Recreational boating: a large </w:t>
      </w:r>
      <w:r w:rsidRPr="00610947">
        <w:rPr>
          <w:noProof/>
        </w:rPr>
        <w:lastRenderedPageBreak/>
        <w:t>unregulated vector transporting marine invasive species. Divers. Distrib. 17, 1161–1172.</w:t>
      </w:r>
    </w:p>
    <w:p w14:paraId="3A787657"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Clayton, S., Brook, A., 2005. Can psychology help save the world? A model for conservation psychology. Anal. Soc. Issues Public Policy 5, 87–102. https://doi.org/10.1111/j.1530-2415.2005.00057.x</w:t>
      </w:r>
    </w:p>
    <w:p w14:paraId="3A60B95A"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Clayton, S., Myers, G., 2015. Conservation psychology: Understanding and promoting human care for nature. John Wiley &amp; Sons.</w:t>
      </w:r>
    </w:p>
    <w:p w14:paraId="2BB3920E"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Clements, R., Foo, R., Othman, S., Rahman, U., Mustafa, S.R.S., Zulkifli, R., 2009. Islam, turtle conservation, and coastal communities. Conserv. Biol. 23, 516–517.</w:t>
      </w:r>
    </w:p>
    <w:p w14:paraId="22F6ED31"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Cowling, R.M., 2014. Let’s get serious about human behavior and conservation. Conserv. Lett. 7, 147–148. https://doi.org/10.1111/conl.12106</w:t>
      </w:r>
    </w:p>
    <w:p w14:paraId="75F63CED"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Creutzig, F., Baiocchi, G., Bierkandt, R., Pichler, P.P., Seto, K.C., 2015. Global typology of urban energy use and potentials for an urbanization mitigation wedge. Proc. Natl. Acad. Sci. 112, 6283–6288. https://doi.org/10.1073/pnas.1315545112</w:t>
      </w:r>
    </w:p>
    <w:p w14:paraId="028C3EEC"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D’Alessandro, S., Cieplinski, A., Distefano, T., Dittmer, K., 2020. Feasible alternatives to green growth. Nat. Sustain. 3, 329–335. https://doi.org/10.1038/s41893-020-0484-y</w:t>
      </w:r>
    </w:p>
    <w:p w14:paraId="595689B9"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Datta, S., Mullainathan, S., 2014. Behavioral design: A new approach to development policy. Rev. Income Wealth 60, 7–35. https://doi.org/10.1111/roiw.12093</w:t>
      </w:r>
    </w:p>
    <w:p w14:paraId="67EE5B91"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DellaVigna, S., Linos, E., 2020. RCTs to scale: Comprehensive evidence from two nudge units (No. 27594), NBER Working Paper.</w:t>
      </w:r>
    </w:p>
    <w:p w14:paraId="3E3BC6F5"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DeWan, A., Green, K., Li, X., Hayden, D., 2013. Using social marketing tools to increase fuel-efficient stove adoption for conservation of the golden snub-nosed monkey, Gansu Province, China. Conserv. Evid. 10, 32–36.</w:t>
      </w:r>
    </w:p>
    <w:p w14:paraId="164C7375"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Dietz, T., Gardner, G.T., Gilligan, J., Stern, P.C., Vandenbergh, M.P., 2009. Household actions can provide a behavioral wedge to rapidly reduce U.S. carbon emissions. Proc. Natl. Acad. Sci. 106, 18452–18456.</w:t>
      </w:r>
    </w:p>
    <w:p w14:paraId="0DF609CD"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lastRenderedPageBreak/>
        <w:t>Dietz, T., Whitley, C.T., 2018. Inequality, decisions, and altruism. Sociol. Dev. 4, 282–303.</w:t>
      </w:r>
    </w:p>
    <w:p w14:paraId="32E2BD17"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Dreibelbis, R., Kroeger, A., Hossain, K., Venkatesh, M., Ram, P.K., 2016. Behavior change without behavior change communication: Nudging handwashing among primary school students in Bangladesh. Int. J. Environ. Res. Public Health 13, 7–9. https://doi.org/10.3390/ijerph13010129</w:t>
      </w:r>
    </w:p>
    <w:p w14:paraId="3F7CD700"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Duflo, E., Kremer, M., Robinson, J., 2011. Nudging farmers to use fertilizer: Theory and experimental evidence from Kenya. Am. Econ. Rev. 101, 2350–2390. https://doi.org/10.1257/aer.101.6.2350</w:t>
      </w:r>
    </w:p>
    <w:p w14:paraId="3350E4F5"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Ebeling, F., Lotz, S., 2015. Domestic uptake of green energy promoted by opt-out tariffs. Nat. Clim. Chang. 5, 868–871. https://doi.org/10.1038/nclimate2681</w:t>
      </w:r>
    </w:p>
    <w:p w14:paraId="416C4932"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Ferraro, P.J., Pattanayak, S.K., 2006. Money for nothing? A call for empirical evaluation of biodiversity conservation investments. PLoS Biol 4, e105.</w:t>
      </w:r>
    </w:p>
    <w:p w14:paraId="7240D3DC"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Ferraro, P.J., Price, M.K., 2013. Using nonpecuniary strategies to influence behavior: Evidence from a large-scale field experiment. Rev. Econ. Stat. 95, 64–73. https://doi.org/10.1162/REST_a_00344</w:t>
      </w:r>
    </w:p>
    <w:p w14:paraId="3C0C90D0"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Folke, C., Österblom, H., Jouffray, J., Lambin, E.F., Adger, W.N., Scheffer, M., Crona, B.I., Nyström, M., Levin, S.A., Carpenter, S.R., Anderies, J.M., Iii, S.C., Crépin, A., Dauriach, A., Galaz, V., Gordon, L.J., Kautsky, N., Walker, B.H., Watson, J.R., Wilen, J., 2019. Transnational corporations and the challenge of biosphere stewardship. Nat. Ecol. Evol. 3, 1396–1403. https://doi.org/10.1038/s41559-019-0978-z</w:t>
      </w:r>
    </w:p>
    <w:p w14:paraId="491C58FF"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Fowler, S.L., Berrigan, D., Pollack, K.M., 2017. Perceived barriers to bicycling in an urban US environment. J. Transp. Heal. 6, 474–480.</w:t>
      </w:r>
    </w:p>
    <w:p w14:paraId="5F8F1BE1"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Fulton, D.C., Manfredo, M.J., Lipscomb, J., 1996. Wildlife value orientations: A conceptual and measurement approach. Hum. Dimens. Wildl. 1, 24–47. https://doi.org/10.1080/10871209609359060</w:t>
      </w:r>
    </w:p>
    <w:p w14:paraId="102D8080"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lastRenderedPageBreak/>
        <w:t>Galligan, T.H., Mallord, J.W., Prakash, V.M., Bhusal, K.P., Alam, A.B.M.S., Anthony, F.M., Dave, R., Dube, A., Shastri, K., Kumar, Y., 2020. Trends in the availability of the vulture-toxic drug, diclofenac, and other NSAIDs in South Asia, as revealed by covert pharmacy surveys. Bird Conserv. Int. 1–17.</w:t>
      </w:r>
    </w:p>
    <w:p w14:paraId="3CA76858"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Garnett, E.E., Balmford, A., Sandbrook, C., Pilling, M.A., Marteau, T.M., 2019. Impact of increasing vegetarian availability on meal selection and sales in cafeterias. Proc. Natl. Acad. Sci. 116, 20923–20929. https://doi.org/10.1073/pnas.1907207116</w:t>
      </w:r>
    </w:p>
    <w:p w14:paraId="7D5ADA7F"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Garnett, E.E., Marteau, T.M., Sandbrook, C., Pilling, M.A., Balmford, A., 2020. Order of meals at the counter and distance between options affect student cafeteria vegetarian sales. Nat. Food 1, 485–488. https://doi.org/10.1038/s43016-020-0132-8</w:t>
      </w:r>
    </w:p>
    <w:p w14:paraId="217D34DF"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Gerber, A.S., Huber, G.A., Biggers, D.R., 2016. A field experiment shows that subtle linguistic cues might not affect voter behavior. Proc. Natl. Acad. Sci. 113, 7112–7117. https://doi.org/10.1073/pnas.1513727113</w:t>
      </w:r>
    </w:p>
    <w:p w14:paraId="5B6216DE"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Gravert, C., Kurz, V., 2019. Nudging à la carte: a field experiment on climate-friendly food choice. Behav. Public Policy 1–18.</w:t>
      </w:r>
    </w:p>
    <w:p w14:paraId="5D1423E7"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Green, K.M., Crawford, B.A., Williamson, K.A., DeWan, A.A., 2019. A meta-analysis of social marketing campaigns to improve global conservation outcomes. Soc. Mar. Q. 25, 69–87.</w:t>
      </w:r>
    </w:p>
    <w:p w14:paraId="68B24C47"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Hallsworth, M., List, J.A., Metcalfe, R.D., Vlaev, I., 2017. The behavioralist as tax collector: Using natural field experiments to enhance tax compliance. J. Public Econ. 148, 14–31.</w:t>
      </w:r>
    </w:p>
    <w:p w14:paraId="1B252732"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Hanna, R., Duflo, E., Greenstone, M., 2016. Up in smoke: The influence of household behavior on the long-run impact of improved cooking stoves. Am. Econ. J. Econ. Policy 8, 80–114. https://doi.org/10.1257/pol.20140008</w:t>
      </w:r>
    </w:p>
    <w:p w14:paraId="7B5D761D"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Henrich, J., Heine, S.J., Norenzayan, A., 2010. The weirdest people in the world? Behav. Brain Sci. 33, 61–83. https://doi.org/10.1017/S0140525X0999152X</w:t>
      </w:r>
    </w:p>
    <w:p w14:paraId="4B892547"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610947">
        <w:rPr>
          <w:noProof/>
        </w:rPr>
        <w:lastRenderedPageBreak/>
        <w:t xml:space="preserve">Hertwich, E.G., 2005. Consumption and the rebound effect: An industrial ecology perspective. </w:t>
      </w:r>
      <w:r w:rsidRPr="005F61F3">
        <w:rPr>
          <w:noProof/>
          <w:lang w:val="da-DK"/>
        </w:rPr>
        <w:t>J. Ind. Ecol. 9, 85–98. https://doi.org/10.1162/1088198054084635</w:t>
      </w:r>
    </w:p>
    <w:p w14:paraId="6768009D"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Hofmann, W., Wisneski, D.C., Brandt, M.J., Skitka, L.J., 2014. </w:t>
      </w:r>
      <w:r w:rsidRPr="00610947">
        <w:rPr>
          <w:noProof/>
        </w:rPr>
        <w:t>Morality in everyday life. Science. 345, 1340–1343. https://doi.org/10.1126/science.1251560</w:t>
      </w:r>
    </w:p>
    <w:p w14:paraId="1BEC6F7D"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Hollands, G.J., Bignardi, G., Johnston, M., Kelly, M.P., Ogilvie, D., Petticrew, M., Prestwich, A., Shemilt, I., Sutton, S., Marteau, T.M., 2017. The TIPPME intervention typology for changing environments to change behaviour. Nat. Hum. Behav. 1, 1–9. https://doi.org/10.1038/s41562-017-0140</w:t>
      </w:r>
    </w:p>
    <w:p w14:paraId="587DC9D4"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IPBES, 2019. Summary for policymakers of the global assessment report on biodiversity and ecosystem services of the Intergovernmental Science-Policy Platform on Biodiversity and Ecosystem Services. IPBES secretariat, Bonn, Germany.</w:t>
      </w:r>
    </w:p>
    <w:p w14:paraId="6CB4A56D"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IUCN, 2012. IUCN - CMP unified classification of conservation actions needed [WWW Document]. URL https://nc.iucnredlist.org/redlist/content/attachment_files/dec_2012_guidance_conservation_actions_needed_classification_scheme.pdf</w:t>
      </w:r>
    </w:p>
    <w:p w14:paraId="693B3783"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Jackson, T., 2009. Prosperity without growth: Economics for a finite planet. Earthscan, London.</w:t>
      </w:r>
    </w:p>
    <w:p w14:paraId="1FCD929B"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James, A., Gaston, K.J., Balmford, A., 2001. Can we afford to conserve biodiversity? Bioscience 51, 43–52.</w:t>
      </w:r>
    </w:p>
    <w:p w14:paraId="2C7DFB02"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Jayachandran, S., De Laat, J., Lambin, E.F., Stanton, C.Y., Audy, R., Thomas, N.E., 2017. Cash for carbon: A randomized trial of payments for ecosystem services to reduce deforestation. Science. 357, 267–273.</w:t>
      </w:r>
    </w:p>
    <w:p w14:paraId="78134621"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Johnson, E.J., Goldstein, D., 2003. Do defaults save lives? Science. 302, 1338–1339. https://doi.org/10.1126/science.1091721</w:t>
      </w:r>
    </w:p>
    <w:p w14:paraId="167647FE"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 xml:space="preserve">Kahan, D.M., Peters, E., Wittlin, M., Slovic, P., Ouellette, L.L., Braman, D., Mandel, G., </w:t>
      </w:r>
      <w:r w:rsidRPr="00610947">
        <w:rPr>
          <w:noProof/>
        </w:rPr>
        <w:lastRenderedPageBreak/>
        <w:t>2012. The polarizing impact of science literacy and numeracy on perceived climate change risks. Nat. Clim. Chang. 2, 732–735.</w:t>
      </w:r>
    </w:p>
    <w:p w14:paraId="52B4933E"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Kahneman, D., 2011. Thinking, fast and slow. Macmillan.</w:t>
      </w:r>
    </w:p>
    <w:p w14:paraId="7481A5A9"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Kallis, G., Kostakis, V., Lange, S., Muraca, B., Paulson, S., Schmelzer, M., 2018. </w:t>
      </w:r>
      <w:r w:rsidRPr="00610947">
        <w:rPr>
          <w:noProof/>
        </w:rPr>
        <w:t>Research on degrowth. Annu. Rev. Environ. Resour. 43, 291–316. https://doi.org/10.1146/annurev-environ-102017-025941</w:t>
      </w:r>
    </w:p>
    <w:p w14:paraId="2CBD3311"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Karlin, B., Zinger, J.F., Ford, R., 2015. </w:t>
      </w:r>
      <w:r w:rsidRPr="00610947">
        <w:rPr>
          <w:noProof/>
        </w:rPr>
        <w:t>The effects of feedback on energy conservation: A meta-analysis. Psychol. Bull. 141, 1205–1227.</w:t>
      </w:r>
    </w:p>
    <w:p w14:paraId="715CD197"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Kidd, L.R., Bekessy, S.A., Garrard, G.E., 2019. Neither hope nor fear: Empirical evidence should drive biodiversity conservation strategies. Trends Ecol. Evol. 34, 278–282. https://doi.org/10.1016/j.tree.2019.01.018</w:t>
      </w:r>
    </w:p>
    <w:p w14:paraId="10E17376"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King, L.C., Bergh, J.C.J.M. Van Den, 2017. Worktime reduction as a solution to climate change: Five scenarios compared for the UK. Ecol. Econ. 132, 124–134. https://doi.org/10.1016/j.ecolecon.2016.10.011</w:t>
      </w:r>
    </w:p>
    <w:p w14:paraId="34173508"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Kitade, T., Toko, A., 2016. Setting suns: the historical decline of ivory and rhino horn markets in Japan. Tokyo, Japan.</w:t>
      </w:r>
    </w:p>
    <w:p w14:paraId="795A5276"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Klenert, D., Mattauch, L., Combet, E., Edenhofer, O., Hepburn, C., Rafaty, R., Stern, N., 2018. Making carbon pricing work for citizens. Nat. Clim. Chang. 8, 669–677. https://doi.org/10.1038/s41558-018-0201-2</w:t>
      </w:r>
    </w:p>
    <w:p w14:paraId="191A81EA"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Knowlton, N., 2021. Ocean optimism: Moving beyond the obituaries in marine conservation. Ann. Rev. Mar. Sci. 13.</w:t>
      </w:r>
    </w:p>
    <w:p w14:paraId="28F6AA07"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Kollmuss, A., Agyeman, J., 2002. Mind the gap: Why do people act environmentally and what are the barriers to pro-environmental behavior? Environ. Educ. Res. 8, 239–260. https://doi.org/10.1080/13504620220145401</w:t>
      </w:r>
    </w:p>
    <w:p w14:paraId="19E594FA"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 xml:space="preserve">Kondylis, F., Mueller, V., Sheriff, G., Zhu, S., 2016. Do female instructors reduce gender </w:t>
      </w:r>
      <w:r w:rsidRPr="00610947">
        <w:rPr>
          <w:noProof/>
        </w:rPr>
        <w:lastRenderedPageBreak/>
        <w:t>bias in diffusion of sustainable land management techniques? Experimental evidence from Mozambique. World Dev. 78, 436–449. https://doi.org/10.1016/j.worlddev.2015.10.036</w:t>
      </w:r>
    </w:p>
    <w:p w14:paraId="17910AC6"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610947">
        <w:rPr>
          <w:noProof/>
        </w:rPr>
        <w:t xml:space="preserve">Kormos, C., Gifford, R., 2014. The validity of self-report measures of proenvironmental behavior: A meta-analytic review. </w:t>
      </w:r>
      <w:r w:rsidRPr="005F61F3">
        <w:rPr>
          <w:noProof/>
          <w:lang w:val="da-DK"/>
        </w:rPr>
        <w:t>J. Environ. Psychol. 40, 359–371. https://doi.org/10.1016/j.jenvp.2014.09.003</w:t>
      </w:r>
    </w:p>
    <w:p w14:paraId="3256FA23"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Kraft-Todd, G.T., Bollinger, B., Gillingham, K., Lamp, S., Rand, D.G., 2018. </w:t>
      </w:r>
      <w:r w:rsidRPr="00610947">
        <w:rPr>
          <w:noProof/>
        </w:rPr>
        <w:t>Credibility-enhancing displays promote the provision of non-normative public goods. Nature 563, 245–248. https://doi.org/10.1038/s41586-018-0647-4</w:t>
      </w:r>
    </w:p>
    <w:p w14:paraId="4DC6F0FF"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Kraus, S., Koch, N., 2021. Provisional COVID-19 infrastructure induces large, rapid increases in cycling. Proc. Natl. Acad. Sci. 118, 1–6. https://doi.org/10.1073/pnas.2024399118</w:t>
      </w:r>
    </w:p>
    <w:p w14:paraId="64185022"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610947">
        <w:rPr>
          <w:noProof/>
        </w:rPr>
        <w:t xml:space="preserve">Kristal, A.S., Whillans, A. V., 2020. What we can learn from five naturalistic field experiments that failed to shift commuter behaviour. </w:t>
      </w:r>
      <w:r w:rsidRPr="005F61F3">
        <w:rPr>
          <w:noProof/>
          <w:lang w:val="da-DK"/>
        </w:rPr>
        <w:t>Nat. Hum. Behav. 4, 169–176. https://doi.org/10.1038/s41562-019-0795-z</w:t>
      </w:r>
    </w:p>
    <w:p w14:paraId="13C71EF7"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Künemund, H., Rein, M., 1999. </w:t>
      </w:r>
      <w:r w:rsidRPr="00610947">
        <w:rPr>
          <w:noProof/>
        </w:rPr>
        <w:t>There is more to receiving than needing: theoretical arguments and empirical explorations of crowding in and crowding out. Ageing Soc. 19, 93–121.</w:t>
      </w:r>
    </w:p>
    <w:p w14:paraId="58FBB1CF"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Kurz, V., 2018. Nudging to reduce meat consumption: Immediate and persistent effects of an intervention at a university restaurant. J. Environ. Econ. Manage. 90, 317–341.</w:t>
      </w:r>
    </w:p>
    <w:p w14:paraId="4AE1485C"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Kusmanoff, A.M., Fidler, F., Gordon, A., Garrard, G.E., Bekessy, S.A., 2020. Five lessons to guide more effective biodiversity conservation message framing. Conserv. Biol. 34, 1131–1141. https://doi.org/10.1111/cobi.13482</w:t>
      </w:r>
    </w:p>
    <w:p w14:paraId="3FA1DC6B"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 xml:space="preserve">Kvarven, A., Strømland, E., Johannesson, M., 2020. Comparing meta-analyses and preregistered multiple-laboratory replication projects. Nat. Hum. Behav. 4, 423–434. </w:t>
      </w:r>
      <w:r w:rsidRPr="00610947">
        <w:rPr>
          <w:noProof/>
        </w:rPr>
        <w:lastRenderedPageBreak/>
        <w:t>https://doi.org/10.1038/s41562-019-0787-z</w:t>
      </w:r>
    </w:p>
    <w:p w14:paraId="3F91DD65"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Liebe, U., Gewinner, J., Diekmann, A., 2021. Large and persistent effects of green energy defaults in the household and business sectors. Nat. Hum. Behav. https://doi.org/10.1038/s41562-021-01070-3</w:t>
      </w:r>
    </w:p>
    <w:p w14:paraId="59E75471"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MacFarlane, D., Hurlstone, M.J., Ecker, U.K.H., Ferraro, P.J., Linden, S. van der, Wan, A.K.Y., Veríssimo, D., Burgess, G., Chen, F., Hall, W., Hollands, G.J., Sutherland, W.J., 2020. Reducing demand for overexploited wildlife products: Lessons from systematic reviews from outside conservation science. OSF Prepr.</w:t>
      </w:r>
    </w:p>
    <w:p w14:paraId="1A9F4A58"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Mackay, M., Jennings, S., van Putten, E.I., Sibly, H., Yamazaki, S., 2018. When push comes to shove in recreational fishing compliance, think ‘nudge.’ Mar. Policy 95, 256–266. https://doi.org/10.1016/j.marpol.2018.05.026</w:t>
      </w:r>
    </w:p>
    <w:p w14:paraId="6BF3DCE5"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Maki, A., Carrico, A.R., Raimi, K.T., Truelove, H.B., Araujo, B., Yeung, K.L., 2019. Meta-analysis of pro-environmental behaviour spillover. Nat. Sustain. 2, 307–315. https://doi.org/10.1038/s41893-019-0263-9</w:t>
      </w:r>
    </w:p>
    <w:p w14:paraId="056E2F9C"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Manfredo, M.J., Teel, T.L., Berl, R.E.W., Bruskotter, J.T., Kitayama, S., 2020. Social value shift in favour of biodiversity conservation in the United States. Nat. Sustain. 4. https://doi.org/10.1038/s41893-020-00655-6</w:t>
      </w:r>
    </w:p>
    <w:p w14:paraId="6F25353B"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Marselle, M., Turbe, A., Shwartz, A., Bonn, A., Colléony, A., 2021. Addressing behavior in pollinator conservation policies to combat the implementation gap. Conserv. Biol. 35, 610–622.</w:t>
      </w:r>
    </w:p>
    <w:p w14:paraId="0178162B"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Marteau, T.M., 2017. Towards environmentally sustainable human behaviour: Targeting non-conscious and conscious processes for effective and acceptable policies. Philos. Trans. R. Soc. A Math. Phys. Eng. Sci. 375, 20160371. https://doi.org/10.1098/rsta.2016.0371</w:t>
      </w:r>
    </w:p>
    <w:p w14:paraId="76F71B4D"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 xml:space="preserve">Marteau, T.M., Fletcher, P.C., Hollands, G.J., Munafo, M.R., 2020. Changing behaviour by changing environments, in: Hagger, M.S., Cameron, L.D., Hamilton, K., Hankonen, N., </w:t>
      </w:r>
      <w:r w:rsidRPr="00610947">
        <w:rPr>
          <w:noProof/>
        </w:rPr>
        <w:lastRenderedPageBreak/>
        <w:t>Lintunen, T. (Eds.), Handbook of Behavior Change. Cambridge University Press, pp. 193–207.</w:t>
      </w:r>
    </w:p>
    <w:p w14:paraId="00DF5536"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Marteau, T.M., Hollands, G.J., Fletcher, P.C., 2012. Changing human behavior to prevent disease: The importance of targeting automatic processes. Science. 337, 1492–1495.</w:t>
      </w:r>
    </w:p>
    <w:p w14:paraId="12D4976A"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Marteau, T.M., Hollands, G.J., Shemilt, I., Jebb, S.A., 2015. Downsizing: policy options to reduce portion sizes to help tackle obesity. Bmj 351.</w:t>
      </w:r>
    </w:p>
    <w:p w14:paraId="00C18A17"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610947">
        <w:rPr>
          <w:noProof/>
        </w:rPr>
        <w:t xml:space="preserve">Marteau, T.M., White, M., Rutter, H., Petticrew, M., Mytton, O.T., McGowan, J.G., Aldridge, R.W., 2019. Increasing healthy life expectancy equitably in England by 5 years by 2035: could it be achieved? </w:t>
      </w:r>
      <w:r w:rsidRPr="005F61F3">
        <w:rPr>
          <w:noProof/>
          <w:lang w:val="da-DK"/>
        </w:rPr>
        <w:t>Lancet 393, 2571–2573. https://doi.org/10.1016/S0140-6736(19)31510-7</w:t>
      </w:r>
    </w:p>
    <w:p w14:paraId="1BDB4566"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Mastini, R., Kallis, G., Hickel, J., 2021. </w:t>
      </w:r>
      <w:r w:rsidRPr="00610947">
        <w:rPr>
          <w:noProof/>
        </w:rPr>
        <w:t>A Green New Deal without growth? Ecol. Econ. 179, 106832. https://doi.org/10.1016/j.ecolecon.2020.106832</w:t>
      </w:r>
    </w:p>
    <w:p w14:paraId="46021C41"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McDonald, G., Wilson, M., Veríssimo, D., Twohey, R., Clemence, M., Apistar, D., Box, S., Butler, P., Cadiz, F.C., Campbell, S.J., Cox, C., Effron, M., Gaines, S., Jakub, R., Mancao, R.H., Rojas, P.T., Tirona, R.S., Vianna, G., 2020. Catalyzing sustainable fisheries management through behavior change interventions. Conserv. Biol. 34, 1176–1189. https://doi.org/10.1111/cobi.13475</w:t>
      </w:r>
    </w:p>
    <w:p w14:paraId="5A02CE2A"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Merritt, A.C., Effron, D. a., Monin, B., 2010. Moral self-licensing: When being good frees us to be bad. Soc. Personal. Psychol. Compass 4, 344–357. https://doi.org/10.1111/j.1751-9004.2010.00263.x</w:t>
      </w:r>
    </w:p>
    <w:p w14:paraId="38AC1852"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Michie, S., Maartje M van Stralen, Robert West, 2011. The behaviour change wheel: A new method for characterising and designing behaviour change interventions. Implement. Sci. 6, 42. https://doi.org/10.1001/archderm.1985.01660070119033</w:t>
      </w:r>
    </w:p>
    <w:p w14:paraId="3D2DCD51"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 xml:space="preserve">Michie, S., Richardson, M., Johnston, M., Abraham, C., Francis, J., Hardeman, W., Eccles, M.P., Cane, J., Wood, C.E., 2013. The behavior change technique taxonomy (v1) of 93 </w:t>
      </w:r>
      <w:r w:rsidRPr="00610947">
        <w:rPr>
          <w:noProof/>
        </w:rPr>
        <w:lastRenderedPageBreak/>
        <w:t>hierarchically clustered techniques: Building an international consensus for the reporting of behavior change interventions. Ann. Behav. Med. 46, 81–95. https://doi.org/10.1007/s12160-013-9486-6</w:t>
      </w:r>
    </w:p>
    <w:p w14:paraId="212A79DD"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Myers, N., 1998. Lifting the veil on perverse subsidies. Nature 392, 327–328.</w:t>
      </w:r>
    </w:p>
    <w:p w14:paraId="7591DA2A"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Nelson, L.D., Simmons, J., Simonsohn, U., 2018. Psychology’s renaissance. Annu. Rev. Psychol. 69, 11–34.</w:t>
      </w:r>
    </w:p>
    <w:p w14:paraId="776B7703"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Nielsen, K.S., Clayton, S., Stern, P.C., Dietz, T., Capstick, S., Whitmarsh, L., 2021a. How psychology can help limit climate change. Am. Psychol. 76, 130–144. https://doi.org/10.1037/amp0000624</w:t>
      </w:r>
    </w:p>
    <w:p w14:paraId="70C1B4BC"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Nielsen, K.S., Marteau, T.M., Bauer, J.M., Bradbury, R., Broad, S., Burgess, G., Burgman, M., Byerly, H., Clayton, S., Espelosin, D., Ferraro, P.J., Fisher, B., Garnett, E.E., Jones, J.P.G., Otieno, M., Polasky, S., Ricketts, T.H., Trevelyan, R., Linden, S. van der, Verissimo, D., Balmford, A., 2021b. Biodiversity conservation as a promising frontier for behavioural science. Nat. Hum. Behav. 5, 550–556.</w:t>
      </w:r>
    </w:p>
    <w:p w14:paraId="523F79DF"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Nielsen, K.S., Stern, P.C., Dietz, T., Gilligan, J.M., van Vuuren, D.P., Figueroa, M.J., Folke, C., Gwozdz, W., Ivanova, D., Reisch, L.A., Vandenbergh, M.P., Wolske, K.S., Wood, R., 2020. Improving climate change mitigation analysis: A framework for examining feasibility. One Earth 3, 325–336. https://doi.org/10.1016/j.oneear.2020.08.007</w:t>
      </w:r>
    </w:p>
    <w:p w14:paraId="6833374D"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610947">
        <w:rPr>
          <w:noProof/>
        </w:rPr>
        <w:t xml:space="preserve">Nilsson, D., Fielding, K., Dean, A.J., 2020. Achieving conservation impact by shifting focus from human attitudes to behaviors. </w:t>
      </w:r>
      <w:r w:rsidRPr="005F61F3">
        <w:rPr>
          <w:noProof/>
          <w:lang w:val="da-DK"/>
        </w:rPr>
        <w:t>Conserv. Biol. 34, 93–102. https://doi.org/10.1111/cobi.13363</w:t>
      </w:r>
    </w:p>
    <w:p w14:paraId="0FDD7644"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Nisa, C.F., Bélanger, J.J., Schumpe, B.M., Faller, D.G., 2019. </w:t>
      </w:r>
      <w:r w:rsidRPr="00610947">
        <w:rPr>
          <w:noProof/>
        </w:rPr>
        <w:t>Meta-analysis of randomised controlled trials testing behavioural interventions to promote household action on climate change. Nat. Commun. 10, 4545. https://doi.org/10.1038/s41467-019-12457-2</w:t>
      </w:r>
    </w:p>
    <w:p w14:paraId="3E0EDAC1"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 xml:space="preserve">Nosek, B.A., Ebersole, C.R., DeHaven, A.C., Mellor, D.T., 2018. The preregistration </w:t>
      </w:r>
      <w:r w:rsidRPr="00610947">
        <w:rPr>
          <w:noProof/>
        </w:rPr>
        <w:lastRenderedPageBreak/>
        <w:t>revolution. Proc. Natl. Acad. Sci. 115, 2600–2606. https://doi.org/10.1073/pnas.1708274114</w:t>
      </w:r>
    </w:p>
    <w:p w14:paraId="5AEB05F6"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OECD, 2020. Innovative citizen participation and new democratic institutions: Catching the new deliberative wave. Paris. https://doi.org/https://doi.org/10.1787/339306da-en</w:t>
      </w:r>
    </w:p>
    <w:p w14:paraId="0550A522"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Offord-Woolley, S., 2017. The Chi initiative: A behaviour change initiative to reduce the demand for rhino horn in Viet Nam. Pachyderm 144–147.</w:t>
      </w:r>
    </w:p>
    <w:p w14:paraId="01DBB903"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Olmedo, A., Sharif, V., Milner‐Gulland, E.J., 2018. Evaluating the design of behavior change interventions: A case study of rhino horn in Vietnam. Conserv. Lett. 11, e12365.</w:t>
      </w:r>
    </w:p>
    <w:p w14:paraId="65554948"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Oreskes, N., Conway, E.M., 2011. Merchants of doubt: How a handful of scientists obscured the truth on issues from tobacco smoke to global warming. Bloomsbury Publishing, New York, USA.</w:t>
      </w:r>
    </w:p>
    <w:p w14:paraId="13E93AE9"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610947">
        <w:rPr>
          <w:noProof/>
        </w:rPr>
        <w:t xml:space="preserve">Osbaldiston, R., Schott, J.P., 2012. Environmental sustainability and behavioral science: Meta-analysis of proenvironmental behavior experiments. </w:t>
      </w:r>
      <w:r w:rsidRPr="005F61F3">
        <w:rPr>
          <w:noProof/>
          <w:lang w:val="da-DK"/>
        </w:rPr>
        <w:t>Environ. Behav. 44, 257–299. https://doi.org/10.1177/0013916511402673</w:t>
      </w:r>
    </w:p>
    <w:p w14:paraId="7585A866"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Osman, M., McLachlan, S., Fenton, N., Neil, M., Löfstedt, R., Meder, B., 2020. </w:t>
      </w:r>
      <w:r w:rsidRPr="00610947">
        <w:rPr>
          <w:noProof/>
        </w:rPr>
        <w:t>Learning from behavioural changes that fail. Trends Cogn. Sci. 24, 969–980. https://doi.org/10.1016/j.tics.2020.09.009</w:t>
      </w:r>
    </w:p>
    <w:p w14:paraId="239A5442"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Österblom, H., Jouffray, J.-B., Folke, C., Rockström, J., 2017. </w:t>
      </w:r>
      <w:r w:rsidRPr="00610947">
        <w:rPr>
          <w:noProof/>
        </w:rPr>
        <w:t>Emergence of a global science–business initiative for ocean stewardship. Proc. Natl. Acad. Sci. 114, 9038–9043. https://doi.org/10.1073/pnas.1704453114</w:t>
      </w:r>
    </w:p>
    <w:p w14:paraId="729F1D8C"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Osterblom, H., Jouffray, J.B., Folke, C., Crona, B., Troell, M., Merrie, A., Rockström, J., 2015. Transnational corporations as “keystone actors” in marine ecosystems. PLoS One 10, 1–15. https://doi.org/10.1371/journal.pone.0127533</w:t>
      </w:r>
    </w:p>
    <w:p w14:paraId="5D3D7F31"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 xml:space="preserve">Otero, I., Farrell, K.N., Pueyo, S., Kallis, G., Kehoe, L., Haberl, H., Plutzar, C., Hobson, P., García‐Márquez, J., Rodríguez‐Labajos, B., 2020. Biodiversity policy beyond economic </w:t>
      </w:r>
      <w:r w:rsidRPr="00610947">
        <w:rPr>
          <w:noProof/>
        </w:rPr>
        <w:lastRenderedPageBreak/>
        <w:t>growth. Conserv. Lett. e12713.</w:t>
      </w:r>
    </w:p>
    <w:p w14:paraId="1B45540B"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Owen, A., Barrett, J., Owen, A., Barrett, J., 2020. Reducing inequality resulting from UK low-carbon policy. Clim. Policy 20, 1193–1208. https://doi.org/10.1080/14693062.2020.1773754</w:t>
      </w:r>
    </w:p>
    <w:p w14:paraId="4DB5EA49"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Palm-Forster, L.H., Ferraro, P.J., Janusch, N., Vossler, C.A., Messer, K.D., 2019. Behavioral and experimental agri-environmental research: methodological challenges, literature gaps, and recommendations. Environ. Resour. Econ. 73, 719–742.</w:t>
      </w:r>
    </w:p>
    <w:p w14:paraId="56E9C683"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Parker, T., Fraser, H., Nakagawa, S., Hampton, J.O., Warburton, B., Sandøe, P., 2019. Making conservation science more reliable with preregistration and registered reports. Conserv. Biol. 33, 747–750.</w:t>
      </w:r>
    </w:p>
    <w:p w14:paraId="6171812E"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Pattanayak, S.K., Wunder, S., Ferraro, P.J., 2010. Show me the money: do payments supply environmental services in developing countries? Rev. Environ. Econ. Policy 4, 254–274.</w:t>
      </w:r>
    </w:p>
    <w:p w14:paraId="5A75A9A3"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Paunov, Y., Wänke, M., Vogel, T., 2019. Transparency effects on policy compliance: disclosing how defaults work can enhance their effectiveness. Behav. Public Policy 3, 187–208. https://doi.org/10.1017/bpp.2018.40</w:t>
      </w:r>
    </w:p>
    <w:p w14:paraId="6EF9A994"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Pechey, R., Couturier, D.-L., Hollands, G.J., Mantzari, E., Munafò, M.R., Marteau, T.M., 2016. Does wine glass size influence sales for on-site consumption? A multiple treatment reversal design. BMC Public Health 16, 390.</w:t>
      </w:r>
    </w:p>
    <w:p w14:paraId="7AEB8B06"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Pilling, M., Clarke, N., Pechey, R., Hollands, G.J., Marteau, T.M., 2020. The effect of wine glass size on volume of wine sold: a mega‐analysis of studies in bars and restaurants. Addiction 115, 1660–1667.</w:t>
      </w:r>
    </w:p>
    <w:p w14:paraId="3941538D"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Promberger, M., Marteau, T.M., 2013. When do financial incentives reduce intrinsic motivation? Comparing behaviors studied in psychological and economic literatures. Heal. Psychol. 32, 950–957. https://doi.org/10.1037/a0032727</w:t>
      </w:r>
    </w:p>
    <w:p w14:paraId="1A2F1121"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 xml:space="preserve">Raimondo, D., Von Staden, L., 2009. Patterns and trends in the Red List of South African </w:t>
      </w:r>
      <w:r w:rsidRPr="00610947">
        <w:rPr>
          <w:noProof/>
        </w:rPr>
        <w:lastRenderedPageBreak/>
        <w:t>plants, in: Raimondo, D., Von Staden, L., Foden, W., Victor, J.E., Helme, N.A., Turner, R.C., Kamundi, D.A., Manyama, P.A. (Eds.), Red List of South African Plants. South African National Biodiversity Institute, Pretoria, pp. 19–25.</w:t>
      </w:r>
    </w:p>
    <w:p w14:paraId="1AB0EEB7"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Rare and The Behavioural Insights Team, 2019. Behavior change for nature: A behavioral science toolkit for practitioners. Rare, Arlington, VA.</w:t>
      </w:r>
    </w:p>
    <w:p w14:paraId="10C2A026"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Reddy, S.M.W., Montambault, J., Masuda, Y.J., Keenan, E., Butler, W., Fisher, J.R.B., Asah, S.T., Gneezy, A., 2017. Advancing conservation by understanding and influencing human behavior. Conserv. Lett. 10, 248–256. https://doi.org/10.1111/conl.12252</w:t>
      </w:r>
    </w:p>
    <w:p w14:paraId="15869817"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Rode, J., Gómez-Baggethun, E., Krause, T., 2015. </w:t>
      </w:r>
      <w:r w:rsidRPr="00610947">
        <w:rPr>
          <w:noProof/>
        </w:rPr>
        <w:t>Motivation crowding by economic incentives in conservation policy: A review of the empirical evidence. Ecol. Econ. 117, 270–282.</w:t>
      </w:r>
    </w:p>
    <w:p w14:paraId="67856C5D"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Ryan, R., Deci, E., 2000. Self-determination theory and the facilitation of intrinsic motivation. Am. Psychol. 55, 68–78. https://doi.org/10.1037/0003-066X.55.1.68</w:t>
      </w:r>
    </w:p>
    <w:p w14:paraId="049B2CF7"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Sandbrook, C., 2017. Weak yet strong: The uneven power relations of conservation. Oryx 51, 379–380.</w:t>
      </w:r>
    </w:p>
    <w:p w14:paraId="5018B8E6"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Saunders, C.D., 2003. The emerging field of conservation psychology. Hum. Ecol. Rev.</w:t>
      </w:r>
    </w:p>
    <w:p w14:paraId="5F7A4018"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Saunders, C.D., Brook, A.T., Eugene Myers, O., 2006. Using psychology to save biodiversity and human well-being. Conserv. Biol. 20, 702–705. https://doi.org/10.1111/j.1523-1739.2006.00435.x</w:t>
      </w:r>
    </w:p>
    <w:p w14:paraId="6FF9D22D"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Schmidt, A.T., Engelen, B., 2020. The ethics of nudging: An overview. Philos. Compass 15, 1–13. https://doi.org/10.1111/phc3.12658</w:t>
      </w:r>
    </w:p>
    <w:p w14:paraId="5E00F30B"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Schultz, P.W., 2011. Conservation means behavior. Conserv. Biol. 25, 1080–1083.</w:t>
      </w:r>
    </w:p>
    <w:p w14:paraId="6578E002"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Schultz, P.W., Bator, R.J., Large, L.B., Bruni, C.M., Tabanico, J.J., 2013. Littering in context: Personal and environmental predictors of littering behavior. Environ. Behav. 45, 35–59.</w:t>
      </w:r>
    </w:p>
    <w:p w14:paraId="6936A5F5"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lastRenderedPageBreak/>
        <w:t>Seekamp, E., McCreary, A., Mayer, J., Zack, S., Charlebois, P., Pasternak, L., 2016. Exploring the efficacy of an aquatic invasive species prevention campaign among water recreationists. Biol. Invasions 18, 1745–1758.</w:t>
      </w:r>
    </w:p>
    <w:p w14:paraId="7089A428"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Selinske, M.J., Garrard, G.E., Bekessy, S.A., Gordon, A., Kusmanoff, A.M., Fidler, F., 2018. Revisiting the promise of conservation psychology. Conserv. Biol. 32, 1464–1468. https://doi.org/10.1111/cobi.13106</w:t>
      </w:r>
    </w:p>
    <w:p w14:paraId="6B6B91E8"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Selinske, M.J., Garrard, G.E., Gregg, E.A., Kusmanoff, A.M., Kidd, L.R., Cullen, M.T., Cooper, M., Geary, W.L., Hatty, M.A., Hames, F., Kneebone, S., McLeod, E.M., Ritchie, E.G., Squires, Z.E., Thomas, J., Willcock, M.A.W., Blair, S., Bekessy, S.A., 2020. Identifying and prioritizing human behaviors that benefit biodiversity. Conserv. Sci. Pract. 2, e249. https://doi.org/10.1111/csp2.249</w:t>
      </w:r>
    </w:p>
    <w:p w14:paraId="18C96965"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Seto, K.C., Davis, S.J., Mitchell, R.B., Stokes, E.C., Unruh, G., Urge-vorsatz, D., 2016. Carbon lock-in: Types, causes, and policy implications. Annu. Rev. Environ. Resour. 41, 425–452. https://doi.org/10.1146/annurev-environ-110615-085934</w:t>
      </w:r>
    </w:p>
    <w:p w14:paraId="01DD01C4"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Sheeran, P., 2002. Intention-behavior relations: A conceptual and empirical review. Eur. Rev. Soc. Psychol. 12, 1–36. https://doi.org/10.1080/14792772143000003</w:t>
      </w:r>
    </w:p>
    <w:p w14:paraId="169966EA"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Simmons, J.P., Nelson, L.D., Simonsohn, U., 2011. False-positive psychology: Undisclosed flexibility in data collection and analysis allows presenting anything as significant. Psychol. Sci. 22, 1359–1366. https://doi.org/10.1177/0956797611417632</w:t>
      </w:r>
    </w:p>
    <w:p w14:paraId="160DE705"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Sorrell, S., Gatersleben, B., Druckman, A., 2020. The limits of energy sufficiency: A review of the evidence for rebound effects and negative spillovers from behavioural change. Energy Res. Soc. Sci. 64, 101439. https://doi.org/10.1016/j.erss.2020.101439</w:t>
      </w:r>
    </w:p>
    <w:p w14:paraId="2E64644A"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Springmann, M., Mason-D’Croz, D., Robinson, S., Wiebe, K., Godfray, H.C.J., Rayner, M., Scarborough, P., 2017. Mitigation potential and global health impacts from emissions pricing of food commodities. Nat. Clim. Chang. 7, 69–74.</w:t>
      </w:r>
    </w:p>
    <w:p w14:paraId="5C682A92"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lastRenderedPageBreak/>
        <w:t>Stern, P.C., Wolske, K.S., Dietz, T., 2021. Design principles for climate change decisions. Curr. Opin. Environ. Sustain. 52, 9–18. https://doi.org/10.1016/j.cosust.2021.05.002</w:t>
      </w:r>
    </w:p>
    <w:p w14:paraId="23360C04"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610947">
        <w:rPr>
          <w:noProof/>
        </w:rPr>
        <w:t xml:space="preserve">Strack, F., Deutsch, R., 2004. Reflective and impulsive determinants of social behavior. </w:t>
      </w:r>
      <w:r w:rsidRPr="005F61F3">
        <w:rPr>
          <w:noProof/>
          <w:lang w:val="da-DK"/>
        </w:rPr>
        <w:t>Personal. Soc. Psychol. Rev. 8, 220–247. https://doi.org/10.1207/s15327957pspr0803_1</w:t>
      </w:r>
    </w:p>
    <w:p w14:paraId="6B77BB49"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Swinburn, B., Egger, G., Raza, F., 1999. </w:t>
      </w:r>
      <w:r w:rsidRPr="00610947">
        <w:rPr>
          <w:noProof/>
        </w:rPr>
        <w:t>The development and application of a framework for identifying and prioritizing environmental interventions for obesity. Dissecting Obesogenic Environ. 29, 563–570.</w:t>
      </w:r>
    </w:p>
    <w:p w14:paraId="6B58C472"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Teixeira, P.J., Marques, M.M., Silva, M.N., Brunet, J., Duda, J.L., Haerens, L., La Guardia, J., Lindwall, M., Lonsdale, C., Markland, D., 2020. A classification of motivation and behavior change techniques used in self-determination theory-based interventions in health contexts. Motiv. Sci.</w:t>
      </w:r>
    </w:p>
    <w:p w14:paraId="47753D07"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Thaler, R.H., 2018. From cashews to nudges: The evolution of behavioral economics. Am. Econ. Rev. 108, 1265–1287.</w:t>
      </w:r>
    </w:p>
    <w:p w14:paraId="77B319DE"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Thaler, R.H., Sunstein, C.R., 2009. Nudge: Improving decisions about health, wealth, and happiness. Penguin.</w:t>
      </w:r>
    </w:p>
    <w:p w14:paraId="2CF4622B"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Thomas-Walters, L., McCallum, J., Montgomery, R., Kar, A., Wan, Y., Veríssimo, D., 2020a. A systematic review of conservation efforts using non-monetary, non-regulatory incentives to promote voluntary behaviour change. SocArXiv 1–35. https://doi.org/10.31235/osf.io/6dhaf</w:t>
      </w:r>
    </w:p>
    <w:p w14:paraId="3666E3AA"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Thomas-Walters, L., Roberts, D., Smith, R.J., 2020b. Taking a more nuanced look at behavior change for demand reduction in the illegal wildlife trade. Conserv. Sci. Pract. 2, e248. https://doi.org/10.1111/csp2.248</w:t>
      </w:r>
    </w:p>
    <w:p w14:paraId="2438B4A5"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 xml:space="preserve">Tittensor, D.P., Walpole, M., Hill, S.L.L., Boyce, D.G., Britten, G.L., Burgess, N.D., Butchart, S.H.M., Leadley, P.W., Regan, E.C., Alkemade, R., Baumung, R., Bellard, C., Bouwman, L., Bowles-newark, N.J., Chenery, A.M., Cheung, W.W.L., 2014. </w:t>
      </w:r>
      <w:r w:rsidRPr="00610947">
        <w:rPr>
          <w:noProof/>
        </w:rPr>
        <w:lastRenderedPageBreak/>
        <w:t>Biodiversity targets. Science. 346, 241–243. https://doi.org/10.1016/0020-7489(94)90078-7</w:t>
      </w:r>
    </w:p>
    <w:p w14:paraId="2E76E726"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610947">
        <w:rPr>
          <w:noProof/>
        </w:rPr>
        <w:t xml:space="preserve">Travers, H., Walsh, J., Vogt, S., Clements, T., Milner-Gulland, E.J., 2021. Delivering behavioural change at scale: What conservation can learn from other fields. </w:t>
      </w:r>
      <w:r w:rsidRPr="005F61F3">
        <w:rPr>
          <w:noProof/>
          <w:lang w:val="da-DK"/>
        </w:rPr>
        <w:t>Biol. Conserv. 257, 109092. https://doi.org/10.1016/j.biocon.2021.109092</w:t>
      </w:r>
    </w:p>
    <w:p w14:paraId="228E620A"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5F61F3">
        <w:rPr>
          <w:noProof/>
          <w:lang w:val="da-DK"/>
        </w:rPr>
        <w:t xml:space="preserve">van der Linden, S., 2018. </w:t>
      </w:r>
      <w:r w:rsidRPr="00610947">
        <w:rPr>
          <w:noProof/>
        </w:rPr>
        <w:t xml:space="preserve">Warm glow is associated with low- but not high-cost sustainable behaviour. </w:t>
      </w:r>
      <w:r w:rsidRPr="005F61F3">
        <w:rPr>
          <w:noProof/>
          <w:lang w:val="da-DK"/>
        </w:rPr>
        <w:t>Nat. Sustain. 1, 28–30. https://doi.org/10.1038/s41893-017-0001-0</w:t>
      </w:r>
    </w:p>
    <w:p w14:paraId="4B53ED2D"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5F61F3">
        <w:rPr>
          <w:noProof/>
          <w:lang w:val="da-DK"/>
        </w:rPr>
        <w:t xml:space="preserve">van der Linden, S., 2015. </w:t>
      </w:r>
      <w:r w:rsidRPr="00610947">
        <w:rPr>
          <w:noProof/>
        </w:rPr>
        <w:t xml:space="preserve">Intrinsic motivation and pro-environmental behaviour. </w:t>
      </w:r>
      <w:r w:rsidRPr="005F61F3">
        <w:rPr>
          <w:noProof/>
          <w:lang w:val="da-DK"/>
        </w:rPr>
        <w:t>Nat. Clim. Chang. 5, 612–613.</w:t>
      </w:r>
    </w:p>
    <w:p w14:paraId="6DBEC57D"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5F61F3">
        <w:rPr>
          <w:noProof/>
          <w:lang w:val="da-DK"/>
        </w:rPr>
        <w:t xml:space="preserve">van der Linden, S., Goldberg, M.H., 2020. </w:t>
      </w:r>
      <w:r w:rsidRPr="00610947">
        <w:rPr>
          <w:noProof/>
        </w:rPr>
        <w:t xml:space="preserve">Alternative meta-analysis of behavioral interventions to promote action on climate change yields different conclusions. </w:t>
      </w:r>
      <w:r w:rsidRPr="005F61F3">
        <w:rPr>
          <w:noProof/>
          <w:lang w:val="da-DK"/>
        </w:rPr>
        <w:t>Nat. Commun. 11, 1–2.</w:t>
      </w:r>
    </w:p>
    <w:p w14:paraId="4AAB4D10" w14:textId="77777777" w:rsidR="00610947" w:rsidRPr="005F61F3" w:rsidRDefault="00610947" w:rsidP="00610947">
      <w:pPr>
        <w:widowControl w:val="0"/>
        <w:autoSpaceDE w:val="0"/>
        <w:autoSpaceDN w:val="0"/>
        <w:adjustRightInd w:val="0"/>
        <w:spacing w:after="0" w:line="480" w:lineRule="auto"/>
        <w:ind w:left="480" w:hanging="480"/>
        <w:rPr>
          <w:noProof/>
          <w:lang w:val="da-DK"/>
        </w:rPr>
      </w:pPr>
      <w:r w:rsidRPr="005F61F3">
        <w:rPr>
          <w:noProof/>
          <w:lang w:val="da-DK"/>
        </w:rPr>
        <w:t xml:space="preserve">Van Gils, E.J.T., Ingram, V.J., Iponga, D.M., Abernethy, K., 2019. </w:t>
      </w:r>
      <w:r w:rsidRPr="00610947">
        <w:rPr>
          <w:noProof/>
        </w:rPr>
        <w:t xml:space="preserve">Changes in livelihood practices, strategies and dependence on bushmeat in two provinces in Gabon. </w:t>
      </w:r>
      <w:r w:rsidRPr="005F61F3">
        <w:rPr>
          <w:noProof/>
          <w:lang w:val="da-DK"/>
        </w:rPr>
        <w:t>Int. For. Rev. 21, 108–127.</w:t>
      </w:r>
    </w:p>
    <w:p w14:paraId="28B83402" w14:textId="77777777" w:rsidR="00610947" w:rsidRPr="00610947" w:rsidRDefault="00610947" w:rsidP="00610947">
      <w:pPr>
        <w:widowControl w:val="0"/>
        <w:autoSpaceDE w:val="0"/>
        <w:autoSpaceDN w:val="0"/>
        <w:adjustRightInd w:val="0"/>
        <w:spacing w:after="0" w:line="480" w:lineRule="auto"/>
        <w:ind w:left="480" w:hanging="480"/>
        <w:rPr>
          <w:noProof/>
        </w:rPr>
      </w:pPr>
      <w:r w:rsidRPr="005F61F3">
        <w:rPr>
          <w:noProof/>
          <w:lang w:val="da-DK"/>
        </w:rPr>
        <w:t xml:space="preserve">Vandenbergh, M.P., Gilligan, J.M., 2017. Beyond politics. </w:t>
      </w:r>
      <w:r w:rsidRPr="00610947">
        <w:rPr>
          <w:noProof/>
        </w:rPr>
        <w:t>Cambridge University Press.</w:t>
      </w:r>
    </w:p>
    <w:p w14:paraId="3DAFF85C"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Veríssimo, D., 2019. The past, present, and future of using social marketing to conserve biodiversity. Soc. Mar. Q. 25, 3–8. https://doi.org/10.1177/1524500419825545</w:t>
      </w:r>
    </w:p>
    <w:p w14:paraId="22D7ADC7"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Veríssimo, D., Bianchessi, A., Arrivillaga, A., Cadiz, F.C., Mancao, R., Green, K., 2018a. Does it work for biodiversity? Experiences and challenges in the evaluation of social marketing campaigns. Soc. Mar. Q. 24, 18–34. https://doi.org/10.1177/1524500417734806</w:t>
      </w:r>
    </w:p>
    <w:p w14:paraId="4732624A"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Veríssimo, D., Schmid, C., Kimario, F.F., Eves, H.E., 2018b. Measuring the impact of an entertainment‐education intervention to reduce demand for bushmeat. Anim. Conserv. 21, 324–331.</w:t>
      </w:r>
    </w:p>
    <w:p w14:paraId="72F19728"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lastRenderedPageBreak/>
        <w:t>Verplanken, B., Walker, I., Davis, A., Jurasek, M., 2008. Context change and travel mode choice: Combining the habit discontinuity and self-activation hypotheses. J. Environ. Psychol. 28, 121–127.</w:t>
      </w:r>
    </w:p>
    <w:p w14:paraId="3940D769"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Vlek, C., Steg, L., 2007. Human behavior and environmental sustainability: Problems, driving forces, and research topics. J. Soc. Issues 63, 1–19.</w:t>
      </w:r>
    </w:p>
    <w:p w14:paraId="0794B6FB"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Waddock, S., 2020. Achieving sustainability requires systemic business transformation. Glob. Sustain. e12.</w:t>
      </w:r>
    </w:p>
    <w:p w14:paraId="6F3C7ADF"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Wallander, S., Ferraro, P., Higgins, N., 2017. Addressing participant inattention in federal programs: A field experiment with the conservation reserve program. Am. J. Agric. Econ. 99, 914–931.</w:t>
      </w:r>
    </w:p>
    <w:p w14:paraId="7E42A5FC"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Wiik, E., Jones, J.P.G., Pynegar, E., Bottazzi, P., Asquith, N., Gibbons, J., Kontoleon, A., 2020. Mechanisms and impacts of an incentive-based conservation program with evidence from a Randomized Control Trial. Conserv. Biol. 34, 1076–1088. https://doi.org/10.1111/cobi.13508.This</w:t>
      </w:r>
    </w:p>
    <w:p w14:paraId="5DE6A0D1"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Williams, D.R., Balmford, A., Wilcove, D.S., 2020. The past and future role of conservation science in saving biodiversity. Conserv. Lett. e12720. https://doi.org/10.1111/conl.12720</w:t>
      </w:r>
    </w:p>
    <w:p w14:paraId="73B45DE5"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Wunder, S., 2007. The efficiency of payments for environmental services in tropical conservation. Conserv. Biol. 21, 48–58.</w:t>
      </w:r>
    </w:p>
    <w:p w14:paraId="69831093" w14:textId="77777777" w:rsidR="00610947" w:rsidRPr="00610947" w:rsidRDefault="00610947" w:rsidP="00610947">
      <w:pPr>
        <w:widowControl w:val="0"/>
        <w:autoSpaceDE w:val="0"/>
        <w:autoSpaceDN w:val="0"/>
        <w:adjustRightInd w:val="0"/>
        <w:spacing w:after="0" w:line="480" w:lineRule="auto"/>
        <w:ind w:left="480" w:hanging="480"/>
        <w:rPr>
          <w:noProof/>
        </w:rPr>
      </w:pPr>
      <w:r w:rsidRPr="00610947">
        <w:rPr>
          <w:noProof/>
        </w:rPr>
        <w:t>Wunder, S., Brouwer, R., Engel, S., Ezzine-De-Blas, D., Muradian, R., Pascual, U., Pinto, R., 2018. From principles to practice in paying for nature’s services. Nat. Sustain. 1, 145–150. https://doi.org/10.1038/s41893-018-0036-x</w:t>
      </w:r>
    </w:p>
    <w:p w14:paraId="2F9F84E8" w14:textId="641FD74E" w:rsidR="00E76BBA" w:rsidRPr="00E7337F" w:rsidRDefault="00243E33" w:rsidP="00610947">
      <w:pPr>
        <w:widowControl w:val="0"/>
        <w:autoSpaceDE w:val="0"/>
        <w:autoSpaceDN w:val="0"/>
        <w:adjustRightInd w:val="0"/>
        <w:spacing w:after="0" w:line="480" w:lineRule="auto"/>
        <w:ind w:left="480" w:hanging="480"/>
      </w:pPr>
      <w:r w:rsidRPr="00E7337F">
        <w:fldChar w:fldCharType="end"/>
      </w:r>
    </w:p>
    <w:p w14:paraId="2DF829CD" w14:textId="77777777" w:rsidR="00E76BBA" w:rsidRPr="00E7337F" w:rsidRDefault="00E76BBA">
      <w:r w:rsidRPr="00E7337F">
        <w:br w:type="page"/>
      </w:r>
    </w:p>
    <w:p w14:paraId="5B52FD96" w14:textId="77777777" w:rsidR="00E76BBA" w:rsidRPr="00E7337F" w:rsidRDefault="00E76BBA" w:rsidP="00331A5B">
      <w:pPr>
        <w:widowControl w:val="0"/>
        <w:autoSpaceDE w:val="0"/>
        <w:autoSpaceDN w:val="0"/>
        <w:adjustRightInd w:val="0"/>
        <w:spacing w:after="0" w:line="480" w:lineRule="auto"/>
        <w:ind w:left="480" w:hanging="480"/>
      </w:pPr>
    </w:p>
    <w:p w14:paraId="6774102E" w14:textId="04ED8FBC" w:rsidR="00E76BBA" w:rsidRPr="00E7337F" w:rsidRDefault="00035865" w:rsidP="009A691C">
      <w:pPr>
        <w:widowControl w:val="0"/>
        <w:autoSpaceDE w:val="0"/>
        <w:autoSpaceDN w:val="0"/>
        <w:adjustRightInd w:val="0"/>
        <w:spacing w:after="0" w:line="480" w:lineRule="auto"/>
        <w:ind w:left="480" w:hanging="480"/>
        <w:jc w:val="center"/>
      </w:pPr>
      <w:r>
        <w:rPr>
          <w:noProof/>
        </w:rPr>
        <w:drawing>
          <wp:inline distT="0" distB="0" distL="0" distR="0" wp14:anchorId="0B11DD15" wp14:editId="0F6C1DC6">
            <wp:extent cx="5731510" cy="5927725"/>
            <wp:effectExtent l="0" t="0" r="0" b="0"/>
            <wp:docPr id="2" name="Bille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lede 2"/>
                    <pic:cNvPicPr/>
                  </pic:nvPicPr>
                  <pic:blipFill>
                    <a:blip r:embed="rId14">
                      <a:extLst>
                        <a:ext uri="{28A0092B-C50C-407E-A947-70E740481C1C}">
                          <a14:useLocalDpi xmlns:a14="http://schemas.microsoft.com/office/drawing/2010/main" val="0"/>
                        </a:ext>
                      </a:extLst>
                    </a:blip>
                    <a:stretch>
                      <a:fillRect/>
                    </a:stretch>
                  </pic:blipFill>
                  <pic:spPr>
                    <a:xfrm>
                      <a:off x="0" y="0"/>
                      <a:ext cx="5731510" cy="5927725"/>
                    </a:xfrm>
                    <a:prstGeom prst="rect">
                      <a:avLst/>
                    </a:prstGeom>
                  </pic:spPr>
                </pic:pic>
              </a:graphicData>
            </a:graphic>
          </wp:inline>
        </w:drawing>
      </w:r>
    </w:p>
    <w:p w14:paraId="08452BD5" w14:textId="35203557" w:rsidR="00450CA8" w:rsidRPr="00A066D2" w:rsidRDefault="00E76BBA" w:rsidP="00A066D2">
      <w:pPr>
        <w:widowControl w:val="0"/>
        <w:autoSpaceDE w:val="0"/>
        <w:autoSpaceDN w:val="0"/>
        <w:adjustRightInd w:val="0"/>
        <w:spacing w:after="0" w:line="240" w:lineRule="auto"/>
        <w:sectPr w:rsidR="00450CA8" w:rsidRPr="00A066D2" w:rsidSect="005F61F3">
          <w:footerReference w:type="even" r:id="rId15"/>
          <w:footerReference w:type="default" r:id="rId16"/>
          <w:pgSz w:w="11906" w:h="16838"/>
          <w:pgMar w:top="1440" w:right="1440" w:bottom="1440" w:left="1440" w:header="709" w:footer="709" w:gutter="0"/>
          <w:pgNumType w:start="1"/>
          <w:cols w:space="708"/>
          <w:docGrid w:linePitch="326"/>
        </w:sectPr>
      </w:pPr>
      <w:r w:rsidRPr="009A691C">
        <w:rPr>
          <w:b/>
          <w:bCs/>
        </w:rPr>
        <w:t xml:space="preserve">Fig. 1. </w:t>
      </w:r>
      <w:r w:rsidRPr="009A691C">
        <w:t>Conceptual framework</w:t>
      </w:r>
      <w:r w:rsidR="009A691C">
        <w:t xml:space="preserve"> depicting the proposed </w:t>
      </w:r>
      <w:r w:rsidR="00035865">
        <w:t xml:space="preserve">six </w:t>
      </w:r>
      <w:r w:rsidR="009A691C">
        <w:t>phases of selecting, implementing, and evaluating behaviour change interventions for biodiversity conservation.</w:t>
      </w:r>
      <w:r w:rsidR="00A066D2">
        <w:t xml:space="preserve"> Image credit: Flaticons</w:t>
      </w:r>
      <w:r w:rsidR="00D07A05">
        <w:t>.com</w:t>
      </w:r>
      <w:r w:rsidR="00A066D2">
        <w:t xml:space="preserve"> and Fasil on freeicons.io.</w:t>
      </w:r>
      <w:r w:rsidR="00EE12F8" w:rsidRPr="009A691C">
        <w:rPr>
          <w:b/>
          <w:bCs/>
        </w:rPr>
        <w:br w:type="page"/>
      </w:r>
    </w:p>
    <w:p w14:paraId="60AF4199" w14:textId="761B95F5" w:rsidR="00450CA8" w:rsidRPr="00E7337F" w:rsidRDefault="002D31FA">
      <w:pPr>
        <w:tabs>
          <w:tab w:val="left" w:pos="5529"/>
        </w:tabs>
      </w:pPr>
      <w:r w:rsidRPr="00E7337F">
        <w:rPr>
          <w:noProof/>
        </w:rPr>
        <w:lastRenderedPageBreak/>
        <w:t xml:space="preserve"> </w:t>
      </w:r>
      <w:r w:rsidRPr="00E7337F">
        <w:rPr>
          <w:noProof/>
          <w:lang w:eastAsia="en-GB"/>
        </w:rPr>
        <w:drawing>
          <wp:inline distT="0" distB="0" distL="0" distR="0" wp14:anchorId="7AF31B6B" wp14:editId="7F44CC25">
            <wp:extent cx="8863330" cy="4339590"/>
            <wp:effectExtent l="0" t="0" r="1270" b="3810"/>
            <wp:docPr id="3" name="Bille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8863330" cy="4339590"/>
                    </a:xfrm>
                    <a:prstGeom prst="rect">
                      <a:avLst/>
                    </a:prstGeom>
                  </pic:spPr>
                </pic:pic>
              </a:graphicData>
            </a:graphic>
          </wp:inline>
        </w:drawing>
      </w:r>
    </w:p>
    <w:p w14:paraId="3E7485C4" w14:textId="491AF222" w:rsidR="00450CA8" w:rsidRPr="00E7337F" w:rsidRDefault="00EE12F8">
      <w:pPr>
        <w:spacing w:line="276" w:lineRule="auto"/>
      </w:pPr>
      <w:r w:rsidRPr="00E7337F">
        <w:rPr>
          <w:b/>
          <w:bCs/>
        </w:rPr>
        <w:t>Fig</w:t>
      </w:r>
      <w:r w:rsidR="00304073" w:rsidRPr="00E7337F">
        <w:rPr>
          <w:b/>
          <w:bCs/>
        </w:rPr>
        <w:t>. 2</w:t>
      </w:r>
      <w:r w:rsidRPr="00E7337F">
        <w:rPr>
          <w:b/>
          <w:bCs/>
        </w:rPr>
        <w:t>.</w:t>
      </w:r>
      <w:r w:rsidRPr="00E7337F">
        <w:t xml:space="preserve"> An illustration of the threat chains we used to explore the breadth of behaviour changes potentially capable of reducing threats to biodiversity. This example characterises (in red boxes) the threat to Hudsonian godwits overwintering on </w:t>
      </w:r>
      <w:proofErr w:type="spellStart"/>
      <w:r w:rsidRPr="00E7337F">
        <w:t>Chiloé</w:t>
      </w:r>
      <w:proofErr w:type="spellEnd"/>
      <w:r w:rsidRPr="00E7337F">
        <w:t xml:space="preserve"> Island from ingesting beach litter originating from householders and visitors (above dashed line) and aquaculture operations (below; DE pers. obs.). Potentially beneficial changes in the behaviours of </w:t>
      </w:r>
      <w:proofErr w:type="gramStart"/>
      <w:r w:rsidRPr="00E7337F">
        <w:t>particular actors</w:t>
      </w:r>
      <w:proofErr w:type="gramEnd"/>
      <w:r w:rsidRPr="00E7337F">
        <w:t xml:space="preserve"> are in blue boxes, with possible interventions for achieving them in italics. This threat chain addresses only one of several interacting threats impacting the conservation target. The threat chain model is adapted from </w:t>
      </w:r>
      <w:r w:rsidR="00C160C4" w:rsidRPr="00E7337F">
        <w:fldChar w:fldCharType="begin" w:fldLock="1"/>
      </w:r>
      <w:r w:rsidR="00071F56" w:rsidRPr="00E7337F">
        <w:instrText>ADDIN CSL_CITATION {"citationItems":[{"id":"ITEM-1","itemData":{"DOI":"10.1111/j.1523-1739.2009.01196.x","ISBN":"1523173920","ISSN":"08888892","abstract":"The causes of biodiversity loss are complex, so it is easy for the ways conservationists classify them to be misinterpreted. We therefore congratulate Salafsky and colleagues (2008) for their pioneering lexicon, intended to steer us through the morass of overlapping nomenclatures, terminologies, and typologies that our community uses to describe the threats biodiversity faces and the actions we carry out to address them. We have designed classification schemes that parallel their proposed global systems as part of a project in which over 30 conservation organizations and university research groups belonging to the Cambridge Conservation Forum (CCF) developed standardized tools for measuring the success of conservation interventions (Kapos et al. 2008, 2009). Although interactions between the two projects resulted in our schemes for classifying conservation actions converging, we disagree with the International Union for Conservation of Nature–Conservation Measures Partnership (IUCN–CMP) scheme for classifying threats.","author":[{"dropping-particle":"","family":"Balmford","given":"Andrew","non-dropping-particle":"","parse-names":false,"suffix":""},{"dropping-particle":"","family":"Carey","given":"Pete","non-dropping-particle":"","parse-names":false,"suffix":""},{"dropping-particle":"","family":"Kapos","given":"Valerie","non-dropping-particle":"","parse-names":false,"suffix":""},{"dropping-particle":"","family":"Manica","given":"Andrea","non-dropping-particle":"","parse-names":false,"suffix":""},{"dropping-particle":"","family":"Rodrigues","given":"Ana S.L.","non-dropping-particle":"","parse-names":false,"suffix":""},{"dropping-particle":"","family":"Scharlemann","given":"Jörn P.W.","non-dropping-particle":"","parse-names":false,"suffix":""},{"dropping-particle":"","family":"Green","given":"Rhys E.","non-dropping-particle":"","parse-names":false,"suffix":""}],"container-title":"Conservation Biology","id":"ITEM-1","issue":"2","issued":{"date-parts":[["2009"]]},"page":"482-487","title":"Capturing the many dimensions of threat: Comment on Salafsky et al.","type":"article-journal","volume":"23"},"uris":["http://www.mendeley.com/documents/?uuid=a3a30350-b9ee-46b8-8c7f-dde7d5e4e61f"]}],"mendeley":{"formattedCitation":"(Balmford et al., 2009)","manualFormatting":"Balmford et al. (2009)","plainTextFormattedCitation":"(Balmford et al., 2009)","previouslyFormattedCitation":"(Balmford et al., 2009)"},"properties":{"noteIndex":0},"schema":"https://github.com/citation-style-language/schema/raw/master/csl-citation.json"}</w:instrText>
      </w:r>
      <w:r w:rsidR="00C160C4" w:rsidRPr="00E7337F">
        <w:fldChar w:fldCharType="separate"/>
      </w:r>
      <w:r w:rsidR="00C160C4" w:rsidRPr="00E7337F">
        <w:rPr>
          <w:noProof/>
        </w:rPr>
        <w:t>Balmford et al. (2009)</w:t>
      </w:r>
      <w:r w:rsidR="00C160C4" w:rsidRPr="00E7337F">
        <w:fldChar w:fldCharType="end"/>
      </w:r>
      <w:r w:rsidRPr="00E7337F">
        <w:t>.</w:t>
      </w:r>
    </w:p>
    <w:p w14:paraId="173C7B5C" w14:textId="77777777" w:rsidR="00450CA8" w:rsidRPr="00E7337F" w:rsidRDefault="00450CA8">
      <w:pPr>
        <w:tabs>
          <w:tab w:val="left" w:pos="5529"/>
        </w:tabs>
        <w:sectPr w:rsidR="00450CA8" w:rsidRPr="00E7337F" w:rsidSect="00B418B7">
          <w:pgSz w:w="16838" w:h="11906" w:orient="landscape"/>
          <w:pgMar w:top="750" w:right="1440" w:bottom="540" w:left="1440" w:header="709" w:footer="709" w:gutter="0"/>
          <w:cols w:space="708"/>
          <w:docGrid w:linePitch="299"/>
        </w:sectPr>
      </w:pPr>
    </w:p>
    <w:p w14:paraId="06553305" w14:textId="28BEC982" w:rsidR="00450CA8" w:rsidRPr="00E7337F" w:rsidRDefault="00EE12F8">
      <w:pPr>
        <w:spacing w:line="276" w:lineRule="auto"/>
      </w:pPr>
      <w:r w:rsidRPr="00E7337F">
        <w:rPr>
          <w:b/>
          <w:bCs/>
        </w:rPr>
        <w:lastRenderedPageBreak/>
        <w:t xml:space="preserve">Table 1. </w:t>
      </w:r>
      <w:r w:rsidRPr="00E7337F">
        <w:t>IUCN</w:t>
      </w:r>
      <w:r w:rsidR="00723959" w:rsidRPr="00E7337F">
        <w:t>’s</w:t>
      </w:r>
      <w:r w:rsidRPr="00E7337F">
        <w:t xml:space="preserve"> level 1 classification of conservation actions</w:t>
      </w:r>
      <w:r w:rsidR="00723959" w:rsidRPr="00E7337F">
        <w:t xml:space="preserve"> (IUCN 2012)</w:t>
      </w:r>
      <w:r w:rsidRPr="00E7337F">
        <w:t xml:space="preserve">, </w:t>
      </w:r>
      <w:r w:rsidR="00723959" w:rsidRPr="00E7337F">
        <w:t xml:space="preserve">and </w:t>
      </w:r>
      <w:r w:rsidRPr="00E7337F">
        <w:t>our broad assessment of the general importance (categorised for simplicity as very important/important/likely to be important) of behavioural factors in determining the outcomes of actions in each category.</w:t>
      </w:r>
    </w:p>
    <w:p w14:paraId="0D92FBF2" w14:textId="77777777" w:rsidR="00450CA8" w:rsidRPr="00E7337F" w:rsidRDefault="00450CA8" w:rsidP="00950E9F">
      <w:pPr>
        <w:spacing w:after="0"/>
      </w:pPr>
    </w:p>
    <w:tbl>
      <w:tblPr>
        <w:tblStyle w:val="a"/>
        <w:tblW w:w="9451" w:type="dxa"/>
        <w:tblInd w:w="0" w:type="dxa"/>
        <w:tblLayout w:type="fixed"/>
        <w:tblLook w:val="0400" w:firstRow="0" w:lastRow="0" w:firstColumn="0" w:lastColumn="0" w:noHBand="0" w:noVBand="1"/>
      </w:tblPr>
      <w:tblGrid>
        <w:gridCol w:w="709"/>
        <w:gridCol w:w="2977"/>
        <w:gridCol w:w="73"/>
        <w:gridCol w:w="5619"/>
        <w:gridCol w:w="73"/>
      </w:tblGrid>
      <w:tr w:rsidR="00950E9F" w:rsidRPr="00E7337F" w14:paraId="05F69B88" w14:textId="77777777" w:rsidTr="00C63FD6">
        <w:trPr>
          <w:trHeight w:val="288"/>
        </w:trPr>
        <w:tc>
          <w:tcPr>
            <w:tcW w:w="3759" w:type="dxa"/>
            <w:gridSpan w:val="3"/>
            <w:tcBorders>
              <w:top w:val="single" w:sz="4" w:space="0" w:color="000000"/>
              <w:left w:val="nil"/>
              <w:bottom w:val="single" w:sz="4" w:space="0" w:color="000000"/>
              <w:right w:val="nil"/>
            </w:tcBorders>
            <w:shd w:val="clear" w:color="auto" w:fill="auto"/>
            <w:tcMar>
              <w:top w:w="15" w:type="dxa"/>
              <w:left w:w="15" w:type="dxa"/>
              <w:bottom w:w="0" w:type="dxa"/>
              <w:right w:w="15" w:type="dxa"/>
            </w:tcMar>
            <w:vAlign w:val="bottom"/>
          </w:tcPr>
          <w:p w14:paraId="5AD81E12" w14:textId="77777777" w:rsidR="00450CA8" w:rsidRPr="00E7337F" w:rsidRDefault="00EE12F8" w:rsidP="00DA2905">
            <w:pPr>
              <w:spacing w:before="120" w:after="120"/>
              <w:rPr>
                <w:b/>
                <w:bCs/>
                <w:color w:val="000000"/>
              </w:rPr>
            </w:pPr>
            <w:r w:rsidRPr="00E7337F">
              <w:rPr>
                <w:b/>
                <w:bCs/>
                <w:color w:val="000000"/>
              </w:rPr>
              <w:t>Category of conservation action</w:t>
            </w:r>
          </w:p>
        </w:tc>
        <w:tc>
          <w:tcPr>
            <w:tcW w:w="5692" w:type="dxa"/>
            <w:gridSpan w:val="2"/>
            <w:tcBorders>
              <w:top w:val="single" w:sz="4" w:space="0" w:color="000000"/>
              <w:left w:val="nil"/>
              <w:bottom w:val="single" w:sz="4" w:space="0" w:color="000000"/>
              <w:right w:val="nil"/>
            </w:tcBorders>
            <w:shd w:val="clear" w:color="auto" w:fill="auto"/>
            <w:tcMar>
              <w:top w:w="15" w:type="dxa"/>
              <w:left w:w="15" w:type="dxa"/>
              <w:bottom w:w="0" w:type="dxa"/>
              <w:right w:w="15" w:type="dxa"/>
            </w:tcMar>
            <w:vAlign w:val="bottom"/>
          </w:tcPr>
          <w:p w14:paraId="30068A5B" w14:textId="249FFD22" w:rsidR="00450CA8" w:rsidRPr="00E7337F" w:rsidRDefault="00DA2905" w:rsidP="00DA2905">
            <w:pPr>
              <w:spacing w:before="120" w:after="120"/>
              <w:rPr>
                <w:b/>
                <w:bCs/>
                <w:color w:val="000000"/>
              </w:rPr>
            </w:pPr>
            <w:r w:rsidRPr="00E7337F">
              <w:rPr>
                <w:b/>
                <w:bCs/>
                <w:color w:val="000000"/>
              </w:rPr>
              <w:t>I</w:t>
            </w:r>
            <w:r w:rsidR="00EE12F8" w:rsidRPr="00E7337F">
              <w:rPr>
                <w:b/>
                <w:bCs/>
                <w:color w:val="000000"/>
              </w:rPr>
              <w:t>mportance of behavioural factors</w:t>
            </w:r>
          </w:p>
        </w:tc>
      </w:tr>
      <w:tr w:rsidR="00C63FD6" w:rsidRPr="00E7337F" w14:paraId="6E14B6DD" w14:textId="77777777" w:rsidTr="00C63FD6">
        <w:trPr>
          <w:gridAfter w:val="1"/>
          <w:wAfter w:w="73" w:type="dxa"/>
          <w:trHeight w:val="864"/>
        </w:trPr>
        <w:tc>
          <w:tcPr>
            <w:tcW w:w="709" w:type="dxa"/>
            <w:tcBorders>
              <w:top w:val="single" w:sz="4" w:space="0" w:color="000000"/>
              <w:left w:val="nil"/>
              <w:bottom w:val="nil"/>
              <w:right w:val="nil"/>
            </w:tcBorders>
            <w:shd w:val="clear" w:color="auto" w:fill="auto"/>
            <w:tcMar>
              <w:top w:w="15" w:type="dxa"/>
              <w:left w:w="15" w:type="dxa"/>
              <w:bottom w:w="0" w:type="dxa"/>
              <w:right w:w="15" w:type="dxa"/>
            </w:tcMar>
            <w:vAlign w:val="center"/>
          </w:tcPr>
          <w:p w14:paraId="60B9550B" w14:textId="77777777" w:rsidR="00450CA8" w:rsidRPr="00E7337F" w:rsidRDefault="00EE12F8">
            <w:pPr>
              <w:rPr>
                <w:color w:val="000000"/>
              </w:rPr>
            </w:pPr>
            <w:r w:rsidRPr="00E7337F">
              <w:rPr>
                <w:color w:val="000000"/>
              </w:rPr>
              <w:t>1</w:t>
            </w:r>
          </w:p>
        </w:tc>
        <w:tc>
          <w:tcPr>
            <w:tcW w:w="2977" w:type="dxa"/>
            <w:tcBorders>
              <w:top w:val="single" w:sz="4" w:space="0" w:color="000000"/>
              <w:left w:val="nil"/>
              <w:bottom w:val="nil"/>
              <w:right w:val="nil"/>
            </w:tcBorders>
            <w:shd w:val="clear" w:color="auto" w:fill="auto"/>
            <w:tcMar>
              <w:top w:w="15" w:type="dxa"/>
              <w:left w:w="15" w:type="dxa"/>
              <w:bottom w:w="0" w:type="dxa"/>
              <w:right w:w="15" w:type="dxa"/>
            </w:tcMar>
            <w:vAlign w:val="center"/>
          </w:tcPr>
          <w:p w14:paraId="41008061" w14:textId="77777777" w:rsidR="00450CA8" w:rsidRPr="00E7337F" w:rsidRDefault="00EE12F8" w:rsidP="00950E9F">
            <w:pPr>
              <w:ind w:left="-18"/>
              <w:rPr>
                <w:color w:val="000000"/>
              </w:rPr>
            </w:pPr>
            <w:r w:rsidRPr="00E7337F">
              <w:rPr>
                <w:color w:val="000000"/>
              </w:rPr>
              <w:t>Land/water protection</w:t>
            </w:r>
          </w:p>
        </w:tc>
        <w:tc>
          <w:tcPr>
            <w:tcW w:w="5692" w:type="dxa"/>
            <w:gridSpan w:val="2"/>
            <w:tcBorders>
              <w:top w:val="single" w:sz="4" w:space="0" w:color="000000"/>
              <w:left w:val="nil"/>
              <w:bottom w:val="nil"/>
              <w:right w:val="nil"/>
            </w:tcBorders>
            <w:shd w:val="clear" w:color="auto" w:fill="FFFFFF"/>
            <w:tcMar>
              <w:top w:w="15" w:type="dxa"/>
              <w:left w:w="15" w:type="dxa"/>
              <w:bottom w:w="0" w:type="dxa"/>
              <w:right w:w="15" w:type="dxa"/>
            </w:tcMar>
            <w:vAlign w:val="bottom"/>
          </w:tcPr>
          <w:p w14:paraId="4B49ECF8" w14:textId="726F9C47" w:rsidR="00450CA8" w:rsidRPr="00E7337F" w:rsidRDefault="00EE12F8" w:rsidP="00C63FD6">
            <w:pPr>
              <w:spacing w:before="120"/>
              <w:ind w:hanging="18"/>
            </w:pPr>
            <w:r w:rsidRPr="00E7337F">
              <w:t xml:space="preserve">Behavioural factors </w:t>
            </w:r>
            <w:r w:rsidRPr="00E7337F">
              <w:rPr>
                <w:b/>
                <w:bCs/>
              </w:rPr>
              <w:t>important</w:t>
            </w:r>
            <w:r w:rsidRPr="00E7337F">
              <w:t xml:space="preserve"> in determining people’s responses to formal protected area designation, and </w:t>
            </w:r>
            <w:r w:rsidRPr="00E7337F">
              <w:rPr>
                <w:b/>
                <w:bCs/>
              </w:rPr>
              <w:t>very important</w:t>
            </w:r>
            <w:r w:rsidRPr="00E7337F">
              <w:t xml:space="preserve"> to determining whether stakeholders </w:t>
            </w:r>
            <w:r w:rsidR="00553CEE" w:rsidRPr="00E7337F">
              <w:t>treat as protected</w:t>
            </w:r>
            <w:r w:rsidRPr="00E7337F">
              <w:t xml:space="preserve"> </w:t>
            </w:r>
            <w:r w:rsidR="00A47440" w:rsidRPr="00E7337F">
              <w:t xml:space="preserve">those </w:t>
            </w:r>
            <w:r w:rsidRPr="00E7337F">
              <w:t xml:space="preserve">areas that are not formally designated </w:t>
            </w:r>
          </w:p>
        </w:tc>
      </w:tr>
      <w:tr w:rsidR="00C63FD6" w:rsidRPr="00E7337F" w14:paraId="021EC811" w14:textId="77777777" w:rsidTr="00C63FD6">
        <w:trPr>
          <w:gridAfter w:val="1"/>
          <w:wAfter w:w="73" w:type="dxa"/>
          <w:trHeight w:val="576"/>
        </w:trPr>
        <w:tc>
          <w:tcPr>
            <w:tcW w:w="709" w:type="dxa"/>
            <w:tcBorders>
              <w:top w:val="nil"/>
              <w:left w:val="nil"/>
              <w:bottom w:val="nil"/>
              <w:right w:val="nil"/>
            </w:tcBorders>
            <w:shd w:val="clear" w:color="auto" w:fill="auto"/>
            <w:tcMar>
              <w:top w:w="15" w:type="dxa"/>
              <w:left w:w="15" w:type="dxa"/>
              <w:bottom w:w="0" w:type="dxa"/>
              <w:right w:w="15" w:type="dxa"/>
            </w:tcMar>
            <w:vAlign w:val="center"/>
          </w:tcPr>
          <w:p w14:paraId="2BB83525" w14:textId="77777777" w:rsidR="00450CA8" w:rsidRPr="00E7337F" w:rsidRDefault="00EE12F8">
            <w:pPr>
              <w:rPr>
                <w:color w:val="000000"/>
              </w:rPr>
            </w:pPr>
            <w:r w:rsidRPr="00E7337F">
              <w:rPr>
                <w:color w:val="000000"/>
              </w:rPr>
              <w:t>2</w:t>
            </w:r>
          </w:p>
        </w:tc>
        <w:tc>
          <w:tcPr>
            <w:tcW w:w="2977" w:type="dxa"/>
            <w:tcBorders>
              <w:top w:val="nil"/>
              <w:left w:val="nil"/>
              <w:bottom w:val="nil"/>
              <w:right w:val="nil"/>
            </w:tcBorders>
            <w:shd w:val="clear" w:color="auto" w:fill="auto"/>
            <w:tcMar>
              <w:top w:w="15" w:type="dxa"/>
              <w:left w:w="15" w:type="dxa"/>
              <w:bottom w:w="0" w:type="dxa"/>
              <w:right w:w="15" w:type="dxa"/>
            </w:tcMar>
            <w:vAlign w:val="center"/>
          </w:tcPr>
          <w:p w14:paraId="54DBA5D4" w14:textId="77777777" w:rsidR="00450CA8" w:rsidRPr="00E7337F" w:rsidRDefault="00EE12F8" w:rsidP="00950E9F">
            <w:pPr>
              <w:ind w:left="-18"/>
              <w:rPr>
                <w:color w:val="000000"/>
              </w:rPr>
            </w:pPr>
            <w:r w:rsidRPr="00E7337F">
              <w:rPr>
                <w:color w:val="000000"/>
              </w:rPr>
              <w:t>Land/water management</w:t>
            </w:r>
          </w:p>
        </w:tc>
        <w:tc>
          <w:tcPr>
            <w:tcW w:w="5692" w:type="dxa"/>
            <w:gridSpan w:val="2"/>
            <w:tcBorders>
              <w:top w:val="nil"/>
              <w:left w:val="nil"/>
              <w:bottom w:val="nil"/>
              <w:right w:val="nil"/>
            </w:tcBorders>
            <w:shd w:val="clear" w:color="auto" w:fill="FFFFFF"/>
            <w:tcMar>
              <w:top w:w="15" w:type="dxa"/>
              <w:left w:w="15" w:type="dxa"/>
              <w:bottom w:w="0" w:type="dxa"/>
              <w:right w:w="15" w:type="dxa"/>
            </w:tcMar>
            <w:vAlign w:val="bottom"/>
          </w:tcPr>
          <w:p w14:paraId="0975AA9C" w14:textId="77777777" w:rsidR="00450CA8" w:rsidRPr="00E7337F" w:rsidRDefault="00EE12F8" w:rsidP="00950E9F">
            <w:pPr>
              <w:ind w:left="-18"/>
              <w:rPr>
                <w:color w:val="000000"/>
              </w:rPr>
            </w:pPr>
            <w:r w:rsidRPr="00E7337F">
              <w:rPr>
                <w:color w:val="000000"/>
              </w:rPr>
              <w:t xml:space="preserve">Behavioural factors </w:t>
            </w:r>
            <w:r w:rsidRPr="00E7337F">
              <w:rPr>
                <w:b/>
                <w:bCs/>
              </w:rPr>
              <w:t>likely to be important</w:t>
            </w:r>
            <w:r w:rsidRPr="00E7337F">
              <w:t xml:space="preserve"> in determining</w:t>
            </w:r>
            <w:r w:rsidRPr="00E7337F">
              <w:rPr>
                <w:color w:val="000000"/>
              </w:rPr>
              <w:t xml:space="preserve"> extent or quality of delivery of management actions by all, especially in sites not receiving formal protection, and by stakeholders in non-conservation sectors</w:t>
            </w:r>
          </w:p>
        </w:tc>
      </w:tr>
      <w:tr w:rsidR="00C63FD6" w:rsidRPr="00E7337F" w14:paraId="50BEBCA5" w14:textId="77777777" w:rsidTr="00C63FD6">
        <w:trPr>
          <w:gridAfter w:val="1"/>
          <w:wAfter w:w="73" w:type="dxa"/>
          <w:trHeight w:val="864"/>
        </w:trPr>
        <w:tc>
          <w:tcPr>
            <w:tcW w:w="709" w:type="dxa"/>
            <w:tcBorders>
              <w:top w:val="nil"/>
              <w:left w:val="nil"/>
              <w:bottom w:val="nil"/>
              <w:right w:val="nil"/>
            </w:tcBorders>
            <w:shd w:val="clear" w:color="auto" w:fill="auto"/>
            <w:tcMar>
              <w:top w:w="15" w:type="dxa"/>
              <w:left w:w="15" w:type="dxa"/>
              <w:bottom w:w="0" w:type="dxa"/>
              <w:right w:w="15" w:type="dxa"/>
            </w:tcMar>
            <w:vAlign w:val="center"/>
          </w:tcPr>
          <w:p w14:paraId="71EDD9C9" w14:textId="77777777" w:rsidR="00450CA8" w:rsidRPr="00E7337F" w:rsidRDefault="00EE12F8">
            <w:pPr>
              <w:rPr>
                <w:color w:val="000000"/>
              </w:rPr>
            </w:pPr>
            <w:r w:rsidRPr="00E7337F">
              <w:rPr>
                <w:color w:val="000000"/>
              </w:rPr>
              <w:t>3</w:t>
            </w:r>
          </w:p>
        </w:tc>
        <w:tc>
          <w:tcPr>
            <w:tcW w:w="2977" w:type="dxa"/>
            <w:tcBorders>
              <w:top w:val="nil"/>
              <w:left w:val="nil"/>
              <w:bottom w:val="nil"/>
              <w:right w:val="nil"/>
            </w:tcBorders>
            <w:shd w:val="clear" w:color="auto" w:fill="auto"/>
            <w:tcMar>
              <w:top w:w="15" w:type="dxa"/>
              <w:left w:w="15" w:type="dxa"/>
              <w:bottom w:w="0" w:type="dxa"/>
              <w:right w:w="15" w:type="dxa"/>
            </w:tcMar>
            <w:vAlign w:val="center"/>
          </w:tcPr>
          <w:p w14:paraId="4CC8FB44" w14:textId="77777777" w:rsidR="00450CA8" w:rsidRPr="00E7337F" w:rsidRDefault="00EE12F8" w:rsidP="00950E9F">
            <w:pPr>
              <w:ind w:left="-18"/>
              <w:rPr>
                <w:color w:val="000000"/>
              </w:rPr>
            </w:pPr>
            <w:r w:rsidRPr="00E7337F">
              <w:rPr>
                <w:color w:val="000000"/>
              </w:rPr>
              <w:t>Species management</w:t>
            </w:r>
          </w:p>
        </w:tc>
        <w:tc>
          <w:tcPr>
            <w:tcW w:w="5692" w:type="dxa"/>
            <w:gridSpan w:val="2"/>
            <w:tcBorders>
              <w:top w:val="nil"/>
              <w:left w:val="nil"/>
              <w:bottom w:val="nil"/>
              <w:right w:val="nil"/>
            </w:tcBorders>
            <w:shd w:val="clear" w:color="auto" w:fill="FFFFFF"/>
            <w:tcMar>
              <w:top w:w="15" w:type="dxa"/>
              <w:left w:w="15" w:type="dxa"/>
              <w:bottom w:w="0" w:type="dxa"/>
              <w:right w:w="15" w:type="dxa"/>
            </w:tcMar>
            <w:vAlign w:val="bottom"/>
          </w:tcPr>
          <w:p w14:paraId="555C4B39" w14:textId="77777777" w:rsidR="00450CA8" w:rsidRPr="00E7337F" w:rsidRDefault="00EE12F8" w:rsidP="00950E9F">
            <w:pPr>
              <w:ind w:left="-18"/>
              <w:rPr>
                <w:color w:val="000000"/>
              </w:rPr>
            </w:pPr>
            <w:r w:rsidRPr="00E7337F">
              <w:rPr>
                <w:color w:val="000000"/>
              </w:rPr>
              <w:t xml:space="preserve">Behavioural factors </w:t>
            </w:r>
            <w:r w:rsidRPr="00E7337F">
              <w:rPr>
                <w:b/>
                <w:bCs/>
              </w:rPr>
              <w:t>likely to be important</w:t>
            </w:r>
            <w:r w:rsidRPr="00E7337F">
              <w:rPr>
                <w:color w:val="000000"/>
              </w:rPr>
              <w:t xml:space="preserve"> in determining extent or quality of delivery of actions by conservationists and to be </w:t>
            </w:r>
            <w:r w:rsidRPr="00E7337F">
              <w:rPr>
                <w:b/>
                <w:bCs/>
                <w:color w:val="000000"/>
              </w:rPr>
              <w:t>very important</w:t>
            </w:r>
            <w:r w:rsidRPr="00E7337F">
              <w:rPr>
                <w:color w:val="000000"/>
              </w:rPr>
              <w:t xml:space="preserve"> in determining actions of those harvesting and trading wild species</w:t>
            </w:r>
          </w:p>
        </w:tc>
      </w:tr>
      <w:tr w:rsidR="00C63FD6" w:rsidRPr="00E7337F" w14:paraId="43BEFC9C" w14:textId="77777777" w:rsidTr="00C63FD6">
        <w:trPr>
          <w:gridAfter w:val="1"/>
          <w:wAfter w:w="73" w:type="dxa"/>
          <w:trHeight w:val="288"/>
        </w:trPr>
        <w:tc>
          <w:tcPr>
            <w:tcW w:w="709" w:type="dxa"/>
            <w:tcBorders>
              <w:top w:val="nil"/>
              <w:left w:val="nil"/>
              <w:bottom w:val="nil"/>
              <w:right w:val="nil"/>
            </w:tcBorders>
            <w:shd w:val="clear" w:color="auto" w:fill="auto"/>
            <w:tcMar>
              <w:top w:w="15" w:type="dxa"/>
              <w:left w:w="15" w:type="dxa"/>
              <w:bottom w:w="0" w:type="dxa"/>
              <w:right w:w="15" w:type="dxa"/>
            </w:tcMar>
            <w:vAlign w:val="center"/>
          </w:tcPr>
          <w:p w14:paraId="4057F835" w14:textId="77777777" w:rsidR="00450CA8" w:rsidRPr="00E7337F" w:rsidRDefault="00EE12F8">
            <w:pPr>
              <w:rPr>
                <w:color w:val="000000"/>
              </w:rPr>
            </w:pPr>
            <w:r w:rsidRPr="00E7337F">
              <w:rPr>
                <w:color w:val="000000"/>
              </w:rPr>
              <w:t>4</w:t>
            </w:r>
          </w:p>
        </w:tc>
        <w:tc>
          <w:tcPr>
            <w:tcW w:w="2977" w:type="dxa"/>
            <w:tcBorders>
              <w:top w:val="nil"/>
              <w:left w:val="nil"/>
              <w:bottom w:val="nil"/>
              <w:right w:val="nil"/>
            </w:tcBorders>
            <w:shd w:val="clear" w:color="auto" w:fill="auto"/>
            <w:tcMar>
              <w:top w:w="15" w:type="dxa"/>
              <w:left w:w="15" w:type="dxa"/>
              <w:bottom w:w="0" w:type="dxa"/>
              <w:right w:w="15" w:type="dxa"/>
            </w:tcMar>
            <w:vAlign w:val="center"/>
          </w:tcPr>
          <w:p w14:paraId="09D9E32C" w14:textId="77777777" w:rsidR="00450CA8" w:rsidRPr="00E7337F" w:rsidRDefault="00EE12F8" w:rsidP="00950E9F">
            <w:pPr>
              <w:ind w:left="-18"/>
              <w:rPr>
                <w:color w:val="000000"/>
              </w:rPr>
            </w:pPr>
            <w:r w:rsidRPr="00E7337F">
              <w:rPr>
                <w:color w:val="000000"/>
              </w:rPr>
              <w:t>Education and awareness</w:t>
            </w:r>
          </w:p>
        </w:tc>
        <w:tc>
          <w:tcPr>
            <w:tcW w:w="5692" w:type="dxa"/>
            <w:gridSpan w:val="2"/>
            <w:tcBorders>
              <w:top w:val="nil"/>
              <w:left w:val="nil"/>
              <w:bottom w:val="nil"/>
              <w:right w:val="nil"/>
            </w:tcBorders>
            <w:shd w:val="clear" w:color="auto" w:fill="FFFFFF"/>
            <w:tcMar>
              <w:top w:w="15" w:type="dxa"/>
              <w:left w:w="15" w:type="dxa"/>
              <w:bottom w:w="0" w:type="dxa"/>
              <w:right w:w="15" w:type="dxa"/>
            </w:tcMar>
            <w:vAlign w:val="bottom"/>
          </w:tcPr>
          <w:p w14:paraId="06ECC144" w14:textId="77777777" w:rsidR="00450CA8" w:rsidRPr="00E7337F" w:rsidRDefault="00EE12F8" w:rsidP="00950E9F">
            <w:pPr>
              <w:ind w:left="-18"/>
              <w:rPr>
                <w:color w:val="000000"/>
              </w:rPr>
            </w:pPr>
            <w:r w:rsidRPr="00E7337F">
              <w:rPr>
                <w:color w:val="000000"/>
              </w:rPr>
              <w:t xml:space="preserve">Behavioural factors clearly </w:t>
            </w:r>
            <w:r w:rsidRPr="00E7337F">
              <w:rPr>
                <w:b/>
                <w:bCs/>
                <w:color w:val="000000"/>
              </w:rPr>
              <w:t>very important</w:t>
            </w:r>
            <w:r w:rsidRPr="00E7337F">
              <w:rPr>
                <w:color w:val="000000"/>
              </w:rPr>
              <w:t xml:space="preserve"> in determining uptake of ideas and interventions</w:t>
            </w:r>
          </w:p>
        </w:tc>
      </w:tr>
      <w:tr w:rsidR="00C63FD6" w:rsidRPr="00E7337F" w14:paraId="412A75BE" w14:textId="77777777" w:rsidTr="00C63FD6">
        <w:trPr>
          <w:gridAfter w:val="1"/>
          <w:wAfter w:w="73" w:type="dxa"/>
          <w:trHeight w:val="576"/>
        </w:trPr>
        <w:tc>
          <w:tcPr>
            <w:tcW w:w="709" w:type="dxa"/>
            <w:tcBorders>
              <w:top w:val="nil"/>
              <w:left w:val="nil"/>
              <w:bottom w:val="nil"/>
              <w:right w:val="nil"/>
            </w:tcBorders>
            <w:shd w:val="clear" w:color="auto" w:fill="auto"/>
            <w:tcMar>
              <w:top w:w="15" w:type="dxa"/>
              <w:left w:w="15" w:type="dxa"/>
              <w:bottom w:w="0" w:type="dxa"/>
              <w:right w:w="15" w:type="dxa"/>
            </w:tcMar>
            <w:vAlign w:val="center"/>
          </w:tcPr>
          <w:p w14:paraId="10EDBB46" w14:textId="77777777" w:rsidR="00450CA8" w:rsidRPr="00E7337F" w:rsidRDefault="00EE12F8">
            <w:pPr>
              <w:rPr>
                <w:color w:val="000000"/>
              </w:rPr>
            </w:pPr>
            <w:r w:rsidRPr="00E7337F">
              <w:rPr>
                <w:color w:val="000000"/>
              </w:rPr>
              <w:t>5</w:t>
            </w:r>
          </w:p>
        </w:tc>
        <w:tc>
          <w:tcPr>
            <w:tcW w:w="2977" w:type="dxa"/>
            <w:tcBorders>
              <w:top w:val="nil"/>
              <w:left w:val="nil"/>
              <w:bottom w:val="nil"/>
              <w:right w:val="nil"/>
            </w:tcBorders>
            <w:shd w:val="clear" w:color="auto" w:fill="auto"/>
            <w:tcMar>
              <w:top w:w="15" w:type="dxa"/>
              <w:left w:w="15" w:type="dxa"/>
              <w:bottom w:w="0" w:type="dxa"/>
              <w:right w:w="15" w:type="dxa"/>
            </w:tcMar>
            <w:vAlign w:val="center"/>
          </w:tcPr>
          <w:p w14:paraId="0B3634AA" w14:textId="77777777" w:rsidR="00450CA8" w:rsidRPr="00E7337F" w:rsidRDefault="00EE12F8" w:rsidP="00950E9F">
            <w:pPr>
              <w:ind w:left="-18"/>
              <w:rPr>
                <w:color w:val="000000"/>
              </w:rPr>
            </w:pPr>
            <w:r w:rsidRPr="00E7337F">
              <w:rPr>
                <w:color w:val="000000"/>
              </w:rPr>
              <w:t>Law and policy</w:t>
            </w:r>
          </w:p>
        </w:tc>
        <w:tc>
          <w:tcPr>
            <w:tcW w:w="5692" w:type="dxa"/>
            <w:gridSpan w:val="2"/>
            <w:tcBorders>
              <w:top w:val="nil"/>
              <w:left w:val="nil"/>
              <w:bottom w:val="nil"/>
              <w:right w:val="nil"/>
            </w:tcBorders>
            <w:shd w:val="clear" w:color="auto" w:fill="FFFFFF"/>
            <w:tcMar>
              <w:top w:w="15" w:type="dxa"/>
              <w:left w:w="15" w:type="dxa"/>
              <w:bottom w:w="0" w:type="dxa"/>
              <w:right w:w="15" w:type="dxa"/>
            </w:tcMar>
            <w:vAlign w:val="bottom"/>
          </w:tcPr>
          <w:p w14:paraId="398F1521" w14:textId="77777777" w:rsidR="00450CA8" w:rsidRPr="00E7337F" w:rsidRDefault="00EE12F8" w:rsidP="00950E9F">
            <w:pPr>
              <w:ind w:left="-18"/>
              <w:rPr>
                <w:color w:val="000000"/>
              </w:rPr>
            </w:pPr>
            <w:r w:rsidRPr="00E7337F">
              <w:rPr>
                <w:color w:val="000000"/>
              </w:rPr>
              <w:t xml:space="preserve">Behavioural factors </w:t>
            </w:r>
            <w:r w:rsidRPr="00E7337F">
              <w:rPr>
                <w:b/>
                <w:bCs/>
                <w:color w:val="000000"/>
              </w:rPr>
              <w:t>important</w:t>
            </w:r>
            <w:r w:rsidRPr="00E7337F">
              <w:rPr>
                <w:color w:val="000000"/>
              </w:rPr>
              <w:t xml:space="preserve"> in determining uptake and effectiveness of legislation, policies, regulations, standards, etc.</w:t>
            </w:r>
          </w:p>
        </w:tc>
      </w:tr>
      <w:tr w:rsidR="00C63FD6" w:rsidRPr="00E7337F" w14:paraId="5F0490C3" w14:textId="77777777" w:rsidTr="00C63FD6">
        <w:trPr>
          <w:gridAfter w:val="1"/>
          <w:wAfter w:w="73" w:type="dxa"/>
          <w:trHeight w:val="576"/>
        </w:trPr>
        <w:tc>
          <w:tcPr>
            <w:tcW w:w="709" w:type="dxa"/>
            <w:tcBorders>
              <w:top w:val="nil"/>
              <w:left w:val="nil"/>
              <w:bottom w:val="single" w:sz="4" w:space="0" w:color="000000"/>
              <w:right w:val="nil"/>
            </w:tcBorders>
            <w:shd w:val="clear" w:color="auto" w:fill="auto"/>
            <w:tcMar>
              <w:top w:w="15" w:type="dxa"/>
              <w:left w:w="15" w:type="dxa"/>
              <w:bottom w:w="0" w:type="dxa"/>
              <w:right w:w="15" w:type="dxa"/>
            </w:tcMar>
            <w:vAlign w:val="center"/>
          </w:tcPr>
          <w:p w14:paraId="14F3E34D" w14:textId="77777777" w:rsidR="00450CA8" w:rsidRPr="00E7337F" w:rsidRDefault="00EE12F8">
            <w:pPr>
              <w:rPr>
                <w:color w:val="000000"/>
              </w:rPr>
            </w:pPr>
            <w:r w:rsidRPr="00E7337F">
              <w:rPr>
                <w:color w:val="000000"/>
              </w:rPr>
              <w:t>6</w:t>
            </w:r>
          </w:p>
        </w:tc>
        <w:tc>
          <w:tcPr>
            <w:tcW w:w="2977" w:type="dxa"/>
            <w:tcBorders>
              <w:top w:val="nil"/>
              <w:left w:val="nil"/>
              <w:bottom w:val="single" w:sz="4" w:space="0" w:color="000000"/>
              <w:right w:val="nil"/>
            </w:tcBorders>
            <w:shd w:val="clear" w:color="auto" w:fill="auto"/>
            <w:tcMar>
              <w:top w:w="15" w:type="dxa"/>
              <w:left w:w="15" w:type="dxa"/>
              <w:bottom w:w="0" w:type="dxa"/>
              <w:right w:w="15" w:type="dxa"/>
            </w:tcMar>
            <w:vAlign w:val="center"/>
          </w:tcPr>
          <w:p w14:paraId="6B63BC50" w14:textId="77777777" w:rsidR="00450CA8" w:rsidRPr="00E7337F" w:rsidRDefault="00EE12F8" w:rsidP="001E3483">
            <w:pPr>
              <w:ind w:left="-18" w:right="160"/>
              <w:rPr>
                <w:color w:val="000000"/>
              </w:rPr>
            </w:pPr>
            <w:r w:rsidRPr="00E7337F">
              <w:rPr>
                <w:color w:val="000000"/>
              </w:rPr>
              <w:t>Livelihood, economic and other incentives</w:t>
            </w:r>
          </w:p>
        </w:tc>
        <w:tc>
          <w:tcPr>
            <w:tcW w:w="5692" w:type="dxa"/>
            <w:gridSpan w:val="2"/>
            <w:tcBorders>
              <w:top w:val="nil"/>
              <w:left w:val="nil"/>
              <w:bottom w:val="single" w:sz="4" w:space="0" w:color="000000"/>
              <w:right w:val="nil"/>
            </w:tcBorders>
            <w:shd w:val="clear" w:color="auto" w:fill="FFFFFF"/>
            <w:tcMar>
              <w:top w:w="15" w:type="dxa"/>
              <w:left w:w="15" w:type="dxa"/>
              <w:bottom w:w="0" w:type="dxa"/>
              <w:right w:w="15" w:type="dxa"/>
            </w:tcMar>
            <w:vAlign w:val="bottom"/>
          </w:tcPr>
          <w:p w14:paraId="6C3C43DE" w14:textId="77777777" w:rsidR="00450CA8" w:rsidRPr="00E7337F" w:rsidRDefault="00EE12F8" w:rsidP="00950E9F">
            <w:pPr>
              <w:ind w:left="-18"/>
              <w:rPr>
                <w:color w:val="000000"/>
              </w:rPr>
            </w:pPr>
            <w:r w:rsidRPr="00E7337F">
              <w:rPr>
                <w:color w:val="000000"/>
              </w:rPr>
              <w:t xml:space="preserve">Behavioural factors </w:t>
            </w:r>
            <w:r w:rsidRPr="00E7337F">
              <w:rPr>
                <w:b/>
                <w:bCs/>
                <w:color w:val="000000"/>
              </w:rPr>
              <w:t>very important</w:t>
            </w:r>
            <w:r w:rsidRPr="00E7337F">
              <w:rPr>
                <w:color w:val="000000"/>
              </w:rPr>
              <w:t xml:space="preserve"> in determining responses of target actors to interventions</w:t>
            </w:r>
          </w:p>
        </w:tc>
      </w:tr>
    </w:tbl>
    <w:p w14:paraId="4D325F15" w14:textId="77777777" w:rsidR="00450CA8" w:rsidRPr="00E7337F" w:rsidRDefault="00EE12F8">
      <w:r w:rsidRPr="00E7337F">
        <w:t xml:space="preserve"> </w:t>
      </w:r>
    </w:p>
    <w:p w14:paraId="20768518" w14:textId="77777777" w:rsidR="00450CA8" w:rsidRPr="00E7337F" w:rsidRDefault="00EE12F8">
      <w:r w:rsidRPr="00E7337F">
        <w:br w:type="page"/>
      </w:r>
    </w:p>
    <w:p w14:paraId="7DDCA2BC" w14:textId="58630CA0" w:rsidR="00450CA8" w:rsidRPr="00E7337F" w:rsidRDefault="00EE12F8">
      <w:r w:rsidRPr="00E7337F">
        <w:rPr>
          <w:b/>
          <w:bCs/>
        </w:rPr>
        <w:lastRenderedPageBreak/>
        <w:t>Table 2.</w:t>
      </w:r>
      <w:r w:rsidRPr="00E7337F">
        <w:t xml:space="preserve"> Key groups of actors identified through our heuristic threat chains, and examples of changes in their behaviour that might have beneficial conservation outcomes. Actor groups are defined by how their behaviour impacts a conservation target, rather than by occupation or affiliation</w:t>
      </w:r>
      <w:r w:rsidR="00CB1AB8" w:rsidRPr="00E7337F">
        <w:t xml:space="preserve"> </w:t>
      </w:r>
      <w:r w:rsidR="00CB1AB8" w:rsidRPr="00E7337F">
        <w:fldChar w:fldCharType="begin" w:fldLock="1"/>
      </w:r>
      <w:r w:rsidR="005706F2" w:rsidRPr="00E7337F">
        <w:instrText>ADDIN CSL_CITATION {"citationItems":[{"id":"ITEM-1","itemData":{"author":[{"dropping-particle":"","family":"Nielsen","given":"Kristian S.","non-dropping-particle":"","parse-names":false,"suffix":""},{"dropping-particle":"","family":"Marteau","given":"Theresa M.","non-dropping-particle":"","parse-names":false,"suffix":""},{"dropping-particle":"","family":"Bauer","given":"Jan M.","non-dropping-particle":"","parse-names":false,"suffix":""},{"dropping-particle":"","family":"Bradbury","given":"Richard","non-dropping-particle":"","parse-names":false,"suffix":""},{"dropping-particle":"","family":"Broad","given":"Steven","non-dropping-particle":"","parse-names":false,"suffix":""},{"dropping-particle":"","family":"Burgess","given":"Gayle","non-dropping-particle":"","parse-names":false,"suffix":""},{"dropping-particle":"","family":"Burgman","given":"Mark","non-dropping-particle":"","parse-names":false,"suffix":""},{"dropping-particle":"","family":"Byerly","given":"Hilary","non-dropping-particle":"","parse-names":false,"suffix":""},{"dropping-particle":"","family":"Clayton","given":"Susan","non-dropping-particle":"","parse-names":false,"suffix":""},{"dropping-particle":"","family":"Espelosin","given":"Dulce","non-dropping-particle":"","parse-names":false,"suffix":""},{"dropping-particle":"","family":"Ferraro","given":"Paul J.","non-dropping-particle":"","parse-names":false,"suffix":""},{"dropping-particle":"","family":"Fisher","given":"Brendan","non-dropping-particle":"","parse-names":false,"suffix":""},{"dropping-particle":"","family":"Garnett","given":"Emma E.","non-dropping-particle":"","parse-names":false,"suffix":""},{"dropping-particle":"","family":"Jones","given":"Julia P. G.","non-dropping-particle":"","parse-names":false,"suffix":""},{"dropping-particle":"","family":"Otieno","given":"Mark","non-dropping-particle":"","parse-names":false,"suffix":""},{"dropping-particle":"","family":"Polasky","given":"Stephen","non-dropping-particle":"","parse-names":false,"suffix":""},{"dropping-particle":"","family":"Ricketts","given":"Taylor H.","non-dropping-particle":"","parse-names":false,"suffix":""},{"dropping-particle":"","family":"Trevelyan","given":"Rosie","non-dropping-particle":"","parse-names":false,"suffix":""},{"dropping-particle":"van der","family":"Linden","given":"Sander","non-dropping-particle":"","parse-names":false,"suffix":""},{"dropping-particle":"","family":"Verissimo","given":"Diogo","non-dropping-particle":"","parse-names":false,"suffix":""},{"dropping-particle":"","family":"Balmford","given":"Andrew","non-dropping-particle":"","parse-names":false,"suffix":""}],"container-title":"Nature Human Behaviour","id":"ITEM-1","issued":{"date-parts":[["2021"]]},"page":"550-556","title":"Biodiversity conservation as a promising frontier for behavioural science","type":"article-journal","volume":"5"},"uris":["http://www.mendeley.com/documents/?uuid=ef07622d-58b2-491d-8de2-d609e8a60de6"]}],"mendeley":{"formattedCitation":"(Nielsen et al., 2021b)","manualFormatting":"(see Nielsen et al., 2021b)","plainTextFormattedCitation":"(Nielsen et al., 2021b)","previouslyFormattedCitation":"(Nielsen et al., 2021b)"},"properties":{"noteIndex":0},"schema":"https://github.com/citation-style-language/schema/raw/master/csl-citation.json"}</w:instrText>
      </w:r>
      <w:r w:rsidR="00CB1AB8" w:rsidRPr="00E7337F">
        <w:fldChar w:fldCharType="separate"/>
      </w:r>
      <w:r w:rsidR="00071F56" w:rsidRPr="00E7337F">
        <w:rPr>
          <w:noProof/>
        </w:rPr>
        <w:t>(see Nielsen et al., 2021b)</w:t>
      </w:r>
      <w:r w:rsidR="00CB1AB8" w:rsidRPr="00E7337F">
        <w:fldChar w:fldCharType="end"/>
      </w:r>
      <w:r w:rsidRPr="00E7337F">
        <w:t>.</w:t>
      </w:r>
    </w:p>
    <w:p w14:paraId="145C0F45" w14:textId="77777777" w:rsidR="00450CA8" w:rsidRPr="00E7337F" w:rsidRDefault="00450CA8" w:rsidP="00441127">
      <w:pPr>
        <w:spacing w:after="0"/>
      </w:pPr>
    </w:p>
    <w:tbl>
      <w:tblPr>
        <w:tblStyle w:val="a0"/>
        <w:tblW w:w="8843" w:type="dxa"/>
        <w:tblInd w:w="0" w:type="dxa"/>
        <w:tblLayout w:type="fixed"/>
        <w:tblLook w:val="0400" w:firstRow="0" w:lastRow="0" w:firstColumn="0" w:lastColumn="0" w:noHBand="0" w:noVBand="1"/>
      </w:tblPr>
      <w:tblGrid>
        <w:gridCol w:w="4536"/>
        <w:gridCol w:w="4307"/>
      </w:tblGrid>
      <w:tr w:rsidR="00441127" w:rsidRPr="00E7337F" w14:paraId="7E6E03D2" w14:textId="77777777" w:rsidTr="00441127">
        <w:trPr>
          <w:trHeight w:val="636"/>
        </w:trPr>
        <w:tc>
          <w:tcPr>
            <w:tcW w:w="4536" w:type="dxa"/>
            <w:tcBorders>
              <w:top w:val="single" w:sz="4" w:space="0" w:color="000000"/>
              <w:left w:val="nil"/>
              <w:bottom w:val="single" w:sz="4" w:space="0" w:color="000000"/>
              <w:right w:val="nil"/>
            </w:tcBorders>
            <w:shd w:val="clear" w:color="auto" w:fill="FFFFFF"/>
            <w:vAlign w:val="center"/>
          </w:tcPr>
          <w:p w14:paraId="2AC27F0B" w14:textId="77777777" w:rsidR="00450CA8" w:rsidRPr="00E7337F" w:rsidRDefault="00EE12F8">
            <w:pPr>
              <w:spacing w:after="0" w:line="240" w:lineRule="auto"/>
              <w:rPr>
                <w:b/>
                <w:bCs/>
                <w:color w:val="000000"/>
              </w:rPr>
            </w:pPr>
            <w:r w:rsidRPr="00E7337F">
              <w:rPr>
                <w:b/>
                <w:bCs/>
                <w:color w:val="000000"/>
              </w:rPr>
              <w:t xml:space="preserve">Actor group </w:t>
            </w:r>
            <w:r w:rsidRPr="00E7337F">
              <w:rPr>
                <w:i/>
                <w:iCs/>
                <w:color w:val="000000"/>
              </w:rPr>
              <w:t>– and how they impact conservation target</w:t>
            </w:r>
          </w:p>
        </w:tc>
        <w:tc>
          <w:tcPr>
            <w:tcW w:w="4307" w:type="dxa"/>
            <w:tcBorders>
              <w:top w:val="single" w:sz="4" w:space="0" w:color="000000"/>
              <w:left w:val="nil"/>
              <w:bottom w:val="single" w:sz="4" w:space="0" w:color="000000"/>
              <w:right w:val="nil"/>
            </w:tcBorders>
            <w:shd w:val="clear" w:color="auto" w:fill="FFFFFF"/>
            <w:vAlign w:val="center"/>
          </w:tcPr>
          <w:p w14:paraId="02908C96" w14:textId="77777777" w:rsidR="00450CA8" w:rsidRPr="00E7337F" w:rsidRDefault="00EE12F8">
            <w:pPr>
              <w:spacing w:after="0" w:line="240" w:lineRule="auto"/>
              <w:rPr>
                <w:b/>
                <w:bCs/>
                <w:color w:val="000000"/>
              </w:rPr>
            </w:pPr>
            <w:r w:rsidRPr="00E7337F">
              <w:rPr>
                <w:b/>
                <w:bCs/>
                <w:color w:val="000000"/>
              </w:rPr>
              <w:t>Example behaviour changes</w:t>
            </w:r>
          </w:p>
        </w:tc>
      </w:tr>
      <w:tr w:rsidR="00441127" w:rsidRPr="00E7337F" w14:paraId="1288D4FD" w14:textId="77777777" w:rsidTr="00441127">
        <w:trPr>
          <w:trHeight w:val="1273"/>
        </w:trPr>
        <w:tc>
          <w:tcPr>
            <w:tcW w:w="4536" w:type="dxa"/>
            <w:tcBorders>
              <w:top w:val="nil"/>
              <w:left w:val="nil"/>
              <w:bottom w:val="nil"/>
              <w:right w:val="nil"/>
            </w:tcBorders>
            <w:shd w:val="clear" w:color="auto" w:fill="FFFFFF"/>
          </w:tcPr>
          <w:p w14:paraId="5D958B5F" w14:textId="77777777" w:rsidR="00450CA8" w:rsidRPr="00E7337F" w:rsidRDefault="00EE12F8">
            <w:pPr>
              <w:spacing w:before="120" w:after="0" w:line="240" w:lineRule="auto"/>
              <w:rPr>
                <w:color w:val="000000"/>
              </w:rPr>
            </w:pPr>
            <w:r w:rsidRPr="00E7337F">
              <w:rPr>
                <w:b/>
                <w:bCs/>
                <w:color w:val="000000"/>
              </w:rPr>
              <w:t>Producers and extractors</w:t>
            </w:r>
            <w:r w:rsidRPr="00E7337F">
              <w:rPr>
                <w:color w:val="000000"/>
              </w:rPr>
              <w:t xml:space="preserve"> - </w:t>
            </w:r>
            <w:r w:rsidRPr="00E7337F">
              <w:rPr>
                <w:i/>
                <w:iCs/>
                <w:color w:val="000000"/>
              </w:rPr>
              <w:t>harvest or extract conservation target, or produce goods whose generation impacts target</w:t>
            </w:r>
          </w:p>
        </w:tc>
        <w:tc>
          <w:tcPr>
            <w:tcW w:w="4307" w:type="dxa"/>
            <w:tcBorders>
              <w:top w:val="nil"/>
              <w:left w:val="nil"/>
              <w:bottom w:val="nil"/>
              <w:right w:val="nil"/>
            </w:tcBorders>
            <w:shd w:val="clear" w:color="auto" w:fill="FFFFFF"/>
          </w:tcPr>
          <w:p w14:paraId="4D10A4A3" w14:textId="03239CE8" w:rsidR="0023208F" w:rsidRPr="00E7337F" w:rsidRDefault="00EE12F8" w:rsidP="0023208F">
            <w:pPr>
              <w:spacing w:before="120" w:after="0" w:line="240" w:lineRule="auto"/>
              <w:rPr>
                <w:color w:val="000000"/>
              </w:rPr>
            </w:pPr>
            <w:r w:rsidRPr="00E7337F">
              <w:rPr>
                <w:color w:val="000000"/>
              </w:rPr>
              <w:t>Stop or reduce harvest of conservation target; produce food or fibre using less damaging method; switch to growing less harmful product</w:t>
            </w:r>
          </w:p>
        </w:tc>
      </w:tr>
      <w:tr w:rsidR="00441127" w:rsidRPr="00E7337F" w14:paraId="720DA23C" w14:textId="77777777" w:rsidTr="00441127">
        <w:trPr>
          <w:trHeight w:val="1176"/>
        </w:trPr>
        <w:tc>
          <w:tcPr>
            <w:tcW w:w="4536" w:type="dxa"/>
            <w:tcBorders>
              <w:top w:val="nil"/>
              <w:left w:val="nil"/>
              <w:bottom w:val="nil"/>
              <w:right w:val="nil"/>
            </w:tcBorders>
            <w:shd w:val="clear" w:color="auto" w:fill="FFFFFF"/>
          </w:tcPr>
          <w:p w14:paraId="3E2C5FB9" w14:textId="47BCD5D0" w:rsidR="00450CA8" w:rsidRPr="00E7337F" w:rsidRDefault="00EE12F8" w:rsidP="0023208F">
            <w:pPr>
              <w:spacing w:before="120" w:after="0" w:line="240" w:lineRule="auto"/>
              <w:rPr>
                <w:color w:val="000000"/>
              </w:rPr>
            </w:pPr>
            <w:r w:rsidRPr="00E7337F">
              <w:rPr>
                <w:b/>
                <w:bCs/>
                <w:color w:val="000000"/>
              </w:rPr>
              <w:t>Conservation and environmental managers</w:t>
            </w:r>
            <w:r w:rsidRPr="00E7337F">
              <w:rPr>
                <w:color w:val="000000"/>
              </w:rPr>
              <w:t xml:space="preserve"> - </w:t>
            </w:r>
            <w:r w:rsidRPr="00E7337F">
              <w:rPr>
                <w:i/>
                <w:iCs/>
                <w:color w:val="000000"/>
              </w:rPr>
              <w:t xml:space="preserve">manage all or part of an area of land or sea for conservation </w:t>
            </w:r>
          </w:p>
        </w:tc>
        <w:tc>
          <w:tcPr>
            <w:tcW w:w="4307" w:type="dxa"/>
            <w:tcBorders>
              <w:top w:val="nil"/>
              <w:left w:val="nil"/>
              <w:bottom w:val="nil"/>
              <w:right w:val="nil"/>
            </w:tcBorders>
            <w:shd w:val="clear" w:color="auto" w:fill="FFFFFF"/>
          </w:tcPr>
          <w:p w14:paraId="47611273" w14:textId="77777777" w:rsidR="00450CA8" w:rsidRPr="00E7337F" w:rsidRDefault="00EE12F8" w:rsidP="0023208F">
            <w:pPr>
              <w:spacing w:before="120" w:after="0" w:line="240" w:lineRule="auto"/>
              <w:rPr>
                <w:color w:val="000000"/>
              </w:rPr>
            </w:pPr>
            <w:r w:rsidRPr="00E7337F">
              <w:rPr>
                <w:color w:val="000000"/>
              </w:rPr>
              <w:t>Adopt or increase management practices which are beneficial for target; stop harmful management practices</w:t>
            </w:r>
          </w:p>
        </w:tc>
      </w:tr>
      <w:tr w:rsidR="00441127" w:rsidRPr="00E7337F" w14:paraId="1FD0A0A8" w14:textId="77777777" w:rsidTr="0023208F">
        <w:trPr>
          <w:trHeight w:val="1145"/>
        </w:trPr>
        <w:tc>
          <w:tcPr>
            <w:tcW w:w="4536" w:type="dxa"/>
            <w:tcBorders>
              <w:top w:val="nil"/>
              <w:left w:val="nil"/>
              <w:bottom w:val="nil"/>
              <w:right w:val="nil"/>
            </w:tcBorders>
            <w:shd w:val="clear" w:color="auto" w:fill="FFFFFF"/>
          </w:tcPr>
          <w:p w14:paraId="1015DD8C" w14:textId="2CF45138" w:rsidR="0023208F" w:rsidRPr="00E7337F" w:rsidRDefault="00EE12F8" w:rsidP="0023208F">
            <w:pPr>
              <w:spacing w:before="120" w:after="0" w:line="240" w:lineRule="auto"/>
              <w:rPr>
                <w:i/>
                <w:iCs/>
                <w:color w:val="000000"/>
              </w:rPr>
            </w:pPr>
            <w:r w:rsidRPr="00E7337F">
              <w:rPr>
                <w:b/>
                <w:bCs/>
                <w:color w:val="000000"/>
              </w:rPr>
              <w:t>Consumers</w:t>
            </w:r>
            <w:r w:rsidRPr="00E7337F">
              <w:rPr>
                <w:color w:val="000000"/>
              </w:rPr>
              <w:t xml:space="preserve"> - </w:t>
            </w:r>
            <w:r w:rsidR="00EF7CC1" w:rsidRPr="00E7337F">
              <w:rPr>
                <w:i/>
                <w:iCs/>
                <w:color w:val="000000"/>
              </w:rPr>
              <w:t>use conservation target directly, something whose production impacts target, or interact with target through recreational activities</w:t>
            </w:r>
          </w:p>
        </w:tc>
        <w:tc>
          <w:tcPr>
            <w:tcW w:w="4307" w:type="dxa"/>
            <w:tcBorders>
              <w:top w:val="nil"/>
              <w:left w:val="nil"/>
              <w:bottom w:val="nil"/>
              <w:right w:val="nil"/>
            </w:tcBorders>
            <w:shd w:val="clear" w:color="auto" w:fill="FFFFFF"/>
          </w:tcPr>
          <w:p w14:paraId="31E1002E" w14:textId="77777777" w:rsidR="00450CA8" w:rsidRPr="00E7337F" w:rsidRDefault="00EE12F8" w:rsidP="0023208F">
            <w:pPr>
              <w:spacing w:before="120" w:after="0" w:line="240" w:lineRule="auto"/>
              <w:rPr>
                <w:color w:val="000000"/>
              </w:rPr>
            </w:pPr>
            <w:r w:rsidRPr="00E7337F">
              <w:rPr>
                <w:color w:val="000000"/>
              </w:rPr>
              <w:t>Stop or reduce harmful consumption; start or increase beneficial consumption</w:t>
            </w:r>
          </w:p>
        </w:tc>
      </w:tr>
      <w:tr w:rsidR="00441127" w:rsidRPr="00E7337F" w14:paraId="10651B74" w14:textId="77777777" w:rsidTr="0023208F">
        <w:trPr>
          <w:trHeight w:val="1192"/>
        </w:trPr>
        <w:tc>
          <w:tcPr>
            <w:tcW w:w="4536" w:type="dxa"/>
            <w:tcBorders>
              <w:top w:val="nil"/>
              <w:left w:val="nil"/>
              <w:bottom w:val="nil"/>
              <w:right w:val="nil"/>
            </w:tcBorders>
            <w:shd w:val="clear" w:color="auto" w:fill="FFFFFF"/>
          </w:tcPr>
          <w:p w14:paraId="21B00C7F" w14:textId="33DC8B7D" w:rsidR="00450CA8" w:rsidRPr="00E7337F" w:rsidRDefault="00EE12F8" w:rsidP="0023208F">
            <w:pPr>
              <w:spacing w:before="120" w:after="0" w:line="240" w:lineRule="auto"/>
              <w:rPr>
                <w:color w:val="000000"/>
              </w:rPr>
            </w:pPr>
            <w:r w:rsidRPr="00E7337F">
              <w:rPr>
                <w:b/>
                <w:bCs/>
                <w:color w:val="000000"/>
              </w:rPr>
              <w:t xml:space="preserve">Manufacturers, </w:t>
            </w:r>
            <w:proofErr w:type="gramStart"/>
            <w:r w:rsidRPr="00E7337F">
              <w:rPr>
                <w:b/>
                <w:bCs/>
                <w:color w:val="000000"/>
              </w:rPr>
              <w:t>transporters</w:t>
            </w:r>
            <w:proofErr w:type="gramEnd"/>
            <w:r w:rsidRPr="00E7337F">
              <w:rPr>
                <w:b/>
                <w:bCs/>
                <w:color w:val="000000"/>
              </w:rPr>
              <w:t xml:space="preserve"> and sellers</w:t>
            </w:r>
            <w:r w:rsidRPr="00E7337F">
              <w:rPr>
                <w:color w:val="000000"/>
              </w:rPr>
              <w:t xml:space="preserve"> – </w:t>
            </w:r>
            <w:r w:rsidRPr="00E7337F">
              <w:rPr>
                <w:i/>
                <w:iCs/>
                <w:color w:val="000000"/>
              </w:rPr>
              <w:t xml:space="preserve">supply chain actors who </w:t>
            </w:r>
            <w:r w:rsidR="00EF7CC1" w:rsidRPr="00E7337F">
              <w:rPr>
                <w:i/>
                <w:iCs/>
                <w:color w:val="000000"/>
              </w:rPr>
              <w:t>sell goods produced from or otherwise linked to conservation target</w:t>
            </w:r>
          </w:p>
        </w:tc>
        <w:tc>
          <w:tcPr>
            <w:tcW w:w="4307" w:type="dxa"/>
            <w:tcBorders>
              <w:top w:val="nil"/>
              <w:left w:val="nil"/>
              <w:bottom w:val="nil"/>
              <w:right w:val="nil"/>
            </w:tcBorders>
            <w:shd w:val="clear" w:color="auto" w:fill="FFFFFF"/>
          </w:tcPr>
          <w:p w14:paraId="79DC3834" w14:textId="77777777" w:rsidR="00450CA8" w:rsidRPr="00E7337F" w:rsidRDefault="00EE12F8" w:rsidP="0023208F">
            <w:pPr>
              <w:spacing w:before="120" w:after="0" w:line="240" w:lineRule="auto"/>
              <w:rPr>
                <w:color w:val="000000"/>
              </w:rPr>
            </w:pPr>
            <w:r w:rsidRPr="00E7337F">
              <w:rPr>
                <w:color w:val="000000"/>
              </w:rPr>
              <w:t>Reduce sales of unsustainably harvested product; promote less damaging harvesting technology</w:t>
            </w:r>
          </w:p>
        </w:tc>
      </w:tr>
      <w:tr w:rsidR="00441127" w:rsidRPr="00E7337F" w14:paraId="56382047" w14:textId="77777777" w:rsidTr="0023208F">
        <w:trPr>
          <w:trHeight w:val="968"/>
        </w:trPr>
        <w:tc>
          <w:tcPr>
            <w:tcW w:w="4536" w:type="dxa"/>
            <w:tcBorders>
              <w:top w:val="nil"/>
              <w:left w:val="nil"/>
              <w:bottom w:val="nil"/>
              <w:right w:val="nil"/>
            </w:tcBorders>
            <w:shd w:val="clear" w:color="auto" w:fill="FFFFFF"/>
          </w:tcPr>
          <w:p w14:paraId="11DAEEA9" w14:textId="2EE01274" w:rsidR="00450CA8" w:rsidRPr="00E7337F" w:rsidRDefault="00EF7CC1" w:rsidP="0023208F">
            <w:pPr>
              <w:spacing w:before="120" w:after="0" w:line="240" w:lineRule="auto"/>
              <w:rPr>
                <w:color w:val="000000"/>
              </w:rPr>
            </w:pPr>
            <w:r w:rsidRPr="00E7337F">
              <w:rPr>
                <w:b/>
                <w:bCs/>
                <w:color w:val="000000"/>
              </w:rPr>
              <w:t>Investors</w:t>
            </w:r>
            <w:r w:rsidR="00EE12F8" w:rsidRPr="00E7337F">
              <w:rPr>
                <w:color w:val="000000"/>
              </w:rPr>
              <w:t xml:space="preserve"> - </w:t>
            </w:r>
            <w:r w:rsidR="00EE12F8" w:rsidRPr="00E7337F">
              <w:rPr>
                <w:i/>
                <w:iCs/>
                <w:color w:val="000000"/>
              </w:rPr>
              <w:t>provide financial capital for producers and other actors who impact conservation target</w:t>
            </w:r>
          </w:p>
        </w:tc>
        <w:tc>
          <w:tcPr>
            <w:tcW w:w="4307" w:type="dxa"/>
            <w:tcBorders>
              <w:top w:val="nil"/>
              <w:left w:val="nil"/>
              <w:bottom w:val="nil"/>
              <w:right w:val="nil"/>
            </w:tcBorders>
            <w:shd w:val="clear" w:color="auto" w:fill="FFFFFF"/>
          </w:tcPr>
          <w:p w14:paraId="170281BE" w14:textId="77777777" w:rsidR="00450CA8" w:rsidRPr="00E7337F" w:rsidRDefault="00EE12F8" w:rsidP="0023208F">
            <w:pPr>
              <w:spacing w:before="120" w:after="0" w:line="240" w:lineRule="auto"/>
              <w:rPr>
                <w:color w:val="000000"/>
              </w:rPr>
            </w:pPr>
            <w:r w:rsidRPr="00E7337F">
              <w:rPr>
                <w:color w:val="000000"/>
              </w:rPr>
              <w:t>Withdraw or reduce finance for damaging producers; invest in sustainable producers</w:t>
            </w:r>
          </w:p>
        </w:tc>
      </w:tr>
      <w:tr w:rsidR="00441127" w:rsidRPr="00E7337F" w14:paraId="0BD0A8BF" w14:textId="77777777" w:rsidTr="0023208F">
        <w:trPr>
          <w:trHeight w:val="981"/>
        </w:trPr>
        <w:tc>
          <w:tcPr>
            <w:tcW w:w="4536" w:type="dxa"/>
            <w:tcBorders>
              <w:top w:val="nil"/>
              <w:left w:val="nil"/>
              <w:bottom w:val="nil"/>
              <w:right w:val="nil"/>
            </w:tcBorders>
            <w:shd w:val="clear" w:color="auto" w:fill="FFFFFF"/>
          </w:tcPr>
          <w:p w14:paraId="423B1DDB" w14:textId="17DDC5C0" w:rsidR="00450CA8" w:rsidRPr="00E7337F" w:rsidRDefault="00EE12F8" w:rsidP="0023208F">
            <w:pPr>
              <w:spacing w:before="120" w:after="0" w:line="240" w:lineRule="auto"/>
              <w:rPr>
                <w:color w:val="000000"/>
              </w:rPr>
            </w:pPr>
            <w:r w:rsidRPr="00E7337F">
              <w:rPr>
                <w:b/>
                <w:bCs/>
                <w:color w:val="000000"/>
              </w:rPr>
              <w:t>Policymakers and deliverers</w:t>
            </w:r>
            <w:r w:rsidRPr="00E7337F">
              <w:rPr>
                <w:color w:val="000000"/>
              </w:rPr>
              <w:t xml:space="preserve"> </w:t>
            </w:r>
            <w:r w:rsidR="00EF7CC1" w:rsidRPr="00E7337F">
              <w:rPr>
                <w:color w:val="000000"/>
              </w:rPr>
              <w:t>–</w:t>
            </w:r>
            <w:r w:rsidRPr="00E7337F">
              <w:rPr>
                <w:color w:val="000000"/>
              </w:rPr>
              <w:t xml:space="preserve"> </w:t>
            </w:r>
            <w:r w:rsidR="00EF7CC1" w:rsidRPr="00E7337F">
              <w:rPr>
                <w:i/>
                <w:iCs/>
                <w:color w:val="000000"/>
              </w:rPr>
              <w:t>design or implement policies or rules which influence how other actors impact conservation target</w:t>
            </w:r>
          </w:p>
        </w:tc>
        <w:tc>
          <w:tcPr>
            <w:tcW w:w="4307" w:type="dxa"/>
            <w:tcBorders>
              <w:top w:val="nil"/>
              <w:left w:val="nil"/>
              <w:bottom w:val="nil"/>
              <w:right w:val="nil"/>
            </w:tcBorders>
            <w:shd w:val="clear" w:color="auto" w:fill="FFFFFF"/>
          </w:tcPr>
          <w:p w14:paraId="70F54122" w14:textId="77777777" w:rsidR="00450CA8" w:rsidRPr="00E7337F" w:rsidRDefault="00EE12F8" w:rsidP="0023208F">
            <w:pPr>
              <w:spacing w:before="120" w:after="0" w:line="240" w:lineRule="auto"/>
              <w:rPr>
                <w:color w:val="000000"/>
              </w:rPr>
            </w:pPr>
            <w:r w:rsidRPr="00E7337F">
              <w:rPr>
                <w:color w:val="000000"/>
              </w:rPr>
              <w:t>Introduce beneficial policy; withdraw harmful subsidy; tax harmful behaviour; enforce conservation legislation</w:t>
            </w:r>
          </w:p>
        </w:tc>
      </w:tr>
      <w:tr w:rsidR="00441127" w:rsidRPr="00E7337F" w14:paraId="372824B4" w14:textId="77777777" w:rsidTr="0023208F">
        <w:trPr>
          <w:trHeight w:val="981"/>
        </w:trPr>
        <w:tc>
          <w:tcPr>
            <w:tcW w:w="4536" w:type="dxa"/>
            <w:tcBorders>
              <w:top w:val="nil"/>
              <w:left w:val="nil"/>
              <w:bottom w:val="nil"/>
              <w:right w:val="nil"/>
            </w:tcBorders>
            <w:shd w:val="clear" w:color="auto" w:fill="FFFFFF"/>
          </w:tcPr>
          <w:p w14:paraId="5EE6505F" w14:textId="77777777" w:rsidR="00450CA8" w:rsidRPr="00E7337F" w:rsidRDefault="00EE12F8" w:rsidP="0023208F">
            <w:pPr>
              <w:spacing w:before="120" w:after="0" w:line="240" w:lineRule="auto"/>
              <w:rPr>
                <w:color w:val="000000"/>
              </w:rPr>
            </w:pPr>
            <w:r w:rsidRPr="00E7337F">
              <w:rPr>
                <w:b/>
                <w:bCs/>
                <w:color w:val="000000"/>
              </w:rPr>
              <w:t>Voters</w:t>
            </w:r>
            <w:r w:rsidRPr="00E7337F">
              <w:rPr>
                <w:color w:val="000000"/>
              </w:rPr>
              <w:t xml:space="preserve"> - </w:t>
            </w:r>
            <w:r w:rsidRPr="00E7337F">
              <w:rPr>
                <w:i/>
                <w:iCs/>
                <w:color w:val="000000"/>
              </w:rPr>
              <w:t xml:space="preserve">influence government to change design or execution of environmental and other policies </w:t>
            </w:r>
          </w:p>
        </w:tc>
        <w:tc>
          <w:tcPr>
            <w:tcW w:w="4307" w:type="dxa"/>
            <w:tcBorders>
              <w:top w:val="nil"/>
              <w:left w:val="nil"/>
              <w:bottom w:val="nil"/>
              <w:right w:val="nil"/>
            </w:tcBorders>
            <w:shd w:val="clear" w:color="auto" w:fill="FFFFFF"/>
          </w:tcPr>
          <w:p w14:paraId="44A63410" w14:textId="77777777" w:rsidR="00450CA8" w:rsidRPr="00E7337F" w:rsidRDefault="00EE12F8" w:rsidP="0023208F">
            <w:pPr>
              <w:spacing w:before="120" w:after="0" w:line="240" w:lineRule="auto"/>
              <w:rPr>
                <w:color w:val="000000"/>
              </w:rPr>
            </w:pPr>
            <w:r w:rsidRPr="00E7337F">
              <w:rPr>
                <w:color w:val="000000"/>
              </w:rPr>
              <w:t>Take environment into account when voting; let politicians know</w:t>
            </w:r>
          </w:p>
        </w:tc>
      </w:tr>
      <w:tr w:rsidR="00441127" w:rsidRPr="00E7337F" w14:paraId="2AA1C8B4" w14:textId="77777777" w:rsidTr="0023208F">
        <w:trPr>
          <w:trHeight w:val="882"/>
        </w:trPr>
        <w:tc>
          <w:tcPr>
            <w:tcW w:w="4536" w:type="dxa"/>
            <w:tcBorders>
              <w:top w:val="nil"/>
              <w:left w:val="nil"/>
              <w:right w:val="nil"/>
            </w:tcBorders>
            <w:shd w:val="clear" w:color="auto" w:fill="FFFFFF"/>
          </w:tcPr>
          <w:p w14:paraId="1A14CD88" w14:textId="77777777" w:rsidR="00450CA8" w:rsidRPr="00E7337F" w:rsidRDefault="00EE12F8" w:rsidP="0023208F">
            <w:pPr>
              <w:spacing w:before="120" w:after="0" w:line="240" w:lineRule="auto"/>
              <w:rPr>
                <w:color w:val="000000"/>
              </w:rPr>
            </w:pPr>
            <w:r w:rsidRPr="00E7337F">
              <w:rPr>
                <w:b/>
                <w:bCs/>
                <w:color w:val="000000"/>
              </w:rPr>
              <w:t>Communicators</w:t>
            </w:r>
            <w:r w:rsidRPr="00E7337F">
              <w:rPr>
                <w:color w:val="000000"/>
              </w:rPr>
              <w:t xml:space="preserve"> - </w:t>
            </w:r>
            <w:r w:rsidRPr="00E7337F">
              <w:rPr>
                <w:i/>
                <w:iCs/>
                <w:color w:val="000000"/>
              </w:rPr>
              <w:t>provide information to others about the impacts of their behaviours and how to change them</w:t>
            </w:r>
          </w:p>
        </w:tc>
        <w:tc>
          <w:tcPr>
            <w:tcW w:w="4307" w:type="dxa"/>
            <w:tcBorders>
              <w:top w:val="nil"/>
              <w:left w:val="nil"/>
              <w:right w:val="nil"/>
            </w:tcBorders>
            <w:shd w:val="clear" w:color="auto" w:fill="FFFFFF"/>
          </w:tcPr>
          <w:p w14:paraId="2B1DA077" w14:textId="77777777" w:rsidR="00450CA8" w:rsidRPr="00E7337F" w:rsidRDefault="00EE12F8" w:rsidP="0023208F">
            <w:pPr>
              <w:spacing w:before="120" w:after="0" w:line="240" w:lineRule="auto"/>
              <w:rPr>
                <w:color w:val="000000"/>
              </w:rPr>
            </w:pPr>
            <w:r w:rsidRPr="00E7337F">
              <w:rPr>
                <w:color w:val="000000"/>
              </w:rPr>
              <w:t>Provide information that enhances capability or motivation of any actor to act more sustainably</w:t>
            </w:r>
          </w:p>
        </w:tc>
      </w:tr>
      <w:tr w:rsidR="00441127" w:rsidRPr="00E7337F" w14:paraId="009BB5B9" w14:textId="77777777" w:rsidTr="00441127">
        <w:trPr>
          <w:trHeight w:val="996"/>
        </w:trPr>
        <w:tc>
          <w:tcPr>
            <w:tcW w:w="4536" w:type="dxa"/>
            <w:tcBorders>
              <w:left w:val="nil"/>
              <w:bottom w:val="single" w:sz="4" w:space="0" w:color="000000"/>
              <w:right w:val="nil"/>
            </w:tcBorders>
            <w:shd w:val="clear" w:color="auto" w:fill="FFFFFF"/>
          </w:tcPr>
          <w:p w14:paraId="1B9D6235" w14:textId="77777777" w:rsidR="00450CA8" w:rsidRPr="00E7337F" w:rsidRDefault="00EE12F8" w:rsidP="0023208F">
            <w:pPr>
              <w:spacing w:before="120" w:after="120" w:line="240" w:lineRule="auto"/>
              <w:rPr>
                <w:color w:val="000000"/>
              </w:rPr>
            </w:pPr>
            <w:r w:rsidRPr="00E7337F">
              <w:rPr>
                <w:b/>
                <w:bCs/>
                <w:color w:val="000000"/>
              </w:rPr>
              <w:t>Campaigners and lobbyists</w:t>
            </w:r>
            <w:r w:rsidRPr="00E7337F">
              <w:rPr>
                <w:color w:val="000000"/>
              </w:rPr>
              <w:t xml:space="preserve"> - </w:t>
            </w:r>
            <w:r w:rsidRPr="00E7337F">
              <w:rPr>
                <w:i/>
                <w:iCs/>
                <w:color w:val="000000"/>
              </w:rPr>
              <w:t>petition policymakers and other actors to change their choices and decisions</w:t>
            </w:r>
          </w:p>
        </w:tc>
        <w:tc>
          <w:tcPr>
            <w:tcW w:w="4307" w:type="dxa"/>
            <w:tcBorders>
              <w:left w:val="nil"/>
              <w:bottom w:val="single" w:sz="4" w:space="0" w:color="000000"/>
              <w:right w:val="nil"/>
            </w:tcBorders>
            <w:shd w:val="clear" w:color="auto" w:fill="FFFFFF"/>
          </w:tcPr>
          <w:p w14:paraId="7FCD434C" w14:textId="77777777" w:rsidR="00450CA8" w:rsidRPr="00E7337F" w:rsidRDefault="00EE12F8" w:rsidP="0023208F">
            <w:pPr>
              <w:spacing w:before="120" w:after="0" w:line="240" w:lineRule="auto"/>
              <w:rPr>
                <w:color w:val="000000"/>
              </w:rPr>
            </w:pPr>
            <w:r w:rsidRPr="00E7337F">
              <w:rPr>
                <w:color w:val="000000"/>
              </w:rPr>
              <w:t>Promote more desirable consumption; lobby for change to government policy</w:t>
            </w:r>
          </w:p>
        </w:tc>
      </w:tr>
    </w:tbl>
    <w:p w14:paraId="6AEDF26E" w14:textId="77777777" w:rsidR="0039056E" w:rsidRPr="00E7337F" w:rsidRDefault="0039056E">
      <w:pPr>
        <w:sectPr w:rsidR="0039056E" w:rsidRPr="00E7337F">
          <w:pgSz w:w="11906" w:h="16838"/>
          <w:pgMar w:top="1440" w:right="1440" w:bottom="1440" w:left="1440" w:header="708" w:footer="708" w:gutter="0"/>
          <w:cols w:space="708"/>
        </w:sectPr>
      </w:pPr>
    </w:p>
    <w:p w14:paraId="547B3C50" w14:textId="62589CE9" w:rsidR="0039056E" w:rsidRPr="00E7337F" w:rsidRDefault="0039056E" w:rsidP="0039056E">
      <w:pPr>
        <w:spacing w:before="120" w:line="276" w:lineRule="auto"/>
      </w:pPr>
      <w:r w:rsidRPr="00E7337F">
        <w:rPr>
          <w:b/>
          <w:bCs/>
        </w:rPr>
        <w:lastRenderedPageBreak/>
        <w:t>Table 3.</w:t>
      </w:r>
      <w:r w:rsidRPr="00E7337F">
        <w:t xml:space="preserve"> Classes of behaviour change intervention, with some general sample interventions, and specific examples of conservation and other environmental interventions. Note that real-world interventions often comprise multiple bundled elements which may span several intervention classes.</w:t>
      </w:r>
    </w:p>
    <w:tbl>
      <w:tblPr>
        <w:tblW w:w="12768" w:type="dxa"/>
        <w:tblInd w:w="-10" w:type="dxa"/>
        <w:tblLayout w:type="fixed"/>
        <w:tblCellMar>
          <w:left w:w="70" w:type="dxa"/>
          <w:right w:w="70" w:type="dxa"/>
        </w:tblCellMar>
        <w:tblLook w:val="04A0" w:firstRow="1" w:lastRow="0" w:firstColumn="1" w:lastColumn="0" w:noHBand="0" w:noVBand="1"/>
      </w:tblPr>
      <w:tblGrid>
        <w:gridCol w:w="10"/>
        <w:gridCol w:w="366"/>
        <w:gridCol w:w="60"/>
        <w:gridCol w:w="3920"/>
        <w:gridCol w:w="60"/>
        <w:gridCol w:w="4046"/>
        <w:gridCol w:w="60"/>
        <w:gridCol w:w="4246"/>
      </w:tblGrid>
      <w:tr w:rsidR="0039056E" w:rsidRPr="00E7337F" w14:paraId="4A87FEE0" w14:textId="77777777" w:rsidTr="00BA6F29">
        <w:trPr>
          <w:gridBefore w:val="1"/>
          <w:wBefore w:w="10" w:type="dxa"/>
          <w:trHeight w:val="709"/>
        </w:trPr>
        <w:tc>
          <w:tcPr>
            <w:tcW w:w="366" w:type="dxa"/>
            <w:shd w:val="clear" w:color="auto" w:fill="auto"/>
          </w:tcPr>
          <w:p w14:paraId="4694F8A3" w14:textId="77777777" w:rsidR="0039056E" w:rsidRPr="00E7337F" w:rsidRDefault="0039056E" w:rsidP="00BA6F29">
            <w:pPr>
              <w:jc w:val="center"/>
              <w:rPr>
                <w:rFonts w:eastAsia="Times New Roman"/>
                <w:b/>
                <w:bCs/>
                <w:color w:val="000000"/>
                <w:sz w:val="18"/>
                <w:szCs w:val="18"/>
              </w:rPr>
            </w:pPr>
          </w:p>
        </w:tc>
        <w:tc>
          <w:tcPr>
            <w:tcW w:w="3980" w:type="dxa"/>
            <w:gridSpan w:val="2"/>
            <w:tcBorders>
              <w:top w:val="single" w:sz="4" w:space="0" w:color="auto"/>
              <w:bottom w:val="single" w:sz="4" w:space="0" w:color="auto"/>
            </w:tcBorders>
            <w:shd w:val="clear" w:color="auto" w:fill="FBF3F5"/>
            <w:noWrap/>
            <w:vAlign w:val="center"/>
            <w:hideMark/>
          </w:tcPr>
          <w:p w14:paraId="5C1367E5" w14:textId="77777777" w:rsidR="0039056E" w:rsidRPr="00E7337F" w:rsidRDefault="0039056E" w:rsidP="00BA6F29">
            <w:pPr>
              <w:spacing w:after="0" w:line="240" w:lineRule="auto"/>
              <w:rPr>
                <w:rFonts w:eastAsia="Times New Roman"/>
                <w:b/>
                <w:bCs/>
                <w:color w:val="000000"/>
                <w:sz w:val="18"/>
                <w:szCs w:val="18"/>
              </w:rPr>
            </w:pPr>
            <w:r w:rsidRPr="00E7337F">
              <w:rPr>
                <w:rFonts w:eastAsia="Times New Roman"/>
                <w:b/>
                <w:bCs/>
                <w:color w:val="000000"/>
                <w:sz w:val="18"/>
                <w:szCs w:val="18"/>
              </w:rPr>
              <w:t xml:space="preserve"> Intervention class</w:t>
            </w:r>
          </w:p>
        </w:tc>
        <w:tc>
          <w:tcPr>
            <w:tcW w:w="4106" w:type="dxa"/>
            <w:gridSpan w:val="2"/>
            <w:tcBorders>
              <w:top w:val="single" w:sz="4" w:space="0" w:color="auto"/>
              <w:bottom w:val="single" w:sz="4" w:space="0" w:color="auto"/>
            </w:tcBorders>
            <w:shd w:val="clear" w:color="auto" w:fill="FBF3F5"/>
            <w:noWrap/>
            <w:vAlign w:val="center"/>
            <w:hideMark/>
          </w:tcPr>
          <w:p w14:paraId="6F859E7F" w14:textId="77777777" w:rsidR="0039056E" w:rsidRPr="00E7337F" w:rsidRDefault="0039056E" w:rsidP="00BA6F29">
            <w:pPr>
              <w:spacing w:after="0" w:line="240" w:lineRule="auto"/>
              <w:ind w:left="78"/>
              <w:rPr>
                <w:rFonts w:eastAsia="Times New Roman"/>
                <w:b/>
                <w:bCs/>
                <w:color w:val="000000"/>
                <w:sz w:val="18"/>
                <w:szCs w:val="18"/>
              </w:rPr>
            </w:pPr>
            <w:r w:rsidRPr="00E7337F">
              <w:rPr>
                <w:rFonts w:eastAsia="Times New Roman"/>
                <w:b/>
                <w:bCs/>
                <w:color w:val="000000"/>
                <w:sz w:val="18"/>
                <w:szCs w:val="18"/>
              </w:rPr>
              <w:t xml:space="preserve"> Sample of intervention types</w:t>
            </w:r>
          </w:p>
        </w:tc>
        <w:tc>
          <w:tcPr>
            <w:tcW w:w="4306" w:type="dxa"/>
            <w:gridSpan w:val="2"/>
            <w:tcBorders>
              <w:top w:val="single" w:sz="4" w:space="0" w:color="auto"/>
              <w:bottom w:val="single" w:sz="4" w:space="0" w:color="auto"/>
            </w:tcBorders>
            <w:shd w:val="clear" w:color="auto" w:fill="FBF3F5"/>
            <w:vAlign w:val="center"/>
          </w:tcPr>
          <w:p w14:paraId="741E53F6" w14:textId="77777777" w:rsidR="0039056E" w:rsidRPr="00E7337F" w:rsidRDefault="0039056E" w:rsidP="00BA6F29">
            <w:pPr>
              <w:spacing w:after="0" w:line="240" w:lineRule="auto"/>
              <w:ind w:left="84"/>
              <w:rPr>
                <w:rFonts w:eastAsia="Times New Roman"/>
                <w:b/>
                <w:bCs/>
                <w:color w:val="000000"/>
                <w:sz w:val="18"/>
                <w:szCs w:val="18"/>
              </w:rPr>
            </w:pPr>
            <w:r w:rsidRPr="00E7337F">
              <w:rPr>
                <w:rFonts w:eastAsia="Times New Roman"/>
                <w:b/>
                <w:bCs/>
                <w:color w:val="000000"/>
                <w:sz w:val="18"/>
                <w:szCs w:val="18"/>
              </w:rPr>
              <w:t xml:space="preserve"> Conservation examples</w:t>
            </w:r>
          </w:p>
        </w:tc>
      </w:tr>
      <w:tr w:rsidR="0039056E" w:rsidRPr="00E7337F" w14:paraId="762462A5" w14:textId="77777777" w:rsidTr="00BA6F29">
        <w:trPr>
          <w:trHeight w:val="320"/>
        </w:trPr>
        <w:tc>
          <w:tcPr>
            <w:tcW w:w="436" w:type="dxa"/>
            <w:gridSpan w:val="3"/>
            <w:vMerge w:val="restart"/>
            <w:shd w:val="clear" w:color="auto" w:fill="auto"/>
            <w:textDirection w:val="tbRl"/>
            <w:vAlign w:val="bottom"/>
          </w:tcPr>
          <w:p w14:paraId="5E49B09D" w14:textId="77777777" w:rsidR="0039056E" w:rsidRPr="00E7337F" w:rsidRDefault="0039056E" w:rsidP="00BA6F29">
            <w:pPr>
              <w:spacing w:after="0" w:line="240" w:lineRule="auto"/>
              <w:ind w:left="113" w:right="113"/>
              <w:rPr>
                <w:rFonts w:eastAsia="Times New Roman"/>
                <w:i/>
                <w:iCs/>
                <w:color w:val="000000"/>
                <w:sz w:val="18"/>
                <w:szCs w:val="18"/>
              </w:rPr>
            </w:pPr>
            <w:r w:rsidRPr="00E7337F">
              <w:rPr>
                <w:rFonts w:eastAsia="Times New Roman"/>
                <w:i/>
                <w:iCs/>
                <w:color w:val="000000"/>
                <w:sz w:val="18"/>
                <w:szCs w:val="18"/>
                <w14:textFill>
                  <w14:solidFill>
                    <w14:srgbClr w14:val="000000">
                      <w14:alpha w14:val="30000"/>
                    </w14:srgbClr>
                  </w14:solidFill>
                </w14:textFill>
              </w:rPr>
              <w:t xml:space="preserve">  Individual level                           Population level                                                </w:t>
            </w:r>
          </w:p>
        </w:tc>
        <w:tc>
          <w:tcPr>
            <w:tcW w:w="3980" w:type="dxa"/>
            <w:gridSpan w:val="2"/>
            <w:tcBorders>
              <w:top w:val="single" w:sz="4" w:space="0" w:color="auto"/>
            </w:tcBorders>
            <w:shd w:val="clear" w:color="auto" w:fill="auto"/>
            <w:noWrap/>
            <w:vAlign w:val="center"/>
            <w:hideMark/>
          </w:tcPr>
          <w:p w14:paraId="4C095DB0" w14:textId="77777777" w:rsidR="0039056E" w:rsidRPr="00E7337F" w:rsidRDefault="0039056E" w:rsidP="00BA6F29">
            <w:pPr>
              <w:spacing w:after="0" w:line="240" w:lineRule="auto"/>
              <w:rPr>
                <w:rFonts w:eastAsia="Times New Roman"/>
                <w:b/>
                <w:bCs/>
                <w:color w:val="000000"/>
                <w:sz w:val="18"/>
                <w:szCs w:val="18"/>
              </w:rPr>
            </w:pPr>
            <w:r w:rsidRPr="00E7337F">
              <w:rPr>
                <w:rFonts w:eastAsia="Times New Roman"/>
                <w:b/>
                <w:bCs/>
                <w:color w:val="000000"/>
                <w:sz w:val="18"/>
                <w:szCs w:val="18"/>
              </w:rPr>
              <w:t xml:space="preserve">Capability </w:t>
            </w:r>
          </w:p>
        </w:tc>
        <w:tc>
          <w:tcPr>
            <w:tcW w:w="4106" w:type="dxa"/>
            <w:gridSpan w:val="2"/>
            <w:tcBorders>
              <w:top w:val="single" w:sz="4" w:space="0" w:color="auto"/>
            </w:tcBorders>
            <w:shd w:val="clear" w:color="auto" w:fill="auto"/>
            <w:noWrap/>
            <w:vAlign w:val="center"/>
            <w:hideMark/>
          </w:tcPr>
          <w:p w14:paraId="1E5BFCEF" w14:textId="77777777" w:rsidR="0039056E" w:rsidRPr="00E7337F" w:rsidRDefault="0039056E" w:rsidP="00BA6F29">
            <w:pPr>
              <w:spacing w:after="0" w:line="240" w:lineRule="auto"/>
              <w:ind w:left="78"/>
              <w:rPr>
                <w:rFonts w:eastAsia="Times New Roman"/>
                <w:color w:val="000000"/>
                <w:sz w:val="18"/>
                <w:szCs w:val="18"/>
              </w:rPr>
            </w:pPr>
            <w:r w:rsidRPr="00E7337F">
              <w:rPr>
                <w:rFonts w:eastAsia="Times New Roman"/>
                <w:color w:val="000000"/>
                <w:sz w:val="18"/>
                <w:szCs w:val="18"/>
              </w:rPr>
              <w:t> </w:t>
            </w:r>
          </w:p>
        </w:tc>
        <w:tc>
          <w:tcPr>
            <w:tcW w:w="4246" w:type="dxa"/>
            <w:tcBorders>
              <w:top w:val="single" w:sz="4" w:space="0" w:color="auto"/>
            </w:tcBorders>
          </w:tcPr>
          <w:p w14:paraId="4A03280D" w14:textId="77777777" w:rsidR="0039056E" w:rsidRPr="00E7337F" w:rsidRDefault="0039056E" w:rsidP="00BA6F29">
            <w:pPr>
              <w:spacing w:after="0" w:line="240" w:lineRule="auto"/>
              <w:ind w:left="84"/>
              <w:rPr>
                <w:rFonts w:eastAsia="Times New Roman"/>
                <w:color w:val="000000"/>
                <w:sz w:val="18"/>
                <w:szCs w:val="18"/>
              </w:rPr>
            </w:pPr>
          </w:p>
        </w:tc>
      </w:tr>
      <w:tr w:rsidR="0039056E" w:rsidRPr="00E7337F" w14:paraId="14F02B07" w14:textId="77777777" w:rsidTr="00BA6F29">
        <w:trPr>
          <w:trHeight w:val="320"/>
        </w:trPr>
        <w:tc>
          <w:tcPr>
            <w:tcW w:w="436" w:type="dxa"/>
            <w:gridSpan w:val="3"/>
            <w:vMerge/>
          </w:tcPr>
          <w:p w14:paraId="6CE951AB" w14:textId="77777777" w:rsidR="0039056E" w:rsidRPr="00E7337F" w:rsidRDefault="0039056E" w:rsidP="00BA6F29">
            <w:pPr>
              <w:spacing w:after="0" w:line="240" w:lineRule="auto"/>
              <w:rPr>
                <w:rFonts w:eastAsia="Times New Roman"/>
                <w:color w:val="000000"/>
                <w:sz w:val="18"/>
                <w:szCs w:val="18"/>
              </w:rPr>
            </w:pPr>
          </w:p>
        </w:tc>
        <w:tc>
          <w:tcPr>
            <w:tcW w:w="3980" w:type="dxa"/>
            <w:gridSpan w:val="2"/>
            <w:shd w:val="clear" w:color="auto" w:fill="auto"/>
            <w:noWrap/>
            <w:hideMark/>
          </w:tcPr>
          <w:p w14:paraId="4DEF0588" w14:textId="77777777" w:rsidR="0039056E" w:rsidRPr="00E7337F" w:rsidRDefault="0039056E" w:rsidP="00BA6F29">
            <w:pPr>
              <w:spacing w:after="0" w:line="240" w:lineRule="auto"/>
              <w:rPr>
                <w:rFonts w:eastAsia="Times New Roman"/>
                <w:color w:val="000000"/>
                <w:sz w:val="18"/>
                <w:szCs w:val="18"/>
              </w:rPr>
            </w:pPr>
            <w:r w:rsidRPr="00E7337F">
              <w:rPr>
                <w:rFonts w:eastAsia="Times New Roman"/>
                <w:color w:val="000000" w:themeColor="text1"/>
                <w:sz w:val="18"/>
                <w:szCs w:val="18"/>
              </w:rPr>
              <w:t>The physical, psychological, or management resource to perform, modulate, or resist an activity</w:t>
            </w:r>
          </w:p>
        </w:tc>
        <w:tc>
          <w:tcPr>
            <w:tcW w:w="4106" w:type="dxa"/>
            <w:gridSpan w:val="2"/>
            <w:shd w:val="clear" w:color="auto" w:fill="auto"/>
            <w:noWrap/>
            <w:hideMark/>
          </w:tcPr>
          <w:p w14:paraId="65B40859" w14:textId="77777777" w:rsidR="0039056E" w:rsidRPr="00E7337F" w:rsidRDefault="0039056E" w:rsidP="00BA6F29">
            <w:pPr>
              <w:spacing w:after="0" w:line="240" w:lineRule="auto"/>
              <w:ind w:left="78"/>
              <w:rPr>
                <w:rFonts w:eastAsia="Times New Roman"/>
                <w:color w:val="000000" w:themeColor="text1"/>
                <w:sz w:val="18"/>
                <w:szCs w:val="18"/>
              </w:rPr>
            </w:pPr>
            <w:r w:rsidRPr="00E7337F">
              <w:rPr>
                <w:rFonts w:eastAsia="Times New Roman"/>
                <w:color w:val="000000" w:themeColor="text1"/>
                <w:sz w:val="18"/>
                <w:szCs w:val="18"/>
              </w:rPr>
              <w:t>Training physical, psychological, or management skills; providing behavioural support</w:t>
            </w:r>
          </w:p>
        </w:tc>
        <w:tc>
          <w:tcPr>
            <w:tcW w:w="4246" w:type="dxa"/>
          </w:tcPr>
          <w:p w14:paraId="46B12549" w14:textId="77777777" w:rsidR="0039056E" w:rsidRPr="00E7337F" w:rsidRDefault="0039056E" w:rsidP="00BA6F29">
            <w:pPr>
              <w:spacing w:after="0" w:line="240" w:lineRule="auto"/>
              <w:ind w:left="84"/>
              <w:rPr>
                <w:rFonts w:eastAsia="Times New Roman"/>
                <w:color w:val="000000" w:themeColor="text1"/>
                <w:sz w:val="18"/>
                <w:szCs w:val="18"/>
              </w:rPr>
            </w:pPr>
            <w:r w:rsidRPr="00E7337F">
              <w:rPr>
                <w:rFonts w:eastAsia="Times New Roman"/>
                <w:color w:val="000000" w:themeColor="text1"/>
                <w:sz w:val="18"/>
                <w:szCs w:val="18"/>
              </w:rPr>
              <w:t xml:space="preserve">Training fishers in using less damaging fishing gear; making new insights in habitat management available to conservation managers </w:t>
            </w:r>
          </w:p>
        </w:tc>
      </w:tr>
      <w:tr w:rsidR="0039056E" w:rsidRPr="00E7337F" w14:paraId="38CD7F93" w14:textId="77777777" w:rsidTr="00BA6F29">
        <w:trPr>
          <w:trHeight w:val="113"/>
        </w:trPr>
        <w:tc>
          <w:tcPr>
            <w:tcW w:w="436" w:type="dxa"/>
            <w:gridSpan w:val="3"/>
            <w:vMerge/>
          </w:tcPr>
          <w:p w14:paraId="5CAF6649" w14:textId="77777777" w:rsidR="0039056E" w:rsidRPr="00E7337F" w:rsidRDefault="0039056E" w:rsidP="00BA6F29">
            <w:pPr>
              <w:spacing w:after="0" w:line="240" w:lineRule="auto"/>
              <w:rPr>
                <w:rFonts w:eastAsia="Times New Roman"/>
                <w:color w:val="000000"/>
                <w:sz w:val="18"/>
                <w:szCs w:val="18"/>
              </w:rPr>
            </w:pPr>
          </w:p>
        </w:tc>
        <w:tc>
          <w:tcPr>
            <w:tcW w:w="3980" w:type="dxa"/>
            <w:gridSpan w:val="2"/>
            <w:shd w:val="clear" w:color="auto" w:fill="auto"/>
            <w:noWrap/>
          </w:tcPr>
          <w:p w14:paraId="4FF3E7F1" w14:textId="77777777" w:rsidR="0039056E" w:rsidRPr="00E7337F" w:rsidRDefault="0039056E" w:rsidP="00BA6F29">
            <w:pPr>
              <w:spacing w:after="0" w:line="240" w:lineRule="auto"/>
              <w:rPr>
                <w:rFonts w:eastAsia="Times New Roman"/>
                <w:color w:val="000000"/>
                <w:sz w:val="18"/>
                <w:szCs w:val="18"/>
              </w:rPr>
            </w:pPr>
          </w:p>
        </w:tc>
        <w:tc>
          <w:tcPr>
            <w:tcW w:w="4106" w:type="dxa"/>
            <w:gridSpan w:val="2"/>
            <w:shd w:val="clear" w:color="auto" w:fill="auto"/>
            <w:noWrap/>
          </w:tcPr>
          <w:p w14:paraId="5B15F831" w14:textId="77777777" w:rsidR="0039056E" w:rsidRPr="00E7337F" w:rsidRDefault="0039056E" w:rsidP="00BA6F29">
            <w:pPr>
              <w:spacing w:after="0" w:line="240" w:lineRule="auto"/>
              <w:ind w:left="78"/>
              <w:rPr>
                <w:rFonts w:eastAsia="Times New Roman"/>
                <w:color w:val="000000" w:themeColor="text1"/>
                <w:sz w:val="18"/>
                <w:szCs w:val="18"/>
              </w:rPr>
            </w:pPr>
          </w:p>
        </w:tc>
        <w:tc>
          <w:tcPr>
            <w:tcW w:w="4246" w:type="dxa"/>
          </w:tcPr>
          <w:p w14:paraId="74DF625D" w14:textId="77777777" w:rsidR="0039056E" w:rsidRPr="00E7337F" w:rsidRDefault="0039056E" w:rsidP="00BA6F29">
            <w:pPr>
              <w:spacing w:after="0" w:line="240" w:lineRule="auto"/>
              <w:ind w:left="84"/>
              <w:rPr>
                <w:rFonts w:eastAsia="Times New Roman"/>
                <w:color w:val="000000" w:themeColor="text1"/>
                <w:sz w:val="18"/>
                <w:szCs w:val="18"/>
              </w:rPr>
            </w:pPr>
          </w:p>
        </w:tc>
      </w:tr>
      <w:tr w:rsidR="0039056E" w:rsidRPr="00E7337F" w14:paraId="1C6A2C3C" w14:textId="77777777" w:rsidTr="00BA6F29">
        <w:trPr>
          <w:trHeight w:val="113"/>
        </w:trPr>
        <w:tc>
          <w:tcPr>
            <w:tcW w:w="436" w:type="dxa"/>
            <w:gridSpan w:val="3"/>
            <w:vMerge/>
          </w:tcPr>
          <w:p w14:paraId="3EA3F28F" w14:textId="77777777" w:rsidR="0039056E" w:rsidRPr="00E7337F" w:rsidRDefault="0039056E" w:rsidP="00BA6F29">
            <w:pPr>
              <w:spacing w:after="0" w:line="240" w:lineRule="auto"/>
              <w:rPr>
                <w:rFonts w:eastAsia="Times New Roman"/>
                <w:color w:val="000000"/>
                <w:sz w:val="18"/>
                <w:szCs w:val="18"/>
              </w:rPr>
            </w:pPr>
          </w:p>
        </w:tc>
        <w:tc>
          <w:tcPr>
            <w:tcW w:w="3980" w:type="dxa"/>
            <w:gridSpan w:val="2"/>
            <w:shd w:val="clear" w:color="auto" w:fill="auto"/>
            <w:noWrap/>
          </w:tcPr>
          <w:p w14:paraId="329D2EB8" w14:textId="77777777" w:rsidR="0039056E" w:rsidRPr="00E7337F" w:rsidRDefault="0039056E" w:rsidP="00BA6F29">
            <w:pPr>
              <w:spacing w:after="0" w:line="240" w:lineRule="auto"/>
              <w:rPr>
                <w:rFonts w:eastAsia="Times New Roman"/>
                <w:b/>
                <w:bCs/>
                <w:color w:val="000000"/>
                <w:sz w:val="18"/>
                <w:szCs w:val="18"/>
              </w:rPr>
            </w:pPr>
            <w:r w:rsidRPr="00E7337F">
              <w:rPr>
                <w:rFonts w:eastAsia="Times New Roman"/>
                <w:b/>
                <w:bCs/>
                <w:color w:val="000000"/>
                <w:sz w:val="18"/>
                <w:szCs w:val="18"/>
              </w:rPr>
              <w:t>Motivation</w:t>
            </w:r>
          </w:p>
        </w:tc>
        <w:tc>
          <w:tcPr>
            <w:tcW w:w="4106" w:type="dxa"/>
            <w:gridSpan w:val="2"/>
            <w:shd w:val="clear" w:color="auto" w:fill="auto"/>
            <w:noWrap/>
          </w:tcPr>
          <w:p w14:paraId="5316095B" w14:textId="77777777" w:rsidR="0039056E" w:rsidRPr="00E7337F" w:rsidRDefault="0039056E" w:rsidP="00BA6F29">
            <w:pPr>
              <w:spacing w:after="0" w:line="240" w:lineRule="auto"/>
              <w:ind w:left="78"/>
              <w:rPr>
                <w:rFonts w:eastAsia="Times New Roman"/>
                <w:color w:val="000000" w:themeColor="text1"/>
                <w:sz w:val="18"/>
                <w:szCs w:val="18"/>
              </w:rPr>
            </w:pPr>
          </w:p>
        </w:tc>
        <w:tc>
          <w:tcPr>
            <w:tcW w:w="4246" w:type="dxa"/>
          </w:tcPr>
          <w:p w14:paraId="0F71D0F6" w14:textId="77777777" w:rsidR="0039056E" w:rsidRPr="00E7337F" w:rsidRDefault="0039056E" w:rsidP="00BA6F29">
            <w:pPr>
              <w:spacing w:after="0" w:line="240" w:lineRule="auto"/>
              <w:ind w:left="84"/>
              <w:rPr>
                <w:rFonts w:eastAsia="Times New Roman"/>
                <w:color w:val="000000" w:themeColor="text1"/>
                <w:sz w:val="18"/>
                <w:szCs w:val="18"/>
              </w:rPr>
            </w:pPr>
          </w:p>
        </w:tc>
      </w:tr>
      <w:tr w:rsidR="0039056E" w:rsidRPr="00E7337F" w14:paraId="4342B6D4" w14:textId="77777777" w:rsidTr="00BA6F29">
        <w:trPr>
          <w:trHeight w:val="320"/>
        </w:trPr>
        <w:tc>
          <w:tcPr>
            <w:tcW w:w="436" w:type="dxa"/>
            <w:gridSpan w:val="3"/>
            <w:vMerge/>
          </w:tcPr>
          <w:p w14:paraId="302FBC7C" w14:textId="77777777" w:rsidR="0039056E" w:rsidRPr="00E7337F" w:rsidRDefault="0039056E" w:rsidP="00BA6F29">
            <w:pPr>
              <w:spacing w:after="0" w:line="240" w:lineRule="auto"/>
              <w:rPr>
                <w:rFonts w:eastAsia="Times New Roman"/>
                <w:color w:val="000000"/>
                <w:sz w:val="18"/>
                <w:szCs w:val="18"/>
              </w:rPr>
            </w:pPr>
          </w:p>
        </w:tc>
        <w:tc>
          <w:tcPr>
            <w:tcW w:w="3980" w:type="dxa"/>
            <w:gridSpan w:val="2"/>
            <w:shd w:val="clear" w:color="auto" w:fill="auto"/>
            <w:noWrap/>
            <w:hideMark/>
          </w:tcPr>
          <w:p w14:paraId="325EADD9" w14:textId="77777777" w:rsidR="0039056E" w:rsidRPr="00E7337F" w:rsidRDefault="0039056E" w:rsidP="00BA6F29">
            <w:pPr>
              <w:spacing w:after="0" w:line="240" w:lineRule="auto"/>
              <w:rPr>
                <w:rFonts w:eastAsia="Times New Roman"/>
                <w:color w:val="000000"/>
                <w:sz w:val="18"/>
                <w:szCs w:val="18"/>
              </w:rPr>
            </w:pPr>
            <w:r w:rsidRPr="00E7337F">
              <w:rPr>
                <w:rFonts w:ascii="Courier New" w:eastAsia="Times New Roman" w:hAnsi="Courier New" w:cs="Courier New"/>
                <w:color w:val="000000"/>
                <w:sz w:val="18"/>
                <w:szCs w:val="18"/>
              </w:rPr>
              <w:t>﻿</w:t>
            </w:r>
            <w:r w:rsidRPr="00E7337F">
              <w:rPr>
                <w:rFonts w:eastAsia="Times New Roman"/>
                <w:color w:val="000000"/>
                <w:sz w:val="18"/>
                <w:szCs w:val="18"/>
              </w:rPr>
              <w:t>Any process that energizes, directs, and sustains behaviour</w:t>
            </w:r>
          </w:p>
        </w:tc>
        <w:tc>
          <w:tcPr>
            <w:tcW w:w="4106" w:type="dxa"/>
            <w:gridSpan w:val="2"/>
            <w:shd w:val="clear" w:color="auto" w:fill="auto"/>
            <w:noWrap/>
            <w:hideMark/>
          </w:tcPr>
          <w:p w14:paraId="75403EA3" w14:textId="77777777" w:rsidR="0039056E" w:rsidRPr="00E7337F" w:rsidRDefault="0039056E" w:rsidP="00BA6F29">
            <w:pPr>
              <w:spacing w:after="0" w:line="240" w:lineRule="auto"/>
              <w:ind w:left="78"/>
              <w:rPr>
                <w:rFonts w:eastAsia="Times New Roman"/>
                <w:color w:val="000000"/>
                <w:sz w:val="18"/>
                <w:szCs w:val="18"/>
              </w:rPr>
            </w:pPr>
            <w:r w:rsidRPr="00E7337F">
              <w:rPr>
                <w:rFonts w:eastAsia="Times New Roman"/>
                <w:color w:val="000000"/>
                <w:sz w:val="18"/>
                <w:szCs w:val="18"/>
              </w:rPr>
              <w:t>Communicating social norms; promoting public commitment; providing social comparison; offering behavioural feedback</w:t>
            </w:r>
          </w:p>
        </w:tc>
        <w:tc>
          <w:tcPr>
            <w:tcW w:w="4246" w:type="dxa"/>
          </w:tcPr>
          <w:p w14:paraId="3CAFE721" w14:textId="77777777" w:rsidR="0039056E" w:rsidRPr="00E7337F" w:rsidRDefault="0039056E" w:rsidP="00BA6F29">
            <w:pPr>
              <w:spacing w:after="0" w:line="240" w:lineRule="auto"/>
              <w:ind w:left="84"/>
              <w:rPr>
                <w:rFonts w:eastAsia="Times New Roman"/>
                <w:color w:val="000000"/>
                <w:sz w:val="18"/>
                <w:szCs w:val="18"/>
              </w:rPr>
            </w:pPr>
            <w:r w:rsidRPr="00E7337F">
              <w:rPr>
                <w:rFonts w:eastAsia="Times New Roman"/>
                <w:color w:val="000000"/>
                <w:sz w:val="18"/>
                <w:szCs w:val="18"/>
              </w:rPr>
              <w:t>Inducing a sense of pride in local habitats and species; lobbying policymakers or corporations to promote ambitious conservation action</w:t>
            </w:r>
          </w:p>
        </w:tc>
      </w:tr>
      <w:tr w:rsidR="0039056E" w:rsidRPr="00E7337F" w14:paraId="26C43109" w14:textId="77777777" w:rsidTr="00BA6F29">
        <w:trPr>
          <w:trHeight w:val="113"/>
        </w:trPr>
        <w:tc>
          <w:tcPr>
            <w:tcW w:w="436" w:type="dxa"/>
            <w:gridSpan w:val="3"/>
            <w:vMerge/>
          </w:tcPr>
          <w:p w14:paraId="716CB4AF" w14:textId="77777777" w:rsidR="0039056E" w:rsidRPr="00E7337F" w:rsidRDefault="0039056E" w:rsidP="00BA6F29">
            <w:pPr>
              <w:spacing w:after="0" w:line="240" w:lineRule="auto"/>
              <w:rPr>
                <w:rFonts w:eastAsia="Times New Roman"/>
                <w:color w:val="000000"/>
                <w:sz w:val="18"/>
                <w:szCs w:val="18"/>
              </w:rPr>
            </w:pPr>
          </w:p>
        </w:tc>
        <w:tc>
          <w:tcPr>
            <w:tcW w:w="3980" w:type="dxa"/>
            <w:gridSpan w:val="2"/>
            <w:shd w:val="clear" w:color="auto" w:fill="auto"/>
            <w:noWrap/>
          </w:tcPr>
          <w:p w14:paraId="725C9D53" w14:textId="77777777" w:rsidR="0039056E" w:rsidRPr="00E7337F" w:rsidRDefault="0039056E" w:rsidP="00BA6F29">
            <w:pPr>
              <w:spacing w:after="0" w:line="240" w:lineRule="auto"/>
              <w:rPr>
                <w:rFonts w:eastAsia="Times New Roman"/>
                <w:color w:val="000000"/>
                <w:sz w:val="18"/>
                <w:szCs w:val="18"/>
              </w:rPr>
            </w:pPr>
          </w:p>
        </w:tc>
        <w:tc>
          <w:tcPr>
            <w:tcW w:w="4106" w:type="dxa"/>
            <w:gridSpan w:val="2"/>
            <w:shd w:val="clear" w:color="auto" w:fill="auto"/>
            <w:noWrap/>
          </w:tcPr>
          <w:p w14:paraId="660C6DD0" w14:textId="77777777" w:rsidR="0039056E" w:rsidRPr="00E7337F" w:rsidRDefault="0039056E" w:rsidP="00BA6F29">
            <w:pPr>
              <w:spacing w:after="0" w:line="240" w:lineRule="auto"/>
              <w:ind w:left="78"/>
              <w:rPr>
                <w:rFonts w:eastAsia="Times New Roman"/>
                <w:color w:val="000000"/>
                <w:sz w:val="18"/>
                <w:szCs w:val="18"/>
              </w:rPr>
            </w:pPr>
          </w:p>
        </w:tc>
        <w:tc>
          <w:tcPr>
            <w:tcW w:w="4246" w:type="dxa"/>
          </w:tcPr>
          <w:p w14:paraId="05DDBDBA" w14:textId="77777777" w:rsidR="0039056E" w:rsidRPr="00E7337F" w:rsidRDefault="0039056E" w:rsidP="00BA6F29">
            <w:pPr>
              <w:spacing w:after="0" w:line="240" w:lineRule="auto"/>
              <w:ind w:left="84"/>
              <w:rPr>
                <w:rFonts w:eastAsia="Times New Roman"/>
                <w:color w:val="000000"/>
                <w:sz w:val="18"/>
                <w:szCs w:val="18"/>
              </w:rPr>
            </w:pPr>
          </w:p>
        </w:tc>
      </w:tr>
      <w:tr w:rsidR="0039056E" w:rsidRPr="00E7337F" w14:paraId="268FF0DE" w14:textId="77777777" w:rsidTr="00BA6F29">
        <w:trPr>
          <w:trHeight w:val="113"/>
        </w:trPr>
        <w:tc>
          <w:tcPr>
            <w:tcW w:w="436" w:type="dxa"/>
            <w:gridSpan w:val="3"/>
            <w:vMerge/>
          </w:tcPr>
          <w:p w14:paraId="4F99DD0B" w14:textId="77777777" w:rsidR="0039056E" w:rsidRPr="00E7337F" w:rsidRDefault="0039056E" w:rsidP="00BA6F29">
            <w:pPr>
              <w:spacing w:after="0" w:line="240" w:lineRule="auto"/>
              <w:rPr>
                <w:rFonts w:eastAsia="Times New Roman"/>
                <w:color w:val="000000"/>
                <w:sz w:val="18"/>
                <w:szCs w:val="18"/>
              </w:rPr>
            </w:pPr>
          </w:p>
        </w:tc>
        <w:tc>
          <w:tcPr>
            <w:tcW w:w="3980" w:type="dxa"/>
            <w:gridSpan w:val="2"/>
            <w:shd w:val="clear" w:color="auto" w:fill="auto"/>
            <w:noWrap/>
          </w:tcPr>
          <w:p w14:paraId="5CC1C05E" w14:textId="77777777" w:rsidR="0039056E" w:rsidRPr="00E7337F" w:rsidRDefault="0039056E" w:rsidP="00BA6F29">
            <w:pPr>
              <w:spacing w:after="0" w:line="240" w:lineRule="auto"/>
              <w:rPr>
                <w:rFonts w:eastAsia="Times New Roman"/>
                <w:b/>
                <w:bCs/>
                <w:color w:val="000000"/>
                <w:sz w:val="18"/>
                <w:szCs w:val="18"/>
              </w:rPr>
            </w:pPr>
            <w:r w:rsidRPr="00E7337F">
              <w:rPr>
                <w:rFonts w:eastAsia="Times New Roman"/>
                <w:b/>
                <w:bCs/>
                <w:color w:val="000000"/>
                <w:sz w:val="18"/>
                <w:szCs w:val="18"/>
              </w:rPr>
              <w:t>Physical microenvironment</w:t>
            </w:r>
          </w:p>
        </w:tc>
        <w:tc>
          <w:tcPr>
            <w:tcW w:w="4106" w:type="dxa"/>
            <w:gridSpan w:val="2"/>
            <w:shd w:val="clear" w:color="auto" w:fill="auto"/>
            <w:noWrap/>
          </w:tcPr>
          <w:p w14:paraId="0FFDBA08" w14:textId="77777777" w:rsidR="0039056E" w:rsidRPr="00E7337F" w:rsidRDefault="0039056E" w:rsidP="00BA6F29">
            <w:pPr>
              <w:spacing w:after="0" w:line="240" w:lineRule="auto"/>
              <w:ind w:left="78"/>
              <w:rPr>
                <w:rFonts w:eastAsia="Times New Roman"/>
                <w:color w:val="000000"/>
                <w:sz w:val="18"/>
                <w:szCs w:val="18"/>
              </w:rPr>
            </w:pPr>
          </w:p>
        </w:tc>
        <w:tc>
          <w:tcPr>
            <w:tcW w:w="4246" w:type="dxa"/>
          </w:tcPr>
          <w:p w14:paraId="13D67D41" w14:textId="77777777" w:rsidR="0039056E" w:rsidRPr="00E7337F" w:rsidRDefault="0039056E" w:rsidP="00BA6F29">
            <w:pPr>
              <w:spacing w:after="0" w:line="240" w:lineRule="auto"/>
              <w:ind w:left="84"/>
              <w:rPr>
                <w:rFonts w:eastAsia="Times New Roman"/>
                <w:color w:val="000000"/>
                <w:sz w:val="18"/>
                <w:szCs w:val="18"/>
              </w:rPr>
            </w:pPr>
          </w:p>
        </w:tc>
      </w:tr>
      <w:tr w:rsidR="0039056E" w:rsidRPr="00E7337F" w14:paraId="2F0C7D9E" w14:textId="77777777" w:rsidTr="00BA6F29">
        <w:trPr>
          <w:trHeight w:val="320"/>
        </w:trPr>
        <w:tc>
          <w:tcPr>
            <w:tcW w:w="436" w:type="dxa"/>
            <w:gridSpan w:val="3"/>
            <w:vMerge/>
          </w:tcPr>
          <w:p w14:paraId="7B184EB5" w14:textId="77777777" w:rsidR="0039056E" w:rsidRPr="00E7337F" w:rsidRDefault="0039056E" w:rsidP="00BA6F29">
            <w:pPr>
              <w:spacing w:after="0" w:line="240" w:lineRule="auto"/>
              <w:rPr>
                <w:rFonts w:eastAsia="Times New Roman"/>
                <w:color w:val="000000"/>
                <w:sz w:val="18"/>
                <w:szCs w:val="18"/>
              </w:rPr>
            </w:pPr>
          </w:p>
        </w:tc>
        <w:tc>
          <w:tcPr>
            <w:tcW w:w="3980" w:type="dxa"/>
            <w:gridSpan w:val="2"/>
            <w:shd w:val="clear" w:color="auto" w:fill="auto"/>
            <w:noWrap/>
            <w:hideMark/>
          </w:tcPr>
          <w:p w14:paraId="6E9082B1" w14:textId="77777777" w:rsidR="0039056E" w:rsidRPr="00E7337F" w:rsidRDefault="0039056E" w:rsidP="00BA6F29">
            <w:pPr>
              <w:spacing w:after="0" w:line="240" w:lineRule="auto"/>
              <w:rPr>
                <w:rFonts w:eastAsia="Times New Roman"/>
                <w:color w:val="000000"/>
                <w:sz w:val="18"/>
                <w:szCs w:val="18"/>
              </w:rPr>
            </w:pPr>
            <w:r w:rsidRPr="00E7337F">
              <w:rPr>
                <w:rFonts w:ascii="Courier New" w:eastAsia="Times New Roman" w:hAnsi="Courier New" w:cs="Courier New"/>
                <w:color w:val="000000"/>
                <w:sz w:val="18"/>
                <w:szCs w:val="18"/>
              </w:rPr>
              <w:t>﻿</w:t>
            </w:r>
            <w:r w:rsidRPr="00E7337F">
              <w:rPr>
                <w:rFonts w:eastAsia="Times New Roman"/>
                <w:color w:val="000000"/>
                <w:sz w:val="18"/>
                <w:szCs w:val="18"/>
              </w:rPr>
              <w:t>The settings that people use for specific purposes and where they interact directly with objects and stimuli in those environments</w:t>
            </w:r>
          </w:p>
        </w:tc>
        <w:tc>
          <w:tcPr>
            <w:tcW w:w="4106" w:type="dxa"/>
            <w:gridSpan w:val="2"/>
            <w:shd w:val="clear" w:color="auto" w:fill="auto"/>
            <w:noWrap/>
            <w:hideMark/>
          </w:tcPr>
          <w:p w14:paraId="38F2B3C4" w14:textId="77777777" w:rsidR="0039056E" w:rsidRPr="00E7337F" w:rsidRDefault="0039056E" w:rsidP="00BA6F29">
            <w:pPr>
              <w:spacing w:after="0" w:line="240" w:lineRule="auto"/>
              <w:ind w:left="78"/>
              <w:rPr>
                <w:rFonts w:eastAsia="Times New Roman"/>
                <w:color w:val="000000"/>
                <w:sz w:val="18"/>
                <w:szCs w:val="18"/>
              </w:rPr>
            </w:pPr>
            <w:r w:rsidRPr="00E7337F">
              <w:rPr>
                <w:rFonts w:eastAsia="Times New Roman"/>
                <w:color w:val="000000"/>
                <w:sz w:val="18"/>
                <w:szCs w:val="18"/>
              </w:rPr>
              <w:t>Altering availability, position, presentation, or size of products or objects</w:t>
            </w:r>
          </w:p>
        </w:tc>
        <w:tc>
          <w:tcPr>
            <w:tcW w:w="4246" w:type="dxa"/>
          </w:tcPr>
          <w:p w14:paraId="51E73C98" w14:textId="77777777" w:rsidR="0039056E" w:rsidRPr="00E7337F" w:rsidRDefault="0039056E" w:rsidP="00BA6F29">
            <w:pPr>
              <w:spacing w:after="0" w:line="240" w:lineRule="auto"/>
              <w:ind w:left="84"/>
              <w:rPr>
                <w:rFonts w:eastAsia="Times New Roman"/>
                <w:color w:val="000000"/>
                <w:sz w:val="18"/>
                <w:szCs w:val="18"/>
              </w:rPr>
            </w:pPr>
            <w:r w:rsidRPr="00E7337F">
              <w:rPr>
                <w:rFonts w:eastAsia="Times New Roman"/>
                <w:color w:val="000000"/>
                <w:sz w:val="18"/>
                <w:szCs w:val="18"/>
              </w:rPr>
              <w:t xml:space="preserve">Increasing vegetarian meal availability in cafeterias; </w:t>
            </w:r>
            <w:r w:rsidRPr="00E7337F">
              <w:rPr>
                <w:rFonts w:eastAsia="Times New Roman"/>
                <w:color w:val="000000" w:themeColor="text1"/>
                <w:sz w:val="18"/>
                <w:szCs w:val="18"/>
              </w:rPr>
              <w:t>changing the presentation of products to increase salience; altering defaults to lower-footprint settings</w:t>
            </w:r>
          </w:p>
        </w:tc>
      </w:tr>
      <w:tr w:rsidR="0039056E" w:rsidRPr="00E7337F" w14:paraId="7B6DB236" w14:textId="77777777" w:rsidTr="00BA6F29">
        <w:trPr>
          <w:trHeight w:val="113"/>
        </w:trPr>
        <w:tc>
          <w:tcPr>
            <w:tcW w:w="436" w:type="dxa"/>
            <w:gridSpan w:val="3"/>
            <w:vMerge/>
          </w:tcPr>
          <w:p w14:paraId="0D3BED8B" w14:textId="77777777" w:rsidR="0039056E" w:rsidRPr="00E7337F" w:rsidRDefault="0039056E" w:rsidP="00BA6F29">
            <w:pPr>
              <w:spacing w:after="0" w:line="240" w:lineRule="auto"/>
              <w:rPr>
                <w:rFonts w:eastAsia="Times New Roman"/>
                <w:color w:val="000000"/>
                <w:sz w:val="18"/>
                <w:szCs w:val="18"/>
              </w:rPr>
            </w:pPr>
          </w:p>
        </w:tc>
        <w:tc>
          <w:tcPr>
            <w:tcW w:w="3980" w:type="dxa"/>
            <w:gridSpan w:val="2"/>
            <w:shd w:val="clear" w:color="auto" w:fill="auto"/>
            <w:noWrap/>
          </w:tcPr>
          <w:p w14:paraId="4F14AA7D" w14:textId="77777777" w:rsidR="0039056E" w:rsidRPr="00E7337F" w:rsidRDefault="0039056E" w:rsidP="00BA6F29">
            <w:pPr>
              <w:spacing w:after="0" w:line="240" w:lineRule="auto"/>
              <w:rPr>
                <w:rFonts w:eastAsia="Times New Roman"/>
                <w:color w:val="000000"/>
                <w:sz w:val="18"/>
                <w:szCs w:val="18"/>
              </w:rPr>
            </w:pPr>
          </w:p>
        </w:tc>
        <w:tc>
          <w:tcPr>
            <w:tcW w:w="4106" w:type="dxa"/>
            <w:gridSpan w:val="2"/>
            <w:shd w:val="clear" w:color="auto" w:fill="auto"/>
            <w:noWrap/>
          </w:tcPr>
          <w:p w14:paraId="66DD51B4" w14:textId="77777777" w:rsidR="0039056E" w:rsidRPr="00E7337F" w:rsidRDefault="0039056E" w:rsidP="00BA6F29">
            <w:pPr>
              <w:spacing w:after="0" w:line="240" w:lineRule="auto"/>
              <w:ind w:left="78"/>
              <w:rPr>
                <w:rFonts w:eastAsia="Times New Roman"/>
                <w:color w:val="000000"/>
                <w:sz w:val="18"/>
                <w:szCs w:val="18"/>
              </w:rPr>
            </w:pPr>
          </w:p>
        </w:tc>
        <w:tc>
          <w:tcPr>
            <w:tcW w:w="4246" w:type="dxa"/>
          </w:tcPr>
          <w:p w14:paraId="53944D7E" w14:textId="77777777" w:rsidR="0039056E" w:rsidRPr="00E7337F" w:rsidRDefault="0039056E" w:rsidP="00BA6F29">
            <w:pPr>
              <w:spacing w:after="0" w:line="240" w:lineRule="auto"/>
              <w:ind w:left="84"/>
              <w:rPr>
                <w:rFonts w:eastAsia="Times New Roman"/>
                <w:color w:val="000000"/>
                <w:sz w:val="18"/>
                <w:szCs w:val="18"/>
              </w:rPr>
            </w:pPr>
          </w:p>
        </w:tc>
      </w:tr>
      <w:tr w:rsidR="0039056E" w:rsidRPr="00E7337F" w14:paraId="4C15B9C0" w14:textId="77777777" w:rsidTr="00BA6F29">
        <w:trPr>
          <w:trHeight w:val="113"/>
        </w:trPr>
        <w:tc>
          <w:tcPr>
            <w:tcW w:w="436" w:type="dxa"/>
            <w:gridSpan w:val="3"/>
            <w:vMerge/>
          </w:tcPr>
          <w:p w14:paraId="3A5AC0D9" w14:textId="77777777" w:rsidR="0039056E" w:rsidRPr="00E7337F" w:rsidRDefault="0039056E" w:rsidP="00BA6F29">
            <w:pPr>
              <w:spacing w:after="0" w:line="240" w:lineRule="auto"/>
              <w:rPr>
                <w:rFonts w:eastAsia="Times New Roman"/>
                <w:color w:val="000000"/>
                <w:sz w:val="18"/>
                <w:szCs w:val="18"/>
              </w:rPr>
            </w:pPr>
          </w:p>
        </w:tc>
        <w:tc>
          <w:tcPr>
            <w:tcW w:w="3980" w:type="dxa"/>
            <w:gridSpan w:val="2"/>
            <w:shd w:val="clear" w:color="auto" w:fill="auto"/>
            <w:noWrap/>
          </w:tcPr>
          <w:p w14:paraId="46A508CB" w14:textId="77777777" w:rsidR="0039056E" w:rsidRPr="00E7337F" w:rsidRDefault="0039056E" w:rsidP="00BA6F29">
            <w:pPr>
              <w:spacing w:after="0" w:line="240" w:lineRule="auto"/>
              <w:rPr>
                <w:rFonts w:eastAsia="Times New Roman"/>
                <w:b/>
                <w:bCs/>
                <w:color w:val="000000"/>
                <w:sz w:val="18"/>
                <w:szCs w:val="18"/>
              </w:rPr>
            </w:pPr>
            <w:r w:rsidRPr="00E7337F">
              <w:rPr>
                <w:rFonts w:eastAsia="Times New Roman"/>
                <w:b/>
                <w:bCs/>
                <w:color w:val="000000" w:themeColor="text1"/>
                <w:sz w:val="18"/>
                <w:szCs w:val="18"/>
              </w:rPr>
              <w:t>Physical macroenvironment</w:t>
            </w:r>
          </w:p>
        </w:tc>
        <w:tc>
          <w:tcPr>
            <w:tcW w:w="4106" w:type="dxa"/>
            <w:gridSpan w:val="2"/>
            <w:shd w:val="clear" w:color="auto" w:fill="auto"/>
            <w:noWrap/>
          </w:tcPr>
          <w:p w14:paraId="444F23EB" w14:textId="77777777" w:rsidR="0039056E" w:rsidRPr="00E7337F" w:rsidRDefault="0039056E" w:rsidP="00BA6F29">
            <w:pPr>
              <w:spacing w:after="0" w:line="240" w:lineRule="auto"/>
              <w:ind w:left="78"/>
              <w:rPr>
                <w:rFonts w:eastAsia="Times New Roman"/>
                <w:color w:val="000000"/>
                <w:sz w:val="18"/>
                <w:szCs w:val="18"/>
              </w:rPr>
            </w:pPr>
          </w:p>
        </w:tc>
        <w:tc>
          <w:tcPr>
            <w:tcW w:w="4246" w:type="dxa"/>
          </w:tcPr>
          <w:p w14:paraId="2B21D5D9" w14:textId="77777777" w:rsidR="0039056E" w:rsidRPr="00E7337F" w:rsidRDefault="0039056E" w:rsidP="00BA6F29">
            <w:pPr>
              <w:spacing w:after="0" w:line="240" w:lineRule="auto"/>
              <w:ind w:left="84"/>
              <w:rPr>
                <w:rFonts w:eastAsia="Times New Roman"/>
                <w:color w:val="000000"/>
                <w:sz w:val="18"/>
                <w:szCs w:val="18"/>
              </w:rPr>
            </w:pPr>
          </w:p>
        </w:tc>
      </w:tr>
      <w:tr w:rsidR="0039056E" w:rsidRPr="00E7337F" w14:paraId="3E29C548" w14:textId="77777777" w:rsidTr="00BA6F29">
        <w:trPr>
          <w:trHeight w:val="320"/>
        </w:trPr>
        <w:tc>
          <w:tcPr>
            <w:tcW w:w="436" w:type="dxa"/>
            <w:gridSpan w:val="3"/>
            <w:vMerge/>
          </w:tcPr>
          <w:p w14:paraId="7883E55F" w14:textId="77777777" w:rsidR="0039056E" w:rsidRPr="00E7337F" w:rsidRDefault="0039056E" w:rsidP="00BA6F29">
            <w:pPr>
              <w:spacing w:after="0" w:line="240" w:lineRule="auto"/>
              <w:rPr>
                <w:rFonts w:eastAsia="Times New Roman"/>
                <w:color w:val="000000" w:themeColor="text1"/>
                <w:sz w:val="18"/>
                <w:szCs w:val="18"/>
              </w:rPr>
            </w:pPr>
          </w:p>
        </w:tc>
        <w:tc>
          <w:tcPr>
            <w:tcW w:w="3980" w:type="dxa"/>
            <w:gridSpan w:val="2"/>
            <w:shd w:val="clear" w:color="auto" w:fill="auto"/>
            <w:noWrap/>
          </w:tcPr>
          <w:p w14:paraId="7703598E" w14:textId="77777777" w:rsidR="0039056E" w:rsidRPr="00E7337F" w:rsidRDefault="0039056E" w:rsidP="00BA6F29">
            <w:pPr>
              <w:spacing w:after="0" w:line="240" w:lineRule="auto"/>
              <w:rPr>
                <w:rFonts w:eastAsia="Times New Roman"/>
                <w:color w:val="000000" w:themeColor="text1"/>
                <w:sz w:val="18"/>
                <w:szCs w:val="18"/>
              </w:rPr>
            </w:pPr>
            <w:r w:rsidRPr="00E7337F">
              <w:rPr>
                <w:rFonts w:eastAsia="Times New Roman"/>
                <w:color w:val="000000" w:themeColor="text1"/>
                <w:sz w:val="18"/>
                <w:szCs w:val="18"/>
              </w:rPr>
              <w:t>The basic physical and organizational structures and facilities needed for the operation of a society or organization</w:t>
            </w:r>
          </w:p>
        </w:tc>
        <w:tc>
          <w:tcPr>
            <w:tcW w:w="4106" w:type="dxa"/>
            <w:gridSpan w:val="2"/>
            <w:shd w:val="clear" w:color="auto" w:fill="auto"/>
            <w:noWrap/>
          </w:tcPr>
          <w:p w14:paraId="568F9A17" w14:textId="77777777" w:rsidR="0039056E" w:rsidRPr="00E7337F" w:rsidRDefault="0039056E" w:rsidP="00BA6F29">
            <w:pPr>
              <w:spacing w:after="0" w:line="240" w:lineRule="auto"/>
              <w:ind w:left="78"/>
              <w:rPr>
                <w:rFonts w:eastAsia="Times New Roman"/>
                <w:color w:val="000000" w:themeColor="text1"/>
                <w:sz w:val="18"/>
                <w:szCs w:val="18"/>
              </w:rPr>
            </w:pPr>
            <w:r w:rsidRPr="00E7337F">
              <w:rPr>
                <w:rFonts w:eastAsia="Times New Roman"/>
                <w:color w:val="000000" w:themeColor="text1"/>
                <w:sz w:val="18"/>
                <w:szCs w:val="18"/>
              </w:rPr>
              <w:t>Increasing availability of public transport; altering functionality of roads</w:t>
            </w:r>
          </w:p>
        </w:tc>
        <w:tc>
          <w:tcPr>
            <w:tcW w:w="4246" w:type="dxa"/>
          </w:tcPr>
          <w:p w14:paraId="5E1747C9" w14:textId="77777777" w:rsidR="0039056E" w:rsidRPr="00E7337F" w:rsidRDefault="0039056E" w:rsidP="00BA6F29">
            <w:pPr>
              <w:spacing w:after="0" w:line="240" w:lineRule="auto"/>
              <w:ind w:left="84"/>
              <w:rPr>
                <w:rFonts w:eastAsia="Times New Roman"/>
                <w:color w:val="000000" w:themeColor="text1"/>
                <w:sz w:val="18"/>
                <w:szCs w:val="18"/>
              </w:rPr>
            </w:pPr>
            <w:r w:rsidRPr="00E7337F">
              <w:rPr>
                <w:rFonts w:eastAsia="Times New Roman"/>
                <w:color w:val="000000" w:themeColor="text1"/>
                <w:sz w:val="18"/>
                <w:szCs w:val="18"/>
              </w:rPr>
              <w:t>Increasing public transport options to national parks and nature reserves; increasing the energy efficiency of public buildings</w:t>
            </w:r>
          </w:p>
        </w:tc>
      </w:tr>
      <w:tr w:rsidR="0039056E" w:rsidRPr="00E7337F" w14:paraId="70FACEE5" w14:textId="77777777" w:rsidTr="00BA6F29">
        <w:trPr>
          <w:trHeight w:val="113"/>
        </w:trPr>
        <w:tc>
          <w:tcPr>
            <w:tcW w:w="436" w:type="dxa"/>
            <w:gridSpan w:val="3"/>
            <w:vMerge/>
          </w:tcPr>
          <w:p w14:paraId="63823E22" w14:textId="77777777" w:rsidR="0039056E" w:rsidRPr="00E7337F" w:rsidRDefault="0039056E" w:rsidP="00BA6F29">
            <w:pPr>
              <w:spacing w:after="0" w:line="240" w:lineRule="auto"/>
              <w:rPr>
                <w:rFonts w:eastAsia="Times New Roman"/>
                <w:color w:val="000000" w:themeColor="text1"/>
                <w:sz w:val="18"/>
                <w:szCs w:val="18"/>
              </w:rPr>
            </w:pPr>
          </w:p>
        </w:tc>
        <w:tc>
          <w:tcPr>
            <w:tcW w:w="3980" w:type="dxa"/>
            <w:gridSpan w:val="2"/>
            <w:shd w:val="clear" w:color="auto" w:fill="auto"/>
            <w:noWrap/>
          </w:tcPr>
          <w:p w14:paraId="16969C89" w14:textId="77777777" w:rsidR="0039056E" w:rsidRPr="00E7337F" w:rsidRDefault="0039056E" w:rsidP="00BA6F29">
            <w:pPr>
              <w:spacing w:after="0" w:line="240" w:lineRule="auto"/>
              <w:rPr>
                <w:rFonts w:eastAsia="Times New Roman"/>
                <w:color w:val="000000" w:themeColor="text1"/>
                <w:sz w:val="18"/>
                <w:szCs w:val="18"/>
              </w:rPr>
            </w:pPr>
          </w:p>
        </w:tc>
        <w:tc>
          <w:tcPr>
            <w:tcW w:w="4106" w:type="dxa"/>
            <w:gridSpan w:val="2"/>
            <w:shd w:val="clear" w:color="auto" w:fill="auto"/>
            <w:noWrap/>
          </w:tcPr>
          <w:p w14:paraId="2AFFE2C0" w14:textId="77777777" w:rsidR="0039056E" w:rsidRPr="00E7337F" w:rsidRDefault="0039056E" w:rsidP="00BA6F29">
            <w:pPr>
              <w:spacing w:after="0" w:line="240" w:lineRule="auto"/>
              <w:ind w:left="78"/>
              <w:rPr>
                <w:rFonts w:eastAsia="Times New Roman"/>
                <w:color w:val="000000" w:themeColor="text1"/>
                <w:sz w:val="18"/>
                <w:szCs w:val="18"/>
              </w:rPr>
            </w:pPr>
          </w:p>
        </w:tc>
        <w:tc>
          <w:tcPr>
            <w:tcW w:w="4246" w:type="dxa"/>
          </w:tcPr>
          <w:p w14:paraId="35AAB552" w14:textId="77777777" w:rsidR="0039056E" w:rsidRPr="00E7337F" w:rsidRDefault="0039056E" w:rsidP="00BA6F29">
            <w:pPr>
              <w:spacing w:after="0" w:line="240" w:lineRule="auto"/>
              <w:ind w:left="84"/>
              <w:rPr>
                <w:rFonts w:eastAsia="Times New Roman"/>
                <w:color w:val="000000" w:themeColor="text1"/>
                <w:sz w:val="18"/>
                <w:szCs w:val="18"/>
              </w:rPr>
            </w:pPr>
          </w:p>
        </w:tc>
      </w:tr>
      <w:tr w:rsidR="0039056E" w:rsidRPr="00E7337F" w14:paraId="781E0F2F" w14:textId="77777777" w:rsidTr="00BA6F29">
        <w:trPr>
          <w:trHeight w:val="113"/>
        </w:trPr>
        <w:tc>
          <w:tcPr>
            <w:tcW w:w="436" w:type="dxa"/>
            <w:gridSpan w:val="3"/>
            <w:vMerge/>
          </w:tcPr>
          <w:p w14:paraId="60E02BAA" w14:textId="77777777" w:rsidR="0039056E" w:rsidRPr="00E7337F" w:rsidRDefault="0039056E" w:rsidP="00BA6F29">
            <w:pPr>
              <w:spacing w:after="0" w:line="240" w:lineRule="auto"/>
              <w:rPr>
                <w:rFonts w:eastAsia="Times New Roman"/>
                <w:color w:val="000000" w:themeColor="text1"/>
                <w:sz w:val="18"/>
                <w:szCs w:val="18"/>
              </w:rPr>
            </w:pPr>
          </w:p>
        </w:tc>
        <w:tc>
          <w:tcPr>
            <w:tcW w:w="3980" w:type="dxa"/>
            <w:gridSpan w:val="2"/>
            <w:shd w:val="clear" w:color="auto" w:fill="auto"/>
            <w:noWrap/>
          </w:tcPr>
          <w:p w14:paraId="12F7F7FF" w14:textId="77777777" w:rsidR="0039056E" w:rsidRPr="00E7337F" w:rsidRDefault="0039056E" w:rsidP="00BA6F29">
            <w:pPr>
              <w:spacing w:after="0" w:line="240" w:lineRule="auto"/>
              <w:rPr>
                <w:rFonts w:eastAsia="Times New Roman"/>
                <w:b/>
                <w:bCs/>
                <w:color w:val="000000" w:themeColor="text1"/>
                <w:sz w:val="18"/>
                <w:szCs w:val="18"/>
              </w:rPr>
            </w:pPr>
            <w:r w:rsidRPr="00E7337F">
              <w:rPr>
                <w:rFonts w:eastAsia="Times New Roman"/>
                <w:b/>
                <w:bCs/>
                <w:color w:val="000000"/>
                <w:sz w:val="18"/>
                <w:szCs w:val="18"/>
              </w:rPr>
              <w:t>Economic environment</w:t>
            </w:r>
          </w:p>
        </w:tc>
        <w:tc>
          <w:tcPr>
            <w:tcW w:w="4106" w:type="dxa"/>
            <w:gridSpan w:val="2"/>
            <w:shd w:val="clear" w:color="auto" w:fill="auto"/>
            <w:noWrap/>
          </w:tcPr>
          <w:p w14:paraId="4DF19FF1" w14:textId="77777777" w:rsidR="0039056E" w:rsidRPr="00E7337F" w:rsidRDefault="0039056E" w:rsidP="00BA6F29">
            <w:pPr>
              <w:spacing w:after="0" w:line="240" w:lineRule="auto"/>
              <w:ind w:left="78"/>
              <w:rPr>
                <w:rFonts w:eastAsia="Times New Roman"/>
                <w:color w:val="000000" w:themeColor="text1"/>
                <w:sz w:val="18"/>
                <w:szCs w:val="18"/>
              </w:rPr>
            </w:pPr>
          </w:p>
        </w:tc>
        <w:tc>
          <w:tcPr>
            <w:tcW w:w="4246" w:type="dxa"/>
          </w:tcPr>
          <w:p w14:paraId="4991C421" w14:textId="77777777" w:rsidR="0039056E" w:rsidRPr="00E7337F" w:rsidRDefault="0039056E" w:rsidP="00BA6F29">
            <w:pPr>
              <w:spacing w:after="0" w:line="240" w:lineRule="auto"/>
              <w:ind w:left="84"/>
              <w:rPr>
                <w:rFonts w:eastAsia="Times New Roman"/>
                <w:color w:val="000000" w:themeColor="text1"/>
                <w:sz w:val="18"/>
                <w:szCs w:val="18"/>
              </w:rPr>
            </w:pPr>
          </w:p>
        </w:tc>
      </w:tr>
      <w:tr w:rsidR="0039056E" w:rsidRPr="00E7337F" w14:paraId="4C49604B" w14:textId="77777777" w:rsidTr="00BA6F29">
        <w:trPr>
          <w:trHeight w:val="320"/>
        </w:trPr>
        <w:tc>
          <w:tcPr>
            <w:tcW w:w="436" w:type="dxa"/>
            <w:gridSpan w:val="3"/>
            <w:vMerge/>
          </w:tcPr>
          <w:p w14:paraId="34397F2D" w14:textId="77777777" w:rsidR="0039056E" w:rsidRPr="00E7337F" w:rsidRDefault="0039056E" w:rsidP="00BA6F29">
            <w:pPr>
              <w:spacing w:after="0" w:line="240" w:lineRule="auto"/>
              <w:rPr>
                <w:rFonts w:eastAsia="Times New Roman"/>
                <w:color w:val="000000"/>
                <w:sz w:val="18"/>
                <w:szCs w:val="18"/>
              </w:rPr>
            </w:pPr>
          </w:p>
        </w:tc>
        <w:tc>
          <w:tcPr>
            <w:tcW w:w="3980" w:type="dxa"/>
            <w:gridSpan w:val="2"/>
            <w:shd w:val="clear" w:color="auto" w:fill="auto"/>
            <w:noWrap/>
            <w:hideMark/>
          </w:tcPr>
          <w:p w14:paraId="1CD0B9FE" w14:textId="77777777" w:rsidR="0039056E" w:rsidRPr="00E7337F" w:rsidRDefault="0039056E" w:rsidP="00BA6F29">
            <w:pPr>
              <w:spacing w:after="0" w:line="240" w:lineRule="auto"/>
              <w:rPr>
                <w:rFonts w:eastAsia="Times New Roman"/>
                <w:color w:val="000000"/>
                <w:sz w:val="18"/>
                <w:szCs w:val="18"/>
              </w:rPr>
            </w:pPr>
            <w:r w:rsidRPr="00E7337F">
              <w:rPr>
                <w:rFonts w:eastAsia="Times New Roman"/>
                <w:color w:val="000000" w:themeColor="text1"/>
                <w:sz w:val="18"/>
                <w:szCs w:val="18"/>
              </w:rPr>
              <w:t>The prices of goods and services</w:t>
            </w:r>
          </w:p>
        </w:tc>
        <w:tc>
          <w:tcPr>
            <w:tcW w:w="4106" w:type="dxa"/>
            <w:gridSpan w:val="2"/>
            <w:shd w:val="clear" w:color="auto" w:fill="auto"/>
            <w:noWrap/>
            <w:hideMark/>
          </w:tcPr>
          <w:p w14:paraId="0E7BF42F" w14:textId="77777777" w:rsidR="0039056E" w:rsidRPr="00E7337F" w:rsidRDefault="0039056E" w:rsidP="00BA6F29">
            <w:pPr>
              <w:spacing w:after="0" w:line="240" w:lineRule="auto"/>
              <w:ind w:left="78"/>
              <w:rPr>
                <w:rFonts w:eastAsia="Times New Roman"/>
                <w:color w:val="000000"/>
                <w:sz w:val="18"/>
                <w:szCs w:val="18"/>
              </w:rPr>
            </w:pPr>
            <w:r w:rsidRPr="00E7337F">
              <w:rPr>
                <w:rFonts w:eastAsia="Times New Roman"/>
                <w:color w:val="000000"/>
                <w:sz w:val="18"/>
                <w:szCs w:val="18"/>
              </w:rPr>
              <w:t>Introducing, modifying, or removing taxes, subsidies, and other material incentives</w:t>
            </w:r>
          </w:p>
        </w:tc>
        <w:tc>
          <w:tcPr>
            <w:tcW w:w="4246" w:type="dxa"/>
          </w:tcPr>
          <w:p w14:paraId="44535750" w14:textId="704B1387" w:rsidR="0039056E" w:rsidRPr="00E7337F" w:rsidRDefault="0039056E" w:rsidP="00BA6F29">
            <w:pPr>
              <w:spacing w:after="0" w:line="240" w:lineRule="auto"/>
              <w:ind w:left="84"/>
              <w:rPr>
                <w:rFonts w:eastAsia="Times New Roman"/>
                <w:color w:val="000000"/>
                <w:sz w:val="18"/>
                <w:szCs w:val="18"/>
              </w:rPr>
            </w:pPr>
            <w:r w:rsidRPr="00E7337F">
              <w:rPr>
                <w:rFonts w:eastAsia="Times New Roman"/>
                <w:color w:val="000000"/>
                <w:sz w:val="18"/>
                <w:szCs w:val="18"/>
              </w:rPr>
              <w:t>Introducing taxation on ruminant meat; paying farmers to restore natural habitat on their land; removing subsidies for fossil fuels</w:t>
            </w:r>
            <w:r w:rsidR="00553CEE" w:rsidRPr="00E7337F">
              <w:rPr>
                <w:rFonts w:eastAsia="Times New Roman"/>
                <w:color w:val="000000"/>
                <w:sz w:val="18"/>
                <w:szCs w:val="18"/>
              </w:rPr>
              <w:t xml:space="preserve">; </w:t>
            </w:r>
            <w:r w:rsidR="00EC5902" w:rsidRPr="00E7337F">
              <w:rPr>
                <w:rFonts w:eastAsia="Times New Roman"/>
                <w:color w:val="000000"/>
                <w:sz w:val="18"/>
                <w:szCs w:val="18"/>
              </w:rPr>
              <w:t xml:space="preserve">governments </w:t>
            </w:r>
            <w:r w:rsidR="00553CEE" w:rsidRPr="00E7337F">
              <w:rPr>
                <w:rFonts w:eastAsia="Times New Roman"/>
                <w:color w:val="000000"/>
                <w:sz w:val="18"/>
                <w:szCs w:val="18"/>
              </w:rPr>
              <w:t>divesting from environmentally damaging industries</w:t>
            </w:r>
          </w:p>
        </w:tc>
      </w:tr>
      <w:tr w:rsidR="0039056E" w:rsidRPr="00E7337F" w14:paraId="0922A0DA" w14:textId="77777777" w:rsidTr="00BA6F29">
        <w:trPr>
          <w:trHeight w:val="113"/>
        </w:trPr>
        <w:tc>
          <w:tcPr>
            <w:tcW w:w="436" w:type="dxa"/>
            <w:gridSpan w:val="3"/>
            <w:vMerge/>
          </w:tcPr>
          <w:p w14:paraId="35FFFAFB" w14:textId="77777777" w:rsidR="0039056E" w:rsidRPr="00E7337F" w:rsidRDefault="0039056E" w:rsidP="00BA6F29">
            <w:pPr>
              <w:spacing w:after="0" w:line="240" w:lineRule="auto"/>
              <w:rPr>
                <w:rFonts w:eastAsia="Times New Roman"/>
                <w:color w:val="000000"/>
                <w:sz w:val="18"/>
                <w:szCs w:val="18"/>
              </w:rPr>
            </w:pPr>
          </w:p>
        </w:tc>
        <w:tc>
          <w:tcPr>
            <w:tcW w:w="3980" w:type="dxa"/>
            <w:gridSpan w:val="2"/>
            <w:shd w:val="clear" w:color="auto" w:fill="auto"/>
            <w:noWrap/>
          </w:tcPr>
          <w:p w14:paraId="384C51F1" w14:textId="77777777" w:rsidR="0039056E" w:rsidRPr="00E7337F" w:rsidRDefault="0039056E" w:rsidP="00BA6F29">
            <w:pPr>
              <w:spacing w:after="0" w:line="240" w:lineRule="auto"/>
              <w:rPr>
                <w:rFonts w:eastAsia="Times New Roman"/>
                <w:color w:val="000000"/>
                <w:sz w:val="18"/>
                <w:szCs w:val="18"/>
              </w:rPr>
            </w:pPr>
          </w:p>
        </w:tc>
        <w:tc>
          <w:tcPr>
            <w:tcW w:w="4106" w:type="dxa"/>
            <w:gridSpan w:val="2"/>
            <w:shd w:val="clear" w:color="auto" w:fill="auto"/>
            <w:noWrap/>
          </w:tcPr>
          <w:p w14:paraId="62F04D76" w14:textId="77777777" w:rsidR="0039056E" w:rsidRPr="00E7337F" w:rsidRDefault="0039056E" w:rsidP="00BA6F29">
            <w:pPr>
              <w:spacing w:after="0" w:line="240" w:lineRule="auto"/>
              <w:ind w:left="78"/>
              <w:rPr>
                <w:rFonts w:eastAsia="Times New Roman"/>
                <w:color w:val="000000"/>
                <w:sz w:val="18"/>
                <w:szCs w:val="18"/>
              </w:rPr>
            </w:pPr>
          </w:p>
        </w:tc>
        <w:tc>
          <w:tcPr>
            <w:tcW w:w="4246" w:type="dxa"/>
          </w:tcPr>
          <w:p w14:paraId="37D88993" w14:textId="77777777" w:rsidR="0039056E" w:rsidRPr="00E7337F" w:rsidRDefault="0039056E" w:rsidP="00BA6F29">
            <w:pPr>
              <w:spacing w:after="0" w:line="240" w:lineRule="auto"/>
              <w:ind w:left="84"/>
              <w:rPr>
                <w:rFonts w:eastAsia="Times New Roman"/>
                <w:color w:val="000000"/>
                <w:sz w:val="18"/>
                <w:szCs w:val="18"/>
              </w:rPr>
            </w:pPr>
          </w:p>
        </w:tc>
      </w:tr>
      <w:tr w:rsidR="0039056E" w:rsidRPr="00E7337F" w14:paraId="23E69324" w14:textId="77777777" w:rsidTr="00BA6F29">
        <w:trPr>
          <w:trHeight w:val="113"/>
        </w:trPr>
        <w:tc>
          <w:tcPr>
            <w:tcW w:w="436" w:type="dxa"/>
            <w:gridSpan w:val="3"/>
            <w:vMerge/>
          </w:tcPr>
          <w:p w14:paraId="10817383" w14:textId="77777777" w:rsidR="0039056E" w:rsidRPr="00E7337F" w:rsidRDefault="0039056E" w:rsidP="00BA6F29">
            <w:pPr>
              <w:spacing w:after="0" w:line="240" w:lineRule="auto"/>
              <w:rPr>
                <w:rFonts w:eastAsia="Times New Roman"/>
                <w:color w:val="000000"/>
                <w:sz w:val="18"/>
                <w:szCs w:val="18"/>
              </w:rPr>
            </w:pPr>
          </w:p>
        </w:tc>
        <w:tc>
          <w:tcPr>
            <w:tcW w:w="3980" w:type="dxa"/>
            <w:gridSpan w:val="2"/>
            <w:shd w:val="clear" w:color="auto" w:fill="auto"/>
            <w:noWrap/>
          </w:tcPr>
          <w:p w14:paraId="5139116D" w14:textId="77777777" w:rsidR="0039056E" w:rsidRPr="00E7337F" w:rsidRDefault="0039056E" w:rsidP="00BA6F29">
            <w:pPr>
              <w:spacing w:after="0" w:line="240" w:lineRule="auto"/>
              <w:rPr>
                <w:rFonts w:eastAsia="Times New Roman"/>
                <w:b/>
                <w:bCs/>
                <w:color w:val="000000"/>
                <w:sz w:val="18"/>
                <w:szCs w:val="18"/>
              </w:rPr>
            </w:pPr>
            <w:r w:rsidRPr="00E7337F">
              <w:rPr>
                <w:rFonts w:eastAsia="Times New Roman"/>
                <w:b/>
                <w:bCs/>
                <w:color w:val="000000" w:themeColor="text1"/>
                <w:sz w:val="18"/>
                <w:szCs w:val="18"/>
              </w:rPr>
              <w:t>Institutional environment</w:t>
            </w:r>
          </w:p>
        </w:tc>
        <w:tc>
          <w:tcPr>
            <w:tcW w:w="4106" w:type="dxa"/>
            <w:gridSpan w:val="2"/>
            <w:shd w:val="clear" w:color="auto" w:fill="auto"/>
            <w:noWrap/>
          </w:tcPr>
          <w:p w14:paraId="155E5C37" w14:textId="77777777" w:rsidR="0039056E" w:rsidRPr="00E7337F" w:rsidRDefault="0039056E" w:rsidP="00BA6F29">
            <w:pPr>
              <w:spacing w:after="0" w:line="240" w:lineRule="auto"/>
              <w:ind w:left="78"/>
              <w:rPr>
                <w:rFonts w:eastAsia="Times New Roman"/>
                <w:color w:val="000000"/>
                <w:sz w:val="18"/>
                <w:szCs w:val="18"/>
              </w:rPr>
            </w:pPr>
          </w:p>
        </w:tc>
        <w:tc>
          <w:tcPr>
            <w:tcW w:w="4246" w:type="dxa"/>
          </w:tcPr>
          <w:p w14:paraId="600466BF" w14:textId="77777777" w:rsidR="0039056E" w:rsidRPr="00E7337F" w:rsidRDefault="0039056E" w:rsidP="00BA6F29">
            <w:pPr>
              <w:spacing w:after="0" w:line="240" w:lineRule="auto"/>
              <w:ind w:left="84"/>
              <w:rPr>
                <w:rFonts w:eastAsia="Times New Roman"/>
                <w:color w:val="000000"/>
                <w:sz w:val="18"/>
                <w:szCs w:val="18"/>
              </w:rPr>
            </w:pPr>
          </w:p>
        </w:tc>
      </w:tr>
      <w:tr w:rsidR="0039056E" w:rsidRPr="00E7337F" w14:paraId="00054BD4" w14:textId="77777777" w:rsidTr="00BA6F29">
        <w:trPr>
          <w:trHeight w:val="320"/>
        </w:trPr>
        <w:tc>
          <w:tcPr>
            <w:tcW w:w="436" w:type="dxa"/>
            <w:gridSpan w:val="3"/>
            <w:vMerge/>
          </w:tcPr>
          <w:p w14:paraId="5FA7992D" w14:textId="77777777" w:rsidR="0039056E" w:rsidRPr="00E7337F" w:rsidRDefault="0039056E" w:rsidP="00BA6F29">
            <w:pPr>
              <w:spacing w:after="0" w:line="240" w:lineRule="auto"/>
              <w:rPr>
                <w:rFonts w:eastAsia="Times New Roman"/>
                <w:color w:val="000000"/>
                <w:sz w:val="18"/>
                <w:szCs w:val="18"/>
              </w:rPr>
            </w:pPr>
          </w:p>
        </w:tc>
        <w:tc>
          <w:tcPr>
            <w:tcW w:w="3980" w:type="dxa"/>
            <w:gridSpan w:val="2"/>
            <w:shd w:val="clear" w:color="auto" w:fill="auto"/>
            <w:noWrap/>
            <w:hideMark/>
          </w:tcPr>
          <w:p w14:paraId="3BAC5007" w14:textId="77777777" w:rsidR="0039056E" w:rsidRPr="00E7337F" w:rsidRDefault="0039056E" w:rsidP="00BA6F29">
            <w:pPr>
              <w:spacing w:after="0" w:line="240" w:lineRule="auto"/>
              <w:rPr>
                <w:rFonts w:eastAsia="Times New Roman"/>
                <w:color w:val="000000" w:themeColor="text1"/>
                <w:sz w:val="18"/>
                <w:szCs w:val="18"/>
              </w:rPr>
            </w:pPr>
            <w:r w:rsidRPr="00E7337F">
              <w:rPr>
                <w:rFonts w:eastAsia="Times New Roman"/>
                <w:color w:val="000000" w:themeColor="text1"/>
                <w:sz w:val="18"/>
                <w:szCs w:val="18"/>
              </w:rPr>
              <w:t>The voluntary and regulatory codes of practice to which public and private organizations must conform if they are to receive support and legitimacy</w:t>
            </w:r>
          </w:p>
        </w:tc>
        <w:tc>
          <w:tcPr>
            <w:tcW w:w="4106" w:type="dxa"/>
            <w:gridSpan w:val="2"/>
            <w:shd w:val="clear" w:color="auto" w:fill="auto"/>
            <w:noWrap/>
            <w:hideMark/>
          </w:tcPr>
          <w:p w14:paraId="5C86FFF9" w14:textId="77777777" w:rsidR="0039056E" w:rsidRPr="00E7337F" w:rsidRDefault="0039056E" w:rsidP="00BA6F29">
            <w:pPr>
              <w:spacing w:after="0" w:line="240" w:lineRule="auto"/>
              <w:ind w:left="78"/>
              <w:rPr>
                <w:rFonts w:eastAsia="Times New Roman"/>
                <w:color w:val="000000"/>
                <w:sz w:val="18"/>
                <w:szCs w:val="18"/>
              </w:rPr>
            </w:pPr>
            <w:r w:rsidRPr="00E7337F">
              <w:rPr>
                <w:rFonts w:eastAsia="Times New Roman"/>
                <w:color w:val="000000"/>
                <w:sz w:val="18"/>
                <w:szCs w:val="18"/>
              </w:rPr>
              <w:t xml:space="preserve">Introducing, modifying, or removing fines or other material incentives; establishing or altering institutional standards  </w:t>
            </w:r>
          </w:p>
        </w:tc>
        <w:tc>
          <w:tcPr>
            <w:tcW w:w="4246" w:type="dxa"/>
          </w:tcPr>
          <w:p w14:paraId="4216CEB8" w14:textId="77777777" w:rsidR="0039056E" w:rsidRPr="00E7337F" w:rsidRDefault="0039056E" w:rsidP="00BA6F29">
            <w:pPr>
              <w:spacing w:after="0" w:line="240" w:lineRule="auto"/>
              <w:ind w:left="84"/>
              <w:rPr>
                <w:rFonts w:eastAsia="Times New Roman"/>
                <w:color w:val="000000"/>
                <w:sz w:val="18"/>
                <w:szCs w:val="18"/>
              </w:rPr>
            </w:pPr>
            <w:r w:rsidRPr="00E7337F">
              <w:rPr>
                <w:rFonts w:eastAsia="Times New Roman"/>
                <w:color w:val="000000"/>
                <w:sz w:val="18"/>
                <w:szCs w:val="18"/>
              </w:rPr>
              <w:t>Creating a protected area; increasing environmental standards for contractors; introducing or increasing fines for undesirable behaviour</w:t>
            </w:r>
          </w:p>
        </w:tc>
      </w:tr>
      <w:tr w:rsidR="0039056E" w:rsidRPr="00E7337F" w14:paraId="32C67D3F" w14:textId="77777777" w:rsidTr="00BA6F29">
        <w:trPr>
          <w:trHeight w:val="113"/>
        </w:trPr>
        <w:tc>
          <w:tcPr>
            <w:tcW w:w="436" w:type="dxa"/>
            <w:gridSpan w:val="3"/>
            <w:vMerge/>
          </w:tcPr>
          <w:p w14:paraId="663AB577" w14:textId="77777777" w:rsidR="0039056E" w:rsidRPr="00E7337F" w:rsidRDefault="0039056E" w:rsidP="00BA6F29">
            <w:pPr>
              <w:spacing w:after="0" w:line="240" w:lineRule="auto"/>
              <w:rPr>
                <w:rFonts w:eastAsia="Times New Roman"/>
                <w:color w:val="000000"/>
                <w:sz w:val="18"/>
                <w:szCs w:val="18"/>
              </w:rPr>
            </w:pPr>
          </w:p>
        </w:tc>
        <w:tc>
          <w:tcPr>
            <w:tcW w:w="3980" w:type="dxa"/>
            <w:gridSpan w:val="2"/>
            <w:tcBorders>
              <w:bottom w:val="single" w:sz="4" w:space="0" w:color="auto"/>
            </w:tcBorders>
            <w:shd w:val="clear" w:color="auto" w:fill="auto"/>
            <w:noWrap/>
            <w:hideMark/>
          </w:tcPr>
          <w:p w14:paraId="755091F0" w14:textId="77777777" w:rsidR="0039056E" w:rsidRPr="00E7337F" w:rsidRDefault="0039056E" w:rsidP="00BA6F29">
            <w:pPr>
              <w:spacing w:after="0" w:line="240" w:lineRule="auto"/>
              <w:rPr>
                <w:rFonts w:eastAsia="Times New Roman"/>
                <w:color w:val="000000"/>
                <w:sz w:val="18"/>
                <w:szCs w:val="18"/>
              </w:rPr>
            </w:pPr>
          </w:p>
        </w:tc>
        <w:tc>
          <w:tcPr>
            <w:tcW w:w="4106" w:type="dxa"/>
            <w:gridSpan w:val="2"/>
            <w:tcBorders>
              <w:bottom w:val="single" w:sz="4" w:space="0" w:color="auto"/>
            </w:tcBorders>
            <w:shd w:val="clear" w:color="auto" w:fill="auto"/>
            <w:noWrap/>
            <w:hideMark/>
          </w:tcPr>
          <w:p w14:paraId="2EFB879E" w14:textId="77777777" w:rsidR="0039056E" w:rsidRPr="00E7337F" w:rsidRDefault="0039056E" w:rsidP="00BA6F29">
            <w:pPr>
              <w:spacing w:after="0" w:line="240" w:lineRule="auto"/>
              <w:ind w:left="78"/>
              <w:rPr>
                <w:rFonts w:eastAsia="Times New Roman"/>
                <w:color w:val="000000"/>
                <w:sz w:val="18"/>
                <w:szCs w:val="18"/>
              </w:rPr>
            </w:pPr>
            <w:r w:rsidRPr="00E7337F">
              <w:rPr>
                <w:rFonts w:eastAsia="Times New Roman"/>
                <w:color w:val="000000"/>
                <w:sz w:val="18"/>
                <w:szCs w:val="18"/>
              </w:rPr>
              <w:t xml:space="preserve"> </w:t>
            </w:r>
          </w:p>
        </w:tc>
        <w:tc>
          <w:tcPr>
            <w:tcW w:w="4246" w:type="dxa"/>
            <w:tcBorders>
              <w:bottom w:val="single" w:sz="4" w:space="0" w:color="auto"/>
            </w:tcBorders>
          </w:tcPr>
          <w:p w14:paraId="028E93BD" w14:textId="77777777" w:rsidR="0039056E" w:rsidRPr="00E7337F" w:rsidRDefault="0039056E" w:rsidP="00BA6F29">
            <w:pPr>
              <w:spacing w:after="0" w:line="240" w:lineRule="auto"/>
              <w:ind w:left="84"/>
              <w:rPr>
                <w:rFonts w:eastAsia="Times New Roman"/>
                <w:color w:val="000000"/>
                <w:sz w:val="18"/>
                <w:szCs w:val="18"/>
              </w:rPr>
            </w:pPr>
          </w:p>
        </w:tc>
      </w:tr>
    </w:tbl>
    <w:p w14:paraId="74B344C2" w14:textId="155A4764" w:rsidR="003814A3" w:rsidRPr="00E7337F" w:rsidRDefault="003814A3"/>
    <w:p w14:paraId="049FABBF" w14:textId="4F32DA43" w:rsidR="00F206EC" w:rsidRPr="00E7337F" w:rsidRDefault="0039056E" w:rsidP="003814A3">
      <w:pPr>
        <w:spacing w:line="276" w:lineRule="auto"/>
      </w:pPr>
      <w:r w:rsidRPr="00E7337F">
        <w:rPr>
          <w:b/>
          <w:bCs/>
        </w:rPr>
        <w:lastRenderedPageBreak/>
        <w:t>Table 4.</w:t>
      </w:r>
      <w:r w:rsidRPr="00E7337F">
        <w:t xml:space="preserve"> Matrix showing a representative array of behaviour change interventions proposed for our 12 example threats (</w:t>
      </w:r>
      <w:r w:rsidR="00072CF5" w:rsidRPr="00E7337F">
        <w:t>Table</w:t>
      </w:r>
      <w:r w:rsidRPr="00E7337F">
        <w:t xml:space="preserve"> </w:t>
      </w:r>
      <w:r w:rsidR="002028EF" w:rsidRPr="00E7337F">
        <w:t>A</w:t>
      </w:r>
      <w:r w:rsidRPr="00E7337F">
        <w:t>1</w:t>
      </w:r>
      <w:r w:rsidR="00072CF5" w:rsidRPr="00E7337F">
        <w:t xml:space="preserve"> in </w:t>
      </w:r>
      <w:r w:rsidR="002028EF" w:rsidRPr="00E7337F">
        <w:t>online Appendix</w:t>
      </w:r>
      <w:r w:rsidRPr="00E7337F">
        <w:t xml:space="preserve">), classified by intervention class (rows, Table 3) and actor group (columns, Table 2). Shading denotes </w:t>
      </w:r>
      <w:r w:rsidR="00C82D45" w:rsidRPr="00E7337F">
        <w:t xml:space="preserve">the overall distribution </w:t>
      </w:r>
      <w:r w:rsidRPr="00E7337F">
        <w:t xml:space="preserve">of </w:t>
      </w:r>
      <w:r w:rsidR="00C82D45" w:rsidRPr="00E7337F">
        <w:t xml:space="preserve">130 </w:t>
      </w:r>
      <w:r w:rsidRPr="00E7337F">
        <w:t>proposed interventions</w:t>
      </w:r>
      <w:r w:rsidR="00892B84" w:rsidRPr="00E7337F">
        <w:t xml:space="preserve"> </w:t>
      </w:r>
      <w:r w:rsidR="00C82D45" w:rsidRPr="00E7337F">
        <w:t>across</w:t>
      </w:r>
      <w:r w:rsidR="00892B84" w:rsidRPr="00E7337F">
        <w:t xml:space="preserve"> cell</w:t>
      </w:r>
      <w:r w:rsidR="00C82D45" w:rsidRPr="00E7337F">
        <w:t>s</w:t>
      </w:r>
      <w:r w:rsidRPr="00E7337F">
        <w:t>: white=0; light green= 1-4; mid-green=5-9; dark green=&gt;9. Note that many ideas for reducing a harmful behaviour in practice require a series of linked interventions. * Asterisks highlight one example: regulating against overnight office lighting to mitigate climate change might first require persuading voters to send a strong motivational message to politicians. For simplicity other linked interventions are not shown.</w:t>
      </w:r>
    </w:p>
    <w:tbl>
      <w:tblPr>
        <w:tblStyle w:val="Tabel-Gitter2"/>
        <w:tblW w:w="15650"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71"/>
        <w:gridCol w:w="1531"/>
        <w:gridCol w:w="1531"/>
        <w:gridCol w:w="1531"/>
        <w:gridCol w:w="1531"/>
        <w:gridCol w:w="1531"/>
        <w:gridCol w:w="1531"/>
        <w:gridCol w:w="1531"/>
        <w:gridCol w:w="1531"/>
        <w:gridCol w:w="1531"/>
      </w:tblGrid>
      <w:tr w:rsidR="00471B0D" w:rsidRPr="00E7337F" w14:paraId="7535A0D7" w14:textId="77777777" w:rsidTr="00471B0D">
        <w:trPr>
          <w:trHeight w:val="780"/>
          <w:jc w:val="center"/>
        </w:trPr>
        <w:tc>
          <w:tcPr>
            <w:tcW w:w="1871" w:type="dxa"/>
            <w:tcBorders>
              <w:top w:val="single" w:sz="4" w:space="0" w:color="auto"/>
              <w:left w:val="single" w:sz="4" w:space="0" w:color="auto"/>
              <w:bottom w:val="single" w:sz="4" w:space="0" w:color="auto"/>
              <w:right w:val="single" w:sz="4" w:space="0" w:color="auto"/>
            </w:tcBorders>
            <w:noWrap/>
            <w:hideMark/>
          </w:tcPr>
          <w:p w14:paraId="222EE8F7" w14:textId="77777777" w:rsidR="003814A3" w:rsidRPr="00E7337F" w:rsidRDefault="003814A3" w:rsidP="003814A3">
            <w:pPr>
              <w:rPr>
                <w:b/>
                <w:bCs/>
                <w:sz w:val="18"/>
                <w:szCs w:val="18"/>
                <w:lang w:val="en-GB"/>
              </w:rPr>
            </w:pPr>
            <w:r w:rsidRPr="00E7337F">
              <w:rPr>
                <w:b/>
                <w:bCs/>
                <w:sz w:val="18"/>
                <w:szCs w:val="18"/>
                <w:lang w:val="en-GB"/>
              </w:rPr>
              <w:t> </w:t>
            </w:r>
          </w:p>
        </w:tc>
        <w:tc>
          <w:tcPr>
            <w:tcW w:w="1531" w:type="dxa"/>
            <w:tcBorders>
              <w:top w:val="single" w:sz="4" w:space="0" w:color="auto"/>
              <w:left w:val="single" w:sz="4" w:space="0" w:color="auto"/>
              <w:bottom w:val="single" w:sz="4" w:space="0" w:color="auto"/>
            </w:tcBorders>
            <w:hideMark/>
          </w:tcPr>
          <w:p w14:paraId="7CAC0439" w14:textId="77777777" w:rsidR="003814A3" w:rsidRPr="00E7337F" w:rsidRDefault="003814A3" w:rsidP="003814A3">
            <w:pPr>
              <w:spacing w:before="120"/>
              <w:jc w:val="center"/>
              <w:rPr>
                <w:sz w:val="18"/>
                <w:szCs w:val="18"/>
                <w:lang w:val="en-GB"/>
              </w:rPr>
            </w:pPr>
            <w:r w:rsidRPr="00E7337F">
              <w:rPr>
                <w:sz w:val="18"/>
                <w:szCs w:val="18"/>
                <w:lang w:val="en-GB"/>
              </w:rPr>
              <w:t>Producers and extractors</w:t>
            </w:r>
          </w:p>
        </w:tc>
        <w:tc>
          <w:tcPr>
            <w:tcW w:w="1531" w:type="dxa"/>
            <w:tcBorders>
              <w:top w:val="single" w:sz="4" w:space="0" w:color="auto"/>
              <w:bottom w:val="single" w:sz="4" w:space="0" w:color="auto"/>
            </w:tcBorders>
            <w:hideMark/>
          </w:tcPr>
          <w:p w14:paraId="6E2AFD42" w14:textId="77777777" w:rsidR="003814A3" w:rsidRPr="00E7337F" w:rsidRDefault="003814A3" w:rsidP="00471B0D">
            <w:pPr>
              <w:spacing w:before="120" w:after="120"/>
              <w:jc w:val="center"/>
              <w:rPr>
                <w:sz w:val="18"/>
                <w:szCs w:val="18"/>
                <w:lang w:val="en-GB"/>
              </w:rPr>
            </w:pPr>
            <w:r w:rsidRPr="00E7337F">
              <w:rPr>
                <w:sz w:val="18"/>
                <w:szCs w:val="18"/>
                <w:lang w:val="en-GB"/>
              </w:rPr>
              <w:t>Conservation and environmental managers</w:t>
            </w:r>
          </w:p>
        </w:tc>
        <w:tc>
          <w:tcPr>
            <w:tcW w:w="1531" w:type="dxa"/>
            <w:tcBorders>
              <w:top w:val="single" w:sz="4" w:space="0" w:color="auto"/>
              <w:bottom w:val="single" w:sz="4" w:space="0" w:color="auto"/>
            </w:tcBorders>
            <w:hideMark/>
          </w:tcPr>
          <w:p w14:paraId="0242C53E" w14:textId="77777777" w:rsidR="003814A3" w:rsidRPr="00E7337F" w:rsidRDefault="003814A3" w:rsidP="003814A3">
            <w:pPr>
              <w:spacing w:before="120"/>
              <w:jc w:val="center"/>
              <w:rPr>
                <w:sz w:val="18"/>
                <w:szCs w:val="18"/>
                <w:lang w:val="en-GB"/>
              </w:rPr>
            </w:pPr>
            <w:r w:rsidRPr="00E7337F">
              <w:rPr>
                <w:sz w:val="18"/>
                <w:szCs w:val="18"/>
                <w:lang w:val="en-GB"/>
              </w:rPr>
              <w:t>Consumers</w:t>
            </w:r>
          </w:p>
        </w:tc>
        <w:tc>
          <w:tcPr>
            <w:tcW w:w="1531" w:type="dxa"/>
            <w:tcBorders>
              <w:top w:val="single" w:sz="4" w:space="0" w:color="auto"/>
              <w:bottom w:val="single" w:sz="4" w:space="0" w:color="auto"/>
            </w:tcBorders>
            <w:hideMark/>
          </w:tcPr>
          <w:p w14:paraId="56957D2A" w14:textId="77777777" w:rsidR="003814A3" w:rsidRPr="00E7337F" w:rsidRDefault="003814A3" w:rsidP="003814A3">
            <w:pPr>
              <w:spacing w:before="120"/>
              <w:jc w:val="center"/>
              <w:rPr>
                <w:sz w:val="18"/>
                <w:szCs w:val="18"/>
                <w:lang w:val="en-GB"/>
              </w:rPr>
            </w:pPr>
            <w:r w:rsidRPr="00E7337F">
              <w:rPr>
                <w:sz w:val="18"/>
                <w:szCs w:val="18"/>
                <w:lang w:val="en-GB"/>
              </w:rPr>
              <w:t xml:space="preserve">Manufacturers, </w:t>
            </w:r>
            <w:proofErr w:type="gramStart"/>
            <w:r w:rsidRPr="00E7337F">
              <w:rPr>
                <w:sz w:val="18"/>
                <w:szCs w:val="18"/>
                <w:lang w:val="en-GB"/>
              </w:rPr>
              <w:t>transporters</w:t>
            </w:r>
            <w:proofErr w:type="gramEnd"/>
            <w:r w:rsidRPr="00E7337F">
              <w:rPr>
                <w:sz w:val="18"/>
                <w:szCs w:val="18"/>
                <w:lang w:val="en-GB"/>
              </w:rPr>
              <w:t xml:space="preserve"> and sellers</w:t>
            </w:r>
          </w:p>
        </w:tc>
        <w:tc>
          <w:tcPr>
            <w:tcW w:w="1531" w:type="dxa"/>
            <w:tcBorders>
              <w:top w:val="single" w:sz="4" w:space="0" w:color="auto"/>
              <w:bottom w:val="single" w:sz="4" w:space="0" w:color="auto"/>
            </w:tcBorders>
            <w:hideMark/>
          </w:tcPr>
          <w:p w14:paraId="3FEFA374" w14:textId="16566618" w:rsidR="003814A3" w:rsidRPr="00E7337F" w:rsidRDefault="000D405C" w:rsidP="003814A3">
            <w:pPr>
              <w:spacing w:before="120"/>
              <w:jc w:val="center"/>
              <w:rPr>
                <w:sz w:val="18"/>
                <w:szCs w:val="18"/>
                <w:lang w:val="en-GB"/>
              </w:rPr>
            </w:pPr>
            <w:r w:rsidRPr="00E7337F">
              <w:rPr>
                <w:sz w:val="18"/>
                <w:szCs w:val="18"/>
                <w:lang w:val="en-GB"/>
              </w:rPr>
              <w:t>Investors</w:t>
            </w:r>
          </w:p>
        </w:tc>
        <w:tc>
          <w:tcPr>
            <w:tcW w:w="1531" w:type="dxa"/>
            <w:tcBorders>
              <w:top w:val="single" w:sz="4" w:space="0" w:color="auto"/>
              <w:bottom w:val="single" w:sz="4" w:space="0" w:color="auto"/>
            </w:tcBorders>
            <w:hideMark/>
          </w:tcPr>
          <w:p w14:paraId="675E78E6" w14:textId="0B976E81" w:rsidR="003814A3" w:rsidRPr="00E7337F" w:rsidRDefault="003814A3" w:rsidP="003814A3">
            <w:pPr>
              <w:spacing w:before="120"/>
              <w:jc w:val="center"/>
              <w:rPr>
                <w:sz w:val="18"/>
                <w:szCs w:val="18"/>
                <w:lang w:val="en-GB"/>
              </w:rPr>
            </w:pPr>
            <w:r w:rsidRPr="00E7337F">
              <w:rPr>
                <w:sz w:val="18"/>
                <w:szCs w:val="18"/>
                <w:lang w:val="en-GB"/>
              </w:rPr>
              <w:t>Policymakers and deliverers</w:t>
            </w:r>
          </w:p>
        </w:tc>
        <w:tc>
          <w:tcPr>
            <w:tcW w:w="1531" w:type="dxa"/>
            <w:tcBorders>
              <w:top w:val="single" w:sz="4" w:space="0" w:color="auto"/>
              <w:bottom w:val="single" w:sz="4" w:space="0" w:color="auto"/>
            </w:tcBorders>
            <w:hideMark/>
          </w:tcPr>
          <w:p w14:paraId="2E50EEA4" w14:textId="77777777" w:rsidR="003814A3" w:rsidRPr="00E7337F" w:rsidRDefault="003814A3" w:rsidP="003814A3">
            <w:pPr>
              <w:spacing w:before="120"/>
              <w:jc w:val="center"/>
              <w:rPr>
                <w:sz w:val="18"/>
                <w:szCs w:val="18"/>
                <w:lang w:val="en-GB"/>
              </w:rPr>
            </w:pPr>
            <w:r w:rsidRPr="00E7337F">
              <w:rPr>
                <w:sz w:val="18"/>
                <w:szCs w:val="18"/>
                <w:lang w:val="en-GB"/>
              </w:rPr>
              <w:t>Voters</w:t>
            </w:r>
          </w:p>
        </w:tc>
        <w:tc>
          <w:tcPr>
            <w:tcW w:w="1531" w:type="dxa"/>
            <w:tcBorders>
              <w:top w:val="single" w:sz="4" w:space="0" w:color="auto"/>
              <w:bottom w:val="single" w:sz="4" w:space="0" w:color="auto"/>
            </w:tcBorders>
            <w:hideMark/>
          </w:tcPr>
          <w:p w14:paraId="71DFD04F" w14:textId="77777777" w:rsidR="003814A3" w:rsidRPr="00E7337F" w:rsidRDefault="003814A3" w:rsidP="003814A3">
            <w:pPr>
              <w:spacing w:before="120"/>
              <w:jc w:val="center"/>
              <w:rPr>
                <w:sz w:val="18"/>
                <w:szCs w:val="18"/>
                <w:lang w:val="en-GB"/>
              </w:rPr>
            </w:pPr>
            <w:r w:rsidRPr="00E7337F">
              <w:rPr>
                <w:sz w:val="18"/>
                <w:szCs w:val="18"/>
                <w:lang w:val="en-GB"/>
              </w:rPr>
              <w:t>Communicators</w:t>
            </w:r>
          </w:p>
        </w:tc>
        <w:tc>
          <w:tcPr>
            <w:tcW w:w="1531" w:type="dxa"/>
            <w:tcBorders>
              <w:top w:val="single" w:sz="4" w:space="0" w:color="auto"/>
              <w:bottom w:val="single" w:sz="4" w:space="0" w:color="auto"/>
              <w:right w:val="single" w:sz="4" w:space="0" w:color="auto"/>
            </w:tcBorders>
            <w:hideMark/>
          </w:tcPr>
          <w:p w14:paraId="32475286" w14:textId="77777777" w:rsidR="003814A3" w:rsidRPr="00E7337F" w:rsidRDefault="003814A3" w:rsidP="003814A3">
            <w:pPr>
              <w:spacing w:before="120"/>
              <w:jc w:val="center"/>
              <w:rPr>
                <w:sz w:val="18"/>
                <w:szCs w:val="18"/>
                <w:lang w:val="en-GB"/>
              </w:rPr>
            </w:pPr>
            <w:r w:rsidRPr="00E7337F">
              <w:rPr>
                <w:sz w:val="18"/>
                <w:szCs w:val="18"/>
                <w:lang w:val="en-GB"/>
              </w:rPr>
              <w:t>Campaigners and lobbyists</w:t>
            </w:r>
          </w:p>
        </w:tc>
      </w:tr>
      <w:tr w:rsidR="00471B0D" w:rsidRPr="00E7337F" w14:paraId="021A4645" w14:textId="77777777" w:rsidTr="00471B0D">
        <w:trPr>
          <w:trHeight w:val="220"/>
          <w:jc w:val="center"/>
        </w:trPr>
        <w:tc>
          <w:tcPr>
            <w:tcW w:w="1871" w:type="dxa"/>
            <w:tcBorders>
              <w:top w:val="single" w:sz="4" w:space="0" w:color="auto"/>
              <w:left w:val="single" w:sz="4" w:space="0" w:color="auto"/>
              <w:right w:val="single" w:sz="4" w:space="0" w:color="auto"/>
            </w:tcBorders>
            <w:noWrap/>
            <w:hideMark/>
          </w:tcPr>
          <w:p w14:paraId="256840DB" w14:textId="77777777" w:rsidR="003814A3" w:rsidRPr="00E7337F" w:rsidRDefault="003814A3" w:rsidP="003814A3">
            <w:pPr>
              <w:rPr>
                <w:sz w:val="18"/>
                <w:szCs w:val="18"/>
                <w:lang w:val="en-GB"/>
              </w:rPr>
            </w:pPr>
            <w:r w:rsidRPr="00E7337F">
              <w:rPr>
                <w:sz w:val="18"/>
                <w:szCs w:val="18"/>
                <w:lang w:val="en-GB"/>
              </w:rPr>
              <w:t> </w:t>
            </w:r>
          </w:p>
        </w:tc>
        <w:tc>
          <w:tcPr>
            <w:tcW w:w="1531" w:type="dxa"/>
            <w:tcBorders>
              <w:top w:val="single" w:sz="4" w:space="0" w:color="auto"/>
              <w:left w:val="single" w:sz="4" w:space="0" w:color="auto"/>
            </w:tcBorders>
            <w:noWrap/>
            <w:hideMark/>
          </w:tcPr>
          <w:p w14:paraId="2B8CE900" w14:textId="77777777" w:rsidR="003814A3" w:rsidRPr="00E7337F" w:rsidRDefault="003814A3" w:rsidP="003814A3">
            <w:pPr>
              <w:rPr>
                <w:sz w:val="18"/>
                <w:szCs w:val="18"/>
                <w:lang w:val="en-GB"/>
              </w:rPr>
            </w:pPr>
          </w:p>
        </w:tc>
        <w:tc>
          <w:tcPr>
            <w:tcW w:w="1531" w:type="dxa"/>
            <w:tcBorders>
              <w:top w:val="single" w:sz="4" w:space="0" w:color="auto"/>
            </w:tcBorders>
            <w:noWrap/>
            <w:hideMark/>
          </w:tcPr>
          <w:p w14:paraId="57D37DDD" w14:textId="77777777" w:rsidR="003814A3" w:rsidRPr="00E7337F" w:rsidRDefault="003814A3" w:rsidP="003814A3">
            <w:pPr>
              <w:rPr>
                <w:sz w:val="18"/>
                <w:szCs w:val="18"/>
                <w:lang w:val="en-GB"/>
              </w:rPr>
            </w:pPr>
          </w:p>
        </w:tc>
        <w:tc>
          <w:tcPr>
            <w:tcW w:w="1531" w:type="dxa"/>
            <w:tcBorders>
              <w:top w:val="single" w:sz="4" w:space="0" w:color="auto"/>
            </w:tcBorders>
            <w:noWrap/>
            <w:hideMark/>
          </w:tcPr>
          <w:p w14:paraId="67907175" w14:textId="77777777" w:rsidR="003814A3" w:rsidRPr="00E7337F" w:rsidRDefault="003814A3" w:rsidP="003814A3">
            <w:pPr>
              <w:rPr>
                <w:sz w:val="18"/>
                <w:szCs w:val="18"/>
                <w:lang w:val="en-GB"/>
              </w:rPr>
            </w:pPr>
          </w:p>
        </w:tc>
        <w:tc>
          <w:tcPr>
            <w:tcW w:w="1531" w:type="dxa"/>
            <w:tcBorders>
              <w:top w:val="single" w:sz="4" w:space="0" w:color="auto"/>
            </w:tcBorders>
            <w:noWrap/>
            <w:hideMark/>
          </w:tcPr>
          <w:p w14:paraId="2B5D7E1B" w14:textId="77777777" w:rsidR="003814A3" w:rsidRPr="00E7337F" w:rsidRDefault="003814A3" w:rsidP="003814A3">
            <w:pPr>
              <w:rPr>
                <w:sz w:val="18"/>
                <w:szCs w:val="18"/>
                <w:lang w:val="en-GB"/>
              </w:rPr>
            </w:pPr>
          </w:p>
        </w:tc>
        <w:tc>
          <w:tcPr>
            <w:tcW w:w="1531" w:type="dxa"/>
            <w:tcBorders>
              <w:top w:val="single" w:sz="4" w:space="0" w:color="auto"/>
            </w:tcBorders>
            <w:noWrap/>
            <w:hideMark/>
          </w:tcPr>
          <w:p w14:paraId="3CBB9B2A" w14:textId="77777777" w:rsidR="003814A3" w:rsidRPr="00E7337F" w:rsidRDefault="003814A3" w:rsidP="003814A3">
            <w:pPr>
              <w:rPr>
                <w:sz w:val="18"/>
                <w:szCs w:val="18"/>
                <w:lang w:val="en-GB"/>
              </w:rPr>
            </w:pPr>
          </w:p>
        </w:tc>
        <w:tc>
          <w:tcPr>
            <w:tcW w:w="1531" w:type="dxa"/>
            <w:tcBorders>
              <w:top w:val="single" w:sz="4" w:space="0" w:color="auto"/>
            </w:tcBorders>
            <w:noWrap/>
            <w:hideMark/>
          </w:tcPr>
          <w:p w14:paraId="043C6D6F" w14:textId="77777777" w:rsidR="003814A3" w:rsidRPr="00E7337F" w:rsidRDefault="003814A3" w:rsidP="003814A3">
            <w:pPr>
              <w:rPr>
                <w:sz w:val="18"/>
                <w:szCs w:val="18"/>
                <w:lang w:val="en-GB"/>
              </w:rPr>
            </w:pPr>
          </w:p>
        </w:tc>
        <w:tc>
          <w:tcPr>
            <w:tcW w:w="1531" w:type="dxa"/>
            <w:tcBorders>
              <w:top w:val="single" w:sz="4" w:space="0" w:color="auto"/>
            </w:tcBorders>
            <w:noWrap/>
            <w:hideMark/>
          </w:tcPr>
          <w:p w14:paraId="1D3EE044" w14:textId="77777777" w:rsidR="003814A3" w:rsidRPr="00E7337F" w:rsidRDefault="003814A3" w:rsidP="003814A3">
            <w:pPr>
              <w:rPr>
                <w:sz w:val="18"/>
                <w:szCs w:val="18"/>
                <w:lang w:val="en-GB"/>
              </w:rPr>
            </w:pPr>
          </w:p>
        </w:tc>
        <w:tc>
          <w:tcPr>
            <w:tcW w:w="1531" w:type="dxa"/>
            <w:tcBorders>
              <w:top w:val="single" w:sz="4" w:space="0" w:color="auto"/>
            </w:tcBorders>
            <w:noWrap/>
            <w:hideMark/>
          </w:tcPr>
          <w:p w14:paraId="102E593D" w14:textId="77777777" w:rsidR="003814A3" w:rsidRPr="00E7337F" w:rsidRDefault="003814A3" w:rsidP="003814A3">
            <w:pPr>
              <w:rPr>
                <w:sz w:val="18"/>
                <w:szCs w:val="18"/>
                <w:lang w:val="en-GB"/>
              </w:rPr>
            </w:pPr>
          </w:p>
        </w:tc>
        <w:tc>
          <w:tcPr>
            <w:tcW w:w="1531" w:type="dxa"/>
            <w:tcBorders>
              <w:top w:val="single" w:sz="4" w:space="0" w:color="auto"/>
              <w:right w:val="single" w:sz="4" w:space="0" w:color="auto"/>
            </w:tcBorders>
            <w:noWrap/>
            <w:hideMark/>
          </w:tcPr>
          <w:p w14:paraId="5D22260A" w14:textId="77777777" w:rsidR="003814A3" w:rsidRPr="00E7337F" w:rsidRDefault="003814A3" w:rsidP="003814A3">
            <w:pPr>
              <w:rPr>
                <w:sz w:val="18"/>
                <w:szCs w:val="18"/>
                <w:lang w:val="en-GB"/>
              </w:rPr>
            </w:pPr>
            <w:r w:rsidRPr="00E7337F">
              <w:rPr>
                <w:sz w:val="18"/>
                <w:szCs w:val="18"/>
                <w:lang w:val="en-GB"/>
              </w:rPr>
              <w:t> </w:t>
            </w:r>
          </w:p>
        </w:tc>
      </w:tr>
      <w:tr w:rsidR="00471B0D" w:rsidRPr="00E7337F" w14:paraId="12FAD42C" w14:textId="77777777" w:rsidTr="00471B0D">
        <w:trPr>
          <w:trHeight w:val="290"/>
          <w:jc w:val="center"/>
        </w:trPr>
        <w:tc>
          <w:tcPr>
            <w:tcW w:w="1871" w:type="dxa"/>
            <w:tcBorders>
              <w:left w:val="single" w:sz="4" w:space="0" w:color="auto"/>
              <w:right w:val="single" w:sz="4" w:space="0" w:color="auto"/>
            </w:tcBorders>
            <w:noWrap/>
            <w:hideMark/>
          </w:tcPr>
          <w:p w14:paraId="4506897A" w14:textId="77777777" w:rsidR="003814A3" w:rsidRPr="00E7337F" w:rsidRDefault="003814A3" w:rsidP="003814A3">
            <w:pPr>
              <w:rPr>
                <w:b/>
                <w:bCs/>
                <w:sz w:val="18"/>
                <w:szCs w:val="18"/>
                <w:lang w:val="en-GB"/>
              </w:rPr>
            </w:pPr>
            <w:r w:rsidRPr="00E7337F">
              <w:rPr>
                <w:b/>
                <w:bCs/>
                <w:sz w:val="18"/>
                <w:szCs w:val="18"/>
                <w:lang w:val="en-GB"/>
              </w:rPr>
              <w:t>Individual level</w:t>
            </w:r>
          </w:p>
        </w:tc>
        <w:tc>
          <w:tcPr>
            <w:tcW w:w="1531" w:type="dxa"/>
            <w:tcBorders>
              <w:left w:val="single" w:sz="4" w:space="0" w:color="auto"/>
            </w:tcBorders>
            <w:noWrap/>
            <w:hideMark/>
          </w:tcPr>
          <w:p w14:paraId="26D4E0F2" w14:textId="77777777" w:rsidR="003814A3" w:rsidRPr="00E7337F" w:rsidRDefault="003814A3" w:rsidP="003814A3">
            <w:pPr>
              <w:rPr>
                <w:sz w:val="18"/>
                <w:szCs w:val="18"/>
                <w:lang w:val="en-GB"/>
              </w:rPr>
            </w:pPr>
          </w:p>
        </w:tc>
        <w:tc>
          <w:tcPr>
            <w:tcW w:w="1531" w:type="dxa"/>
            <w:noWrap/>
            <w:hideMark/>
          </w:tcPr>
          <w:p w14:paraId="4FC6634E" w14:textId="77777777" w:rsidR="003814A3" w:rsidRPr="00E7337F" w:rsidRDefault="003814A3" w:rsidP="003814A3">
            <w:pPr>
              <w:rPr>
                <w:sz w:val="18"/>
                <w:szCs w:val="18"/>
                <w:lang w:val="en-GB"/>
              </w:rPr>
            </w:pPr>
          </w:p>
        </w:tc>
        <w:tc>
          <w:tcPr>
            <w:tcW w:w="1531" w:type="dxa"/>
            <w:noWrap/>
            <w:hideMark/>
          </w:tcPr>
          <w:p w14:paraId="08DC7471" w14:textId="77777777" w:rsidR="003814A3" w:rsidRPr="00E7337F" w:rsidRDefault="003814A3" w:rsidP="003814A3">
            <w:pPr>
              <w:rPr>
                <w:sz w:val="18"/>
                <w:szCs w:val="18"/>
                <w:lang w:val="en-GB"/>
              </w:rPr>
            </w:pPr>
          </w:p>
        </w:tc>
        <w:tc>
          <w:tcPr>
            <w:tcW w:w="1531" w:type="dxa"/>
            <w:noWrap/>
            <w:hideMark/>
          </w:tcPr>
          <w:p w14:paraId="0C6BC302" w14:textId="77777777" w:rsidR="003814A3" w:rsidRPr="00E7337F" w:rsidRDefault="003814A3" w:rsidP="003814A3">
            <w:pPr>
              <w:rPr>
                <w:sz w:val="18"/>
                <w:szCs w:val="18"/>
                <w:lang w:val="en-GB"/>
              </w:rPr>
            </w:pPr>
          </w:p>
        </w:tc>
        <w:tc>
          <w:tcPr>
            <w:tcW w:w="1531" w:type="dxa"/>
            <w:noWrap/>
            <w:hideMark/>
          </w:tcPr>
          <w:p w14:paraId="1D24E0CC" w14:textId="77777777" w:rsidR="003814A3" w:rsidRPr="00E7337F" w:rsidRDefault="003814A3" w:rsidP="003814A3">
            <w:pPr>
              <w:rPr>
                <w:sz w:val="18"/>
                <w:szCs w:val="18"/>
                <w:lang w:val="en-GB"/>
              </w:rPr>
            </w:pPr>
          </w:p>
        </w:tc>
        <w:tc>
          <w:tcPr>
            <w:tcW w:w="1531" w:type="dxa"/>
            <w:noWrap/>
            <w:hideMark/>
          </w:tcPr>
          <w:p w14:paraId="2AD0A703" w14:textId="77777777" w:rsidR="003814A3" w:rsidRPr="00E7337F" w:rsidRDefault="003814A3" w:rsidP="003814A3">
            <w:pPr>
              <w:rPr>
                <w:sz w:val="18"/>
                <w:szCs w:val="18"/>
                <w:lang w:val="en-GB"/>
              </w:rPr>
            </w:pPr>
          </w:p>
        </w:tc>
        <w:tc>
          <w:tcPr>
            <w:tcW w:w="1531" w:type="dxa"/>
            <w:noWrap/>
            <w:hideMark/>
          </w:tcPr>
          <w:p w14:paraId="21A3DAB6" w14:textId="77777777" w:rsidR="003814A3" w:rsidRPr="00E7337F" w:rsidRDefault="003814A3" w:rsidP="003814A3">
            <w:pPr>
              <w:rPr>
                <w:sz w:val="18"/>
                <w:szCs w:val="18"/>
                <w:lang w:val="en-GB"/>
              </w:rPr>
            </w:pPr>
          </w:p>
        </w:tc>
        <w:tc>
          <w:tcPr>
            <w:tcW w:w="1531" w:type="dxa"/>
            <w:noWrap/>
            <w:hideMark/>
          </w:tcPr>
          <w:p w14:paraId="260A2992" w14:textId="77777777" w:rsidR="003814A3" w:rsidRPr="00E7337F" w:rsidRDefault="003814A3" w:rsidP="003814A3">
            <w:pPr>
              <w:rPr>
                <w:sz w:val="18"/>
                <w:szCs w:val="18"/>
                <w:lang w:val="en-GB"/>
              </w:rPr>
            </w:pPr>
          </w:p>
        </w:tc>
        <w:tc>
          <w:tcPr>
            <w:tcW w:w="1531" w:type="dxa"/>
            <w:tcBorders>
              <w:right w:val="single" w:sz="4" w:space="0" w:color="auto"/>
            </w:tcBorders>
            <w:noWrap/>
            <w:hideMark/>
          </w:tcPr>
          <w:p w14:paraId="6EE99B61" w14:textId="77777777" w:rsidR="003814A3" w:rsidRPr="00E7337F" w:rsidRDefault="003814A3" w:rsidP="003814A3">
            <w:pPr>
              <w:rPr>
                <w:sz w:val="18"/>
                <w:szCs w:val="18"/>
                <w:lang w:val="en-GB"/>
              </w:rPr>
            </w:pPr>
            <w:r w:rsidRPr="00E7337F">
              <w:rPr>
                <w:sz w:val="18"/>
                <w:szCs w:val="18"/>
                <w:lang w:val="en-GB"/>
              </w:rPr>
              <w:t> </w:t>
            </w:r>
          </w:p>
        </w:tc>
      </w:tr>
      <w:tr w:rsidR="00471B0D" w:rsidRPr="00E7337F" w14:paraId="6BE6AE9F" w14:textId="77777777" w:rsidTr="00471B0D">
        <w:trPr>
          <w:trHeight w:val="2340"/>
          <w:jc w:val="center"/>
        </w:trPr>
        <w:tc>
          <w:tcPr>
            <w:tcW w:w="1871" w:type="dxa"/>
            <w:tcBorders>
              <w:left w:val="single" w:sz="4" w:space="0" w:color="auto"/>
              <w:right w:val="single" w:sz="4" w:space="0" w:color="auto"/>
            </w:tcBorders>
            <w:noWrap/>
            <w:hideMark/>
          </w:tcPr>
          <w:p w14:paraId="3BAA603F" w14:textId="77777777" w:rsidR="003814A3" w:rsidRPr="00E7337F" w:rsidRDefault="003814A3" w:rsidP="003814A3">
            <w:pPr>
              <w:rPr>
                <w:sz w:val="18"/>
                <w:szCs w:val="18"/>
                <w:lang w:val="en-GB"/>
              </w:rPr>
            </w:pPr>
            <w:r w:rsidRPr="00E7337F">
              <w:rPr>
                <w:sz w:val="18"/>
                <w:szCs w:val="18"/>
                <w:lang w:val="en-GB"/>
              </w:rPr>
              <w:t>Capability</w:t>
            </w:r>
          </w:p>
        </w:tc>
        <w:tc>
          <w:tcPr>
            <w:tcW w:w="1531" w:type="dxa"/>
            <w:tcBorders>
              <w:left w:val="single" w:sz="4" w:space="0" w:color="auto"/>
            </w:tcBorders>
            <w:shd w:val="clear" w:color="auto" w:fill="C5E0B3"/>
            <w:hideMark/>
          </w:tcPr>
          <w:p w14:paraId="123B1693" w14:textId="77777777" w:rsidR="003814A3" w:rsidRPr="00E7337F" w:rsidRDefault="003814A3" w:rsidP="003814A3">
            <w:pPr>
              <w:rPr>
                <w:sz w:val="16"/>
                <w:szCs w:val="16"/>
                <w:lang w:val="en-GB"/>
              </w:rPr>
            </w:pPr>
            <w:r w:rsidRPr="00E7337F">
              <w:rPr>
                <w:sz w:val="16"/>
                <w:szCs w:val="16"/>
                <w:lang w:val="en-GB"/>
              </w:rPr>
              <w:t>Reducing deforestation by providing husbandry training to Amazonian ranchers who do not deforest</w:t>
            </w:r>
          </w:p>
        </w:tc>
        <w:tc>
          <w:tcPr>
            <w:tcW w:w="1531" w:type="dxa"/>
            <w:shd w:val="clear" w:color="auto" w:fill="E2EFD9"/>
            <w:hideMark/>
          </w:tcPr>
          <w:p w14:paraId="7FDDB607" w14:textId="77777777" w:rsidR="003814A3" w:rsidRPr="00E7337F" w:rsidRDefault="003814A3" w:rsidP="003814A3">
            <w:pPr>
              <w:rPr>
                <w:sz w:val="16"/>
                <w:szCs w:val="16"/>
                <w:lang w:val="en-GB"/>
              </w:rPr>
            </w:pPr>
            <w:r w:rsidRPr="00E7337F">
              <w:rPr>
                <w:sz w:val="16"/>
                <w:szCs w:val="16"/>
                <w:lang w:val="en-GB"/>
              </w:rPr>
              <w:t>Stemming spread of Florida invasive plants by improving training in weed recognition</w:t>
            </w:r>
          </w:p>
        </w:tc>
        <w:tc>
          <w:tcPr>
            <w:tcW w:w="1531" w:type="dxa"/>
            <w:shd w:val="clear" w:color="auto" w:fill="E2EFD9"/>
            <w:hideMark/>
          </w:tcPr>
          <w:p w14:paraId="779D2652" w14:textId="7D4F1F66" w:rsidR="003814A3" w:rsidRPr="00E7337F" w:rsidRDefault="003814A3" w:rsidP="00126A8C">
            <w:pPr>
              <w:rPr>
                <w:sz w:val="16"/>
                <w:szCs w:val="16"/>
                <w:lang w:val="en-GB"/>
              </w:rPr>
            </w:pPr>
            <w:r w:rsidRPr="00E7337F">
              <w:rPr>
                <w:sz w:val="16"/>
                <w:szCs w:val="16"/>
                <w:lang w:val="en-GB"/>
              </w:rPr>
              <w:t xml:space="preserve">Limiting spread of invasive </w:t>
            </w:r>
            <w:r w:rsidR="00126A8C" w:rsidRPr="00E7337F">
              <w:rPr>
                <w:sz w:val="16"/>
                <w:szCs w:val="16"/>
                <w:lang w:val="en-GB"/>
              </w:rPr>
              <w:t>aquatic species</w:t>
            </w:r>
            <w:r w:rsidRPr="00E7337F">
              <w:rPr>
                <w:sz w:val="16"/>
                <w:szCs w:val="16"/>
                <w:lang w:val="en-GB"/>
              </w:rPr>
              <w:t xml:space="preserve"> by providing clear hygiene instructions to recreational </w:t>
            </w:r>
            <w:r w:rsidR="0021024F" w:rsidRPr="00E7337F">
              <w:rPr>
                <w:sz w:val="16"/>
                <w:szCs w:val="16"/>
                <w:lang w:val="en-GB"/>
              </w:rPr>
              <w:t xml:space="preserve">water </w:t>
            </w:r>
            <w:r w:rsidRPr="00E7337F">
              <w:rPr>
                <w:sz w:val="16"/>
                <w:szCs w:val="16"/>
                <w:lang w:val="en-GB"/>
              </w:rPr>
              <w:t>users</w:t>
            </w:r>
          </w:p>
        </w:tc>
        <w:tc>
          <w:tcPr>
            <w:tcW w:w="1531" w:type="dxa"/>
            <w:shd w:val="clear" w:color="auto" w:fill="C5E0B3"/>
            <w:hideMark/>
          </w:tcPr>
          <w:p w14:paraId="62D41AB0" w14:textId="77777777" w:rsidR="003814A3" w:rsidRPr="00E7337F" w:rsidRDefault="003814A3" w:rsidP="003814A3">
            <w:pPr>
              <w:rPr>
                <w:sz w:val="16"/>
                <w:szCs w:val="16"/>
                <w:lang w:val="en-GB"/>
              </w:rPr>
            </w:pPr>
            <w:r w:rsidRPr="00E7337F">
              <w:rPr>
                <w:sz w:val="16"/>
                <w:szCs w:val="16"/>
                <w:lang w:val="en-GB"/>
              </w:rPr>
              <w:t xml:space="preserve">Reducing Caribbean overfishing by providing refrigeration to cut supply-chain waste </w:t>
            </w:r>
            <w:r w:rsidRPr="00E7337F">
              <w:rPr>
                <w:sz w:val="16"/>
                <w:szCs w:val="16"/>
                <w:lang w:val="en-GB"/>
              </w:rPr>
              <w:br/>
            </w:r>
            <w:r w:rsidRPr="00E7337F">
              <w:rPr>
                <w:sz w:val="16"/>
                <w:szCs w:val="16"/>
                <w:lang w:val="en-GB"/>
              </w:rPr>
              <w:br/>
              <w:t>Controlling invasive lionfish by providing equipment and training for chefs to cook them</w:t>
            </w:r>
          </w:p>
          <w:p w14:paraId="7E10B85C" w14:textId="77777777" w:rsidR="003814A3" w:rsidRPr="00E7337F" w:rsidRDefault="003814A3" w:rsidP="003814A3">
            <w:pPr>
              <w:rPr>
                <w:sz w:val="16"/>
                <w:szCs w:val="16"/>
                <w:lang w:val="en-GB"/>
              </w:rPr>
            </w:pPr>
          </w:p>
          <w:p w14:paraId="627DAD3C" w14:textId="77777777" w:rsidR="003814A3" w:rsidRPr="00E7337F" w:rsidRDefault="003814A3" w:rsidP="003814A3">
            <w:pPr>
              <w:rPr>
                <w:sz w:val="16"/>
                <w:szCs w:val="16"/>
                <w:lang w:val="en-GB"/>
              </w:rPr>
            </w:pPr>
          </w:p>
        </w:tc>
        <w:tc>
          <w:tcPr>
            <w:tcW w:w="1531" w:type="dxa"/>
            <w:hideMark/>
          </w:tcPr>
          <w:p w14:paraId="0A6BD4E8" w14:textId="77777777" w:rsidR="003814A3" w:rsidRPr="00E7337F" w:rsidRDefault="003814A3" w:rsidP="003814A3">
            <w:pPr>
              <w:rPr>
                <w:sz w:val="16"/>
                <w:szCs w:val="16"/>
                <w:lang w:val="en-GB"/>
              </w:rPr>
            </w:pPr>
            <w:r w:rsidRPr="00E7337F">
              <w:rPr>
                <w:sz w:val="16"/>
                <w:szCs w:val="16"/>
                <w:lang w:val="en-GB"/>
              </w:rPr>
              <w:t> </w:t>
            </w:r>
          </w:p>
        </w:tc>
        <w:tc>
          <w:tcPr>
            <w:tcW w:w="1531" w:type="dxa"/>
            <w:hideMark/>
          </w:tcPr>
          <w:p w14:paraId="65D3704A" w14:textId="77777777" w:rsidR="003814A3" w:rsidRPr="00E7337F" w:rsidRDefault="003814A3" w:rsidP="003814A3">
            <w:pPr>
              <w:rPr>
                <w:sz w:val="16"/>
                <w:szCs w:val="16"/>
                <w:lang w:val="en-GB"/>
              </w:rPr>
            </w:pPr>
          </w:p>
        </w:tc>
        <w:tc>
          <w:tcPr>
            <w:tcW w:w="1531" w:type="dxa"/>
            <w:hideMark/>
          </w:tcPr>
          <w:p w14:paraId="7B87C6EF" w14:textId="77777777" w:rsidR="003814A3" w:rsidRPr="00E7337F" w:rsidRDefault="003814A3" w:rsidP="003814A3">
            <w:pPr>
              <w:rPr>
                <w:sz w:val="16"/>
                <w:szCs w:val="16"/>
                <w:lang w:val="en-GB"/>
              </w:rPr>
            </w:pPr>
            <w:r w:rsidRPr="00E7337F">
              <w:rPr>
                <w:sz w:val="16"/>
                <w:szCs w:val="16"/>
                <w:lang w:val="en-GB"/>
              </w:rPr>
              <w:t> </w:t>
            </w:r>
          </w:p>
        </w:tc>
        <w:tc>
          <w:tcPr>
            <w:tcW w:w="1531" w:type="dxa"/>
            <w:hideMark/>
          </w:tcPr>
          <w:p w14:paraId="22E7A8ED" w14:textId="77777777" w:rsidR="003814A3" w:rsidRPr="00E7337F" w:rsidRDefault="003814A3" w:rsidP="003814A3">
            <w:pPr>
              <w:rPr>
                <w:sz w:val="16"/>
                <w:szCs w:val="16"/>
                <w:lang w:val="en-GB"/>
              </w:rPr>
            </w:pPr>
          </w:p>
        </w:tc>
        <w:tc>
          <w:tcPr>
            <w:tcW w:w="1531" w:type="dxa"/>
            <w:tcBorders>
              <w:right w:val="single" w:sz="4" w:space="0" w:color="auto"/>
            </w:tcBorders>
            <w:hideMark/>
          </w:tcPr>
          <w:p w14:paraId="2C48475E" w14:textId="77777777" w:rsidR="003814A3" w:rsidRPr="00E7337F" w:rsidRDefault="003814A3" w:rsidP="003814A3">
            <w:pPr>
              <w:rPr>
                <w:sz w:val="18"/>
                <w:szCs w:val="18"/>
                <w:lang w:val="en-GB"/>
              </w:rPr>
            </w:pPr>
            <w:r w:rsidRPr="00E7337F">
              <w:rPr>
                <w:sz w:val="18"/>
                <w:szCs w:val="18"/>
                <w:lang w:val="en-GB"/>
              </w:rPr>
              <w:t> </w:t>
            </w:r>
          </w:p>
        </w:tc>
      </w:tr>
      <w:tr w:rsidR="00471B0D" w:rsidRPr="00E7337F" w14:paraId="6972757F" w14:textId="77777777" w:rsidTr="00471B0D">
        <w:trPr>
          <w:trHeight w:val="680"/>
          <w:jc w:val="center"/>
        </w:trPr>
        <w:tc>
          <w:tcPr>
            <w:tcW w:w="1871" w:type="dxa"/>
            <w:tcBorders>
              <w:left w:val="single" w:sz="4" w:space="0" w:color="auto"/>
              <w:bottom w:val="single" w:sz="4" w:space="0" w:color="auto"/>
              <w:right w:val="single" w:sz="4" w:space="0" w:color="auto"/>
            </w:tcBorders>
            <w:noWrap/>
            <w:hideMark/>
          </w:tcPr>
          <w:p w14:paraId="0BC602ED" w14:textId="77777777" w:rsidR="003814A3" w:rsidRPr="00E7337F" w:rsidRDefault="003814A3" w:rsidP="003814A3">
            <w:pPr>
              <w:rPr>
                <w:sz w:val="18"/>
                <w:szCs w:val="18"/>
                <w:lang w:val="en-GB"/>
              </w:rPr>
            </w:pPr>
            <w:r w:rsidRPr="00E7337F">
              <w:rPr>
                <w:sz w:val="18"/>
                <w:szCs w:val="18"/>
                <w:lang w:val="en-GB"/>
              </w:rPr>
              <w:t>Motivation</w:t>
            </w:r>
          </w:p>
        </w:tc>
        <w:tc>
          <w:tcPr>
            <w:tcW w:w="1531" w:type="dxa"/>
            <w:tcBorders>
              <w:left w:val="single" w:sz="4" w:space="0" w:color="auto"/>
              <w:bottom w:val="single" w:sz="4" w:space="0" w:color="auto"/>
            </w:tcBorders>
            <w:shd w:val="clear" w:color="auto" w:fill="A8D08D"/>
            <w:hideMark/>
          </w:tcPr>
          <w:p w14:paraId="466AE6A2" w14:textId="77777777" w:rsidR="003814A3" w:rsidRPr="00E7337F" w:rsidRDefault="003814A3" w:rsidP="003814A3">
            <w:pPr>
              <w:rPr>
                <w:sz w:val="16"/>
                <w:szCs w:val="16"/>
                <w:lang w:val="en-GB"/>
              </w:rPr>
            </w:pPr>
            <w:r w:rsidRPr="00E7337F">
              <w:rPr>
                <w:sz w:val="16"/>
                <w:szCs w:val="16"/>
                <w:lang w:val="en-GB"/>
              </w:rPr>
              <w:t>Increasing milkweed availability for monarchs through campaign persuading farmers to tolerate "untidy" fields</w:t>
            </w:r>
          </w:p>
        </w:tc>
        <w:tc>
          <w:tcPr>
            <w:tcW w:w="1531" w:type="dxa"/>
            <w:tcBorders>
              <w:bottom w:val="single" w:sz="4" w:space="0" w:color="auto"/>
            </w:tcBorders>
            <w:shd w:val="clear" w:color="auto" w:fill="A8D08D"/>
            <w:hideMark/>
          </w:tcPr>
          <w:p w14:paraId="0E1EB8F6" w14:textId="77777777" w:rsidR="003814A3" w:rsidRPr="00E7337F" w:rsidRDefault="003814A3" w:rsidP="003814A3">
            <w:pPr>
              <w:rPr>
                <w:sz w:val="16"/>
                <w:szCs w:val="16"/>
                <w:lang w:val="en-GB"/>
              </w:rPr>
            </w:pPr>
            <w:r w:rsidRPr="00E7337F">
              <w:rPr>
                <w:sz w:val="16"/>
                <w:szCs w:val="16"/>
                <w:lang w:val="en-GB"/>
              </w:rPr>
              <w:t>Enhancing water quality for vendace by motivating water treatment managers via a performance league table</w:t>
            </w:r>
          </w:p>
        </w:tc>
        <w:tc>
          <w:tcPr>
            <w:tcW w:w="1531" w:type="dxa"/>
            <w:tcBorders>
              <w:bottom w:val="single" w:sz="4" w:space="0" w:color="auto"/>
            </w:tcBorders>
            <w:shd w:val="clear" w:color="auto" w:fill="A8D08D"/>
            <w:hideMark/>
          </w:tcPr>
          <w:p w14:paraId="4BAA5C41" w14:textId="77777777" w:rsidR="003814A3" w:rsidRPr="00E7337F" w:rsidRDefault="003814A3" w:rsidP="003814A3">
            <w:pPr>
              <w:rPr>
                <w:sz w:val="16"/>
                <w:szCs w:val="16"/>
                <w:lang w:val="en-GB"/>
              </w:rPr>
            </w:pPr>
            <w:r w:rsidRPr="00E7337F">
              <w:rPr>
                <w:sz w:val="16"/>
                <w:szCs w:val="16"/>
                <w:lang w:val="en-GB"/>
              </w:rPr>
              <w:t>Reducing mangrove conversion by working with an influencer to reduce demand for shrimp</w:t>
            </w:r>
          </w:p>
          <w:p w14:paraId="61A20DDE" w14:textId="77777777" w:rsidR="003814A3" w:rsidRPr="00E7337F" w:rsidRDefault="003814A3" w:rsidP="003814A3">
            <w:pPr>
              <w:rPr>
                <w:sz w:val="16"/>
                <w:szCs w:val="16"/>
                <w:lang w:val="en-GB"/>
              </w:rPr>
            </w:pPr>
            <w:r w:rsidRPr="00E7337F">
              <w:rPr>
                <w:sz w:val="16"/>
                <w:szCs w:val="16"/>
                <w:lang w:val="en-GB"/>
              </w:rPr>
              <w:t xml:space="preserve"> </w:t>
            </w:r>
            <w:r w:rsidRPr="00E7337F">
              <w:rPr>
                <w:sz w:val="16"/>
                <w:szCs w:val="16"/>
                <w:lang w:val="en-GB"/>
              </w:rPr>
              <w:br/>
              <w:t>Reducing trampling of alpine plants by encouraging climbers to commit publicly to avoiding sensitive routes</w:t>
            </w:r>
          </w:p>
          <w:p w14:paraId="20FAD8D7" w14:textId="77777777" w:rsidR="003814A3" w:rsidRPr="00E7337F" w:rsidRDefault="003814A3" w:rsidP="003814A3">
            <w:pPr>
              <w:rPr>
                <w:sz w:val="16"/>
                <w:szCs w:val="16"/>
                <w:lang w:val="en-GB"/>
              </w:rPr>
            </w:pPr>
          </w:p>
          <w:p w14:paraId="525D65C1" w14:textId="77777777" w:rsidR="003814A3" w:rsidRPr="00E7337F" w:rsidRDefault="003814A3" w:rsidP="003814A3">
            <w:pPr>
              <w:rPr>
                <w:sz w:val="16"/>
                <w:szCs w:val="16"/>
                <w:lang w:val="en-GB"/>
              </w:rPr>
            </w:pPr>
          </w:p>
        </w:tc>
        <w:tc>
          <w:tcPr>
            <w:tcW w:w="1531" w:type="dxa"/>
            <w:tcBorders>
              <w:bottom w:val="single" w:sz="4" w:space="0" w:color="auto"/>
            </w:tcBorders>
            <w:shd w:val="clear" w:color="auto" w:fill="C5E0B3"/>
            <w:hideMark/>
          </w:tcPr>
          <w:p w14:paraId="6415790C" w14:textId="77777777" w:rsidR="003814A3" w:rsidRPr="00E7337F" w:rsidRDefault="003814A3" w:rsidP="003814A3">
            <w:pPr>
              <w:rPr>
                <w:sz w:val="16"/>
                <w:szCs w:val="16"/>
                <w:lang w:val="en-GB"/>
              </w:rPr>
            </w:pPr>
            <w:r w:rsidRPr="00E7337F">
              <w:rPr>
                <w:sz w:val="16"/>
                <w:szCs w:val="16"/>
                <w:lang w:val="en-GB"/>
              </w:rPr>
              <w:t>Reducing mangrove conversion for hotels via social media campaign persuading travel companies to market more sustainable accommodation options</w:t>
            </w:r>
          </w:p>
        </w:tc>
        <w:tc>
          <w:tcPr>
            <w:tcW w:w="1531" w:type="dxa"/>
            <w:tcBorders>
              <w:bottom w:val="single" w:sz="4" w:space="0" w:color="auto"/>
            </w:tcBorders>
            <w:shd w:val="clear" w:color="auto" w:fill="E2EFD9"/>
            <w:hideMark/>
          </w:tcPr>
          <w:p w14:paraId="26D1BCB1" w14:textId="77777777" w:rsidR="003814A3" w:rsidRPr="00E7337F" w:rsidRDefault="003814A3" w:rsidP="003814A3">
            <w:pPr>
              <w:rPr>
                <w:sz w:val="16"/>
                <w:szCs w:val="16"/>
                <w:lang w:val="en-GB"/>
              </w:rPr>
            </w:pPr>
            <w:r w:rsidRPr="00E7337F">
              <w:rPr>
                <w:sz w:val="16"/>
                <w:szCs w:val="16"/>
                <w:lang w:val="en-GB"/>
              </w:rPr>
              <w:t>Reducing mangrove clearance for tourist infrastructure by making scientific case to insurers to increase premiums to hotels in cleared areas</w:t>
            </w:r>
          </w:p>
        </w:tc>
        <w:tc>
          <w:tcPr>
            <w:tcW w:w="1531" w:type="dxa"/>
            <w:tcBorders>
              <w:bottom w:val="single" w:sz="4" w:space="0" w:color="auto"/>
            </w:tcBorders>
            <w:shd w:val="clear" w:color="auto" w:fill="A8D08D"/>
            <w:hideMark/>
          </w:tcPr>
          <w:p w14:paraId="5740AB64" w14:textId="77777777" w:rsidR="003814A3" w:rsidRPr="00E7337F" w:rsidRDefault="003814A3" w:rsidP="003814A3">
            <w:pPr>
              <w:rPr>
                <w:sz w:val="16"/>
                <w:szCs w:val="16"/>
                <w:lang w:val="en-GB"/>
              </w:rPr>
            </w:pPr>
            <w:r w:rsidRPr="00E7337F">
              <w:rPr>
                <w:sz w:val="16"/>
                <w:szCs w:val="16"/>
                <w:lang w:val="en-GB"/>
              </w:rPr>
              <w:t>Reducing vulture exposure to diclofenac by persuading politicians to ban its use</w:t>
            </w:r>
          </w:p>
          <w:p w14:paraId="66FBF40B" w14:textId="77777777" w:rsidR="003814A3" w:rsidRPr="00E7337F" w:rsidRDefault="003814A3" w:rsidP="003814A3">
            <w:pPr>
              <w:rPr>
                <w:sz w:val="16"/>
                <w:szCs w:val="16"/>
                <w:lang w:val="en-GB"/>
              </w:rPr>
            </w:pPr>
          </w:p>
          <w:p w14:paraId="0A721DF3" w14:textId="5DB8F653" w:rsidR="003814A3" w:rsidRPr="00E7337F" w:rsidRDefault="003814A3" w:rsidP="003814A3">
            <w:pPr>
              <w:rPr>
                <w:sz w:val="16"/>
                <w:szCs w:val="16"/>
                <w:lang w:val="en-GB"/>
              </w:rPr>
            </w:pPr>
            <w:r w:rsidRPr="00E7337F">
              <w:rPr>
                <w:sz w:val="16"/>
                <w:szCs w:val="16"/>
                <w:lang w:val="en-GB"/>
              </w:rPr>
              <w:t>*Mitigating climate change by motivating policy makers to restrict overnight office lighting</w:t>
            </w:r>
          </w:p>
          <w:p w14:paraId="1BCEB6FB" w14:textId="77777777" w:rsidR="00F206EC" w:rsidRPr="00E7337F" w:rsidRDefault="00F206EC" w:rsidP="003814A3">
            <w:pPr>
              <w:rPr>
                <w:sz w:val="16"/>
                <w:szCs w:val="16"/>
                <w:lang w:val="en-GB"/>
              </w:rPr>
            </w:pPr>
          </w:p>
          <w:p w14:paraId="6ACE263B" w14:textId="48C6B748" w:rsidR="00F206EC" w:rsidRPr="00E7337F" w:rsidRDefault="00F206EC" w:rsidP="003814A3">
            <w:pPr>
              <w:rPr>
                <w:sz w:val="16"/>
                <w:szCs w:val="16"/>
                <w:lang w:val="en-GB"/>
              </w:rPr>
            </w:pPr>
          </w:p>
        </w:tc>
        <w:tc>
          <w:tcPr>
            <w:tcW w:w="1531" w:type="dxa"/>
            <w:tcBorders>
              <w:bottom w:val="single" w:sz="4" w:space="0" w:color="auto"/>
            </w:tcBorders>
            <w:shd w:val="clear" w:color="auto" w:fill="E2EFD9"/>
            <w:hideMark/>
          </w:tcPr>
          <w:p w14:paraId="019D9648" w14:textId="77777777" w:rsidR="003814A3" w:rsidRPr="00E7337F" w:rsidRDefault="003814A3" w:rsidP="003814A3">
            <w:pPr>
              <w:rPr>
                <w:sz w:val="16"/>
                <w:szCs w:val="16"/>
                <w:lang w:val="en-GB"/>
              </w:rPr>
            </w:pPr>
            <w:r w:rsidRPr="00E7337F">
              <w:rPr>
                <w:sz w:val="16"/>
                <w:szCs w:val="16"/>
                <w:lang w:val="en-GB"/>
              </w:rPr>
              <w:t>*Mitigating climate change by encouraging voters to lobby politicians to restrict overnight office lighting</w:t>
            </w:r>
          </w:p>
        </w:tc>
        <w:tc>
          <w:tcPr>
            <w:tcW w:w="1531" w:type="dxa"/>
            <w:tcBorders>
              <w:bottom w:val="single" w:sz="4" w:space="0" w:color="auto"/>
            </w:tcBorders>
            <w:shd w:val="clear" w:color="auto" w:fill="E2EFD9"/>
            <w:hideMark/>
          </w:tcPr>
          <w:p w14:paraId="159AEA8D" w14:textId="77777777" w:rsidR="003814A3" w:rsidRPr="00E7337F" w:rsidRDefault="003814A3" w:rsidP="003814A3">
            <w:pPr>
              <w:rPr>
                <w:sz w:val="16"/>
                <w:szCs w:val="16"/>
                <w:lang w:val="en-GB"/>
              </w:rPr>
            </w:pPr>
            <w:r w:rsidRPr="00E7337F">
              <w:rPr>
                <w:sz w:val="16"/>
                <w:szCs w:val="16"/>
                <w:lang w:val="en-GB"/>
              </w:rPr>
              <w:t xml:space="preserve">Limiting spread of invasive horticultural plants by persuading radio host to run a feature on the damage done by exotic species </w:t>
            </w:r>
          </w:p>
        </w:tc>
        <w:tc>
          <w:tcPr>
            <w:tcW w:w="1531" w:type="dxa"/>
            <w:tcBorders>
              <w:bottom w:val="single" w:sz="4" w:space="0" w:color="auto"/>
              <w:right w:val="single" w:sz="4" w:space="0" w:color="auto"/>
            </w:tcBorders>
            <w:shd w:val="clear" w:color="auto" w:fill="E2EFD9"/>
            <w:hideMark/>
          </w:tcPr>
          <w:p w14:paraId="7324E502" w14:textId="77777777" w:rsidR="003814A3" w:rsidRPr="00E7337F" w:rsidRDefault="003814A3" w:rsidP="003814A3">
            <w:pPr>
              <w:rPr>
                <w:sz w:val="16"/>
                <w:szCs w:val="16"/>
                <w:lang w:val="en-GB"/>
              </w:rPr>
            </w:pPr>
            <w:r w:rsidRPr="00E7337F">
              <w:rPr>
                <w:sz w:val="16"/>
                <w:szCs w:val="16"/>
                <w:lang w:val="en-GB"/>
              </w:rPr>
              <w:t>Reducing grazing damage to alpine plants by persuading animal-rights groups not to oppose cull of feral goats</w:t>
            </w:r>
          </w:p>
        </w:tc>
      </w:tr>
      <w:tr w:rsidR="00471B0D" w:rsidRPr="00E7337F" w14:paraId="236E59F0" w14:textId="77777777" w:rsidTr="00471B0D">
        <w:trPr>
          <w:trHeight w:val="489"/>
          <w:jc w:val="center"/>
        </w:trPr>
        <w:tc>
          <w:tcPr>
            <w:tcW w:w="1871" w:type="dxa"/>
            <w:tcBorders>
              <w:top w:val="single" w:sz="4" w:space="0" w:color="auto"/>
              <w:left w:val="single" w:sz="4" w:space="0" w:color="auto"/>
              <w:right w:val="single" w:sz="4" w:space="0" w:color="auto"/>
            </w:tcBorders>
            <w:noWrap/>
            <w:hideMark/>
          </w:tcPr>
          <w:p w14:paraId="671283CB" w14:textId="77777777" w:rsidR="003814A3" w:rsidRPr="00E7337F" w:rsidRDefault="003814A3" w:rsidP="003814A3">
            <w:pPr>
              <w:spacing w:before="120"/>
              <w:rPr>
                <w:b/>
                <w:bCs/>
                <w:sz w:val="20"/>
                <w:szCs w:val="20"/>
                <w:lang w:val="en-GB"/>
              </w:rPr>
            </w:pPr>
            <w:r w:rsidRPr="00E7337F">
              <w:rPr>
                <w:b/>
                <w:bCs/>
                <w:sz w:val="20"/>
                <w:szCs w:val="20"/>
                <w:lang w:val="en-GB"/>
              </w:rPr>
              <w:t>Population level</w:t>
            </w:r>
          </w:p>
        </w:tc>
        <w:tc>
          <w:tcPr>
            <w:tcW w:w="1531" w:type="dxa"/>
            <w:tcBorders>
              <w:top w:val="single" w:sz="4" w:space="0" w:color="auto"/>
              <w:left w:val="single" w:sz="4" w:space="0" w:color="auto"/>
            </w:tcBorders>
            <w:hideMark/>
          </w:tcPr>
          <w:p w14:paraId="4C56E9D9" w14:textId="77777777" w:rsidR="003814A3" w:rsidRPr="00E7337F" w:rsidRDefault="003814A3" w:rsidP="003814A3">
            <w:pPr>
              <w:rPr>
                <w:b/>
                <w:bCs/>
                <w:sz w:val="16"/>
                <w:szCs w:val="16"/>
                <w:lang w:val="en-GB"/>
              </w:rPr>
            </w:pPr>
          </w:p>
        </w:tc>
        <w:tc>
          <w:tcPr>
            <w:tcW w:w="1531" w:type="dxa"/>
            <w:tcBorders>
              <w:top w:val="single" w:sz="4" w:space="0" w:color="auto"/>
            </w:tcBorders>
            <w:hideMark/>
          </w:tcPr>
          <w:p w14:paraId="3D560146" w14:textId="77777777" w:rsidR="003814A3" w:rsidRPr="00E7337F" w:rsidRDefault="003814A3" w:rsidP="003814A3">
            <w:pPr>
              <w:rPr>
                <w:b/>
                <w:bCs/>
                <w:sz w:val="16"/>
                <w:szCs w:val="16"/>
                <w:lang w:val="en-GB"/>
              </w:rPr>
            </w:pPr>
          </w:p>
        </w:tc>
        <w:tc>
          <w:tcPr>
            <w:tcW w:w="1531" w:type="dxa"/>
            <w:tcBorders>
              <w:top w:val="single" w:sz="4" w:space="0" w:color="auto"/>
            </w:tcBorders>
            <w:hideMark/>
          </w:tcPr>
          <w:p w14:paraId="277BB34C" w14:textId="77777777" w:rsidR="003814A3" w:rsidRPr="00E7337F" w:rsidRDefault="003814A3" w:rsidP="003814A3">
            <w:pPr>
              <w:rPr>
                <w:b/>
                <w:bCs/>
                <w:sz w:val="16"/>
                <w:szCs w:val="16"/>
                <w:lang w:val="en-GB"/>
              </w:rPr>
            </w:pPr>
          </w:p>
        </w:tc>
        <w:tc>
          <w:tcPr>
            <w:tcW w:w="1531" w:type="dxa"/>
            <w:tcBorders>
              <w:top w:val="single" w:sz="4" w:space="0" w:color="auto"/>
            </w:tcBorders>
            <w:hideMark/>
          </w:tcPr>
          <w:p w14:paraId="4F9A2E6B" w14:textId="77777777" w:rsidR="003814A3" w:rsidRPr="00E7337F" w:rsidRDefault="003814A3" w:rsidP="003814A3">
            <w:pPr>
              <w:rPr>
                <w:b/>
                <w:bCs/>
                <w:sz w:val="16"/>
                <w:szCs w:val="16"/>
                <w:lang w:val="en-GB"/>
              </w:rPr>
            </w:pPr>
          </w:p>
        </w:tc>
        <w:tc>
          <w:tcPr>
            <w:tcW w:w="1531" w:type="dxa"/>
            <w:tcBorders>
              <w:top w:val="single" w:sz="4" w:space="0" w:color="auto"/>
            </w:tcBorders>
            <w:noWrap/>
            <w:hideMark/>
          </w:tcPr>
          <w:p w14:paraId="68F3A778" w14:textId="77777777" w:rsidR="003814A3" w:rsidRPr="00E7337F" w:rsidRDefault="003814A3" w:rsidP="003814A3">
            <w:pPr>
              <w:rPr>
                <w:b/>
                <w:bCs/>
                <w:sz w:val="16"/>
                <w:szCs w:val="16"/>
                <w:lang w:val="en-GB"/>
              </w:rPr>
            </w:pPr>
          </w:p>
        </w:tc>
        <w:tc>
          <w:tcPr>
            <w:tcW w:w="1531" w:type="dxa"/>
            <w:tcBorders>
              <w:top w:val="single" w:sz="4" w:space="0" w:color="auto"/>
            </w:tcBorders>
            <w:hideMark/>
          </w:tcPr>
          <w:p w14:paraId="666C964F" w14:textId="77777777" w:rsidR="003814A3" w:rsidRPr="00E7337F" w:rsidRDefault="003814A3" w:rsidP="003814A3">
            <w:pPr>
              <w:rPr>
                <w:b/>
                <w:bCs/>
                <w:sz w:val="16"/>
                <w:szCs w:val="16"/>
                <w:lang w:val="en-GB"/>
              </w:rPr>
            </w:pPr>
          </w:p>
        </w:tc>
        <w:tc>
          <w:tcPr>
            <w:tcW w:w="1531" w:type="dxa"/>
            <w:tcBorders>
              <w:top w:val="single" w:sz="4" w:space="0" w:color="auto"/>
            </w:tcBorders>
            <w:noWrap/>
            <w:hideMark/>
          </w:tcPr>
          <w:p w14:paraId="6ECF4E3B" w14:textId="77777777" w:rsidR="003814A3" w:rsidRPr="00E7337F" w:rsidRDefault="003814A3" w:rsidP="003814A3">
            <w:pPr>
              <w:rPr>
                <w:b/>
                <w:bCs/>
                <w:sz w:val="16"/>
                <w:szCs w:val="16"/>
                <w:lang w:val="en-GB"/>
              </w:rPr>
            </w:pPr>
          </w:p>
        </w:tc>
        <w:tc>
          <w:tcPr>
            <w:tcW w:w="1531" w:type="dxa"/>
            <w:tcBorders>
              <w:top w:val="single" w:sz="4" w:space="0" w:color="auto"/>
            </w:tcBorders>
            <w:noWrap/>
            <w:hideMark/>
          </w:tcPr>
          <w:p w14:paraId="21F91F1A" w14:textId="77777777" w:rsidR="003814A3" w:rsidRPr="00E7337F" w:rsidRDefault="003814A3" w:rsidP="003814A3">
            <w:pPr>
              <w:rPr>
                <w:b/>
                <w:bCs/>
                <w:sz w:val="16"/>
                <w:szCs w:val="16"/>
                <w:lang w:val="en-GB"/>
              </w:rPr>
            </w:pPr>
          </w:p>
        </w:tc>
        <w:tc>
          <w:tcPr>
            <w:tcW w:w="1531" w:type="dxa"/>
            <w:tcBorders>
              <w:top w:val="single" w:sz="4" w:space="0" w:color="auto"/>
              <w:right w:val="single" w:sz="4" w:space="0" w:color="auto"/>
            </w:tcBorders>
            <w:noWrap/>
            <w:hideMark/>
          </w:tcPr>
          <w:p w14:paraId="6D2AF10C" w14:textId="77777777" w:rsidR="003814A3" w:rsidRPr="00E7337F" w:rsidRDefault="003814A3" w:rsidP="003814A3">
            <w:pPr>
              <w:rPr>
                <w:b/>
                <w:bCs/>
                <w:sz w:val="18"/>
                <w:szCs w:val="18"/>
                <w:lang w:val="en-GB"/>
              </w:rPr>
            </w:pPr>
            <w:r w:rsidRPr="00E7337F">
              <w:rPr>
                <w:b/>
                <w:bCs/>
                <w:sz w:val="18"/>
                <w:szCs w:val="18"/>
                <w:lang w:val="en-GB"/>
              </w:rPr>
              <w:t> </w:t>
            </w:r>
          </w:p>
        </w:tc>
      </w:tr>
      <w:tr w:rsidR="00471B0D" w:rsidRPr="00E7337F" w14:paraId="1CF40494" w14:textId="77777777" w:rsidTr="00471B0D">
        <w:trPr>
          <w:trHeight w:val="3020"/>
          <w:jc w:val="center"/>
        </w:trPr>
        <w:tc>
          <w:tcPr>
            <w:tcW w:w="1871" w:type="dxa"/>
            <w:tcBorders>
              <w:left w:val="single" w:sz="4" w:space="0" w:color="auto"/>
              <w:right w:val="single" w:sz="4" w:space="0" w:color="auto"/>
            </w:tcBorders>
            <w:noWrap/>
            <w:hideMark/>
          </w:tcPr>
          <w:p w14:paraId="5B7D1A56" w14:textId="77777777" w:rsidR="003814A3" w:rsidRPr="00E7337F" w:rsidRDefault="003814A3" w:rsidP="003814A3">
            <w:pPr>
              <w:rPr>
                <w:sz w:val="20"/>
                <w:szCs w:val="20"/>
                <w:lang w:val="en-GB"/>
              </w:rPr>
            </w:pPr>
            <w:r w:rsidRPr="00E7337F">
              <w:rPr>
                <w:sz w:val="20"/>
                <w:szCs w:val="20"/>
                <w:lang w:val="en-GB"/>
              </w:rPr>
              <w:lastRenderedPageBreak/>
              <w:t>Physical microenvironment</w:t>
            </w:r>
          </w:p>
        </w:tc>
        <w:tc>
          <w:tcPr>
            <w:tcW w:w="1531" w:type="dxa"/>
            <w:tcBorders>
              <w:left w:val="single" w:sz="4" w:space="0" w:color="auto"/>
            </w:tcBorders>
            <w:shd w:val="clear" w:color="auto" w:fill="E2EFD9"/>
            <w:hideMark/>
          </w:tcPr>
          <w:p w14:paraId="69684063" w14:textId="77777777" w:rsidR="003814A3" w:rsidRPr="00E7337F" w:rsidRDefault="003814A3" w:rsidP="003814A3">
            <w:pPr>
              <w:shd w:val="clear" w:color="auto" w:fill="E2EFD9"/>
              <w:rPr>
                <w:sz w:val="16"/>
                <w:szCs w:val="16"/>
                <w:lang w:val="en-GB"/>
              </w:rPr>
            </w:pPr>
            <w:r w:rsidRPr="00E7337F">
              <w:rPr>
                <w:sz w:val="16"/>
                <w:szCs w:val="16"/>
                <w:lang w:val="en-GB"/>
              </w:rPr>
              <w:t>Reducing vulture exposure to diclofenac by providing farmers an affordable, vulture-safe alternative drug</w:t>
            </w:r>
          </w:p>
          <w:p w14:paraId="5F7B0C6D" w14:textId="77777777" w:rsidR="003814A3" w:rsidRPr="00E7337F" w:rsidRDefault="003814A3" w:rsidP="003814A3">
            <w:pPr>
              <w:shd w:val="clear" w:color="auto" w:fill="E2EFD9"/>
              <w:rPr>
                <w:sz w:val="16"/>
                <w:szCs w:val="16"/>
                <w:lang w:val="en-GB"/>
              </w:rPr>
            </w:pPr>
          </w:p>
          <w:p w14:paraId="0E98921C" w14:textId="77777777" w:rsidR="003814A3" w:rsidRPr="00E7337F" w:rsidRDefault="003814A3" w:rsidP="003814A3">
            <w:pPr>
              <w:shd w:val="clear" w:color="auto" w:fill="E2EFD9"/>
              <w:rPr>
                <w:sz w:val="16"/>
                <w:szCs w:val="16"/>
                <w:lang w:val="en-GB"/>
              </w:rPr>
            </w:pPr>
            <w:r w:rsidRPr="00E7337F">
              <w:rPr>
                <w:sz w:val="16"/>
                <w:szCs w:val="16"/>
                <w:lang w:val="en-GB"/>
              </w:rPr>
              <w:t>Enhancing water quality for vendace by simplifying the paperwork for farmers participating in catchment management</w:t>
            </w:r>
          </w:p>
          <w:p w14:paraId="0E29EDDA" w14:textId="77777777" w:rsidR="003814A3" w:rsidRPr="00E7337F" w:rsidRDefault="003814A3" w:rsidP="003814A3">
            <w:pPr>
              <w:rPr>
                <w:sz w:val="16"/>
                <w:szCs w:val="16"/>
                <w:lang w:val="en-GB"/>
              </w:rPr>
            </w:pPr>
            <w:r w:rsidRPr="00E7337F">
              <w:rPr>
                <w:sz w:val="16"/>
                <w:szCs w:val="16"/>
                <w:lang w:val="en-GB"/>
              </w:rPr>
              <w:t xml:space="preserve"> </w:t>
            </w:r>
          </w:p>
        </w:tc>
        <w:tc>
          <w:tcPr>
            <w:tcW w:w="1531" w:type="dxa"/>
            <w:hideMark/>
          </w:tcPr>
          <w:p w14:paraId="79968814" w14:textId="77777777" w:rsidR="003814A3" w:rsidRPr="00E7337F" w:rsidRDefault="003814A3" w:rsidP="003814A3">
            <w:pPr>
              <w:rPr>
                <w:sz w:val="16"/>
                <w:szCs w:val="16"/>
                <w:lang w:val="en-GB"/>
              </w:rPr>
            </w:pPr>
          </w:p>
        </w:tc>
        <w:tc>
          <w:tcPr>
            <w:tcW w:w="1531" w:type="dxa"/>
            <w:shd w:val="clear" w:color="auto" w:fill="A8D08D"/>
            <w:hideMark/>
          </w:tcPr>
          <w:p w14:paraId="1EEF56D6" w14:textId="77777777" w:rsidR="003814A3" w:rsidRPr="00E7337F" w:rsidRDefault="003814A3" w:rsidP="003814A3">
            <w:pPr>
              <w:rPr>
                <w:sz w:val="16"/>
                <w:szCs w:val="16"/>
                <w:lang w:val="en-GB"/>
              </w:rPr>
            </w:pPr>
            <w:r w:rsidRPr="00E7337F">
              <w:rPr>
                <w:sz w:val="16"/>
                <w:szCs w:val="16"/>
                <w:lang w:val="en-GB"/>
              </w:rPr>
              <w:t>Reducing litter ingestion by godwits by installing and emptying bins on beaches</w:t>
            </w:r>
          </w:p>
          <w:p w14:paraId="5EE3150D" w14:textId="77777777" w:rsidR="003814A3" w:rsidRPr="00E7337F" w:rsidRDefault="003814A3" w:rsidP="003814A3">
            <w:pPr>
              <w:rPr>
                <w:sz w:val="16"/>
                <w:szCs w:val="16"/>
                <w:lang w:val="en-GB"/>
              </w:rPr>
            </w:pPr>
          </w:p>
          <w:p w14:paraId="48AB6E3C" w14:textId="77777777" w:rsidR="003814A3" w:rsidRPr="00E7337F" w:rsidRDefault="003814A3" w:rsidP="003814A3">
            <w:pPr>
              <w:rPr>
                <w:sz w:val="16"/>
                <w:szCs w:val="16"/>
                <w:lang w:val="en-GB"/>
              </w:rPr>
            </w:pPr>
            <w:r w:rsidRPr="00E7337F">
              <w:rPr>
                <w:sz w:val="16"/>
                <w:szCs w:val="16"/>
                <w:lang w:val="en-GB"/>
              </w:rPr>
              <w:t>Limiting spread of invasive mussels by providing boat users with high-temperature cleaning equipment</w:t>
            </w:r>
          </w:p>
          <w:p w14:paraId="73B0DDD1" w14:textId="77777777" w:rsidR="003814A3" w:rsidRPr="00E7337F" w:rsidRDefault="003814A3" w:rsidP="003814A3">
            <w:pPr>
              <w:rPr>
                <w:sz w:val="16"/>
                <w:szCs w:val="16"/>
                <w:lang w:val="en-GB"/>
              </w:rPr>
            </w:pPr>
          </w:p>
          <w:p w14:paraId="633A9BF3" w14:textId="77777777" w:rsidR="003814A3" w:rsidRPr="00E7337F" w:rsidRDefault="003814A3" w:rsidP="003814A3">
            <w:pPr>
              <w:rPr>
                <w:sz w:val="16"/>
                <w:szCs w:val="16"/>
                <w:lang w:val="en-GB"/>
              </w:rPr>
            </w:pPr>
          </w:p>
        </w:tc>
        <w:tc>
          <w:tcPr>
            <w:tcW w:w="1531" w:type="dxa"/>
            <w:hideMark/>
          </w:tcPr>
          <w:p w14:paraId="5A7DB163" w14:textId="77777777" w:rsidR="003814A3" w:rsidRPr="00E7337F" w:rsidRDefault="003814A3" w:rsidP="003814A3">
            <w:pPr>
              <w:rPr>
                <w:sz w:val="16"/>
                <w:szCs w:val="16"/>
                <w:lang w:val="en-GB"/>
              </w:rPr>
            </w:pPr>
          </w:p>
        </w:tc>
        <w:tc>
          <w:tcPr>
            <w:tcW w:w="1531" w:type="dxa"/>
            <w:noWrap/>
            <w:hideMark/>
          </w:tcPr>
          <w:p w14:paraId="230B0353" w14:textId="77777777" w:rsidR="003814A3" w:rsidRPr="00E7337F" w:rsidRDefault="003814A3" w:rsidP="003814A3">
            <w:pPr>
              <w:rPr>
                <w:sz w:val="16"/>
                <w:szCs w:val="16"/>
                <w:lang w:val="en-GB"/>
              </w:rPr>
            </w:pPr>
          </w:p>
        </w:tc>
        <w:tc>
          <w:tcPr>
            <w:tcW w:w="1531" w:type="dxa"/>
            <w:hideMark/>
          </w:tcPr>
          <w:p w14:paraId="788B5141" w14:textId="77777777" w:rsidR="003814A3" w:rsidRPr="00E7337F" w:rsidRDefault="003814A3" w:rsidP="003814A3">
            <w:pPr>
              <w:rPr>
                <w:sz w:val="16"/>
                <w:szCs w:val="16"/>
                <w:lang w:val="en-GB"/>
              </w:rPr>
            </w:pPr>
          </w:p>
        </w:tc>
        <w:tc>
          <w:tcPr>
            <w:tcW w:w="1531" w:type="dxa"/>
            <w:noWrap/>
            <w:hideMark/>
          </w:tcPr>
          <w:p w14:paraId="13B91D1B" w14:textId="77777777" w:rsidR="003814A3" w:rsidRPr="00E7337F" w:rsidRDefault="003814A3" w:rsidP="003814A3">
            <w:pPr>
              <w:rPr>
                <w:sz w:val="16"/>
                <w:szCs w:val="16"/>
                <w:lang w:val="en-GB"/>
              </w:rPr>
            </w:pPr>
          </w:p>
        </w:tc>
        <w:tc>
          <w:tcPr>
            <w:tcW w:w="1531" w:type="dxa"/>
            <w:noWrap/>
            <w:hideMark/>
          </w:tcPr>
          <w:p w14:paraId="3F9E5D44" w14:textId="77777777" w:rsidR="003814A3" w:rsidRPr="00E7337F" w:rsidRDefault="003814A3" w:rsidP="003814A3">
            <w:pPr>
              <w:rPr>
                <w:sz w:val="16"/>
                <w:szCs w:val="16"/>
                <w:lang w:val="en-GB"/>
              </w:rPr>
            </w:pPr>
          </w:p>
        </w:tc>
        <w:tc>
          <w:tcPr>
            <w:tcW w:w="1531" w:type="dxa"/>
            <w:tcBorders>
              <w:right w:val="single" w:sz="4" w:space="0" w:color="auto"/>
            </w:tcBorders>
            <w:noWrap/>
            <w:hideMark/>
          </w:tcPr>
          <w:p w14:paraId="396CC5FB" w14:textId="77777777" w:rsidR="003814A3" w:rsidRPr="00E7337F" w:rsidRDefault="003814A3" w:rsidP="003814A3">
            <w:pPr>
              <w:rPr>
                <w:sz w:val="18"/>
                <w:szCs w:val="18"/>
                <w:lang w:val="en-GB"/>
              </w:rPr>
            </w:pPr>
            <w:r w:rsidRPr="00E7337F">
              <w:rPr>
                <w:sz w:val="18"/>
                <w:szCs w:val="18"/>
                <w:lang w:val="en-GB"/>
              </w:rPr>
              <w:t> </w:t>
            </w:r>
          </w:p>
        </w:tc>
      </w:tr>
      <w:tr w:rsidR="00471B0D" w:rsidRPr="00E7337F" w14:paraId="56B27862" w14:textId="77777777" w:rsidTr="00471B0D">
        <w:trPr>
          <w:trHeight w:val="1820"/>
          <w:jc w:val="center"/>
        </w:trPr>
        <w:tc>
          <w:tcPr>
            <w:tcW w:w="1871" w:type="dxa"/>
            <w:tcBorders>
              <w:left w:val="single" w:sz="4" w:space="0" w:color="auto"/>
              <w:right w:val="single" w:sz="4" w:space="0" w:color="auto"/>
            </w:tcBorders>
            <w:noWrap/>
            <w:hideMark/>
          </w:tcPr>
          <w:p w14:paraId="586065CD" w14:textId="77777777" w:rsidR="003814A3" w:rsidRPr="00E7337F" w:rsidRDefault="003814A3" w:rsidP="003814A3">
            <w:pPr>
              <w:rPr>
                <w:sz w:val="20"/>
                <w:szCs w:val="20"/>
                <w:lang w:val="en-GB"/>
              </w:rPr>
            </w:pPr>
            <w:r w:rsidRPr="00E7337F">
              <w:rPr>
                <w:sz w:val="20"/>
                <w:szCs w:val="20"/>
                <w:lang w:val="en-GB"/>
              </w:rPr>
              <w:t>Physical macroenvironment</w:t>
            </w:r>
          </w:p>
        </w:tc>
        <w:tc>
          <w:tcPr>
            <w:tcW w:w="1531" w:type="dxa"/>
            <w:tcBorders>
              <w:left w:val="single" w:sz="4" w:space="0" w:color="auto"/>
            </w:tcBorders>
            <w:hideMark/>
          </w:tcPr>
          <w:p w14:paraId="052E409E" w14:textId="77777777" w:rsidR="003814A3" w:rsidRPr="00E7337F" w:rsidRDefault="003814A3" w:rsidP="003814A3">
            <w:pPr>
              <w:rPr>
                <w:sz w:val="16"/>
                <w:szCs w:val="16"/>
                <w:lang w:val="en-GB"/>
              </w:rPr>
            </w:pPr>
          </w:p>
        </w:tc>
        <w:tc>
          <w:tcPr>
            <w:tcW w:w="1531" w:type="dxa"/>
            <w:hideMark/>
          </w:tcPr>
          <w:p w14:paraId="5A71AA64" w14:textId="77777777" w:rsidR="003814A3" w:rsidRPr="00E7337F" w:rsidRDefault="003814A3" w:rsidP="003814A3">
            <w:pPr>
              <w:rPr>
                <w:sz w:val="16"/>
                <w:szCs w:val="16"/>
                <w:lang w:val="en-GB"/>
              </w:rPr>
            </w:pPr>
          </w:p>
        </w:tc>
        <w:tc>
          <w:tcPr>
            <w:tcW w:w="1531" w:type="dxa"/>
            <w:shd w:val="clear" w:color="auto" w:fill="E2EFD9"/>
            <w:hideMark/>
          </w:tcPr>
          <w:p w14:paraId="55A2929F" w14:textId="77777777" w:rsidR="003814A3" w:rsidRPr="00E7337F" w:rsidRDefault="003814A3" w:rsidP="003814A3">
            <w:pPr>
              <w:rPr>
                <w:sz w:val="16"/>
                <w:szCs w:val="16"/>
                <w:lang w:val="en-GB"/>
              </w:rPr>
            </w:pPr>
            <w:r w:rsidRPr="00E7337F">
              <w:rPr>
                <w:sz w:val="16"/>
                <w:szCs w:val="16"/>
                <w:lang w:val="en-GB"/>
              </w:rPr>
              <w:t>Reducing kittiwake deaths in offshore windfarms by cutting electricity usage through investment in energy-efficient housing</w:t>
            </w:r>
          </w:p>
          <w:p w14:paraId="58DFC4DD" w14:textId="77777777" w:rsidR="003814A3" w:rsidRPr="00E7337F" w:rsidRDefault="003814A3" w:rsidP="003814A3">
            <w:pPr>
              <w:rPr>
                <w:sz w:val="16"/>
                <w:szCs w:val="16"/>
                <w:lang w:val="en-GB"/>
              </w:rPr>
            </w:pPr>
          </w:p>
          <w:p w14:paraId="1B9029BB" w14:textId="77777777" w:rsidR="003814A3" w:rsidRPr="00E7337F" w:rsidRDefault="003814A3" w:rsidP="003814A3">
            <w:pPr>
              <w:rPr>
                <w:sz w:val="16"/>
                <w:szCs w:val="16"/>
                <w:lang w:val="en-GB"/>
              </w:rPr>
            </w:pPr>
          </w:p>
        </w:tc>
        <w:tc>
          <w:tcPr>
            <w:tcW w:w="1531" w:type="dxa"/>
            <w:hideMark/>
          </w:tcPr>
          <w:p w14:paraId="049D9D70" w14:textId="77777777" w:rsidR="003814A3" w:rsidRPr="00E7337F" w:rsidRDefault="003814A3" w:rsidP="003814A3">
            <w:pPr>
              <w:rPr>
                <w:sz w:val="16"/>
                <w:szCs w:val="16"/>
                <w:lang w:val="en-GB"/>
              </w:rPr>
            </w:pPr>
          </w:p>
        </w:tc>
        <w:tc>
          <w:tcPr>
            <w:tcW w:w="1531" w:type="dxa"/>
            <w:noWrap/>
            <w:hideMark/>
          </w:tcPr>
          <w:p w14:paraId="2DAD9580" w14:textId="77777777" w:rsidR="003814A3" w:rsidRPr="00E7337F" w:rsidRDefault="003814A3" w:rsidP="003814A3">
            <w:pPr>
              <w:rPr>
                <w:sz w:val="16"/>
                <w:szCs w:val="16"/>
                <w:lang w:val="en-GB"/>
              </w:rPr>
            </w:pPr>
          </w:p>
        </w:tc>
        <w:tc>
          <w:tcPr>
            <w:tcW w:w="1531" w:type="dxa"/>
            <w:hideMark/>
          </w:tcPr>
          <w:p w14:paraId="774D11BC" w14:textId="77777777" w:rsidR="003814A3" w:rsidRPr="00E7337F" w:rsidRDefault="003814A3" w:rsidP="003814A3">
            <w:pPr>
              <w:rPr>
                <w:sz w:val="16"/>
                <w:szCs w:val="16"/>
                <w:lang w:val="en-GB"/>
              </w:rPr>
            </w:pPr>
          </w:p>
        </w:tc>
        <w:tc>
          <w:tcPr>
            <w:tcW w:w="1531" w:type="dxa"/>
            <w:noWrap/>
            <w:hideMark/>
          </w:tcPr>
          <w:p w14:paraId="62AE4903" w14:textId="77777777" w:rsidR="003814A3" w:rsidRPr="00E7337F" w:rsidRDefault="003814A3" w:rsidP="003814A3">
            <w:pPr>
              <w:rPr>
                <w:sz w:val="16"/>
                <w:szCs w:val="16"/>
                <w:lang w:val="en-GB"/>
              </w:rPr>
            </w:pPr>
          </w:p>
        </w:tc>
        <w:tc>
          <w:tcPr>
            <w:tcW w:w="1531" w:type="dxa"/>
            <w:noWrap/>
            <w:hideMark/>
          </w:tcPr>
          <w:p w14:paraId="5333F1B3" w14:textId="77777777" w:rsidR="003814A3" w:rsidRPr="00E7337F" w:rsidRDefault="003814A3" w:rsidP="003814A3">
            <w:pPr>
              <w:rPr>
                <w:sz w:val="16"/>
                <w:szCs w:val="16"/>
                <w:lang w:val="en-GB"/>
              </w:rPr>
            </w:pPr>
          </w:p>
        </w:tc>
        <w:tc>
          <w:tcPr>
            <w:tcW w:w="1531" w:type="dxa"/>
            <w:tcBorders>
              <w:right w:val="single" w:sz="4" w:space="0" w:color="auto"/>
            </w:tcBorders>
            <w:noWrap/>
            <w:hideMark/>
          </w:tcPr>
          <w:p w14:paraId="0ACC324D" w14:textId="77777777" w:rsidR="003814A3" w:rsidRPr="00E7337F" w:rsidRDefault="003814A3" w:rsidP="003814A3">
            <w:pPr>
              <w:rPr>
                <w:sz w:val="18"/>
                <w:szCs w:val="18"/>
                <w:lang w:val="en-GB"/>
              </w:rPr>
            </w:pPr>
            <w:r w:rsidRPr="00E7337F">
              <w:rPr>
                <w:sz w:val="18"/>
                <w:szCs w:val="18"/>
                <w:lang w:val="en-GB"/>
              </w:rPr>
              <w:t> </w:t>
            </w:r>
          </w:p>
        </w:tc>
      </w:tr>
      <w:tr w:rsidR="00471B0D" w:rsidRPr="00E7337F" w14:paraId="53BF7A59" w14:textId="77777777" w:rsidTr="00471B0D">
        <w:trPr>
          <w:trHeight w:val="1800"/>
          <w:jc w:val="center"/>
        </w:trPr>
        <w:tc>
          <w:tcPr>
            <w:tcW w:w="1871" w:type="dxa"/>
            <w:tcBorders>
              <w:left w:val="single" w:sz="4" w:space="0" w:color="auto"/>
              <w:right w:val="single" w:sz="4" w:space="0" w:color="auto"/>
            </w:tcBorders>
            <w:noWrap/>
            <w:hideMark/>
          </w:tcPr>
          <w:p w14:paraId="17C11B39" w14:textId="77777777" w:rsidR="003814A3" w:rsidRPr="00E7337F" w:rsidRDefault="003814A3" w:rsidP="003814A3">
            <w:pPr>
              <w:rPr>
                <w:sz w:val="20"/>
                <w:szCs w:val="20"/>
                <w:lang w:val="en-GB"/>
              </w:rPr>
            </w:pPr>
            <w:r w:rsidRPr="00E7337F">
              <w:rPr>
                <w:sz w:val="20"/>
                <w:szCs w:val="20"/>
                <w:lang w:val="en-GB"/>
              </w:rPr>
              <w:t>Economic environment</w:t>
            </w:r>
          </w:p>
        </w:tc>
        <w:tc>
          <w:tcPr>
            <w:tcW w:w="1531" w:type="dxa"/>
            <w:tcBorders>
              <w:left w:val="single" w:sz="4" w:space="0" w:color="auto"/>
            </w:tcBorders>
            <w:shd w:val="clear" w:color="auto" w:fill="A8D08D"/>
            <w:hideMark/>
          </w:tcPr>
          <w:p w14:paraId="663E2874" w14:textId="77777777" w:rsidR="003814A3" w:rsidRPr="00E7337F" w:rsidRDefault="003814A3" w:rsidP="003814A3">
            <w:pPr>
              <w:rPr>
                <w:sz w:val="16"/>
                <w:szCs w:val="16"/>
                <w:lang w:val="en-GB"/>
              </w:rPr>
            </w:pPr>
            <w:r w:rsidRPr="00E7337F">
              <w:rPr>
                <w:sz w:val="16"/>
                <w:szCs w:val="16"/>
                <w:lang w:val="en-GB"/>
              </w:rPr>
              <w:t>Increasing milkweed availability for monarchs through business innovation competition for milkweed products</w:t>
            </w:r>
          </w:p>
        </w:tc>
        <w:tc>
          <w:tcPr>
            <w:tcW w:w="1531" w:type="dxa"/>
            <w:hideMark/>
          </w:tcPr>
          <w:p w14:paraId="79A2E6AB" w14:textId="77777777" w:rsidR="003814A3" w:rsidRPr="00E7337F" w:rsidRDefault="003814A3" w:rsidP="003814A3">
            <w:pPr>
              <w:rPr>
                <w:sz w:val="16"/>
                <w:szCs w:val="16"/>
                <w:lang w:val="en-GB"/>
              </w:rPr>
            </w:pPr>
          </w:p>
        </w:tc>
        <w:tc>
          <w:tcPr>
            <w:tcW w:w="1531" w:type="dxa"/>
            <w:shd w:val="clear" w:color="auto" w:fill="E2EFD9"/>
            <w:hideMark/>
          </w:tcPr>
          <w:p w14:paraId="797829F9" w14:textId="77777777" w:rsidR="003814A3" w:rsidRPr="00E7337F" w:rsidRDefault="003814A3" w:rsidP="003814A3">
            <w:pPr>
              <w:rPr>
                <w:sz w:val="16"/>
                <w:szCs w:val="16"/>
                <w:lang w:val="en-GB"/>
              </w:rPr>
            </w:pPr>
            <w:r w:rsidRPr="00E7337F">
              <w:rPr>
                <w:sz w:val="16"/>
                <w:szCs w:val="16"/>
                <w:lang w:val="en-GB"/>
              </w:rPr>
              <w:t>Reducing litter ingestion by godwits by taxing non-degradable packaging</w:t>
            </w:r>
          </w:p>
        </w:tc>
        <w:tc>
          <w:tcPr>
            <w:tcW w:w="1531" w:type="dxa"/>
            <w:shd w:val="clear" w:color="auto" w:fill="E2EFD9"/>
            <w:hideMark/>
          </w:tcPr>
          <w:p w14:paraId="11EF3F67" w14:textId="77777777" w:rsidR="003814A3" w:rsidRPr="00E7337F" w:rsidRDefault="003814A3" w:rsidP="003814A3">
            <w:pPr>
              <w:rPr>
                <w:sz w:val="16"/>
                <w:szCs w:val="16"/>
                <w:lang w:val="en-GB"/>
              </w:rPr>
            </w:pPr>
            <w:r w:rsidRPr="00E7337F">
              <w:rPr>
                <w:sz w:val="16"/>
                <w:szCs w:val="16"/>
                <w:lang w:val="en-GB"/>
              </w:rPr>
              <w:t>Reducing vulture ingestion of diclofenac by removing patent on alternative, so local companies are incentivised to manufacture it</w:t>
            </w:r>
          </w:p>
          <w:p w14:paraId="22601555" w14:textId="77777777" w:rsidR="003814A3" w:rsidRPr="00E7337F" w:rsidRDefault="003814A3" w:rsidP="003814A3">
            <w:pPr>
              <w:rPr>
                <w:sz w:val="16"/>
                <w:szCs w:val="16"/>
                <w:lang w:val="en-GB"/>
              </w:rPr>
            </w:pPr>
          </w:p>
          <w:p w14:paraId="5B1F1939" w14:textId="77777777" w:rsidR="003814A3" w:rsidRPr="00E7337F" w:rsidRDefault="003814A3" w:rsidP="003814A3">
            <w:pPr>
              <w:rPr>
                <w:sz w:val="16"/>
                <w:szCs w:val="16"/>
                <w:lang w:val="en-GB"/>
              </w:rPr>
            </w:pPr>
          </w:p>
        </w:tc>
        <w:tc>
          <w:tcPr>
            <w:tcW w:w="1531" w:type="dxa"/>
            <w:noWrap/>
            <w:hideMark/>
          </w:tcPr>
          <w:p w14:paraId="53177426" w14:textId="77777777" w:rsidR="003814A3" w:rsidRPr="00E7337F" w:rsidRDefault="003814A3" w:rsidP="003814A3">
            <w:pPr>
              <w:rPr>
                <w:sz w:val="16"/>
                <w:szCs w:val="16"/>
                <w:lang w:val="en-GB"/>
              </w:rPr>
            </w:pPr>
          </w:p>
        </w:tc>
        <w:tc>
          <w:tcPr>
            <w:tcW w:w="1531" w:type="dxa"/>
            <w:hideMark/>
          </w:tcPr>
          <w:p w14:paraId="45CFCAD8" w14:textId="77777777" w:rsidR="003814A3" w:rsidRPr="00E7337F" w:rsidRDefault="003814A3" w:rsidP="003814A3">
            <w:pPr>
              <w:rPr>
                <w:sz w:val="16"/>
                <w:szCs w:val="16"/>
                <w:lang w:val="en-GB"/>
              </w:rPr>
            </w:pPr>
            <w:r w:rsidRPr="00E7337F">
              <w:rPr>
                <w:sz w:val="16"/>
                <w:szCs w:val="16"/>
                <w:lang w:val="en-GB"/>
              </w:rPr>
              <w:t> </w:t>
            </w:r>
          </w:p>
        </w:tc>
        <w:tc>
          <w:tcPr>
            <w:tcW w:w="1531" w:type="dxa"/>
            <w:noWrap/>
            <w:hideMark/>
          </w:tcPr>
          <w:p w14:paraId="4FA58FAB" w14:textId="77777777" w:rsidR="003814A3" w:rsidRPr="00E7337F" w:rsidRDefault="003814A3" w:rsidP="003814A3">
            <w:pPr>
              <w:rPr>
                <w:sz w:val="16"/>
                <w:szCs w:val="16"/>
                <w:lang w:val="en-GB"/>
              </w:rPr>
            </w:pPr>
          </w:p>
        </w:tc>
        <w:tc>
          <w:tcPr>
            <w:tcW w:w="1531" w:type="dxa"/>
            <w:noWrap/>
            <w:hideMark/>
          </w:tcPr>
          <w:p w14:paraId="1D856CBD" w14:textId="77777777" w:rsidR="003814A3" w:rsidRPr="00E7337F" w:rsidRDefault="003814A3" w:rsidP="003814A3">
            <w:pPr>
              <w:rPr>
                <w:sz w:val="16"/>
                <w:szCs w:val="16"/>
                <w:lang w:val="en-GB"/>
              </w:rPr>
            </w:pPr>
          </w:p>
        </w:tc>
        <w:tc>
          <w:tcPr>
            <w:tcW w:w="1531" w:type="dxa"/>
            <w:tcBorders>
              <w:right w:val="single" w:sz="4" w:space="0" w:color="auto"/>
            </w:tcBorders>
            <w:noWrap/>
            <w:hideMark/>
          </w:tcPr>
          <w:p w14:paraId="22A94B6E" w14:textId="77777777" w:rsidR="003814A3" w:rsidRPr="00E7337F" w:rsidRDefault="003814A3" w:rsidP="003814A3">
            <w:pPr>
              <w:rPr>
                <w:sz w:val="18"/>
                <w:szCs w:val="18"/>
                <w:lang w:val="en-GB"/>
              </w:rPr>
            </w:pPr>
            <w:r w:rsidRPr="00E7337F">
              <w:rPr>
                <w:sz w:val="18"/>
                <w:szCs w:val="18"/>
                <w:lang w:val="en-GB"/>
              </w:rPr>
              <w:t> </w:t>
            </w:r>
          </w:p>
        </w:tc>
      </w:tr>
      <w:tr w:rsidR="00471B0D" w:rsidRPr="00E7337F" w14:paraId="282C8C6E" w14:textId="77777777" w:rsidTr="004E0E75">
        <w:trPr>
          <w:trHeight w:val="568"/>
          <w:jc w:val="center"/>
        </w:trPr>
        <w:tc>
          <w:tcPr>
            <w:tcW w:w="1871" w:type="dxa"/>
            <w:tcBorders>
              <w:left w:val="single" w:sz="4" w:space="0" w:color="auto"/>
              <w:bottom w:val="single" w:sz="4" w:space="0" w:color="auto"/>
              <w:right w:val="single" w:sz="4" w:space="0" w:color="auto"/>
            </w:tcBorders>
            <w:noWrap/>
            <w:hideMark/>
          </w:tcPr>
          <w:p w14:paraId="73C59BCB" w14:textId="77777777" w:rsidR="003814A3" w:rsidRPr="00E7337F" w:rsidRDefault="003814A3" w:rsidP="003814A3">
            <w:pPr>
              <w:rPr>
                <w:sz w:val="20"/>
                <w:szCs w:val="20"/>
                <w:lang w:val="en-GB"/>
              </w:rPr>
            </w:pPr>
            <w:r w:rsidRPr="00E7337F">
              <w:rPr>
                <w:sz w:val="20"/>
                <w:szCs w:val="20"/>
                <w:lang w:val="en-GB"/>
              </w:rPr>
              <w:t>Institutional environment</w:t>
            </w:r>
          </w:p>
        </w:tc>
        <w:tc>
          <w:tcPr>
            <w:tcW w:w="1531" w:type="dxa"/>
            <w:tcBorders>
              <w:left w:val="single" w:sz="4" w:space="0" w:color="auto"/>
              <w:bottom w:val="single" w:sz="4" w:space="0" w:color="auto"/>
            </w:tcBorders>
            <w:shd w:val="clear" w:color="auto" w:fill="A8D08D"/>
            <w:hideMark/>
          </w:tcPr>
          <w:p w14:paraId="7EF6B76C" w14:textId="77777777" w:rsidR="003814A3" w:rsidRPr="00E7337F" w:rsidRDefault="003814A3" w:rsidP="003814A3">
            <w:pPr>
              <w:rPr>
                <w:sz w:val="16"/>
                <w:szCs w:val="16"/>
                <w:lang w:val="en-GB"/>
              </w:rPr>
            </w:pPr>
            <w:r w:rsidRPr="00E7337F">
              <w:rPr>
                <w:sz w:val="16"/>
                <w:szCs w:val="16"/>
                <w:lang w:val="en-GB"/>
              </w:rPr>
              <w:t>Reducing litter ingestion by godwits by regulating against at-sea disposal of plastics</w:t>
            </w:r>
          </w:p>
          <w:p w14:paraId="59E7B407" w14:textId="77777777" w:rsidR="003814A3" w:rsidRPr="00E7337F" w:rsidRDefault="003814A3" w:rsidP="003814A3">
            <w:pPr>
              <w:rPr>
                <w:sz w:val="16"/>
                <w:szCs w:val="16"/>
                <w:lang w:val="en-GB"/>
              </w:rPr>
            </w:pPr>
            <w:r w:rsidRPr="00E7337F">
              <w:rPr>
                <w:sz w:val="16"/>
                <w:szCs w:val="16"/>
                <w:lang w:val="en-GB"/>
              </w:rPr>
              <w:t xml:space="preserve"> </w:t>
            </w:r>
          </w:p>
          <w:p w14:paraId="28F24BE2" w14:textId="77777777" w:rsidR="003814A3" w:rsidRPr="00E7337F" w:rsidRDefault="003814A3" w:rsidP="003814A3">
            <w:pPr>
              <w:rPr>
                <w:sz w:val="16"/>
                <w:szCs w:val="16"/>
                <w:lang w:val="en-GB"/>
              </w:rPr>
            </w:pPr>
            <w:r w:rsidRPr="00E7337F">
              <w:rPr>
                <w:sz w:val="16"/>
                <w:szCs w:val="16"/>
                <w:lang w:val="en-GB"/>
              </w:rPr>
              <w:t>Increasing kittiwake chick survival by reducing quotas for sand-eel fishing</w:t>
            </w:r>
          </w:p>
          <w:p w14:paraId="7255E0AF" w14:textId="77777777" w:rsidR="003814A3" w:rsidRPr="00E7337F" w:rsidRDefault="003814A3" w:rsidP="003814A3">
            <w:pPr>
              <w:rPr>
                <w:sz w:val="16"/>
                <w:szCs w:val="16"/>
                <w:lang w:val="en-GB"/>
              </w:rPr>
            </w:pPr>
          </w:p>
          <w:p w14:paraId="639993A1" w14:textId="77777777" w:rsidR="003814A3" w:rsidRPr="00E7337F" w:rsidRDefault="003814A3" w:rsidP="003814A3">
            <w:pPr>
              <w:rPr>
                <w:sz w:val="16"/>
                <w:szCs w:val="16"/>
                <w:lang w:val="en-GB"/>
              </w:rPr>
            </w:pPr>
          </w:p>
        </w:tc>
        <w:tc>
          <w:tcPr>
            <w:tcW w:w="1531" w:type="dxa"/>
            <w:tcBorders>
              <w:bottom w:val="single" w:sz="4" w:space="0" w:color="auto"/>
            </w:tcBorders>
            <w:hideMark/>
          </w:tcPr>
          <w:p w14:paraId="15C183A6" w14:textId="77777777" w:rsidR="003814A3" w:rsidRPr="00E7337F" w:rsidRDefault="003814A3" w:rsidP="003814A3">
            <w:pPr>
              <w:rPr>
                <w:sz w:val="16"/>
                <w:szCs w:val="16"/>
                <w:lang w:val="en-GB"/>
              </w:rPr>
            </w:pPr>
          </w:p>
        </w:tc>
        <w:tc>
          <w:tcPr>
            <w:tcW w:w="1531" w:type="dxa"/>
            <w:tcBorders>
              <w:bottom w:val="single" w:sz="4" w:space="0" w:color="auto"/>
            </w:tcBorders>
            <w:shd w:val="clear" w:color="auto" w:fill="E2EFD9"/>
            <w:hideMark/>
          </w:tcPr>
          <w:p w14:paraId="3BE429F5" w14:textId="77777777" w:rsidR="003814A3" w:rsidRPr="00E7337F" w:rsidRDefault="003814A3" w:rsidP="003814A3">
            <w:pPr>
              <w:rPr>
                <w:sz w:val="16"/>
                <w:szCs w:val="16"/>
                <w:lang w:val="en-GB"/>
              </w:rPr>
            </w:pPr>
            <w:r w:rsidRPr="00E7337F">
              <w:rPr>
                <w:sz w:val="16"/>
                <w:szCs w:val="16"/>
                <w:lang w:val="en-GB"/>
              </w:rPr>
              <w:t>*Mitigating climate change through restrictions on office lighting</w:t>
            </w:r>
          </w:p>
        </w:tc>
        <w:tc>
          <w:tcPr>
            <w:tcW w:w="1531" w:type="dxa"/>
            <w:tcBorders>
              <w:bottom w:val="single" w:sz="4" w:space="0" w:color="auto"/>
            </w:tcBorders>
            <w:shd w:val="clear" w:color="auto" w:fill="E2EFD9"/>
            <w:hideMark/>
          </w:tcPr>
          <w:p w14:paraId="3B2A6DC0" w14:textId="77777777" w:rsidR="003814A3" w:rsidRPr="00E7337F" w:rsidRDefault="003814A3" w:rsidP="003814A3">
            <w:pPr>
              <w:rPr>
                <w:sz w:val="16"/>
                <w:szCs w:val="16"/>
                <w:lang w:val="en-GB"/>
              </w:rPr>
            </w:pPr>
            <w:r w:rsidRPr="00E7337F">
              <w:rPr>
                <w:sz w:val="16"/>
                <w:szCs w:val="16"/>
                <w:lang w:val="en-GB"/>
              </w:rPr>
              <w:t>Reducing international spread of invasive bivalves by mandating at-sea ballast water exchange by cargo vessels</w:t>
            </w:r>
          </w:p>
        </w:tc>
        <w:tc>
          <w:tcPr>
            <w:tcW w:w="1531" w:type="dxa"/>
            <w:tcBorders>
              <w:bottom w:val="single" w:sz="4" w:space="0" w:color="auto"/>
            </w:tcBorders>
            <w:shd w:val="clear" w:color="auto" w:fill="E2EFD9"/>
            <w:hideMark/>
          </w:tcPr>
          <w:p w14:paraId="65C13F1B" w14:textId="77777777" w:rsidR="003814A3" w:rsidRPr="00E7337F" w:rsidRDefault="003814A3" w:rsidP="003814A3">
            <w:pPr>
              <w:rPr>
                <w:sz w:val="16"/>
                <w:szCs w:val="16"/>
                <w:lang w:val="en-GB"/>
              </w:rPr>
            </w:pPr>
            <w:r w:rsidRPr="00E7337F">
              <w:rPr>
                <w:sz w:val="16"/>
                <w:szCs w:val="16"/>
                <w:lang w:val="en-GB"/>
              </w:rPr>
              <w:t>Reducing Amazon deforestation through regulation restricting the provision of credit to low-deforestation municipalities</w:t>
            </w:r>
          </w:p>
        </w:tc>
        <w:tc>
          <w:tcPr>
            <w:tcW w:w="1531" w:type="dxa"/>
            <w:tcBorders>
              <w:bottom w:val="single" w:sz="4" w:space="0" w:color="auto"/>
            </w:tcBorders>
            <w:shd w:val="clear" w:color="auto" w:fill="E2EFD9"/>
            <w:hideMark/>
          </w:tcPr>
          <w:p w14:paraId="419EDF47" w14:textId="77777777" w:rsidR="003814A3" w:rsidRPr="00E7337F" w:rsidRDefault="003814A3" w:rsidP="003814A3">
            <w:pPr>
              <w:rPr>
                <w:sz w:val="16"/>
                <w:szCs w:val="16"/>
                <w:lang w:val="en-GB"/>
              </w:rPr>
            </w:pPr>
            <w:r w:rsidRPr="00E7337F">
              <w:rPr>
                <w:sz w:val="16"/>
                <w:szCs w:val="16"/>
                <w:lang w:val="en-GB"/>
              </w:rPr>
              <w:t xml:space="preserve">Mitigating climate change by reducing incentives to policymakers to oppose action by banning large campaign donations </w:t>
            </w:r>
          </w:p>
          <w:p w14:paraId="06E872ED" w14:textId="77777777" w:rsidR="003814A3" w:rsidRPr="00E7337F" w:rsidRDefault="003814A3" w:rsidP="003814A3">
            <w:pPr>
              <w:rPr>
                <w:sz w:val="16"/>
                <w:szCs w:val="16"/>
                <w:lang w:val="en-GB"/>
              </w:rPr>
            </w:pPr>
          </w:p>
        </w:tc>
        <w:tc>
          <w:tcPr>
            <w:tcW w:w="1531" w:type="dxa"/>
            <w:tcBorders>
              <w:bottom w:val="single" w:sz="4" w:space="0" w:color="auto"/>
            </w:tcBorders>
            <w:hideMark/>
          </w:tcPr>
          <w:p w14:paraId="1E8D9031" w14:textId="77777777" w:rsidR="003814A3" w:rsidRPr="00E7337F" w:rsidRDefault="003814A3" w:rsidP="003814A3">
            <w:pPr>
              <w:rPr>
                <w:sz w:val="16"/>
                <w:szCs w:val="16"/>
                <w:lang w:val="en-GB"/>
              </w:rPr>
            </w:pPr>
          </w:p>
        </w:tc>
        <w:tc>
          <w:tcPr>
            <w:tcW w:w="1531" w:type="dxa"/>
            <w:tcBorders>
              <w:bottom w:val="single" w:sz="4" w:space="0" w:color="auto"/>
            </w:tcBorders>
            <w:hideMark/>
          </w:tcPr>
          <w:p w14:paraId="37E17414" w14:textId="77777777" w:rsidR="003814A3" w:rsidRPr="00E7337F" w:rsidRDefault="003814A3" w:rsidP="003814A3">
            <w:pPr>
              <w:rPr>
                <w:sz w:val="16"/>
                <w:szCs w:val="16"/>
                <w:lang w:val="en-GB"/>
              </w:rPr>
            </w:pPr>
          </w:p>
        </w:tc>
        <w:tc>
          <w:tcPr>
            <w:tcW w:w="1531" w:type="dxa"/>
            <w:tcBorders>
              <w:bottom w:val="single" w:sz="4" w:space="0" w:color="auto"/>
              <w:right w:val="single" w:sz="4" w:space="0" w:color="auto"/>
            </w:tcBorders>
            <w:hideMark/>
          </w:tcPr>
          <w:p w14:paraId="5F2EF9A8" w14:textId="77777777" w:rsidR="003814A3" w:rsidRPr="00E7337F" w:rsidRDefault="003814A3" w:rsidP="003814A3">
            <w:pPr>
              <w:rPr>
                <w:sz w:val="18"/>
                <w:szCs w:val="18"/>
                <w:lang w:val="en-GB"/>
              </w:rPr>
            </w:pPr>
            <w:r w:rsidRPr="00E7337F">
              <w:rPr>
                <w:sz w:val="18"/>
                <w:szCs w:val="18"/>
                <w:lang w:val="en-GB"/>
              </w:rPr>
              <w:t> </w:t>
            </w:r>
          </w:p>
        </w:tc>
      </w:tr>
    </w:tbl>
    <w:p w14:paraId="5D80769E" w14:textId="77777777" w:rsidR="00450CA8" w:rsidRPr="00E7337F" w:rsidRDefault="00450CA8" w:rsidP="004E4438"/>
    <w:sectPr w:rsidR="00450CA8" w:rsidRPr="00E7337F" w:rsidSect="00825FF3">
      <w:pgSz w:w="16838" w:h="11906" w:orient="landscape"/>
      <w:pgMar w:top="1298" w:right="1440" w:bottom="811" w:left="1440"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7BB093" w14:textId="77777777" w:rsidR="002016C0" w:rsidRDefault="002016C0">
      <w:pPr>
        <w:spacing w:after="0" w:line="240" w:lineRule="auto"/>
      </w:pPr>
      <w:r>
        <w:separator/>
      </w:r>
    </w:p>
  </w:endnote>
  <w:endnote w:type="continuationSeparator" w:id="0">
    <w:p w14:paraId="0B5CF05E" w14:textId="77777777" w:rsidR="002016C0" w:rsidRDefault="002016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Georgia">
    <w:altName w:val="﷽﷽﷽﷽﷽﷽﷽﷽"/>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44388D" w14:textId="77777777" w:rsidR="00B81BF4" w:rsidRDefault="00B81BF4">
    <w:pPr>
      <w:pBdr>
        <w:top w:val="nil"/>
        <w:left w:val="nil"/>
        <w:bottom w:val="nil"/>
        <w:right w:val="nil"/>
        <w:between w:val="nil"/>
      </w:pBdr>
      <w:tabs>
        <w:tab w:val="center" w:pos="4819"/>
        <w:tab w:val="right" w:pos="9638"/>
      </w:tabs>
      <w:spacing w:after="0" w:line="240" w:lineRule="auto"/>
      <w:jc w:val="right"/>
      <w:rPr>
        <w:color w:val="000000"/>
      </w:rPr>
    </w:pPr>
    <w:r>
      <w:rPr>
        <w:color w:val="000000"/>
      </w:rPr>
      <w:fldChar w:fldCharType="begin"/>
    </w:r>
    <w:r>
      <w:rPr>
        <w:color w:val="000000"/>
      </w:rPr>
      <w:instrText>PAGE</w:instrText>
    </w:r>
    <w:r>
      <w:rPr>
        <w:color w:val="000000"/>
      </w:rPr>
      <w:fldChar w:fldCharType="end"/>
    </w:r>
  </w:p>
  <w:p w14:paraId="533A286D" w14:textId="77777777" w:rsidR="00B81BF4" w:rsidRDefault="00B81BF4">
    <w:pPr>
      <w:pBdr>
        <w:top w:val="nil"/>
        <w:left w:val="nil"/>
        <w:bottom w:val="nil"/>
        <w:right w:val="nil"/>
        <w:between w:val="nil"/>
      </w:pBdr>
      <w:tabs>
        <w:tab w:val="center" w:pos="4819"/>
        <w:tab w:val="right" w:pos="9638"/>
      </w:tabs>
      <w:spacing w:after="0" w:line="240" w:lineRule="auto"/>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6138A6" w14:textId="77939AF6" w:rsidR="00B81BF4" w:rsidRPr="00CB6397" w:rsidRDefault="00B81BF4">
    <w:pPr>
      <w:pBdr>
        <w:top w:val="nil"/>
        <w:left w:val="nil"/>
        <w:bottom w:val="nil"/>
        <w:right w:val="nil"/>
        <w:between w:val="nil"/>
      </w:pBdr>
      <w:tabs>
        <w:tab w:val="center" w:pos="4819"/>
        <w:tab w:val="right" w:pos="9638"/>
      </w:tabs>
      <w:spacing w:after="0" w:line="240" w:lineRule="auto"/>
      <w:jc w:val="right"/>
      <w:rPr>
        <w:color w:val="000000"/>
      </w:rPr>
    </w:pPr>
    <w:r w:rsidRPr="00CB6397">
      <w:rPr>
        <w:color w:val="000000"/>
      </w:rPr>
      <w:fldChar w:fldCharType="begin"/>
    </w:r>
    <w:r w:rsidRPr="00CB6397">
      <w:rPr>
        <w:color w:val="000000"/>
      </w:rPr>
      <w:instrText>PAGE</w:instrText>
    </w:r>
    <w:r w:rsidRPr="00CB6397">
      <w:rPr>
        <w:color w:val="000000"/>
      </w:rPr>
      <w:fldChar w:fldCharType="separate"/>
    </w:r>
    <w:r w:rsidR="00CD401B">
      <w:rPr>
        <w:noProof/>
        <w:color w:val="000000"/>
      </w:rPr>
      <w:t>36</w:t>
    </w:r>
    <w:r w:rsidRPr="00CB6397">
      <w:rPr>
        <w:color w:val="000000"/>
      </w:rPr>
      <w:fldChar w:fldCharType="end"/>
    </w:r>
  </w:p>
  <w:p w14:paraId="68C71789" w14:textId="77777777" w:rsidR="00B81BF4" w:rsidRPr="0039056E" w:rsidRDefault="00B81BF4">
    <w:pPr>
      <w:pBdr>
        <w:top w:val="nil"/>
        <w:left w:val="nil"/>
        <w:bottom w:val="nil"/>
        <w:right w:val="nil"/>
        <w:between w:val="nil"/>
      </w:pBdr>
      <w:tabs>
        <w:tab w:val="center" w:pos="4819"/>
        <w:tab w:val="right" w:pos="9638"/>
      </w:tabs>
      <w:spacing w:after="0" w:line="240" w:lineRule="auto"/>
      <w:ind w:right="360"/>
      <w:rPr>
        <w:rFonts w:ascii="Calibri Light" w:hAnsi="Calibri Light" w:cs="Calibri Light"/>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7608D29" w14:textId="77777777" w:rsidR="002016C0" w:rsidRDefault="002016C0">
      <w:pPr>
        <w:spacing w:after="0" w:line="240" w:lineRule="auto"/>
      </w:pPr>
      <w:r>
        <w:separator/>
      </w:r>
    </w:p>
  </w:footnote>
  <w:footnote w:type="continuationSeparator" w:id="0">
    <w:p w14:paraId="0507A2E0" w14:textId="77777777" w:rsidR="002016C0" w:rsidRDefault="002016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27B0F3C"/>
    <w:multiLevelType w:val="hybridMultilevel"/>
    <w:tmpl w:val="79E82A18"/>
    <w:lvl w:ilvl="0" w:tplc="BEF441EC">
      <w:start w:val="1"/>
      <w:numFmt w:val="bullet"/>
      <w:lvlText w:val="-"/>
      <w:lvlJc w:val="left"/>
      <w:pPr>
        <w:ind w:left="720" w:hanging="360"/>
      </w:pPr>
      <w:rPr>
        <w:rFonts w:ascii="Times New Roman" w:eastAsia="Calibri" w:hAnsi="Times New Roman" w:cs="Times New Roman"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51C37E90"/>
    <w:multiLevelType w:val="hybridMultilevel"/>
    <w:tmpl w:val="B82AD9F6"/>
    <w:lvl w:ilvl="0" w:tplc="A8AEC2B2">
      <w:start w:val="4"/>
      <w:numFmt w:val="bullet"/>
      <w:lvlText w:val="-"/>
      <w:lvlJc w:val="left"/>
      <w:pPr>
        <w:ind w:left="720" w:hanging="360"/>
      </w:pPr>
      <w:rPr>
        <w:rFonts w:ascii="Calibri Light" w:eastAsia="Calibri" w:hAnsi="Calibri Light" w:cs="Calibri Light" w:hint="default"/>
        <w:sz w:val="22"/>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0CA8"/>
    <w:rsid w:val="0000002D"/>
    <w:rsid w:val="000008FB"/>
    <w:rsid w:val="000032D1"/>
    <w:rsid w:val="00011AB2"/>
    <w:rsid w:val="0002179A"/>
    <w:rsid w:val="00031B4A"/>
    <w:rsid w:val="0003347A"/>
    <w:rsid w:val="00035865"/>
    <w:rsid w:val="00043926"/>
    <w:rsid w:val="000452C9"/>
    <w:rsid w:val="00046F98"/>
    <w:rsid w:val="000602B8"/>
    <w:rsid w:val="00062DEC"/>
    <w:rsid w:val="00071F56"/>
    <w:rsid w:val="00072477"/>
    <w:rsid w:val="00072CF5"/>
    <w:rsid w:val="000761AA"/>
    <w:rsid w:val="00085CDE"/>
    <w:rsid w:val="00086A0F"/>
    <w:rsid w:val="000936A8"/>
    <w:rsid w:val="00093B93"/>
    <w:rsid w:val="000A1355"/>
    <w:rsid w:val="000A16F8"/>
    <w:rsid w:val="000A4F3D"/>
    <w:rsid w:val="000A59F4"/>
    <w:rsid w:val="000B09BD"/>
    <w:rsid w:val="000B1B18"/>
    <w:rsid w:val="000B550E"/>
    <w:rsid w:val="000B5B04"/>
    <w:rsid w:val="000C365A"/>
    <w:rsid w:val="000C3B6C"/>
    <w:rsid w:val="000D02EA"/>
    <w:rsid w:val="000D0D47"/>
    <w:rsid w:val="000D10AE"/>
    <w:rsid w:val="000D2EFF"/>
    <w:rsid w:val="000D405C"/>
    <w:rsid w:val="000D76CB"/>
    <w:rsid w:val="000E4BF2"/>
    <w:rsid w:val="000F04C7"/>
    <w:rsid w:val="000F1DC6"/>
    <w:rsid w:val="000F2807"/>
    <w:rsid w:val="000F3370"/>
    <w:rsid w:val="000F6A72"/>
    <w:rsid w:val="00100335"/>
    <w:rsid w:val="001175DC"/>
    <w:rsid w:val="00121905"/>
    <w:rsid w:val="0012632B"/>
    <w:rsid w:val="00126A8C"/>
    <w:rsid w:val="00127725"/>
    <w:rsid w:val="0013407E"/>
    <w:rsid w:val="00134D92"/>
    <w:rsid w:val="00137EFA"/>
    <w:rsid w:val="0014308B"/>
    <w:rsid w:val="00153D16"/>
    <w:rsid w:val="00155A00"/>
    <w:rsid w:val="001654B6"/>
    <w:rsid w:val="00165E07"/>
    <w:rsid w:val="0016693C"/>
    <w:rsid w:val="001716EE"/>
    <w:rsid w:val="00173361"/>
    <w:rsid w:val="001756B0"/>
    <w:rsid w:val="00180D0F"/>
    <w:rsid w:val="00181CE7"/>
    <w:rsid w:val="001846FB"/>
    <w:rsid w:val="00193728"/>
    <w:rsid w:val="00194CD7"/>
    <w:rsid w:val="001960B9"/>
    <w:rsid w:val="001A3F07"/>
    <w:rsid w:val="001A5B90"/>
    <w:rsid w:val="001B4A01"/>
    <w:rsid w:val="001B71A9"/>
    <w:rsid w:val="001C47BA"/>
    <w:rsid w:val="001C787E"/>
    <w:rsid w:val="001D5C1A"/>
    <w:rsid w:val="001D7CA6"/>
    <w:rsid w:val="001E0F42"/>
    <w:rsid w:val="001E19F5"/>
    <w:rsid w:val="001E3483"/>
    <w:rsid w:val="001E4B6D"/>
    <w:rsid w:val="001E57A0"/>
    <w:rsid w:val="001E65D9"/>
    <w:rsid w:val="001F0D4B"/>
    <w:rsid w:val="001F1E66"/>
    <w:rsid w:val="001F265F"/>
    <w:rsid w:val="001F364D"/>
    <w:rsid w:val="001F5F58"/>
    <w:rsid w:val="002016C0"/>
    <w:rsid w:val="002028EF"/>
    <w:rsid w:val="00204BF0"/>
    <w:rsid w:val="00206981"/>
    <w:rsid w:val="0021024F"/>
    <w:rsid w:val="00217143"/>
    <w:rsid w:val="00226F1B"/>
    <w:rsid w:val="0023044B"/>
    <w:rsid w:val="0023164E"/>
    <w:rsid w:val="0023208F"/>
    <w:rsid w:val="00243E33"/>
    <w:rsid w:val="002459EC"/>
    <w:rsid w:val="002506A7"/>
    <w:rsid w:val="002522C3"/>
    <w:rsid w:val="00257AE1"/>
    <w:rsid w:val="002640BB"/>
    <w:rsid w:val="002678F2"/>
    <w:rsid w:val="002705C8"/>
    <w:rsid w:val="00272202"/>
    <w:rsid w:val="002750EB"/>
    <w:rsid w:val="002811C9"/>
    <w:rsid w:val="002830E8"/>
    <w:rsid w:val="00286072"/>
    <w:rsid w:val="00286920"/>
    <w:rsid w:val="00286DDB"/>
    <w:rsid w:val="00290BD8"/>
    <w:rsid w:val="00294226"/>
    <w:rsid w:val="002A00BD"/>
    <w:rsid w:val="002A39E8"/>
    <w:rsid w:val="002A3A1C"/>
    <w:rsid w:val="002A4BD6"/>
    <w:rsid w:val="002A707E"/>
    <w:rsid w:val="002A71C2"/>
    <w:rsid w:val="002B4976"/>
    <w:rsid w:val="002B7753"/>
    <w:rsid w:val="002D31FA"/>
    <w:rsid w:val="002E12BB"/>
    <w:rsid w:val="002E5204"/>
    <w:rsid w:val="002F2002"/>
    <w:rsid w:val="002F515E"/>
    <w:rsid w:val="00302575"/>
    <w:rsid w:val="00302B64"/>
    <w:rsid w:val="00304073"/>
    <w:rsid w:val="00305C09"/>
    <w:rsid w:val="00306112"/>
    <w:rsid w:val="00317A9A"/>
    <w:rsid w:val="003218B7"/>
    <w:rsid w:val="00321FD6"/>
    <w:rsid w:val="00325D72"/>
    <w:rsid w:val="0032695B"/>
    <w:rsid w:val="00326EE5"/>
    <w:rsid w:val="00331A5B"/>
    <w:rsid w:val="00336903"/>
    <w:rsid w:val="00337FBB"/>
    <w:rsid w:val="003510B8"/>
    <w:rsid w:val="00353EBA"/>
    <w:rsid w:val="00356461"/>
    <w:rsid w:val="003641E1"/>
    <w:rsid w:val="00366FB5"/>
    <w:rsid w:val="00367E32"/>
    <w:rsid w:val="00373B44"/>
    <w:rsid w:val="00376096"/>
    <w:rsid w:val="003814A3"/>
    <w:rsid w:val="00382CE3"/>
    <w:rsid w:val="00386E8A"/>
    <w:rsid w:val="0038765F"/>
    <w:rsid w:val="0039056E"/>
    <w:rsid w:val="00392D3F"/>
    <w:rsid w:val="00393235"/>
    <w:rsid w:val="0039579D"/>
    <w:rsid w:val="003A62A6"/>
    <w:rsid w:val="003B1D26"/>
    <w:rsid w:val="003C3860"/>
    <w:rsid w:val="003D6A62"/>
    <w:rsid w:val="003E1898"/>
    <w:rsid w:val="003E7704"/>
    <w:rsid w:val="003F21C1"/>
    <w:rsid w:val="003F6BEA"/>
    <w:rsid w:val="00400DCE"/>
    <w:rsid w:val="00404027"/>
    <w:rsid w:val="004047C4"/>
    <w:rsid w:val="0040664E"/>
    <w:rsid w:val="00412DF7"/>
    <w:rsid w:val="00413853"/>
    <w:rsid w:val="00426E12"/>
    <w:rsid w:val="004301DF"/>
    <w:rsid w:val="00440397"/>
    <w:rsid w:val="00441127"/>
    <w:rsid w:val="004433F8"/>
    <w:rsid w:val="00447B33"/>
    <w:rsid w:val="00450CA8"/>
    <w:rsid w:val="004527BD"/>
    <w:rsid w:val="00456A4F"/>
    <w:rsid w:val="00457CAC"/>
    <w:rsid w:val="00464D96"/>
    <w:rsid w:val="00465E5B"/>
    <w:rsid w:val="00466284"/>
    <w:rsid w:val="00471B0D"/>
    <w:rsid w:val="004738F4"/>
    <w:rsid w:val="004800DC"/>
    <w:rsid w:val="0049117F"/>
    <w:rsid w:val="00492111"/>
    <w:rsid w:val="004A44C8"/>
    <w:rsid w:val="004B6A42"/>
    <w:rsid w:val="004C1A3C"/>
    <w:rsid w:val="004C7DF6"/>
    <w:rsid w:val="004D2F27"/>
    <w:rsid w:val="004D5260"/>
    <w:rsid w:val="004D6083"/>
    <w:rsid w:val="004D7044"/>
    <w:rsid w:val="004E0E75"/>
    <w:rsid w:val="004E14BA"/>
    <w:rsid w:val="004E4438"/>
    <w:rsid w:val="004F22D8"/>
    <w:rsid w:val="004F2D1C"/>
    <w:rsid w:val="004F3689"/>
    <w:rsid w:val="004F452D"/>
    <w:rsid w:val="004F5592"/>
    <w:rsid w:val="00500CCF"/>
    <w:rsid w:val="00505756"/>
    <w:rsid w:val="0051222F"/>
    <w:rsid w:val="00517646"/>
    <w:rsid w:val="005253D5"/>
    <w:rsid w:val="00526A0E"/>
    <w:rsid w:val="005271C3"/>
    <w:rsid w:val="00534F2F"/>
    <w:rsid w:val="00536A7B"/>
    <w:rsid w:val="00540A37"/>
    <w:rsid w:val="00543E46"/>
    <w:rsid w:val="00553CEE"/>
    <w:rsid w:val="00555859"/>
    <w:rsid w:val="00564A47"/>
    <w:rsid w:val="00564FC5"/>
    <w:rsid w:val="005706F2"/>
    <w:rsid w:val="005709D5"/>
    <w:rsid w:val="00572D90"/>
    <w:rsid w:val="0057565B"/>
    <w:rsid w:val="00584447"/>
    <w:rsid w:val="00585B1E"/>
    <w:rsid w:val="00590001"/>
    <w:rsid w:val="005952CA"/>
    <w:rsid w:val="005A1158"/>
    <w:rsid w:val="005A6C22"/>
    <w:rsid w:val="005B0C54"/>
    <w:rsid w:val="005B1E8C"/>
    <w:rsid w:val="005B46B6"/>
    <w:rsid w:val="005C2DED"/>
    <w:rsid w:val="005C393E"/>
    <w:rsid w:val="005D7B7D"/>
    <w:rsid w:val="005E0456"/>
    <w:rsid w:val="005F04B2"/>
    <w:rsid w:val="005F61F3"/>
    <w:rsid w:val="005F68E5"/>
    <w:rsid w:val="005F714E"/>
    <w:rsid w:val="00610947"/>
    <w:rsid w:val="00625AFA"/>
    <w:rsid w:val="00625D14"/>
    <w:rsid w:val="00635A24"/>
    <w:rsid w:val="006443E4"/>
    <w:rsid w:val="00645872"/>
    <w:rsid w:val="00645DEE"/>
    <w:rsid w:val="00657E1F"/>
    <w:rsid w:val="006642F0"/>
    <w:rsid w:val="0066436D"/>
    <w:rsid w:val="00664FF2"/>
    <w:rsid w:val="0066772C"/>
    <w:rsid w:val="00671DC9"/>
    <w:rsid w:val="00672D02"/>
    <w:rsid w:val="006775C6"/>
    <w:rsid w:val="0067794B"/>
    <w:rsid w:val="00691DEF"/>
    <w:rsid w:val="00697165"/>
    <w:rsid w:val="0069766C"/>
    <w:rsid w:val="00697D4C"/>
    <w:rsid w:val="006A2C0E"/>
    <w:rsid w:val="006B0A24"/>
    <w:rsid w:val="006B45E6"/>
    <w:rsid w:val="006E64EE"/>
    <w:rsid w:val="006F22A4"/>
    <w:rsid w:val="00704A84"/>
    <w:rsid w:val="007052B9"/>
    <w:rsid w:val="00711E08"/>
    <w:rsid w:val="007128C6"/>
    <w:rsid w:val="007130D3"/>
    <w:rsid w:val="00714210"/>
    <w:rsid w:val="007147FD"/>
    <w:rsid w:val="00723959"/>
    <w:rsid w:val="00727921"/>
    <w:rsid w:val="00752E1B"/>
    <w:rsid w:val="007544AF"/>
    <w:rsid w:val="007546CE"/>
    <w:rsid w:val="00780E2D"/>
    <w:rsid w:val="00783317"/>
    <w:rsid w:val="00790B3A"/>
    <w:rsid w:val="00792C1A"/>
    <w:rsid w:val="007A31FB"/>
    <w:rsid w:val="007B1A96"/>
    <w:rsid w:val="007C5EC0"/>
    <w:rsid w:val="007C73B0"/>
    <w:rsid w:val="007C77D4"/>
    <w:rsid w:val="007D1A95"/>
    <w:rsid w:val="007D2034"/>
    <w:rsid w:val="007D5A72"/>
    <w:rsid w:val="007D5B48"/>
    <w:rsid w:val="007D6138"/>
    <w:rsid w:val="007E168A"/>
    <w:rsid w:val="007F0AFB"/>
    <w:rsid w:val="007F1E3B"/>
    <w:rsid w:val="007F78F3"/>
    <w:rsid w:val="0080016E"/>
    <w:rsid w:val="00800688"/>
    <w:rsid w:val="008103C7"/>
    <w:rsid w:val="00812DF4"/>
    <w:rsid w:val="00813CF5"/>
    <w:rsid w:val="00825FF3"/>
    <w:rsid w:val="00826837"/>
    <w:rsid w:val="00831020"/>
    <w:rsid w:val="00833DD7"/>
    <w:rsid w:val="008362CE"/>
    <w:rsid w:val="0084777E"/>
    <w:rsid w:val="00861E5B"/>
    <w:rsid w:val="0086250C"/>
    <w:rsid w:val="00862601"/>
    <w:rsid w:val="00863529"/>
    <w:rsid w:val="0086718A"/>
    <w:rsid w:val="00872A55"/>
    <w:rsid w:val="0087783E"/>
    <w:rsid w:val="00880C04"/>
    <w:rsid w:val="00882511"/>
    <w:rsid w:val="00883A02"/>
    <w:rsid w:val="008864B3"/>
    <w:rsid w:val="008908A3"/>
    <w:rsid w:val="00892B84"/>
    <w:rsid w:val="00896B25"/>
    <w:rsid w:val="008A03DE"/>
    <w:rsid w:val="008A2D1E"/>
    <w:rsid w:val="008A7A8C"/>
    <w:rsid w:val="008C3E20"/>
    <w:rsid w:val="008C7963"/>
    <w:rsid w:val="008D0953"/>
    <w:rsid w:val="008D1781"/>
    <w:rsid w:val="008F26A4"/>
    <w:rsid w:val="008F45BC"/>
    <w:rsid w:val="00900FBA"/>
    <w:rsid w:val="00914DFA"/>
    <w:rsid w:val="0091744E"/>
    <w:rsid w:val="0091790B"/>
    <w:rsid w:val="00920657"/>
    <w:rsid w:val="0092187B"/>
    <w:rsid w:val="00925DF1"/>
    <w:rsid w:val="00931CAE"/>
    <w:rsid w:val="009401B9"/>
    <w:rsid w:val="00946154"/>
    <w:rsid w:val="00946B00"/>
    <w:rsid w:val="00947D26"/>
    <w:rsid w:val="00950C73"/>
    <w:rsid w:val="00950E9F"/>
    <w:rsid w:val="00953A8C"/>
    <w:rsid w:val="00955EC8"/>
    <w:rsid w:val="00965C4F"/>
    <w:rsid w:val="00973204"/>
    <w:rsid w:val="009A691C"/>
    <w:rsid w:val="009A7FA9"/>
    <w:rsid w:val="009B17C9"/>
    <w:rsid w:val="009B32AA"/>
    <w:rsid w:val="009C4798"/>
    <w:rsid w:val="009C4C21"/>
    <w:rsid w:val="009C4D88"/>
    <w:rsid w:val="009D1147"/>
    <w:rsid w:val="009D4C2C"/>
    <w:rsid w:val="009E480E"/>
    <w:rsid w:val="009E70A3"/>
    <w:rsid w:val="009E74C8"/>
    <w:rsid w:val="009F1758"/>
    <w:rsid w:val="009F630D"/>
    <w:rsid w:val="009F7D10"/>
    <w:rsid w:val="00A066D2"/>
    <w:rsid w:val="00A12410"/>
    <w:rsid w:val="00A13E00"/>
    <w:rsid w:val="00A144D2"/>
    <w:rsid w:val="00A149AE"/>
    <w:rsid w:val="00A16A57"/>
    <w:rsid w:val="00A21DBF"/>
    <w:rsid w:val="00A237C9"/>
    <w:rsid w:val="00A32620"/>
    <w:rsid w:val="00A4361B"/>
    <w:rsid w:val="00A47440"/>
    <w:rsid w:val="00A47A9A"/>
    <w:rsid w:val="00A47BEB"/>
    <w:rsid w:val="00A51E88"/>
    <w:rsid w:val="00A560EE"/>
    <w:rsid w:val="00A56C11"/>
    <w:rsid w:val="00A655B0"/>
    <w:rsid w:val="00A72B88"/>
    <w:rsid w:val="00A76D32"/>
    <w:rsid w:val="00A85132"/>
    <w:rsid w:val="00A92AFE"/>
    <w:rsid w:val="00A9540C"/>
    <w:rsid w:val="00AA00F5"/>
    <w:rsid w:val="00AA61FF"/>
    <w:rsid w:val="00AA7C5F"/>
    <w:rsid w:val="00AB6F6C"/>
    <w:rsid w:val="00AC2837"/>
    <w:rsid w:val="00AD0EAD"/>
    <w:rsid w:val="00AD307E"/>
    <w:rsid w:val="00AD7DEF"/>
    <w:rsid w:val="00AE4AA1"/>
    <w:rsid w:val="00AE7F8B"/>
    <w:rsid w:val="00AF24B4"/>
    <w:rsid w:val="00AF6874"/>
    <w:rsid w:val="00B03750"/>
    <w:rsid w:val="00B03CCE"/>
    <w:rsid w:val="00B05C6C"/>
    <w:rsid w:val="00B073E6"/>
    <w:rsid w:val="00B17C31"/>
    <w:rsid w:val="00B20F0E"/>
    <w:rsid w:val="00B23CB7"/>
    <w:rsid w:val="00B25E66"/>
    <w:rsid w:val="00B27290"/>
    <w:rsid w:val="00B31CDF"/>
    <w:rsid w:val="00B351AE"/>
    <w:rsid w:val="00B3771D"/>
    <w:rsid w:val="00B40551"/>
    <w:rsid w:val="00B418B7"/>
    <w:rsid w:val="00B42C1E"/>
    <w:rsid w:val="00B43F48"/>
    <w:rsid w:val="00B450C1"/>
    <w:rsid w:val="00B53319"/>
    <w:rsid w:val="00B53FE4"/>
    <w:rsid w:val="00B54EF7"/>
    <w:rsid w:val="00B64B2E"/>
    <w:rsid w:val="00B66977"/>
    <w:rsid w:val="00B67591"/>
    <w:rsid w:val="00B81BF4"/>
    <w:rsid w:val="00B90752"/>
    <w:rsid w:val="00B93931"/>
    <w:rsid w:val="00B941AD"/>
    <w:rsid w:val="00BA113D"/>
    <w:rsid w:val="00BA2F7B"/>
    <w:rsid w:val="00BA4850"/>
    <w:rsid w:val="00BA6F29"/>
    <w:rsid w:val="00BA7BB2"/>
    <w:rsid w:val="00BB36C9"/>
    <w:rsid w:val="00BE29FE"/>
    <w:rsid w:val="00BE557B"/>
    <w:rsid w:val="00BF27E4"/>
    <w:rsid w:val="00C068F3"/>
    <w:rsid w:val="00C160C4"/>
    <w:rsid w:val="00C22066"/>
    <w:rsid w:val="00C4572D"/>
    <w:rsid w:val="00C513B5"/>
    <w:rsid w:val="00C538C2"/>
    <w:rsid w:val="00C55AED"/>
    <w:rsid w:val="00C630D0"/>
    <w:rsid w:val="00C63FD6"/>
    <w:rsid w:val="00C648D8"/>
    <w:rsid w:val="00C6787A"/>
    <w:rsid w:val="00C70FAB"/>
    <w:rsid w:val="00C76F80"/>
    <w:rsid w:val="00C7782F"/>
    <w:rsid w:val="00C82713"/>
    <w:rsid w:val="00C82D45"/>
    <w:rsid w:val="00C83869"/>
    <w:rsid w:val="00C910EB"/>
    <w:rsid w:val="00C934CA"/>
    <w:rsid w:val="00C97A45"/>
    <w:rsid w:val="00CA0ADB"/>
    <w:rsid w:val="00CB1AB8"/>
    <w:rsid w:val="00CB6397"/>
    <w:rsid w:val="00CC4CE2"/>
    <w:rsid w:val="00CD2CBA"/>
    <w:rsid w:val="00CD401B"/>
    <w:rsid w:val="00CE0FC8"/>
    <w:rsid w:val="00CE214D"/>
    <w:rsid w:val="00CE5D6D"/>
    <w:rsid w:val="00CF0E7D"/>
    <w:rsid w:val="00CF214A"/>
    <w:rsid w:val="00D007AB"/>
    <w:rsid w:val="00D07A05"/>
    <w:rsid w:val="00D10E14"/>
    <w:rsid w:val="00D30D00"/>
    <w:rsid w:val="00D31301"/>
    <w:rsid w:val="00D318F1"/>
    <w:rsid w:val="00D321FF"/>
    <w:rsid w:val="00D4072F"/>
    <w:rsid w:val="00D434D3"/>
    <w:rsid w:val="00D47966"/>
    <w:rsid w:val="00D53C0F"/>
    <w:rsid w:val="00D54F89"/>
    <w:rsid w:val="00D56285"/>
    <w:rsid w:val="00D675E1"/>
    <w:rsid w:val="00D74ACB"/>
    <w:rsid w:val="00D75329"/>
    <w:rsid w:val="00D772EE"/>
    <w:rsid w:val="00D83B9B"/>
    <w:rsid w:val="00D8490E"/>
    <w:rsid w:val="00D868C0"/>
    <w:rsid w:val="00D92986"/>
    <w:rsid w:val="00DA2905"/>
    <w:rsid w:val="00DB4852"/>
    <w:rsid w:val="00DB68A2"/>
    <w:rsid w:val="00DC12EE"/>
    <w:rsid w:val="00DC41FA"/>
    <w:rsid w:val="00DD34D5"/>
    <w:rsid w:val="00DD3530"/>
    <w:rsid w:val="00DD40D6"/>
    <w:rsid w:val="00DE570B"/>
    <w:rsid w:val="00DE58A5"/>
    <w:rsid w:val="00DE5A8F"/>
    <w:rsid w:val="00DE7373"/>
    <w:rsid w:val="00E15DFA"/>
    <w:rsid w:val="00E22E6D"/>
    <w:rsid w:val="00E315E7"/>
    <w:rsid w:val="00E34000"/>
    <w:rsid w:val="00E4304B"/>
    <w:rsid w:val="00E46F89"/>
    <w:rsid w:val="00E50094"/>
    <w:rsid w:val="00E56868"/>
    <w:rsid w:val="00E60D1F"/>
    <w:rsid w:val="00E620A1"/>
    <w:rsid w:val="00E7337F"/>
    <w:rsid w:val="00E73A46"/>
    <w:rsid w:val="00E74672"/>
    <w:rsid w:val="00E76BBA"/>
    <w:rsid w:val="00E810A8"/>
    <w:rsid w:val="00E8147C"/>
    <w:rsid w:val="00E8637C"/>
    <w:rsid w:val="00E91204"/>
    <w:rsid w:val="00E95A11"/>
    <w:rsid w:val="00E96DCC"/>
    <w:rsid w:val="00E97756"/>
    <w:rsid w:val="00EB06A9"/>
    <w:rsid w:val="00EC1C75"/>
    <w:rsid w:val="00EC51DD"/>
    <w:rsid w:val="00EC5902"/>
    <w:rsid w:val="00EC697B"/>
    <w:rsid w:val="00EE0739"/>
    <w:rsid w:val="00EE12F8"/>
    <w:rsid w:val="00EE699C"/>
    <w:rsid w:val="00EE7733"/>
    <w:rsid w:val="00EF7CC1"/>
    <w:rsid w:val="00F00115"/>
    <w:rsid w:val="00F00D0F"/>
    <w:rsid w:val="00F0101B"/>
    <w:rsid w:val="00F12DCB"/>
    <w:rsid w:val="00F16E60"/>
    <w:rsid w:val="00F206EC"/>
    <w:rsid w:val="00F341BB"/>
    <w:rsid w:val="00F3464C"/>
    <w:rsid w:val="00F37B8D"/>
    <w:rsid w:val="00F43CB0"/>
    <w:rsid w:val="00F44454"/>
    <w:rsid w:val="00F452E6"/>
    <w:rsid w:val="00F50685"/>
    <w:rsid w:val="00F55A65"/>
    <w:rsid w:val="00F60AC5"/>
    <w:rsid w:val="00F669E3"/>
    <w:rsid w:val="00F846FB"/>
    <w:rsid w:val="00F93B9C"/>
    <w:rsid w:val="00F977F1"/>
    <w:rsid w:val="00FA5D0F"/>
    <w:rsid w:val="00FC1B29"/>
    <w:rsid w:val="00FC2954"/>
    <w:rsid w:val="00FC46BE"/>
    <w:rsid w:val="00FC51B3"/>
    <w:rsid w:val="00FC579E"/>
    <w:rsid w:val="00FC781B"/>
    <w:rsid w:val="00FE1AD7"/>
    <w:rsid w:val="00FF0B73"/>
    <w:rsid w:val="00FF17EC"/>
    <w:rsid w:val="00FF2545"/>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CFE4AC"/>
  <w15:docId w15:val="{112DE59B-5754-0B44-BCD8-3EBEABB409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Calibri" w:hAnsi="Times New Roman" w:cs="Times New Roman"/>
        <w:sz w:val="24"/>
        <w:szCs w:val="24"/>
        <w:lang w:val="en-GB" w:eastAsia="da-D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Overskrift1">
    <w:name w:val="heading 1"/>
    <w:basedOn w:val="Normal"/>
    <w:next w:val="Normal"/>
    <w:uiPriority w:val="9"/>
    <w:qFormat/>
    <w:pPr>
      <w:keepNext/>
      <w:keepLines/>
      <w:spacing w:before="480" w:after="120"/>
      <w:outlineLvl w:val="0"/>
    </w:pPr>
    <w:rPr>
      <w:b/>
      <w:sz w:val="48"/>
      <w:szCs w:val="48"/>
    </w:rPr>
  </w:style>
  <w:style w:type="paragraph" w:styleId="Overskrift2">
    <w:name w:val="heading 2"/>
    <w:basedOn w:val="Normal"/>
    <w:next w:val="Normal"/>
    <w:uiPriority w:val="9"/>
    <w:semiHidden/>
    <w:unhideWhenUsed/>
    <w:qFormat/>
    <w:pPr>
      <w:keepNext/>
      <w:keepLines/>
      <w:spacing w:before="360" w:after="80"/>
      <w:outlineLvl w:val="1"/>
    </w:pPr>
    <w:rPr>
      <w:b/>
      <w:sz w:val="36"/>
      <w:szCs w:val="36"/>
    </w:rPr>
  </w:style>
  <w:style w:type="paragraph" w:styleId="Overskrift3">
    <w:name w:val="heading 3"/>
    <w:basedOn w:val="Normal"/>
    <w:next w:val="Normal"/>
    <w:uiPriority w:val="9"/>
    <w:unhideWhenUsed/>
    <w:qFormat/>
    <w:pPr>
      <w:keepNext/>
      <w:keepLines/>
      <w:spacing w:before="280" w:after="80"/>
      <w:outlineLvl w:val="2"/>
    </w:pPr>
    <w:rPr>
      <w:b/>
      <w:sz w:val="28"/>
      <w:szCs w:val="28"/>
    </w:rPr>
  </w:style>
  <w:style w:type="paragraph" w:styleId="Overskrift4">
    <w:name w:val="heading 4"/>
    <w:basedOn w:val="Normal"/>
    <w:next w:val="Normal"/>
    <w:uiPriority w:val="9"/>
    <w:semiHidden/>
    <w:unhideWhenUsed/>
    <w:qFormat/>
    <w:pPr>
      <w:keepNext/>
      <w:keepLines/>
      <w:spacing w:before="240" w:after="40"/>
      <w:outlineLvl w:val="3"/>
    </w:pPr>
    <w:rPr>
      <w:b/>
    </w:rPr>
  </w:style>
  <w:style w:type="paragraph" w:styleId="Overskrift5">
    <w:name w:val="heading 5"/>
    <w:basedOn w:val="Normal"/>
    <w:next w:val="Normal"/>
    <w:uiPriority w:val="9"/>
    <w:semiHidden/>
    <w:unhideWhenUsed/>
    <w:qFormat/>
    <w:pPr>
      <w:keepNext/>
      <w:keepLines/>
      <w:spacing w:before="220" w:after="40"/>
      <w:outlineLvl w:val="4"/>
    </w:pPr>
    <w:rPr>
      <w:b/>
    </w:rPr>
  </w:style>
  <w:style w:type="paragraph" w:styleId="Overskrift6">
    <w:name w:val="heading 6"/>
    <w:basedOn w:val="Normal"/>
    <w:next w:val="Normal"/>
    <w:uiPriority w:val="9"/>
    <w:semiHidden/>
    <w:unhideWhenUsed/>
    <w:qFormat/>
    <w:pPr>
      <w:keepNext/>
      <w:keepLines/>
      <w:spacing w:before="200" w:after="40"/>
      <w:outlineLvl w:val="5"/>
    </w:pPr>
    <w:rPr>
      <w:b/>
      <w:sz w:val="20"/>
      <w:szCs w:val="20"/>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el">
    <w:name w:val="Title"/>
    <w:basedOn w:val="Normal"/>
    <w:next w:val="Normal"/>
    <w:uiPriority w:val="10"/>
    <w:qFormat/>
    <w:pPr>
      <w:keepNext/>
      <w:keepLines/>
      <w:spacing w:before="480" w:after="120"/>
    </w:pPr>
    <w:rPr>
      <w:b/>
      <w:sz w:val="72"/>
      <w:szCs w:val="72"/>
    </w:rPr>
  </w:style>
  <w:style w:type="paragraph" w:styleId="Undertitel">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Pr>
  </w:style>
  <w:style w:type="table" w:customStyle="1" w:styleId="a0">
    <w:basedOn w:val="TableNormal1"/>
    <w:tblPr>
      <w:tblStyleRowBandSize w:val="1"/>
      <w:tblStyleColBandSize w:val="1"/>
      <w:tblCellMar>
        <w:left w:w="115" w:type="dxa"/>
        <w:right w:w="115" w:type="dxa"/>
      </w:tblCellMar>
    </w:tblPr>
  </w:style>
  <w:style w:type="table" w:customStyle="1" w:styleId="a1">
    <w:basedOn w:val="TableNormal1"/>
    <w:tblPr>
      <w:tblStyleRowBandSize w:val="1"/>
      <w:tblStyleColBandSize w:val="1"/>
    </w:tblPr>
  </w:style>
  <w:style w:type="paragraph" w:styleId="Kommentartekst">
    <w:name w:val="annotation text"/>
    <w:basedOn w:val="Normal"/>
    <w:link w:val="KommentartekstTegn"/>
    <w:uiPriority w:val="99"/>
    <w:unhideWhenUsed/>
    <w:pPr>
      <w:spacing w:line="240" w:lineRule="auto"/>
    </w:pPr>
    <w:rPr>
      <w:sz w:val="20"/>
      <w:szCs w:val="20"/>
    </w:rPr>
  </w:style>
  <w:style w:type="character" w:customStyle="1" w:styleId="KommentartekstTegn">
    <w:name w:val="Kommentartekst Tegn"/>
    <w:basedOn w:val="Standardskrifttypeiafsnit"/>
    <w:link w:val="Kommentartekst"/>
    <w:uiPriority w:val="99"/>
    <w:rPr>
      <w:sz w:val="20"/>
      <w:szCs w:val="20"/>
    </w:rPr>
  </w:style>
  <w:style w:type="character" w:styleId="Kommentarhenvisning">
    <w:name w:val="annotation reference"/>
    <w:basedOn w:val="Standardskrifttypeiafsnit"/>
    <w:uiPriority w:val="99"/>
    <w:semiHidden/>
    <w:unhideWhenUsed/>
    <w:rPr>
      <w:sz w:val="16"/>
      <w:szCs w:val="16"/>
    </w:rPr>
  </w:style>
  <w:style w:type="paragraph" w:styleId="Markeringsbobletekst">
    <w:name w:val="Balloon Text"/>
    <w:basedOn w:val="Normal"/>
    <w:link w:val="MarkeringsbobletekstTegn"/>
    <w:uiPriority w:val="99"/>
    <w:semiHidden/>
    <w:unhideWhenUsed/>
    <w:rsid w:val="00BA2F7B"/>
    <w:pPr>
      <w:spacing w:after="0" w:line="240" w:lineRule="auto"/>
    </w:pPr>
    <w:rPr>
      <w:sz w:val="18"/>
      <w:szCs w:val="18"/>
    </w:rPr>
  </w:style>
  <w:style w:type="character" w:customStyle="1" w:styleId="MarkeringsbobletekstTegn">
    <w:name w:val="Markeringsbobletekst Tegn"/>
    <w:basedOn w:val="Standardskrifttypeiafsnit"/>
    <w:link w:val="Markeringsbobletekst"/>
    <w:uiPriority w:val="99"/>
    <w:semiHidden/>
    <w:rsid w:val="00BA2F7B"/>
    <w:rPr>
      <w:rFonts w:ascii="Times New Roman" w:hAnsi="Times New Roman" w:cs="Times New Roman"/>
      <w:sz w:val="18"/>
      <w:szCs w:val="18"/>
    </w:rPr>
  </w:style>
  <w:style w:type="paragraph" w:styleId="Kommentaremne">
    <w:name w:val="annotation subject"/>
    <w:basedOn w:val="Kommentartekst"/>
    <w:next w:val="Kommentartekst"/>
    <w:link w:val="KommentaremneTegn"/>
    <w:uiPriority w:val="99"/>
    <w:semiHidden/>
    <w:unhideWhenUsed/>
    <w:rsid w:val="002E12BB"/>
    <w:rPr>
      <w:b/>
      <w:bCs/>
    </w:rPr>
  </w:style>
  <w:style w:type="character" w:customStyle="1" w:styleId="KommentaremneTegn">
    <w:name w:val="Kommentaremne Tegn"/>
    <w:basedOn w:val="KommentartekstTegn"/>
    <w:link w:val="Kommentaremne"/>
    <w:uiPriority w:val="99"/>
    <w:semiHidden/>
    <w:rsid w:val="002E12BB"/>
    <w:rPr>
      <w:b/>
      <w:bCs/>
      <w:sz w:val="20"/>
      <w:szCs w:val="20"/>
    </w:rPr>
  </w:style>
  <w:style w:type="paragraph" w:styleId="Korrektur">
    <w:name w:val="Revision"/>
    <w:hidden/>
    <w:uiPriority w:val="99"/>
    <w:semiHidden/>
    <w:rsid w:val="000C3B6C"/>
    <w:pPr>
      <w:spacing w:after="0" w:line="240" w:lineRule="auto"/>
    </w:pPr>
  </w:style>
  <w:style w:type="paragraph" w:styleId="Sidehoved">
    <w:name w:val="header"/>
    <w:basedOn w:val="Normal"/>
    <w:link w:val="SidehovedTegn"/>
    <w:uiPriority w:val="99"/>
    <w:unhideWhenUsed/>
    <w:rsid w:val="0039056E"/>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39056E"/>
  </w:style>
  <w:style w:type="paragraph" w:styleId="Sidefod">
    <w:name w:val="footer"/>
    <w:basedOn w:val="Normal"/>
    <w:link w:val="SidefodTegn"/>
    <w:uiPriority w:val="99"/>
    <w:unhideWhenUsed/>
    <w:rsid w:val="0039056E"/>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39056E"/>
  </w:style>
  <w:style w:type="paragraph" w:styleId="Listeafsnit">
    <w:name w:val="List Paragraph"/>
    <w:basedOn w:val="Normal"/>
    <w:uiPriority w:val="34"/>
    <w:qFormat/>
    <w:rsid w:val="00BA6F29"/>
    <w:pPr>
      <w:ind w:left="720"/>
      <w:contextualSpacing/>
    </w:pPr>
  </w:style>
  <w:style w:type="character" w:styleId="Hyperlink">
    <w:name w:val="Hyperlink"/>
    <w:basedOn w:val="Standardskrifttypeiafsnit"/>
    <w:uiPriority w:val="99"/>
    <w:unhideWhenUsed/>
    <w:rsid w:val="00272202"/>
    <w:rPr>
      <w:color w:val="0000FF" w:themeColor="hyperlink"/>
      <w:u w:val="single"/>
    </w:rPr>
  </w:style>
  <w:style w:type="character" w:customStyle="1" w:styleId="Ulstomtale1">
    <w:name w:val="Uløst omtale1"/>
    <w:basedOn w:val="Standardskrifttypeiafsnit"/>
    <w:uiPriority w:val="99"/>
    <w:semiHidden/>
    <w:unhideWhenUsed/>
    <w:rsid w:val="00272202"/>
    <w:rPr>
      <w:color w:val="605E5C"/>
      <w:shd w:val="clear" w:color="auto" w:fill="E1DFDD"/>
    </w:rPr>
  </w:style>
  <w:style w:type="character" w:styleId="BesgtLink">
    <w:name w:val="FollowedHyperlink"/>
    <w:basedOn w:val="Standardskrifttypeiafsnit"/>
    <w:uiPriority w:val="99"/>
    <w:semiHidden/>
    <w:unhideWhenUsed/>
    <w:rsid w:val="00386E8A"/>
    <w:rPr>
      <w:color w:val="800080" w:themeColor="followedHyperlink"/>
      <w:u w:val="single"/>
    </w:rPr>
  </w:style>
  <w:style w:type="character" w:customStyle="1" w:styleId="Ulstomtale2">
    <w:name w:val="Uløst omtale2"/>
    <w:basedOn w:val="Standardskrifttypeiafsnit"/>
    <w:uiPriority w:val="99"/>
    <w:semiHidden/>
    <w:unhideWhenUsed/>
    <w:rsid w:val="002B4976"/>
    <w:rPr>
      <w:color w:val="605E5C"/>
      <w:shd w:val="clear" w:color="auto" w:fill="E1DFDD"/>
    </w:rPr>
  </w:style>
  <w:style w:type="table" w:styleId="Tabel-Gitter">
    <w:name w:val="Table Grid"/>
    <w:basedOn w:val="Tabel-Normal"/>
    <w:uiPriority w:val="39"/>
    <w:rsid w:val="003814A3"/>
    <w:pPr>
      <w:spacing w:after="0" w:line="240" w:lineRule="auto"/>
    </w:pPr>
    <w:rPr>
      <w:lang w:val="da-DK"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Gitter1">
    <w:name w:val="Tabel - Gitter1"/>
    <w:basedOn w:val="Tabel-Normal"/>
    <w:next w:val="Tabel-Gitter"/>
    <w:uiPriority w:val="39"/>
    <w:rsid w:val="003814A3"/>
    <w:pPr>
      <w:spacing w:after="0" w:line="240" w:lineRule="auto"/>
    </w:pPr>
    <w:rPr>
      <w:lang w:val="da-DK"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Gitter2">
    <w:name w:val="Tabel - Gitter2"/>
    <w:basedOn w:val="Tabel-Normal"/>
    <w:next w:val="Tabel-Gitter"/>
    <w:uiPriority w:val="39"/>
    <w:rsid w:val="003814A3"/>
    <w:pPr>
      <w:spacing w:after="0" w:line="240" w:lineRule="auto"/>
    </w:pPr>
    <w:rPr>
      <w:lang w:val="da-DK"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wire-cite-metadata-date">
    <w:name w:val="highwire-cite-metadata-date"/>
    <w:basedOn w:val="Standardskrifttypeiafsnit"/>
    <w:rsid w:val="00367E32"/>
  </w:style>
  <w:style w:type="character" w:customStyle="1" w:styleId="highwire-cite-metadata-volume">
    <w:name w:val="highwire-cite-metadata-volume"/>
    <w:basedOn w:val="Standardskrifttypeiafsnit"/>
    <w:rsid w:val="00367E32"/>
  </w:style>
  <w:style w:type="character" w:customStyle="1" w:styleId="highwire-cite-metadata-issue">
    <w:name w:val="highwire-cite-metadata-issue"/>
    <w:basedOn w:val="Standardskrifttypeiafsnit"/>
    <w:rsid w:val="00367E32"/>
  </w:style>
  <w:style w:type="character" w:customStyle="1" w:styleId="highwire-cite-metadata-pages">
    <w:name w:val="highwire-cite-metadata-pages"/>
    <w:basedOn w:val="Standardskrifttypeiafsnit"/>
    <w:rsid w:val="00367E32"/>
  </w:style>
  <w:style w:type="character" w:styleId="Strk">
    <w:name w:val="Strong"/>
    <w:basedOn w:val="Standardskrifttypeiafsnit"/>
    <w:uiPriority w:val="22"/>
    <w:qFormat/>
    <w:rsid w:val="005B1E8C"/>
    <w:rPr>
      <w:b/>
      <w:bCs/>
    </w:rPr>
  </w:style>
  <w:style w:type="character" w:styleId="Linjenummer">
    <w:name w:val="line number"/>
    <w:basedOn w:val="Standardskrifttypeiafsnit"/>
    <w:uiPriority w:val="99"/>
    <w:semiHidden/>
    <w:unhideWhenUsed/>
    <w:rsid w:val="004C1A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65912783">
      <w:bodyDiv w:val="1"/>
      <w:marLeft w:val="0"/>
      <w:marRight w:val="0"/>
      <w:marTop w:val="0"/>
      <w:marBottom w:val="0"/>
      <w:divBdr>
        <w:top w:val="none" w:sz="0" w:space="0" w:color="auto"/>
        <w:left w:val="none" w:sz="0" w:space="0" w:color="auto"/>
        <w:bottom w:val="none" w:sz="0" w:space="0" w:color="auto"/>
        <w:right w:val="none" w:sz="0" w:space="0" w:color="auto"/>
      </w:divBdr>
    </w:div>
    <w:div w:id="1283070425">
      <w:bodyDiv w:val="1"/>
      <w:marLeft w:val="0"/>
      <w:marRight w:val="0"/>
      <w:marTop w:val="0"/>
      <w:marBottom w:val="0"/>
      <w:divBdr>
        <w:top w:val="none" w:sz="0" w:space="0" w:color="auto"/>
        <w:left w:val="none" w:sz="0" w:space="0" w:color="auto"/>
        <w:bottom w:val="none" w:sz="0" w:space="0" w:color="auto"/>
        <w:right w:val="none" w:sz="0" w:space="0" w:color="auto"/>
      </w:divBdr>
      <w:divsChild>
        <w:div w:id="1168792177">
          <w:marLeft w:val="0"/>
          <w:marRight w:val="0"/>
          <w:marTop w:val="0"/>
          <w:marBottom w:val="0"/>
          <w:divBdr>
            <w:top w:val="none" w:sz="0" w:space="0" w:color="auto"/>
            <w:left w:val="none" w:sz="0" w:space="0" w:color="auto"/>
            <w:bottom w:val="none" w:sz="0" w:space="0" w:color="auto"/>
            <w:right w:val="none" w:sz="0" w:space="0" w:color="auto"/>
          </w:divBdr>
          <w:divsChild>
            <w:div w:id="1156074570">
              <w:marLeft w:val="0"/>
              <w:marRight w:val="0"/>
              <w:marTop w:val="0"/>
              <w:marBottom w:val="0"/>
              <w:divBdr>
                <w:top w:val="none" w:sz="0" w:space="0" w:color="auto"/>
                <w:left w:val="none" w:sz="0" w:space="0" w:color="auto"/>
                <w:bottom w:val="none" w:sz="0" w:space="0" w:color="auto"/>
                <w:right w:val="none" w:sz="0" w:space="0" w:color="auto"/>
              </w:divBdr>
              <w:divsChild>
                <w:div w:id="1583027947">
                  <w:marLeft w:val="0"/>
                  <w:marRight w:val="0"/>
                  <w:marTop w:val="90"/>
                  <w:marBottom w:val="0"/>
                  <w:divBdr>
                    <w:top w:val="none" w:sz="0" w:space="0" w:color="auto"/>
                    <w:left w:val="none" w:sz="0" w:space="0" w:color="auto"/>
                    <w:bottom w:val="none" w:sz="0" w:space="0" w:color="auto"/>
                    <w:right w:val="none" w:sz="0" w:space="0" w:color="auto"/>
                  </w:divBdr>
                  <w:divsChild>
                    <w:div w:id="1017777225">
                      <w:marLeft w:val="0"/>
                      <w:marRight w:val="0"/>
                      <w:marTop w:val="0"/>
                      <w:marBottom w:val="0"/>
                      <w:divBdr>
                        <w:top w:val="none" w:sz="0" w:space="0" w:color="auto"/>
                        <w:left w:val="none" w:sz="0" w:space="0" w:color="auto"/>
                        <w:bottom w:val="none" w:sz="0" w:space="0" w:color="auto"/>
                        <w:right w:val="none" w:sz="0" w:space="0" w:color="auto"/>
                      </w:divBdr>
                      <w:divsChild>
                        <w:div w:id="631328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9375322">
      <w:bodyDiv w:val="1"/>
      <w:marLeft w:val="0"/>
      <w:marRight w:val="0"/>
      <w:marTop w:val="0"/>
      <w:marBottom w:val="0"/>
      <w:divBdr>
        <w:top w:val="none" w:sz="0" w:space="0" w:color="auto"/>
        <w:left w:val="none" w:sz="0" w:space="0" w:color="auto"/>
        <w:bottom w:val="none" w:sz="0" w:space="0" w:color="auto"/>
        <w:right w:val="none" w:sz="0" w:space="0" w:color="auto"/>
      </w:divBdr>
      <w:divsChild>
        <w:div w:id="255211573">
          <w:marLeft w:val="0"/>
          <w:marRight w:val="0"/>
          <w:marTop w:val="0"/>
          <w:marBottom w:val="0"/>
          <w:divBdr>
            <w:top w:val="none" w:sz="0" w:space="0" w:color="auto"/>
            <w:left w:val="none" w:sz="0" w:space="0" w:color="auto"/>
            <w:bottom w:val="none" w:sz="0" w:space="0" w:color="auto"/>
            <w:right w:val="none" w:sz="0" w:space="0" w:color="auto"/>
          </w:divBdr>
          <w:divsChild>
            <w:div w:id="69423278">
              <w:marLeft w:val="0"/>
              <w:marRight w:val="0"/>
              <w:marTop w:val="0"/>
              <w:marBottom w:val="0"/>
              <w:divBdr>
                <w:top w:val="none" w:sz="0" w:space="0" w:color="auto"/>
                <w:left w:val="none" w:sz="0" w:space="0" w:color="auto"/>
                <w:bottom w:val="none" w:sz="0" w:space="0" w:color="auto"/>
                <w:right w:val="none" w:sz="0" w:space="0" w:color="auto"/>
              </w:divBdr>
            </w:div>
            <w:div w:id="1123647416">
              <w:marLeft w:val="0"/>
              <w:marRight w:val="0"/>
              <w:marTop w:val="0"/>
              <w:marBottom w:val="0"/>
              <w:divBdr>
                <w:top w:val="none" w:sz="0" w:space="0" w:color="auto"/>
                <w:left w:val="none" w:sz="0" w:space="0" w:color="auto"/>
                <w:bottom w:val="none" w:sz="0" w:space="0" w:color="auto"/>
                <w:right w:val="none" w:sz="0" w:space="0" w:color="auto"/>
              </w:divBdr>
            </w:div>
            <w:div w:id="1925528554">
              <w:marLeft w:val="0"/>
              <w:marRight w:val="0"/>
              <w:marTop w:val="0"/>
              <w:marBottom w:val="0"/>
              <w:divBdr>
                <w:top w:val="none" w:sz="0" w:space="0" w:color="auto"/>
                <w:left w:val="none" w:sz="0" w:space="0" w:color="auto"/>
                <w:bottom w:val="none" w:sz="0" w:space="0" w:color="auto"/>
                <w:right w:val="none" w:sz="0" w:space="0" w:color="auto"/>
              </w:divBdr>
            </w:div>
            <w:div w:id="655888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conservationevidence.com/"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humanbehaviourchange.org" TargetMode="External"/><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helsea.batavia@oregonstate.edu"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C13C9F7BB5623149B7C0FA12F3511E27" ma:contentTypeVersion="10" ma:contentTypeDescription="Create a new document." ma:contentTypeScope="" ma:versionID="f01e52537a0b6eed1a4c06defbca4e1c">
  <xsd:schema xmlns:xsd="http://www.w3.org/2001/XMLSchema" xmlns:xs="http://www.w3.org/2001/XMLSchema" xmlns:p="http://schemas.microsoft.com/office/2006/metadata/properties" xmlns:ns3="f7120054-71ee-4cf7-911a-9ebba9f84a5d" targetNamespace="http://schemas.microsoft.com/office/2006/metadata/properties" ma:root="true" ma:fieldsID="9a2e65376ce9164d0af973b55d728238" ns3:_="">
    <xsd:import namespace="f7120054-71ee-4cf7-911a-9ebba9f84a5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120054-71ee-4cf7-911a-9ebba9f84a5d"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D3F54FD-0D74-40DE-A7EE-143CBE71676B}">
  <ds:schemaRefs>
    <ds:schemaRef ds:uri="http://schemas.microsoft.com/sharepoint/v3/contenttype/forms"/>
  </ds:schemaRefs>
</ds:datastoreItem>
</file>

<file path=customXml/itemProps2.xml><?xml version="1.0" encoding="utf-8"?>
<ds:datastoreItem xmlns:ds="http://schemas.openxmlformats.org/officeDocument/2006/customXml" ds:itemID="{9A06E769-E192-4228-8232-1EE943A69FA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90DEEEA-EB08-4A19-8ABE-41622C675500}">
  <ds:schemaRefs>
    <ds:schemaRef ds:uri="http://schemas.openxmlformats.org/officeDocument/2006/bibliography"/>
  </ds:schemaRefs>
</ds:datastoreItem>
</file>

<file path=customXml/itemProps4.xml><?xml version="1.0" encoding="utf-8"?>
<ds:datastoreItem xmlns:ds="http://schemas.openxmlformats.org/officeDocument/2006/customXml" ds:itemID="{2ED7A0C0-F41C-49DB-965B-0595AC08ED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120054-71ee-4cf7-911a-9ebba9f84a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51</Pages>
  <Words>72734</Words>
  <Characters>443684</Characters>
  <Application>Microsoft Office Word</Application>
  <DocSecurity>0</DocSecurity>
  <Lines>3697</Lines>
  <Paragraphs>1030</Paragraphs>
  <ScaleCrop>false</ScaleCrop>
  <HeadingPairs>
    <vt:vector size="6" baseType="variant">
      <vt:variant>
        <vt:lpstr>Titel</vt:lpstr>
      </vt:variant>
      <vt:variant>
        <vt:i4>1</vt:i4>
      </vt:variant>
      <vt:variant>
        <vt:lpstr>Title</vt:lpstr>
      </vt:variant>
      <vt:variant>
        <vt:i4>1</vt:i4>
      </vt:variant>
      <vt:variant>
        <vt:lpstr>Título</vt:lpstr>
      </vt:variant>
      <vt:variant>
        <vt:i4>1</vt:i4>
      </vt:variant>
    </vt:vector>
  </HeadingPairs>
  <TitlesOfParts>
    <vt:vector size="3" baseType="lpstr">
      <vt:lpstr/>
      <vt:lpstr/>
      <vt:lpstr/>
    </vt:vector>
  </TitlesOfParts>
  <Company/>
  <LinksUpToDate>false</LinksUpToDate>
  <CharactersWithSpaces>515388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Andrew Balmford</dc:creator>
  <cp:lastModifiedBy>Kristian Steensen Nielsen</cp:lastModifiedBy>
  <cp:revision>2</cp:revision>
  <dcterms:created xsi:type="dcterms:W3CDTF">2021-07-12T06:36:00Z</dcterms:created>
  <dcterms:modified xsi:type="dcterms:W3CDTF">2021-07-12T06:36:00Z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http://www.zotero.org/styles/biological-conservation</vt:lpwstr>
  </property>
  <property fmtid="{D5CDD505-2E9C-101B-9397-08002B2CF9AE}" pid="7" name="Mendeley Recent Style Name 2_1">
    <vt:lpwstr>Biological Conservation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http://www.zotero.org/styles/conservation-biology</vt:lpwstr>
  </property>
  <property fmtid="{D5CDD505-2E9C-101B-9397-08002B2CF9AE}" pid="11" name="Mendeley Recent Style Name 4_1">
    <vt:lpwstr>Conservation Biology</vt:lpwstr>
  </property>
  <property fmtid="{D5CDD505-2E9C-101B-9397-08002B2CF9AE}" pid="12" name="Mendeley Recent Style Id 5_1">
    <vt:lpwstr>http://csl.mendeley.com/styles/494564861/conservation-biology</vt:lpwstr>
  </property>
  <property fmtid="{D5CDD505-2E9C-101B-9397-08002B2CF9AE}" pid="13" name="Mendeley Recent Style Name 5_1">
    <vt:lpwstr>Conservation Biology - Kristian Steensen Nielsen</vt:lpwstr>
  </property>
  <property fmtid="{D5CDD505-2E9C-101B-9397-08002B2CF9AE}" pid="14" name="Mendeley Recent Style Id 6_1">
    <vt:lpwstr>http://www.zotero.org/styles/global-environmental-change</vt:lpwstr>
  </property>
  <property fmtid="{D5CDD505-2E9C-101B-9397-08002B2CF9AE}" pid="15" name="Mendeley Recent Style Name 6_1">
    <vt:lpwstr>Global Environmental Change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http://www.zotero.org/styles/sustainable-production-and-consumption</vt:lpwstr>
  </property>
  <property fmtid="{D5CDD505-2E9C-101B-9397-08002B2CF9AE}" pid="21" name="Mendeley Recent Style Name 9_1">
    <vt:lpwstr>Sustainable Production and Consumption</vt:lpwstr>
  </property>
  <property fmtid="{D5CDD505-2E9C-101B-9397-08002B2CF9AE}" pid="22" name="Mendeley Document_1">
    <vt:lpwstr>True</vt:lpwstr>
  </property>
  <property fmtid="{D5CDD505-2E9C-101B-9397-08002B2CF9AE}" pid="23" name="Mendeley Unique User Id_1">
    <vt:lpwstr>cafcd473-0c39-32ee-8831-85f0a6d94834</vt:lpwstr>
  </property>
  <property fmtid="{D5CDD505-2E9C-101B-9397-08002B2CF9AE}" pid="24" name="Mendeley Citation Style_1">
    <vt:lpwstr>http://www.zotero.org/styles/biological-conservation</vt:lpwstr>
  </property>
  <property fmtid="{D5CDD505-2E9C-101B-9397-08002B2CF9AE}" pid="25" name="ContentTypeId">
    <vt:lpwstr>0x010100C13C9F7BB5623149B7C0FA12F3511E27</vt:lpwstr>
  </property>
</Properties>
</file>