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body>
    <w:p>
      <w:pPr>
        <w:pStyle w:val="Body"/>
        <w:spacing w:line="360" w:lineRule="auto"/>
        <w:jc w:val="left"/>
        <w:rPr>
          <w:b w:val="1"/>
          <w:bCs w:val="1"/>
          <w:sz w:val="24"/>
          <w:szCs w:val="24"/>
          <w:u w:val="single"/>
        </w:rPr>
      </w:pPr>
      <w:r>
        <w:rPr>
          <w:b w:val="1"/>
          <w:bCs w:val="1"/>
          <w:sz w:val="24"/>
          <w:szCs w:val="24"/>
          <w:u w:val="single"/>
          <w:rtl w:val="0"/>
          <w:lang w:val="en-US"/>
        </w:rPr>
        <w:t>Quantifying Death, Calculating Revenge:</w:t>
      </w:r>
    </w:p>
    <w:p>
      <w:pPr>
        <w:pStyle w:val="Body"/>
        <w:spacing w:line="360" w:lineRule="auto"/>
        <w:jc w:val="left"/>
        <w:rPr>
          <w:b w:val="1"/>
          <w:bCs w:val="1"/>
          <w:sz w:val="24"/>
          <w:szCs w:val="24"/>
          <w:u w:val="single"/>
        </w:rPr>
      </w:pPr>
      <w:r>
        <w:rPr>
          <w:b w:val="1"/>
          <w:bCs w:val="1"/>
          <w:sz w:val="24"/>
          <w:szCs w:val="24"/>
          <w:u w:val="single"/>
          <w:rtl w:val="0"/>
          <w:lang w:val="en-US"/>
        </w:rPr>
        <w:t>Mathematical Justice in Henry Chettle</w:t>
      </w:r>
      <w:r>
        <w:rPr>
          <w:rFonts w:hAnsi="Helvetica" w:hint="default"/>
          <w:b w:val="1"/>
          <w:bCs w:val="1"/>
          <w:sz w:val="24"/>
          <w:szCs w:val="24"/>
          <w:u w:val="single"/>
          <w:rtl w:val="0"/>
          <w:lang w:val="en-US"/>
        </w:rPr>
        <w:t>’</w:t>
      </w:r>
      <w:r>
        <w:rPr>
          <w:b w:val="1"/>
          <w:bCs w:val="1"/>
          <w:sz w:val="24"/>
          <w:szCs w:val="24"/>
          <w:u w:val="single"/>
          <w:rtl w:val="0"/>
          <w:lang w:val="en-US"/>
        </w:rPr>
        <w:t xml:space="preserve">s </w:t>
      </w:r>
      <w:r>
        <w:rPr>
          <w:b w:val="1"/>
          <w:bCs w:val="1"/>
          <w:i w:val="1"/>
          <w:iCs w:val="1"/>
          <w:sz w:val="24"/>
          <w:szCs w:val="24"/>
          <w:u w:val="single"/>
          <w:rtl w:val="0"/>
          <w:lang w:val="en-US"/>
        </w:rPr>
        <w:t>Tragedy of Hoffman</w:t>
      </w:r>
    </w:p>
    <w:p>
      <w:pPr>
        <w:pStyle w:val="Body"/>
        <w:spacing w:line="360" w:lineRule="auto"/>
        <w:jc w:val="left"/>
        <w:rPr>
          <w:b w:val="1"/>
          <w:bCs w:val="1"/>
          <w:u w:val="single"/>
        </w:rPr>
      </w:pPr>
    </w:p>
    <w:p>
      <w:pPr>
        <w:pStyle w:val="Body"/>
        <w:spacing w:line="360" w:lineRule="auto"/>
        <w:jc w:val="left"/>
      </w:pPr>
      <w:r>
        <w:rPr>
          <w:rtl w:val="0"/>
          <w:lang w:val="en-US"/>
        </w:rPr>
        <w:t xml:space="preserve">Sir Francis Bacon was not entirely opposed to vengeance. </w:t>
      </w:r>
      <w:r>
        <w:rPr>
          <w:rFonts w:hAnsi="Helvetica" w:hint="default"/>
          <w:rtl w:val="0"/>
          <w:lang w:val="en-US"/>
        </w:rPr>
        <w:t>‘</w:t>
      </w:r>
      <w:r>
        <w:rPr>
          <w:rtl w:val="0"/>
          <w:lang w:val="en-US"/>
        </w:rPr>
        <w:t xml:space="preserve">The most tolerable Sort of </w:t>
      </w:r>
      <w:r>
        <w:rPr>
          <w:i w:val="1"/>
          <w:iCs w:val="1"/>
          <w:rtl w:val="0"/>
          <w:lang w:val="en-US"/>
        </w:rPr>
        <w:t>Revenge</w:t>
      </w:r>
      <w:r>
        <w:rPr>
          <w:rFonts w:hAnsi="Helvetica" w:hint="default"/>
          <w:rtl w:val="0"/>
          <w:lang w:val="en-US"/>
        </w:rPr>
        <w:t>’</w:t>
      </w:r>
      <w:r>
        <w:rPr>
          <w:rtl w:val="0"/>
          <w:lang w:val="en-US"/>
        </w:rPr>
        <w:t xml:space="preserve">, he wrote, in his infamous essay on the subject, </w:t>
      </w:r>
      <w:r>
        <w:rPr>
          <w:rFonts w:hAnsi="Helvetica" w:hint="default"/>
          <w:rtl w:val="0"/>
          <w:lang w:val="en-US"/>
        </w:rPr>
        <w:t>‘</w:t>
      </w:r>
      <w:r>
        <w:rPr>
          <w:rtl w:val="0"/>
          <w:lang w:val="en-US"/>
        </w:rPr>
        <w:t>is for those wrongs which there is no Law to remedy</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But then</w:t>
      </w:r>
      <w:r>
        <w:rPr>
          <w:rFonts w:hAnsi="Helvetica" w:hint="default"/>
          <w:rtl w:val="0"/>
          <w:lang w:val="en-US"/>
        </w:rPr>
        <w:t>’</w:t>
      </w:r>
      <w:r>
        <w:rPr>
          <w:rtl w:val="0"/>
          <w:lang w:val="en-US"/>
        </w:rPr>
        <w:t xml:space="preserve">, he cautioned, </w:t>
      </w:r>
      <w:r>
        <w:rPr>
          <w:rFonts w:hAnsi="Helvetica" w:hint="default"/>
          <w:rtl w:val="0"/>
          <w:lang w:val="en-US"/>
        </w:rPr>
        <w:t>‘</w:t>
      </w:r>
      <w:r>
        <w:rPr>
          <w:rtl w:val="0"/>
          <w:lang w:val="en-US"/>
        </w:rPr>
        <w:t xml:space="preserve">let a man take heed, the </w:t>
      </w:r>
      <w:r>
        <w:rPr>
          <w:i w:val="1"/>
          <w:iCs w:val="1"/>
          <w:rtl w:val="0"/>
          <w:lang w:val="en-US"/>
        </w:rPr>
        <w:t>Revenge</w:t>
      </w:r>
      <w:r>
        <w:rPr>
          <w:rtl w:val="0"/>
          <w:lang w:val="en-US"/>
        </w:rPr>
        <w:t xml:space="preserve"> be such, as there is no law to punish: Else, a Mans Enemy, is still at hand, And it is two for one.</w:t>
      </w:r>
      <w:r>
        <w:rPr>
          <w:rFonts w:hAnsi="Helvetica" w:hint="default"/>
          <w:rtl w:val="0"/>
          <w:lang w:val="en-US"/>
        </w:rPr>
        <w:t>’</w:t>
      </w:r>
      <w:r>
        <w:rPr>
          <w:rFonts w:ascii="Times New Roman" w:cs="Times New Roman" w:hAnsi="Times New Roman" w:eastAsia="Times New Roman"/>
          <w:vertAlign w:val="superscript"/>
        </w:rPr>
        <w:footnoteReference w:id="1"/>
      </w:r>
      <w:r>
        <w:rPr>
          <w:rtl w:val="0"/>
          <w:lang w:val="en-US"/>
        </w:rPr>
        <w:t xml:space="preserve"> Bacon understood revenge as an extralegal method of getting even, of obtaining an equivalent redress for a wrong. A </w:t>
      </w:r>
      <w:r>
        <w:rPr>
          <w:rFonts w:hAnsi="Helvetica" w:hint="default"/>
          <w:rtl w:val="0"/>
          <w:lang w:val="en-US"/>
        </w:rPr>
        <w:t>‘</w:t>
      </w:r>
      <w:r>
        <w:rPr>
          <w:rtl w:val="0"/>
          <w:lang w:val="en-US"/>
        </w:rPr>
        <w:t>wilde justice</w:t>
      </w:r>
      <w:r>
        <w:rPr>
          <w:rFonts w:hAnsi="Helvetica" w:hint="default"/>
          <w:rtl w:val="0"/>
          <w:lang w:val="en-US"/>
        </w:rPr>
        <w:t xml:space="preserve">’ </w:t>
      </w:r>
      <w:r>
        <w:rPr>
          <w:rtl w:val="0"/>
          <w:lang w:val="en-US"/>
        </w:rPr>
        <w:t>was a justice nonetheless, and revenge, like the courts, should aim at re-setting the balance of justice to a symmetrical one for one. If a revenge action could in turn be punished by law, however, it was rendered futile, for the initial instigator of the injustice would remain one up on the reacting revenger: equilibrium would not have been re-attained. Bacon</w:t>
      </w:r>
      <w:r>
        <w:rPr>
          <w:rFonts w:hAnsi="Helvetica" w:hint="default"/>
          <w:rtl w:val="0"/>
          <w:lang w:val="en-US"/>
        </w:rPr>
        <w:t>’</w:t>
      </w:r>
      <w:r>
        <w:rPr>
          <w:rtl w:val="0"/>
          <w:lang w:val="en-US"/>
        </w:rPr>
        <w:t xml:space="preserve">s impulse to quantify this process, to make civil wrongs and their retributive counterparts commensurate with numbers, was not singular to him, but part of a larger cultural process that applied basic mathematical principles to abstract justice. </w:t>
      </w:r>
      <w:r>
        <w:rPr>
          <w:rtl w:val="0"/>
          <w:lang w:val="nl-NL"/>
        </w:rPr>
        <w:t>John Dee,</w:t>
      </w:r>
      <w:r>
        <w:rPr>
          <w:rtl w:val="0"/>
          <w:lang w:val="en-US"/>
        </w:rPr>
        <w:t xml:space="preserve"> for example,</w:t>
      </w:r>
      <w:r>
        <w:rPr>
          <w:rtl w:val="0"/>
          <w:lang w:val="en-US"/>
        </w:rPr>
        <w:t xml:space="preserve"> in what might be called his manifesto for</w:t>
      </w:r>
      <w:r>
        <w:rPr>
          <w:rtl w:val="0"/>
          <w:lang w:val="en-US"/>
        </w:rPr>
        <w:t xml:space="preserve"> </w:t>
      </w:r>
      <w:r>
        <w:rPr>
          <w:rtl w:val="0"/>
          <w:lang w:val="en-US"/>
        </w:rPr>
        <w:t xml:space="preserve">mathematics, </w:t>
      </w:r>
      <w:r>
        <w:rPr>
          <w:rtl w:val="0"/>
          <w:lang w:val="en-US"/>
        </w:rPr>
        <w:t xml:space="preserve">asked: </w:t>
      </w:r>
      <w:r>
        <w:rPr>
          <w:rFonts w:hAnsi="Helvetica" w:hint="default"/>
          <w:rtl w:val="0"/>
          <w:lang w:val="en-US"/>
        </w:rPr>
        <w:t>’</w:t>
      </w:r>
      <w:r>
        <w:rPr>
          <w:rtl w:val="0"/>
          <w:lang w:val="en-US"/>
        </w:rPr>
        <w:t xml:space="preserve">What nede I, (for farder profe to you) of the Scholemasters of Iustice, to require testimony: how nedefull, how frutefull, how skillfull a thing </w:t>
      </w:r>
      <w:r>
        <w:rPr>
          <w:i w:val="1"/>
          <w:iCs w:val="1"/>
          <w:rtl w:val="0"/>
          <w:lang w:val="en-US"/>
        </w:rPr>
        <w:t xml:space="preserve">Arithmetike </w:t>
      </w:r>
      <w:r>
        <w:rPr>
          <w:rtl w:val="0"/>
          <w:lang w:val="en-US"/>
        </w:rPr>
        <w:t>is?</w:t>
      </w:r>
      <w:r>
        <w:rPr>
          <w:rFonts w:hAnsi="Helvetica" w:hint="default"/>
          <w:rtl w:val="0"/>
          <w:lang w:val="en-US"/>
        </w:rPr>
        <w:t>’ ‘</w:t>
      </w:r>
      <w:r>
        <w:rPr>
          <w:rtl w:val="0"/>
          <w:lang w:val="en-US"/>
        </w:rPr>
        <w:t>I meane</w:t>
      </w:r>
      <w:r>
        <w:rPr>
          <w:rFonts w:hAnsi="Helvetica" w:hint="default"/>
          <w:rtl w:val="0"/>
          <w:lang w:val="en-US"/>
        </w:rPr>
        <w:t>’</w:t>
      </w:r>
      <w:r>
        <w:rPr>
          <w:rtl w:val="0"/>
          <w:lang w:val="en-US"/>
        </w:rPr>
        <w:t xml:space="preserve">, he continued, </w:t>
      </w:r>
      <w:r>
        <w:rPr>
          <w:rFonts w:hAnsi="Helvetica" w:hint="default"/>
          <w:rtl w:val="0"/>
          <w:lang w:val="en-US"/>
        </w:rPr>
        <w:t>‘</w:t>
      </w:r>
      <w:r>
        <w:rPr>
          <w:rtl w:val="0"/>
          <w:lang w:val="en-US"/>
        </w:rPr>
        <w:t xml:space="preserve">how, neither the Auncient Romaine lawes, without good knowledge of </w:t>
      </w:r>
      <w:r>
        <w:rPr>
          <w:i w:val="1"/>
          <w:iCs w:val="1"/>
          <w:rtl w:val="0"/>
          <w:lang w:val="en-US"/>
        </w:rPr>
        <w:t>Numbers art</w:t>
      </w:r>
      <w:r>
        <w:rPr>
          <w:rtl w:val="0"/>
          <w:lang w:val="en-US"/>
        </w:rPr>
        <w:t>, can be perceiued: Nor (Iustice in infinite Cases) without due proportion, (narrowly considered) is hable to be executed.</w:t>
      </w:r>
      <w:r>
        <w:rPr>
          <w:rFonts w:hAnsi="Helvetica" w:hint="default"/>
          <w:rtl w:val="0"/>
          <w:lang w:val="en-US"/>
        </w:rPr>
        <w:t>’</w:t>
      </w:r>
      <w:r>
        <w:rPr>
          <w:rFonts w:ascii="Times New Roman" w:cs="Times New Roman" w:hAnsi="Times New Roman" w:eastAsia="Times New Roman"/>
          <w:vertAlign w:val="superscript"/>
        </w:rPr>
        <w:footnoteReference w:id="2"/>
      </w:r>
      <w:r>
        <w:rPr>
          <w:rtl w:val="0"/>
          <w:lang w:val="en-US"/>
        </w:rPr>
        <w:t xml:space="preserve"> For Bacon and Dee, justice was all in the numbers, and both judicial and extra-judicial process was most effective when it was guided by the firm hand of mathematical objectivity. </w:t>
      </w:r>
    </w:p>
    <w:p>
      <w:pPr>
        <w:pStyle w:val="Body"/>
        <w:spacing w:line="360" w:lineRule="auto"/>
        <w:jc w:val="left"/>
      </w:pPr>
      <w:r>
        <w:tab/>
      </w:r>
      <w:r>
        <w:rPr>
          <w:rtl w:val="0"/>
        </w:rPr>
        <w:t>Bacon</w:t>
      </w:r>
      <w:r>
        <w:rPr>
          <w:rFonts w:hAnsi="Helvetica" w:hint="default"/>
          <w:rtl w:val="0"/>
          <w:lang w:val="fr-FR"/>
        </w:rPr>
        <w:t>’</w:t>
      </w:r>
      <w:r>
        <w:rPr>
          <w:rtl w:val="0"/>
          <w:lang w:val="en-US"/>
        </w:rPr>
        <w:t xml:space="preserve">s numbers are, </w:t>
      </w:r>
      <w:r>
        <w:rPr>
          <w:rtl w:val="0"/>
          <w:lang w:val="en-US"/>
        </w:rPr>
        <w:t>though</w:t>
      </w:r>
      <w:r>
        <w:rPr>
          <w:rtl w:val="0"/>
        </w:rPr>
        <w:t xml:space="preserve">, </w:t>
      </w:r>
      <w:r>
        <w:rPr>
          <w:rtl w:val="0"/>
          <w:lang w:val="en-US"/>
        </w:rPr>
        <w:t xml:space="preserve">of course, </w:t>
      </w:r>
      <w:r>
        <w:rPr>
          <w:rtl w:val="0"/>
          <w:lang w:val="en-US"/>
        </w:rPr>
        <w:t xml:space="preserve">a drastic simplification of a complex </w:t>
      </w:r>
      <w:r>
        <w:rPr>
          <w:rtl w:val="0"/>
          <w:lang w:val="en-US"/>
        </w:rPr>
        <w:t xml:space="preserve">and somewhat abstract </w:t>
      </w:r>
      <w:r>
        <w:rPr>
          <w:rtl w:val="0"/>
        </w:rPr>
        <w:t>process</w:t>
      </w:r>
      <w:r>
        <w:rPr>
          <w:rtl w:val="0"/>
          <w:lang w:val="en-US"/>
        </w:rPr>
        <w:t xml:space="preserve">, in which the parameters of equivalence, balance, equilibrium are, being outside the realm of pure mathematics, deeply subjective. As John Kerrigan has noted: </w:t>
      </w:r>
      <w:r>
        <w:rPr>
          <w:rFonts w:hAnsi="Helvetica" w:hint="default"/>
          <w:rtl w:val="0"/>
          <w:lang w:val="en-US"/>
        </w:rPr>
        <w:t>‘</w:t>
      </w:r>
      <w:r>
        <w:rPr>
          <w:rtl w:val="0"/>
          <w:lang w:val="en-US"/>
        </w:rPr>
        <w:t>d</w:t>
      </w:r>
      <w:r>
        <w:rPr>
          <w:rtl w:val="0"/>
          <w:lang w:val="en-US"/>
        </w:rPr>
        <w:t>espite the principle of equivalence</w:t>
      </w:r>
      <w:r>
        <w:rPr>
          <w:rtl w:val="0"/>
          <w:lang w:val="en-US"/>
        </w:rPr>
        <w:t>,</w:t>
      </w:r>
      <w:r>
        <w:rPr>
          <w:rtl w:val="0"/>
          <w:lang w:val="en-US"/>
        </w:rPr>
        <w:t xml:space="preserve"> there is a residual asymmetry between A</w:t>
      </w:r>
      <w:r>
        <w:rPr>
          <w:rFonts w:hAnsi="Helvetica" w:hint="default"/>
          <w:rtl w:val="0"/>
          <w:lang w:val="fr-FR"/>
        </w:rPr>
        <w:t>’</w:t>
      </w:r>
      <w:r>
        <w:rPr>
          <w:rtl w:val="0"/>
          <w:lang w:val="en-US"/>
        </w:rPr>
        <w:t>s blow and B</w:t>
      </w:r>
      <w:r>
        <w:rPr>
          <w:rFonts w:hAnsi="Helvetica" w:hint="default"/>
          <w:rtl w:val="0"/>
          <w:lang w:val="fr-FR"/>
        </w:rPr>
        <w:t>’</w:t>
      </w:r>
      <w:r>
        <w:rPr>
          <w:rtl w:val="0"/>
          <w:lang w:val="en-US"/>
        </w:rPr>
        <w:t>s retaliation (in that the former is unprovoked and asks for several blows in return).</w:t>
      </w:r>
      <w:r>
        <w:rPr>
          <w:rFonts w:hAnsi="Helvetica" w:hint="default"/>
          <w:rtl w:val="0"/>
          <w:lang w:val="en-US"/>
        </w:rPr>
        <w:t>’</w:t>
      </w:r>
      <w:r>
        <w:rPr>
          <w:rFonts w:ascii="Times New Roman" w:cs="Times New Roman" w:hAnsi="Times New Roman" w:eastAsia="Times New Roman"/>
          <w:vertAlign w:val="superscript"/>
        </w:rPr>
        <w:footnoteReference w:id="3"/>
      </w:r>
      <w:r>
        <w:rPr>
          <w:rtl w:val="0"/>
          <w:lang w:val="en-US"/>
        </w:rPr>
        <w:t xml:space="preserve"> From this perspective, navigating revenge numerically becomes difficult: a ratio of 1:1 will no longer suffice, and the second term becomes dangerously ambiguous. How much </w:t>
      </w:r>
      <w:r>
        <w:rPr>
          <w:rtl w:val="0"/>
          <w:lang w:val="en-US"/>
        </w:rPr>
        <w:t>punishment</w:t>
      </w:r>
      <w:r>
        <w:rPr>
          <w:rtl w:val="0"/>
          <w:lang w:val="en-US"/>
        </w:rPr>
        <w:t xml:space="preserve"> is enough? The ostensibly unanswerable nature of this question is perhaps what led Margaret Atwood to argue that actions associated with vengeance </w:t>
      </w:r>
      <w:r>
        <w:rPr>
          <w:rFonts w:hAnsi="Helvetica" w:hint="default"/>
          <w:rtl w:val="0"/>
          <w:lang w:val="en-US"/>
        </w:rPr>
        <w:t>‘</w:t>
      </w:r>
      <w:r>
        <w:rPr>
          <w:rtl w:val="0"/>
          <w:lang w:val="en-US"/>
        </w:rPr>
        <w:t>cannot be quantified - they</w:t>
      </w:r>
      <w:r>
        <w:rPr>
          <w:rFonts w:hAnsi="Helvetica" w:hint="default"/>
          <w:rtl w:val="0"/>
          <w:lang w:val="en-US"/>
        </w:rPr>
        <w:t>’</w:t>
      </w:r>
      <w:r>
        <w:rPr>
          <w:rtl w:val="0"/>
          <w:lang w:val="en-US"/>
        </w:rPr>
        <w:t>re evaluated subjectively, like art - so there</w:t>
      </w:r>
      <w:r>
        <w:rPr>
          <w:rFonts w:hAnsi="Helvetica" w:hint="default"/>
          <w:rtl w:val="0"/>
          <w:lang w:val="en-US"/>
        </w:rPr>
        <w:t>’</w:t>
      </w:r>
      <w:r>
        <w:rPr>
          <w:rtl w:val="0"/>
          <w:lang w:val="en-US"/>
        </w:rPr>
        <w:t>s no way of telling whether any given revenge item has in fact evened the scales.</w:t>
      </w:r>
      <w:r>
        <w:rPr>
          <w:rFonts w:hAnsi="Helvetica" w:hint="default"/>
          <w:rtl w:val="0"/>
          <w:lang w:val="en-US"/>
        </w:rPr>
        <w:t>’</w:t>
      </w:r>
      <w:r>
        <w:rPr>
          <w:rFonts w:ascii="Times New Roman" w:cs="Times New Roman" w:hAnsi="Times New Roman" w:eastAsia="Times New Roman"/>
          <w:vertAlign w:val="superscript"/>
        </w:rPr>
        <w:footnoteReference w:id="4"/>
      </w:r>
      <w:r>
        <w:rPr>
          <w:rtl w:val="0"/>
          <w:lang w:val="en-US"/>
        </w:rPr>
        <w:t xml:space="preserve"> Of course, anything can be subjected to quantification, but it is true that the process loses much of its power when the same objects are quantified differently by different subjects; the potential of mathematics is supposed to lie in its universality. Revenge and justice in particular proliferate opinions as to the appropriateness of their extent and scope, so that attempts to numerate </w:t>
      </w:r>
      <w:r>
        <w:rPr>
          <w:rtl w:val="0"/>
        </w:rPr>
        <w:t>crime</w:t>
      </w:r>
      <w:r>
        <w:rPr>
          <w:rtl w:val="0"/>
          <w:lang w:val="en-US"/>
        </w:rPr>
        <w:t>s</w:t>
      </w:r>
      <w:r>
        <w:rPr>
          <w:rtl w:val="0"/>
          <w:lang w:val="en-US"/>
        </w:rPr>
        <w:t xml:space="preserve"> and </w:t>
      </w:r>
      <w:r>
        <w:rPr>
          <w:rtl w:val="0"/>
          <w:lang w:val="en-US"/>
        </w:rPr>
        <w:t xml:space="preserve">their </w:t>
      </w:r>
      <w:r>
        <w:rPr>
          <w:rtl w:val="0"/>
          <w:lang w:val="en-US"/>
        </w:rPr>
        <w:t>punishment</w:t>
      </w:r>
      <w:r>
        <w:rPr>
          <w:rtl w:val="0"/>
          <w:lang w:val="en-US"/>
        </w:rPr>
        <w:t xml:space="preserve">s have only a limited utility: they </w:t>
      </w:r>
      <w:r>
        <w:rPr>
          <w:rtl w:val="0"/>
          <w:lang w:val="en-US"/>
        </w:rPr>
        <w:t xml:space="preserve">create as many discrepancies as </w:t>
      </w:r>
      <w:r>
        <w:rPr>
          <w:rtl w:val="0"/>
          <w:lang w:val="en-US"/>
        </w:rPr>
        <w:t>they</w:t>
      </w:r>
      <w:r>
        <w:rPr>
          <w:rtl w:val="0"/>
          <w:lang w:val="it-IT"/>
        </w:rPr>
        <w:t xml:space="preserve"> quash.</w:t>
      </w:r>
    </w:p>
    <w:p>
      <w:pPr>
        <w:pStyle w:val="Body"/>
        <w:spacing w:line="360" w:lineRule="auto"/>
        <w:jc w:val="left"/>
      </w:pPr>
      <w:r>
        <w:tab/>
      </w:r>
      <w:r>
        <w:rPr>
          <w:rtl w:val="0"/>
          <w:lang w:val="en-US"/>
        </w:rPr>
        <w:t>Early modern revenge drama was particularly sensitive to such discrepancies.</w:t>
      </w:r>
      <w:r>
        <w:rPr>
          <w:rtl w:val="0"/>
          <w:lang w:val="en-US"/>
        </w:rPr>
        <w:t xml:space="preserve"> The protagonists of the genre</w:t>
      </w:r>
      <w:r>
        <w:rPr>
          <w:rFonts w:hAnsi="Helvetica" w:hint="default"/>
          <w:rtl w:val="0"/>
          <w:lang w:val="en-US"/>
        </w:rPr>
        <w:t>—</w:t>
      </w:r>
      <w:r>
        <w:rPr>
          <w:rtl w:val="0"/>
          <w:lang w:val="nl-NL"/>
        </w:rPr>
        <w:t>Hieronimo, Hamlet</w:t>
      </w:r>
      <w:r>
        <w:rPr>
          <w:rtl w:val="0"/>
          <w:lang w:val="en-US"/>
        </w:rPr>
        <w:t xml:space="preserve">, </w:t>
      </w:r>
      <w:r>
        <w:rPr>
          <w:rtl w:val="0"/>
        </w:rPr>
        <w:t>Vindice</w:t>
      </w:r>
      <w:r>
        <w:rPr>
          <w:rFonts w:hAnsi="Helvetica" w:hint="default"/>
          <w:rtl w:val="0"/>
          <w:lang w:val="en-US"/>
        </w:rPr>
        <w:t>—</w:t>
      </w:r>
      <w:r>
        <w:rPr>
          <w:rtl w:val="0"/>
          <w:lang w:val="en-US"/>
        </w:rPr>
        <w:t>rarely ever find more than partial satisfaction in their quests for justice (</w:t>
      </w:r>
      <w:r>
        <w:rPr>
          <w:rFonts w:hAnsi="Helvetica" w:hint="default"/>
          <w:rtl w:val="0"/>
          <w:lang w:val="en-US"/>
        </w:rPr>
        <w:t>‘</w:t>
      </w:r>
      <w:r>
        <w:rPr>
          <w:rtl w:val="0"/>
          <w:lang w:val="en-US"/>
        </w:rPr>
        <w:t>wilde</w:t>
      </w:r>
      <w:r>
        <w:rPr>
          <w:rFonts w:hAnsi="Helvetica" w:hint="default"/>
          <w:rtl w:val="0"/>
          <w:lang w:val="en-US"/>
        </w:rPr>
        <w:t xml:space="preserve">’ </w:t>
      </w:r>
      <w:r>
        <w:rPr>
          <w:rtl w:val="0"/>
          <w:lang w:val="en-US"/>
        </w:rPr>
        <w:t>or otherwise), and their often conflicted psychologies purposefully problematise defining the required or justified extent of retribution. In this article, I will focus on one somewhat neglected revenge play, Henry Chettle</w:t>
      </w:r>
      <w:r>
        <w:rPr>
          <w:rFonts w:hAnsi="Helvetica" w:hint="default"/>
          <w:rtl w:val="0"/>
          <w:lang w:val="en-US"/>
        </w:rPr>
        <w:t>’</w:t>
      </w:r>
      <w:r>
        <w:rPr>
          <w:rtl w:val="0"/>
          <w:lang w:val="en-US"/>
        </w:rPr>
        <w:t xml:space="preserve">s </w:t>
      </w:r>
      <w:r>
        <w:rPr>
          <w:i w:val="1"/>
          <w:iCs w:val="1"/>
          <w:rtl w:val="0"/>
          <w:lang w:val="en-US"/>
        </w:rPr>
        <w:t>Tragedy of Hoffman</w:t>
      </w:r>
      <w:r>
        <w:rPr>
          <w:rtl w:val="0"/>
          <w:lang w:val="en-US"/>
        </w:rPr>
        <w:t>, and argue that it stands apart from either Kerrigan</w:t>
      </w:r>
      <w:r>
        <w:rPr>
          <w:rFonts w:hAnsi="Helvetica" w:hint="default"/>
          <w:rtl w:val="0"/>
          <w:lang w:val="en-US"/>
        </w:rPr>
        <w:t>’</w:t>
      </w:r>
      <w:r>
        <w:rPr>
          <w:rtl w:val="0"/>
          <w:lang w:val="en-US"/>
        </w:rPr>
        <w:t>s influential account of revenge tragedy as continual escalation,</w:t>
      </w:r>
      <w:r>
        <w:rPr>
          <w:rFonts w:ascii="Times New Roman" w:cs="Times New Roman" w:hAnsi="Times New Roman" w:eastAsia="Times New Roman"/>
          <w:vertAlign w:val="superscript"/>
        </w:rPr>
        <w:footnoteReference w:id="5"/>
      </w:r>
      <w:r>
        <w:rPr>
          <w:rtl w:val="0"/>
          <w:lang w:val="en-US"/>
        </w:rPr>
        <w:t xml:space="preserve"> or Linda Woodbridge</w:t>
      </w:r>
      <w:r>
        <w:rPr>
          <w:rFonts w:hAnsi="Helvetica" w:hint="default"/>
          <w:rtl w:val="0"/>
          <w:lang w:val="en-US"/>
        </w:rPr>
        <w:t>’</w:t>
      </w:r>
      <w:r>
        <w:rPr>
          <w:rtl w:val="0"/>
          <w:lang w:val="en-US"/>
        </w:rPr>
        <w:t xml:space="preserve">s more recent account of revenge tragedy as </w:t>
      </w:r>
      <w:r>
        <w:rPr>
          <w:rFonts w:hAnsi="Helvetica" w:hint="default"/>
          <w:rtl w:val="0"/>
          <w:lang w:val="en-US"/>
        </w:rPr>
        <w:t>‘</w:t>
      </w:r>
      <w:r>
        <w:rPr>
          <w:rtl w:val="0"/>
          <w:lang w:val="en-US"/>
        </w:rPr>
        <w:t>bilateral symmetry</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6"/>
      </w:r>
      <w:r>
        <w:rPr>
          <w:rtl w:val="0"/>
          <w:lang w:val="en-US"/>
        </w:rPr>
        <w:t xml:space="preserve"> In </w:t>
      </w:r>
      <w:r>
        <w:rPr>
          <w:i w:val="1"/>
          <w:iCs w:val="1"/>
          <w:rtl w:val="0"/>
          <w:lang w:val="en-US"/>
        </w:rPr>
        <w:t>Hoffman</w:t>
      </w:r>
      <w:r>
        <w:rPr>
          <w:rtl w:val="0"/>
          <w:lang w:val="en-US"/>
        </w:rPr>
        <w:t>, the quantification of death and the concomitant mathematical calculation of an appropriate revenge are made a particularly explicit component of the play</w:t>
      </w:r>
      <w:r>
        <w:rPr>
          <w:rFonts w:hAnsi="Helvetica" w:hint="default"/>
          <w:rtl w:val="0"/>
          <w:lang w:val="en-US"/>
        </w:rPr>
        <w:t>’</w:t>
      </w:r>
      <w:r>
        <w:rPr>
          <w:rtl w:val="0"/>
          <w:lang w:val="en-US"/>
        </w:rPr>
        <w:t>s aesthetic, so that two distinct models of revenge are permitted to emerge: one relies upon the geometrical proportionality inherent to the concept of distributive justice, and the other relies upon the arithmetical proportionality inherent to the concept of corrective, or rectificatory justice. By placing these two overtly mathematical models of revenge-justice into a productive counterpoint, Chettle</w:t>
      </w:r>
      <w:r>
        <w:rPr>
          <w:rFonts w:hAnsi="Helvetica" w:hint="default"/>
          <w:rtl w:val="0"/>
          <w:lang w:val="en-US"/>
        </w:rPr>
        <w:t>’</w:t>
      </w:r>
      <w:r>
        <w:rPr>
          <w:rtl w:val="0"/>
          <w:lang w:val="en-US"/>
        </w:rPr>
        <w:t>s play is able to i</w:t>
      </w:r>
      <w:r>
        <w:rPr>
          <w:rtl w:val="0"/>
        </w:rPr>
        <w:t>nterrogat</w:t>
      </w:r>
      <w:r>
        <w:rPr>
          <w:rtl w:val="0"/>
          <w:lang w:val="en-US"/>
        </w:rPr>
        <w:t>e</w:t>
      </w:r>
      <w:r>
        <w:rPr>
          <w:rtl w:val="0"/>
          <w:lang w:val="en-US"/>
        </w:rPr>
        <w:t xml:space="preserve"> them </w:t>
      </w:r>
      <w:r>
        <w:rPr>
          <w:rtl w:val="0"/>
          <w:lang w:val="en-US"/>
        </w:rPr>
        <w:t xml:space="preserve">simultaneously </w:t>
      </w:r>
      <w:r>
        <w:rPr>
          <w:rtl w:val="0"/>
          <w:lang w:val="en-US"/>
        </w:rPr>
        <w:t>as two separate architectures of justice, each with their own logics and aesthetics, problematics and justifications</w:t>
      </w:r>
      <w:r>
        <w:rPr>
          <w:rtl w:val="0"/>
          <w:lang w:val="en-US"/>
        </w:rPr>
        <w:t xml:space="preserve">, but also to question where the boundaries between these models might lie, and how the subjective alteration of those boundaries might effect their social and judicial utility. Given that </w:t>
      </w:r>
      <w:r>
        <w:rPr>
          <w:i w:val="1"/>
          <w:iCs w:val="1"/>
          <w:rtl w:val="0"/>
          <w:lang w:val="en-US"/>
        </w:rPr>
        <w:t>Hoffman</w:t>
      </w:r>
      <w:r>
        <w:rPr>
          <w:rFonts w:hAnsi="Helvetica" w:hint="default"/>
          <w:rtl w:val="0"/>
          <w:lang w:val="en-US"/>
        </w:rPr>
        <w:t>’</w:t>
      </w:r>
      <w:r>
        <w:rPr>
          <w:rtl w:val="0"/>
          <w:lang w:val="en-US"/>
        </w:rPr>
        <w:t>s</w:t>
      </w:r>
      <w:r>
        <w:rPr>
          <w:i w:val="1"/>
          <w:iCs w:val="1"/>
          <w:rtl w:val="0"/>
          <w:lang w:val="en-US"/>
        </w:rPr>
        <w:t xml:space="preserve"> </w:t>
      </w:r>
      <w:r>
        <w:rPr>
          <w:rtl w:val="0"/>
          <w:lang w:val="en-US"/>
        </w:rPr>
        <w:t>two judicial-mathematical models had their intellectual origin in Aristotle</w:t>
      </w:r>
      <w:r>
        <w:rPr>
          <w:rFonts w:hAnsi="Helvetica" w:hint="default"/>
          <w:rtl w:val="0"/>
          <w:lang w:val="en-US"/>
        </w:rPr>
        <w:t>’</w:t>
      </w:r>
      <w:r>
        <w:rPr>
          <w:rtl w:val="0"/>
          <w:lang w:val="en-US"/>
        </w:rPr>
        <w:t>s ethical philosophy, it is to Aristotle that I first must turn.</w:t>
      </w:r>
    </w:p>
    <w:p>
      <w:pPr>
        <w:pStyle w:val="Body"/>
        <w:spacing w:line="360" w:lineRule="auto"/>
        <w:jc w:val="center"/>
        <w:rPr>
          <w:b w:val="1"/>
          <w:bCs w:val="1"/>
        </w:rPr>
      </w:pPr>
    </w:p>
    <w:p>
      <w:pPr>
        <w:pStyle w:val="Body"/>
        <w:spacing w:line="360" w:lineRule="auto"/>
        <w:jc w:val="center"/>
        <w:rPr>
          <w:b w:val="1"/>
          <w:bCs w:val="1"/>
        </w:rPr>
      </w:pPr>
      <w:r>
        <w:rPr>
          <w:b w:val="1"/>
          <w:bCs w:val="1"/>
          <w:rtl w:val="0"/>
          <w:lang w:val="en-US"/>
        </w:rPr>
        <w:t>*</w:t>
        <w:tab/>
        <w:t>*</w:t>
        <w:tab/>
        <w:t>*</w:t>
      </w:r>
    </w:p>
    <w:p>
      <w:pPr>
        <w:pStyle w:val="Body"/>
        <w:spacing w:line="360" w:lineRule="auto"/>
        <w:jc w:val="left"/>
        <w:rPr>
          <w:b w:val="1"/>
          <w:bCs w:val="1"/>
          <w:u w:val="single"/>
        </w:rPr>
      </w:pPr>
    </w:p>
    <w:p>
      <w:pPr>
        <w:pStyle w:val="Body"/>
        <w:spacing w:line="360" w:lineRule="auto"/>
        <w:jc w:val="left"/>
      </w:pPr>
      <w:r>
        <w:rPr>
          <w:rtl w:val="0"/>
          <w:lang w:val="en-US"/>
        </w:rPr>
        <w:t>In the fifth book of Aristotle</w:t>
      </w:r>
      <w:r>
        <w:rPr>
          <w:rFonts w:hAnsi="Helvetica" w:hint="default"/>
          <w:rtl w:val="0"/>
          <w:lang w:val="en-US"/>
        </w:rPr>
        <w:t>’</w:t>
      </w:r>
      <w:r>
        <w:rPr>
          <w:rtl w:val="0"/>
          <w:lang w:val="en-US"/>
        </w:rPr>
        <w:t xml:space="preserve">s </w:t>
      </w:r>
      <w:r>
        <w:rPr>
          <w:i w:val="1"/>
          <w:iCs w:val="1"/>
          <w:rtl w:val="0"/>
          <w:lang w:val="en-US"/>
        </w:rPr>
        <w:t>Nicomachean Ethics</w:t>
      </w:r>
      <w:r>
        <w:rPr>
          <w:rtl w:val="0"/>
          <w:lang w:val="en-US"/>
        </w:rPr>
        <w:t xml:space="preserve">, the concept of justice is subjected to bipartite division. Coexisting but necessarily distinct are: firstly, </w:t>
      </w:r>
      <w:r>
        <w:rPr>
          <w:rFonts w:hAnsi="Helvetica" w:hint="default"/>
          <w:rtl w:val="0"/>
          <w:lang w:val="en-US"/>
        </w:rPr>
        <w:t>‘</w:t>
      </w:r>
      <w:r>
        <w:rPr>
          <w:rtl w:val="0"/>
          <w:lang w:val="en-US"/>
        </w:rPr>
        <w:t>Distributive Justice</w:t>
      </w:r>
      <w:r>
        <w:rPr>
          <w:rFonts w:hAnsi="Helvetica" w:hint="default"/>
          <w:rtl w:val="0"/>
          <w:lang w:val="en-US"/>
        </w:rPr>
        <w:t xml:space="preserve">’ </w:t>
      </w:r>
      <w:r>
        <w:rPr>
          <w:rtl w:val="0"/>
          <w:lang w:val="en-US"/>
        </w:rPr>
        <w:t>(</w:t>
      </w:r>
      <w:r>
        <w:rPr>
          <w:rFonts w:hAnsi="Helvetica" w:hint="default"/>
          <w:i w:val="1"/>
          <w:iCs w:val="1"/>
          <w:rtl w:val="0"/>
        </w:rPr>
        <w:t>διανεμητικὸν δίκαιον</w:t>
      </w:r>
      <w:r>
        <w:rPr>
          <w:rtl w:val="0"/>
          <w:lang w:val="en-US"/>
        </w:rPr>
        <w:t xml:space="preserve">) (1131b28) and, secondly, </w:t>
      </w:r>
      <w:r>
        <w:rPr>
          <w:rFonts w:hAnsi="Helvetica" w:hint="default"/>
          <w:rtl w:val="0"/>
          <w:lang w:val="en-US"/>
        </w:rPr>
        <w:t>‘</w:t>
      </w:r>
      <w:r>
        <w:rPr>
          <w:rtl w:val="0"/>
          <w:lang w:val="en-US"/>
        </w:rPr>
        <w:t>Corrective Justice</w:t>
      </w:r>
      <w:r>
        <w:rPr>
          <w:rFonts w:hAnsi="Helvetica" w:hint="default"/>
          <w:rtl w:val="0"/>
          <w:lang w:val="en-US"/>
        </w:rPr>
        <w:t xml:space="preserve">’ </w:t>
      </w:r>
      <w:r>
        <w:rPr>
          <w:rtl w:val="0"/>
          <w:lang w:val="en-US"/>
        </w:rPr>
        <w:t>(</w:t>
      </w:r>
      <w:r>
        <w:rPr>
          <w:rFonts w:hAnsi="Helvetica" w:hint="default"/>
          <w:i w:val="1"/>
          <w:iCs w:val="1"/>
          <w:rtl w:val="0"/>
        </w:rPr>
        <w:t>διορθωτικὸν δίκαιον</w:t>
      </w:r>
      <w:r>
        <w:rPr>
          <w:rtl w:val="0"/>
          <w:lang w:val="en-US"/>
        </w:rPr>
        <w:t>) (1131b25).</w:t>
      </w:r>
      <w:r>
        <w:rPr>
          <w:rFonts w:ascii="Times New Roman" w:cs="Times New Roman" w:hAnsi="Times New Roman" w:eastAsia="Times New Roman"/>
          <w:vertAlign w:val="superscript"/>
        </w:rPr>
        <w:footnoteReference w:id="7"/>
      </w:r>
      <w:r>
        <w:rPr>
          <w:rtl w:val="0"/>
          <w:lang w:val="en-US"/>
        </w:rPr>
        <w:t xml:space="preserve"> The former pertained to the </w:t>
      </w:r>
      <w:r>
        <w:rPr>
          <w:rFonts w:hAnsi="Helvetica" w:hint="default"/>
          <w:rtl w:val="0"/>
          <w:lang w:val="en-US"/>
        </w:rPr>
        <w:t>‘</w:t>
      </w:r>
      <w:r>
        <w:rPr>
          <w:rtl w:val="0"/>
          <w:lang w:val="en-US"/>
        </w:rPr>
        <w:t>distribution of honour, wealth, and the other divisible assets of the community</w:t>
      </w:r>
      <w:r>
        <w:rPr>
          <w:rFonts w:hAnsi="Helvetica" w:hint="default"/>
          <w:rtl w:val="0"/>
          <w:lang w:val="en-US"/>
        </w:rPr>
        <w:t xml:space="preserve">’ </w:t>
      </w:r>
      <w:r>
        <w:rPr>
          <w:rtl w:val="0"/>
          <w:lang w:val="en-US"/>
        </w:rPr>
        <w:t xml:space="preserve">(1130b31), whilst the latter was to be applied in </w:t>
      </w:r>
      <w:r>
        <w:rPr>
          <w:rFonts w:hAnsi="Helvetica" w:hint="default"/>
          <w:rtl w:val="0"/>
          <w:lang w:val="en-US"/>
        </w:rPr>
        <w:t>‘</w:t>
      </w:r>
      <w:r>
        <w:rPr>
          <w:rtl w:val="0"/>
          <w:lang w:val="en-US"/>
        </w:rPr>
        <w:t>private transactions</w:t>
      </w:r>
      <w:r>
        <w:rPr>
          <w:rFonts w:hAnsi="Helvetica" w:hint="default"/>
          <w:rtl w:val="0"/>
          <w:lang w:val="en-US"/>
        </w:rPr>
        <w:t xml:space="preserve">’ </w:t>
      </w:r>
      <w:r>
        <w:rPr>
          <w:rtl w:val="0"/>
          <w:lang w:val="en-US"/>
        </w:rPr>
        <w:t>(1131b32-33), to restore equality once it had been breached, for instance as the result of adultery, assault, or murder. Together, these two models of justice crucially underpinned Aristotle</w:t>
      </w:r>
      <w:r>
        <w:rPr>
          <w:rFonts w:hAnsi="Helvetica" w:hint="default"/>
          <w:rtl w:val="0"/>
          <w:lang w:val="en-US"/>
        </w:rPr>
        <w:t>’</w:t>
      </w:r>
      <w:r>
        <w:rPr>
          <w:rtl w:val="0"/>
          <w:lang w:val="en-US"/>
        </w:rPr>
        <w:t xml:space="preserve">s entire ethical philosophy: to be just is to be virtuous, and virtue is a mean. </w:t>
      </w:r>
      <w:r>
        <w:rPr>
          <w:rFonts w:hAnsi="Helvetica" w:hint="default"/>
          <w:rtl w:val="0"/>
          <w:lang w:val="en-US"/>
        </w:rPr>
        <w:t>‘</w:t>
      </w:r>
      <w:r>
        <w:rPr>
          <w:rtl w:val="0"/>
          <w:lang w:val="en-US"/>
        </w:rPr>
        <w:t>Justice</w:t>
      </w:r>
      <w:r>
        <w:rPr>
          <w:rFonts w:hAnsi="Helvetica" w:hint="default"/>
          <w:rtl w:val="0"/>
          <w:lang w:val="en-US"/>
        </w:rPr>
        <w:t>’</w:t>
      </w:r>
      <w:r>
        <w:rPr>
          <w:rtl w:val="0"/>
          <w:lang w:val="en-US"/>
        </w:rPr>
        <w:t xml:space="preserve">, </w:t>
      </w:r>
      <w:r>
        <w:rPr>
          <w:rtl w:val="0"/>
          <w:lang w:val="fr-FR"/>
        </w:rPr>
        <w:t xml:space="preserve">Aristotle explains, </w:t>
      </w:r>
      <w:r>
        <w:rPr>
          <w:rFonts w:hAnsi="Helvetica" w:hint="default"/>
          <w:rtl w:val="0"/>
          <w:lang w:val="en-US"/>
        </w:rPr>
        <w:t>‘</w:t>
      </w:r>
      <w:r>
        <w:rPr>
          <w:rtl w:val="0"/>
          <w:lang w:val="en-US"/>
        </w:rPr>
        <w:t>is therefore a sort of proportion</w:t>
      </w:r>
      <w:r>
        <w:rPr>
          <w:rFonts w:hAnsi="Helvetica" w:hint="default"/>
          <w:rtl w:val="0"/>
          <w:lang w:val="en-US"/>
        </w:rPr>
        <w:t xml:space="preserve">’ </w:t>
      </w:r>
      <w:r>
        <w:rPr>
          <w:rtl w:val="0"/>
          <w:lang w:val="en-US"/>
        </w:rPr>
        <w:t xml:space="preserve">(1131a29), and its two kinds rely on a mathematical </w:t>
      </w:r>
      <w:r>
        <w:rPr>
          <w:rFonts w:hAnsi="Helvetica" w:hint="default"/>
          <w:rtl w:val="0"/>
          <w:lang w:val="en-US"/>
        </w:rPr>
        <w:t>‘</w:t>
      </w:r>
      <w:r>
        <w:rPr>
          <w:rtl w:val="0"/>
          <w:lang w:val="en-US"/>
        </w:rPr>
        <w:t>equality of ratios</w:t>
      </w:r>
      <w:r>
        <w:rPr>
          <w:rFonts w:hAnsi="Helvetica" w:hint="default"/>
          <w:rtl w:val="0"/>
          <w:lang w:val="en-US"/>
        </w:rPr>
        <w:t>’</w:t>
      </w:r>
      <w:r>
        <w:rPr>
          <w:rtl w:val="0"/>
          <w:lang w:val="en-US"/>
        </w:rPr>
        <w:t xml:space="preserve">, each </w:t>
      </w:r>
      <w:r>
        <w:rPr>
          <w:rFonts w:hAnsi="Helvetica" w:hint="default"/>
          <w:rtl w:val="0"/>
          <w:lang w:val="en-US"/>
        </w:rPr>
        <w:t>‘</w:t>
      </w:r>
      <w:r>
        <w:rPr>
          <w:rtl w:val="0"/>
          <w:lang w:val="en-US"/>
        </w:rPr>
        <w:t>involving four terms at least</w:t>
      </w:r>
      <w:r>
        <w:rPr>
          <w:rFonts w:hAnsi="Helvetica" w:hint="default"/>
          <w:rtl w:val="0"/>
          <w:lang w:val="en-US"/>
        </w:rPr>
        <w:t xml:space="preserve">’ </w:t>
      </w:r>
      <w:r>
        <w:rPr>
          <w:rtl w:val="0"/>
          <w:lang w:val="en-US"/>
        </w:rPr>
        <w:t xml:space="preserve">(1131a30-32). In the case of </w:t>
      </w:r>
      <w:r>
        <w:rPr>
          <w:rFonts w:hAnsi="Helvetica" w:hint="default"/>
          <w:rtl w:val="0"/>
          <w:lang w:val="en-US"/>
        </w:rPr>
        <w:t>‘</w:t>
      </w:r>
      <w:r>
        <w:rPr>
          <w:rtl w:val="0"/>
          <w:lang w:val="en-US"/>
        </w:rPr>
        <w:t>Distributive Justice</w:t>
      </w:r>
      <w:r>
        <w:rPr>
          <w:rFonts w:hAnsi="Helvetica" w:hint="default"/>
          <w:rtl w:val="0"/>
          <w:lang w:val="en-US"/>
        </w:rPr>
        <w:t>’</w:t>
      </w:r>
      <w:r>
        <w:rPr>
          <w:rtl w:val="0"/>
          <w:lang w:val="en-US"/>
        </w:rPr>
        <w:t xml:space="preserve">, this equality must emanate from a </w:t>
      </w:r>
      <w:r>
        <w:rPr>
          <w:rFonts w:hAnsi="Helvetica" w:hint="default"/>
          <w:rtl w:val="0"/>
          <w:lang w:val="en-US"/>
        </w:rPr>
        <w:t>‘</w:t>
      </w:r>
      <w:r>
        <w:rPr>
          <w:rtl w:val="0"/>
          <w:lang w:val="en-US"/>
        </w:rPr>
        <w:t>geometrical proportion</w:t>
      </w:r>
      <w:r>
        <w:rPr>
          <w:rFonts w:hAnsi="Helvetica" w:hint="default"/>
          <w:rtl w:val="0"/>
          <w:lang w:val="en-US"/>
        </w:rPr>
        <w:t>’</w:t>
      </w:r>
      <w:r>
        <w:rPr>
          <w:rtl w:val="0"/>
        </w:rPr>
        <w:t xml:space="preserve"> (</w:t>
      </w:r>
      <w:r>
        <w:rPr>
          <w:rFonts w:hAnsi="Helvetica" w:hint="default"/>
          <w:i w:val="1"/>
          <w:iCs w:val="1"/>
          <w:rtl w:val="0"/>
        </w:rPr>
        <w:t>ἀναλογίαν γεωμετρικὴν</w:t>
      </w:r>
      <w:r>
        <w:rPr>
          <w:rtl w:val="0"/>
        </w:rPr>
        <w:t>)</w:t>
      </w:r>
      <w:r>
        <w:rPr>
          <w:rtl w:val="0"/>
          <w:lang w:val="en-US"/>
        </w:rPr>
        <w:t xml:space="preserve"> (1131b13), in which </w:t>
      </w:r>
      <w:r>
        <w:rPr>
          <w:rFonts w:hAnsi="Helvetica" w:hint="default"/>
          <w:rtl w:val="0"/>
          <w:lang w:val="en-US"/>
        </w:rPr>
        <w:t>‘</w:t>
      </w:r>
      <w:r>
        <w:rPr>
          <w:rtl w:val="0"/>
          <w:lang w:val="en-US"/>
        </w:rPr>
        <w:t>the sum of the first and third terms will bear the same ratio to the sum of the second and fourth as one term of either pair bears to the other term</w:t>
      </w:r>
      <w:r>
        <w:rPr>
          <w:rFonts w:hAnsi="Helvetica" w:hint="default"/>
          <w:rtl w:val="0"/>
          <w:lang w:val="en-US"/>
        </w:rPr>
        <w:t xml:space="preserve">’ </w:t>
      </w:r>
      <w:r>
        <w:rPr>
          <w:rtl w:val="0"/>
          <w:lang w:val="en-US"/>
        </w:rPr>
        <w:t xml:space="preserve">(1131b14-15). That is, a:b = c:d, as in </w:t>
      </w:r>
      <w:r>
        <w:rPr>
          <w:rtl w:val="0"/>
          <w:lang w:val="en-US"/>
        </w:rPr>
        <w:t xml:space="preserve">2:4 = 5:10. This kind of proportion effectively facilitates a kind of inequality through meritocracy, for </w:t>
      </w:r>
      <w:r>
        <w:rPr>
          <w:rFonts w:hAnsi="Helvetica" w:hint="default"/>
          <w:rtl w:val="0"/>
          <w:lang w:val="en-US"/>
        </w:rPr>
        <w:t>‘</w:t>
      </w:r>
      <w:r>
        <w:rPr>
          <w:rtl w:val="0"/>
          <w:lang w:val="en-US"/>
        </w:rPr>
        <w:t>Distributive Justice</w:t>
      </w:r>
      <w:r>
        <w:rPr>
          <w:rFonts w:hAnsi="Helvetica" w:hint="default"/>
          <w:rtl w:val="0"/>
          <w:lang w:val="en-US"/>
        </w:rPr>
        <w:t xml:space="preserve">’ </w:t>
      </w:r>
      <w:r>
        <w:rPr>
          <w:rtl w:val="0"/>
          <w:lang w:val="en-US"/>
        </w:rPr>
        <w:t xml:space="preserve">makes a consideration of the persons involved, and a concomitant </w:t>
      </w:r>
      <w:r>
        <w:rPr>
          <w:rFonts w:hAnsi="Helvetica" w:hint="default"/>
          <w:rtl w:val="0"/>
          <w:lang w:val="en-US"/>
        </w:rPr>
        <w:t>‘</w:t>
      </w:r>
      <w:r>
        <w:rPr>
          <w:rtl w:val="0"/>
          <w:lang w:val="en-US"/>
        </w:rPr>
        <w:t>assignment by dessert</w:t>
      </w:r>
      <w:r>
        <w:rPr>
          <w:rFonts w:hAnsi="Helvetica" w:hint="default"/>
          <w:rtl w:val="0"/>
          <w:lang w:val="en-US"/>
        </w:rPr>
        <w:t xml:space="preserve">’ </w:t>
      </w:r>
      <w:r>
        <w:rPr>
          <w:rtl w:val="0"/>
          <w:lang w:val="en-US"/>
        </w:rPr>
        <w:t xml:space="preserve">(1131a24-26), meaning that </w:t>
      </w:r>
      <w:r>
        <w:rPr>
          <w:rFonts w:hAnsi="Helvetica" w:hint="default"/>
          <w:rtl w:val="0"/>
          <w:lang w:val="en-US"/>
        </w:rPr>
        <w:t>‘</w:t>
      </w:r>
      <w:r>
        <w:rPr>
          <w:rtl w:val="0"/>
          <w:lang w:val="en-US"/>
        </w:rPr>
        <w:t>if the persons are not equal, they will not have equal shares</w:t>
      </w:r>
      <w:r>
        <w:rPr>
          <w:rFonts w:hAnsi="Helvetica" w:hint="default"/>
          <w:rtl w:val="0"/>
          <w:lang w:val="en-US"/>
        </w:rPr>
        <w:t xml:space="preserve">’ </w:t>
      </w:r>
      <w:r>
        <w:rPr>
          <w:rtl w:val="0"/>
          <w:lang w:val="en-US"/>
        </w:rPr>
        <w:t xml:space="preserve">(1131a21-23). In the case of </w:t>
      </w:r>
      <w:r>
        <w:rPr>
          <w:rFonts w:hAnsi="Helvetica" w:hint="default"/>
          <w:rtl w:val="0"/>
          <w:lang w:val="en-US"/>
        </w:rPr>
        <w:t>‘</w:t>
      </w:r>
      <w:r>
        <w:rPr>
          <w:rtl w:val="0"/>
          <w:lang w:val="en-US"/>
        </w:rPr>
        <w:t>Corrective Justice</w:t>
      </w:r>
      <w:r>
        <w:rPr>
          <w:rFonts w:hAnsi="Helvetica" w:hint="default"/>
          <w:rtl w:val="0"/>
          <w:lang w:val="en-US"/>
        </w:rPr>
        <w:t>’</w:t>
      </w:r>
      <w:r>
        <w:rPr>
          <w:rtl w:val="0"/>
          <w:lang w:val="en-US"/>
        </w:rPr>
        <w:t xml:space="preserve">, on the other hand, the equal is calculated not according to geometrical but to </w:t>
      </w:r>
      <w:r>
        <w:rPr>
          <w:rFonts w:hAnsi="Helvetica" w:hint="default"/>
          <w:rtl w:val="0"/>
          <w:lang w:val="en-US"/>
        </w:rPr>
        <w:t>‘</w:t>
      </w:r>
      <w:r>
        <w:rPr>
          <w:rtl w:val="0"/>
          <w:lang w:val="en-US"/>
        </w:rPr>
        <w:t>arithmetical proportion</w:t>
      </w:r>
      <w:r>
        <w:rPr>
          <w:rFonts w:hAnsi="Helvetica" w:hint="default"/>
          <w:rtl w:val="0"/>
          <w:lang w:val="en-US"/>
        </w:rPr>
        <w:t xml:space="preserve">’ </w:t>
      </w:r>
      <w:r>
        <w:rPr>
          <w:rtl w:val="0"/>
          <w:lang w:val="en-US"/>
        </w:rPr>
        <w:t>(</w:t>
      </w:r>
      <w:r>
        <w:rPr>
          <w:rFonts w:hAnsi="Helvetica" w:hint="default"/>
          <w:i w:val="1"/>
          <w:iCs w:val="1"/>
          <w:rtl w:val="0"/>
        </w:rPr>
        <w:t>ἀναλογίαν ὰριθμητικήν</w:t>
      </w:r>
      <w:r>
        <w:rPr>
          <w:rtl w:val="0"/>
        </w:rPr>
        <w:t>) (1132</w:t>
      </w:r>
      <w:r>
        <w:rPr>
          <w:rtl w:val="0"/>
          <w:lang w:val="en-US"/>
        </w:rPr>
        <w:t xml:space="preserve">a1-2), in which two arithmetical relations are equal. That is, for example, b-a = d-c, as in 3-2 = 5-4. </w:t>
      </w:r>
      <w:r>
        <w:rPr>
          <w:rtl w:val="0"/>
          <w:lang w:val="en-US"/>
        </w:rPr>
        <w:t xml:space="preserve">In contrast to </w:t>
      </w:r>
      <w:r>
        <w:rPr>
          <w:rFonts w:hAnsi="Helvetica" w:hint="default"/>
          <w:rtl w:val="0"/>
          <w:lang w:val="en-US"/>
        </w:rPr>
        <w:t>‘</w:t>
      </w:r>
      <w:r>
        <w:rPr>
          <w:rtl w:val="0"/>
          <w:lang w:val="en-US"/>
        </w:rPr>
        <w:t>Distributive Justice</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Corrective Justice</w:t>
      </w:r>
      <w:r>
        <w:rPr>
          <w:rFonts w:hAnsi="Helvetica" w:hint="default"/>
          <w:rtl w:val="0"/>
          <w:lang w:val="en-US"/>
        </w:rPr>
        <w:t>’ ‘</w:t>
      </w:r>
      <w:r>
        <w:rPr>
          <w:rtl w:val="0"/>
          <w:lang w:val="en-US"/>
        </w:rPr>
        <w:t>looks only at the nature of the damage, treating the parties as equal</w:t>
      </w:r>
      <w:r>
        <w:rPr>
          <w:rFonts w:hAnsi="Helvetica" w:hint="default"/>
          <w:rtl w:val="0"/>
          <w:lang w:val="en-US"/>
        </w:rPr>
        <w:t xml:space="preserve">’ </w:t>
      </w:r>
      <w:r>
        <w:rPr>
          <w:rtl w:val="0"/>
          <w:lang w:val="en-US"/>
        </w:rPr>
        <w:t>(1132a2-4), and so endeavours toward a purely legal, completely indiscriminate equalisation of an imbalance.</w:t>
      </w:r>
    </w:p>
    <w:p>
      <w:pPr>
        <w:pStyle w:val="Body"/>
        <w:spacing w:line="360" w:lineRule="auto"/>
        <w:jc w:val="left"/>
      </w:pPr>
      <w:r>
        <w:rPr>
          <w:rtl w:val="0"/>
        </w:rPr>
        <w:tab/>
        <w:t>Aristotle</w:t>
      </w:r>
      <w:r>
        <w:rPr>
          <w:rFonts w:hAnsi="Helvetica" w:hint="default"/>
          <w:rtl w:val="0"/>
          <w:lang w:val="en-US"/>
        </w:rPr>
        <w:t>’</w:t>
      </w:r>
      <w:r>
        <w:rPr>
          <w:rtl w:val="0"/>
          <w:lang w:val="en-US"/>
        </w:rPr>
        <w:t xml:space="preserve">s two species of justice, and the mathematical counterparts he gave them, exerted an enormous influence on early modern apprehensions of the subject. As intellectual historians such as Charles B. Schmitt have shown, printed versions of the </w:t>
      </w:r>
      <w:r>
        <w:rPr>
          <w:i w:val="1"/>
          <w:iCs w:val="1"/>
          <w:rtl w:val="0"/>
          <w:lang w:val="en-US"/>
        </w:rPr>
        <w:t xml:space="preserve">Nicomachean Ethics </w:t>
      </w:r>
      <w:r>
        <w:rPr>
          <w:rtl w:val="0"/>
          <w:lang w:val="en-US"/>
        </w:rPr>
        <w:t>in Greek, Latin and vernacular languages poured onto European book markets t</w:t>
      </w:r>
      <w:r>
        <w:rPr>
          <w:rtl w:val="0"/>
          <w:lang w:val="en-US"/>
        </w:rPr>
        <w:t>hroughout the sixteenth century</w:t>
      </w:r>
      <w:r>
        <w:rPr>
          <w:rtl w:val="0"/>
          <w:lang w:val="en-US"/>
        </w:rPr>
        <w:t>, re-affirming the text</w:t>
      </w:r>
      <w:r>
        <w:rPr>
          <w:rFonts w:hAnsi="Helvetica" w:hint="default"/>
          <w:rtl w:val="0"/>
          <w:lang w:val="en-US"/>
        </w:rPr>
        <w:t>’</w:t>
      </w:r>
      <w:r>
        <w:rPr>
          <w:rtl w:val="0"/>
          <w:lang w:val="en-US"/>
        </w:rPr>
        <w:t>s status as a staple of university learning, but also perpetuating its prominence in private libraries of varying size and sophistication.</w:t>
      </w:r>
      <w:r>
        <w:rPr>
          <w:rFonts w:ascii="Times New Roman" w:cs="Times New Roman" w:hAnsi="Times New Roman" w:eastAsia="Times New Roman"/>
          <w:vertAlign w:val="superscript"/>
        </w:rPr>
        <w:footnoteReference w:id="8"/>
      </w:r>
      <w:r>
        <w:rPr>
          <w:rtl w:val="0"/>
          <w:lang w:val="en-US"/>
        </w:rPr>
        <w:t xml:space="preserve"> Isaac Casaubon</w:t>
      </w:r>
      <w:r>
        <w:rPr>
          <w:rFonts w:hAnsi="Helvetica" w:hint="default"/>
          <w:rtl w:val="0"/>
          <w:lang w:val="en-US"/>
        </w:rPr>
        <w:t>’</w:t>
      </w:r>
      <w:r>
        <w:rPr>
          <w:rtl w:val="0"/>
          <w:lang w:val="en-US"/>
        </w:rPr>
        <w:t xml:space="preserve">s Greek-Latin version in his </w:t>
      </w:r>
      <w:r>
        <w:rPr>
          <w:i w:val="1"/>
          <w:iCs w:val="1"/>
          <w:rtl w:val="0"/>
          <w:lang w:val="en-US"/>
        </w:rPr>
        <w:t>Operum Aristotelis</w:t>
      </w:r>
      <w:r>
        <w:rPr>
          <w:rtl w:val="0"/>
          <w:lang w:val="en-US"/>
        </w:rPr>
        <w:t>,</w:t>
      </w:r>
      <w:r>
        <w:rPr>
          <w:i w:val="1"/>
          <w:iCs w:val="1"/>
          <w:rtl w:val="0"/>
          <w:lang w:val="en-US"/>
        </w:rPr>
        <w:t xml:space="preserve"> </w:t>
      </w:r>
      <w:r>
        <w:rPr>
          <w:rtl w:val="0"/>
          <w:lang w:val="en-US"/>
        </w:rPr>
        <w:t xml:space="preserve">printed in Lyon in 1590, epitomised the densely annotated scholarly edition, and initiated a 1590s trend for the academic bilingual editions which Schmitt argues represented the </w:t>
      </w:r>
      <w:r>
        <w:rPr>
          <w:rFonts w:hAnsi="Helvetica" w:hint="default"/>
          <w:rtl w:val="0"/>
          <w:lang w:val="en-US"/>
        </w:rPr>
        <w:t>‘</w:t>
      </w:r>
      <w:r>
        <w:rPr>
          <w:rtl w:val="0"/>
          <w:lang w:val="en-US"/>
        </w:rPr>
        <w:t>culmination of the whole Renaissance activity of printing Aristotle for high-level teaching as well as for advanced private study.</w:t>
      </w:r>
      <w:r>
        <w:rPr>
          <w:rFonts w:hAnsi="Helvetica" w:hint="default"/>
          <w:rtl w:val="0"/>
          <w:lang w:val="en-US"/>
        </w:rPr>
        <w:t>’</w:t>
      </w:r>
      <w:r>
        <w:rPr>
          <w:rFonts w:ascii="Times New Roman" w:cs="Times New Roman" w:hAnsi="Times New Roman" w:eastAsia="Times New Roman"/>
          <w:vertAlign w:val="superscript"/>
        </w:rPr>
        <w:footnoteReference w:id="9"/>
      </w:r>
      <w:r>
        <w:rPr>
          <w:rtl w:val="0"/>
          <w:lang w:val="en-US"/>
        </w:rPr>
        <w:t xml:space="preserve"> For the unlearned, cheap vernacular versions became increasingly available, such as the one translated by John Wylkinson, printed in London as early as 1547. Wylkinson</w:t>
      </w:r>
      <w:r>
        <w:rPr>
          <w:rFonts w:hAnsi="Helvetica" w:hint="default"/>
          <w:rtl w:val="0"/>
          <w:lang w:val="en-US"/>
        </w:rPr>
        <w:t>’</w:t>
      </w:r>
      <w:r>
        <w:rPr>
          <w:rtl w:val="0"/>
          <w:lang w:val="en-US"/>
        </w:rPr>
        <w:t>s translation dramatically reduced the complexity of Aristotle</w:t>
      </w:r>
      <w:r>
        <w:rPr>
          <w:rFonts w:hAnsi="Helvetica" w:hint="default"/>
          <w:rtl w:val="0"/>
          <w:lang w:val="en-US"/>
        </w:rPr>
        <w:t>’</w:t>
      </w:r>
      <w:r>
        <w:rPr>
          <w:rtl w:val="0"/>
          <w:lang w:val="en-US"/>
        </w:rPr>
        <w:t xml:space="preserve">s formulation of justice, but the dominant principles remained: </w:t>
      </w:r>
      <w:r>
        <w:rPr>
          <w:rFonts w:hAnsi="Helvetica" w:hint="default"/>
          <w:rtl w:val="0"/>
          <w:lang w:val="en-US"/>
        </w:rPr>
        <w:t>‘</w:t>
      </w:r>
      <w:r>
        <w:rPr>
          <w:rtl w:val="0"/>
          <w:lang w:val="en-US"/>
        </w:rPr>
        <w:t>Justice is in two sortes, one is natural, and another according to the law</w:t>
      </w:r>
      <w:r>
        <w:rPr>
          <w:rFonts w:hAnsi="Helvetica" w:hint="default"/>
          <w:rtl w:val="0"/>
          <w:lang w:val="en-US"/>
        </w:rPr>
        <w:t>’</w:t>
      </w:r>
      <w:r>
        <w:rPr>
          <w:rtl w:val="0"/>
          <w:lang w:val="en-US"/>
        </w:rPr>
        <w:t xml:space="preserve">, and </w:t>
      </w:r>
      <w:r>
        <w:rPr>
          <w:rFonts w:hAnsi="Helvetica" w:hint="default"/>
          <w:rtl w:val="0"/>
          <w:lang w:val="en-US"/>
        </w:rPr>
        <w:t>‘</w:t>
      </w:r>
      <w:r>
        <w:rPr>
          <w:rtl w:val="0"/>
          <w:lang w:val="en-US"/>
        </w:rPr>
        <w:t>Justice is in proporcion of number</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10"/>
      </w:r>
      <w:r>
        <w:rPr>
          <w:rtl w:val="0"/>
          <w:lang w:val="en-US"/>
        </w:rPr>
        <w:t xml:space="preserve"> A</w:t>
      </w:r>
      <w:r>
        <w:rPr>
          <w:rtl w:val="0"/>
          <w:lang w:val="en-US"/>
        </w:rPr>
        <w:t xml:space="preserve"> useful middle ground</w:t>
      </w:r>
      <w:r>
        <w:rPr>
          <w:rtl w:val="0"/>
          <w:lang w:val="en-US"/>
        </w:rPr>
        <w:t xml:space="preserve"> between these scholarly and lay editions was Henry Bynneman</w:t>
      </w:r>
      <w:r>
        <w:rPr>
          <w:rFonts w:hAnsi="Helvetica" w:hint="default"/>
          <w:rtl w:val="0"/>
          <w:lang w:val="en-US"/>
        </w:rPr>
        <w:t>’</w:t>
      </w:r>
      <w:r>
        <w:rPr>
          <w:rtl w:val="0"/>
          <w:lang w:val="en-US"/>
        </w:rPr>
        <w:t>s 1581 edition, also printed in London, which rendered Aristotle</w:t>
      </w:r>
      <w:r>
        <w:rPr>
          <w:rFonts w:hAnsi="Helvetica" w:hint="default"/>
          <w:rtl w:val="0"/>
          <w:lang w:val="en-US"/>
        </w:rPr>
        <w:t>’</w:t>
      </w:r>
      <w:r>
        <w:rPr>
          <w:rtl w:val="0"/>
          <w:lang w:val="en-US"/>
        </w:rPr>
        <w:t xml:space="preserve">s original Greek into a concise and comprehensible series of questions and answers, in relatively accessible Latin: </w:t>
      </w:r>
      <w:r>
        <w:rPr>
          <w:rFonts w:hAnsi="Helvetica" w:hint="default"/>
          <w:rtl w:val="0"/>
          <w:lang w:val="en-US"/>
        </w:rPr>
        <w:t>‘</w:t>
      </w:r>
      <w:r>
        <w:rPr>
          <w:rtl w:val="0"/>
          <w:lang w:val="en-US"/>
        </w:rPr>
        <w:t xml:space="preserve">Quid est </w:t>
      </w:r>
      <w:r>
        <w:rPr>
          <w:rFonts w:hAnsi="Helvetica" w:hint="default"/>
          <w:i w:val="1"/>
          <w:iCs w:val="1"/>
          <w:rtl w:val="0"/>
        </w:rPr>
        <w:t>διανμητι</w:t>
      </w:r>
      <w:r>
        <w:rPr>
          <w:rFonts w:hAnsi="Helvetica" w:hint="default"/>
          <w:i w:val="1"/>
          <w:iCs w:val="1"/>
          <w:rtl w:val="0"/>
        </w:rPr>
        <w:t xml:space="preserve">κἠ </w:t>
      </w:r>
      <w:r>
        <w:rPr>
          <w:rtl w:val="0"/>
          <w:lang w:val="en-US"/>
        </w:rPr>
        <w:t>seu</w:t>
      </w:r>
      <w:r>
        <w:rPr>
          <w:i w:val="1"/>
          <w:iCs w:val="1"/>
          <w:rtl w:val="0"/>
          <w:lang w:val="en-US"/>
        </w:rPr>
        <w:t xml:space="preserve"> </w:t>
      </w:r>
      <w:r>
        <w:rPr>
          <w:rtl w:val="0"/>
          <w:lang w:val="en-US"/>
        </w:rPr>
        <w:t>distributiua justitia?</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Cur eam Geometrica proportione definis?</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Quid est Correctiua iustitia?</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Cur autem hanc iustitiam Arithmetica proportione definis?</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11"/>
      </w:r>
      <w:r>
        <w:rPr>
          <w:rtl w:val="0"/>
          <w:lang w:val="en-US"/>
        </w:rPr>
        <w:t xml:space="preserve"> Printed versions of the </w:t>
      </w:r>
      <w:r>
        <w:rPr>
          <w:i w:val="1"/>
          <w:iCs w:val="1"/>
          <w:rtl w:val="0"/>
          <w:lang w:val="en-US"/>
        </w:rPr>
        <w:t>Nicomachean Ethics</w:t>
      </w:r>
      <w:r>
        <w:rPr>
          <w:rtl w:val="0"/>
          <w:lang w:val="en-US"/>
        </w:rPr>
        <w:t xml:space="preserve">, then, and the </w:t>
      </w:r>
      <w:r>
        <w:rPr>
          <w:rtl w:val="0"/>
          <w:lang w:val="en-US"/>
        </w:rPr>
        <w:t>bipartite schema of justice</w:t>
      </w:r>
      <w:r>
        <w:rPr>
          <w:rtl w:val="0"/>
          <w:lang w:val="en-US"/>
        </w:rPr>
        <w:t xml:space="preserve"> delineated there, </w:t>
      </w:r>
      <w:r>
        <w:rPr>
          <w:rtl w:val="0"/>
        </w:rPr>
        <w:t>w</w:t>
      </w:r>
      <w:r>
        <w:rPr>
          <w:rtl w:val="0"/>
          <w:lang w:val="en-US"/>
        </w:rPr>
        <w:t>ere readily</w:t>
      </w:r>
      <w:r>
        <w:rPr>
          <w:rtl w:val="0"/>
          <w:lang w:val="en-US"/>
        </w:rPr>
        <w:t xml:space="preserve"> available to a wide spectrum of sixteenth-century readers.</w:t>
      </w:r>
    </w:p>
    <w:p>
      <w:pPr>
        <w:pStyle w:val="Body"/>
        <w:spacing w:line="360" w:lineRule="auto"/>
        <w:jc w:val="left"/>
      </w:pPr>
      <w:r>
        <w:rPr>
          <w:rtl w:val="0"/>
        </w:rPr>
        <w:tab/>
        <w:t xml:space="preserve">But it was not essential that English readers consult the </w:t>
      </w:r>
      <w:r>
        <w:rPr>
          <w:i w:val="1"/>
          <w:iCs w:val="1"/>
          <w:rtl w:val="0"/>
          <w:lang w:val="en-US"/>
        </w:rPr>
        <w:t xml:space="preserve">Nicomachean Ethics </w:t>
      </w:r>
      <w:r>
        <w:rPr>
          <w:rtl w:val="0"/>
          <w:lang w:val="en-US"/>
        </w:rPr>
        <w:t>at all to be confronted with Aristotle</w:t>
      </w:r>
      <w:r>
        <w:rPr>
          <w:rFonts w:hAnsi="Helvetica" w:hint="default"/>
          <w:rtl w:val="0"/>
          <w:lang w:val="en-US"/>
        </w:rPr>
        <w:t>’</w:t>
      </w:r>
      <w:r>
        <w:rPr>
          <w:rtl w:val="0"/>
          <w:lang w:val="en-US"/>
        </w:rPr>
        <w:t xml:space="preserve">s schema of justice, for its tenets were routinely subjected to paraphrase, moderation, analysis and augmentation in an extensive range of texts. As if to galvanise their importance outside the remit of moral philosophy, a summary of </w:t>
      </w:r>
      <w:r>
        <w:rPr>
          <w:rtl w:val="0"/>
        </w:rPr>
        <w:t>Aristotle</w:t>
      </w:r>
      <w:r>
        <w:rPr>
          <w:rFonts w:hAnsi="Helvetica" w:hint="default"/>
          <w:rtl w:val="0"/>
          <w:lang w:val="fr-FR"/>
        </w:rPr>
        <w:t>’</w:t>
      </w:r>
      <w:r>
        <w:rPr>
          <w:rtl w:val="0"/>
          <w:lang w:val="en-US"/>
        </w:rPr>
        <w:t>s two forms of justice</w:t>
      </w:r>
      <w:r>
        <w:rPr>
          <w:rtl w:val="0"/>
          <w:lang w:val="en-US"/>
        </w:rPr>
        <w:t xml:space="preserve"> were inserted into the first English translation of the </w:t>
      </w:r>
      <w:r>
        <w:rPr>
          <w:i w:val="1"/>
          <w:iCs w:val="1"/>
          <w:rtl w:val="0"/>
          <w:lang w:val="en-US"/>
        </w:rPr>
        <w:t xml:space="preserve">Politics </w:t>
      </w:r>
      <w:r>
        <w:rPr>
          <w:rtl w:val="0"/>
          <w:lang w:val="en-US"/>
        </w:rPr>
        <w:t>(1598)</w:t>
      </w:r>
      <w:r>
        <w:rPr>
          <w:i w:val="1"/>
          <w:iCs w:val="1"/>
          <w:rtl w:val="0"/>
          <w:lang w:val="en-US"/>
        </w:rPr>
        <w:t xml:space="preserve">, </w:t>
      </w:r>
      <w:r>
        <w:rPr>
          <w:rtl w:val="0"/>
          <w:lang w:val="en-US"/>
        </w:rPr>
        <w:t xml:space="preserve">its compilers reminding its readers, in a section of commentary on the importance of social hierarchy, that there are </w:t>
      </w:r>
      <w:r>
        <w:rPr>
          <w:rFonts w:hAnsi="Helvetica" w:hint="default"/>
          <w:rtl w:val="0"/>
          <w:lang w:val="en-US"/>
        </w:rPr>
        <w:t>‘</w:t>
      </w:r>
      <w:r>
        <w:rPr>
          <w:rtl w:val="0"/>
          <w:lang w:val="en-US"/>
        </w:rPr>
        <w:t>two kindes of Iustice, the one commutatiue, the other distributiue: Iustice commutatiue, executed by Arithmeticall proportion; and that which pertaineth to distribution, is exercised by Geometricall proportion.</w:t>
      </w:r>
      <w:r>
        <w:rPr>
          <w:rFonts w:hAnsi="Helvetica" w:hint="default"/>
          <w:rtl w:val="0"/>
          <w:lang w:val="en-US"/>
        </w:rPr>
        <w:t>’</w:t>
      </w:r>
      <w:r>
        <w:rPr>
          <w:rFonts w:ascii="Times New Roman" w:cs="Times New Roman" w:hAnsi="Times New Roman" w:eastAsia="Times New Roman"/>
          <w:vertAlign w:val="superscript"/>
        </w:rPr>
        <w:footnoteReference w:id="12"/>
      </w:r>
      <w:r>
        <w:rPr>
          <w:rFonts w:hAnsi="Helvetica" w:hint="default"/>
          <w:rtl w:val="0"/>
          <w:lang w:val="en-US"/>
        </w:rPr>
        <w:t xml:space="preserve"> ‘</w:t>
      </w:r>
      <w:r>
        <w:rPr>
          <w:rtl w:val="0"/>
          <w:lang w:val="en-US"/>
        </w:rPr>
        <w:t>Commutative</w:t>
      </w:r>
      <w:r>
        <w:rPr>
          <w:rFonts w:hAnsi="Helvetica" w:hint="default"/>
          <w:rtl w:val="0"/>
          <w:lang w:val="en-US"/>
        </w:rPr>
        <w:t xml:space="preserve">’ </w:t>
      </w:r>
      <w:r>
        <w:rPr>
          <w:rtl w:val="0"/>
          <w:lang w:val="en-US"/>
        </w:rPr>
        <w:t xml:space="preserve">was a popular alternative translation to </w:t>
      </w:r>
      <w:r>
        <w:rPr>
          <w:rFonts w:hAnsi="Helvetica" w:hint="default"/>
          <w:rtl w:val="0"/>
          <w:lang w:val="en-US"/>
        </w:rPr>
        <w:t>‘</w:t>
      </w:r>
      <w:r>
        <w:rPr>
          <w:rtl w:val="0"/>
          <w:lang w:val="en-US"/>
        </w:rPr>
        <w:t>corrective</w:t>
      </w:r>
      <w:r>
        <w:rPr>
          <w:rFonts w:hAnsi="Helvetica" w:hint="default"/>
          <w:rtl w:val="0"/>
          <w:lang w:val="en-US"/>
        </w:rPr>
        <w:t xml:space="preserve">’ </w:t>
      </w:r>
      <w:r>
        <w:rPr>
          <w:rtl w:val="0"/>
          <w:lang w:val="en-US"/>
        </w:rPr>
        <w:t>for Aristotle</w:t>
      </w:r>
      <w:r>
        <w:rPr>
          <w:rFonts w:hAnsi="Helvetica" w:hint="default"/>
          <w:rtl w:val="0"/>
          <w:lang w:val="en-US"/>
        </w:rPr>
        <w:t>’</w:t>
      </w:r>
      <w:r>
        <w:rPr>
          <w:rtl w:val="0"/>
          <w:lang w:val="en-US"/>
        </w:rPr>
        <w:t xml:space="preserve">s </w:t>
      </w:r>
      <w:r>
        <w:rPr>
          <w:rFonts w:hAnsi="Helvetica" w:hint="default"/>
          <w:rtl w:val="0"/>
          <w:lang w:val="en-US"/>
        </w:rPr>
        <w:t>‘</w:t>
      </w:r>
      <w:r>
        <w:rPr>
          <w:rFonts w:hAnsi="Helvetica" w:hint="default"/>
          <w:i w:val="1"/>
          <w:iCs w:val="1"/>
          <w:rtl w:val="0"/>
        </w:rPr>
        <w:t>διορθωτικὸ</w:t>
      </w:r>
      <w:r>
        <w:rPr>
          <w:rFonts w:hAnsi="Helvetica" w:hint="default"/>
          <w:i w:val="1"/>
          <w:iCs w:val="1"/>
          <w:rtl w:val="0"/>
        </w:rPr>
        <w:t>ς</w:t>
      </w:r>
      <w:r>
        <w:rPr>
          <w:rFonts w:hAnsi="Helvetica" w:hint="default"/>
          <w:rtl w:val="0"/>
          <w:lang w:val="en-US"/>
        </w:rPr>
        <w:t>’</w:t>
      </w:r>
      <w:r>
        <w:rPr>
          <w:rtl w:val="0"/>
          <w:lang w:val="en-US"/>
        </w:rPr>
        <w:t>, because a common Latin rendering (with its probable origins in Aquinas</w:t>
      </w:r>
      <w:r>
        <w:rPr>
          <w:rFonts w:hAnsi="Helvetica" w:hint="default"/>
          <w:rtl w:val="0"/>
          <w:lang w:val="en-US"/>
        </w:rPr>
        <w:t xml:space="preserve">’ </w:t>
      </w:r>
      <w:r>
        <w:rPr>
          <w:rtl w:val="0"/>
          <w:lang w:val="en-US"/>
        </w:rPr>
        <w:t xml:space="preserve">commentaries on the </w:t>
      </w:r>
      <w:r>
        <w:rPr>
          <w:i w:val="1"/>
          <w:iCs w:val="1"/>
          <w:rtl w:val="0"/>
          <w:lang w:val="en-US"/>
        </w:rPr>
        <w:t>Nicomachean Ethics</w:t>
      </w:r>
      <w:r>
        <w:rPr>
          <w:rtl w:val="0"/>
          <w:lang w:val="en-US"/>
        </w:rPr>
        <w:t xml:space="preserve">) was </w:t>
      </w:r>
      <w:r>
        <w:rPr>
          <w:i w:val="1"/>
          <w:iCs w:val="1"/>
          <w:rtl w:val="0"/>
          <w:lang w:val="en-US"/>
        </w:rPr>
        <w:t>commutativa</w:t>
      </w:r>
      <w:r>
        <w:rPr>
          <w:rtl w:val="0"/>
          <w:lang w:val="en-US"/>
        </w:rPr>
        <w:t>.</w:t>
      </w:r>
      <w:r>
        <w:rPr>
          <w:rFonts w:ascii="Times New Roman" w:cs="Times New Roman" w:hAnsi="Times New Roman" w:eastAsia="Times New Roman"/>
          <w:vertAlign w:val="superscript"/>
        </w:rPr>
        <w:footnoteReference w:id="13"/>
      </w:r>
      <w:r>
        <w:rPr>
          <w:rtl w:val="0"/>
          <w:lang w:val="en-US"/>
        </w:rPr>
        <w:t xml:space="preserve"> The semantic difference, although slight, was important, for it facilitated Aristotle</w:t>
      </w:r>
      <w:r>
        <w:rPr>
          <w:rFonts w:hAnsi="Helvetica" w:hint="default"/>
          <w:rtl w:val="0"/>
          <w:lang w:val="en-US"/>
        </w:rPr>
        <w:t>’</w:t>
      </w:r>
      <w:r>
        <w:rPr>
          <w:rtl w:val="0"/>
          <w:lang w:val="en-US"/>
        </w:rPr>
        <w:t xml:space="preserve">s second form of justice its conceptual detachment from its specific role as a solely rectificatory measure and permitted it to signify more generally an exchange which was perfectly equal. Phillip Caesar, for instance, brought it to bear on contemporary anxieties regarding usury: </w:t>
      </w:r>
      <w:r>
        <w:rPr>
          <w:rFonts w:hAnsi="Helvetica" w:hint="default"/>
          <w:rtl w:val="0"/>
          <w:lang w:val="en-US"/>
        </w:rPr>
        <w:t>‘</w:t>
      </w:r>
      <w:r>
        <w:rPr>
          <w:rtl w:val="0"/>
          <w:lang w:val="en-US"/>
        </w:rPr>
        <w:t>Therefore muche better did Aristotle thinke, who saide: That vsury is against nature. Againe, when more is receiued than was deliuered, there is not Arithmeticall proportion obserued, whiche continually should be kept in lendings.</w:t>
      </w:r>
      <w:r>
        <w:rPr>
          <w:rFonts w:hAnsi="Helvetica" w:hint="default"/>
          <w:rtl w:val="0"/>
          <w:lang w:val="en-US"/>
        </w:rPr>
        <w:t>’</w:t>
      </w:r>
      <w:r>
        <w:rPr>
          <w:rFonts w:ascii="Times New Roman" w:cs="Times New Roman" w:hAnsi="Times New Roman" w:eastAsia="Times New Roman"/>
          <w:vertAlign w:val="superscript"/>
        </w:rPr>
        <w:footnoteReference w:id="14"/>
      </w:r>
      <w:r>
        <w:rPr>
          <w:rtl w:val="0"/>
          <w:lang w:val="en-US"/>
        </w:rPr>
        <w:t xml:space="preserve"> It also catalysed a more general dissolution of Aristotle</w:t>
      </w:r>
      <w:r>
        <w:rPr>
          <w:rFonts w:hAnsi="Helvetica" w:hint="default"/>
          <w:rtl w:val="0"/>
          <w:lang w:val="en-US"/>
        </w:rPr>
        <w:t>’</w:t>
      </w:r>
      <w:r>
        <w:rPr>
          <w:rtl w:val="0"/>
          <w:lang w:val="en-US"/>
        </w:rPr>
        <w:t xml:space="preserve">s original rigour as to when exactly each form of justice should be exercised. Aristotle, for example, says nothing as to the role of distributive justice in remedial judicial circumstances, and yet the 1598 </w:t>
      </w:r>
      <w:r>
        <w:rPr>
          <w:i w:val="1"/>
          <w:iCs w:val="1"/>
          <w:rtl w:val="0"/>
          <w:lang w:val="en-US"/>
        </w:rPr>
        <w:t xml:space="preserve">Politics </w:t>
      </w:r>
      <w:r>
        <w:rPr>
          <w:rtl w:val="0"/>
          <w:lang w:val="en-US"/>
        </w:rPr>
        <w:t>stated that</w:t>
      </w:r>
      <w:r>
        <w:rPr>
          <w:rFonts w:hAnsi="Helvetica" w:hint="default"/>
          <w:i w:val="1"/>
          <w:iCs w:val="1"/>
          <w:rtl w:val="0"/>
          <w:lang w:val="en-US"/>
        </w:rPr>
        <w:t xml:space="preserve"> ‘</w:t>
      </w:r>
      <w:r>
        <w:rPr>
          <w:rtl w:val="0"/>
          <w:lang w:val="en-US"/>
        </w:rPr>
        <w:t xml:space="preserve">The Geometricall equalitie ought to bee obserued in distributing of rewards </w:t>
      </w:r>
      <w:r>
        <w:rPr>
          <w:i w:val="1"/>
          <w:iCs w:val="1"/>
          <w:rtl w:val="0"/>
          <w:lang w:val="en-US"/>
        </w:rPr>
        <w:t>and</w:t>
      </w:r>
      <w:r>
        <w:rPr>
          <w:rtl w:val="0"/>
          <w:lang w:val="en-US"/>
        </w:rPr>
        <w:t xml:space="preserve"> punishments</w:t>
      </w:r>
      <w:r>
        <w:rPr>
          <w:rFonts w:hAnsi="Helvetica" w:hint="default"/>
          <w:rtl w:val="0"/>
          <w:lang w:val="en-US"/>
        </w:rPr>
        <w:t xml:space="preserve">’ </w:t>
      </w:r>
      <w:r>
        <w:rPr>
          <w:rtl w:val="0"/>
          <w:lang w:val="en-US"/>
        </w:rPr>
        <w:t>(my emphasis).</w:t>
      </w:r>
      <w:r>
        <w:rPr>
          <w:rFonts w:ascii="Times New Roman" w:cs="Times New Roman" w:hAnsi="Times New Roman" w:eastAsia="Times New Roman"/>
          <w:vertAlign w:val="superscript"/>
        </w:rPr>
        <w:footnoteReference w:id="15"/>
      </w:r>
      <w:r>
        <w:rPr>
          <w:rtl w:val="0"/>
          <w:lang w:val="en-US"/>
        </w:rPr>
        <w:t xml:space="preserve"> Gabriel Harvey even treated the two types of mathematical proportion as political alternatives, declaring in the midst of his prolonged literary tussle with Thomas Nashe his impassioned allegiance to meritocracy: </w:t>
      </w:r>
      <w:r>
        <w:rPr>
          <w:rFonts w:hAnsi="Helvetica" w:hint="default"/>
          <w:rtl w:val="0"/>
          <w:lang w:val="en-US"/>
        </w:rPr>
        <w:t>‘</w:t>
      </w:r>
      <w:r>
        <w:rPr>
          <w:rtl w:val="0"/>
          <w:lang w:val="en-US"/>
        </w:rPr>
        <w:t xml:space="preserve">they little know, into what incongruities, and absurdities they runne headlong, that are weary of </w:t>
      </w:r>
      <w:r>
        <w:rPr>
          <w:i w:val="1"/>
          <w:iCs w:val="1"/>
          <w:rtl w:val="0"/>
          <w:lang w:val="en-US"/>
        </w:rPr>
        <w:t>Geometricall proportion</w:t>
      </w:r>
      <w:r>
        <w:rPr>
          <w:rtl w:val="0"/>
          <w:lang w:val="en-US"/>
        </w:rPr>
        <w:t>, or distributiue Iustice, in the collation of publique functions, offices, or promotions, ciuile, or spirituall</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16"/>
      </w:r>
      <w:r>
        <w:rPr>
          <w:rFonts w:hAnsi="Helvetica" w:hint="default"/>
          <w:rtl w:val="0"/>
          <w:lang w:val="en-US"/>
        </w:rPr>
        <w:t xml:space="preserve"> ‘</w:t>
      </w:r>
      <w:r>
        <w:rPr>
          <w:rtl w:val="0"/>
          <w:lang w:val="en-US"/>
        </w:rPr>
        <w:t>When better Autors are alleged for equalitie in persons Vnequall</w:t>
      </w:r>
      <w:r>
        <w:rPr>
          <w:rFonts w:hAnsi="Helvetica" w:hint="default"/>
          <w:rtl w:val="0"/>
          <w:lang w:val="en-US"/>
        </w:rPr>
        <w:t>’</w:t>
      </w:r>
      <w:r>
        <w:rPr>
          <w:rtl w:val="0"/>
          <w:lang w:val="en-US"/>
        </w:rPr>
        <w:t xml:space="preserve">, he continued, </w:t>
      </w:r>
      <w:r>
        <w:rPr>
          <w:rFonts w:hAnsi="Helvetica" w:hint="default"/>
          <w:rtl w:val="0"/>
          <w:lang w:val="en-US"/>
        </w:rPr>
        <w:t>‘</w:t>
      </w:r>
      <w:r>
        <w:rPr>
          <w:rtl w:val="0"/>
          <w:lang w:val="en-US"/>
        </w:rPr>
        <w:t xml:space="preserve">I will liue, and dye in defence of that equalitie; and honour </w:t>
      </w:r>
      <w:r>
        <w:rPr>
          <w:i w:val="1"/>
          <w:iCs w:val="1"/>
          <w:rtl w:val="0"/>
          <w:lang w:val="en-US"/>
        </w:rPr>
        <w:t>Arithmeticall Proportion</w:t>
      </w:r>
      <w:r>
        <w:rPr>
          <w:rtl w:val="0"/>
          <w:lang w:val="en-US"/>
        </w:rPr>
        <w:t>, as the onely ballance of Iustice, and sole standard of gouernment.</w:t>
      </w:r>
      <w:r>
        <w:rPr>
          <w:rFonts w:hAnsi="Helvetica" w:hint="default"/>
          <w:rtl w:val="0"/>
          <w:lang w:val="en-US"/>
        </w:rPr>
        <w:t>’</w:t>
      </w:r>
      <w:r>
        <w:rPr>
          <w:rFonts w:ascii="Times New Roman" w:cs="Times New Roman" w:hAnsi="Times New Roman" w:eastAsia="Times New Roman"/>
          <w:vertAlign w:val="superscript"/>
        </w:rPr>
        <w:footnoteReference w:id="17"/>
      </w:r>
    </w:p>
    <w:p>
      <w:pPr>
        <w:pStyle w:val="Body"/>
        <w:spacing w:line="360" w:lineRule="auto"/>
        <w:jc w:val="left"/>
      </w:pPr>
      <w:r>
        <w:rPr>
          <w:rtl w:val="0"/>
        </w:rPr>
        <w:tab/>
        <w:t xml:space="preserve">Although conceptions of the appropriate contexts within which to implement each of the mathematical proportions became increasingly blurred, the actual applicability of those proportions to justice was continually and conscientiously upheld. Bacon gave the union a particularly prestigious place in </w:t>
      </w:r>
      <w:r>
        <w:rPr>
          <w:i w:val="1"/>
          <w:iCs w:val="1"/>
          <w:rtl w:val="0"/>
          <w:lang w:val="en-US"/>
        </w:rPr>
        <w:t xml:space="preserve">Of the Proficience and Aduancement of Learning </w:t>
      </w:r>
      <w:r>
        <w:rPr>
          <w:rtl w:val="0"/>
          <w:lang w:val="en-US"/>
        </w:rPr>
        <w:t xml:space="preserve">(1605), addressing it within a section on </w:t>
      </w:r>
      <w:r>
        <w:rPr>
          <w:rFonts w:hAnsi="Helvetica" w:hint="default"/>
          <w:rtl w:val="0"/>
          <w:lang w:val="en-US"/>
        </w:rPr>
        <w:t>‘</w:t>
      </w:r>
      <w:r>
        <w:rPr>
          <w:rtl w:val="0"/>
          <w:lang w:val="en-US"/>
        </w:rPr>
        <w:t>Philosophia Prima</w:t>
      </w:r>
      <w:r>
        <w:rPr>
          <w:rFonts w:hAnsi="Helvetica" w:hint="default"/>
          <w:rtl w:val="0"/>
          <w:lang w:val="en-US"/>
        </w:rPr>
        <w:t>’</w:t>
      </w:r>
      <w:r>
        <w:rPr>
          <w:rtl w:val="0"/>
          <w:lang w:val="en-US"/>
        </w:rPr>
        <w:t xml:space="preserve">, or those </w:t>
      </w:r>
      <w:r>
        <w:rPr>
          <w:rFonts w:hAnsi="Helvetica" w:hint="default"/>
          <w:rtl w:val="0"/>
          <w:lang w:val="en-US"/>
        </w:rPr>
        <w:t>‘</w:t>
      </w:r>
      <w:r>
        <w:rPr>
          <w:rtl w:val="0"/>
          <w:lang w:val="en-US"/>
        </w:rPr>
        <w:t>speciall parts of Philosophie</w:t>
      </w:r>
      <w:r>
        <w:rPr>
          <w:rFonts w:hAnsi="Helvetica" w:hint="default"/>
          <w:rtl w:val="0"/>
          <w:lang w:val="en-US"/>
        </w:rPr>
        <w:t>…</w:t>
      </w:r>
      <w:r>
        <w:rPr>
          <w:rtl w:val="0"/>
          <w:lang w:val="en-US"/>
        </w:rPr>
        <w:t>of a higher stage</w:t>
      </w:r>
      <w:r>
        <w:rPr>
          <w:rFonts w:hAnsi="Helvetica" w:hint="default"/>
          <w:rtl w:val="0"/>
          <w:lang w:val="en-US"/>
        </w:rPr>
        <w:t>’</w:t>
      </w:r>
      <w:r>
        <w:rPr>
          <w:rtl w:val="0"/>
          <w:lang w:val="en-US"/>
        </w:rPr>
        <w:t xml:space="preserve">. </w:t>
      </w:r>
      <w:r>
        <w:rPr>
          <w:rFonts w:hAnsi="Helvetica" w:hint="default"/>
          <w:rtl w:val="0"/>
          <w:lang w:val="en-US"/>
        </w:rPr>
        <w:t>‘</w:t>
      </w:r>
      <w:r>
        <w:rPr>
          <w:rtl w:val="0"/>
          <w:lang w:val="en-US"/>
        </w:rPr>
        <w:t xml:space="preserve">Is not the rule: </w:t>
      </w:r>
      <w:r>
        <w:rPr>
          <w:i w:val="1"/>
          <w:iCs w:val="1"/>
          <w:rtl w:val="0"/>
          <w:lang w:val="en-US"/>
        </w:rPr>
        <w:t>Si inaequalibus aequatia addas, omnia erunt inaequalia</w:t>
      </w:r>
      <w:r>
        <w:rPr>
          <w:rFonts w:hAnsi="Helvetica" w:hint="default"/>
          <w:rtl w:val="0"/>
          <w:lang w:val="en-US"/>
        </w:rPr>
        <w:t>’</w:t>
      </w:r>
      <w:r>
        <w:rPr>
          <w:rtl w:val="0"/>
          <w:lang w:val="en-US"/>
        </w:rPr>
        <w:t>, he asked,</w:t>
      </w:r>
      <w:r>
        <w:rPr>
          <w:rFonts w:hAnsi="Helvetica" w:hint="default"/>
          <w:i w:val="1"/>
          <w:iCs w:val="1"/>
          <w:rtl w:val="0"/>
          <w:lang w:val="en-US"/>
        </w:rPr>
        <w:t xml:space="preserve"> ‘</w:t>
      </w:r>
      <w:r>
        <w:rPr>
          <w:rtl w:val="0"/>
          <w:lang w:val="en-US"/>
        </w:rPr>
        <w:t>An axiome aswell of Iustice, as of the Mathematiques? And is there not a true coincidence betweene commutatiue and distributiue Iustice, and Arithmeticall and Geometricall proportion?</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18"/>
      </w:r>
      <w:r>
        <w:rPr>
          <w:rtl w:val="0"/>
          <w:lang w:val="en-US"/>
        </w:rPr>
        <w:t xml:space="preserve"> Bacon took the axiom from Euclid, and the success of Aristotelian justice no doubt owed much to the natural interest mathematicians took in such a quantitive approach to ethical behaviour and good governance. Robert Recorde, for example, stressing arithmetic</w:t>
      </w:r>
      <w:r>
        <w:rPr>
          <w:rFonts w:hAnsi="Helvetica" w:hint="default"/>
          <w:rtl w:val="0"/>
          <w:lang w:val="en-US"/>
        </w:rPr>
        <w:t>’</w:t>
      </w:r>
      <w:r>
        <w:rPr>
          <w:rtl w:val="0"/>
          <w:lang w:val="en-US"/>
        </w:rPr>
        <w:t xml:space="preserve">s relevancy to the judiciary in a 1557 textbook on number theory and algebra, explained how </w:t>
      </w:r>
      <w:r>
        <w:rPr>
          <w:rFonts w:hAnsi="Helvetica" w:hint="default"/>
          <w:rtl w:val="0"/>
          <w:lang w:val="en-US"/>
        </w:rPr>
        <w:t>‘</w:t>
      </w:r>
      <w:r>
        <w:rPr>
          <w:rtl w:val="0"/>
          <w:lang w:val="en-US"/>
        </w:rPr>
        <w:t>In Lawe twoe kyndes of Iustice are the somme of the studie: Iustice Distributive, and Iustice Commutativ</w:t>
      </w:r>
      <w:r>
        <w:rPr>
          <w:rtl w:val="0"/>
          <w:lang w:val="en-US"/>
        </w:rPr>
        <w:t>e.</w:t>
      </w:r>
      <w:r>
        <w:rPr>
          <w:rFonts w:hAnsi="Helvetica" w:hint="default"/>
          <w:rtl w:val="0"/>
          <w:lang w:val="en-US"/>
        </w:rPr>
        <w:t>’ ‘</w:t>
      </w:r>
      <w:r>
        <w:rPr>
          <w:rtl w:val="0"/>
          <w:lang w:val="en-US"/>
        </w:rPr>
        <w:t>But what is any of them bothe</w:t>
      </w:r>
      <w:r>
        <w:rPr>
          <w:rFonts w:hAnsi="Helvetica" w:hint="default"/>
          <w:rtl w:val="0"/>
          <w:lang w:val="en-US"/>
        </w:rPr>
        <w:t>’</w:t>
      </w:r>
      <w:r>
        <w:rPr>
          <w:rtl w:val="0"/>
          <w:lang w:val="en-US"/>
        </w:rPr>
        <w:t xml:space="preserve">, he asked, </w:t>
      </w:r>
      <w:r>
        <w:rPr>
          <w:rFonts w:hAnsi="Helvetica" w:hint="default"/>
          <w:rtl w:val="0"/>
          <w:lang w:val="en-US"/>
        </w:rPr>
        <w:t>‘</w:t>
      </w:r>
      <w:r>
        <w:rPr>
          <w:rtl w:val="0"/>
          <w:lang w:val="en-US"/>
        </w:rPr>
        <w:t xml:space="preserve">without Nomber: I haue said in an other place (as I learned of that noble Philosopher </w:t>
      </w:r>
      <w:r>
        <w:rPr>
          <w:i w:val="1"/>
          <w:iCs w:val="1"/>
          <w:rtl w:val="0"/>
          <w:lang w:val="en-US"/>
        </w:rPr>
        <w:t>Aristotell</w:t>
      </w:r>
      <w:r>
        <w:rPr>
          <w:rtl w:val="0"/>
          <w:lang w:val="en-US"/>
        </w:rPr>
        <w:t xml:space="preserve">) that if the knowledge and distinction of </w:t>
      </w:r>
      <w:r>
        <w:rPr>
          <w:i w:val="1"/>
          <w:iCs w:val="1"/>
          <w:rtl w:val="0"/>
          <w:lang w:val="en-US"/>
        </w:rPr>
        <w:t xml:space="preserve">Geometricalle </w:t>
      </w:r>
      <w:r>
        <w:rPr>
          <w:rtl w:val="0"/>
          <w:lang w:val="en-US"/>
        </w:rPr>
        <w:t xml:space="preserve">and </w:t>
      </w:r>
      <w:r>
        <w:rPr>
          <w:i w:val="1"/>
          <w:iCs w:val="1"/>
          <w:rtl w:val="0"/>
          <w:lang w:val="en-US"/>
        </w:rPr>
        <w:t xml:space="preserve">Arithmeticall </w:t>
      </w:r>
      <w:r>
        <w:rPr>
          <w:rtl w:val="0"/>
          <w:lang w:val="en-US"/>
        </w:rPr>
        <w:t>proportion bee not well obserued, there can noe Justice well bee executed.</w:t>
      </w:r>
      <w:r>
        <w:rPr>
          <w:rFonts w:hAnsi="Helvetica" w:hint="default"/>
          <w:rtl w:val="0"/>
          <w:lang w:val="en-US"/>
        </w:rPr>
        <w:t>’</w:t>
      </w:r>
      <w:r>
        <w:rPr>
          <w:rFonts w:ascii="Times New Roman" w:cs="Times New Roman" w:hAnsi="Times New Roman" w:eastAsia="Times New Roman"/>
          <w:vertAlign w:val="superscript"/>
        </w:rPr>
        <w:footnoteReference w:id="19"/>
      </w:r>
      <w:r>
        <w:rPr>
          <w:rtl w:val="0"/>
          <w:lang w:val="en-US"/>
        </w:rPr>
        <w:t xml:space="preserve"> </w:t>
      </w:r>
      <w:r>
        <w:rPr>
          <w:rtl w:val="0"/>
          <w:lang w:val="en-US"/>
        </w:rPr>
        <w:t xml:space="preserve">That </w:t>
      </w:r>
      <w:r>
        <w:rPr>
          <w:rFonts w:hAnsi="Helvetica" w:hint="default"/>
          <w:rtl w:val="0"/>
        </w:rPr>
        <w:t>‘</w:t>
      </w:r>
      <w:r>
        <w:rPr>
          <w:rtl w:val="0"/>
          <w:lang w:val="en-US"/>
        </w:rPr>
        <w:t>other place</w:t>
      </w:r>
      <w:r>
        <w:rPr>
          <w:rFonts w:hAnsi="Helvetica" w:hint="default"/>
          <w:rtl w:val="0"/>
          <w:lang w:val="fr-FR"/>
        </w:rPr>
        <w:t xml:space="preserve">’ </w:t>
      </w:r>
      <w:r>
        <w:rPr>
          <w:rtl w:val="0"/>
          <w:lang w:val="en-US"/>
        </w:rPr>
        <w:t>was another of Recorde</w:t>
      </w:r>
      <w:r>
        <w:rPr>
          <w:rFonts w:hAnsi="Helvetica" w:hint="default"/>
          <w:rtl w:val="0"/>
          <w:lang w:val="fr-FR"/>
        </w:rPr>
        <w:t>’</w:t>
      </w:r>
      <w:r>
        <w:rPr>
          <w:rtl w:val="0"/>
          <w:lang w:val="en-US"/>
        </w:rPr>
        <w:t xml:space="preserve">s textbooks, </w:t>
      </w:r>
      <w:r>
        <w:rPr>
          <w:rtl w:val="0"/>
          <w:lang w:val="en-US"/>
        </w:rPr>
        <w:t>this time on geometry</w:t>
      </w:r>
      <w:r>
        <w:rPr>
          <w:rtl w:val="0"/>
          <w:lang w:val="en-US"/>
        </w:rPr>
        <w:t>, in which he stated</w:t>
      </w:r>
      <w:r>
        <w:rPr>
          <w:rtl w:val="0"/>
          <w:lang w:val="en-US"/>
        </w:rPr>
        <w:t>:</w:t>
      </w:r>
      <w:r>
        <w:rPr>
          <w:rFonts w:hAnsi="Helvetica" w:hint="default"/>
          <w:rtl w:val="0"/>
        </w:rPr>
        <w:t xml:space="preserve"> ‘</w:t>
      </w:r>
      <w:r>
        <w:rPr>
          <w:rtl w:val="0"/>
          <w:lang w:val="en-US"/>
        </w:rPr>
        <w:t>lawes can not well be established, nor iustice duelie executed without geometricall proportion, as bothe Plato in his Politike bokes, and Aristotle in his Moralles doo largely declare</w:t>
      </w:r>
      <w:r>
        <w:rPr>
          <w:rtl w:val="0"/>
          <w:lang w:val="en-US"/>
        </w:rPr>
        <w:t>.</w:t>
      </w:r>
      <w:r>
        <w:rPr>
          <w:rFonts w:hAnsi="Helvetica" w:hint="default"/>
          <w:rtl w:val="0"/>
          <w:lang w:val="fr-FR"/>
        </w:rPr>
        <w:t>’</w:t>
      </w:r>
      <w:r>
        <w:rPr>
          <w:rFonts w:ascii="Times New Roman" w:cs="Times New Roman" w:hAnsi="Times New Roman" w:eastAsia="Times New Roman"/>
          <w:vertAlign w:val="superscript"/>
        </w:rPr>
        <w:footnoteReference w:id="20"/>
      </w:r>
    </w:p>
    <w:p>
      <w:pPr>
        <w:pStyle w:val="Body"/>
        <w:spacing w:line="360" w:lineRule="auto"/>
        <w:jc w:val="left"/>
      </w:pPr>
      <w:r>
        <w:rPr>
          <w:rtl w:val="0"/>
        </w:rPr>
        <w:tab/>
        <w:t>Following Recorde</w:t>
      </w:r>
      <w:r>
        <w:rPr>
          <w:rFonts w:hAnsi="Helvetica" w:hint="default"/>
          <w:rtl w:val="0"/>
          <w:lang w:val="en-US"/>
        </w:rPr>
        <w:t>’</w:t>
      </w:r>
      <w:r>
        <w:rPr>
          <w:rtl w:val="0"/>
          <w:lang w:val="en-US"/>
        </w:rPr>
        <w:t>s example, Dee provided the most detailed account of the mathematical proportions</w:t>
      </w:r>
      <w:r>
        <w:rPr>
          <w:rFonts w:hAnsi="Helvetica" w:hint="default"/>
          <w:rtl w:val="0"/>
          <w:lang w:val="en-US"/>
        </w:rPr>
        <w:t xml:space="preserve">’ </w:t>
      </w:r>
      <w:r>
        <w:rPr>
          <w:rtl w:val="0"/>
          <w:lang w:val="en-US"/>
        </w:rPr>
        <w:t>relevancy to the administration of justice in his lengthy and influential preface to Henry Billingsley</w:t>
      </w:r>
      <w:r>
        <w:rPr>
          <w:rFonts w:hAnsi="Helvetica" w:hint="default"/>
          <w:rtl w:val="0"/>
          <w:lang w:val="en-US"/>
        </w:rPr>
        <w:t>’</w:t>
      </w:r>
      <w:r>
        <w:rPr>
          <w:rtl w:val="0"/>
          <w:lang w:val="en-US"/>
        </w:rPr>
        <w:t>s translation of Euclid</w:t>
      </w:r>
      <w:r>
        <w:rPr>
          <w:rFonts w:hAnsi="Helvetica" w:hint="default"/>
          <w:rtl w:val="0"/>
          <w:lang w:val="en-US"/>
        </w:rPr>
        <w:t>’</w:t>
      </w:r>
      <w:r>
        <w:rPr>
          <w:rtl w:val="0"/>
          <w:lang w:val="en-US"/>
        </w:rPr>
        <w:t xml:space="preserve">s </w:t>
      </w:r>
      <w:r>
        <w:rPr>
          <w:i w:val="1"/>
          <w:iCs w:val="1"/>
          <w:rtl w:val="0"/>
          <w:lang w:val="en-US"/>
        </w:rPr>
        <w:t xml:space="preserve">Elements </w:t>
      </w:r>
      <w:r>
        <w:rPr>
          <w:rtl w:val="0"/>
          <w:lang w:val="en-US"/>
        </w:rPr>
        <w:t xml:space="preserve">(1570). </w:t>
      </w:r>
      <w:r>
        <w:rPr>
          <w:rFonts w:hAnsi="Helvetica" w:hint="default"/>
          <w:rtl w:val="0"/>
          <w:lang w:val="en-US"/>
        </w:rPr>
        <w:t>‘</w:t>
      </w:r>
      <w:r>
        <w:rPr>
          <w:rtl w:val="0"/>
          <w:lang w:val="en-US"/>
        </w:rPr>
        <w:t>Iustice and equity</w:t>
      </w:r>
      <w:r>
        <w:rPr>
          <w:rFonts w:hAnsi="Helvetica" w:hint="default"/>
          <w:rtl w:val="0"/>
          <w:lang w:val="en-US"/>
        </w:rPr>
        <w:t>’</w:t>
      </w:r>
      <w:r>
        <w:rPr>
          <w:rtl w:val="0"/>
          <w:lang w:val="en-US"/>
        </w:rPr>
        <w:t xml:space="preserve">, he argued, </w:t>
      </w:r>
      <w:r>
        <w:rPr>
          <w:rFonts w:hAnsi="Helvetica" w:hint="default"/>
          <w:rtl w:val="0"/>
          <w:lang w:val="en-US"/>
        </w:rPr>
        <w:t>‘</w:t>
      </w:r>
      <w:r>
        <w:rPr>
          <w:rtl w:val="0"/>
          <w:lang w:val="en-US"/>
        </w:rPr>
        <w:t>might be greately preferred, and skilfully executed, through due skill of Arithmetike, and proportions appertainyng.</w:t>
      </w:r>
      <w:r>
        <w:rPr>
          <w:rFonts w:hAnsi="Helvetica" w:hint="default"/>
          <w:rtl w:val="0"/>
          <w:lang w:val="en-US"/>
        </w:rPr>
        <w:t>’</w:t>
      </w:r>
      <w:r>
        <w:rPr>
          <w:rFonts w:ascii="Times New Roman" w:cs="Times New Roman" w:hAnsi="Times New Roman" w:eastAsia="Times New Roman"/>
          <w:vertAlign w:val="superscript"/>
        </w:rPr>
        <w:footnoteReference w:id="21"/>
      </w:r>
      <w:r>
        <w:rPr>
          <w:rtl w:val="0"/>
          <w:lang w:val="en-US"/>
        </w:rPr>
        <w:t xml:space="preserve"> The proportions he referred to were Aristotle</w:t>
      </w:r>
      <w:r>
        <w:rPr>
          <w:rFonts w:hAnsi="Helvetica" w:hint="default"/>
          <w:rtl w:val="0"/>
          <w:lang w:val="en-US"/>
        </w:rPr>
        <w:t>’</w:t>
      </w:r>
      <w:r>
        <w:rPr>
          <w:rtl w:val="0"/>
          <w:lang w:val="en-US"/>
        </w:rPr>
        <w:t xml:space="preserve">s: </w:t>
      </w:r>
      <w:r>
        <w:rPr>
          <w:rFonts w:hAnsi="Helvetica" w:hint="default"/>
          <w:rtl w:val="0"/>
          <w:lang w:val="en-US"/>
        </w:rPr>
        <w:t>‘</w:t>
      </w:r>
      <w:r>
        <w:rPr>
          <w:i w:val="1"/>
          <w:iCs w:val="1"/>
          <w:rtl w:val="0"/>
          <w:lang w:val="en-US"/>
        </w:rPr>
        <w:t>Aristotle</w:t>
      </w:r>
      <w:r>
        <w:rPr>
          <w:rtl w:val="0"/>
          <w:lang w:val="en-US"/>
        </w:rPr>
        <w:t xml:space="preserve"> in his </w:t>
      </w:r>
      <w:r>
        <w:rPr>
          <w:i w:val="1"/>
          <w:iCs w:val="1"/>
          <w:rtl w:val="0"/>
          <w:lang w:val="en-US"/>
        </w:rPr>
        <w:t>Ethikes</w:t>
      </w:r>
      <w:r>
        <w:rPr>
          <w:rtl w:val="0"/>
          <w:lang w:val="en-US"/>
        </w:rPr>
        <w:t xml:space="preserve"> (to fatch the sede of Iustice, and light of direction, to vse and execute the same) was fayne to fly to the perfection, and powers of Numbers: for proportions Arithmeticall and Geometricall.</w:t>
      </w:r>
      <w:r>
        <w:rPr>
          <w:rFonts w:hAnsi="Helvetica" w:hint="default"/>
          <w:rtl w:val="0"/>
          <w:lang w:val="en-US"/>
        </w:rPr>
        <w:t>’</w:t>
      </w:r>
      <w:r>
        <w:rPr>
          <w:rFonts w:ascii="Times New Roman" w:cs="Times New Roman" w:hAnsi="Times New Roman" w:eastAsia="Times New Roman"/>
          <w:vertAlign w:val="superscript"/>
        </w:rPr>
        <w:footnoteReference w:id="22"/>
      </w:r>
      <w:r>
        <w:rPr>
          <w:rtl w:val="0"/>
          <w:lang w:val="en-US"/>
        </w:rPr>
        <w:t xml:space="preserve"> Dee linked the mathematical models to both constitutional and divine laws. Geometrical proportion was fundamental to successful statecraft: </w:t>
      </w:r>
      <w:r>
        <w:rPr>
          <w:rFonts w:hAnsi="Helvetica" w:hint="default"/>
          <w:rtl w:val="0"/>
          <w:lang w:val="en-US"/>
        </w:rPr>
        <w:t>‘</w:t>
      </w:r>
      <w:r>
        <w:rPr>
          <w:rtl w:val="0"/>
          <w:lang w:val="en-US"/>
        </w:rPr>
        <w:t xml:space="preserve">The worthy Philosophers, and prudent lawmakers (who haue written many bookes </w:t>
      </w:r>
      <w:r>
        <w:rPr>
          <w:i w:val="1"/>
          <w:iCs w:val="1"/>
          <w:rtl w:val="0"/>
          <w:lang w:val="nl-NL"/>
        </w:rPr>
        <w:t>De Republica</w:t>
      </w:r>
      <w:r>
        <w:rPr>
          <w:rtl w:val="0"/>
          <w:lang w:val="en-US"/>
        </w:rPr>
        <w:t>: How the best state of Common wealthes might be procured and mainteined,) haue very well determined of Iustice</w:t>
      </w:r>
      <w:r>
        <w:rPr>
          <w:rFonts w:hAnsi="Helvetica" w:hint="default"/>
          <w:rtl w:val="0"/>
          <w:lang w:val="en-US"/>
        </w:rPr>
        <w:t>…</w:t>
      </w:r>
      <w:r>
        <w:rPr>
          <w:rtl w:val="0"/>
          <w:lang w:val="en-US"/>
        </w:rPr>
        <w:t>to be that vertue, by which, to euery one, is rendred, that to him appertaineth.</w:t>
      </w:r>
      <w:r>
        <w:rPr>
          <w:rFonts w:hAnsi="Helvetica" w:hint="default"/>
          <w:rtl w:val="0"/>
          <w:lang w:val="en-US"/>
        </w:rPr>
        <w:t>’</w:t>
      </w:r>
      <w:r>
        <w:rPr>
          <w:rFonts w:ascii="Times New Roman" w:cs="Times New Roman" w:hAnsi="Times New Roman" w:eastAsia="Times New Roman"/>
          <w:vertAlign w:val="superscript"/>
        </w:rPr>
        <w:footnoteReference w:id="23"/>
      </w:r>
      <w:r>
        <w:rPr>
          <w:rtl w:val="0"/>
          <w:lang w:val="en-US"/>
        </w:rPr>
        <w:t xml:space="preserve"> Arithmetical proportion, on the other hand, was a vital instrument of Christian morality: </w:t>
      </w:r>
      <w:r>
        <w:rPr>
          <w:rFonts w:hAnsi="Helvetica" w:hint="default"/>
          <w:rtl w:val="0"/>
          <w:lang w:val="en-US"/>
        </w:rPr>
        <w:t>‘</w:t>
      </w:r>
      <w:r>
        <w:rPr>
          <w:rtl w:val="0"/>
          <w:lang w:val="fr-FR"/>
        </w:rPr>
        <w:t>Our neighbours proporti</w:t>
      </w:r>
      <w:r>
        <w:rPr>
          <w:rtl w:val="0"/>
          <w:lang w:val="en-US"/>
        </w:rPr>
        <w:t>on</w:t>
      </w:r>
      <w:r>
        <w:rPr>
          <w:rtl w:val="0"/>
          <w:lang w:val="en-US"/>
        </w:rPr>
        <w:t>, is also prescribed of the Almighty lawmaker: which is, to do to other, euen as we would be done vnto.</w:t>
      </w:r>
      <w:r>
        <w:rPr>
          <w:rFonts w:hAnsi="Helvetica" w:hint="default"/>
          <w:rtl w:val="0"/>
          <w:lang w:val="en-US"/>
        </w:rPr>
        <w:t>’</w:t>
      </w:r>
      <w:r>
        <w:rPr>
          <w:rFonts w:ascii="Times New Roman" w:cs="Times New Roman" w:hAnsi="Times New Roman" w:eastAsia="Times New Roman"/>
          <w:vertAlign w:val="superscript"/>
        </w:rPr>
        <w:footnoteReference w:id="24"/>
      </w:r>
      <w:r>
        <w:rPr>
          <w:rtl w:val="0"/>
        </w:rPr>
        <w:t xml:space="preserve"> </w:t>
      </w:r>
      <w:r>
        <w:rPr>
          <w:rtl w:val="0"/>
          <w:lang w:val="en-US"/>
        </w:rPr>
        <w:t>For Dee, then, the extensive reach of the proportions through the most fundamental aspects of socio-political, legal, and religious life made them of prime importance, and made a strong case for arithmetic</w:t>
      </w:r>
      <w:r>
        <w:rPr>
          <w:rFonts w:hAnsi="Helvetica" w:hint="default"/>
          <w:rtl w:val="0"/>
          <w:lang w:val="en-US"/>
        </w:rPr>
        <w:t>’</w:t>
      </w:r>
      <w:r>
        <w:rPr>
          <w:rtl w:val="0"/>
          <w:lang w:val="en-US"/>
        </w:rPr>
        <w:t xml:space="preserve">s place as, </w:t>
      </w:r>
      <w:r>
        <w:rPr>
          <w:rFonts w:hAnsi="Helvetica" w:hint="default"/>
          <w:rtl w:val="0"/>
          <w:lang w:val="en-US"/>
        </w:rPr>
        <w:t>‘</w:t>
      </w:r>
      <w:r>
        <w:rPr>
          <w:rtl w:val="0"/>
          <w:lang w:val="en-US"/>
        </w:rPr>
        <w:t xml:space="preserve">next to </w:t>
      </w:r>
      <w:r>
        <w:rPr>
          <w:i w:val="1"/>
          <w:iCs w:val="1"/>
          <w:rtl w:val="0"/>
          <w:lang w:val="en-US"/>
        </w:rPr>
        <w:t>Theologie</w:t>
      </w:r>
      <w:r>
        <w:rPr>
          <w:rFonts w:hAnsi="Helvetica" w:hint="default"/>
          <w:rtl w:val="0"/>
          <w:lang w:val="en-US"/>
        </w:rPr>
        <w:t>’</w:t>
      </w:r>
      <w:r>
        <w:rPr>
          <w:rtl w:val="0"/>
          <w:lang w:val="en-US"/>
        </w:rPr>
        <w:t xml:space="preserve">, the </w:t>
      </w:r>
      <w:r>
        <w:rPr>
          <w:rFonts w:hAnsi="Helvetica" w:hint="default"/>
          <w:rtl w:val="0"/>
          <w:lang w:val="en-US"/>
        </w:rPr>
        <w:t>‘</w:t>
      </w:r>
      <w:r>
        <w:rPr>
          <w:rtl w:val="0"/>
          <w:lang w:val="en-US"/>
        </w:rPr>
        <w:t>most diuine, most pure, most ample and generall, most profounde, most subtile, most commodious and most necessary</w:t>
      </w:r>
      <w:r>
        <w:rPr>
          <w:rFonts w:hAnsi="Helvetica" w:hint="default"/>
          <w:rtl w:val="0"/>
          <w:lang w:val="en-US"/>
        </w:rPr>
        <w:t xml:space="preserve">’ </w:t>
      </w:r>
      <w:r>
        <w:rPr>
          <w:rtl w:val="0"/>
          <w:lang w:val="en-US"/>
        </w:rPr>
        <w:t>of all the sciences.</w:t>
      </w:r>
      <w:r>
        <w:rPr>
          <w:rFonts w:ascii="Times New Roman" w:cs="Times New Roman" w:hAnsi="Times New Roman" w:eastAsia="Times New Roman"/>
          <w:vertAlign w:val="superscript"/>
        </w:rPr>
        <w:footnoteReference w:id="25"/>
      </w:r>
    </w:p>
    <w:p>
      <w:pPr>
        <w:pStyle w:val="Body"/>
        <w:spacing w:line="360" w:lineRule="auto"/>
        <w:jc w:val="center"/>
        <w:rPr>
          <w:b w:val="1"/>
          <w:bCs w:val="1"/>
        </w:rPr>
      </w:pPr>
    </w:p>
    <w:p>
      <w:pPr>
        <w:pStyle w:val="Body"/>
        <w:spacing w:line="360" w:lineRule="auto"/>
        <w:jc w:val="center"/>
        <w:rPr>
          <w:b w:val="1"/>
          <w:bCs w:val="1"/>
        </w:rPr>
      </w:pPr>
      <w:r>
        <w:rPr>
          <w:b w:val="1"/>
          <w:bCs w:val="1"/>
          <w:rtl w:val="0"/>
          <w:lang w:val="en-US"/>
        </w:rPr>
        <w:t>*</w:t>
        <w:tab/>
        <w:t>*</w:t>
        <w:tab/>
        <w:t>*</w:t>
      </w:r>
    </w:p>
    <w:p>
      <w:pPr>
        <w:pStyle w:val="Body"/>
        <w:spacing w:line="360" w:lineRule="auto"/>
        <w:jc w:val="left"/>
        <w:rPr>
          <w:b w:val="1"/>
          <w:bCs w:val="1"/>
          <w:u w:val="single"/>
        </w:rPr>
      </w:pPr>
    </w:p>
    <w:p>
      <w:pPr>
        <w:pStyle w:val="Body"/>
        <w:spacing w:line="360" w:lineRule="auto"/>
        <w:jc w:val="left"/>
      </w:pPr>
      <w:r>
        <w:rPr>
          <w:rtl w:val="0"/>
          <w:lang w:val="en-US"/>
        </w:rPr>
        <w:t xml:space="preserve">With this contextual background in mind, it seems unsurprising that literary critics, albeit unwittingly, and without specific reference to Aristotle, have repeatedly applied one or other of the judicial-mathematical models outlined above in their own interpretations of the formal construction of early modern revenge tragedy, that generic mode of drama most directly and pertinently concerned with explorations of justice and injustice, egalitarianism, and the complex interplay between divinity and the politics of fairness. The two different critical positions can be adequately summarised by the divergence that is to be found in the work of Kerrigan and Woodbridge. </w:t>
      </w:r>
      <w:r>
        <w:rPr>
          <w:rtl w:val="0"/>
          <w:lang w:val="en-US"/>
        </w:rPr>
        <w:t>In a chapter by Kerrigan</w:t>
      </w:r>
      <w:r>
        <w:rPr>
          <w:rtl w:val="0"/>
          <w:lang w:val="en-US"/>
        </w:rPr>
        <w:t xml:space="preserve"> on revenge and Senecan </w:t>
      </w:r>
      <w:r>
        <w:rPr>
          <w:i w:val="1"/>
          <w:iCs w:val="1"/>
          <w:rtl w:val="0"/>
          <w:lang w:val="en-US"/>
        </w:rPr>
        <w:t>ira</w:t>
      </w:r>
      <w:r>
        <w:rPr>
          <w:rtl w:val="0"/>
          <w:lang w:val="en-US"/>
        </w:rPr>
        <w:t xml:space="preserve">, a certain type of tragedy is described, in which </w:t>
      </w:r>
      <w:r>
        <w:rPr>
          <w:rFonts w:hAnsi="Helvetica" w:hint="default"/>
          <w:rtl w:val="0"/>
          <w:lang w:val="en-US"/>
        </w:rPr>
        <w:t>‘</w:t>
      </w:r>
      <w:r>
        <w:rPr>
          <w:rtl w:val="0"/>
          <w:lang w:val="en-US"/>
        </w:rPr>
        <w:t>anger, as a passion, has no mean</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26"/>
      </w:r>
      <w:r>
        <w:rPr>
          <w:rtl w:val="0"/>
          <w:lang w:val="en-US"/>
        </w:rPr>
        <w:t xml:space="preserve"> Dramatic characters function as part of a </w:t>
      </w:r>
      <w:r>
        <w:rPr>
          <w:rFonts w:hAnsi="Helvetica" w:hint="default"/>
          <w:rtl w:val="0"/>
          <w:lang w:val="en-US"/>
        </w:rPr>
        <w:t>‘</w:t>
      </w:r>
      <w:r>
        <w:rPr>
          <w:rtl w:val="0"/>
          <w:lang w:val="en-US"/>
        </w:rPr>
        <w:t>motif of abandoned moderation, of unfixed limits</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27"/>
      </w:r>
      <w:r>
        <w:rPr>
          <w:rtl w:val="0"/>
          <w:lang w:val="en-US"/>
        </w:rPr>
        <w:t xml:space="preserve"> and a convincing link is identified </w:t>
      </w:r>
      <w:r>
        <w:rPr>
          <w:rFonts w:hAnsi="Helvetica" w:hint="default"/>
          <w:rtl w:val="0"/>
          <w:lang w:val="en-US"/>
        </w:rPr>
        <w:t>‘</w:t>
      </w:r>
      <w:r>
        <w:rPr>
          <w:rtl w:val="0"/>
          <w:lang w:val="en-US"/>
        </w:rPr>
        <w:t>between vengeance and excess</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28"/>
      </w:r>
      <w:r>
        <w:rPr>
          <w:rtl w:val="0"/>
          <w:lang w:val="en-US"/>
        </w:rPr>
        <w:t xml:space="preserve"> This is Seneca</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scelera non ulcisceris, / nisi vincis</w:t>
      </w:r>
      <w:r>
        <w:rPr>
          <w:rFonts w:hAnsi="Helvetica" w:hint="default"/>
          <w:rtl w:val="0"/>
          <w:lang w:val="en-US"/>
        </w:rPr>
        <w:t xml:space="preserve">’ </w:t>
      </w:r>
      <w:r>
        <w:rPr>
          <w:rtl w:val="0"/>
          <w:lang w:val="en-US"/>
        </w:rPr>
        <w:t>(</w:t>
      </w:r>
      <w:r>
        <w:rPr>
          <w:i w:val="1"/>
          <w:iCs w:val="1"/>
          <w:rtl w:val="0"/>
          <w:lang w:val="en-US"/>
        </w:rPr>
        <w:t>Thyestes</w:t>
      </w:r>
      <w:r>
        <w:rPr>
          <w:rtl w:val="0"/>
          <w:lang w:val="en-US"/>
        </w:rPr>
        <w:t>,</w:t>
      </w:r>
      <w:r>
        <w:rPr>
          <w:i w:val="1"/>
          <w:iCs w:val="1"/>
          <w:rtl w:val="0"/>
          <w:lang w:val="en-US"/>
        </w:rPr>
        <w:t xml:space="preserve"> </w:t>
      </w:r>
      <w:r>
        <w:rPr>
          <w:rtl w:val="0"/>
          <w:lang w:val="en-US"/>
        </w:rPr>
        <w:t>ll.195-6) [</w:t>
      </w:r>
      <w:r>
        <w:rPr>
          <w:rFonts w:hAnsi="Helvetica" w:hint="default"/>
          <w:rtl w:val="0"/>
          <w:lang w:val="en-US"/>
        </w:rPr>
        <w:t>‘</w:t>
      </w:r>
      <w:r>
        <w:rPr>
          <w:rtl w:val="0"/>
          <w:lang w:val="en-US"/>
        </w:rPr>
        <w:t>You do not avenge crimes unless you surpass them</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29"/>
      </w:r>
      <w:r>
        <w:rPr>
          <w:rtl w:val="0"/>
          <w:lang w:val="en-US"/>
        </w:rPr>
        <w:t>; Shakespeare</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superfluous death</w:t>
      </w:r>
      <w:r>
        <w:rPr>
          <w:rFonts w:hAnsi="Helvetica" w:hint="default"/>
          <w:rtl w:val="0"/>
          <w:lang w:val="en-US"/>
        </w:rPr>
        <w:t xml:space="preserve">’ </w:t>
      </w:r>
      <w:r>
        <w:rPr>
          <w:rtl w:val="0"/>
          <w:lang w:val="en-US"/>
        </w:rPr>
        <w:t>(</w:t>
      </w:r>
      <w:r>
        <w:rPr>
          <w:i w:val="1"/>
          <w:iCs w:val="1"/>
          <w:rtl w:val="0"/>
          <w:lang w:val="en-US"/>
        </w:rPr>
        <w:t>Hamlet</w:t>
      </w:r>
      <w:r>
        <w:rPr>
          <w:rtl w:val="0"/>
          <w:lang w:val="en-US"/>
        </w:rPr>
        <w:t>, 4.5.94); Middleton</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constant vengeance</w:t>
      </w:r>
      <w:r>
        <w:rPr>
          <w:rFonts w:hAnsi="Helvetica" w:hint="default"/>
          <w:rtl w:val="0"/>
          <w:lang w:val="en-US"/>
        </w:rPr>
        <w:t xml:space="preserve">’ </w:t>
      </w:r>
      <w:r>
        <w:rPr>
          <w:rtl w:val="0"/>
          <w:lang w:val="en-US"/>
        </w:rPr>
        <w:t>(</w:t>
      </w:r>
      <w:r>
        <w:rPr>
          <w:i w:val="1"/>
          <w:iCs w:val="1"/>
          <w:rtl w:val="0"/>
          <w:lang w:val="en-US"/>
        </w:rPr>
        <w:t>Revenger</w:t>
      </w:r>
      <w:r>
        <w:rPr>
          <w:rFonts w:hAnsi="Helvetica" w:hint="default"/>
          <w:i w:val="1"/>
          <w:iCs w:val="1"/>
          <w:rtl w:val="0"/>
          <w:lang w:val="en-US"/>
        </w:rPr>
        <w:t>’</w:t>
      </w:r>
      <w:r>
        <w:rPr>
          <w:i w:val="1"/>
          <w:iCs w:val="1"/>
          <w:rtl w:val="0"/>
          <w:lang w:val="en-US"/>
        </w:rPr>
        <w:t>s Tragedy</w:t>
      </w:r>
      <w:r>
        <w:rPr>
          <w:rtl w:val="0"/>
          <w:lang w:val="en-US"/>
        </w:rPr>
        <w:t xml:space="preserve">, </w:t>
      </w:r>
      <w:r>
        <w:rPr>
          <w:rtl w:val="0"/>
        </w:rPr>
        <w:t>3.5.109</w:t>
      </w:r>
      <w:r>
        <w:rPr>
          <w:rtl w:val="0"/>
          <w:lang w:val="en-US"/>
        </w:rPr>
        <w:t xml:space="preserve">). This model of revenge is analogous to Aristotelian distributive justice, utilising geometrical proportion to make a subjective quantification of how much punishment an offender deserves, and limited </w:t>
      </w:r>
      <w:r>
        <w:rPr>
          <w:rtl w:val="0"/>
          <w:lang w:val="en-US"/>
        </w:rPr>
        <w:t>only by the revenger</w:t>
      </w:r>
      <w:r>
        <w:rPr>
          <w:rFonts w:hAnsi="Helvetica" w:hint="default"/>
          <w:rtl w:val="0"/>
          <w:lang w:val="en-US"/>
        </w:rPr>
        <w:t>’</w:t>
      </w:r>
      <w:r>
        <w:rPr>
          <w:rtl w:val="0"/>
          <w:lang w:val="en-US"/>
        </w:rPr>
        <w:t>s unlimited sense of what s/he has suffered.</w:t>
      </w:r>
      <w:r>
        <w:rPr>
          <w:color w:val="ff2c21"/>
          <w:rtl w:val="0"/>
          <w:lang w:val="en-US"/>
        </w:rPr>
        <w:t xml:space="preserve"> </w:t>
      </w:r>
      <w:r>
        <w:rPr>
          <w:rtl w:val="0"/>
          <w:lang w:val="en-US"/>
        </w:rPr>
        <w:t xml:space="preserve">Woodbridge, in contrast, considers the aesthetics of revenge tragedy as comparable to </w:t>
      </w:r>
      <w:r>
        <w:rPr>
          <w:rFonts w:hAnsi="Helvetica" w:hint="default"/>
          <w:rtl w:val="0"/>
          <w:lang w:val="en-US"/>
        </w:rPr>
        <w:t>‘</w:t>
      </w:r>
      <w:r>
        <w:rPr>
          <w:rtl w:val="0"/>
          <w:lang w:val="en-US"/>
        </w:rPr>
        <w:t xml:space="preserve">the bilateral symmetry of high Renaissance architecture </w:t>
      </w:r>
      <w:r>
        <w:rPr>
          <w:rFonts w:hAnsi="Helvetica" w:hint="default"/>
          <w:rtl w:val="0"/>
          <w:lang w:val="en-US"/>
        </w:rPr>
        <w:t xml:space="preserve">— </w:t>
      </w:r>
      <w:r>
        <w:rPr>
          <w:rtl w:val="0"/>
          <w:lang w:val="en-US"/>
        </w:rPr>
        <w:t>the Strozzi Palace in Florence, England</w:t>
      </w:r>
      <w:r>
        <w:rPr>
          <w:rFonts w:hAnsi="Helvetica" w:hint="default"/>
          <w:rtl w:val="0"/>
          <w:lang w:val="en-US"/>
        </w:rPr>
        <w:t>’</w:t>
      </w:r>
      <w:r>
        <w:rPr>
          <w:rtl w:val="0"/>
          <w:lang w:val="en-US"/>
        </w:rPr>
        <w:t>s Longleat</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30"/>
      </w:r>
      <w:r>
        <w:rPr>
          <w:rtl w:val="0"/>
          <w:lang w:val="en-US"/>
        </w:rPr>
        <w:t xml:space="preserve"> </w:t>
      </w:r>
      <w:r>
        <w:rPr>
          <w:rFonts w:hAnsi="Helvetica" w:hint="default"/>
          <w:rtl w:val="0"/>
        </w:rPr>
        <w:t>‘</w:t>
      </w:r>
      <w:r>
        <w:rPr>
          <w:rtl w:val="0"/>
          <w:lang w:val="en-US"/>
        </w:rPr>
        <w:t>[R]</w:t>
      </w:r>
      <w:r>
        <w:rPr>
          <w:rtl w:val="0"/>
          <w:lang w:val="en-US"/>
        </w:rPr>
        <w:t>evenge was symmetrical</w:t>
      </w:r>
      <w:r>
        <w:rPr>
          <w:rFonts w:hAnsi="Helvetica" w:hint="default"/>
          <w:rtl w:val="0"/>
          <w:lang w:val="en-US"/>
        </w:rPr>
        <w:t>’</w:t>
      </w:r>
      <w:r>
        <w:rPr>
          <w:rtl w:val="0"/>
          <w:lang w:val="en-US"/>
        </w:rPr>
        <w:t>, she writes, and</w:t>
      </w:r>
      <w:r>
        <w:rPr>
          <w:rtl w:val="0"/>
        </w:rPr>
        <w:t xml:space="preserve"> </w:t>
      </w:r>
      <w:r>
        <w:rPr>
          <w:rtl w:val="0"/>
          <w:lang w:val="en-US"/>
        </w:rPr>
        <w:t xml:space="preserve">a </w:t>
      </w:r>
      <w:r>
        <w:rPr>
          <w:rFonts w:hAnsi="Helvetica" w:hint="default"/>
          <w:rtl w:val="0"/>
          <w:lang w:val="en-US"/>
        </w:rPr>
        <w:t>‘</w:t>
      </w:r>
      <w:r>
        <w:rPr>
          <w:rtl w:val="0"/>
          <w:lang w:val="en-US"/>
        </w:rPr>
        <w:t>perfectly executed condign revenge was beautiful</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31"/>
      </w:r>
      <w:r>
        <w:rPr>
          <w:rtl w:val="0"/>
          <w:lang w:val="en-US"/>
        </w:rPr>
        <w:t xml:space="preserve"> This is a similarly compelling account of the genre, especially given its pervasive implementation of a grammar that is reflective, chiastic, epanaleptic: Aeschylus</w:t>
      </w:r>
      <w:r>
        <w:rPr>
          <w:rFonts w:hAnsi="Helvetica" w:hint="default"/>
          <w:rtl w:val="0"/>
          <w:lang w:val="en-US"/>
        </w:rPr>
        <w:t>’ ‘</w:t>
      </w:r>
      <w:r>
        <w:rPr>
          <w:rFonts w:hAnsi="Helvetica" w:hint="default"/>
          <w:rtl w:val="0"/>
        </w:rPr>
        <w:t>ἀντὶ δε πληγῆς φονὶας φονίαν</w:t>
      </w:r>
      <w:r>
        <w:rPr>
          <w:rtl w:val="0"/>
          <w:lang w:val="en-US"/>
        </w:rPr>
        <w:t xml:space="preserve"> / </w:t>
      </w:r>
      <w:r>
        <w:rPr>
          <w:rFonts w:hAnsi="Helvetica" w:hint="default"/>
          <w:rtl w:val="0"/>
        </w:rPr>
        <w:t>πληγὴν τινέτω</w:t>
      </w:r>
      <w:r>
        <w:rPr>
          <w:rFonts w:hAnsi="Helvetica" w:hint="default"/>
          <w:rtl w:val="0"/>
          <w:lang w:val="en-US"/>
        </w:rPr>
        <w:t xml:space="preserve">’ </w:t>
      </w:r>
      <w:r>
        <w:rPr>
          <w:rtl w:val="0"/>
          <w:lang w:val="en-US"/>
        </w:rPr>
        <w:t>[</w:t>
      </w:r>
      <w:r>
        <w:rPr>
          <w:rFonts w:hAnsi="Helvetica" w:hint="default"/>
          <w:rtl w:val="0"/>
          <w:lang w:val="en-US"/>
        </w:rPr>
        <w:t>‘</w:t>
      </w:r>
      <w:r>
        <w:rPr>
          <w:rtl w:val="0"/>
          <w:lang w:val="en-US"/>
        </w:rPr>
        <w:t>and for a bloody stroke let the payment be a bloody stroke</w:t>
      </w:r>
      <w:r>
        <w:rPr>
          <w:rFonts w:hAnsi="Helvetica" w:hint="default"/>
          <w:rtl w:val="0"/>
          <w:lang w:val="en-US"/>
        </w:rPr>
        <w:t>’</w:t>
      </w:r>
      <w:r>
        <w:rPr>
          <w:rtl w:val="0"/>
          <w:lang w:val="en-US"/>
        </w:rPr>
        <w:t>] (</w:t>
      </w:r>
      <w:r>
        <w:rPr>
          <w:i w:val="1"/>
          <w:iCs w:val="1"/>
          <w:rtl w:val="0"/>
          <w:lang w:val="en-US"/>
        </w:rPr>
        <w:t>Libation Bearers</w:t>
      </w:r>
      <w:r>
        <w:rPr>
          <w:rtl w:val="0"/>
          <w:lang w:val="en-US"/>
        </w:rPr>
        <w:t>, 312-13)</w:t>
      </w:r>
      <w:r>
        <w:rPr>
          <w:rFonts w:ascii="Times New Roman" w:cs="Times New Roman" w:hAnsi="Times New Roman" w:eastAsia="Times New Roman"/>
          <w:vertAlign w:val="superscript"/>
        </w:rPr>
        <w:footnoteReference w:id="32"/>
      </w:r>
      <w:r>
        <w:rPr>
          <w:rtl w:val="0"/>
          <w:lang w:val="en-US"/>
        </w:rPr>
        <w:t>; Seneca</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Redde nunc natum mihi. / Et tu parentum redde</w:t>
      </w:r>
      <w:r>
        <w:rPr>
          <w:rFonts w:hAnsi="Helvetica" w:hint="default"/>
          <w:rtl w:val="0"/>
          <w:lang w:val="en-US"/>
        </w:rPr>
        <w:t xml:space="preserve">’ </w:t>
      </w:r>
      <w:r>
        <w:rPr>
          <w:rtl w:val="0"/>
          <w:lang w:val="en-US"/>
        </w:rPr>
        <w:t>[</w:t>
      </w:r>
      <w:r>
        <w:rPr>
          <w:rFonts w:hAnsi="Helvetica" w:hint="default"/>
          <w:rtl w:val="0"/>
          <w:lang w:val="en-US"/>
        </w:rPr>
        <w:t>‘</w:t>
      </w:r>
      <w:r>
        <w:rPr>
          <w:rtl w:val="0"/>
          <w:lang w:val="en-US"/>
        </w:rPr>
        <w:t>Restore me now my son. / And do thou restore my father</w:t>
      </w:r>
      <w:r>
        <w:rPr>
          <w:rFonts w:hAnsi="Helvetica" w:hint="default"/>
          <w:rtl w:val="0"/>
          <w:lang w:val="en-US"/>
        </w:rPr>
        <w:t>’</w:t>
      </w:r>
      <w:r>
        <w:rPr>
          <w:rtl w:val="0"/>
          <w:lang w:val="en-US"/>
        </w:rPr>
        <w:t>] (</w:t>
      </w:r>
      <w:r>
        <w:rPr>
          <w:i w:val="1"/>
          <w:iCs w:val="1"/>
          <w:rtl w:val="0"/>
          <w:lang w:val="en-US"/>
        </w:rPr>
        <w:t>Agamemnon</w:t>
      </w:r>
      <w:r>
        <w:rPr>
          <w:rtl w:val="0"/>
          <w:lang w:val="en-US"/>
        </w:rPr>
        <w:t>,</w:t>
      </w:r>
      <w:r>
        <w:rPr>
          <w:i w:val="1"/>
          <w:iCs w:val="1"/>
          <w:rtl w:val="0"/>
          <w:lang w:val="en-US"/>
        </w:rPr>
        <w:t xml:space="preserve"> </w:t>
      </w:r>
      <w:r>
        <w:rPr>
          <w:rtl w:val="0"/>
          <w:lang w:val="en-US"/>
        </w:rPr>
        <w:t>967-68); Marston</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Blood cries for blood</w:t>
      </w:r>
      <w:r>
        <w:rPr>
          <w:rtl w:val="0"/>
          <w:lang w:val="en-US"/>
        </w:rPr>
        <w:t>,</w:t>
      </w:r>
      <w:r>
        <w:rPr>
          <w:rtl w:val="0"/>
          <w:lang w:val="de-DE"/>
        </w:rPr>
        <w:t xml:space="preserve"> and murder murder cra</w:t>
      </w:r>
      <w:r>
        <w:rPr>
          <w:rtl w:val="0"/>
          <w:lang w:val="en-US"/>
        </w:rPr>
        <w:t>v</w:t>
      </w:r>
      <w:r>
        <w:rPr>
          <w:rtl w:val="0"/>
        </w:rPr>
        <w:t>es</w:t>
      </w:r>
      <w:r>
        <w:rPr>
          <w:rFonts w:hAnsi="Helvetica" w:hint="default"/>
          <w:rtl w:val="0"/>
          <w:lang w:val="en-US"/>
        </w:rPr>
        <w:t xml:space="preserve">’ </w:t>
      </w:r>
      <w:r>
        <w:rPr>
          <w:rtl w:val="0"/>
          <w:lang w:val="en-US"/>
        </w:rPr>
        <w:t>(</w:t>
      </w:r>
      <w:r>
        <w:rPr>
          <w:i w:val="1"/>
          <w:iCs w:val="1"/>
          <w:rtl w:val="0"/>
          <w:lang w:val="en-US"/>
        </w:rPr>
        <w:t>Antonio</w:t>
      </w:r>
      <w:r>
        <w:rPr>
          <w:rFonts w:hAnsi="Helvetica" w:hint="default"/>
          <w:i w:val="1"/>
          <w:iCs w:val="1"/>
          <w:rtl w:val="0"/>
          <w:lang w:val="en-US"/>
        </w:rPr>
        <w:t>’</w:t>
      </w:r>
      <w:r>
        <w:rPr>
          <w:i w:val="1"/>
          <w:iCs w:val="1"/>
          <w:rtl w:val="0"/>
          <w:lang w:val="en-US"/>
        </w:rPr>
        <w:t>s Revenge</w:t>
      </w:r>
      <w:r>
        <w:rPr>
          <w:rtl w:val="0"/>
          <w:lang w:val="en-US"/>
        </w:rPr>
        <w:t>, 3.3.70). This model of revenge is analogous to Aristotelian corrective justice, utilising arithmetical proportion to provide a retribution based upon a quantifiable parity.</w:t>
      </w:r>
    </w:p>
    <w:p>
      <w:pPr>
        <w:pStyle w:val="Body"/>
        <w:spacing w:line="360" w:lineRule="auto"/>
        <w:jc w:val="left"/>
        <w:rPr>
          <w:sz w:val="22"/>
          <w:szCs w:val="22"/>
        </w:rPr>
      </w:pPr>
      <w:r>
        <w:rPr>
          <w:rtl w:val="0"/>
        </w:rPr>
        <w:tab/>
        <w:t>Critics of revenge tragedy have tended to marginalise Chettle</w:t>
      </w:r>
      <w:r>
        <w:rPr>
          <w:rFonts w:hAnsi="Helvetica" w:hint="default"/>
          <w:rtl w:val="0"/>
          <w:lang w:val="en-US"/>
        </w:rPr>
        <w:t>’</w:t>
      </w:r>
      <w:r>
        <w:rPr>
          <w:rtl w:val="0"/>
          <w:lang w:val="en-US"/>
        </w:rPr>
        <w:t xml:space="preserve">s </w:t>
      </w:r>
      <w:r>
        <w:rPr>
          <w:i w:val="1"/>
          <w:iCs w:val="1"/>
          <w:rtl w:val="0"/>
          <w:lang w:val="en-US"/>
        </w:rPr>
        <w:t>Tragedy of Hoffman</w:t>
      </w:r>
      <w:r>
        <w:rPr>
          <w:rtl w:val="0"/>
          <w:lang w:val="en-US"/>
        </w:rPr>
        <w:t xml:space="preserve">, and have thus missed an opportunity to understand its somewhat singular take on the genre. </w:t>
      </w:r>
      <w:r>
        <w:rPr>
          <w:i w:val="1"/>
          <w:iCs w:val="1"/>
          <w:rtl w:val="0"/>
          <w:lang w:val="en-US"/>
        </w:rPr>
        <w:t xml:space="preserve">Hoffman </w:t>
      </w:r>
      <w:r>
        <w:rPr>
          <w:rtl w:val="0"/>
          <w:lang w:val="en-US"/>
        </w:rPr>
        <w:t xml:space="preserve">uniquely </w:t>
      </w:r>
      <w:r>
        <w:rPr>
          <w:rtl w:val="0"/>
          <w:lang w:val="en-US"/>
        </w:rPr>
        <w:t>encompasses both of the aforementioned models of revenge, and explores with self-consciousness the mathematical and moral boundaries between parity and excess. I</w:t>
      </w:r>
      <w:r>
        <w:rPr>
          <w:sz w:val="22"/>
          <w:szCs w:val="22"/>
          <w:rtl w:val="0"/>
          <w:lang w:val="en-US"/>
        </w:rPr>
        <w:t>n the play</w:t>
      </w:r>
      <w:r>
        <w:rPr>
          <w:rFonts w:hAnsi="Helvetica" w:hint="default"/>
          <w:sz w:val="22"/>
          <w:szCs w:val="22"/>
          <w:rtl w:val="0"/>
          <w:lang w:val="en-US"/>
        </w:rPr>
        <w:t>’</w:t>
      </w:r>
      <w:r>
        <w:rPr>
          <w:sz w:val="22"/>
          <w:szCs w:val="22"/>
          <w:rtl w:val="0"/>
          <w:lang w:val="en-US"/>
        </w:rPr>
        <w:t>s opening scene,</w:t>
      </w:r>
      <w:r>
        <w:rPr>
          <w:sz w:val="22"/>
          <w:szCs w:val="22"/>
          <w:rtl w:val="0"/>
          <w:lang w:val="en-US"/>
        </w:rPr>
        <w:t xml:space="preserve"> </w:t>
      </w:r>
      <w:r>
        <w:rPr>
          <w:sz w:val="22"/>
          <w:szCs w:val="22"/>
          <w:rtl w:val="0"/>
          <w:lang w:val="en-US"/>
        </w:rPr>
        <w:t>amidst the rapidity of a verbal to-and-fro with his impending accomplice, Lorrique, Hoffman discovers the proximity of his father</w:t>
      </w:r>
      <w:r>
        <w:rPr>
          <w:rFonts w:hAnsi="Helvetica" w:hint="default"/>
          <w:sz w:val="22"/>
          <w:szCs w:val="22"/>
          <w:rtl w:val="0"/>
          <w:lang w:val="en-US"/>
        </w:rPr>
        <w:t>’</w:t>
      </w:r>
      <w:r>
        <w:rPr>
          <w:sz w:val="22"/>
          <w:szCs w:val="22"/>
          <w:rtl w:val="0"/>
          <w:lang w:val="en-US"/>
        </w:rPr>
        <w:t>s murderer</w:t>
      </w:r>
      <w:r>
        <w:rPr>
          <w:rFonts w:hAnsi="Helvetica" w:hint="default"/>
          <w:sz w:val="22"/>
          <w:szCs w:val="22"/>
          <w:rtl w:val="0"/>
          <w:lang w:val="en-US"/>
        </w:rPr>
        <w:t>’</w:t>
      </w:r>
      <w:r>
        <w:rPr>
          <w:sz w:val="22"/>
          <w:szCs w:val="22"/>
          <w:rtl w:val="0"/>
          <w:lang w:val="en-US"/>
        </w:rPr>
        <w:t xml:space="preserve">s son. It is here that </w:t>
      </w:r>
      <w:r>
        <w:rPr>
          <w:sz w:val="22"/>
          <w:szCs w:val="22"/>
          <w:rtl w:val="0"/>
          <w:lang w:val="en-US"/>
        </w:rPr>
        <w:t>Hoffman</w:t>
      </w:r>
      <w:r>
        <w:rPr>
          <w:rFonts w:hAnsi="Helvetica" w:hint="default"/>
          <w:sz w:val="22"/>
          <w:szCs w:val="22"/>
          <w:rtl w:val="0"/>
          <w:lang w:val="en-US"/>
        </w:rPr>
        <w:t>’</w:t>
      </w:r>
      <w:r>
        <w:rPr>
          <w:sz w:val="22"/>
          <w:szCs w:val="22"/>
          <w:rtl w:val="0"/>
          <w:lang w:val="en-US"/>
        </w:rPr>
        <w:t>s philoso</w:t>
      </w:r>
      <w:r>
        <w:rPr>
          <w:sz w:val="22"/>
          <w:szCs w:val="22"/>
          <w:rtl w:val="0"/>
          <w:lang w:val="en-US"/>
        </w:rPr>
        <w:t>phy of vengeance, as well as its antithesis, find their first delineation:</w:t>
      </w:r>
    </w:p>
    <w:p>
      <w:pPr>
        <w:pStyle w:val="Body"/>
        <w:spacing w:line="360" w:lineRule="auto"/>
        <w:jc w:val="left"/>
        <w:rPr>
          <w:sz w:val="20"/>
          <w:szCs w:val="20"/>
        </w:rPr>
      </w:pPr>
    </w:p>
    <w:p>
      <w:pPr>
        <w:pStyle w:val="Body"/>
        <w:jc w:val="left"/>
        <w:rPr>
          <w:i w:val="1"/>
          <w:iCs w:val="1"/>
          <w:sz w:val="20"/>
          <w:szCs w:val="20"/>
        </w:rPr>
      </w:pPr>
      <w:r>
        <w:rPr>
          <w:sz w:val="20"/>
          <w:szCs w:val="20"/>
        </w:rPr>
        <w:tab/>
        <w:tab/>
      </w:r>
      <w:r>
        <w:rPr>
          <w:i w:val="1"/>
          <w:iCs w:val="1"/>
          <w:sz w:val="20"/>
          <w:szCs w:val="20"/>
          <w:rtl w:val="0"/>
          <w:lang w:val="en-US"/>
        </w:rPr>
        <w:t xml:space="preserve">Hoffman. </w:t>
      </w:r>
      <w:r>
        <w:rPr>
          <w:sz w:val="20"/>
          <w:szCs w:val="20"/>
          <w:rtl w:val="0"/>
          <w:lang w:val="en-US"/>
        </w:rPr>
        <w:t>Revenge I kiss thee, vengeance y</w:t>
      </w:r>
      <w:r>
        <w:rPr>
          <w:rFonts w:hAnsi="Helvetica" w:hint="default"/>
          <w:sz w:val="20"/>
          <w:szCs w:val="20"/>
          <w:rtl w:val="0"/>
          <w:lang w:val="en-US"/>
        </w:rPr>
        <w:t>’</w:t>
      </w:r>
      <w:r>
        <w:rPr>
          <w:sz w:val="20"/>
          <w:szCs w:val="20"/>
          <w:rtl w:val="0"/>
          <w:lang w:val="en-US"/>
        </w:rPr>
        <w:t>are at liberty!</w:t>
      </w:r>
    </w:p>
    <w:p>
      <w:pPr>
        <w:pStyle w:val="Body"/>
        <w:jc w:val="left"/>
        <w:rPr>
          <w:sz w:val="20"/>
          <w:szCs w:val="20"/>
        </w:rPr>
      </w:pPr>
      <w:r>
        <w:rPr>
          <w:i w:val="1"/>
          <w:iCs w:val="1"/>
          <w:sz w:val="20"/>
          <w:szCs w:val="20"/>
        </w:rPr>
        <w:tab/>
        <w:tab/>
        <w:tab/>
      </w:r>
      <w:r>
        <w:rPr>
          <w:sz w:val="20"/>
          <w:szCs w:val="20"/>
          <w:rtl w:val="0"/>
          <w:lang w:val="en-US"/>
        </w:rPr>
        <w:t>Wouldst thou having lost a father as I have,</w:t>
      </w:r>
    </w:p>
    <w:p>
      <w:pPr>
        <w:pStyle w:val="Body"/>
        <w:jc w:val="left"/>
        <w:rPr>
          <w:sz w:val="20"/>
          <w:szCs w:val="20"/>
        </w:rPr>
      </w:pPr>
      <w:r>
        <w:rPr>
          <w:sz w:val="20"/>
          <w:szCs w:val="20"/>
          <w:rtl w:val="0"/>
        </w:rPr>
        <w:tab/>
        <w:tab/>
        <w:tab/>
        <w:t>Whose very name dissolves my eyes to tears;</w:t>
      </w:r>
      <w:r>
        <w:rPr>
          <w:sz w:val="20"/>
          <w:szCs w:val="20"/>
        </w:rPr>
        <w:br w:type="textWrapping"/>
        <w:tab/>
        <w:tab/>
        <w:tab/>
      </w:r>
      <w:r>
        <w:rPr>
          <w:sz w:val="20"/>
          <w:szCs w:val="20"/>
          <w:rtl w:val="0"/>
          <w:lang w:val="en-US"/>
        </w:rPr>
        <w:t>Could duty and thy love so different prove,</w:t>
      </w:r>
    </w:p>
    <w:p>
      <w:pPr>
        <w:pStyle w:val="Body"/>
        <w:jc w:val="left"/>
        <w:rPr>
          <w:sz w:val="20"/>
          <w:szCs w:val="20"/>
        </w:rPr>
      </w:pPr>
      <w:r>
        <w:rPr>
          <w:sz w:val="20"/>
          <w:szCs w:val="20"/>
          <w:rtl w:val="0"/>
        </w:rPr>
        <w:tab/>
        <w:tab/>
        <w:tab/>
        <w:t>Not to avenge his death whose better part</w:t>
      </w:r>
    </w:p>
    <w:p>
      <w:pPr>
        <w:pStyle w:val="Body"/>
        <w:jc w:val="left"/>
        <w:rPr>
          <w:sz w:val="20"/>
          <w:szCs w:val="20"/>
        </w:rPr>
      </w:pPr>
      <w:r>
        <w:rPr>
          <w:sz w:val="20"/>
          <w:szCs w:val="20"/>
          <w:rtl w:val="0"/>
        </w:rPr>
        <w:tab/>
        <w:tab/>
        <w:tab/>
        <w:t>Was thine, thou his; when he fell, part of thee</w:t>
      </w:r>
    </w:p>
    <w:p>
      <w:pPr>
        <w:pStyle w:val="Body"/>
        <w:jc w:val="left"/>
        <w:rPr>
          <w:sz w:val="20"/>
          <w:szCs w:val="20"/>
        </w:rPr>
      </w:pPr>
      <w:r>
        <w:rPr>
          <w:sz w:val="20"/>
          <w:szCs w:val="20"/>
          <w:rtl w:val="0"/>
        </w:rPr>
        <w:tab/>
        <w:tab/>
        <w:tab/>
        <w:t>Fell with him, each drop being part thine own,</w:t>
      </w:r>
    </w:p>
    <w:p>
      <w:pPr>
        <w:pStyle w:val="Body"/>
        <w:jc w:val="left"/>
        <w:rPr>
          <w:sz w:val="20"/>
          <w:szCs w:val="20"/>
        </w:rPr>
      </w:pPr>
      <w:r>
        <w:rPr>
          <w:sz w:val="20"/>
          <w:szCs w:val="20"/>
          <w:rtl w:val="0"/>
        </w:rPr>
        <w:tab/>
        <w:tab/>
        <w:tab/>
        <w:t>And wouldst not be revenged?</w:t>
      </w:r>
    </w:p>
    <w:p>
      <w:pPr>
        <w:pStyle w:val="Body"/>
        <w:jc w:val="left"/>
        <w:rPr>
          <w:sz w:val="20"/>
          <w:szCs w:val="20"/>
        </w:rPr>
      </w:pPr>
      <w:r>
        <w:rPr>
          <w:sz w:val="20"/>
          <w:szCs w:val="20"/>
        </w:rPr>
        <w:tab/>
        <w:tab/>
      </w:r>
      <w:r>
        <w:rPr>
          <w:i w:val="1"/>
          <w:iCs w:val="1"/>
          <w:sz w:val="20"/>
          <w:szCs w:val="20"/>
          <w:rtl w:val="0"/>
          <w:lang w:val="en-US"/>
        </w:rPr>
        <w:t xml:space="preserve">Lorrique. </w:t>
      </w:r>
      <w:r>
        <w:rPr>
          <w:sz w:val="20"/>
          <w:szCs w:val="20"/>
          <w:rtl w:val="0"/>
          <w:lang w:val="en-US"/>
        </w:rPr>
        <w:t>Yes, on the murderer.</w:t>
      </w:r>
    </w:p>
    <w:p>
      <w:pPr>
        <w:pStyle w:val="Body"/>
        <w:jc w:val="left"/>
        <w:rPr>
          <w:sz w:val="20"/>
          <w:szCs w:val="20"/>
        </w:rPr>
      </w:pPr>
      <w:r>
        <w:rPr>
          <w:sz w:val="20"/>
          <w:szCs w:val="20"/>
        </w:rPr>
        <w:tab/>
        <w:tab/>
      </w:r>
      <w:r>
        <w:rPr>
          <w:i w:val="1"/>
          <w:iCs w:val="1"/>
          <w:sz w:val="20"/>
          <w:szCs w:val="20"/>
          <w:rtl w:val="0"/>
          <w:lang w:val="en-US"/>
        </w:rPr>
        <w:t xml:space="preserve">Hoffman. </w:t>
      </w:r>
      <w:r>
        <w:rPr>
          <w:sz w:val="20"/>
          <w:szCs w:val="20"/>
          <w:rtl w:val="0"/>
          <w:lang w:val="en-US"/>
        </w:rPr>
        <w:t>On him, or any man that is allied;</w:t>
      </w:r>
    </w:p>
    <w:p>
      <w:pPr>
        <w:pStyle w:val="Body"/>
        <w:jc w:val="left"/>
        <w:rPr>
          <w:sz w:val="20"/>
          <w:szCs w:val="20"/>
        </w:rPr>
      </w:pPr>
      <w:r>
        <w:rPr>
          <w:sz w:val="20"/>
          <w:szCs w:val="20"/>
          <w:rtl w:val="0"/>
        </w:rPr>
        <w:tab/>
        <w:tab/>
        <w:tab/>
        <w:t>Has but one ounce of blood, of which he</w:t>
      </w:r>
      <w:r>
        <w:rPr>
          <w:rFonts w:hAnsi="Helvetica" w:hint="default"/>
          <w:sz w:val="20"/>
          <w:szCs w:val="20"/>
          <w:rtl w:val="0"/>
          <w:lang w:val="en-US"/>
        </w:rPr>
        <w:t>’</w:t>
      </w:r>
      <w:r>
        <w:rPr>
          <w:sz w:val="20"/>
          <w:szCs w:val="20"/>
          <w:rtl w:val="0"/>
          <w:lang w:val="en-US"/>
        </w:rPr>
        <w:t>s a part.</w:t>
      </w:r>
    </w:p>
    <w:p>
      <w:pPr>
        <w:pStyle w:val="Body"/>
        <w:jc w:val="left"/>
        <w:rPr>
          <w:sz w:val="20"/>
          <w:szCs w:val="20"/>
        </w:rPr>
      </w:pPr>
      <w:r>
        <w:rPr>
          <w:sz w:val="20"/>
          <w:szCs w:val="20"/>
          <w:rtl w:val="0"/>
        </w:rPr>
        <w:tab/>
        <w:tab/>
        <w:tab/>
        <w:t>He was my father: my heart still bleeds,</w:t>
      </w:r>
    </w:p>
    <w:p>
      <w:pPr>
        <w:pStyle w:val="Body"/>
        <w:jc w:val="left"/>
        <w:rPr>
          <w:sz w:val="20"/>
          <w:szCs w:val="20"/>
        </w:rPr>
      </w:pPr>
      <w:r>
        <w:rPr>
          <w:sz w:val="20"/>
          <w:szCs w:val="20"/>
          <w:rtl w:val="0"/>
        </w:rPr>
        <w:tab/>
        <w:tab/>
        <w:tab/>
        <w:t>Nor can my wounds be stopped till an incision</w:t>
      </w:r>
    </w:p>
    <w:p>
      <w:pPr>
        <w:pStyle w:val="Body"/>
        <w:jc w:val="left"/>
        <w:rPr>
          <w:sz w:val="20"/>
          <w:szCs w:val="20"/>
        </w:rPr>
      </w:pPr>
      <w:r>
        <w:rPr>
          <w:sz w:val="20"/>
          <w:szCs w:val="20"/>
          <w:rtl w:val="0"/>
        </w:rPr>
        <w:tab/>
        <w:tab/>
        <w:tab/>
        <w:t>I</w:t>
      </w:r>
      <w:r>
        <w:rPr>
          <w:rFonts w:hAnsi="Helvetica" w:hint="default"/>
          <w:sz w:val="20"/>
          <w:szCs w:val="20"/>
          <w:rtl w:val="0"/>
          <w:lang w:val="en-US"/>
        </w:rPr>
        <w:t>’</w:t>
      </w:r>
      <w:r>
        <w:rPr>
          <w:sz w:val="20"/>
          <w:szCs w:val="20"/>
          <w:rtl w:val="0"/>
          <w:lang w:val="en-US"/>
        </w:rPr>
        <w:t>ve made to bury my dead father in.</w:t>
      </w:r>
    </w:p>
    <w:p>
      <w:pPr>
        <w:pStyle w:val="Body"/>
        <w:jc w:val="left"/>
        <w:rPr>
          <w:sz w:val="20"/>
          <w:szCs w:val="20"/>
        </w:rPr>
      </w:pPr>
      <w:r>
        <w:rPr>
          <w:sz w:val="20"/>
          <w:szCs w:val="20"/>
          <w:rtl w:val="0"/>
        </w:rPr>
        <w:tab/>
        <w:tab/>
        <w:tab/>
        <w:tab/>
        <w:tab/>
        <w:tab/>
        <w:tab/>
        <w:tab/>
        <w:t>(1.1.60-72)</w:t>
      </w:r>
    </w:p>
    <w:p>
      <w:pPr>
        <w:pStyle w:val="Body"/>
        <w:spacing w:line="360" w:lineRule="auto"/>
        <w:jc w:val="left"/>
      </w:pPr>
    </w:p>
    <w:p>
      <w:pPr>
        <w:pStyle w:val="Body"/>
        <w:spacing w:line="360" w:lineRule="auto"/>
        <w:jc w:val="left"/>
      </w:pPr>
      <w:r>
        <w:rPr>
          <w:rtl w:val="0"/>
          <w:lang w:val="en-US"/>
        </w:rPr>
        <w:t>Hoffman is acutely alert to the validity of his projected revenge actions, so much so that he sounds, in a soliloquy at the play</w:t>
      </w:r>
      <w:r>
        <w:rPr>
          <w:rFonts w:hAnsi="Helvetica" w:hint="default"/>
          <w:rtl w:val="0"/>
          <w:lang w:val="en-US"/>
        </w:rPr>
        <w:t>’</w:t>
      </w:r>
      <w:r>
        <w:rPr>
          <w:rtl w:val="0"/>
          <w:lang w:val="en-US"/>
        </w:rPr>
        <w:t xml:space="preserve">s opening, like an over-zealous member of the judiciary: </w:t>
      </w:r>
      <w:r>
        <w:rPr>
          <w:rFonts w:hAnsi="Helvetica" w:hint="default"/>
          <w:rtl w:val="0"/>
          <w:lang w:val="en-US"/>
        </w:rPr>
        <w:t>‘</w:t>
      </w:r>
      <w:r>
        <w:rPr>
          <w:rtl w:val="0"/>
          <w:lang w:val="en-US"/>
        </w:rPr>
        <w:t>swift as thought / I</w:t>
      </w:r>
      <w:r>
        <w:rPr>
          <w:rFonts w:hAnsi="Helvetica" w:hint="default"/>
          <w:rtl w:val="0"/>
          <w:lang w:val="en-US"/>
        </w:rPr>
        <w:t>’</w:t>
      </w:r>
      <w:r>
        <w:rPr>
          <w:rtl w:val="0"/>
          <w:lang w:val="en-US"/>
        </w:rPr>
        <w:t>ll execute justly in such a cause</w:t>
      </w:r>
      <w:r>
        <w:rPr>
          <w:rFonts w:hAnsi="Helvetica" w:hint="default"/>
          <w:rtl w:val="0"/>
          <w:lang w:val="en-US"/>
        </w:rPr>
        <w:t xml:space="preserve">’ </w:t>
      </w:r>
      <w:r>
        <w:rPr>
          <w:rtl w:val="0"/>
          <w:lang w:val="en-US"/>
        </w:rPr>
        <w:t xml:space="preserve">(1.1.7-8). It follows, then, that the form of his proposed justice is devised carefully from a </w:t>
      </w:r>
      <w:r>
        <w:rPr>
          <w:rtl w:val="0"/>
          <w:lang w:val="pt-PT"/>
        </w:rPr>
        <w:t>complex equation</w:t>
      </w:r>
      <w:r>
        <w:rPr>
          <w:rtl w:val="0"/>
          <w:lang w:val="en-US"/>
        </w:rPr>
        <w:t>, on this occasion</w:t>
      </w:r>
      <w:r>
        <w:rPr>
          <w:rtl w:val="0"/>
          <w:lang w:val="en-US"/>
        </w:rPr>
        <w:t xml:space="preserve"> between vengeance</w:t>
      </w:r>
      <w:r>
        <w:rPr>
          <w:rFonts w:hAnsi="Helvetica" w:hint="default"/>
          <w:rtl w:val="0"/>
          <w:lang w:val="en-US"/>
        </w:rPr>
        <w:t>’</w:t>
      </w:r>
      <w:r>
        <w:rPr>
          <w:rtl w:val="0"/>
          <w:lang w:val="en-US"/>
        </w:rPr>
        <w:t xml:space="preserve">s structure and human anatomy. </w:t>
      </w:r>
      <w:r>
        <w:rPr>
          <w:i w:val="1"/>
          <w:iCs w:val="1"/>
          <w:rtl w:val="0"/>
          <w:lang w:val="en-US"/>
        </w:rPr>
        <w:t>Hoffman</w:t>
      </w:r>
      <w:r>
        <w:rPr>
          <w:rtl w:val="0"/>
          <w:lang w:val="en-US"/>
        </w:rPr>
        <w:t xml:space="preserve"> effervesces with bodily and medical imagery, from the </w:t>
      </w:r>
      <w:r>
        <w:rPr>
          <w:rFonts w:hAnsi="Helvetica" w:hint="default"/>
          <w:rtl w:val="0"/>
          <w:lang w:val="en-US"/>
        </w:rPr>
        <w:t>‘</w:t>
      </w:r>
      <w:r>
        <w:rPr>
          <w:rtl w:val="0"/>
          <w:lang w:val="en-US"/>
        </w:rPr>
        <w:t>bare anatomy</w:t>
      </w:r>
      <w:r>
        <w:rPr>
          <w:rFonts w:hAnsi="Helvetica" w:hint="default"/>
          <w:rtl w:val="0"/>
          <w:lang w:val="en-US"/>
        </w:rPr>
        <w:t xml:space="preserve">’ </w:t>
      </w:r>
      <w:r>
        <w:rPr>
          <w:rtl w:val="0"/>
          <w:lang w:val="en-US"/>
        </w:rPr>
        <w:t xml:space="preserve">(1.1.167) its protagonist reveals on stage to the </w:t>
      </w:r>
      <w:r>
        <w:rPr>
          <w:rFonts w:hAnsi="Helvetica" w:hint="default"/>
          <w:rtl w:val="0"/>
          <w:lang w:val="en-US"/>
        </w:rPr>
        <w:t>‘</w:t>
      </w:r>
      <w:r>
        <w:rPr>
          <w:rtl w:val="0"/>
          <w:lang w:val="en-US"/>
        </w:rPr>
        <w:t>foe</w:t>
      </w:r>
      <w:r>
        <w:rPr>
          <w:rFonts w:hAnsi="Helvetica" w:hint="default"/>
          <w:rtl w:val="0"/>
          <w:lang w:val="en-US"/>
        </w:rPr>
        <w:t>’</w:t>
      </w:r>
      <w:r>
        <w:rPr>
          <w:rtl w:val="0"/>
          <w:lang w:val="en-US"/>
        </w:rPr>
        <w:t>s blood</w:t>
      </w:r>
      <w:r>
        <w:rPr>
          <w:rFonts w:hAnsi="Helvetica" w:hint="default"/>
          <w:rtl w:val="0"/>
          <w:lang w:val="en-US"/>
        </w:rPr>
        <w:t xml:space="preserve">’ </w:t>
      </w:r>
      <w:r>
        <w:rPr>
          <w:rtl w:val="0"/>
          <w:lang w:val="en-US"/>
        </w:rPr>
        <w:t xml:space="preserve">he hopes will have those </w:t>
      </w:r>
      <w:r>
        <w:rPr>
          <w:rFonts w:hAnsi="Helvetica" w:hint="default"/>
          <w:rtl w:val="0"/>
          <w:lang w:val="en-US"/>
        </w:rPr>
        <w:t>‘</w:t>
      </w:r>
      <w:r>
        <w:rPr>
          <w:rtl w:val="0"/>
          <w:lang w:val="en-US"/>
        </w:rPr>
        <w:t>dry bones, sanguined all o</w:t>
      </w:r>
      <w:r>
        <w:rPr>
          <w:rFonts w:hAnsi="Helvetica" w:hint="default"/>
          <w:rtl w:val="0"/>
          <w:lang w:val="en-US"/>
        </w:rPr>
        <w:t>’</w:t>
      </w:r>
      <w:r>
        <w:rPr>
          <w:rtl w:val="0"/>
          <w:lang w:val="en-US"/>
        </w:rPr>
        <w:t>er</w:t>
      </w:r>
      <w:r>
        <w:rPr>
          <w:rFonts w:hAnsi="Helvetica" w:hint="default"/>
          <w:rtl w:val="0"/>
          <w:lang w:val="en-US"/>
        </w:rPr>
        <w:t xml:space="preserve">’ </w:t>
      </w:r>
      <w:r>
        <w:rPr>
          <w:rtl w:val="0"/>
          <w:lang w:val="en-US"/>
        </w:rPr>
        <w:t xml:space="preserve">(1.3.36-37), but the concurrency in this passage of bodily language with the terminology of measurement and numeration provides a vehicle for Hoffman to articulate his geometrically proportionate revenge plans. Indeed, there was a broader cultural habit of intertwining </w:t>
      </w:r>
      <w:r>
        <w:rPr>
          <w:i w:val="1"/>
          <w:iCs w:val="1"/>
          <w:rtl w:val="0"/>
          <w:lang w:val="en-US"/>
        </w:rPr>
        <w:t>physic</w:t>
      </w:r>
      <w:r>
        <w:rPr>
          <w:rtl w:val="0"/>
          <w:lang w:val="en-US"/>
        </w:rPr>
        <w:t xml:space="preserve"> with </w:t>
      </w:r>
      <w:r>
        <w:rPr>
          <w:i w:val="1"/>
          <w:iCs w:val="1"/>
          <w:rtl w:val="0"/>
          <w:lang w:val="en-US"/>
        </w:rPr>
        <w:t>arithmetic</w:t>
      </w:r>
      <w:r>
        <w:rPr>
          <w:rtl w:val="0"/>
          <w:lang w:val="en-US"/>
        </w:rPr>
        <w:t xml:space="preserve">, John Dee, for example, remarking that </w:t>
      </w:r>
      <w:r>
        <w:rPr>
          <w:rFonts w:hAnsi="Helvetica" w:hint="default"/>
          <w:rtl w:val="0"/>
          <w:lang w:val="en-US"/>
        </w:rPr>
        <w:t>‘</w:t>
      </w:r>
      <w:r>
        <w:rPr>
          <w:rtl w:val="0"/>
          <w:lang w:val="en-US"/>
        </w:rPr>
        <w:t>the honorable Phisicians</w:t>
      </w:r>
      <w:r>
        <w:rPr>
          <w:rFonts w:hAnsi="Helvetica" w:hint="default"/>
          <w:rtl w:val="0"/>
          <w:lang w:val="en-US"/>
        </w:rPr>
        <w:t xml:space="preserve">’ </w:t>
      </w:r>
      <w:r>
        <w:rPr>
          <w:rtl w:val="0"/>
          <w:lang w:val="en-US"/>
        </w:rPr>
        <w:t xml:space="preserve">were </w:t>
      </w:r>
      <w:r>
        <w:rPr>
          <w:rFonts w:hAnsi="Helvetica" w:hint="default"/>
          <w:rtl w:val="0"/>
          <w:lang w:val="en-US"/>
        </w:rPr>
        <w:t>‘</w:t>
      </w:r>
      <w:r>
        <w:rPr>
          <w:rtl w:val="0"/>
          <w:lang w:val="en-US"/>
        </w:rPr>
        <w:t xml:space="preserve">much beholding to the Science of </w:t>
      </w:r>
      <w:r>
        <w:rPr>
          <w:i w:val="1"/>
          <w:iCs w:val="1"/>
          <w:rtl w:val="0"/>
          <w:lang w:val="en-US"/>
        </w:rPr>
        <w:t>Arithmetike</w:t>
      </w:r>
      <w:r>
        <w:rPr>
          <w:rFonts w:hAnsi="Helvetica" w:hint="default"/>
          <w:i w:val="1"/>
          <w:iCs w:val="1"/>
          <w:rtl w:val="0"/>
          <w:lang w:val="en-US"/>
        </w:rPr>
        <w:t>’</w:t>
      </w:r>
      <w:r>
        <w:rPr>
          <w:rtl w:val="0"/>
          <w:lang w:val="en-US"/>
        </w:rPr>
        <w:t xml:space="preserve">, particularly in </w:t>
      </w:r>
      <w:r>
        <w:rPr>
          <w:rFonts w:hAnsi="Helvetica" w:hint="default"/>
          <w:rtl w:val="0"/>
          <w:lang w:val="en-US"/>
        </w:rPr>
        <w:t>‘</w:t>
      </w:r>
      <w:r>
        <w:rPr>
          <w:rtl w:val="0"/>
          <w:lang w:val="en-US"/>
        </w:rPr>
        <w:t>their Art of Graduation, and compounde Medicines</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33"/>
      </w:r>
      <w:r>
        <w:rPr>
          <w:rtl w:val="0"/>
          <w:lang w:val="en-US"/>
        </w:rPr>
        <w:t xml:space="preserve"> It is also easily forgotten that</w:t>
      </w:r>
      <w:r>
        <w:rPr>
          <w:i w:val="1"/>
          <w:iCs w:val="1"/>
          <w:rtl w:val="0"/>
          <w:lang w:val="en-US"/>
        </w:rPr>
        <w:t xml:space="preserve"> </w:t>
      </w:r>
      <w:r>
        <w:rPr>
          <w:rtl w:val="0"/>
          <w:lang w:val="en-US"/>
        </w:rPr>
        <w:t>Robert Recorde, the period</w:t>
      </w:r>
      <w:r>
        <w:rPr>
          <w:rFonts w:hAnsi="Helvetica" w:hint="default"/>
          <w:rtl w:val="0"/>
          <w:lang w:val="en-US"/>
        </w:rPr>
        <w:t>’</w:t>
      </w:r>
      <w:r>
        <w:rPr>
          <w:rtl w:val="0"/>
          <w:lang w:val="en-US"/>
        </w:rPr>
        <w:t xml:space="preserve">s most prolific penman of mathematical textbooks, was </w:t>
      </w:r>
      <w:r>
        <w:rPr>
          <w:rFonts w:hAnsi="Helvetica" w:hint="default"/>
          <w:rtl w:val="0"/>
          <w:lang w:val="en-US"/>
        </w:rPr>
        <w:t>‘</w:t>
      </w:r>
      <w:r>
        <w:rPr>
          <w:rtl w:val="0"/>
          <w:lang w:val="en-US"/>
        </w:rPr>
        <w:t>M. Robert Recorde, D. in Physick</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34"/>
      </w:r>
      <w:r>
        <w:rPr>
          <w:rtl w:val="0"/>
          <w:lang w:val="en-US"/>
        </w:rPr>
        <w:t xml:space="preserve"> having undertaken a </w:t>
      </w:r>
      <w:r>
        <w:rPr>
          <w:i w:val="1"/>
          <w:iCs w:val="1"/>
          <w:rtl w:val="0"/>
          <w:lang w:val="en-US"/>
        </w:rPr>
        <w:t>Medicinae Doctor</w:t>
      </w:r>
      <w:r>
        <w:rPr>
          <w:rtl w:val="0"/>
          <w:lang w:val="en-US"/>
        </w:rPr>
        <w:t xml:space="preserve"> degree at Cambridge University and published a book on the medical significance of urine shortly afterwards.</w:t>
      </w:r>
      <w:r>
        <w:rPr>
          <w:rFonts w:ascii="Times New Roman" w:cs="Times New Roman" w:hAnsi="Times New Roman" w:eastAsia="Times New Roman"/>
          <w:vertAlign w:val="superscript"/>
        </w:rPr>
        <w:footnoteReference w:id="35"/>
      </w:r>
      <w:r>
        <w:rPr>
          <w:rtl w:val="0"/>
          <w:lang w:val="en-US"/>
        </w:rPr>
        <w:t xml:space="preserve"> He made the nature of the interdisciplinary link clear in </w:t>
      </w:r>
      <w:r>
        <w:rPr>
          <w:i w:val="1"/>
          <w:iCs w:val="1"/>
          <w:rtl w:val="0"/>
          <w:lang w:val="en-US"/>
        </w:rPr>
        <w:t>The</w:t>
      </w:r>
      <w:r>
        <w:rPr>
          <w:rtl w:val="0"/>
          <w:lang w:val="en-US"/>
        </w:rPr>
        <w:t xml:space="preserve"> </w:t>
      </w:r>
      <w:r>
        <w:rPr>
          <w:i w:val="1"/>
          <w:iCs w:val="1"/>
          <w:rtl w:val="0"/>
          <w:lang w:val="en-US"/>
        </w:rPr>
        <w:t>Ground of Artes,</w:t>
      </w:r>
      <w:r>
        <w:rPr>
          <w:rtl w:val="0"/>
          <w:lang w:val="en-US"/>
        </w:rPr>
        <w:t xml:space="preserve"> proposing the question: how </w:t>
      </w:r>
      <w:r>
        <w:rPr>
          <w:rFonts w:hAnsi="Helvetica" w:hint="default"/>
          <w:rtl w:val="0"/>
          <w:lang w:val="en-US"/>
        </w:rPr>
        <w:t>‘</w:t>
      </w:r>
      <w:r>
        <w:rPr>
          <w:rtl w:val="0"/>
          <w:lang w:val="en-US"/>
        </w:rPr>
        <w:t>can anye manne iudge the Pulse rightlye, that is ignoraunte of the proportion of Numbers?</w:t>
      </w:r>
      <w:r>
        <w:rPr>
          <w:rFonts w:hAnsi="Helvetica" w:hint="default"/>
          <w:rtl w:val="0"/>
          <w:lang w:val="en-US"/>
        </w:rPr>
        <w:t>’</w:t>
      </w:r>
      <w:r>
        <w:rPr>
          <w:rFonts w:ascii="Times New Roman" w:cs="Times New Roman" w:hAnsi="Times New Roman" w:eastAsia="Times New Roman"/>
          <w:vertAlign w:val="superscript"/>
        </w:rPr>
        <w:footnoteReference w:id="36"/>
      </w:r>
    </w:p>
    <w:p>
      <w:pPr>
        <w:pStyle w:val="Body"/>
        <w:spacing w:line="360" w:lineRule="auto"/>
        <w:jc w:val="left"/>
      </w:pPr>
      <w:r>
        <w:rPr>
          <w:rtl w:val="0"/>
        </w:rPr>
        <w:tab/>
        <w:t xml:space="preserve">Hoffman, who later wonders </w:t>
      </w:r>
      <w:r>
        <w:rPr>
          <w:rFonts w:hAnsi="Helvetica" w:hint="default"/>
          <w:rtl w:val="0"/>
          <w:lang w:val="en-US"/>
        </w:rPr>
        <w:t>‘</w:t>
      </w:r>
      <w:r>
        <w:rPr>
          <w:rtl w:val="0"/>
          <w:lang w:val="en-US"/>
        </w:rPr>
        <w:t>If there live e</w:t>
      </w:r>
      <w:r>
        <w:rPr>
          <w:rFonts w:hAnsi="Helvetica" w:hint="default"/>
          <w:rtl w:val="0"/>
          <w:lang w:val="en-US"/>
        </w:rPr>
        <w:t>’</w:t>
      </w:r>
      <w:r>
        <w:rPr>
          <w:rtl w:val="0"/>
          <w:lang w:val="en-US"/>
        </w:rPr>
        <w:t>er a surgeon that dare say / He could do better</w:t>
      </w:r>
      <w:r>
        <w:rPr>
          <w:rFonts w:hAnsi="Helvetica" w:hint="default"/>
          <w:rtl w:val="0"/>
          <w:lang w:val="en-US"/>
        </w:rPr>
        <w:t xml:space="preserve">’ </w:t>
      </w:r>
      <w:r>
        <w:rPr>
          <w:rtl w:val="0"/>
          <w:lang w:val="en-US"/>
        </w:rPr>
        <w:t xml:space="preserve">(1.3.1-2), performs his own quantification of the body into </w:t>
      </w:r>
      <w:r>
        <w:rPr>
          <w:rFonts w:hAnsi="Helvetica" w:hint="default"/>
          <w:rtl w:val="0"/>
          <w:lang w:val="en-US"/>
        </w:rPr>
        <w:t>‘</w:t>
      </w:r>
      <w:r>
        <w:rPr>
          <w:rtl w:val="0"/>
          <w:lang w:val="en-US"/>
        </w:rPr>
        <w:t>drop[s]</w:t>
      </w:r>
      <w:r>
        <w:rPr>
          <w:rFonts w:hAnsi="Helvetica" w:hint="default"/>
          <w:rtl w:val="0"/>
          <w:lang w:val="en-US"/>
        </w:rPr>
        <w:t xml:space="preserve">’ </w:t>
      </w:r>
      <w:r>
        <w:rPr>
          <w:rtl w:val="0"/>
          <w:lang w:val="en-US"/>
        </w:rPr>
        <w:t xml:space="preserve">and </w:t>
      </w:r>
      <w:r>
        <w:rPr>
          <w:rFonts w:hAnsi="Helvetica" w:hint="default"/>
          <w:rtl w:val="0"/>
          <w:lang w:val="en-US"/>
        </w:rPr>
        <w:t>‘</w:t>
      </w:r>
      <w:r>
        <w:rPr>
          <w:rtl w:val="0"/>
          <w:lang w:val="en-US"/>
        </w:rPr>
        <w:t>ounce[s]</w:t>
      </w:r>
      <w:r>
        <w:rPr>
          <w:rFonts w:hAnsi="Helvetica" w:hint="default"/>
          <w:rtl w:val="0"/>
          <w:lang w:val="en-US"/>
        </w:rPr>
        <w:t xml:space="preserve">’ </w:t>
      </w:r>
      <w:r>
        <w:rPr>
          <w:rtl w:val="0"/>
          <w:lang w:val="en-US"/>
        </w:rPr>
        <w:t>in order to justify his preferred model of revenge. His biological conclusions</w:t>
      </w:r>
      <w:r>
        <w:rPr>
          <w:rtl w:val="0"/>
        </w:rPr>
        <w:t xml:space="preserve"> impl</w:t>
      </w:r>
      <w:r>
        <w:rPr>
          <w:rtl w:val="0"/>
          <w:lang w:val="en-US"/>
        </w:rPr>
        <w:t>y</w:t>
      </w:r>
      <w:r>
        <w:rPr>
          <w:rtl w:val="0"/>
          <w:lang w:val="en-US"/>
        </w:rPr>
        <w:t xml:space="preserve"> two things: first, that any damage incurred from a wrong becomes </w:t>
      </w:r>
      <w:r>
        <w:rPr>
          <w:rtl w:val="0"/>
          <w:lang w:val="en-US"/>
        </w:rPr>
        <w:t xml:space="preserve">necessarily </w:t>
      </w:r>
      <w:r>
        <w:rPr>
          <w:rtl w:val="0"/>
          <w:lang w:val="en-US"/>
        </w:rPr>
        <w:t xml:space="preserve">hereditary, and second, that </w:t>
      </w:r>
      <w:r>
        <w:rPr>
          <w:rtl w:val="0"/>
          <w:lang w:val="en-US"/>
        </w:rPr>
        <w:t xml:space="preserve">even the smallest amount of </w:t>
      </w:r>
      <w:r>
        <w:rPr>
          <w:rtl w:val="0"/>
          <w:lang w:val="nl-NL"/>
        </w:rPr>
        <w:t>blood</w:t>
      </w:r>
      <w:r>
        <w:rPr>
          <w:rtl w:val="0"/>
          <w:lang w:val="en-US"/>
        </w:rPr>
        <w:t xml:space="preserve">shed </w:t>
      </w:r>
      <w:r>
        <w:rPr>
          <w:rtl w:val="0"/>
          <w:lang w:val="en-US"/>
        </w:rPr>
        <w:t xml:space="preserve">requires </w:t>
      </w:r>
      <w:r>
        <w:rPr>
          <w:rtl w:val="0"/>
          <w:lang w:val="en-US"/>
        </w:rPr>
        <w:t xml:space="preserve">more </w:t>
      </w:r>
      <w:r>
        <w:rPr>
          <w:rtl w:val="0"/>
          <w:lang w:val="nl-NL"/>
        </w:rPr>
        <w:t>blood</w:t>
      </w:r>
      <w:r>
        <w:rPr>
          <w:rtl w:val="0"/>
          <w:lang w:val="en-US"/>
        </w:rPr>
        <w:t>shed</w:t>
      </w:r>
      <w:r>
        <w:rPr>
          <w:rtl w:val="0"/>
          <w:lang w:val="en-US"/>
        </w:rPr>
        <w:t xml:space="preserve"> in return.</w:t>
      </w:r>
      <w:r>
        <w:rPr>
          <w:rtl w:val="0"/>
          <w:lang w:val="en-US"/>
        </w:rPr>
        <w:t xml:space="preserve"> To quantify this process, Hoffman reduces the corporeal form to the minutiae of its components. </w:t>
      </w:r>
      <w:r>
        <w:rPr>
          <w:rFonts w:hAnsi="Helvetica" w:hint="default"/>
          <w:rtl w:val="0"/>
          <w:lang w:val="en-US"/>
        </w:rPr>
        <w:t>‘</w:t>
      </w:r>
      <w:r>
        <w:rPr>
          <w:rtl w:val="0"/>
          <w:lang w:val="en-US"/>
        </w:rPr>
        <w:t>[E]ach drop</w:t>
      </w:r>
      <w:r>
        <w:rPr>
          <w:rFonts w:hAnsi="Helvetica" w:hint="default"/>
          <w:rtl w:val="0"/>
          <w:lang w:val="en-US"/>
        </w:rPr>
        <w:t xml:space="preserve">’ </w:t>
      </w:r>
      <w:r>
        <w:rPr>
          <w:rtl w:val="0"/>
          <w:lang w:val="en-US"/>
        </w:rPr>
        <w:t xml:space="preserve">is imbued with massive significance, largely because they belong also to their offspring (a concept verbally emphasised by the grammatically reflective </w:t>
      </w:r>
      <w:r>
        <w:rPr>
          <w:rFonts w:hAnsi="Helvetica" w:hint="default"/>
          <w:rtl w:val="0"/>
          <w:lang w:val="en-US"/>
        </w:rPr>
        <w:t>‘</w:t>
      </w:r>
      <w:r>
        <w:rPr>
          <w:rtl w:val="0"/>
          <w:lang w:val="en-US"/>
        </w:rPr>
        <w:t>when he fell, part of thee / Fell with him</w:t>
      </w:r>
      <w:r>
        <w:rPr>
          <w:rFonts w:hAnsi="Helvetica" w:hint="default"/>
          <w:rtl w:val="0"/>
          <w:lang w:val="en-US"/>
        </w:rPr>
        <w:t>’</w:t>
      </w:r>
      <w:r>
        <w:rPr>
          <w:rtl w:val="0"/>
          <w:lang w:val="en-US"/>
        </w:rPr>
        <w:t xml:space="preserve">). The two stressed syllables of </w:t>
      </w:r>
      <w:r>
        <w:rPr>
          <w:rFonts w:hAnsi="Helvetica" w:hint="default"/>
          <w:rtl w:val="0"/>
          <w:lang w:val="en-US"/>
        </w:rPr>
        <w:t>‘</w:t>
      </w:r>
      <w:r>
        <w:rPr>
          <w:rtl w:val="0"/>
          <w:lang w:val="en-US"/>
        </w:rPr>
        <w:t>one ounce</w:t>
      </w:r>
      <w:r>
        <w:rPr>
          <w:rFonts w:hAnsi="Helvetica" w:hint="default"/>
          <w:rtl w:val="0"/>
          <w:lang w:val="en-US"/>
        </w:rPr>
        <w:t xml:space="preserve">’ </w:t>
      </w:r>
      <w:r>
        <w:rPr>
          <w:rtl w:val="0"/>
          <w:lang w:val="en-US"/>
        </w:rPr>
        <w:t>in an otherwise regular pentameter line audibly accentuate the words</w:t>
      </w:r>
      <w:r>
        <w:rPr>
          <w:rFonts w:hAnsi="Helvetica" w:hint="default"/>
          <w:rtl w:val="0"/>
          <w:lang w:val="en-US"/>
        </w:rPr>
        <w:t xml:space="preserve">’ </w:t>
      </w:r>
      <w:r>
        <w:rPr>
          <w:rtl w:val="0"/>
          <w:lang w:val="en-US"/>
        </w:rPr>
        <w:t xml:space="preserve">phonemic similarity, and, concomitantly, their etymological proximity: both derive from the Latin </w:t>
      </w:r>
      <w:r>
        <w:rPr>
          <w:i w:val="1"/>
          <w:iCs w:val="1"/>
          <w:rtl w:val="0"/>
          <w:lang w:val="en-US"/>
        </w:rPr>
        <w:t>unus.</w:t>
      </w:r>
      <w:r>
        <w:rPr>
          <w:rtl w:val="0"/>
          <w:lang w:val="en-US"/>
        </w:rPr>
        <w:t xml:space="preserve"> Their adjacency here emphatically conveys Hoffman</w:t>
      </w:r>
      <w:r>
        <w:rPr>
          <w:rFonts w:hAnsi="Helvetica" w:hint="default"/>
          <w:rtl w:val="0"/>
          <w:lang w:val="en-US"/>
        </w:rPr>
        <w:t>’</w:t>
      </w:r>
      <w:r>
        <w:rPr>
          <w:rtl w:val="0"/>
          <w:lang w:val="en-US"/>
        </w:rPr>
        <w:t>s mathematically founded ideal that those with even the smallest possible role to play in his father</w:t>
      </w:r>
      <w:r>
        <w:rPr>
          <w:rFonts w:hAnsi="Helvetica" w:hint="default"/>
          <w:rtl w:val="0"/>
          <w:lang w:val="en-US"/>
        </w:rPr>
        <w:t>’</w:t>
      </w:r>
      <w:r>
        <w:rPr>
          <w:rtl w:val="0"/>
          <w:lang w:val="en-US"/>
        </w:rPr>
        <w:t xml:space="preserve">s death deserve to be a victim of his vengeance. Not only </w:t>
      </w:r>
      <w:r>
        <w:rPr>
          <w:rFonts w:hAnsi="Helvetica" w:hint="default"/>
          <w:rtl w:val="0"/>
          <w:lang w:val="en-US"/>
        </w:rPr>
        <w:t>‘</w:t>
      </w:r>
      <w:r>
        <w:rPr>
          <w:rtl w:val="0"/>
          <w:lang w:val="en-US"/>
        </w:rPr>
        <w:t>the murderer</w:t>
      </w:r>
      <w:r>
        <w:rPr>
          <w:rFonts w:hAnsi="Helvetica" w:hint="default"/>
          <w:rtl w:val="0"/>
          <w:lang w:val="en-US"/>
        </w:rPr>
        <w:t>’</w:t>
      </w:r>
      <w:r>
        <w:rPr>
          <w:rtl w:val="0"/>
          <w:lang w:val="en-US"/>
        </w:rPr>
        <w:t xml:space="preserve">, but </w:t>
      </w:r>
      <w:r>
        <w:rPr>
          <w:rFonts w:hAnsi="Helvetica" w:hint="default"/>
          <w:rtl w:val="0"/>
          <w:lang w:val="en-US"/>
        </w:rPr>
        <w:t>‘</w:t>
      </w:r>
      <w:r>
        <w:rPr>
          <w:rtl w:val="0"/>
          <w:lang w:val="en-US"/>
        </w:rPr>
        <w:t>any man that is allied</w:t>
      </w:r>
      <w:r>
        <w:rPr>
          <w:rFonts w:hAnsi="Helvetica" w:hint="default"/>
          <w:rtl w:val="0"/>
          <w:lang w:val="en-US"/>
        </w:rPr>
        <w:t xml:space="preserve">’ </w:t>
      </w:r>
      <w:r>
        <w:rPr>
          <w:rtl w:val="0"/>
          <w:lang w:val="en-US"/>
        </w:rPr>
        <w:t>becomes dangerously implicated, in a ratio of revenge that both authorises bodily substitutions (Otho must suffer for wrongs committed by his father) and permits collateral damage.</w:t>
      </w:r>
    </w:p>
    <w:p>
      <w:pPr>
        <w:pStyle w:val="Body"/>
        <w:spacing w:line="360" w:lineRule="auto"/>
        <w:jc w:val="left"/>
      </w:pPr>
      <w:r>
        <w:rPr>
          <w:rtl w:val="0"/>
        </w:rPr>
        <w:tab/>
        <w:t>The numerical parameters of Hoffman</w:t>
      </w:r>
      <w:r>
        <w:rPr>
          <w:rFonts w:hAnsi="Helvetica" w:hint="default"/>
          <w:rtl w:val="0"/>
          <w:lang w:val="en-US"/>
        </w:rPr>
        <w:t>’</w:t>
      </w:r>
      <w:r>
        <w:rPr>
          <w:rtl w:val="0"/>
          <w:lang w:val="en-US"/>
        </w:rPr>
        <w:t>s philosophy of revenge, however, are not left unperturbed by a certain amount of resistance.</w:t>
      </w:r>
      <w:r>
        <w:rPr>
          <w:rtl w:val="0"/>
        </w:rPr>
        <w:t xml:space="preserve"> </w:t>
      </w:r>
      <w:r>
        <w:rPr>
          <w:rtl w:val="0"/>
          <w:lang w:val="en-US"/>
        </w:rPr>
        <w:t>Hoffman</w:t>
      </w:r>
      <w:r>
        <w:rPr>
          <w:rFonts w:hAnsi="Helvetica" w:hint="default"/>
          <w:rtl w:val="0"/>
          <w:lang w:val="en-US"/>
        </w:rPr>
        <w:t>’</w:t>
      </w:r>
      <w:r>
        <w:rPr>
          <w:rtl w:val="0"/>
          <w:lang w:val="en-US"/>
        </w:rPr>
        <w:t>s conception of an appropriately proportionate remedy is quite at odds with Lorrique</w:t>
      </w:r>
      <w:r>
        <w:rPr>
          <w:rFonts w:hAnsi="Helvetica" w:hint="default"/>
          <w:rtl w:val="0"/>
          <w:lang w:val="en-US"/>
        </w:rPr>
        <w:t>’</w:t>
      </w:r>
      <w:r>
        <w:rPr>
          <w:rtl w:val="0"/>
          <w:lang w:val="en-US"/>
        </w:rPr>
        <w:t xml:space="preserve">s more lenient judgement, which utilises a far simpler mathematical equation. </w:t>
      </w:r>
      <w:r>
        <w:rPr>
          <w:rtl w:val="0"/>
          <w:lang w:val="en-US"/>
        </w:rPr>
        <w:t xml:space="preserve">Specifying that only </w:t>
      </w:r>
      <w:r>
        <w:rPr>
          <w:rFonts w:hAnsi="Helvetica" w:hint="default"/>
          <w:rtl w:val="0"/>
        </w:rPr>
        <w:t>‘</w:t>
      </w:r>
      <w:r>
        <w:rPr>
          <w:rtl w:val="0"/>
          <w:lang w:val="en-US"/>
        </w:rPr>
        <w:t>the murderer</w:t>
      </w:r>
      <w:r>
        <w:rPr>
          <w:rFonts w:hAnsi="Helvetica" w:hint="default"/>
          <w:rtl w:val="0"/>
          <w:lang w:val="fr-FR"/>
        </w:rPr>
        <w:t xml:space="preserve">’ </w:t>
      </w:r>
      <w:r>
        <w:rPr>
          <w:rtl w:val="0"/>
          <w:lang w:val="en-US"/>
        </w:rPr>
        <w:t>should be revenged upon, Lorrique expresses</w:t>
      </w:r>
      <w:r>
        <w:rPr>
          <w:rtl w:val="0"/>
          <w:lang w:val="en-US"/>
        </w:rPr>
        <w:t xml:space="preserve"> a model of vengeance which is not </w:t>
      </w:r>
      <w:r>
        <w:rPr>
          <w:rFonts w:hAnsi="Helvetica" w:hint="default"/>
          <w:rtl w:val="0"/>
          <w:lang w:val="en-US"/>
        </w:rPr>
        <w:t>‘</w:t>
      </w:r>
      <w:r>
        <w:rPr>
          <w:rtl w:val="0"/>
          <w:lang w:val="en-US"/>
        </w:rPr>
        <w:t>at liberty</w:t>
      </w:r>
      <w:r>
        <w:rPr>
          <w:rFonts w:hAnsi="Helvetica" w:hint="default"/>
          <w:rtl w:val="0"/>
          <w:lang w:val="en-US"/>
        </w:rPr>
        <w:t>’</w:t>
      </w:r>
      <w:r>
        <w:rPr>
          <w:rtl w:val="0"/>
          <w:lang w:val="en-US"/>
        </w:rPr>
        <w:t xml:space="preserve">, but which rather restrains its focus to the perpetrator of the initial crime only. In this way, it is more resemblant of a </w:t>
      </w:r>
      <w:r>
        <w:rPr>
          <w:i w:val="1"/>
          <w:iCs w:val="1"/>
          <w:rtl w:val="0"/>
          <w:lang w:val="en-US"/>
        </w:rPr>
        <w:t>lex talionis</w:t>
      </w:r>
      <w:r>
        <w:rPr>
          <w:rtl w:val="0"/>
          <w:lang w:val="en-US"/>
        </w:rPr>
        <w:t xml:space="preserve"> code of retributive justice, </w:t>
      </w:r>
      <w:r>
        <w:rPr>
          <w:rtl w:val="0"/>
          <w:lang w:val="en-US"/>
        </w:rPr>
        <w:t>which seeks a precise equality between crime and punishment</w:t>
      </w:r>
      <w:r>
        <w:rPr>
          <w:rtl w:val="0"/>
          <w:lang w:val="en-US"/>
        </w:rPr>
        <w:t xml:space="preserve">, and where satisfaction arises from exact arithmetical parity: </w:t>
      </w:r>
      <w:r>
        <w:rPr>
          <w:rtl w:val="0"/>
          <w:lang w:val="en-US"/>
        </w:rPr>
        <w:t>an eye for an eye, and a tooth for a tooth.</w:t>
      </w:r>
      <w:r>
        <w:rPr>
          <w:rtl w:val="0"/>
          <w:lang w:val="en-US"/>
        </w:rPr>
        <w:t xml:space="preserve"> Because he is quickly silenced by Hoffman</w:t>
      </w:r>
      <w:r>
        <w:rPr>
          <w:rFonts w:hAnsi="Helvetica" w:hint="default"/>
          <w:rtl w:val="0"/>
          <w:lang w:val="en-US"/>
        </w:rPr>
        <w:t>’</w:t>
      </w:r>
      <w:r>
        <w:rPr>
          <w:rtl w:val="0"/>
          <w:lang w:val="en-US"/>
        </w:rPr>
        <w:t>s dominant voice, Lorrique is not given the chance to expand upon his philosophy of revenge, and his careless</w:t>
      </w:r>
      <w:r>
        <w:rPr>
          <w:rtl w:val="0"/>
          <w:lang w:val="es-ES_tradnl"/>
        </w:rPr>
        <w:t xml:space="preserve"> acquiescence (</w:t>
      </w:r>
      <w:r>
        <w:rPr>
          <w:rFonts w:hAnsi="Helvetica" w:hint="default"/>
          <w:rtl w:val="0"/>
        </w:rPr>
        <w:t>‘</w:t>
      </w:r>
      <w:r>
        <w:rPr>
          <w:rtl w:val="0"/>
        </w:rPr>
        <w:t>I</w:t>
      </w:r>
      <w:r>
        <w:rPr>
          <w:rFonts w:hAnsi="Helvetica" w:hint="default"/>
          <w:rtl w:val="0"/>
          <w:lang w:val="fr-FR"/>
        </w:rPr>
        <w:t>’</w:t>
      </w:r>
      <w:r>
        <w:rPr>
          <w:rtl w:val="0"/>
          <w:lang w:val="en-US"/>
        </w:rPr>
        <w:t>ll turn anything sir, rather than nothing</w:t>
      </w:r>
      <w:r>
        <w:rPr>
          <w:rFonts w:hAnsi="Helvetica" w:hint="default"/>
          <w:rtl w:val="0"/>
          <w:lang w:val="fr-FR"/>
        </w:rPr>
        <w:t>’</w:t>
      </w:r>
      <w:r>
        <w:rPr>
          <w:rtl w:val="0"/>
          <w:lang w:val="en-US"/>
        </w:rPr>
        <w:t>, 1.1.204) does not</w:t>
      </w:r>
      <w:r>
        <w:rPr>
          <w:rtl w:val="0"/>
          <w:lang w:val="en-US"/>
        </w:rPr>
        <w:t xml:space="preserve"> yet </w:t>
      </w:r>
      <w:r>
        <w:rPr>
          <w:rtl w:val="0"/>
          <w:lang w:val="en-US"/>
        </w:rPr>
        <w:t>provide a robust</w:t>
      </w:r>
      <w:r>
        <w:rPr>
          <w:rtl w:val="0"/>
          <w:lang w:val="en-US"/>
        </w:rPr>
        <w:t xml:space="preserve"> </w:t>
      </w:r>
      <w:r>
        <w:rPr>
          <w:rtl w:val="0"/>
          <w:lang w:val="en-US"/>
        </w:rPr>
        <w:t>platform for Hoffman</w:t>
      </w:r>
      <w:r>
        <w:rPr>
          <w:rFonts w:hAnsi="Helvetica" w:hint="default"/>
          <w:rtl w:val="0"/>
          <w:lang w:val="fr-FR"/>
        </w:rPr>
        <w:t>’</w:t>
      </w:r>
      <w:r>
        <w:rPr>
          <w:rtl w:val="0"/>
          <w:lang w:val="en-US"/>
        </w:rPr>
        <w:t>s ideal of justice to be significantly challenged</w:t>
      </w:r>
      <w:r>
        <w:rPr>
          <w:rtl w:val="0"/>
          <w:lang w:val="en-US"/>
        </w:rPr>
        <w:t>. But Lorrique</w:t>
      </w:r>
      <w:r>
        <w:rPr>
          <w:rFonts w:hAnsi="Helvetica" w:hint="default"/>
          <w:rtl w:val="0"/>
          <w:lang w:val="en-US"/>
        </w:rPr>
        <w:t>’</w:t>
      </w:r>
      <w:r>
        <w:rPr>
          <w:rtl w:val="0"/>
          <w:lang w:val="en-US"/>
        </w:rPr>
        <w:t>s conflicting instincts put pressure on Hoffman</w:t>
      </w:r>
      <w:r>
        <w:rPr>
          <w:rFonts w:hAnsi="Helvetica" w:hint="default"/>
          <w:rtl w:val="0"/>
          <w:lang w:val="en-US"/>
        </w:rPr>
        <w:t>’</w:t>
      </w:r>
      <w:r>
        <w:rPr>
          <w:rtl w:val="0"/>
          <w:lang w:val="en-US"/>
        </w:rPr>
        <w:t>s conception of the morally justifiable quantity of retribution, and their exchange here, in which the two characters</w:t>
      </w:r>
      <w:r>
        <w:rPr>
          <w:rFonts w:hAnsi="Helvetica" w:hint="default"/>
          <w:rtl w:val="0"/>
          <w:lang w:val="en-US"/>
        </w:rPr>
        <w:t xml:space="preserve">’ </w:t>
      </w:r>
      <w:r>
        <w:rPr>
          <w:rtl w:val="0"/>
          <w:lang w:val="en-US"/>
        </w:rPr>
        <w:t xml:space="preserve">ethics are momentarily at odds, foregrounds the two distinctly different mathematical models of revenge which will be counterpointed throughout the remainder of the play, </w:t>
      </w:r>
      <w:r>
        <w:rPr>
          <w:rtl w:val="0"/>
          <w:lang w:val="en-US"/>
        </w:rPr>
        <w:t>the former following the strict 1:1 ratio of corrective justice, the latter following the geometrically governed, but dangerously subjective, ratio of 1:1+</w:t>
      </w:r>
      <w:r>
        <w:rPr>
          <w:rFonts w:eastAsia="Helvetica" w:hint="eastAsia"/>
          <w:rtl w:val="0"/>
        </w:rPr>
        <w:t>𝒙</w:t>
      </w:r>
      <w:r>
        <w:rPr>
          <w:rtl w:val="0"/>
        </w:rPr>
        <w:t>.</w:t>
      </w:r>
    </w:p>
    <w:p>
      <w:pPr>
        <w:pStyle w:val="Body"/>
        <w:spacing w:line="360" w:lineRule="auto"/>
        <w:jc w:val="left"/>
      </w:pPr>
      <w:r>
        <w:rPr>
          <w:rtl w:val="0"/>
        </w:rPr>
        <w:tab/>
        <w:t xml:space="preserve">This is the moment in </w:t>
      </w:r>
      <w:r>
        <w:rPr>
          <w:i w:val="1"/>
          <w:iCs w:val="1"/>
          <w:rtl w:val="0"/>
          <w:lang w:val="en-US"/>
        </w:rPr>
        <w:t xml:space="preserve">Hoffman </w:t>
      </w:r>
      <w:r>
        <w:rPr>
          <w:rtl w:val="0"/>
          <w:lang w:val="en-US"/>
        </w:rPr>
        <w:t>that comes closest to allegorising Aristotle</w:t>
      </w:r>
      <w:r>
        <w:rPr>
          <w:rFonts w:hAnsi="Helvetica" w:hint="default"/>
          <w:rtl w:val="0"/>
          <w:lang w:val="en-US"/>
        </w:rPr>
        <w:t>’</w:t>
      </w:r>
      <w:r>
        <w:rPr>
          <w:rtl w:val="0"/>
          <w:lang w:val="en-US"/>
        </w:rPr>
        <w:t>s bipartite schema of justice. Chettle</w:t>
      </w:r>
      <w:r>
        <w:rPr>
          <w:rFonts w:hAnsi="Helvetica" w:hint="default"/>
          <w:rtl w:val="0"/>
          <w:lang w:val="en-US"/>
        </w:rPr>
        <w:t>’</w:t>
      </w:r>
      <w:r>
        <w:rPr>
          <w:rtl w:val="0"/>
          <w:lang w:val="en-US"/>
        </w:rPr>
        <w:t>s play is, however, by no means a rigorous or scholarly one, and it in fact quite frequently makes mistakes in its references to classical literatures or mythologies.</w:t>
      </w:r>
      <w:r>
        <w:rPr>
          <w:rFonts w:ascii="Times New Roman" w:cs="Times New Roman" w:hAnsi="Times New Roman" w:eastAsia="Times New Roman"/>
          <w:vertAlign w:val="superscript"/>
        </w:rPr>
        <w:footnoteReference w:id="37"/>
      </w:r>
      <w:r>
        <w:rPr>
          <w:rtl w:val="0"/>
          <w:lang w:val="en-US"/>
        </w:rPr>
        <w:t xml:space="preserve"> Readers and audiences should not therefore expect to find any explicit intertextual link between </w:t>
      </w:r>
      <w:r>
        <w:rPr>
          <w:i w:val="1"/>
          <w:iCs w:val="1"/>
          <w:rtl w:val="0"/>
          <w:lang w:val="en-US"/>
        </w:rPr>
        <w:t>Hoffman</w:t>
      </w:r>
      <w:r>
        <w:rPr>
          <w:rtl w:val="0"/>
          <w:lang w:val="en-US"/>
        </w:rPr>
        <w:t xml:space="preserve"> and Aristotle. It is, though, not at all impossible that Chettle could have encountered Aristotle</w:t>
      </w:r>
      <w:r>
        <w:rPr>
          <w:rFonts w:hAnsi="Helvetica" w:hint="default"/>
          <w:rtl w:val="0"/>
          <w:lang w:val="en-US"/>
        </w:rPr>
        <w:t>’</w:t>
      </w:r>
      <w:r>
        <w:rPr>
          <w:rtl w:val="0"/>
          <w:lang w:val="en-US"/>
        </w:rPr>
        <w:t xml:space="preserve">s schema as a private reader or especially in his capacity as a stationer. As explained earlier, the ubiquitous circulation of Aristotelian concepts through various channels of transmission meant that Chettle did not need to acknowledge or even be aware of the fact that the two schemas of revenge Hoffman delineates could legitimately have their origins traced back to Aristotle. </w:t>
      </w:r>
      <w:r>
        <w:rPr>
          <w:rtl w:val="0"/>
          <w:lang w:val="en-US"/>
        </w:rPr>
        <w:t xml:space="preserve">The absence of any concrete citation from or allusion to Aristotle in no way inhibits </w:t>
      </w:r>
      <w:r>
        <w:rPr>
          <w:i w:val="1"/>
          <w:iCs w:val="1"/>
          <w:rtl w:val="0"/>
          <w:lang w:val="en-US"/>
        </w:rPr>
        <w:t>Hoffman</w:t>
      </w:r>
      <w:r>
        <w:rPr>
          <w:rtl w:val="0"/>
          <w:lang w:val="en-US"/>
        </w:rPr>
        <w:t xml:space="preserve"> </w:t>
      </w:r>
      <w:r>
        <w:rPr>
          <w:rtl w:val="0"/>
          <w:lang w:val="en-US"/>
        </w:rPr>
        <w:t>from performing its cultural work successfully, but rather facilitates the play in exploring its two broadly Aristotelian schemas of justice without lapsing into the neat but potentially simplifying territory of allegory. The play</w:t>
      </w:r>
      <w:r>
        <w:rPr>
          <w:rFonts w:hAnsi="Helvetica" w:hint="default"/>
          <w:rtl w:val="0"/>
          <w:lang w:val="en-US"/>
        </w:rPr>
        <w:t>’</w:t>
      </w:r>
      <w:r>
        <w:rPr>
          <w:rtl w:val="0"/>
          <w:lang w:val="en-US"/>
        </w:rPr>
        <w:t>s characters are thus permitted to discover heuristically the nuances of ethical and numerical thresholds in a chaotic, incoherent, but inevitably more intricate and naturalistic manner.</w:t>
      </w:r>
    </w:p>
    <w:p>
      <w:pPr>
        <w:pStyle w:val="Body"/>
        <w:spacing w:line="360" w:lineRule="auto"/>
        <w:jc w:val="left"/>
        <w:rPr>
          <w:b w:val="1"/>
          <w:bCs w:val="1"/>
          <w:u w:val="single"/>
        </w:rPr>
      </w:pPr>
    </w:p>
    <w:p>
      <w:pPr>
        <w:pStyle w:val="Body"/>
        <w:spacing w:line="360" w:lineRule="auto"/>
        <w:jc w:val="center"/>
        <w:rPr>
          <w:b w:val="1"/>
          <w:bCs w:val="1"/>
          <w:color w:val="ff2c21"/>
        </w:rPr>
      </w:pPr>
      <w:r>
        <w:rPr>
          <w:b w:val="1"/>
          <w:bCs w:val="1"/>
          <w:rtl w:val="0"/>
          <w:lang w:val="en-US"/>
        </w:rPr>
        <w:t>*</w:t>
        <w:tab/>
        <w:t>*</w:t>
        <w:tab/>
        <w:t>*</w:t>
      </w:r>
    </w:p>
    <w:p>
      <w:pPr>
        <w:pStyle w:val="Body"/>
        <w:spacing w:line="360" w:lineRule="auto"/>
        <w:jc w:val="left"/>
        <w:rPr>
          <w:b w:val="1"/>
          <w:bCs w:val="1"/>
          <w:u w:val="single"/>
        </w:rPr>
      </w:pPr>
    </w:p>
    <w:p>
      <w:pPr>
        <w:pStyle w:val="Body"/>
        <w:spacing w:line="360" w:lineRule="auto"/>
        <w:jc w:val="left"/>
      </w:pPr>
      <w:r>
        <w:rPr>
          <w:rtl w:val="0"/>
          <w:lang w:val="en-US"/>
        </w:rPr>
        <w:t xml:space="preserve">The first scene of </w:t>
      </w:r>
      <w:r>
        <w:rPr>
          <w:i w:val="1"/>
          <w:iCs w:val="1"/>
          <w:rtl w:val="0"/>
          <w:lang w:val="en-US"/>
        </w:rPr>
        <w:t>Hoffman</w:t>
      </w:r>
      <w:r>
        <w:rPr>
          <w:rtl w:val="0"/>
          <w:lang w:val="en-US"/>
        </w:rPr>
        <w:t xml:space="preserve"> in fact shows Hoffman striving </w:t>
      </w:r>
      <w:r>
        <w:rPr>
          <w:i w:val="1"/>
          <w:iCs w:val="1"/>
          <w:rtl w:val="0"/>
          <w:lang w:val="en-US"/>
        </w:rPr>
        <w:t>not</w:t>
      </w:r>
      <w:r>
        <w:rPr>
          <w:rtl w:val="0"/>
          <w:lang w:val="en-US"/>
        </w:rPr>
        <w:t xml:space="preserve"> for a spectacle of excess, but of precise reciprocity. Just as his father was subjected to execution by a burning crown, so Hoffman inflicts a burning crown upon Otho, the son of his father</w:t>
      </w:r>
      <w:r>
        <w:rPr>
          <w:rFonts w:hAnsi="Helvetica" w:hint="default"/>
          <w:rtl w:val="0"/>
          <w:lang w:val="en-US"/>
        </w:rPr>
        <w:t>’</w:t>
      </w:r>
      <w:r>
        <w:rPr>
          <w:rtl w:val="0"/>
          <w:lang w:val="en-US"/>
        </w:rPr>
        <w:t xml:space="preserve">s murderer. There is, though, an interpretative discrepancy over the criterion of equivalence. Otho decries his suffering as a </w:t>
      </w:r>
      <w:r>
        <w:rPr>
          <w:rFonts w:hAnsi="Helvetica" w:hint="default"/>
          <w:rtl w:val="0"/>
          <w:lang w:val="en-US"/>
        </w:rPr>
        <w:t>‘</w:t>
      </w:r>
      <w:r>
        <w:rPr>
          <w:rtl w:val="0"/>
          <w:lang w:val="en-US"/>
        </w:rPr>
        <w:t>torture above measure</w:t>
      </w:r>
      <w:r>
        <w:rPr>
          <w:rFonts w:hAnsi="Helvetica" w:hint="default"/>
          <w:rtl w:val="0"/>
          <w:lang w:val="en-US"/>
        </w:rPr>
        <w:t xml:space="preserve">’ </w:t>
      </w:r>
      <w:r>
        <w:rPr>
          <w:rtl w:val="0"/>
          <w:lang w:val="en-US"/>
        </w:rPr>
        <w:t xml:space="preserve">(1.1.209), an ambiguous phrase that could imply either the immeasurability of the punishment, or simply its unnecessary harshness. Hoffman, on the other hand, justifies it as an entirely appropriate restorative of equilibrium, </w:t>
      </w:r>
      <w:r>
        <w:rPr>
          <w:rtl w:val="0"/>
          <w:lang w:val="en-US"/>
        </w:rPr>
        <w:t xml:space="preserve">in a retort which </w:t>
      </w:r>
      <w:r>
        <w:rPr>
          <w:rtl w:val="0"/>
          <w:lang w:val="en-US"/>
        </w:rPr>
        <w:t>makes</w:t>
      </w:r>
      <w:r>
        <w:rPr>
          <w:rtl w:val="0"/>
        </w:rPr>
        <w:t xml:space="preserve"> a </w:t>
      </w:r>
      <w:r>
        <w:rPr>
          <w:rtl w:val="0"/>
          <w:lang w:val="en-US"/>
        </w:rPr>
        <w:t xml:space="preserve">stichomythic </w:t>
      </w:r>
      <w:r>
        <w:rPr>
          <w:rtl w:val="0"/>
          <w:lang w:val="fr-FR"/>
        </w:rPr>
        <w:t>couplet</w:t>
      </w:r>
      <w:r>
        <w:rPr>
          <w:rtl w:val="0"/>
          <w:lang w:val="en-US"/>
        </w:rPr>
        <w:t xml:space="preserve">: </w:t>
      </w:r>
      <w:r>
        <w:rPr>
          <w:rFonts w:hAnsi="Helvetica" w:hint="default"/>
          <w:rtl w:val="0"/>
          <w:lang w:val="en-US"/>
        </w:rPr>
        <w:t>‘</w:t>
      </w:r>
      <w:r>
        <w:rPr>
          <w:rtl w:val="0"/>
          <w:lang w:val="en-US"/>
        </w:rPr>
        <w:t>My father felt this pain, when thou hadst pleasure</w:t>
      </w:r>
      <w:r>
        <w:rPr>
          <w:rFonts w:hAnsi="Helvetica" w:hint="default"/>
          <w:rtl w:val="0"/>
          <w:lang w:val="en-US"/>
        </w:rPr>
        <w:t xml:space="preserve">’ </w:t>
      </w:r>
      <w:r>
        <w:rPr>
          <w:rtl w:val="0"/>
          <w:lang w:val="en-US"/>
        </w:rPr>
        <w:t>(1.1.210). Another balanced couplet further compounds the parallel nature of Old Hoffman</w:t>
      </w:r>
      <w:r>
        <w:rPr>
          <w:rFonts w:hAnsi="Helvetica" w:hint="default"/>
          <w:rtl w:val="0"/>
          <w:lang w:val="en-US"/>
        </w:rPr>
        <w:t>’</w:t>
      </w:r>
      <w:r>
        <w:rPr>
          <w:rtl w:val="0"/>
          <w:lang w:val="en-US"/>
        </w:rPr>
        <w:t>s and Otho</w:t>
      </w:r>
      <w:r>
        <w:rPr>
          <w:rFonts w:hAnsi="Helvetica" w:hint="default"/>
          <w:rtl w:val="0"/>
          <w:lang w:val="en-US"/>
        </w:rPr>
        <w:t>’</w:t>
      </w:r>
      <w:r>
        <w:rPr>
          <w:rtl w:val="0"/>
          <w:lang w:val="en-US"/>
        </w:rPr>
        <w:t xml:space="preserve">s fates: </w:t>
      </w:r>
      <w:r>
        <w:rPr>
          <w:rFonts w:hAnsi="Helvetica" w:hint="default"/>
          <w:rtl w:val="0"/>
          <w:lang w:val="en-US"/>
        </w:rPr>
        <w:t>‘</w:t>
      </w:r>
      <w:r>
        <w:rPr>
          <w:rtl w:val="0"/>
          <w:lang w:val="en-US"/>
        </w:rPr>
        <w:t>No more did he, no more shalt thou, no ruth / Pitied his winter age, none helps thy youth</w:t>
      </w:r>
      <w:r>
        <w:rPr>
          <w:rFonts w:hAnsi="Helvetica" w:hint="default"/>
          <w:rtl w:val="0"/>
          <w:lang w:val="en-US"/>
        </w:rPr>
        <w:t xml:space="preserve">’ </w:t>
      </w:r>
      <w:r>
        <w:rPr>
          <w:rtl w:val="0"/>
          <w:lang w:val="en-US"/>
        </w:rPr>
        <w:t xml:space="preserve">(1.1.216-17). This especial attention to parity is somewhat unusual for Hoffman. Perhaps it is only necessary as a </w:t>
      </w:r>
      <w:r>
        <w:rPr>
          <w:rFonts w:hAnsi="Helvetica" w:hint="default"/>
          <w:rtl w:val="0"/>
          <w:lang w:val="en-US"/>
        </w:rPr>
        <w:t>‘</w:t>
      </w:r>
      <w:r>
        <w:rPr>
          <w:rtl w:val="0"/>
          <w:lang w:val="en-US"/>
        </w:rPr>
        <w:t>first step to revenge</w:t>
      </w:r>
      <w:r>
        <w:rPr>
          <w:rFonts w:hAnsi="Helvetica" w:hint="default"/>
          <w:rtl w:val="0"/>
          <w:lang w:val="en-US"/>
        </w:rPr>
        <w:t xml:space="preserve">’ </w:t>
      </w:r>
      <w:r>
        <w:rPr>
          <w:rtl w:val="0"/>
          <w:lang w:val="en-US"/>
        </w:rPr>
        <w:t>(1.1.230), Hoffman declaring Otho</w:t>
      </w:r>
      <w:r>
        <w:rPr>
          <w:rFonts w:hAnsi="Helvetica" w:hint="default"/>
          <w:rtl w:val="0"/>
          <w:lang w:val="en-US"/>
        </w:rPr>
        <w:t>’</w:t>
      </w:r>
      <w:r>
        <w:rPr>
          <w:rtl w:val="0"/>
          <w:lang w:val="en-US"/>
        </w:rPr>
        <w:t xml:space="preserve">s death merely </w:t>
      </w:r>
      <w:r>
        <w:rPr>
          <w:rFonts w:hAnsi="Helvetica" w:hint="default"/>
          <w:rtl w:val="0"/>
          <w:lang w:val="en-US"/>
        </w:rPr>
        <w:t>‘</w:t>
      </w:r>
      <w:r>
        <w:rPr>
          <w:rtl w:val="0"/>
          <w:lang w:val="en-US"/>
        </w:rPr>
        <w:t>the prologue to the ensuing play</w:t>
      </w:r>
      <w:r>
        <w:rPr>
          <w:rFonts w:hAnsi="Helvetica" w:hint="default"/>
          <w:rtl w:val="0"/>
          <w:lang w:val="en-US"/>
        </w:rPr>
        <w:t xml:space="preserve">’ </w:t>
      </w:r>
      <w:r>
        <w:rPr>
          <w:rtl w:val="0"/>
          <w:lang w:val="en-US"/>
        </w:rPr>
        <w:t>(1.1.229), but it may also be the result of Hoffman</w:t>
      </w:r>
      <w:r>
        <w:rPr>
          <w:rFonts w:hAnsi="Helvetica" w:hint="default"/>
          <w:rtl w:val="0"/>
          <w:lang w:val="en-US"/>
        </w:rPr>
        <w:t>’</w:t>
      </w:r>
      <w:r>
        <w:rPr>
          <w:rtl w:val="0"/>
          <w:lang w:val="en-US"/>
        </w:rPr>
        <w:t xml:space="preserve">s perceived legality of the act, given his perceived illegality of the execution of his father. </w:t>
      </w:r>
    </w:p>
    <w:p>
      <w:pPr>
        <w:pStyle w:val="Body"/>
        <w:spacing w:line="360" w:lineRule="auto"/>
        <w:jc w:val="left"/>
      </w:pPr>
      <w:r>
        <w:rPr>
          <w:rtl w:val="0"/>
        </w:rPr>
        <w:tab/>
        <w:t>Countering Otho</w:t>
      </w:r>
      <w:r>
        <w:rPr>
          <w:rFonts w:hAnsi="Helvetica" w:hint="default"/>
          <w:rtl w:val="0"/>
          <w:lang w:val="en-US"/>
        </w:rPr>
        <w:t>’</w:t>
      </w:r>
      <w:r>
        <w:rPr>
          <w:rtl w:val="0"/>
          <w:lang w:val="en-US"/>
        </w:rPr>
        <w:t>s claim that Hoffman</w:t>
      </w:r>
      <w:r>
        <w:rPr>
          <w:rFonts w:hAnsi="Helvetica" w:hint="default"/>
          <w:rtl w:val="0"/>
          <w:lang w:val="en-US"/>
        </w:rPr>
        <w:t>’</w:t>
      </w:r>
      <w:r>
        <w:rPr>
          <w:rtl w:val="0"/>
          <w:lang w:val="en-US"/>
        </w:rPr>
        <w:t xml:space="preserve">s father </w:t>
      </w:r>
      <w:r>
        <w:rPr>
          <w:rFonts w:hAnsi="Helvetica" w:hint="default"/>
          <w:rtl w:val="0"/>
          <w:lang w:val="en-US"/>
        </w:rPr>
        <w:t>‘</w:t>
      </w:r>
      <w:r>
        <w:rPr>
          <w:rtl w:val="0"/>
          <w:lang w:val="en-US"/>
        </w:rPr>
        <w:t>died for piracy</w:t>
      </w:r>
      <w:r>
        <w:rPr>
          <w:rFonts w:hAnsi="Helvetica" w:hint="default"/>
          <w:rtl w:val="0"/>
          <w:lang w:val="en-US"/>
        </w:rPr>
        <w:t xml:space="preserve">’ </w:t>
      </w:r>
      <w:r>
        <w:rPr>
          <w:rtl w:val="0"/>
          <w:lang w:val="en-US"/>
        </w:rPr>
        <w:t xml:space="preserve">(1.1.211), Hoffman argues: </w:t>
      </w:r>
      <w:r>
        <w:rPr>
          <w:rFonts w:hAnsi="Helvetica" w:hint="default"/>
          <w:rtl w:val="0"/>
          <w:lang w:val="en-US"/>
        </w:rPr>
        <w:t>‘</w:t>
      </w:r>
      <w:r>
        <w:rPr>
          <w:rtl w:val="0"/>
          <w:lang w:val="en-US"/>
        </w:rPr>
        <w:t>Oh peace, had he been judge himself, he would have showed / He had been clearer than the crystal morn!</w:t>
      </w:r>
      <w:r>
        <w:rPr>
          <w:rFonts w:hAnsi="Helvetica" w:hint="default"/>
          <w:rtl w:val="0"/>
          <w:lang w:val="en-US"/>
        </w:rPr>
        <w:t xml:space="preserve">’ </w:t>
      </w:r>
      <w:r>
        <w:rPr>
          <w:rtl w:val="0"/>
          <w:lang w:val="en-US"/>
        </w:rPr>
        <w:t xml:space="preserve">(1.1.212-13). </w:t>
      </w:r>
      <w:r>
        <w:rPr>
          <w:rtl w:val="0"/>
          <w:lang w:val="en-US"/>
        </w:rPr>
        <w:t xml:space="preserve">Early modern audiences may in fact have </w:t>
      </w:r>
      <w:r>
        <w:rPr>
          <w:rtl w:val="0"/>
          <w:lang w:val="en-US"/>
        </w:rPr>
        <w:t xml:space="preserve">had some </w:t>
      </w:r>
      <w:r>
        <w:rPr>
          <w:rtl w:val="0"/>
          <w:lang w:val="en-US"/>
        </w:rPr>
        <w:t>sympath</w:t>
      </w:r>
      <w:r>
        <w:rPr>
          <w:rtl w:val="0"/>
          <w:lang w:val="en-US"/>
        </w:rPr>
        <w:t>y</w:t>
      </w:r>
      <w:r>
        <w:rPr>
          <w:rtl w:val="0"/>
          <w:lang w:val="en-US"/>
        </w:rPr>
        <w:t xml:space="preserve"> with Hoffman in this respect,</w:t>
      </w:r>
      <w:r>
        <w:rPr>
          <w:rtl w:val="0"/>
          <w:lang w:val="en-US"/>
        </w:rPr>
        <w:t xml:space="preserve"> for, as Edward Coke attested, piracy had a complex and ambiguous legal status, being </w:t>
      </w:r>
      <w:r>
        <w:rPr>
          <w:rFonts w:hAnsi="Helvetica" w:hint="default"/>
          <w:rtl w:val="0"/>
          <w:lang w:val="en-US"/>
        </w:rPr>
        <w:t>‘</w:t>
      </w:r>
      <w:r>
        <w:rPr>
          <w:rtl w:val="0"/>
          <w:lang w:val="en-US"/>
        </w:rPr>
        <w:t>no felony in the eye of the law of the Realm, but only by the Civill law.</w:t>
      </w:r>
      <w:r>
        <w:rPr>
          <w:rFonts w:hAnsi="Helvetica" w:hint="default"/>
          <w:rtl w:val="0"/>
          <w:lang w:val="en-US"/>
        </w:rPr>
        <w:t>’</w:t>
      </w:r>
      <w:r>
        <w:rPr>
          <w:rFonts w:ascii="Times New Roman" w:cs="Times New Roman" w:hAnsi="Times New Roman" w:eastAsia="Times New Roman"/>
          <w:vertAlign w:val="superscript"/>
        </w:rPr>
        <w:footnoteReference w:id="38"/>
      </w:r>
      <w:r>
        <w:rPr>
          <w:rtl w:val="0"/>
          <w:lang w:val="en-US"/>
        </w:rPr>
        <w:t xml:space="preserve"> I</w:t>
      </w:r>
      <w:r>
        <w:rPr>
          <w:rtl w:val="0"/>
          <w:lang w:val="en-US"/>
        </w:rPr>
        <w:t>f Hoffman</w:t>
      </w:r>
      <w:r>
        <w:rPr>
          <w:rFonts w:hAnsi="Helvetica" w:hint="default"/>
          <w:rtl w:val="0"/>
          <w:lang w:val="fr-FR"/>
        </w:rPr>
        <w:t>’</w:t>
      </w:r>
      <w:r>
        <w:rPr>
          <w:rtl w:val="0"/>
          <w:lang w:val="en-US"/>
        </w:rPr>
        <w:t xml:space="preserve">s father was </w:t>
      </w:r>
      <w:r>
        <w:rPr>
          <w:rtl w:val="0"/>
          <w:lang w:val="en-US"/>
        </w:rPr>
        <w:t>indeed</w:t>
      </w:r>
      <w:r>
        <w:rPr>
          <w:rFonts w:hAnsi="Helvetica" w:hint="default"/>
          <w:rtl w:val="0"/>
        </w:rPr>
        <w:t xml:space="preserve"> ‘</w:t>
      </w:r>
      <w:r>
        <w:rPr>
          <w:rtl w:val="0"/>
        </w:rPr>
        <w:t>wronged</w:t>
      </w:r>
      <w:r>
        <w:rPr>
          <w:rFonts w:hAnsi="Helvetica" w:hint="default"/>
          <w:rtl w:val="0"/>
          <w:lang w:val="fr-FR"/>
        </w:rPr>
        <w:t xml:space="preserve">’ </w:t>
      </w:r>
      <w:r>
        <w:rPr>
          <w:rtl w:val="0"/>
          <w:lang w:val="en-US"/>
        </w:rPr>
        <w:t>(1.1.161) by his sentence</w:t>
      </w:r>
      <w:r>
        <w:rPr>
          <w:rtl w:val="0"/>
          <w:lang w:val="en-US"/>
        </w:rPr>
        <w:t>, condemned without committing a felony, his death was not the result of state-sanctioned justice but of private and cruel murder. This is Hoffman</w:t>
      </w:r>
      <w:r>
        <w:rPr>
          <w:rFonts w:hAnsi="Helvetica" w:hint="default"/>
          <w:rtl w:val="0"/>
          <w:lang w:val="en-US"/>
        </w:rPr>
        <w:t>’</w:t>
      </w:r>
      <w:r>
        <w:rPr>
          <w:rtl w:val="0"/>
          <w:lang w:val="en-US"/>
        </w:rPr>
        <w:t xml:space="preserve">s interpretation of the case, declaring at the end of the scene: </w:t>
      </w:r>
      <w:r>
        <w:rPr>
          <w:rFonts w:hAnsi="Helvetica" w:hint="default"/>
          <w:rtl w:val="0"/>
          <w:lang w:val="en-US"/>
        </w:rPr>
        <w:t>‘</w:t>
      </w:r>
      <w:r>
        <w:rPr>
          <w:rtl w:val="0"/>
          <w:lang w:val="en-US"/>
        </w:rPr>
        <w:t xml:space="preserve">Father, I offer thee thy </w:t>
      </w:r>
      <w:r>
        <w:rPr>
          <w:i w:val="1"/>
          <w:iCs w:val="1"/>
          <w:rtl w:val="0"/>
          <w:lang w:val="en-US"/>
        </w:rPr>
        <w:t>murderer</w:t>
      </w:r>
      <w:r>
        <w:rPr>
          <w:rFonts w:hAnsi="Helvetica" w:hint="default"/>
          <w:i w:val="1"/>
          <w:iCs w:val="1"/>
          <w:rtl w:val="0"/>
          <w:lang w:val="en-US"/>
        </w:rPr>
        <w:t>’</w:t>
      </w:r>
      <w:r>
        <w:rPr>
          <w:i w:val="1"/>
          <w:iCs w:val="1"/>
          <w:rtl w:val="0"/>
          <w:lang w:val="en-US"/>
        </w:rPr>
        <w:t>s</w:t>
      </w:r>
      <w:r>
        <w:rPr>
          <w:rtl w:val="0"/>
          <w:lang w:val="en-US"/>
        </w:rPr>
        <w:t xml:space="preserve"> son</w:t>
      </w:r>
      <w:r>
        <w:rPr>
          <w:rFonts w:hAnsi="Helvetica" w:hint="default"/>
          <w:rtl w:val="0"/>
          <w:lang w:val="en-US"/>
        </w:rPr>
        <w:t xml:space="preserve">’ </w:t>
      </w:r>
      <w:r>
        <w:rPr>
          <w:rtl w:val="0"/>
          <w:lang w:val="en-US"/>
        </w:rPr>
        <w:t xml:space="preserve">(1.1.231, my emphasis). As one who </w:t>
      </w:r>
      <w:r>
        <w:rPr>
          <w:rFonts w:hAnsi="Helvetica" w:hint="default"/>
          <w:rtl w:val="0"/>
          <w:lang w:val="en-US"/>
        </w:rPr>
        <w:t>‘</w:t>
      </w:r>
      <w:r>
        <w:rPr>
          <w:rtl w:val="0"/>
          <w:lang w:val="en-US"/>
        </w:rPr>
        <w:t>Sat like a just judge of the under-shades</w:t>
      </w:r>
      <w:r>
        <w:rPr>
          <w:rFonts w:hAnsi="Helvetica" w:hint="default"/>
          <w:rtl w:val="0"/>
          <w:lang w:val="en-US"/>
        </w:rPr>
        <w:t xml:space="preserve">’ </w:t>
      </w:r>
      <w:r>
        <w:rPr>
          <w:rtl w:val="0"/>
          <w:lang w:val="en-US"/>
        </w:rPr>
        <w:t xml:space="preserve">(1.1.163) and </w:t>
      </w:r>
      <w:r>
        <w:rPr>
          <w:rFonts w:hAnsi="Helvetica" w:hint="default"/>
          <w:rtl w:val="0"/>
          <w:lang w:val="en-US"/>
        </w:rPr>
        <w:t>‘</w:t>
      </w:r>
      <w:r>
        <w:rPr>
          <w:rtl w:val="0"/>
          <w:lang w:val="en-US"/>
        </w:rPr>
        <w:t>saw him [Old Hoffman] chained unto the common gallows</w:t>
      </w:r>
      <w:r>
        <w:rPr>
          <w:rFonts w:hAnsi="Helvetica" w:hint="default"/>
          <w:rtl w:val="0"/>
          <w:lang w:val="en-US"/>
        </w:rPr>
        <w:t xml:space="preserve">’ </w:t>
      </w:r>
      <w:r>
        <w:rPr>
          <w:rtl w:val="0"/>
          <w:lang w:val="en-US"/>
        </w:rPr>
        <w:t>(1.1.168), Otho is made both a corrupt member of the judiciary and an accessory to the crime, and thus represents the only victim of Hoffman</w:t>
      </w:r>
      <w:r>
        <w:rPr>
          <w:rFonts w:hAnsi="Helvetica" w:hint="default"/>
          <w:rtl w:val="0"/>
          <w:lang w:val="en-US"/>
        </w:rPr>
        <w:t>’</w:t>
      </w:r>
      <w:r>
        <w:rPr>
          <w:rtl w:val="0"/>
          <w:lang w:val="en-US"/>
        </w:rPr>
        <w:t>s revenge project whose punishment is derived from some legal basis. The symmetry effected by Hoffman in the course of that punishment, then, is perhaps an attempt on his part to signpost what he perceives as its jurisdictional permissibility.</w:t>
      </w:r>
    </w:p>
    <w:p>
      <w:pPr>
        <w:pStyle w:val="Body"/>
        <w:spacing w:line="360" w:lineRule="auto"/>
        <w:jc w:val="left"/>
      </w:pPr>
      <w:r>
        <w:rPr>
          <w:rtl w:val="0"/>
        </w:rPr>
        <w:tab/>
        <w:t>As the first act comes to an end, however, arithmetical proportion quickly gives way to geometrical proportion as Hoffman</w:t>
      </w:r>
      <w:r>
        <w:rPr>
          <w:rFonts w:hAnsi="Helvetica" w:hint="default"/>
          <w:rtl w:val="0"/>
          <w:lang w:val="en-US"/>
        </w:rPr>
        <w:t>’</w:t>
      </w:r>
      <w:r>
        <w:rPr>
          <w:rtl w:val="0"/>
          <w:lang w:val="en-US"/>
        </w:rPr>
        <w:t>s rhetorical make-up becomes increasingly influenced by Senecan example. Although Seneca</w:t>
      </w:r>
      <w:r>
        <w:rPr>
          <w:rFonts w:hAnsi="Helvetica" w:hint="default"/>
          <w:rtl w:val="0"/>
          <w:lang w:val="en-US"/>
        </w:rPr>
        <w:t>’</w:t>
      </w:r>
      <w:r>
        <w:rPr>
          <w:rtl w:val="0"/>
          <w:lang w:val="en-US"/>
        </w:rPr>
        <w:t>s crucial influence on Elizabethan revenge drama has been well exploited by critics,</w:t>
      </w:r>
      <w:r>
        <w:rPr>
          <w:rFonts w:ascii="Times New Roman" w:cs="Times New Roman" w:hAnsi="Times New Roman" w:eastAsia="Times New Roman"/>
          <w:vertAlign w:val="superscript"/>
        </w:rPr>
        <w:footnoteReference w:id="39"/>
      </w:r>
      <w:r>
        <w:rPr>
          <w:rtl w:val="0"/>
          <w:lang w:val="en-US"/>
        </w:rPr>
        <w:t xml:space="preserve"> little has been said about the fact that </w:t>
      </w:r>
      <w:r>
        <w:rPr>
          <w:i w:val="1"/>
          <w:iCs w:val="1"/>
          <w:rtl w:val="0"/>
          <w:lang w:val="en-US"/>
        </w:rPr>
        <w:t xml:space="preserve">Thyestes </w:t>
      </w:r>
      <w:r>
        <w:rPr>
          <w:rtl w:val="0"/>
          <w:lang w:val="en-US"/>
        </w:rPr>
        <w:t xml:space="preserve">and </w:t>
      </w:r>
      <w:r>
        <w:rPr>
          <w:i w:val="1"/>
          <w:iCs w:val="1"/>
          <w:rtl w:val="0"/>
          <w:lang w:val="en-US"/>
        </w:rPr>
        <w:t xml:space="preserve">Medea </w:t>
      </w:r>
      <w:r>
        <w:rPr>
          <w:rtl w:val="0"/>
          <w:lang w:val="en-US"/>
        </w:rPr>
        <w:t xml:space="preserve">provided particularly unique models of revenge artistry, in which protagonists feel compelled to articulate their hyperbolical revenge acts in terms of numbers. </w:t>
      </w:r>
      <w:r>
        <w:rPr>
          <w:rFonts w:hAnsi="Helvetica" w:hint="default"/>
          <w:rtl w:val="0"/>
        </w:rPr>
        <w:t>‘</w:t>
      </w:r>
      <w:r>
        <w:rPr>
          <w:rtl w:val="0"/>
          <w:lang w:val="fr-FR"/>
        </w:rPr>
        <w:t>Vnus est poenae satis</w:t>
      </w:r>
      <w:r>
        <w:rPr>
          <w:rFonts w:hAnsi="Helvetica" w:hint="default"/>
          <w:rtl w:val="0"/>
          <w:lang w:val="fr-FR"/>
        </w:rPr>
        <w:t xml:space="preserve">’ </w:t>
      </w:r>
      <w:r>
        <w:rPr>
          <w:rtl w:val="0"/>
        </w:rPr>
        <w:t xml:space="preserve">(l.1008), </w:t>
      </w:r>
      <w:r>
        <w:rPr>
          <w:rtl w:val="0"/>
          <w:lang w:val="en-US"/>
        </w:rPr>
        <w:t xml:space="preserve">pleads Jason as he watches his wife kill one child and threaten the other: </w:t>
      </w:r>
      <w:r>
        <w:rPr>
          <w:rFonts w:hAnsi="Helvetica" w:hint="default"/>
          <w:rtl w:val="0"/>
        </w:rPr>
        <w:t>‘</w:t>
      </w:r>
      <w:r>
        <w:rPr>
          <w:rtl w:val="0"/>
          <w:lang w:val="it-IT"/>
        </w:rPr>
        <w:t xml:space="preserve">one </w:t>
      </w:r>
      <w:r>
        <w:rPr>
          <w:rtl w:val="0"/>
          <w:lang w:val="en-US"/>
        </w:rPr>
        <w:t xml:space="preserve">boy </w:t>
      </w:r>
      <w:r>
        <w:rPr>
          <w:rtl w:val="0"/>
          <w:lang w:val="en-US"/>
        </w:rPr>
        <w:t xml:space="preserve">is enough </w:t>
      </w:r>
      <w:r>
        <w:rPr>
          <w:rtl w:val="0"/>
          <w:lang w:val="en-US"/>
        </w:rPr>
        <w:t>to punish me</w:t>
      </w:r>
      <w:r>
        <w:rPr>
          <w:rFonts w:hAnsi="Helvetica" w:hint="default"/>
          <w:rtl w:val="0"/>
          <w:lang w:val="fr-FR"/>
        </w:rPr>
        <w:t>’</w:t>
      </w:r>
      <w:r>
        <w:rPr>
          <w:rtl w:val="0"/>
          <w:lang w:val="en-US"/>
        </w:rPr>
        <w:t>. But Medea wishes to attach larger numbers to the scope of her grief:</w:t>
      </w:r>
    </w:p>
    <w:p>
      <w:pPr>
        <w:pStyle w:val="Body"/>
        <w:jc w:val="left"/>
      </w:pPr>
    </w:p>
    <w:p>
      <w:pPr>
        <w:pStyle w:val="Body"/>
        <w:jc w:val="left"/>
        <w:rPr>
          <w:sz w:val="20"/>
          <w:szCs w:val="20"/>
        </w:rPr>
      </w:pPr>
      <w:r>
        <w:tab/>
        <w:tab/>
        <w:tab/>
        <w:tab/>
      </w:r>
      <w:r>
        <w:rPr>
          <w:sz w:val="20"/>
          <w:szCs w:val="20"/>
          <w:rtl w:val="0"/>
          <w:lang w:val="en-US"/>
        </w:rPr>
        <w:t xml:space="preserve">Si posset una caede satiari haec manus, </w:t>
      </w:r>
    </w:p>
    <w:p>
      <w:pPr>
        <w:pStyle w:val="Body"/>
        <w:jc w:val="left"/>
        <w:rPr>
          <w:sz w:val="20"/>
          <w:szCs w:val="20"/>
        </w:rPr>
      </w:pPr>
      <w:r>
        <w:rPr>
          <w:sz w:val="20"/>
          <w:szCs w:val="20"/>
          <w:rtl w:val="0"/>
        </w:rPr>
        <w:tab/>
        <w:tab/>
        <w:tab/>
        <w:tab/>
        <w:t xml:space="preserve">nullam petisset. ut duos perimam, tamen </w:t>
      </w:r>
    </w:p>
    <w:p>
      <w:pPr>
        <w:pStyle w:val="Body"/>
        <w:jc w:val="left"/>
        <w:rPr>
          <w:sz w:val="20"/>
          <w:szCs w:val="20"/>
        </w:rPr>
      </w:pPr>
      <w:r>
        <w:rPr>
          <w:sz w:val="20"/>
          <w:szCs w:val="20"/>
          <w:rtl w:val="0"/>
        </w:rPr>
        <w:tab/>
        <w:tab/>
        <w:tab/>
        <w:tab/>
        <w:t>nimium est dolori numerus angustus meo.</w:t>
      </w:r>
    </w:p>
    <w:p>
      <w:pPr>
        <w:pStyle w:val="Body"/>
        <w:jc w:val="left"/>
        <w:rPr>
          <w:sz w:val="20"/>
          <w:szCs w:val="20"/>
        </w:rPr>
      </w:pPr>
      <w:r>
        <w:rPr>
          <w:sz w:val="20"/>
          <w:szCs w:val="20"/>
          <w:rtl w:val="0"/>
        </w:rPr>
        <w:tab/>
        <w:tab/>
        <w:tab/>
        <w:tab/>
        <w:tab/>
        <w:tab/>
        <w:tab/>
        <w:tab/>
        <w:tab/>
        <w:t>(ll.1009-1011)</w:t>
      </w:r>
    </w:p>
    <w:p>
      <w:pPr>
        <w:pStyle w:val="Body"/>
        <w:jc w:val="left"/>
        <w:rPr>
          <w:sz w:val="20"/>
          <w:szCs w:val="20"/>
        </w:rPr>
      </w:pPr>
    </w:p>
    <w:p>
      <w:pPr>
        <w:pStyle w:val="Body"/>
        <w:jc w:val="left"/>
        <w:rPr>
          <w:sz w:val="20"/>
          <w:szCs w:val="20"/>
        </w:rPr>
      </w:pPr>
      <w:r>
        <w:rPr>
          <w:sz w:val="20"/>
          <w:szCs w:val="20"/>
          <w:rtl w:val="0"/>
        </w:rPr>
        <w:tab/>
        <w:t>[If this hand could have been content with one slaughter, it would not have aspired to any.</w:t>
      </w:r>
    </w:p>
    <w:p>
      <w:pPr>
        <w:pStyle w:val="Body"/>
        <w:jc w:val="left"/>
        <w:rPr>
          <w:sz w:val="20"/>
          <w:szCs w:val="20"/>
        </w:rPr>
      </w:pPr>
      <w:r>
        <w:rPr>
          <w:sz w:val="20"/>
          <w:szCs w:val="20"/>
          <w:rtl w:val="0"/>
        </w:rPr>
        <w:tab/>
        <w:t>Even if I kill two, the number is still too limited for my pain.]</w:t>
      </w:r>
    </w:p>
    <w:p>
      <w:pPr>
        <w:pStyle w:val="Body"/>
        <w:spacing w:line="360" w:lineRule="auto"/>
        <w:jc w:val="left"/>
        <w:rPr>
          <w:sz w:val="20"/>
          <w:szCs w:val="20"/>
        </w:rPr>
      </w:pPr>
    </w:p>
    <w:p>
      <w:pPr>
        <w:pStyle w:val="Body"/>
        <w:spacing w:line="360" w:lineRule="auto"/>
        <w:jc w:val="left"/>
        <w:rPr>
          <w:sz w:val="22"/>
          <w:szCs w:val="22"/>
        </w:rPr>
      </w:pPr>
      <w:r>
        <w:rPr>
          <w:sz w:val="22"/>
          <w:szCs w:val="22"/>
          <w:rtl w:val="0"/>
          <w:lang w:val="en-US"/>
        </w:rPr>
        <w:t>This cruel moment of quantification does not occur in Euripides</w:t>
      </w:r>
      <w:r>
        <w:rPr>
          <w:rFonts w:hAnsi="Helvetica" w:hint="default"/>
          <w:sz w:val="22"/>
          <w:szCs w:val="22"/>
          <w:rtl w:val="0"/>
          <w:lang w:val="en-US"/>
        </w:rPr>
        <w:t xml:space="preserve">’ </w:t>
      </w:r>
      <w:r>
        <w:rPr>
          <w:i w:val="1"/>
          <w:iCs w:val="1"/>
          <w:sz w:val="22"/>
          <w:szCs w:val="22"/>
          <w:rtl w:val="0"/>
          <w:lang w:val="en-US"/>
        </w:rPr>
        <w:t>Medea</w:t>
      </w:r>
      <w:r>
        <w:rPr>
          <w:sz w:val="22"/>
          <w:szCs w:val="22"/>
          <w:rtl w:val="0"/>
          <w:lang w:val="en-US"/>
        </w:rPr>
        <w:t>, a key precedent for Seneca, in which a messenger simply relates to Jason the murders of his children. One (</w:t>
      </w:r>
      <w:r>
        <w:rPr>
          <w:i w:val="1"/>
          <w:iCs w:val="1"/>
          <w:sz w:val="22"/>
          <w:szCs w:val="22"/>
          <w:rtl w:val="0"/>
          <w:lang w:val="en-US"/>
        </w:rPr>
        <w:t>una</w:t>
      </w:r>
      <w:r>
        <w:rPr>
          <w:sz w:val="22"/>
          <w:szCs w:val="22"/>
          <w:rtl w:val="0"/>
          <w:lang w:val="en-US"/>
        </w:rPr>
        <w:t>) death here is considered so insignificant as to be equated with none at all (</w:t>
      </w:r>
      <w:r>
        <w:rPr>
          <w:i w:val="1"/>
          <w:iCs w:val="1"/>
          <w:sz w:val="22"/>
          <w:szCs w:val="22"/>
          <w:rtl w:val="0"/>
          <w:lang w:val="en-US"/>
        </w:rPr>
        <w:t>nullam</w:t>
      </w:r>
      <w:r>
        <w:rPr>
          <w:sz w:val="22"/>
          <w:szCs w:val="22"/>
          <w:rtl w:val="0"/>
          <w:lang w:val="en-US"/>
        </w:rPr>
        <w:t>), and even the deaths of two (</w:t>
      </w:r>
      <w:r>
        <w:rPr>
          <w:i w:val="1"/>
          <w:iCs w:val="1"/>
          <w:sz w:val="22"/>
          <w:szCs w:val="22"/>
          <w:rtl w:val="0"/>
          <w:lang w:val="en-US"/>
        </w:rPr>
        <w:t>duos</w:t>
      </w:r>
      <w:r>
        <w:rPr>
          <w:sz w:val="22"/>
          <w:szCs w:val="22"/>
          <w:rtl w:val="0"/>
          <w:lang w:val="en-US"/>
        </w:rPr>
        <w:t>) are not sufficient to satisfy (</w:t>
      </w:r>
      <w:r>
        <w:rPr>
          <w:i w:val="1"/>
          <w:iCs w:val="1"/>
          <w:sz w:val="22"/>
          <w:szCs w:val="22"/>
          <w:rtl w:val="0"/>
          <w:lang w:val="en-US"/>
        </w:rPr>
        <w:t>satiari</w:t>
      </w:r>
      <w:r>
        <w:rPr>
          <w:sz w:val="22"/>
          <w:szCs w:val="22"/>
          <w:rtl w:val="0"/>
          <w:lang w:val="en-US"/>
        </w:rPr>
        <w:t>). The precise number (</w:t>
      </w:r>
      <w:r>
        <w:rPr>
          <w:i w:val="1"/>
          <w:iCs w:val="1"/>
          <w:sz w:val="22"/>
          <w:szCs w:val="22"/>
          <w:rtl w:val="0"/>
          <w:lang w:val="en-US"/>
        </w:rPr>
        <w:t>numerus</w:t>
      </w:r>
      <w:r>
        <w:rPr>
          <w:sz w:val="22"/>
          <w:szCs w:val="22"/>
          <w:rtl w:val="0"/>
          <w:lang w:val="en-US"/>
        </w:rPr>
        <w:t>) of bodies needed to quench Medea</w:t>
      </w:r>
      <w:r>
        <w:rPr>
          <w:rFonts w:hAnsi="Helvetica" w:hint="default"/>
          <w:sz w:val="22"/>
          <w:szCs w:val="22"/>
          <w:rtl w:val="0"/>
          <w:lang w:val="en-US"/>
        </w:rPr>
        <w:t>’</w:t>
      </w:r>
      <w:r>
        <w:rPr>
          <w:sz w:val="22"/>
          <w:szCs w:val="22"/>
          <w:rtl w:val="0"/>
          <w:lang w:val="en-US"/>
        </w:rPr>
        <w:t>s thirst for retribution is left undetermined, perhaps impossible for her to articulate, but</w:t>
      </w:r>
      <w:r>
        <w:rPr>
          <w:sz w:val="22"/>
          <w:szCs w:val="22"/>
          <w:rtl w:val="0"/>
        </w:rPr>
        <w:t xml:space="preserve"> </w:t>
      </w:r>
      <w:r>
        <w:rPr>
          <w:sz w:val="22"/>
          <w:szCs w:val="22"/>
          <w:rtl w:val="0"/>
          <w:lang w:val="en-US"/>
        </w:rPr>
        <w:t>her numerical restlessness equates her with the kind of competitive over-going more frequently associated with Atreus. Increasing numbers provide the basis for his revenge actions too. Despite his quest for originality</w:t>
      </w:r>
      <w:r>
        <w:rPr>
          <w:rFonts w:hAnsi="Helvetica" w:hint="default"/>
          <w:sz w:val="22"/>
          <w:szCs w:val="22"/>
          <w:rtl w:val="0"/>
          <w:lang w:val="en-US"/>
        </w:rPr>
        <w:t>—</w:t>
      </w:r>
      <w:r>
        <w:rPr>
          <w:rFonts w:hAnsi="Helvetica" w:hint="default"/>
          <w:sz w:val="22"/>
          <w:szCs w:val="22"/>
          <w:rtl w:val="0"/>
        </w:rPr>
        <w:t>‘</w:t>
      </w:r>
      <w:r>
        <w:rPr>
          <w:sz w:val="22"/>
          <w:szCs w:val="22"/>
          <w:rtl w:val="0"/>
          <w:lang w:val="en-US"/>
        </w:rPr>
        <w:t>The Odrysian house saw an unspeakable feast</w:t>
      </w:r>
      <w:r>
        <w:rPr>
          <w:sz w:val="22"/>
          <w:szCs w:val="22"/>
          <w:rtl w:val="0"/>
          <w:lang w:val="en-US"/>
        </w:rPr>
        <w:t xml:space="preserve"> - </w:t>
      </w:r>
      <w:r>
        <w:rPr>
          <w:sz w:val="22"/>
          <w:szCs w:val="22"/>
          <w:rtl w:val="0"/>
          <w:lang w:val="en-US"/>
        </w:rPr>
        <w:t>that crime is monstrous, admittedly, but already taken. My bitterness must find something greater than this</w:t>
      </w:r>
      <w:r>
        <w:rPr>
          <w:rFonts w:hAnsi="Helvetica" w:hint="default"/>
          <w:sz w:val="22"/>
          <w:szCs w:val="22"/>
          <w:rtl w:val="0"/>
          <w:lang w:val="fr-FR"/>
        </w:rPr>
        <w:t xml:space="preserve">’ </w:t>
      </w:r>
      <w:r>
        <w:rPr>
          <w:sz w:val="22"/>
          <w:szCs w:val="22"/>
          <w:rtl w:val="0"/>
        </w:rPr>
        <w:t>(ll.272-275)</w:t>
      </w:r>
      <w:r>
        <w:rPr>
          <w:rFonts w:hAnsi="Helvetica" w:hint="default"/>
          <w:sz w:val="22"/>
          <w:szCs w:val="22"/>
          <w:rtl w:val="0"/>
          <w:lang w:val="en-US"/>
        </w:rPr>
        <w:t>—</w:t>
      </w:r>
      <w:r>
        <w:rPr>
          <w:sz w:val="22"/>
          <w:szCs w:val="22"/>
          <w:rtl w:val="0"/>
          <w:lang w:val="en-US"/>
        </w:rPr>
        <w:t xml:space="preserve">Atreus </w:t>
      </w:r>
      <w:r>
        <w:rPr>
          <w:i w:val="1"/>
          <w:iCs w:val="1"/>
          <w:sz w:val="22"/>
          <w:szCs w:val="22"/>
          <w:rtl w:val="0"/>
          <w:lang w:val="en-US"/>
        </w:rPr>
        <w:t>does</w:t>
      </w:r>
      <w:r>
        <w:rPr>
          <w:sz w:val="22"/>
          <w:szCs w:val="22"/>
          <w:rtl w:val="0"/>
          <w:lang w:val="en-US"/>
        </w:rPr>
        <w:t xml:space="preserve"> end up repeating the Odrysian feast, and the singularity of his revenge project instead arises from a simple arithmetical difference: </w:t>
      </w:r>
      <w:r>
        <w:rPr>
          <w:rFonts w:hAnsi="Helvetica" w:hint="default"/>
          <w:sz w:val="22"/>
          <w:szCs w:val="22"/>
          <w:rtl w:val="0"/>
          <w:lang w:val="en-US"/>
        </w:rPr>
        <w:t>‘</w:t>
      </w:r>
      <w:r>
        <w:rPr>
          <w:sz w:val="22"/>
          <w:szCs w:val="22"/>
          <w:rtl w:val="0"/>
          <w:lang w:val="en-US"/>
        </w:rPr>
        <w:t>Let the Thracian outrage be performed with larger numbers [</w:t>
      </w:r>
      <w:r>
        <w:rPr>
          <w:i w:val="1"/>
          <w:iCs w:val="1"/>
          <w:sz w:val="22"/>
          <w:szCs w:val="22"/>
          <w:rtl w:val="0"/>
          <w:lang w:val="en-US"/>
        </w:rPr>
        <w:t>maiore numero</w:t>
      </w:r>
      <w:r>
        <w:rPr>
          <w:sz w:val="22"/>
          <w:szCs w:val="22"/>
          <w:rtl w:val="0"/>
          <w:lang w:val="en-US"/>
        </w:rPr>
        <w:t>]</w:t>
      </w:r>
      <w:r>
        <w:rPr>
          <w:rFonts w:hAnsi="Helvetica" w:hint="default"/>
          <w:sz w:val="22"/>
          <w:szCs w:val="22"/>
          <w:rtl w:val="0"/>
          <w:lang w:val="en-US"/>
        </w:rPr>
        <w:t xml:space="preserve">’ </w:t>
      </w:r>
      <w:r>
        <w:rPr>
          <w:sz w:val="22"/>
          <w:szCs w:val="22"/>
          <w:rtl w:val="0"/>
          <w:lang w:val="en-US"/>
        </w:rPr>
        <w:t xml:space="preserve">(ll.56-7), snarls the Fury that instigates </w:t>
      </w:r>
      <w:r>
        <w:rPr>
          <w:i w:val="1"/>
          <w:iCs w:val="1"/>
          <w:sz w:val="22"/>
          <w:szCs w:val="22"/>
          <w:rtl w:val="0"/>
          <w:lang w:val="en-US"/>
        </w:rPr>
        <w:t>Thyestes</w:t>
      </w:r>
      <w:r>
        <w:rPr>
          <w:rFonts w:hAnsi="Helvetica" w:hint="default"/>
          <w:sz w:val="22"/>
          <w:szCs w:val="22"/>
          <w:rtl w:val="0"/>
          <w:lang w:val="en-US"/>
        </w:rPr>
        <w:t xml:space="preserve">’ </w:t>
      </w:r>
      <w:r>
        <w:rPr>
          <w:sz w:val="22"/>
          <w:szCs w:val="22"/>
          <w:rtl w:val="0"/>
          <w:lang w:val="en-US"/>
        </w:rPr>
        <w:t>narrative action.</w:t>
      </w:r>
      <w:r>
        <w:rPr>
          <w:sz w:val="22"/>
          <w:szCs w:val="22"/>
          <w:rtl w:val="0"/>
        </w:rPr>
        <w:t xml:space="preserve"> </w:t>
      </w:r>
      <w:r>
        <w:rPr>
          <w:sz w:val="22"/>
          <w:szCs w:val="22"/>
          <w:rtl w:val="0"/>
          <w:lang w:val="en-US"/>
        </w:rPr>
        <w:t>W</w:t>
      </w:r>
      <w:r>
        <w:rPr>
          <w:sz w:val="22"/>
          <w:szCs w:val="22"/>
          <w:rtl w:val="0"/>
          <w:lang w:val="en-US"/>
        </w:rPr>
        <w:t xml:space="preserve">here Procne and Philomela served up a banquet of one child, Atreus </w:t>
      </w:r>
      <w:r>
        <w:rPr>
          <w:sz w:val="22"/>
          <w:szCs w:val="22"/>
          <w:rtl w:val="0"/>
          <w:lang w:val="en-US"/>
        </w:rPr>
        <w:t>must</w:t>
      </w:r>
      <w:r>
        <w:rPr>
          <w:sz w:val="22"/>
          <w:szCs w:val="22"/>
          <w:rtl w:val="0"/>
          <w:lang w:val="en-US"/>
        </w:rPr>
        <w:t xml:space="preserve"> serve up a banquet of three</w:t>
      </w:r>
      <w:r>
        <w:rPr>
          <w:sz w:val="22"/>
          <w:szCs w:val="22"/>
          <w:rtl w:val="0"/>
          <w:lang w:val="en-US"/>
        </w:rPr>
        <w:t xml:space="preserve">. </w:t>
      </w:r>
    </w:p>
    <w:p>
      <w:pPr>
        <w:pStyle w:val="Body"/>
        <w:spacing w:line="360" w:lineRule="auto"/>
        <w:jc w:val="left"/>
        <w:rPr>
          <w:sz w:val="22"/>
          <w:szCs w:val="22"/>
        </w:rPr>
      </w:pPr>
      <w:r>
        <w:rPr>
          <w:sz w:val="22"/>
          <w:szCs w:val="22"/>
          <w:rtl w:val="0"/>
        </w:rPr>
        <w:tab/>
        <w:t xml:space="preserve">Senecan revengers typically deal in the geometrically proportionate because it offers the only possible method of ameliorating a supposedly limitless grief. In </w:t>
      </w:r>
      <w:r>
        <w:rPr>
          <w:i w:val="1"/>
          <w:iCs w:val="1"/>
          <w:sz w:val="22"/>
          <w:szCs w:val="22"/>
          <w:rtl w:val="0"/>
          <w:lang w:val="en-US"/>
        </w:rPr>
        <w:t xml:space="preserve">Thyestes </w:t>
      </w:r>
      <w:r>
        <w:rPr>
          <w:sz w:val="22"/>
          <w:szCs w:val="22"/>
          <w:rtl w:val="0"/>
          <w:lang w:val="en-US"/>
        </w:rPr>
        <w:t xml:space="preserve">and </w:t>
      </w:r>
      <w:r>
        <w:rPr>
          <w:i w:val="1"/>
          <w:iCs w:val="1"/>
          <w:sz w:val="22"/>
          <w:szCs w:val="22"/>
          <w:rtl w:val="0"/>
          <w:lang w:val="en-US"/>
        </w:rPr>
        <w:t>Medea</w:t>
      </w:r>
      <w:r>
        <w:rPr>
          <w:sz w:val="22"/>
          <w:szCs w:val="22"/>
          <w:rtl w:val="0"/>
          <w:lang w:val="en-US"/>
        </w:rPr>
        <w:t xml:space="preserve">, attaching numbers to excessive deeds creates a point of convergence in which both an exploration of the appropriate extent of vengeance and an evaluation of artistic ingenuity can occur. As Alessandro Schiesaro writes, </w:t>
      </w:r>
      <w:r>
        <w:rPr>
          <w:rFonts w:hAnsi="Helvetica" w:hint="default"/>
          <w:sz w:val="22"/>
          <w:szCs w:val="22"/>
          <w:rtl w:val="0"/>
          <w:lang w:val="en-US"/>
        </w:rPr>
        <w:t>‘</w:t>
      </w:r>
      <w:r>
        <w:rPr>
          <w:sz w:val="22"/>
          <w:szCs w:val="22"/>
          <w:rtl w:val="0"/>
          <w:lang w:val="en-US"/>
        </w:rPr>
        <w:t>since Atreus is endowed with all the characteristics of a successful creator of poetry we inevitably pay tribute to his inventiveness as we revel in the aesthetic rewards of the tragedy.</w:t>
      </w:r>
      <w:r>
        <w:rPr>
          <w:rFonts w:hAnsi="Helvetica" w:hint="default"/>
          <w:sz w:val="22"/>
          <w:szCs w:val="22"/>
          <w:rtl w:val="0"/>
          <w:lang w:val="en-US"/>
        </w:rPr>
        <w:t>’</w:t>
      </w:r>
      <w:r>
        <w:rPr>
          <w:rFonts w:ascii="Times New Roman" w:cs="Times New Roman" w:hAnsi="Times New Roman" w:eastAsia="Times New Roman"/>
          <w:sz w:val="22"/>
          <w:szCs w:val="22"/>
          <w:vertAlign w:val="superscript"/>
        </w:rPr>
        <w:footnoteReference w:id="40"/>
      </w:r>
      <w:r>
        <w:rPr>
          <w:sz w:val="22"/>
          <w:szCs w:val="22"/>
          <w:rtl w:val="0"/>
          <w:lang w:val="en-US"/>
        </w:rPr>
        <w:t xml:space="preserve"> Atreus</w:t>
      </w:r>
      <w:r>
        <w:rPr>
          <w:rFonts w:hAnsi="Helvetica" w:hint="default"/>
          <w:sz w:val="22"/>
          <w:szCs w:val="22"/>
          <w:rtl w:val="0"/>
          <w:lang w:val="en-US"/>
        </w:rPr>
        <w:t xml:space="preserve">’ </w:t>
      </w:r>
      <w:r>
        <w:rPr>
          <w:sz w:val="22"/>
          <w:szCs w:val="22"/>
          <w:rtl w:val="0"/>
          <w:lang w:val="en-US"/>
        </w:rPr>
        <w:t>immoderateness is Seneca</w:t>
      </w:r>
      <w:r>
        <w:rPr>
          <w:rFonts w:hAnsi="Helvetica" w:hint="default"/>
          <w:sz w:val="22"/>
          <w:szCs w:val="22"/>
          <w:rtl w:val="0"/>
          <w:lang w:val="en-US"/>
        </w:rPr>
        <w:t>’</w:t>
      </w:r>
      <w:r>
        <w:rPr>
          <w:sz w:val="22"/>
          <w:szCs w:val="22"/>
          <w:rtl w:val="0"/>
          <w:lang w:val="en-US"/>
        </w:rPr>
        <w:t xml:space="preserve">s also, and the excessiveness of revenge is made tantamount to the sophistication of poetry. Naturally, the body count becomes an important metric on which the successes of both can be measured. Responding directly to Seneca, </w:t>
      </w:r>
      <w:r>
        <w:rPr>
          <w:i w:val="1"/>
          <w:iCs w:val="1"/>
          <w:sz w:val="22"/>
          <w:szCs w:val="22"/>
          <w:rtl w:val="0"/>
          <w:lang w:val="en-US"/>
        </w:rPr>
        <w:t xml:space="preserve">Hoffman </w:t>
      </w:r>
      <w:r>
        <w:rPr>
          <w:sz w:val="22"/>
          <w:szCs w:val="22"/>
          <w:rtl w:val="0"/>
          <w:lang w:val="en-US"/>
        </w:rPr>
        <w:t>exploited its own audiences</w:t>
      </w:r>
      <w:r>
        <w:rPr>
          <w:rFonts w:hAnsi="Helvetica" w:hint="default"/>
          <w:sz w:val="22"/>
          <w:szCs w:val="22"/>
          <w:rtl w:val="0"/>
          <w:lang w:val="en-US"/>
        </w:rPr>
        <w:t xml:space="preserve">’ </w:t>
      </w:r>
      <w:r>
        <w:rPr>
          <w:sz w:val="22"/>
          <w:szCs w:val="22"/>
          <w:rtl w:val="0"/>
          <w:lang w:val="en-US"/>
        </w:rPr>
        <w:t>appetites for morbid abundance with candidness. At the closing moments of the first act, having successfully dispatched one victim, the play</w:t>
      </w:r>
      <w:r>
        <w:rPr>
          <w:rFonts w:hAnsi="Helvetica" w:hint="default"/>
          <w:sz w:val="22"/>
          <w:szCs w:val="22"/>
          <w:rtl w:val="0"/>
          <w:lang w:val="en-US"/>
        </w:rPr>
        <w:t>’</w:t>
      </w:r>
      <w:r>
        <w:rPr>
          <w:sz w:val="22"/>
          <w:szCs w:val="22"/>
          <w:rtl w:val="0"/>
          <w:lang w:val="en-US"/>
        </w:rPr>
        <w:t xml:space="preserve">s protagonist promises his spectators, in a piece of direct metadrama, that they will not return home disappointed: </w:t>
      </w:r>
    </w:p>
    <w:p>
      <w:pPr>
        <w:pStyle w:val="Body"/>
        <w:jc w:val="left"/>
        <w:rPr>
          <w:sz w:val="22"/>
          <w:szCs w:val="22"/>
        </w:rPr>
      </w:pPr>
    </w:p>
    <w:p>
      <w:pPr>
        <w:pStyle w:val="Body"/>
        <w:jc w:val="left"/>
        <w:rPr>
          <w:sz w:val="20"/>
          <w:szCs w:val="20"/>
        </w:rPr>
      </w:pPr>
      <w:r>
        <w:rPr>
          <w:sz w:val="22"/>
          <w:szCs w:val="22"/>
        </w:rPr>
        <w:tab/>
        <w:tab/>
        <w:tab/>
      </w:r>
      <w:r>
        <w:rPr>
          <w:sz w:val="20"/>
          <w:szCs w:val="20"/>
          <w:rtl w:val="0"/>
          <w:lang w:val="en-US"/>
        </w:rPr>
        <w:t>He was the prologue to a tragedy,</w:t>
      </w:r>
    </w:p>
    <w:p>
      <w:pPr>
        <w:pStyle w:val="Body"/>
        <w:jc w:val="left"/>
        <w:rPr>
          <w:sz w:val="20"/>
          <w:szCs w:val="20"/>
        </w:rPr>
      </w:pPr>
      <w:r>
        <w:rPr>
          <w:sz w:val="20"/>
          <w:szCs w:val="20"/>
          <w:rtl w:val="0"/>
        </w:rPr>
        <w:tab/>
        <w:tab/>
        <w:tab/>
        <w:t>That, if my destinies deny me not,</w:t>
      </w:r>
    </w:p>
    <w:p>
      <w:pPr>
        <w:pStyle w:val="Body"/>
        <w:jc w:val="left"/>
        <w:rPr>
          <w:sz w:val="20"/>
          <w:szCs w:val="20"/>
        </w:rPr>
      </w:pPr>
      <w:r>
        <w:rPr>
          <w:sz w:val="20"/>
          <w:szCs w:val="20"/>
          <w:rtl w:val="0"/>
        </w:rPr>
        <w:tab/>
        <w:tab/>
        <w:tab/>
        <w:t>Shall pass those of Thyestes, Tereus,</w:t>
      </w:r>
    </w:p>
    <w:p>
      <w:pPr>
        <w:pStyle w:val="Body"/>
        <w:jc w:val="left"/>
        <w:rPr>
          <w:sz w:val="20"/>
          <w:szCs w:val="20"/>
        </w:rPr>
      </w:pPr>
      <w:r>
        <w:rPr>
          <w:sz w:val="20"/>
          <w:szCs w:val="20"/>
          <w:rtl w:val="0"/>
        </w:rPr>
        <w:tab/>
        <w:tab/>
        <w:tab/>
        <w:t>Jocasta, or duke Jason</w:t>
      </w:r>
      <w:r>
        <w:rPr>
          <w:rFonts w:hAnsi="Helvetica" w:hint="default"/>
          <w:sz w:val="20"/>
          <w:szCs w:val="20"/>
          <w:rtl w:val="0"/>
          <w:lang w:val="en-US"/>
        </w:rPr>
        <w:t>’</w:t>
      </w:r>
      <w:r>
        <w:rPr>
          <w:sz w:val="20"/>
          <w:szCs w:val="20"/>
          <w:rtl w:val="0"/>
          <w:lang w:val="en-US"/>
        </w:rPr>
        <w:t>s jealous wife.</w:t>
      </w:r>
    </w:p>
    <w:p>
      <w:pPr>
        <w:pStyle w:val="Body"/>
        <w:jc w:val="left"/>
        <w:rPr>
          <w:sz w:val="20"/>
          <w:szCs w:val="20"/>
        </w:rPr>
      </w:pPr>
      <w:r>
        <w:rPr>
          <w:sz w:val="20"/>
          <w:szCs w:val="20"/>
          <w:rtl w:val="0"/>
        </w:rPr>
        <w:tab/>
        <w:tab/>
        <w:tab/>
        <w:t>So shut our stage up: there is one act done,</w:t>
      </w:r>
    </w:p>
    <w:p>
      <w:pPr>
        <w:pStyle w:val="Body"/>
        <w:jc w:val="left"/>
        <w:rPr>
          <w:sz w:val="20"/>
          <w:szCs w:val="20"/>
        </w:rPr>
      </w:pPr>
      <w:r>
        <w:rPr>
          <w:sz w:val="20"/>
          <w:szCs w:val="20"/>
          <w:rtl w:val="0"/>
        </w:rPr>
        <w:tab/>
        <w:tab/>
        <w:tab/>
        <w:t>Ended in Otho</w:t>
      </w:r>
      <w:r>
        <w:rPr>
          <w:rFonts w:hAnsi="Helvetica" w:hint="default"/>
          <w:sz w:val="20"/>
          <w:szCs w:val="20"/>
          <w:rtl w:val="0"/>
          <w:lang w:val="en-US"/>
        </w:rPr>
        <w:t>’</w:t>
      </w:r>
      <w:r>
        <w:rPr>
          <w:sz w:val="20"/>
          <w:szCs w:val="20"/>
          <w:rtl w:val="0"/>
          <w:lang w:val="en-US"/>
        </w:rPr>
        <w:t xml:space="preserve">s death; </w:t>
      </w:r>
      <w:r>
        <w:rPr>
          <w:rFonts w:hAnsi="Helvetica" w:hint="default"/>
          <w:sz w:val="20"/>
          <w:szCs w:val="20"/>
          <w:rtl w:val="0"/>
          <w:lang w:val="en-US"/>
        </w:rPr>
        <w:t>’</w:t>
      </w:r>
      <w:r>
        <w:rPr>
          <w:sz w:val="20"/>
          <w:szCs w:val="20"/>
          <w:rtl w:val="0"/>
          <w:lang w:val="en-US"/>
        </w:rPr>
        <w:t>twas somewhat single.</w:t>
      </w:r>
    </w:p>
    <w:p>
      <w:pPr>
        <w:pStyle w:val="Body"/>
        <w:jc w:val="left"/>
        <w:rPr>
          <w:sz w:val="20"/>
          <w:szCs w:val="20"/>
        </w:rPr>
      </w:pPr>
      <w:r>
        <w:rPr>
          <w:sz w:val="20"/>
          <w:szCs w:val="20"/>
          <w:rtl w:val="0"/>
        </w:rPr>
        <w:tab/>
        <w:tab/>
        <w:tab/>
        <w:t>I</w:t>
      </w:r>
      <w:r>
        <w:rPr>
          <w:rFonts w:hAnsi="Helvetica" w:hint="default"/>
          <w:sz w:val="20"/>
          <w:szCs w:val="20"/>
          <w:rtl w:val="0"/>
          <w:lang w:val="en-US"/>
        </w:rPr>
        <w:t>’</w:t>
      </w:r>
      <w:r>
        <w:rPr>
          <w:sz w:val="20"/>
          <w:szCs w:val="20"/>
          <w:rtl w:val="0"/>
          <w:lang w:val="en-US"/>
        </w:rPr>
        <w:t>ll fill the other fuller</w:t>
      </w:r>
      <w:r>
        <w:rPr>
          <w:rFonts w:hAnsi="Helvetica" w:hint="default"/>
          <w:sz w:val="20"/>
          <w:szCs w:val="20"/>
          <w:rtl w:val="0"/>
          <w:lang w:val="en-US"/>
        </w:rPr>
        <w:t>…</w:t>
      </w:r>
    </w:p>
    <w:p>
      <w:pPr>
        <w:pStyle w:val="Body"/>
        <w:jc w:val="left"/>
        <w:rPr>
          <w:sz w:val="22"/>
          <w:szCs w:val="22"/>
        </w:rPr>
      </w:pPr>
      <w:r>
        <w:rPr>
          <w:sz w:val="20"/>
          <w:szCs w:val="20"/>
          <w:rtl w:val="0"/>
        </w:rPr>
        <w:tab/>
        <w:tab/>
        <w:tab/>
        <w:tab/>
        <w:tab/>
        <w:tab/>
        <w:tab/>
        <w:tab/>
        <w:t>(1.3.18-24)</w:t>
      </w:r>
      <w:r>
        <w:rPr>
          <w:sz w:val="22"/>
          <w:szCs w:val="22"/>
          <w:rtl w:val="0"/>
          <w:lang w:val="en-US"/>
        </w:rPr>
        <w:t xml:space="preserve"> </w:t>
      </w:r>
    </w:p>
    <w:p>
      <w:pPr>
        <w:pStyle w:val="Body"/>
        <w:spacing w:line="360" w:lineRule="auto"/>
        <w:jc w:val="left"/>
        <w:rPr>
          <w:sz w:val="22"/>
          <w:szCs w:val="22"/>
        </w:rPr>
      </w:pPr>
    </w:p>
    <w:p>
      <w:pPr>
        <w:pStyle w:val="Body"/>
        <w:spacing w:line="360" w:lineRule="auto"/>
        <w:jc w:val="left"/>
        <w:rPr>
          <w:sz w:val="22"/>
          <w:szCs w:val="22"/>
        </w:rPr>
      </w:pPr>
      <w:r>
        <w:rPr>
          <w:sz w:val="22"/>
          <w:szCs w:val="22"/>
          <w:rtl w:val="0"/>
          <w:lang w:val="en-US"/>
        </w:rPr>
        <w:t>Hoffman</w:t>
      </w:r>
      <w:r>
        <w:rPr>
          <w:rFonts w:hAnsi="Helvetica" w:hint="default"/>
          <w:sz w:val="22"/>
          <w:szCs w:val="22"/>
          <w:rtl w:val="0"/>
          <w:lang w:val="en-US"/>
        </w:rPr>
        <w:t>’</w:t>
      </w:r>
      <w:r>
        <w:rPr>
          <w:sz w:val="22"/>
          <w:szCs w:val="22"/>
          <w:rtl w:val="0"/>
          <w:lang w:val="en-US"/>
        </w:rPr>
        <w:t>s boastful declamations channel Atreus, evoking all his associations with a distinctly poetical violence. That Hoffman</w:t>
      </w:r>
      <w:r>
        <w:rPr>
          <w:rFonts w:hAnsi="Helvetica" w:hint="default"/>
          <w:sz w:val="22"/>
          <w:szCs w:val="22"/>
          <w:rtl w:val="0"/>
          <w:lang w:val="en-US"/>
        </w:rPr>
        <w:t>’</w:t>
      </w:r>
      <w:r>
        <w:rPr>
          <w:sz w:val="22"/>
          <w:szCs w:val="22"/>
          <w:rtl w:val="0"/>
          <w:lang w:val="en-US"/>
        </w:rPr>
        <w:t>s extensive list of vengeful predecessors mentions Thyestes, Atreus</w:t>
      </w:r>
      <w:r>
        <w:rPr>
          <w:rFonts w:hAnsi="Helvetica" w:hint="default"/>
          <w:sz w:val="22"/>
          <w:szCs w:val="22"/>
          <w:rtl w:val="0"/>
          <w:lang w:val="en-US"/>
        </w:rPr>
        <w:t xml:space="preserve">’ </w:t>
      </w:r>
      <w:r>
        <w:rPr>
          <w:sz w:val="22"/>
          <w:szCs w:val="22"/>
          <w:rtl w:val="0"/>
          <w:lang w:val="en-US"/>
        </w:rPr>
        <w:t>victim, and not Atreus himself, is a particularly telling authorial oversight. Chettle</w:t>
      </w:r>
      <w:r>
        <w:rPr>
          <w:rFonts w:hAnsi="Helvetica" w:hint="default"/>
          <w:sz w:val="22"/>
          <w:szCs w:val="22"/>
          <w:rtl w:val="0"/>
          <w:lang w:val="en-US"/>
        </w:rPr>
        <w:t>’</w:t>
      </w:r>
      <w:r>
        <w:rPr>
          <w:sz w:val="22"/>
          <w:szCs w:val="22"/>
          <w:rtl w:val="0"/>
          <w:lang w:val="en-US"/>
        </w:rPr>
        <w:t>s own voice resonates through his protagonist</w:t>
      </w:r>
      <w:r>
        <w:rPr>
          <w:rFonts w:hAnsi="Helvetica" w:hint="default"/>
          <w:sz w:val="22"/>
          <w:szCs w:val="22"/>
          <w:rtl w:val="0"/>
          <w:lang w:val="en-US"/>
        </w:rPr>
        <w:t>’</w:t>
      </w:r>
      <w:r>
        <w:rPr>
          <w:sz w:val="22"/>
          <w:szCs w:val="22"/>
          <w:rtl w:val="0"/>
          <w:lang w:val="en-US"/>
        </w:rPr>
        <w:t xml:space="preserve">s here, </w:t>
      </w:r>
      <w:r>
        <w:rPr>
          <w:rFonts w:hAnsi="Helvetica" w:hint="default"/>
          <w:sz w:val="22"/>
          <w:szCs w:val="22"/>
          <w:rtl w:val="0"/>
          <w:lang w:val="en-US"/>
        </w:rPr>
        <w:t>‘</w:t>
      </w:r>
      <w:r>
        <w:rPr>
          <w:sz w:val="22"/>
          <w:szCs w:val="22"/>
          <w:rtl w:val="0"/>
          <w:lang w:val="en-US"/>
        </w:rPr>
        <w:t>Thyestes</w:t>
      </w:r>
      <w:r>
        <w:rPr>
          <w:rFonts w:hAnsi="Helvetica" w:hint="default"/>
          <w:sz w:val="22"/>
          <w:szCs w:val="22"/>
          <w:rtl w:val="0"/>
          <w:lang w:val="en-US"/>
        </w:rPr>
        <w:t xml:space="preserve">’ </w:t>
      </w:r>
      <w:r>
        <w:rPr>
          <w:sz w:val="22"/>
          <w:szCs w:val="22"/>
          <w:rtl w:val="0"/>
          <w:lang w:val="en-US"/>
        </w:rPr>
        <w:t>referring not simply to the mythological character but to the title of Seneca</w:t>
      </w:r>
      <w:r>
        <w:rPr>
          <w:rFonts w:hAnsi="Helvetica" w:hint="default"/>
          <w:sz w:val="22"/>
          <w:szCs w:val="22"/>
          <w:rtl w:val="0"/>
          <w:lang w:val="en-US"/>
        </w:rPr>
        <w:t>’</w:t>
      </w:r>
      <w:r>
        <w:rPr>
          <w:sz w:val="22"/>
          <w:szCs w:val="22"/>
          <w:rtl w:val="0"/>
          <w:lang w:val="en-US"/>
        </w:rPr>
        <w:t>s play itself: Hoffman</w:t>
      </w:r>
      <w:r>
        <w:rPr>
          <w:rFonts w:hAnsi="Helvetica" w:hint="default"/>
          <w:sz w:val="22"/>
          <w:szCs w:val="22"/>
          <w:rtl w:val="0"/>
          <w:lang w:val="en-US"/>
        </w:rPr>
        <w:t>’</w:t>
      </w:r>
      <w:r>
        <w:rPr>
          <w:sz w:val="22"/>
          <w:szCs w:val="22"/>
          <w:rtl w:val="0"/>
          <w:lang w:val="en-US"/>
        </w:rPr>
        <w:t xml:space="preserve">s competitiveness becomes, if somewhat subliminally, pointedly textualised. Kerrigan rightly finds this kind of gesturing </w:t>
      </w:r>
      <w:r>
        <w:rPr>
          <w:rFonts w:hAnsi="Helvetica" w:hint="default"/>
          <w:sz w:val="22"/>
          <w:szCs w:val="22"/>
          <w:rtl w:val="0"/>
          <w:lang w:val="en-US"/>
        </w:rPr>
        <w:t>‘</w:t>
      </w:r>
      <w:r>
        <w:rPr>
          <w:sz w:val="22"/>
          <w:szCs w:val="22"/>
          <w:rtl w:val="0"/>
          <w:lang w:val="en-US"/>
        </w:rPr>
        <w:t>obvious and unearned</w:t>
      </w:r>
      <w:r>
        <w:rPr>
          <w:rFonts w:hAnsi="Helvetica" w:hint="default"/>
          <w:sz w:val="22"/>
          <w:szCs w:val="22"/>
          <w:rtl w:val="0"/>
          <w:lang w:val="en-US"/>
        </w:rPr>
        <w:t xml:space="preserve">’ </w:t>
      </w:r>
      <w:r>
        <w:rPr>
          <w:sz w:val="22"/>
          <w:szCs w:val="22"/>
          <w:rtl w:val="0"/>
          <w:lang w:val="en-US"/>
        </w:rPr>
        <w:t xml:space="preserve">when featured </w:t>
      </w:r>
      <w:r>
        <w:rPr>
          <w:rFonts w:hAnsi="Helvetica" w:hint="default"/>
          <w:sz w:val="22"/>
          <w:szCs w:val="22"/>
          <w:rtl w:val="0"/>
        </w:rPr>
        <w:t>‘</w:t>
      </w:r>
      <w:r>
        <w:rPr>
          <w:sz w:val="22"/>
          <w:szCs w:val="22"/>
          <w:rtl w:val="0"/>
          <w:lang w:val="en-US"/>
        </w:rPr>
        <w:t>in weak Renaissance revenge plays</w:t>
      </w:r>
      <w:r>
        <w:rPr>
          <w:rFonts w:hAnsi="Helvetica" w:hint="default"/>
          <w:sz w:val="22"/>
          <w:szCs w:val="22"/>
          <w:rtl w:val="0"/>
          <w:lang w:val="fr-FR"/>
        </w:rPr>
        <w:t>’</w:t>
      </w:r>
      <w:r>
        <w:rPr>
          <w:sz w:val="22"/>
          <w:szCs w:val="22"/>
          <w:rtl w:val="0"/>
        </w:rPr>
        <w:t>,</w:t>
      </w:r>
      <w:r>
        <w:rPr>
          <w:rFonts w:ascii="Times New Roman" w:cs="Times New Roman" w:hAnsi="Times New Roman" w:eastAsia="Times New Roman"/>
          <w:sz w:val="22"/>
          <w:szCs w:val="22"/>
          <w:vertAlign w:val="superscript"/>
        </w:rPr>
        <w:footnoteReference w:id="41"/>
      </w:r>
      <w:r>
        <w:rPr>
          <w:sz w:val="22"/>
          <w:szCs w:val="22"/>
          <w:rtl w:val="0"/>
          <w:lang w:val="en-US"/>
        </w:rPr>
        <w:t xml:space="preserve"> but it has a dual purpose in </w:t>
      </w:r>
      <w:r>
        <w:rPr>
          <w:i w:val="1"/>
          <w:iCs w:val="1"/>
          <w:sz w:val="22"/>
          <w:szCs w:val="22"/>
          <w:rtl w:val="0"/>
          <w:lang w:val="en-US"/>
        </w:rPr>
        <w:t xml:space="preserve">Hoffman. </w:t>
      </w:r>
      <w:r>
        <w:rPr>
          <w:sz w:val="22"/>
          <w:szCs w:val="22"/>
          <w:rtl w:val="0"/>
          <w:lang w:val="en-US"/>
        </w:rPr>
        <w:t>First and foremost, it is a declaration of intertextual competitiveness, but it is also the overt initiation of an arithmetical bond with its spectators. Hoffman</w:t>
      </w:r>
      <w:r>
        <w:rPr>
          <w:rFonts w:hAnsi="Helvetica" w:hint="default"/>
          <w:sz w:val="22"/>
          <w:szCs w:val="22"/>
          <w:rtl w:val="0"/>
          <w:lang w:val="en-US"/>
        </w:rPr>
        <w:t>’</w:t>
      </w:r>
      <w:r>
        <w:rPr>
          <w:sz w:val="22"/>
          <w:szCs w:val="22"/>
          <w:rtl w:val="0"/>
          <w:lang w:val="en-US"/>
        </w:rPr>
        <w:t xml:space="preserve">s yielding admission of the </w:t>
      </w:r>
      <w:r>
        <w:rPr>
          <w:rFonts w:hAnsi="Helvetica" w:hint="default"/>
          <w:sz w:val="22"/>
          <w:szCs w:val="22"/>
          <w:rtl w:val="0"/>
          <w:lang w:val="en-US"/>
        </w:rPr>
        <w:t>‘</w:t>
      </w:r>
      <w:r>
        <w:rPr>
          <w:sz w:val="22"/>
          <w:szCs w:val="22"/>
          <w:rtl w:val="0"/>
          <w:lang w:val="en-US"/>
        </w:rPr>
        <w:t>somewhat single</w:t>
      </w:r>
      <w:r>
        <w:rPr>
          <w:rFonts w:hAnsi="Helvetica" w:hint="default"/>
          <w:sz w:val="22"/>
          <w:szCs w:val="22"/>
          <w:rtl w:val="0"/>
          <w:lang w:val="en-US"/>
        </w:rPr>
        <w:t xml:space="preserve">’ </w:t>
      </w:r>
      <w:r>
        <w:rPr>
          <w:sz w:val="22"/>
          <w:szCs w:val="22"/>
          <w:rtl w:val="0"/>
          <w:lang w:val="en-US"/>
        </w:rPr>
        <w:t>first act is followed by a promise to fully realise the body count his audience have paid to see</w:t>
      </w:r>
      <w:r>
        <w:rPr>
          <w:rFonts w:hAnsi="Helvetica" w:hint="default"/>
          <w:sz w:val="22"/>
          <w:szCs w:val="22"/>
          <w:rtl w:val="0"/>
          <w:lang w:val="en-US"/>
        </w:rPr>
        <w:t>—‘</w:t>
      </w:r>
      <w:r>
        <w:rPr>
          <w:sz w:val="22"/>
          <w:szCs w:val="22"/>
          <w:rtl w:val="0"/>
          <w:lang w:val="en-US"/>
        </w:rPr>
        <w:t>I</w:t>
      </w:r>
      <w:r>
        <w:rPr>
          <w:rFonts w:hAnsi="Helvetica" w:hint="default"/>
          <w:sz w:val="22"/>
          <w:szCs w:val="22"/>
          <w:rtl w:val="0"/>
          <w:lang w:val="en-US"/>
        </w:rPr>
        <w:t>’</w:t>
      </w:r>
      <w:r>
        <w:rPr>
          <w:sz w:val="22"/>
          <w:szCs w:val="22"/>
          <w:rtl w:val="0"/>
          <w:lang w:val="en-US"/>
        </w:rPr>
        <w:t>ll fill the other fuller</w:t>
      </w:r>
      <w:r>
        <w:rPr>
          <w:rFonts w:hAnsi="Helvetica" w:hint="default"/>
          <w:sz w:val="22"/>
          <w:szCs w:val="22"/>
          <w:rtl w:val="0"/>
          <w:lang w:val="en-US"/>
        </w:rPr>
        <w:t>’—</w:t>
      </w:r>
      <w:r>
        <w:rPr>
          <w:sz w:val="22"/>
          <w:szCs w:val="22"/>
          <w:rtl w:val="0"/>
          <w:lang w:val="en-US"/>
        </w:rPr>
        <w:t>and a transition from the arithmetically proportionate to the geometrically proportionate is instigated.</w:t>
      </w:r>
    </w:p>
    <w:p>
      <w:pPr>
        <w:pStyle w:val="Body"/>
        <w:spacing w:line="360" w:lineRule="auto"/>
        <w:jc w:val="left"/>
        <w:rPr>
          <w:sz w:val="22"/>
          <w:szCs w:val="22"/>
        </w:rPr>
      </w:pPr>
      <w:r>
        <w:rPr>
          <w:sz w:val="22"/>
          <w:szCs w:val="22"/>
        </w:rPr>
        <w:tab/>
      </w:r>
      <w:r>
        <w:rPr>
          <w:sz w:val="22"/>
          <w:szCs w:val="22"/>
          <w:rtl w:val="0"/>
          <w:lang w:val="en-US"/>
        </w:rPr>
        <w:t>Indeed, as Hoffman</w:t>
      </w:r>
      <w:r>
        <w:rPr>
          <w:rFonts w:hAnsi="Helvetica" w:hint="default"/>
          <w:sz w:val="22"/>
          <w:szCs w:val="22"/>
          <w:rtl w:val="0"/>
          <w:lang w:val="en-US"/>
        </w:rPr>
        <w:t>’</w:t>
      </w:r>
      <w:r>
        <w:rPr>
          <w:sz w:val="22"/>
          <w:szCs w:val="22"/>
          <w:rtl w:val="0"/>
          <w:lang w:val="en-US"/>
        </w:rPr>
        <w:t xml:space="preserve">s revenge </w:t>
      </w:r>
      <w:r>
        <w:rPr>
          <w:rFonts w:hAnsi="Helvetica" w:hint="default"/>
          <w:sz w:val="22"/>
          <w:szCs w:val="22"/>
          <w:rtl w:val="0"/>
          <w:lang w:val="en-US"/>
        </w:rPr>
        <w:t>‘</w:t>
      </w:r>
      <w:r>
        <w:rPr>
          <w:sz w:val="22"/>
          <w:szCs w:val="22"/>
          <w:rtl w:val="0"/>
          <w:lang w:val="en-US"/>
        </w:rPr>
        <w:t>project</w:t>
      </w:r>
      <w:r>
        <w:rPr>
          <w:rFonts w:hAnsi="Helvetica" w:hint="default"/>
          <w:sz w:val="22"/>
          <w:szCs w:val="22"/>
          <w:rtl w:val="0"/>
          <w:lang w:val="en-US"/>
        </w:rPr>
        <w:t xml:space="preserve">’ </w:t>
      </w:r>
      <w:r>
        <w:rPr>
          <w:sz w:val="22"/>
          <w:szCs w:val="22"/>
          <w:rtl w:val="0"/>
          <w:lang w:val="en-US"/>
        </w:rPr>
        <w:t xml:space="preserve">progresses, </w:t>
      </w:r>
      <w:r>
        <w:rPr>
          <w:sz w:val="22"/>
          <w:szCs w:val="22"/>
          <w:rtl w:val="0"/>
          <w:lang w:val="en-US"/>
        </w:rPr>
        <w:t xml:space="preserve">his commitment to an accumulating body count becomes entangled with both a desire for financial gain and the language of accountancy: </w:t>
      </w:r>
    </w:p>
    <w:p>
      <w:pPr>
        <w:pStyle w:val="Body"/>
        <w:jc w:val="left"/>
        <w:rPr>
          <w:sz w:val="22"/>
          <w:szCs w:val="22"/>
        </w:rPr>
      </w:pPr>
    </w:p>
    <w:p>
      <w:pPr>
        <w:pStyle w:val="Body"/>
        <w:jc w:val="left"/>
        <w:rPr>
          <w:sz w:val="20"/>
          <w:szCs w:val="20"/>
        </w:rPr>
      </w:pPr>
      <w:r>
        <w:rPr>
          <w:sz w:val="22"/>
          <w:szCs w:val="22"/>
        </w:rPr>
        <w:tab/>
        <w:tab/>
        <w:tab/>
      </w:r>
      <w:r>
        <w:rPr>
          <w:sz w:val="20"/>
          <w:szCs w:val="20"/>
          <w:rtl w:val="0"/>
          <w:lang w:val="en-US"/>
        </w:rPr>
        <w:t>When I have summed up my account of death,</w:t>
      </w:r>
    </w:p>
    <w:p>
      <w:pPr>
        <w:pStyle w:val="Body"/>
        <w:jc w:val="left"/>
        <w:rPr>
          <w:sz w:val="20"/>
          <w:szCs w:val="20"/>
        </w:rPr>
      </w:pPr>
      <w:r>
        <w:rPr>
          <w:sz w:val="20"/>
          <w:szCs w:val="20"/>
          <w:rtl w:val="0"/>
        </w:rPr>
        <w:tab/>
        <w:tab/>
        <w:tab/>
        <w:t>And robbed those fathers of their lives and joy</w:t>
      </w:r>
    </w:p>
    <w:p>
      <w:pPr>
        <w:pStyle w:val="Body"/>
        <w:jc w:val="left"/>
        <w:rPr>
          <w:sz w:val="20"/>
          <w:szCs w:val="20"/>
        </w:rPr>
      </w:pPr>
      <w:r>
        <w:rPr>
          <w:sz w:val="20"/>
          <w:szCs w:val="20"/>
          <w:rtl w:val="0"/>
        </w:rPr>
        <w:tab/>
        <w:tab/>
        <w:tab/>
        <w:t>That robbed me of my joy, my father</w:t>
      </w:r>
      <w:r>
        <w:rPr>
          <w:rFonts w:hAnsi="Helvetica" w:hint="default"/>
          <w:sz w:val="20"/>
          <w:szCs w:val="20"/>
          <w:rtl w:val="0"/>
          <w:lang w:val="en-US"/>
        </w:rPr>
        <w:t>’</w:t>
      </w:r>
      <w:r>
        <w:rPr>
          <w:sz w:val="20"/>
          <w:szCs w:val="20"/>
          <w:rtl w:val="0"/>
          <w:lang w:val="en-US"/>
        </w:rPr>
        <w:t>s life,</w:t>
      </w:r>
    </w:p>
    <w:p>
      <w:pPr>
        <w:pStyle w:val="Body"/>
        <w:jc w:val="left"/>
        <w:rPr>
          <w:sz w:val="20"/>
          <w:szCs w:val="20"/>
        </w:rPr>
      </w:pPr>
      <w:r>
        <w:rPr>
          <w:sz w:val="20"/>
          <w:szCs w:val="20"/>
          <w:rtl w:val="0"/>
        </w:rPr>
        <w:tab/>
        <w:tab/>
        <w:tab/>
        <w:t>Thus thy hand clasped in mine, we</w:t>
      </w:r>
      <w:r>
        <w:rPr>
          <w:rFonts w:hAnsi="Helvetica" w:hint="default"/>
          <w:sz w:val="20"/>
          <w:szCs w:val="20"/>
          <w:rtl w:val="0"/>
          <w:lang w:val="en-US"/>
        </w:rPr>
        <w:t>’</w:t>
      </w:r>
      <w:r>
        <w:rPr>
          <w:sz w:val="20"/>
          <w:szCs w:val="20"/>
          <w:rtl w:val="0"/>
          <w:lang w:val="en-US"/>
        </w:rPr>
        <w:t>ll walk and meditate,</w:t>
        <w:tab/>
        <w:tab/>
        <w:tab/>
        <w:tab/>
        <w:tab/>
        <w:tab/>
        <w:tab/>
        <w:t>And boast in the revenges I have wrought.</w:t>
      </w:r>
    </w:p>
    <w:p>
      <w:pPr>
        <w:pStyle w:val="Body"/>
        <w:jc w:val="left"/>
        <w:rPr>
          <w:sz w:val="20"/>
          <w:szCs w:val="20"/>
        </w:rPr>
      </w:pPr>
      <w:r>
        <w:rPr>
          <w:sz w:val="20"/>
          <w:szCs w:val="20"/>
          <w:rtl w:val="0"/>
        </w:rPr>
        <w:tab/>
        <w:tab/>
        <w:tab/>
        <w:t>That done, I</w:t>
      </w:r>
      <w:r>
        <w:rPr>
          <w:rFonts w:hAnsi="Helvetica" w:hint="default"/>
          <w:sz w:val="20"/>
          <w:szCs w:val="20"/>
          <w:rtl w:val="0"/>
          <w:lang w:val="en-US"/>
        </w:rPr>
        <w:t>’</w:t>
      </w:r>
      <w:r>
        <w:rPr>
          <w:sz w:val="20"/>
          <w:szCs w:val="20"/>
          <w:rtl w:val="0"/>
          <w:lang w:val="en-US"/>
        </w:rPr>
        <w:t>ll seat thee by my throne of state,</w:t>
      </w:r>
    </w:p>
    <w:p>
      <w:pPr>
        <w:pStyle w:val="Body"/>
        <w:jc w:val="left"/>
        <w:rPr>
          <w:sz w:val="20"/>
          <w:szCs w:val="20"/>
        </w:rPr>
      </w:pPr>
      <w:r>
        <w:rPr>
          <w:sz w:val="20"/>
          <w:szCs w:val="20"/>
          <w:rtl w:val="0"/>
        </w:rPr>
        <w:tab/>
        <w:tab/>
        <w:tab/>
        <w:t>And make thee rival in those governments,</w:t>
      </w:r>
    </w:p>
    <w:p>
      <w:pPr>
        <w:pStyle w:val="Body"/>
        <w:jc w:val="left"/>
        <w:rPr>
          <w:sz w:val="20"/>
          <w:szCs w:val="20"/>
        </w:rPr>
      </w:pPr>
      <w:r>
        <w:rPr>
          <w:sz w:val="20"/>
          <w:szCs w:val="20"/>
          <w:rtl w:val="0"/>
        </w:rPr>
        <w:tab/>
        <w:tab/>
        <w:tab/>
        <w:t>That by secrecy thou lift</w:t>
      </w:r>
      <w:r>
        <w:rPr>
          <w:rFonts w:hAnsi="Helvetica" w:hint="default"/>
          <w:sz w:val="20"/>
          <w:szCs w:val="20"/>
          <w:rtl w:val="0"/>
          <w:lang w:val="en-US"/>
        </w:rPr>
        <w:t>’</w:t>
      </w:r>
      <w:r>
        <w:rPr>
          <w:sz w:val="20"/>
          <w:szCs w:val="20"/>
          <w:rtl w:val="0"/>
          <w:lang w:val="en-US"/>
        </w:rPr>
        <w:t>st me to.</w:t>
      </w:r>
    </w:p>
    <w:p>
      <w:pPr>
        <w:pStyle w:val="Body"/>
        <w:jc w:val="left"/>
        <w:rPr>
          <w:sz w:val="20"/>
          <w:szCs w:val="20"/>
        </w:rPr>
      </w:pPr>
      <w:r>
        <w:rPr>
          <w:sz w:val="20"/>
          <w:szCs w:val="20"/>
          <w:rtl w:val="0"/>
        </w:rPr>
        <w:tab/>
        <w:tab/>
        <w:tab/>
        <w:t>Shalt be a duke at least.</w:t>
      </w:r>
    </w:p>
    <w:p>
      <w:pPr>
        <w:pStyle w:val="Body"/>
        <w:jc w:val="left"/>
        <w:rPr>
          <w:sz w:val="20"/>
          <w:szCs w:val="20"/>
        </w:rPr>
      </w:pPr>
      <w:r>
        <w:rPr>
          <w:sz w:val="20"/>
          <w:szCs w:val="20"/>
          <w:rtl w:val="0"/>
        </w:rPr>
        <w:tab/>
        <w:tab/>
        <w:tab/>
        <w:tab/>
        <w:tab/>
        <w:tab/>
        <w:tab/>
        <w:tab/>
        <w:t>(2.3.82-90)</w:t>
      </w:r>
    </w:p>
    <w:p>
      <w:pPr>
        <w:pStyle w:val="Body"/>
        <w:spacing w:line="360" w:lineRule="auto"/>
        <w:jc w:val="left"/>
      </w:pPr>
    </w:p>
    <w:p>
      <w:pPr>
        <w:pStyle w:val="Body"/>
        <w:spacing w:line="360" w:lineRule="auto"/>
        <w:jc w:val="left"/>
      </w:pPr>
      <w:r>
        <w:rPr>
          <w:rtl w:val="0"/>
          <w:lang w:val="en-US"/>
        </w:rPr>
        <w:t xml:space="preserve">The syntactical symmetry of </w:t>
      </w:r>
      <w:r>
        <w:rPr>
          <w:rFonts w:hAnsi="Helvetica" w:hint="default"/>
          <w:rtl w:val="0"/>
        </w:rPr>
        <w:t>‘</w:t>
      </w:r>
      <w:r>
        <w:rPr>
          <w:rtl w:val="0"/>
        </w:rPr>
        <w:t>robbed</w:t>
      </w:r>
      <w:r>
        <w:rPr>
          <w:rFonts w:hAnsi="Helvetica" w:hint="default"/>
          <w:rtl w:val="0"/>
          <w:lang w:val="fr-FR"/>
        </w:rPr>
        <w:t>’</w:t>
      </w:r>
      <w:r>
        <w:rPr>
          <w:rtl w:val="0"/>
        </w:rPr>
        <w:t>/</w:t>
      </w:r>
      <w:r>
        <w:rPr>
          <w:rFonts w:hAnsi="Helvetica" w:hint="default"/>
          <w:rtl w:val="0"/>
        </w:rPr>
        <w:t>‘</w:t>
      </w:r>
      <w:r>
        <w:rPr>
          <w:rtl w:val="0"/>
        </w:rPr>
        <w:t>robbed</w:t>
      </w:r>
      <w:r>
        <w:rPr>
          <w:rFonts w:hAnsi="Helvetica" w:hint="default"/>
          <w:rtl w:val="0"/>
          <w:lang w:val="fr-FR"/>
        </w:rPr>
        <w:t>’</w:t>
      </w:r>
      <w:r>
        <w:rPr>
          <w:rtl w:val="0"/>
        </w:rPr>
        <w:t xml:space="preserve">, </w:t>
      </w:r>
      <w:r>
        <w:rPr>
          <w:rtl w:val="0"/>
          <w:lang w:val="en-US"/>
        </w:rPr>
        <w:t xml:space="preserve">coupled with the chiastic repetition of </w:t>
      </w:r>
      <w:r>
        <w:rPr>
          <w:rFonts w:hAnsi="Helvetica" w:hint="default"/>
          <w:rtl w:val="0"/>
        </w:rPr>
        <w:t>‘</w:t>
      </w:r>
      <w:r>
        <w:rPr>
          <w:rtl w:val="0"/>
          <w:lang w:val="da-DK"/>
        </w:rPr>
        <w:t>lives</w:t>
      </w:r>
      <w:r>
        <w:rPr>
          <w:rFonts w:hAnsi="Helvetica" w:hint="default"/>
          <w:rtl w:val="0"/>
          <w:lang w:val="en-US"/>
        </w:rPr>
        <w:t>…</w:t>
      </w:r>
      <w:r>
        <w:rPr>
          <w:rtl w:val="0"/>
          <w:lang w:val="en-US"/>
        </w:rPr>
        <w:t>joy</w:t>
      </w:r>
      <w:r>
        <w:rPr>
          <w:rFonts w:hAnsi="Helvetica" w:hint="default"/>
          <w:rtl w:val="0"/>
          <w:lang w:val="en-US"/>
        </w:rPr>
        <w:t>’</w:t>
      </w:r>
      <w:r>
        <w:rPr>
          <w:rtl w:val="0"/>
          <w:lang w:val="en-US"/>
        </w:rPr>
        <w:t>/</w:t>
      </w:r>
      <w:r>
        <w:rPr>
          <w:rFonts w:hAnsi="Helvetica" w:hint="default"/>
          <w:rtl w:val="0"/>
        </w:rPr>
        <w:t>‘</w:t>
      </w:r>
      <w:r>
        <w:rPr>
          <w:rtl w:val="0"/>
        </w:rPr>
        <w:t>joy</w:t>
      </w:r>
      <w:r>
        <w:rPr>
          <w:rFonts w:hAnsi="Helvetica" w:hint="default"/>
          <w:rtl w:val="0"/>
          <w:lang w:val="en-US"/>
        </w:rPr>
        <w:t>…</w:t>
      </w:r>
      <w:r>
        <w:rPr>
          <w:rtl w:val="0"/>
          <w:lang w:val="en-US"/>
        </w:rPr>
        <w:t>life</w:t>
      </w:r>
      <w:r>
        <w:rPr>
          <w:rFonts w:hAnsi="Helvetica" w:hint="default"/>
          <w:rtl w:val="0"/>
          <w:lang w:val="fr-FR"/>
        </w:rPr>
        <w:t xml:space="preserve">’ </w:t>
      </w:r>
      <w:r>
        <w:rPr>
          <w:rtl w:val="0"/>
          <w:lang w:val="en-US"/>
        </w:rPr>
        <w:t xml:space="preserve">is </w:t>
      </w:r>
      <w:r>
        <w:rPr>
          <w:rtl w:val="0"/>
          <w:lang w:val="nl-NL"/>
        </w:rPr>
        <w:t>perhaps suggest</w:t>
      </w:r>
      <w:r>
        <w:rPr>
          <w:rtl w:val="0"/>
          <w:lang w:val="en-US"/>
        </w:rPr>
        <w:t>ive of the idea</w:t>
      </w:r>
      <w:r>
        <w:rPr>
          <w:rtl w:val="0"/>
          <w:lang w:val="en-US"/>
        </w:rPr>
        <w:t xml:space="preserve"> that the kind of </w:t>
      </w:r>
      <w:r>
        <w:rPr>
          <w:rFonts w:hAnsi="Helvetica" w:hint="default"/>
          <w:rtl w:val="0"/>
          <w:lang w:val="en-US"/>
        </w:rPr>
        <w:t>‘</w:t>
      </w:r>
      <w:r>
        <w:rPr>
          <w:rtl w:val="0"/>
          <w:lang w:val="en-US"/>
        </w:rPr>
        <w:t>account</w:t>
      </w:r>
      <w:r>
        <w:rPr>
          <w:rFonts w:hAnsi="Helvetica" w:hint="default"/>
          <w:rtl w:val="0"/>
          <w:lang w:val="en-US"/>
        </w:rPr>
        <w:t xml:space="preserve">’ </w:t>
      </w:r>
      <w:r>
        <w:rPr>
          <w:rtl w:val="0"/>
          <w:lang w:val="en-US"/>
        </w:rPr>
        <w:t xml:space="preserve">Hoffman </w:t>
      </w:r>
      <w:r>
        <w:rPr>
          <w:rtl w:val="0"/>
          <w:lang w:val="en-US"/>
        </w:rPr>
        <w:t xml:space="preserve">will </w:t>
      </w:r>
      <w:r>
        <w:rPr>
          <w:rFonts w:hAnsi="Helvetica" w:hint="default"/>
          <w:rtl w:val="0"/>
          <w:lang w:val="en-US"/>
        </w:rPr>
        <w:t>‘</w:t>
      </w:r>
      <w:r>
        <w:rPr>
          <w:rtl w:val="0"/>
          <w:lang w:val="en-US"/>
        </w:rPr>
        <w:t>have summed up</w:t>
      </w:r>
      <w:r>
        <w:rPr>
          <w:rFonts w:hAnsi="Helvetica" w:hint="default"/>
          <w:rtl w:val="0"/>
          <w:lang w:val="en-US"/>
        </w:rPr>
        <w:t xml:space="preserve">’ </w:t>
      </w:r>
      <w:r>
        <w:rPr>
          <w:rtl w:val="0"/>
          <w:lang w:val="en-US"/>
        </w:rPr>
        <w:t>will take the parallel form</w:t>
      </w:r>
      <w:r>
        <w:rPr>
          <w:rtl w:val="0"/>
        </w:rPr>
        <w:t xml:space="preserve"> </w:t>
      </w:r>
      <w:r>
        <w:rPr>
          <w:rtl w:val="0"/>
          <w:lang w:val="en-US"/>
        </w:rPr>
        <w:t xml:space="preserve">of the double-entry, or </w:t>
      </w:r>
      <w:r>
        <w:rPr>
          <w:rFonts w:hAnsi="Helvetica" w:hint="default"/>
          <w:rtl w:val="0"/>
          <w:lang w:val="en-US"/>
        </w:rPr>
        <w:t>‘</w:t>
      </w:r>
      <w:r>
        <w:rPr>
          <w:rtl w:val="0"/>
          <w:lang w:val="en-US"/>
        </w:rPr>
        <w:t>debitor and creditor</w:t>
      </w:r>
      <w:r>
        <w:rPr>
          <w:rFonts w:hAnsi="Helvetica" w:hint="default"/>
          <w:rtl w:val="0"/>
          <w:lang w:val="en-US"/>
        </w:rPr>
        <w:t>’</w:t>
      </w:r>
      <w:r>
        <w:rPr>
          <w:rtl w:val="0"/>
          <w:lang w:val="en-US"/>
        </w:rPr>
        <w:t>, type. As Woodbridge and Patricia Parker have made clear, the bookkeeping</w:t>
      </w:r>
      <w:r>
        <w:rPr>
          <w:rtl w:val="0"/>
        </w:rPr>
        <w:t xml:space="preserve"> </w:t>
      </w:r>
      <w:r>
        <w:rPr>
          <w:rtl w:val="0"/>
          <w:lang w:val="en-US"/>
        </w:rPr>
        <w:t xml:space="preserve">mentality </w:t>
      </w:r>
      <w:r>
        <w:rPr>
          <w:rtl w:val="0"/>
          <w:lang w:val="en-US"/>
        </w:rPr>
        <w:t xml:space="preserve">was </w:t>
      </w:r>
      <w:r>
        <w:rPr>
          <w:rtl w:val="0"/>
          <w:lang w:val="en-US"/>
        </w:rPr>
        <w:t xml:space="preserve">rapidly </w:t>
      </w:r>
      <w:r>
        <w:rPr>
          <w:rtl w:val="0"/>
          <w:lang w:val="en-US"/>
        </w:rPr>
        <w:t>taking hold in</w:t>
      </w:r>
      <w:r>
        <w:rPr>
          <w:rtl w:val="0"/>
          <w:lang w:val="en-US"/>
        </w:rPr>
        <w:t xml:space="preserve"> England</w:t>
      </w:r>
      <w:r>
        <w:rPr>
          <w:rtl w:val="0"/>
          <w:lang w:val="en-US"/>
        </w:rPr>
        <w:t xml:space="preserve"> towards the end of the sixteenth century</w:t>
      </w:r>
      <w:r>
        <w:rPr>
          <w:rtl w:val="0"/>
          <w:lang w:val="en-US"/>
        </w:rPr>
        <w:t>,</w:t>
      </w:r>
      <w:r>
        <w:rPr>
          <w:rFonts w:ascii="Times New Roman" w:cs="Times New Roman" w:hAnsi="Times New Roman" w:eastAsia="Times New Roman"/>
          <w:vertAlign w:val="superscript"/>
        </w:rPr>
        <w:footnoteReference w:id="42"/>
      </w:r>
      <w:r>
        <w:rPr>
          <w:rtl w:val="0"/>
          <w:lang w:val="en-US"/>
        </w:rPr>
        <w:t xml:space="preserve"> and the principles of double-entry were made readily available on the London book market after the 1588 publication of Hugh Oldcastle and John Mellis</w:t>
      </w:r>
      <w:r>
        <w:rPr>
          <w:rFonts w:hAnsi="Helvetica" w:hint="default"/>
          <w:rtl w:val="0"/>
          <w:lang w:val="en-US"/>
        </w:rPr>
        <w:t xml:space="preserve">’ </w:t>
      </w:r>
      <w:r>
        <w:rPr>
          <w:i w:val="1"/>
          <w:iCs w:val="1"/>
          <w:rtl w:val="0"/>
          <w:lang w:val="en-US"/>
        </w:rPr>
        <w:t>A Briefe Instruction and maner how to keepe bookes of Accompts after the order of Debitor and Creditor</w:t>
      </w:r>
      <w:r>
        <w:rPr>
          <w:rtl w:val="0"/>
          <w:lang w:val="en-US"/>
        </w:rPr>
        <w:t xml:space="preserve">. </w:t>
      </w:r>
      <w:r>
        <w:rPr>
          <w:rtl w:val="0"/>
          <w:lang w:val="en-US"/>
        </w:rPr>
        <w:t>Instructional examples for the ordering of</w:t>
      </w:r>
      <w:r>
        <w:rPr>
          <w:rtl w:val="0"/>
          <w:lang w:val="en-US"/>
        </w:rPr>
        <w:t xml:space="preserve"> this method of accountancy, such as Mellis</w:t>
      </w:r>
      <w:r>
        <w:rPr>
          <w:rFonts w:hAnsi="Helvetica" w:hint="default"/>
          <w:rtl w:val="0"/>
          <w:lang w:val="en-US"/>
        </w:rPr>
        <w:t xml:space="preserve">’ </w:t>
      </w:r>
      <w:r>
        <w:rPr>
          <w:rtl w:val="0"/>
          <w:lang w:val="en-US"/>
        </w:rPr>
        <w:t>or those adjoined to the back of John Tapp</w:t>
      </w:r>
      <w:r>
        <w:rPr>
          <w:rFonts w:hAnsi="Helvetica" w:hint="default"/>
          <w:rtl w:val="0"/>
          <w:lang w:val="en-US"/>
        </w:rPr>
        <w:t>’</w:t>
      </w:r>
      <w:r>
        <w:rPr>
          <w:rtl w:val="0"/>
          <w:lang w:val="en-US"/>
        </w:rPr>
        <w:t xml:space="preserve">s arithmetical textbook </w:t>
      </w:r>
      <w:r>
        <w:rPr>
          <w:i w:val="1"/>
          <w:iCs w:val="1"/>
          <w:rtl w:val="0"/>
          <w:lang w:val="en-US"/>
        </w:rPr>
        <w:t>The Path-Way to Knowledge</w:t>
      </w:r>
      <w:r>
        <w:rPr>
          <w:i w:val="1"/>
          <w:iCs w:val="1"/>
          <w:rtl w:val="0"/>
        </w:rPr>
        <w:t xml:space="preserve"> </w:t>
      </w:r>
      <w:r>
        <w:rPr>
          <w:rtl w:val="0"/>
          <w:lang w:val="en-US"/>
        </w:rPr>
        <w:t xml:space="preserve">(1615), normally utilised </w:t>
      </w:r>
      <w:r>
        <w:rPr>
          <w:rtl w:val="0"/>
          <w:lang w:val="en-US"/>
        </w:rPr>
        <w:t>two vertical columns</w:t>
      </w:r>
      <w:r>
        <w:rPr>
          <w:rtl w:val="0"/>
          <w:lang w:val="en-US"/>
        </w:rPr>
        <w:t>,</w:t>
      </w:r>
      <w:r>
        <w:rPr>
          <w:rtl w:val="0"/>
        </w:rPr>
        <w:t xml:space="preserve"> </w:t>
      </w:r>
      <w:r>
        <w:rPr>
          <w:rtl w:val="0"/>
          <w:lang w:val="en-US"/>
        </w:rPr>
        <w:t>often</w:t>
      </w:r>
      <w:r>
        <w:rPr>
          <w:rtl w:val="0"/>
          <w:lang w:val="en-US"/>
        </w:rPr>
        <w:t xml:space="preserve"> on facing pages</w:t>
      </w:r>
      <w:r>
        <w:rPr>
          <w:rtl w:val="0"/>
          <w:lang w:val="en-US"/>
        </w:rPr>
        <w:t>,</w:t>
      </w:r>
      <w:r>
        <w:rPr>
          <w:rtl w:val="0"/>
        </w:rPr>
        <w:t xml:space="preserve"> separat</w:t>
      </w:r>
      <w:r>
        <w:rPr>
          <w:rtl w:val="0"/>
          <w:lang w:val="en-US"/>
        </w:rPr>
        <w:t>ing</w:t>
      </w:r>
      <w:r>
        <w:rPr>
          <w:rtl w:val="0"/>
          <w:lang w:val="en-US"/>
        </w:rPr>
        <w:t xml:space="preserve"> creditor from debtor figures</w:t>
      </w:r>
      <w:r>
        <w:rPr>
          <w:rtl w:val="0"/>
          <w:lang w:val="en-US"/>
        </w:rPr>
        <w:t xml:space="preserve">, and invariably provided a total at the bottom of each page, so that the numerical equality of debtor and creditor columns could be verified. </w:t>
      </w:r>
    </w:p>
    <w:p>
      <w:pPr>
        <w:pStyle w:val="Body"/>
        <w:spacing w:line="360" w:lineRule="auto"/>
        <w:jc w:val="left"/>
      </w:pPr>
      <w:r>
        <w:rPr>
          <w:rtl w:val="0"/>
        </w:rPr>
        <w:tab/>
        <w:t xml:space="preserve">The aesthetics of the account book, then, inhered a kind of formal bilateral symmetry which Woodbridge argues made it appropriate linguistic currency for the revenger: </w:t>
      </w:r>
      <w:r>
        <w:rPr>
          <w:rFonts w:hAnsi="Helvetica" w:hint="default"/>
          <w:rtl w:val="0"/>
          <w:lang w:val="en-US"/>
        </w:rPr>
        <w:t>‘</w:t>
      </w:r>
      <w:r>
        <w:rPr>
          <w:rtl w:val="0"/>
          <w:lang w:val="en-US"/>
        </w:rPr>
        <w:t>revenge tallies resemble a ledger</w:t>
      </w:r>
      <w:r>
        <w:rPr>
          <w:rFonts w:hAnsi="Helvetica" w:hint="default"/>
          <w:rtl w:val="0"/>
          <w:lang w:val="en-US"/>
        </w:rPr>
        <w:t>’</w:t>
      </w:r>
      <w:r>
        <w:rPr>
          <w:rtl w:val="0"/>
          <w:lang w:val="en-US"/>
        </w:rPr>
        <w:t>s running balance</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43"/>
      </w:r>
      <w:r>
        <w:rPr>
          <w:rtl w:val="0"/>
          <w:lang w:val="en-US"/>
        </w:rPr>
        <w:t xml:space="preserve"> Double-entry certainly provided an appropriate technology for Hoffman to make a record of the aims and progress of his revenge project, especially given his perception of that project</w:t>
      </w:r>
      <w:r>
        <w:rPr>
          <w:rFonts w:hAnsi="Helvetica" w:hint="default"/>
          <w:rtl w:val="0"/>
          <w:lang w:val="en-US"/>
        </w:rPr>
        <w:t>’</w:t>
      </w:r>
      <w:r>
        <w:rPr>
          <w:rtl w:val="0"/>
          <w:lang w:val="en-US"/>
        </w:rPr>
        <w:t>s necessity as emanating from a death sentence that unjustly interpreted his father</w:t>
      </w:r>
      <w:r>
        <w:rPr>
          <w:rFonts w:hAnsi="Helvetica" w:hint="default"/>
          <w:rtl w:val="0"/>
          <w:lang w:val="en-US"/>
        </w:rPr>
        <w:t>’</w:t>
      </w:r>
      <w:r>
        <w:rPr>
          <w:rtl w:val="0"/>
          <w:lang w:val="en-US"/>
        </w:rPr>
        <w:t xml:space="preserve">s financial situation. </w:t>
      </w:r>
      <w:r>
        <w:rPr>
          <w:rFonts w:hAnsi="Helvetica" w:hint="default"/>
          <w:rtl w:val="0"/>
          <w:lang w:val="en-US"/>
        </w:rPr>
        <w:t>‘</w:t>
      </w:r>
      <w:r>
        <w:rPr>
          <w:rtl w:val="0"/>
          <w:lang w:val="en-US"/>
        </w:rPr>
        <w:t>My father had in thirty fights</w:t>
      </w:r>
      <w:r>
        <w:rPr>
          <w:rFonts w:hAnsi="Helvetica" w:hint="default"/>
          <w:rtl w:val="0"/>
          <w:lang w:val="en-US"/>
        </w:rPr>
        <w:t>’</w:t>
      </w:r>
      <w:r>
        <w:rPr>
          <w:rtl w:val="0"/>
          <w:lang w:val="en-US"/>
        </w:rPr>
        <w:t xml:space="preserve">, Hoffman declares, </w:t>
      </w:r>
      <w:r>
        <w:rPr>
          <w:rFonts w:hAnsi="Helvetica" w:hint="default"/>
          <w:rtl w:val="0"/>
          <w:lang w:val="en-US"/>
        </w:rPr>
        <w:t>‘</w:t>
      </w:r>
      <w:r>
        <w:rPr>
          <w:rtl w:val="0"/>
          <w:lang w:val="en-US"/>
        </w:rPr>
        <w:t>Filled all [the state</w:t>
      </w:r>
      <w:r>
        <w:rPr>
          <w:rFonts w:hAnsi="Helvetica" w:hint="default"/>
          <w:rtl w:val="0"/>
          <w:lang w:val="en-US"/>
        </w:rPr>
        <w:t>’</w:t>
      </w:r>
      <w:r>
        <w:rPr>
          <w:rtl w:val="0"/>
          <w:lang w:val="en-US"/>
        </w:rPr>
        <w:t>s] treasures with foeman</w:t>
      </w:r>
      <w:r>
        <w:rPr>
          <w:rFonts w:hAnsi="Helvetica" w:hint="default"/>
          <w:rtl w:val="0"/>
          <w:lang w:val="en-US"/>
        </w:rPr>
        <w:t>’</w:t>
      </w:r>
      <w:r>
        <w:rPr>
          <w:rtl w:val="0"/>
          <w:lang w:val="en-US"/>
        </w:rPr>
        <w:t>s spoils, / And paid poor soldiers from his treasuries</w:t>
      </w:r>
      <w:r>
        <w:rPr>
          <w:rFonts w:hAnsi="Helvetica" w:hint="default"/>
          <w:rtl w:val="0"/>
          <w:lang w:val="en-US"/>
        </w:rPr>
        <w:t xml:space="preserve">’ </w:t>
      </w:r>
      <w:r>
        <w:rPr>
          <w:rtl w:val="0"/>
          <w:lang w:val="en-US"/>
        </w:rPr>
        <w:t xml:space="preserve">(1.1.52-3). And yet, </w:t>
      </w:r>
      <w:r>
        <w:rPr>
          <w:rFonts w:hAnsi="Helvetica" w:hint="default"/>
          <w:rtl w:val="0"/>
          <w:lang w:val="en-US"/>
        </w:rPr>
        <w:t>‘</w:t>
      </w:r>
      <w:r>
        <w:rPr>
          <w:rtl w:val="0"/>
          <w:lang w:val="en-US"/>
        </w:rPr>
        <w:t>he was named / A proscript outlaw for a little debt</w:t>
      </w:r>
      <w:r>
        <w:rPr>
          <w:rFonts w:hAnsi="Helvetica" w:hint="default"/>
          <w:rtl w:val="0"/>
          <w:lang w:val="en-US"/>
        </w:rPr>
        <w:t xml:space="preserve">’ </w:t>
      </w:r>
      <w:r>
        <w:rPr>
          <w:rtl w:val="0"/>
          <w:lang w:val="en-US"/>
        </w:rPr>
        <w:t xml:space="preserve">(1.1.54-5), executed in a </w:t>
      </w:r>
      <w:r>
        <w:rPr>
          <w:rFonts w:hAnsi="Helvetica" w:hint="default"/>
          <w:rtl w:val="0"/>
          <w:lang w:val="en-US"/>
        </w:rPr>
        <w:t>‘</w:t>
      </w:r>
      <w:r>
        <w:rPr>
          <w:rtl w:val="0"/>
          <w:lang w:val="en-US"/>
        </w:rPr>
        <w:t>chair of state</w:t>
      </w:r>
      <w:r>
        <w:rPr>
          <w:rFonts w:hAnsi="Helvetica" w:hint="default"/>
          <w:rtl w:val="0"/>
          <w:lang w:val="en-US"/>
        </w:rPr>
        <w:t xml:space="preserve">’ </w:t>
      </w:r>
      <w:r>
        <w:rPr>
          <w:rtl w:val="0"/>
          <w:lang w:val="en-US"/>
        </w:rPr>
        <w:t xml:space="preserve">(1.1.197). Partaking in what Amanda Bailey has called the </w:t>
      </w:r>
      <w:r>
        <w:rPr>
          <w:rFonts w:hAnsi="Helvetica" w:hint="default"/>
          <w:rtl w:val="0"/>
          <w:lang w:val="en-US"/>
        </w:rPr>
        <w:t>‘</w:t>
      </w:r>
      <w:r>
        <w:rPr>
          <w:rtl w:val="0"/>
          <w:lang w:val="en-US"/>
        </w:rPr>
        <w:t>Theater of Debt</w:t>
      </w:r>
      <w:r>
        <w:rPr>
          <w:rFonts w:hAnsi="Helvetica" w:hint="default"/>
          <w:rtl w:val="0"/>
          <w:lang w:val="en-US"/>
        </w:rPr>
        <w:t>’</w:t>
      </w:r>
      <w:r>
        <w:rPr>
          <w:rtl w:val="0"/>
          <w:lang w:val="en-US"/>
        </w:rPr>
        <w:t xml:space="preserve">, in which </w:t>
      </w:r>
      <w:r>
        <w:rPr>
          <w:rFonts w:hAnsi="Helvetica" w:hint="default"/>
          <w:rtl w:val="0"/>
        </w:rPr>
        <w:t>‘</w:t>
      </w:r>
      <w:r>
        <w:rPr>
          <w:rtl w:val="0"/>
          <w:lang w:val="en-US"/>
        </w:rPr>
        <w:t>early modern writers and players had exceptional insight into money as an equivocal instrument of justice</w:t>
      </w:r>
      <w:r>
        <w:rPr>
          <w:rFonts w:hAnsi="Helvetica" w:hint="default"/>
          <w:rtl w:val="0"/>
          <w:lang w:val="fr-FR"/>
        </w:rPr>
        <w:t>’</w:t>
      </w:r>
      <w:r>
        <w:rPr>
          <w:rtl w:val="0"/>
          <w:lang w:val="en-US"/>
        </w:rPr>
        <w:t>,</w:t>
      </w:r>
      <w:r>
        <w:rPr>
          <w:rFonts w:ascii="Times New Roman" w:cs="Times New Roman" w:hAnsi="Times New Roman" w:eastAsia="Times New Roman"/>
          <w:vertAlign w:val="superscript"/>
        </w:rPr>
        <w:footnoteReference w:id="44"/>
      </w:r>
      <w:r>
        <w:rPr>
          <w:rtl w:val="0"/>
          <w:lang w:val="en-US"/>
        </w:rPr>
        <w:t xml:space="preserve"> Hoffman</w:t>
      </w:r>
      <w:r>
        <w:rPr>
          <w:rFonts w:hAnsi="Helvetica" w:hint="default"/>
          <w:rtl w:val="0"/>
          <w:lang w:val="en-US"/>
        </w:rPr>
        <w:t>’</w:t>
      </w:r>
      <w:r>
        <w:rPr>
          <w:rtl w:val="0"/>
          <w:lang w:val="en-US"/>
        </w:rPr>
        <w:t xml:space="preserve">s accountancy metaphor attempts to navigate the boundaries of what was and is owed, calculating the imbalance between the </w:t>
      </w:r>
      <w:r>
        <w:rPr>
          <w:rFonts w:hAnsi="Helvetica" w:hint="default"/>
          <w:rtl w:val="0"/>
          <w:lang w:val="en-US"/>
        </w:rPr>
        <w:t>‘</w:t>
      </w:r>
      <w:r>
        <w:rPr>
          <w:rtl w:val="0"/>
          <w:lang w:val="en-US"/>
        </w:rPr>
        <w:t>treasures</w:t>
      </w:r>
      <w:r>
        <w:rPr>
          <w:rFonts w:hAnsi="Helvetica" w:hint="default"/>
          <w:rtl w:val="0"/>
          <w:lang w:val="en-US"/>
        </w:rPr>
        <w:t xml:space="preserve">’ </w:t>
      </w:r>
      <w:r>
        <w:rPr>
          <w:rtl w:val="0"/>
          <w:lang w:val="en-US"/>
        </w:rPr>
        <w:t xml:space="preserve">from </w:t>
      </w:r>
      <w:r>
        <w:rPr>
          <w:rFonts w:hAnsi="Helvetica" w:hint="default"/>
          <w:rtl w:val="0"/>
          <w:lang w:val="en-US"/>
        </w:rPr>
        <w:t>‘</w:t>
      </w:r>
      <w:r>
        <w:rPr>
          <w:rtl w:val="0"/>
          <w:lang w:val="en-US"/>
        </w:rPr>
        <w:t>thirty fights</w:t>
      </w:r>
      <w:r>
        <w:rPr>
          <w:rFonts w:hAnsi="Helvetica" w:hint="default"/>
          <w:rtl w:val="0"/>
          <w:lang w:val="en-US"/>
        </w:rPr>
        <w:t xml:space="preserve">’ </w:t>
      </w:r>
      <w:r>
        <w:rPr>
          <w:rtl w:val="0"/>
          <w:lang w:val="en-US"/>
        </w:rPr>
        <w:t xml:space="preserve">and </w:t>
      </w:r>
      <w:r>
        <w:rPr>
          <w:rFonts w:hAnsi="Helvetica" w:hint="default"/>
          <w:rtl w:val="0"/>
          <w:lang w:val="en-US"/>
        </w:rPr>
        <w:t>‘</w:t>
      </w:r>
      <w:r>
        <w:rPr>
          <w:rtl w:val="0"/>
          <w:lang w:val="en-US"/>
        </w:rPr>
        <w:t>a little debt</w:t>
      </w:r>
      <w:r>
        <w:rPr>
          <w:rFonts w:hAnsi="Helvetica" w:hint="default"/>
          <w:rtl w:val="0"/>
          <w:lang w:val="en-US"/>
        </w:rPr>
        <w:t>’</w:t>
      </w:r>
      <w:r>
        <w:rPr>
          <w:rtl w:val="0"/>
          <w:lang w:val="en-US"/>
        </w:rPr>
        <w:t xml:space="preserve">, and extrapolating from that the necessary extent of vengeful reparations: the number of dead bodies needed to balance the books. </w:t>
      </w:r>
    </w:p>
    <w:p>
      <w:pPr>
        <w:pStyle w:val="Body"/>
        <w:spacing w:line="360" w:lineRule="auto"/>
        <w:jc w:val="left"/>
        <w:rPr>
          <w:sz w:val="22"/>
          <w:szCs w:val="22"/>
        </w:rPr>
      </w:pPr>
      <w:r>
        <w:rPr>
          <w:rtl w:val="0"/>
        </w:rPr>
        <w:tab/>
        <w:t xml:space="preserve">However, as Andrea Finkelstein has noted (and to which Woodbridge accedes), </w:t>
      </w:r>
      <w:r>
        <w:rPr>
          <w:rFonts w:hAnsi="Helvetica" w:hint="default"/>
          <w:rtl w:val="0"/>
          <w:lang w:val="en-US"/>
        </w:rPr>
        <w:t>‘</w:t>
      </w:r>
      <w:r>
        <w:rPr>
          <w:rtl w:val="0"/>
          <w:lang w:val="en-US"/>
        </w:rPr>
        <w:t xml:space="preserve">no one who understood bookkeeping would think that the </w:t>
      </w:r>
      <w:r>
        <w:rPr>
          <w:i w:val="1"/>
          <w:iCs w:val="1"/>
          <w:rtl w:val="0"/>
          <w:lang w:val="en-US"/>
        </w:rPr>
        <w:t>equality</w:t>
      </w:r>
      <w:r>
        <w:rPr>
          <w:rtl w:val="0"/>
          <w:lang w:val="en-US"/>
        </w:rPr>
        <w:t xml:space="preserve"> of debits and credits of the trial balance was the ultimate end of the system.</w:t>
      </w:r>
      <w:r>
        <w:rPr>
          <w:rFonts w:hAnsi="Helvetica" w:hint="default"/>
          <w:rtl w:val="0"/>
          <w:lang w:val="en-US"/>
        </w:rPr>
        <w:t>’</w:t>
      </w:r>
      <w:r>
        <w:rPr>
          <w:rFonts w:ascii="Times New Roman" w:cs="Times New Roman" w:hAnsi="Times New Roman" w:eastAsia="Times New Roman"/>
          <w:vertAlign w:val="superscript"/>
        </w:rPr>
        <w:footnoteReference w:id="45"/>
      </w:r>
      <w:r>
        <w:rPr>
          <w:rtl w:val="0"/>
          <w:lang w:val="en-US"/>
        </w:rPr>
        <w:t xml:space="preserve"> Sustaining equilibrium may have sufficed for the household accountant, but the balance of global trade required a </w:t>
      </w:r>
      <w:r>
        <w:rPr>
          <w:i w:val="1"/>
          <w:iCs w:val="1"/>
          <w:rtl w:val="0"/>
          <w:lang w:val="en-US"/>
        </w:rPr>
        <w:t>profit</w:t>
      </w:r>
      <w:r>
        <w:rPr>
          <w:rtl w:val="0"/>
          <w:lang w:val="en-US"/>
        </w:rPr>
        <w:t xml:space="preserve">. Patricia Parker has acknowledged how the ledger could become an often dishonest textual space, its formal precision capable of concealing its </w:t>
      </w:r>
      <w:r>
        <w:rPr>
          <w:rFonts w:hAnsi="Helvetica" w:hint="default"/>
          <w:rtl w:val="0"/>
          <w:lang w:val="en-US"/>
        </w:rPr>
        <w:t>‘</w:t>
      </w:r>
      <w:r>
        <w:rPr>
          <w:rtl w:val="0"/>
          <w:lang w:val="en-US"/>
        </w:rPr>
        <w:t>dishonest or unfaithful</w:t>
      </w:r>
      <w:r>
        <w:rPr>
          <w:rFonts w:hAnsi="Helvetica" w:hint="default"/>
          <w:rtl w:val="0"/>
          <w:lang w:val="en-US"/>
        </w:rPr>
        <w:t xml:space="preserve">’ </w:t>
      </w:r>
      <w:r>
        <w:rPr>
          <w:rtl w:val="0"/>
          <w:lang w:val="en-US"/>
        </w:rPr>
        <w:t>intentions,</w:t>
      </w:r>
      <w:r>
        <w:rPr>
          <w:rFonts w:ascii="Times New Roman" w:cs="Times New Roman" w:hAnsi="Times New Roman" w:eastAsia="Times New Roman"/>
          <w:vertAlign w:val="superscript"/>
        </w:rPr>
        <w:footnoteReference w:id="46"/>
      </w:r>
      <w:r>
        <w:rPr>
          <w:rtl w:val="0"/>
          <w:lang w:val="en-US"/>
        </w:rPr>
        <w:t xml:space="preserve"> and Alfred W. Crosby has explained how </w:t>
      </w:r>
      <w:r>
        <w:rPr>
          <w:rFonts w:hAnsi="Helvetica" w:hint="default"/>
          <w:rtl w:val="0"/>
          <w:lang w:val="en-US"/>
        </w:rPr>
        <w:t>‘</w:t>
      </w:r>
      <w:r>
        <w:rPr>
          <w:rtl w:val="0"/>
          <w:lang w:val="en-US"/>
        </w:rPr>
        <w:t>double-entry bookkeeping guaranteed clarity but not honesty</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47"/>
      </w:r>
      <w:r>
        <w:rPr>
          <w:rtl w:val="0"/>
          <w:lang w:val="en-US"/>
        </w:rPr>
        <w:t xml:space="preserve"> </w:t>
      </w:r>
      <w:r>
        <w:rPr>
          <w:rtl w:val="0"/>
          <w:lang w:val="en-US"/>
        </w:rPr>
        <w:t>Indeed, the neat numerical symmetry of Mellis</w:t>
      </w:r>
      <w:r>
        <w:rPr>
          <w:rFonts w:hAnsi="Helvetica" w:hint="default"/>
          <w:rtl w:val="0"/>
          <w:lang w:val="fr-FR"/>
        </w:rPr>
        <w:t xml:space="preserve">’ </w:t>
      </w:r>
      <w:r>
        <w:rPr>
          <w:rtl w:val="0"/>
        </w:rPr>
        <w:t>or Tapp</w:t>
      </w:r>
      <w:r>
        <w:rPr>
          <w:rFonts w:hAnsi="Helvetica" w:hint="default"/>
          <w:rtl w:val="0"/>
          <w:lang w:val="fr-FR"/>
        </w:rPr>
        <w:t>’</w:t>
      </w:r>
      <w:r>
        <w:rPr>
          <w:rtl w:val="0"/>
          <w:lang w:val="en-US"/>
        </w:rPr>
        <w:t>s double-entry exemplars was merely a theoretical ideal, not practical reality.</w:t>
      </w:r>
      <w:r>
        <w:rPr>
          <w:rtl w:val="0"/>
          <w:lang w:val="en-US"/>
        </w:rPr>
        <w:t xml:space="preserve"> Concealed in the ostensible symmetry of Hoffman</w:t>
      </w:r>
      <w:r>
        <w:rPr>
          <w:rFonts w:hAnsi="Helvetica" w:hint="default"/>
          <w:rtl w:val="0"/>
          <w:lang w:val="en-US"/>
        </w:rPr>
        <w:t>’</w:t>
      </w:r>
      <w:r>
        <w:rPr>
          <w:rtl w:val="0"/>
          <w:lang w:val="en-US"/>
        </w:rPr>
        <w:t xml:space="preserve">s lines cited above is the actual asymmetry of profit. Hoffman seeks the (multiple) </w:t>
      </w:r>
      <w:r>
        <w:rPr>
          <w:rFonts w:hAnsi="Helvetica" w:hint="default"/>
          <w:rtl w:val="0"/>
          <w:lang w:val="en-US"/>
        </w:rPr>
        <w:t>‘</w:t>
      </w:r>
      <w:r>
        <w:rPr>
          <w:rtl w:val="0"/>
          <w:lang w:val="en-US"/>
        </w:rPr>
        <w:t>lives</w:t>
      </w:r>
      <w:r>
        <w:rPr>
          <w:rFonts w:hAnsi="Helvetica" w:hint="default"/>
          <w:rtl w:val="0"/>
          <w:lang w:val="en-US"/>
        </w:rPr>
        <w:t xml:space="preserve">’ </w:t>
      </w:r>
      <w:r>
        <w:rPr>
          <w:rtl w:val="0"/>
          <w:lang w:val="en-US"/>
        </w:rPr>
        <w:t xml:space="preserve">of many </w:t>
      </w:r>
      <w:r>
        <w:rPr>
          <w:rFonts w:hAnsi="Helvetica" w:hint="default"/>
          <w:rtl w:val="0"/>
          <w:lang w:val="en-US"/>
        </w:rPr>
        <w:t>‘</w:t>
      </w:r>
      <w:r>
        <w:rPr>
          <w:rtl w:val="0"/>
          <w:lang w:val="en-US"/>
        </w:rPr>
        <w:t>fathers</w:t>
      </w:r>
      <w:r>
        <w:rPr>
          <w:rFonts w:hAnsi="Helvetica" w:hint="default"/>
          <w:rtl w:val="0"/>
          <w:lang w:val="en-US"/>
        </w:rPr>
        <w:t xml:space="preserve">’ </w:t>
      </w:r>
      <w:r>
        <w:rPr>
          <w:rtl w:val="0"/>
          <w:lang w:val="en-US"/>
        </w:rPr>
        <w:t xml:space="preserve">in exchange for the (single) </w:t>
      </w:r>
      <w:r>
        <w:rPr>
          <w:rFonts w:hAnsi="Helvetica" w:hint="default"/>
          <w:rtl w:val="0"/>
          <w:lang w:val="en-US"/>
        </w:rPr>
        <w:t>‘</w:t>
      </w:r>
      <w:r>
        <w:rPr>
          <w:rtl w:val="0"/>
          <w:lang w:val="en-US"/>
        </w:rPr>
        <w:t>life</w:t>
      </w:r>
      <w:r>
        <w:rPr>
          <w:rFonts w:hAnsi="Helvetica" w:hint="default"/>
          <w:rtl w:val="0"/>
          <w:lang w:val="en-US"/>
        </w:rPr>
        <w:t xml:space="preserve">’ </w:t>
      </w:r>
      <w:r>
        <w:rPr>
          <w:rtl w:val="0"/>
          <w:lang w:val="en-US"/>
        </w:rPr>
        <w:t xml:space="preserve">of his own father, the aural parity of </w:t>
      </w:r>
      <w:r>
        <w:rPr>
          <w:rFonts w:hAnsi="Helvetica" w:hint="default"/>
          <w:rtl w:val="0"/>
          <w:lang w:val="en-US"/>
        </w:rPr>
        <w:t>‘</w:t>
      </w:r>
      <w:r>
        <w:rPr>
          <w:rtl w:val="0"/>
          <w:lang w:val="en-US"/>
        </w:rPr>
        <w:t>fathers</w:t>
      </w:r>
      <w:r>
        <w:rPr>
          <w:rFonts w:hAnsi="Helvetica" w:hint="default"/>
          <w:rtl w:val="0"/>
          <w:lang w:val="en-US"/>
        </w:rPr>
        <w:t xml:space="preserve">’ </w:t>
      </w:r>
      <w:r>
        <w:rPr>
          <w:rtl w:val="0"/>
          <w:lang w:val="en-US"/>
        </w:rPr>
        <w:t xml:space="preserve">and </w:t>
      </w:r>
      <w:r>
        <w:rPr>
          <w:rFonts w:hAnsi="Helvetica" w:hint="default"/>
          <w:rtl w:val="0"/>
          <w:lang w:val="en-US"/>
        </w:rPr>
        <w:t>‘</w:t>
      </w:r>
      <w:r>
        <w:rPr>
          <w:rtl w:val="0"/>
          <w:lang w:val="en-US"/>
        </w:rPr>
        <w:t>father</w:t>
      </w:r>
      <w:r>
        <w:rPr>
          <w:rFonts w:hAnsi="Helvetica" w:hint="default"/>
          <w:rtl w:val="0"/>
          <w:lang w:val="en-US"/>
        </w:rPr>
        <w:t>’</w:t>
      </w:r>
      <w:r>
        <w:rPr>
          <w:rtl w:val="0"/>
          <w:lang w:val="en-US"/>
        </w:rPr>
        <w:t>s</w:t>
      </w:r>
      <w:r>
        <w:rPr>
          <w:rFonts w:hAnsi="Helvetica" w:hint="default"/>
          <w:rtl w:val="0"/>
          <w:lang w:val="en-US"/>
        </w:rPr>
        <w:t xml:space="preserve">’ </w:t>
      </w:r>
      <w:r>
        <w:rPr>
          <w:rtl w:val="0"/>
          <w:lang w:val="en-US"/>
        </w:rPr>
        <w:t>subtly underplaying the crucial difference between a possessive and a plural. As a kind of financier of death, Hoffman assesses the profitability of revenge, utilising bookkeeping as a linguistic vehicle with which to articulate two simultaneous objectives. The first requires a body count which multiplies the one which it wishes to avenge, and the second realises the actual financial gains that may come as its by-product: Hoffman</w:t>
      </w:r>
      <w:r>
        <w:rPr>
          <w:rFonts w:hAnsi="Helvetica" w:hint="default"/>
          <w:rtl w:val="0"/>
          <w:lang w:val="en-US"/>
        </w:rPr>
        <w:t>’</w:t>
      </w:r>
      <w:r>
        <w:rPr>
          <w:rtl w:val="0"/>
          <w:lang w:val="en-US"/>
        </w:rPr>
        <w:t xml:space="preserve">s </w:t>
      </w:r>
      <w:r>
        <w:rPr>
          <w:rFonts w:hAnsi="Helvetica" w:hint="default"/>
          <w:rtl w:val="0"/>
          <w:lang w:val="en-US"/>
        </w:rPr>
        <w:t>‘</w:t>
      </w:r>
      <w:r>
        <w:rPr>
          <w:rtl w:val="0"/>
          <w:lang w:val="en-US"/>
        </w:rPr>
        <w:t>throne of state</w:t>
      </w:r>
      <w:r>
        <w:rPr>
          <w:rFonts w:hAnsi="Helvetica" w:hint="default"/>
          <w:rtl w:val="0"/>
          <w:lang w:val="en-US"/>
        </w:rPr>
        <w:t>’</w:t>
      </w:r>
      <w:r>
        <w:rPr>
          <w:rtl w:val="0"/>
          <w:lang w:val="en-US"/>
        </w:rPr>
        <w:t xml:space="preserve">. Kerrigan, then, in his account of the </w:t>
      </w:r>
      <w:r>
        <w:rPr>
          <w:rtl w:val="0"/>
          <w:lang w:val="en-US"/>
        </w:rPr>
        <w:t xml:space="preserve">escalation of violence </w:t>
      </w:r>
      <w:r>
        <w:rPr>
          <w:rtl w:val="0"/>
          <w:lang w:val="en-US"/>
        </w:rPr>
        <w:t xml:space="preserve">in revenge tragedy as a dramatisation of </w:t>
      </w:r>
      <w:r>
        <w:rPr>
          <w:i w:val="1"/>
          <w:iCs w:val="1"/>
          <w:rtl w:val="0"/>
          <w:lang w:val="en-US"/>
        </w:rPr>
        <w:t>furor</w:t>
      </w:r>
      <w:r>
        <w:rPr>
          <w:rFonts w:ascii="Times New Roman" w:cs="Times New Roman" w:hAnsi="Times New Roman" w:eastAsia="Times New Roman"/>
          <w:vertAlign w:val="superscript"/>
        </w:rPr>
        <w:footnoteReference w:id="48"/>
      </w:r>
      <w:r>
        <w:rPr>
          <w:i w:val="1"/>
          <w:iCs w:val="1"/>
          <w:rtl w:val="0"/>
          <w:lang w:val="en-US"/>
        </w:rPr>
        <w:t xml:space="preserve"> </w:t>
      </w:r>
      <w:r>
        <w:rPr>
          <w:rtl w:val="0"/>
          <w:lang w:val="en-US"/>
        </w:rPr>
        <w:t>perhaps missed an opportunity to consider that escalation in the context of a stirring interest in the profit motive. Hoffman and other revengers of the early modern stage were, to use the words of Lodowick Carlell</w:t>
      </w:r>
      <w:r>
        <w:rPr>
          <w:rFonts w:hAnsi="Helvetica" w:hint="default"/>
          <w:rtl w:val="0"/>
          <w:lang w:val="en-US"/>
        </w:rPr>
        <w:t>’</w:t>
      </w:r>
      <w:r>
        <w:rPr>
          <w:rtl w:val="0"/>
          <w:lang w:val="en-US"/>
        </w:rPr>
        <w:t xml:space="preserve">s Jacomo, seeking to pursue </w:t>
      </w:r>
      <w:r>
        <w:rPr>
          <w:rFonts w:hAnsi="Helvetica" w:hint="default"/>
          <w:rtl w:val="0"/>
          <w:lang w:val="en-US"/>
        </w:rPr>
        <w:t>‘</w:t>
      </w:r>
      <w:r>
        <w:rPr>
          <w:rtl w:val="0"/>
          <w:lang w:val="en-US"/>
        </w:rPr>
        <w:t xml:space="preserve">reuenge </w:t>
      </w:r>
      <w:r>
        <w:rPr>
          <w:i w:val="1"/>
          <w:iCs w:val="1"/>
          <w:rtl w:val="0"/>
          <w:lang w:val="en-US"/>
        </w:rPr>
        <w:t>and</w:t>
      </w:r>
      <w:r>
        <w:rPr>
          <w:rtl w:val="0"/>
          <w:lang w:val="en-US"/>
        </w:rPr>
        <w:t xml:space="preserve"> profit</w:t>
      </w:r>
      <w:r>
        <w:rPr>
          <w:rFonts w:hAnsi="Helvetica" w:hint="default"/>
          <w:rtl w:val="0"/>
          <w:lang w:val="en-US"/>
        </w:rPr>
        <w:t>…</w:t>
      </w:r>
      <w:r>
        <w:rPr>
          <w:rtl w:val="0"/>
          <w:lang w:val="en-US"/>
        </w:rPr>
        <w:t>through blood of foes and friends</w:t>
      </w:r>
      <w:r>
        <w:rPr>
          <w:rFonts w:hAnsi="Helvetica" w:hint="default"/>
          <w:rtl w:val="0"/>
          <w:lang w:val="en-US"/>
        </w:rPr>
        <w:t>’</w:t>
      </w:r>
      <w:r>
        <w:rPr>
          <w:rFonts w:ascii="Times New Roman" w:cs="Times New Roman" w:hAnsi="Times New Roman" w:eastAsia="Times New Roman"/>
          <w:vertAlign w:val="superscript"/>
        </w:rPr>
        <w:footnoteReference w:id="49"/>
      </w:r>
      <w:r>
        <w:rPr>
          <w:rtl w:val="0"/>
          <w:lang w:val="en-US"/>
        </w:rPr>
        <w:t xml:space="preserve"> (my emphasis), whether that profit be the metaphorical profit of an exponential growth in the magnitude of retaliation, or the literal socio-economic profit that could result from murdering those in positions of wealth and power.</w:t>
      </w:r>
    </w:p>
    <w:p>
      <w:pPr>
        <w:pStyle w:val="Body"/>
        <w:spacing w:line="360" w:lineRule="auto"/>
        <w:jc w:val="left"/>
        <w:rPr>
          <w:b w:val="1"/>
          <w:bCs w:val="1"/>
          <w:sz w:val="22"/>
          <w:szCs w:val="22"/>
          <w:u w:val="single"/>
        </w:rPr>
      </w:pPr>
    </w:p>
    <w:p>
      <w:pPr>
        <w:pStyle w:val="Body"/>
        <w:spacing w:line="360" w:lineRule="auto"/>
        <w:jc w:val="center"/>
        <w:rPr>
          <w:b w:val="1"/>
          <w:bCs w:val="1"/>
        </w:rPr>
      </w:pPr>
      <w:r>
        <w:rPr>
          <w:b w:val="1"/>
          <w:bCs w:val="1"/>
          <w:sz w:val="22"/>
          <w:szCs w:val="22"/>
          <w:rtl w:val="0"/>
          <w:lang w:val="en-US"/>
        </w:rPr>
        <w:t>*</w:t>
        <w:tab/>
        <w:t>*</w:t>
        <w:tab/>
        <w:t>*</w:t>
      </w:r>
    </w:p>
    <w:p>
      <w:pPr>
        <w:pStyle w:val="Body"/>
        <w:spacing w:line="360" w:lineRule="auto"/>
        <w:jc w:val="left"/>
        <w:rPr>
          <w:b w:val="1"/>
          <w:bCs w:val="1"/>
          <w:sz w:val="22"/>
          <w:szCs w:val="22"/>
          <w:u w:val="single"/>
        </w:rPr>
      </w:pPr>
    </w:p>
    <w:p>
      <w:pPr>
        <w:pStyle w:val="Body"/>
        <w:spacing w:line="360" w:lineRule="auto"/>
        <w:jc w:val="left"/>
      </w:pPr>
      <w:r>
        <w:rPr>
          <w:sz w:val="22"/>
          <w:szCs w:val="22"/>
          <w:rtl w:val="0"/>
          <w:lang w:val="en-US"/>
        </w:rPr>
        <w:t>In Hoffman</w:t>
      </w:r>
      <w:r>
        <w:rPr>
          <w:rFonts w:hAnsi="Helvetica" w:hint="default"/>
          <w:sz w:val="22"/>
          <w:szCs w:val="22"/>
          <w:rtl w:val="0"/>
          <w:lang w:val="en-US"/>
        </w:rPr>
        <w:t>’</w:t>
      </w:r>
      <w:r>
        <w:rPr>
          <w:sz w:val="22"/>
          <w:szCs w:val="22"/>
          <w:rtl w:val="0"/>
          <w:lang w:val="en-US"/>
        </w:rPr>
        <w:t xml:space="preserve">s accountancy metaphor, then, a geometrically proportionate revenge scheme lies concealed within a seemingly arithmetically proportionate formal framework. </w:t>
      </w:r>
      <w:r>
        <w:rPr>
          <w:rtl w:val="0"/>
          <w:lang w:val="en-US"/>
        </w:rPr>
        <w:t xml:space="preserve">When, in the final act of </w:t>
      </w:r>
      <w:r>
        <w:rPr>
          <w:i w:val="1"/>
          <w:iCs w:val="1"/>
          <w:rtl w:val="0"/>
          <w:lang w:val="en-US"/>
        </w:rPr>
        <w:t>Hoffman</w:t>
      </w:r>
      <w:r>
        <w:rPr>
          <w:rtl w:val="0"/>
          <w:lang w:val="en-US"/>
        </w:rPr>
        <w:t>, Lorrique</w:t>
      </w:r>
      <w:r>
        <w:rPr>
          <w:rFonts w:hAnsi="Helvetica" w:hint="default"/>
          <w:rtl w:val="0"/>
          <w:lang w:val="en-US"/>
        </w:rPr>
        <w:t>’</w:t>
      </w:r>
      <w:r>
        <w:rPr>
          <w:rtl w:val="0"/>
          <w:lang w:val="en-US"/>
        </w:rPr>
        <w:t xml:space="preserve">s 1:1 format of justice is more comprehensively articulated by Matthias, the same trick is effected in the opposite direction, so that </w:t>
      </w:r>
      <w:r>
        <w:rPr>
          <w:rtl w:val="0"/>
          <w:lang w:val="en-US"/>
        </w:rPr>
        <w:t>the moment which should represent the long-awaited crystallisation of the</w:t>
      </w:r>
      <w:r>
        <w:rPr>
          <w:rtl w:val="0"/>
          <w:lang w:val="en-US"/>
        </w:rPr>
        <w:t xml:space="preserve"> play</w:t>
      </w:r>
      <w:r>
        <w:rPr>
          <w:rFonts w:hAnsi="Helvetica" w:hint="default"/>
          <w:rtl w:val="0"/>
          <w:lang w:val="en-US"/>
        </w:rPr>
        <w:t>’</w:t>
      </w:r>
      <w:r>
        <w:rPr>
          <w:rtl w:val="0"/>
          <w:lang w:val="en-US"/>
        </w:rPr>
        <w:t>s</w:t>
      </w:r>
      <w:r>
        <w:rPr>
          <w:rtl w:val="0"/>
          <w:lang w:val="en-US"/>
        </w:rPr>
        <w:t xml:space="preserve"> two revenge-forms becomes instead the one at which those forms most blurred</w:t>
      </w:r>
      <w:r>
        <w:rPr>
          <w:rtl w:val="0"/>
          <w:lang w:val="en-US"/>
        </w:rPr>
        <w:t xml:space="preserve">. What seems like an </w:t>
      </w:r>
      <w:r>
        <w:rPr>
          <w:rtl w:val="0"/>
          <w:lang w:val="en-US"/>
        </w:rPr>
        <w:t xml:space="preserve">entirely antithetical </w:t>
      </w:r>
      <w:r>
        <w:rPr>
          <w:rtl w:val="0"/>
          <w:lang w:val="en-US"/>
        </w:rPr>
        <w:t>architecture of revenge to Hoffman</w:t>
      </w:r>
      <w:r>
        <w:rPr>
          <w:rFonts w:hAnsi="Helvetica" w:hint="default"/>
          <w:rtl w:val="0"/>
          <w:lang w:val="en-US"/>
        </w:rPr>
        <w:t>’</w:t>
      </w:r>
      <w:r>
        <w:rPr>
          <w:rtl w:val="0"/>
          <w:lang w:val="en-US"/>
        </w:rPr>
        <w:t>s actually demands remarkably similar results:</w:t>
      </w:r>
    </w:p>
    <w:p>
      <w:pPr>
        <w:pStyle w:val="Body"/>
        <w:spacing w:line="360" w:lineRule="auto"/>
        <w:jc w:val="left"/>
        <w:rPr>
          <w:sz w:val="20"/>
          <w:szCs w:val="20"/>
        </w:rPr>
      </w:pPr>
    </w:p>
    <w:p>
      <w:pPr>
        <w:pStyle w:val="Body"/>
        <w:jc w:val="left"/>
        <w:rPr>
          <w:sz w:val="20"/>
          <w:szCs w:val="20"/>
        </w:rPr>
      </w:pPr>
      <w:r>
        <w:rPr>
          <w:sz w:val="20"/>
          <w:szCs w:val="20"/>
          <w:rtl w:val="0"/>
        </w:rPr>
        <w:tab/>
        <w:tab/>
        <w:tab/>
        <w:t>Besides, revenge should have proportion:</w:t>
      </w:r>
    </w:p>
    <w:p>
      <w:pPr>
        <w:pStyle w:val="Body"/>
        <w:jc w:val="left"/>
        <w:rPr>
          <w:sz w:val="20"/>
          <w:szCs w:val="20"/>
        </w:rPr>
      </w:pPr>
      <w:r>
        <w:rPr>
          <w:sz w:val="20"/>
          <w:szCs w:val="20"/>
          <w:rtl w:val="0"/>
        </w:rPr>
        <w:tab/>
        <w:tab/>
        <w:tab/>
        <w:t>By sly deceit he acted every wrong,</w:t>
      </w:r>
    </w:p>
    <w:p>
      <w:pPr>
        <w:pStyle w:val="Body"/>
        <w:jc w:val="left"/>
        <w:rPr>
          <w:sz w:val="20"/>
          <w:szCs w:val="20"/>
        </w:rPr>
      </w:pPr>
      <w:r>
        <w:rPr>
          <w:sz w:val="20"/>
          <w:szCs w:val="20"/>
          <w:rtl w:val="0"/>
        </w:rPr>
        <w:tab/>
        <w:tab/>
        <w:tab/>
        <w:t>And by deceit I would have him entrapped;</w:t>
      </w:r>
    </w:p>
    <w:p>
      <w:pPr>
        <w:pStyle w:val="Body"/>
        <w:jc w:val="left"/>
        <w:rPr>
          <w:sz w:val="20"/>
          <w:szCs w:val="20"/>
        </w:rPr>
      </w:pPr>
      <w:r>
        <w:rPr>
          <w:sz w:val="20"/>
          <w:szCs w:val="20"/>
          <w:rtl w:val="0"/>
        </w:rPr>
        <w:tab/>
        <w:tab/>
        <w:tab/>
        <w:t>Then the revenge were fit, just, and square,</w:t>
      </w:r>
    </w:p>
    <w:p>
      <w:pPr>
        <w:pStyle w:val="Body"/>
        <w:jc w:val="left"/>
        <w:rPr>
          <w:sz w:val="20"/>
          <w:szCs w:val="20"/>
        </w:rPr>
      </w:pPr>
      <w:r>
        <w:rPr>
          <w:sz w:val="20"/>
          <w:szCs w:val="20"/>
          <w:rtl w:val="0"/>
        </w:rPr>
        <w:tab/>
        <w:tab/>
        <w:tab/>
        <w:t xml:space="preserve">And </w:t>
      </w:r>
      <w:r>
        <w:rPr>
          <w:rFonts w:hAnsi="Helvetica" w:hint="default"/>
          <w:sz w:val="20"/>
          <w:szCs w:val="20"/>
          <w:rtl w:val="0"/>
          <w:lang w:val="en-US"/>
        </w:rPr>
        <w:t>‘</w:t>
      </w:r>
      <w:r>
        <w:rPr>
          <w:sz w:val="20"/>
          <w:szCs w:val="20"/>
          <w:rtl w:val="0"/>
          <w:lang w:val="en-US"/>
        </w:rPr>
        <w:t>twould more vex him that is all composed</w:t>
      </w:r>
    </w:p>
    <w:p>
      <w:pPr>
        <w:pStyle w:val="Body"/>
        <w:jc w:val="left"/>
        <w:rPr>
          <w:sz w:val="20"/>
          <w:szCs w:val="20"/>
        </w:rPr>
      </w:pPr>
      <w:r>
        <w:rPr>
          <w:sz w:val="20"/>
          <w:szCs w:val="20"/>
          <w:rtl w:val="0"/>
        </w:rPr>
        <w:tab/>
        <w:tab/>
        <w:tab/>
        <w:t>Of craft and subtlety to be outstripped</w:t>
      </w:r>
    </w:p>
    <w:p>
      <w:pPr>
        <w:pStyle w:val="Body"/>
        <w:jc w:val="left"/>
        <w:rPr>
          <w:sz w:val="20"/>
          <w:szCs w:val="20"/>
        </w:rPr>
      </w:pPr>
      <w:r>
        <w:rPr>
          <w:sz w:val="20"/>
          <w:szCs w:val="20"/>
          <w:rtl w:val="0"/>
        </w:rPr>
        <w:tab/>
        <w:tab/>
        <w:tab/>
        <w:t>In his own fashion, than a hundred deaths.</w:t>
      </w:r>
    </w:p>
    <w:p>
      <w:pPr>
        <w:pStyle w:val="Body"/>
        <w:jc w:val="left"/>
        <w:rPr>
          <w:sz w:val="20"/>
          <w:szCs w:val="20"/>
        </w:rPr>
      </w:pPr>
      <w:r>
        <w:rPr>
          <w:sz w:val="20"/>
          <w:szCs w:val="20"/>
          <w:rtl w:val="0"/>
        </w:rPr>
        <w:tab/>
        <w:tab/>
        <w:tab/>
        <w:tab/>
        <w:tab/>
        <w:tab/>
        <w:tab/>
        <w:t>(5.1.279-285)</w:t>
      </w:r>
    </w:p>
    <w:p>
      <w:pPr>
        <w:pStyle w:val="Body"/>
        <w:spacing w:line="360" w:lineRule="auto"/>
        <w:jc w:val="left"/>
      </w:pPr>
    </w:p>
    <w:p>
      <w:pPr>
        <w:pStyle w:val="Body"/>
        <w:spacing w:line="360" w:lineRule="auto"/>
        <w:jc w:val="left"/>
      </w:pPr>
      <w:r>
        <w:rPr>
          <w:rtl w:val="0"/>
          <w:lang w:val="en-US"/>
        </w:rPr>
        <w:t xml:space="preserve">The terminological parity of </w:t>
      </w:r>
      <w:r>
        <w:rPr>
          <w:rFonts w:hAnsi="Helvetica" w:hint="default"/>
          <w:rtl w:val="0"/>
          <w:lang w:val="en-US"/>
        </w:rPr>
        <w:t>‘</w:t>
      </w:r>
      <w:r>
        <w:rPr>
          <w:rtl w:val="0"/>
          <w:lang w:val="en-US"/>
        </w:rPr>
        <w:t>By sly deceit</w:t>
      </w:r>
      <w:r>
        <w:rPr>
          <w:rFonts w:hAnsi="Helvetica" w:hint="default"/>
          <w:rtl w:val="0"/>
          <w:lang w:val="en-US"/>
        </w:rPr>
        <w:t>…</w:t>
      </w:r>
      <w:r>
        <w:rPr>
          <w:rtl w:val="0"/>
          <w:lang w:val="en-US"/>
        </w:rPr>
        <w:t>/ And by deceit</w:t>
      </w:r>
      <w:r>
        <w:rPr>
          <w:rFonts w:hAnsi="Helvetica" w:hint="default"/>
          <w:rtl w:val="0"/>
          <w:lang w:val="en-US"/>
        </w:rPr>
        <w:t xml:space="preserve">’ </w:t>
      </w:r>
      <w:r>
        <w:rPr>
          <w:rtl w:val="0"/>
          <w:lang w:val="en-US"/>
        </w:rPr>
        <w:t xml:space="preserve">is reinforced by both the rhyme found in </w:t>
      </w:r>
      <w:r>
        <w:rPr>
          <w:rFonts w:hAnsi="Helvetica" w:hint="default"/>
          <w:rtl w:val="0"/>
          <w:lang w:val="en-US"/>
        </w:rPr>
        <w:t>‘</w:t>
      </w:r>
      <w:r>
        <w:rPr>
          <w:rtl w:val="0"/>
          <w:lang w:val="en-US"/>
        </w:rPr>
        <w:t>sly</w:t>
      </w:r>
      <w:r>
        <w:rPr>
          <w:rFonts w:hAnsi="Helvetica" w:hint="default"/>
          <w:rtl w:val="0"/>
          <w:lang w:val="en-US"/>
        </w:rPr>
        <w:t>’</w:t>
      </w:r>
      <w:r>
        <w:rPr>
          <w:rtl w:val="0"/>
          <w:lang w:val="en-US"/>
        </w:rPr>
        <w:t>/</w:t>
      </w:r>
      <w:r>
        <w:rPr>
          <w:rFonts w:hAnsi="Helvetica" w:hint="default"/>
          <w:rtl w:val="0"/>
          <w:lang w:val="en-US"/>
        </w:rPr>
        <w:t>‘</w:t>
      </w:r>
      <w:r>
        <w:rPr>
          <w:rtl w:val="0"/>
          <w:lang w:val="en-US"/>
        </w:rPr>
        <w:t>by</w:t>
      </w:r>
      <w:r>
        <w:rPr>
          <w:rFonts w:hAnsi="Helvetica" w:hint="default"/>
          <w:rtl w:val="0"/>
          <w:lang w:val="en-US"/>
        </w:rPr>
        <w:t xml:space="preserve">’ </w:t>
      </w:r>
      <w:r>
        <w:rPr>
          <w:rtl w:val="0"/>
          <w:lang w:val="en-US"/>
        </w:rPr>
        <w:t>and the metrical exactness of the two lines of which they form a part, adhering carefully to a precisely regular iambic pentameter. This purposefully reflective and carefully numbered prosodic make-up is entirely apt for the theory of punishment Matthias is proffering, a theory which</w:t>
      </w:r>
      <w:r>
        <w:rPr>
          <w:rtl w:val="0"/>
          <w:lang w:val="en-US"/>
        </w:rPr>
        <w:t xml:space="preserve"> is ostensibly well at odds with Hoffman</w:t>
      </w:r>
      <w:r>
        <w:rPr>
          <w:rFonts w:hAnsi="Helvetica" w:hint="default"/>
          <w:rtl w:val="0"/>
          <w:lang w:val="fr-FR"/>
        </w:rPr>
        <w:t>’</w:t>
      </w:r>
      <w:r>
        <w:rPr>
          <w:rtl w:val="0"/>
        </w:rPr>
        <w:t xml:space="preserve">s </w:t>
      </w:r>
      <w:r>
        <w:rPr>
          <w:rtl w:val="0"/>
          <w:lang w:val="en-US"/>
        </w:rPr>
        <w:t xml:space="preserve">asymmetric </w:t>
      </w:r>
      <w:r>
        <w:rPr>
          <w:rtl w:val="0"/>
          <w:lang w:val="en-US"/>
        </w:rPr>
        <w:t>philosophy of revenge-justice.</w:t>
      </w:r>
      <w:r>
        <w:rPr>
          <w:rtl w:val="0"/>
          <w:lang w:val="en-US"/>
        </w:rPr>
        <w:t xml:space="preserve"> In many ways, Matthias is the play</w:t>
      </w:r>
      <w:r>
        <w:rPr>
          <w:rFonts w:hAnsi="Helvetica" w:hint="default"/>
          <w:rtl w:val="0"/>
          <w:lang w:val="en-US"/>
        </w:rPr>
        <w:t>’</w:t>
      </w:r>
      <w:r>
        <w:rPr>
          <w:rtl w:val="0"/>
          <w:lang w:val="en-US"/>
        </w:rPr>
        <w:t xml:space="preserve">s proper executor of </w:t>
      </w:r>
      <w:r>
        <w:rPr>
          <w:i w:val="1"/>
          <w:iCs w:val="1"/>
          <w:rtl w:val="0"/>
          <w:lang w:val="en-US"/>
        </w:rPr>
        <w:t xml:space="preserve">lex talionis, </w:t>
      </w:r>
      <w:r>
        <w:rPr>
          <w:rtl w:val="0"/>
          <w:lang w:val="en-US"/>
        </w:rPr>
        <w:t xml:space="preserve">having already promised his own suicide (after being duped into killing his brother) in similarly symmetrical terms: </w:t>
      </w:r>
      <w:r>
        <w:rPr>
          <w:rFonts w:hAnsi="Helvetica" w:hint="default"/>
          <w:rtl w:val="0"/>
          <w:lang w:val="en-US"/>
        </w:rPr>
        <w:t>‘</w:t>
      </w:r>
      <w:r>
        <w:rPr>
          <w:rtl w:val="0"/>
          <w:lang w:val="en-US"/>
        </w:rPr>
        <w:t>I will revenge myself upon myself, / For parricide, for damned parricide</w:t>
      </w:r>
      <w:r>
        <w:rPr>
          <w:rFonts w:hAnsi="Helvetica" w:hint="default"/>
          <w:rtl w:val="0"/>
          <w:lang w:val="en-US"/>
        </w:rPr>
        <w:t xml:space="preserve">’ </w:t>
      </w:r>
      <w:r>
        <w:rPr>
          <w:rtl w:val="0"/>
          <w:lang w:val="en-US"/>
        </w:rPr>
        <w:t>(3.1.85-6).</w:t>
      </w:r>
      <w:r>
        <w:rPr>
          <w:rtl w:val="0"/>
        </w:rPr>
        <w:t xml:space="preserve"> </w:t>
      </w:r>
      <w:r>
        <w:rPr>
          <w:rtl w:val="0"/>
          <w:lang w:val="en-US"/>
        </w:rPr>
        <w:t>As Matthias understands retribution, it is not death</w:t>
      </w:r>
      <w:r>
        <w:rPr>
          <w:rFonts w:hAnsi="Helvetica" w:hint="default"/>
          <w:rtl w:val="0"/>
          <w:lang w:val="en-US"/>
        </w:rPr>
        <w:t>’</w:t>
      </w:r>
      <w:r>
        <w:rPr>
          <w:rtl w:val="0"/>
          <w:lang w:val="en-US"/>
        </w:rPr>
        <w:t xml:space="preserve">s </w:t>
      </w:r>
      <w:r>
        <w:rPr>
          <w:i w:val="1"/>
          <w:iCs w:val="1"/>
          <w:rtl w:val="0"/>
          <w:lang w:val="en-US"/>
        </w:rPr>
        <w:t>quantity</w:t>
      </w:r>
      <w:r>
        <w:rPr>
          <w:rtl w:val="0"/>
          <w:lang w:val="en-US"/>
        </w:rPr>
        <w:t xml:space="preserve"> which satisfies the justicer, but its </w:t>
      </w:r>
      <w:r>
        <w:rPr>
          <w:i w:val="1"/>
          <w:iCs w:val="1"/>
          <w:rtl w:val="0"/>
          <w:lang w:val="en-US"/>
        </w:rPr>
        <w:t>form</w:t>
      </w:r>
      <w:r>
        <w:rPr>
          <w:rtl w:val="0"/>
          <w:lang w:val="en-US"/>
        </w:rPr>
        <w:t xml:space="preserve">. Whilst Hoffman paradoxically speaks the language of arithmetic to articulate his lust for a revenge structure which utilises a geometrical proportionality, Matthias speaks the language of geometry to articulate a revenge structure whose </w:t>
      </w:r>
      <w:r>
        <w:rPr>
          <w:rFonts w:hAnsi="Helvetica" w:hint="default"/>
          <w:rtl w:val="0"/>
          <w:lang w:val="en-US"/>
        </w:rPr>
        <w:t>‘</w:t>
      </w:r>
      <w:r>
        <w:rPr>
          <w:rtl w:val="0"/>
          <w:lang w:val="en-US"/>
        </w:rPr>
        <w:t>proportion</w:t>
      </w:r>
      <w:r>
        <w:rPr>
          <w:rFonts w:hAnsi="Helvetica" w:hint="default"/>
          <w:rtl w:val="0"/>
          <w:lang w:val="en-US"/>
        </w:rPr>
        <w:t xml:space="preserve">’ </w:t>
      </w:r>
      <w:r>
        <w:rPr>
          <w:rtl w:val="0"/>
          <w:lang w:val="en-US"/>
        </w:rPr>
        <w:t xml:space="preserve">is a seemingly arithmetical one, and in which the body count is a simple 1:1. For Mathias, </w:t>
      </w:r>
      <w:r>
        <w:rPr>
          <w:rtl w:val="0"/>
          <w:lang w:val="nl-NL"/>
        </w:rPr>
        <w:t>indeed</w:t>
      </w:r>
      <w:r>
        <w:rPr>
          <w:rtl w:val="0"/>
          <w:lang w:val="en-US"/>
        </w:rPr>
        <w:t>,</w:t>
      </w:r>
      <w:r>
        <w:rPr>
          <w:rtl w:val="0"/>
        </w:rPr>
        <w:t xml:space="preserve"> </w:t>
      </w:r>
      <w:r>
        <w:rPr>
          <w:rtl w:val="0"/>
          <w:lang w:val="en-US"/>
        </w:rPr>
        <w:t xml:space="preserve">the body count is made of little relevance in comparison with an act of vengeance that displays an almost sculptural or architectural perfection. A revenge that is </w:t>
      </w:r>
      <w:r>
        <w:rPr>
          <w:rFonts w:hAnsi="Helvetica" w:hint="default"/>
          <w:rtl w:val="0"/>
          <w:lang w:val="en-US"/>
        </w:rPr>
        <w:t>‘</w:t>
      </w:r>
      <w:r>
        <w:rPr>
          <w:rtl w:val="0"/>
          <w:lang w:val="en-US"/>
        </w:rPr>
        <w:t>fit, just, and square</w:t>
      </w:r>
      <w:r>
        <w:rPr>
          <w:rFonts w:hAnsi="Helvetica" w:hint="default"/>
          <w:rtl w:val="0"/>
          <w:lang w:val="en-US"/>
        </w:rPr>
        <w:t>’</w:t>
      </w:r>
      <w:r>
        <w:rPr>
          <w:rtl w:val="0"/>
          <w:lang w:val="en-US"/>
        </w:rPr>
        <w:t xml:space="preserve">, measured with the precision of the geometers compass, is far superior to the brash act of violence which results in </w:t>
      </w:r>
      <w:r>
        <w:rPr>
          <w:rFonts w:hAnsi="Helvetica" w:hint="default"/>
          <w:rtl w:val="0"/>
          <w:lang w:val="en-US"/>
        </w:rPr>
        <w:t>‘</w:t>
      </w:r>
      <w:r>
        <w:rPr>
          <w:rtl w:val="0"/>
          <w:lang w:val="en-US"/>
        </w:rPr>
        <w:t>a hundred deaths</w:t>
      </w:r>
      <w:r>
        <w:rPr>
          <w:rFonts w:hAnsi="Helvetica" w:hint="default"/>
          <w:rtl w:val="0"/>
          <w:lang w:val="en-US"/>
        </w:rPr>
        <w:t>’</w:t>
      </w:r>
      <w:r>
        <w:rPr>
          <w:rtl w:val="0"/>
          <w:lang w:val="en-US"/>
        </w:rPr>
        <w:t>.</w:t>
      </w:r>
    </w:p>
    <w:p>
      <w:pPr>
        <w:pStyle w:val="Body"/>
        <w:spacing w:line="360" w:lineRule="auto"/>
        <w:jc w:val="left"/>
      </w:pPr>
      <w:r>
        <w:rPr>
          <w:rtl w:val="0"/>
        </w:rPr>
        <w:tab/>
        <w:t>And yet, there is no simple binary to be constructed out of Hoffman and Matthias</w:t>
      </w:r>
      <w:r>
        <w:rPr>
          <w:rFonts w:hAnsi="Helvetica" w:hint="default"/>
          <w:rtl w:val="0"/>
          <w:lang w:val="en-US"/>
        </w:rPr>
        <w:t xml:space="preserve">’ </w:t>
      </w:r>
      <w:r>
        <w:rPr>
          <w:rtl w:val="0"/>
          <w:lang w:val="en-US"/>
        </w:rPr>
        <w:t>divergencies. So often in revenge tragedy, the cycle of vengeance plays out like a fugue. The main revenger initiates the piece, with a rhetoric of bloodlust and just retribution, but as his line of the narrative unfolds, a second revenger repeats the first</w:t>
      </w:r>
      <w:r>
        <w:rPr>
          <w:rFonts w:hAnsi="Helvetica" w:hint="default"/>
          <w:rtl w:val="0"/>
          <w:lang w:val="en-US"/>
        </w:rPr>
        <w:t>’</w:t>
      </w:r>
      <w:r>
        <w:rPr>
          <w:rtl w:val="0"/>
          <w:lang w:val="en-US"/>
        </w:rPr>
        <w:t>s now familiar rhetoric in a different voice. As the play gathers pace, a potentially infinite number of revenge voices become both sequenced and contrapuntal. Despite offering seemingly dichotomous structures of revenge-justice, Hoffman and Matthias display a notable degree of harmony. The condign nature of Matthias</w:t>
      </w:r>
      <w:r>
        <w:rPr>
          <w:rFonts w:hAnsi="Helvetica" w:hint="default"/>
          <w:rtl w:val="0"/>
          <w:lang w:val="en-US"/>
        </w:rPr>
        <w:t xml:space="preserve">’ </w:t>
      </w:r>
      <w:r>
        <w:rPr>
          <w:rtl w:val="0"/>
          <w:lang w:val="en-US"/>
        </w:rPr>
        <w:t xml:space="preserve">projected revenge act is perhaps merely another, less brazen method of performing an excessive retribution, the aim of whose </w:t>
      </w:r>
      <w:r>
        <w:rPr>
          <w:rFonts w:hAnsi="Helvetica" w:hint="default"/>
          <w:rtl w:val="0"/>
          <w:lang w:val="en-US"/>
        </w:rPr>
        <w:t>‘</w:t>
      </w:r>
      <w:r>
        <w:rPr>
          <w:rtl w:val="0"/>
          <w:lang w:val="en-US"/>
        </w:rPr>
        <w:t>craft and subtlety</w:t>
      </w:r>
      <w:r>
        <w:rPr>
          <w:rFonts w:hAnsi="Helvetica" w:hint="default"/>
          <w:rtl w:val="0"/>
          <w:lang w:val="en-US"/>
        </w:rPr>
        <w:t xml:space="preserve">’ </w:t>
      </w:r>
      <w:r>
        <w:rPr>
          <w:rtl w:val="0"/>
          <w:lang w:val="en-US"/>
        </w:rPr>
        <w:t xml:space="preserve">is to have Hoffman cleverly </w:t>
      </w:r>
      <w:r>
        <w:rPr>
          <w:rFonts w:hAnsi="Helvetica" w:hint="default"/>
          <w:rtl w:val="0"/>
          <w:lang w:val="en-US"/>
        </w:rPr>
        <w:t>‘</w:t>
      </w:r>
      <w:r>
        <w:rPr>
          <w:rtl w:val="0"/>
          <w:lang w:val="en-US"/>
        </w:rPr>
        <w:t>outstripped</w:t>
      </w:r>
      <w:r>
        <w:rPr>
          <w:rFonts w:hAnsi="Helvetica" w:hint="default"/>
          <w:rtl w:val="0"/>
          <w:lang w:val="en-US"/>
        </w:rPr>
        <w:t>’</w:t>
      </w:r>
      <w:r>
        <w:rPr>
          <w:rtl w:val="0"/>
          <w:lang w:val="en-US"/>
        </w:rPr>
        <w:t xml:space="preserve">. If </w:t>
      </w:r>
      <w:r>
        <w:rPr>
          <w:rFonts w:hAnsi="Helvetica" w:hint="default"/>
          <w:rtl w:val="0"/>
          <w:lang w:val="en-US"/>
        </w:rPr>
        <w:t>‘</w:t>
      </w:r>
      <w:r>
        <w:rPr>
          <w:rtl w:val="0"/>
          <w:lang w:val="en-US"/>
        </w:rPr>
        <w:t>fit, just, and square</w:t>
      </w:r>
      <w:r>
        <w:rPr>
          <w:rFonts w:hAnsi="Helvetica" w:hint="default"/>
          <w:rtl w:val="0"/>
          <w:lang w:val="en-US"/>
        </w:rPr>
        <w:t xml:space="preserve">’ </w:t>
      </w:r>
      <w:r>
        <w:rPr>
          <w:rtl w:val="0"/>
          <w:lang w:val="en-US"/>
        </w:rPr>
        <w:t xml:space="preserve">contains an inflection of architectural geometry, it is worth noting that the symmetry evoked by Woodbridge of Longleat or </w:t>
      </w:r>
      <w:r>
        <w:rPr>
          <w:rtl w:val="0"/>
          <w:lang w:val="en-US"/>
        </w:rPr>
        <w:t xml:space="preserve">the Strozzi Palace </w:t>
      </w:r>
      <w:r>
        <w:rPr>
          <w:rtl w:val="0"/>
          <w:lang w:val="en-US"/>
        </w:rPr>
        <w:t xml:space="preserve">was in fact the product of an </w:t>
      </w:r>
      <w:r>
        <w:rPr>
          <w:i w:val="1"/>
          <w:iCs w:val="1"/>
          <w:rtl w:val="0"/>
          <w:lang w:val="en-US"/>
        </w:rPr>
        <w:t>unequal</w:t>
      </w:r>
      <w:r>
        <w:rPr>
          <w:rtl w:val="0"/>
          <w:lang w:val="en-US"/>
        </w:rPr>
        <w:t xml:space="preserve"> ratio, termed the </w:t>
      </w:r>
      <w:r>
        <w:rPr>
          <w:rFonts w:hAnsi="Helvetica" w:hint="default"/>
          <w:rtl w:val="0"/>
          <w:lang w:val="en-US"/>
        </w:rPr>
        <w:t>‘</w:t>
      </w:r>
      <w:r>
        <w:rPr>
          <w:rtl w:val="0"/>
          <w:lang w:val="en-US"/>
        </w:rPr>
        <w:t>divine proportion</w:t>
      </w:r>
      <w:r>
        <w:rPr>
          <w:rFonts w:hAnsi="Helvetica" w:hint="default"/>
          <w:rtl w:val="0"/>
          <w:lang w:val="en-US"/>
        </w:rPr>
        <w:t>’</w:t>
      </w:r>
      <w:r>
        <w:rPr>
          <w:rFonts w:ascii="Times New Roman" w:cs="Times New Roman" w:hAnsi="Times New Roman" w:eastAsia="Times New Roman"/>
          <w:vertAlign w:val="superscript"/>
        </w:rPr>
        <w:footnoteReference w:id="50"/>
      </w:r>
      <w:r>
        <w:rPr>
          <w:rtl w:val="0"/>
          <w:lang w:val="en-US"/>
        </w:rPr>
        <w:t xml:space="preserve"> by its most influential European exponent, Luca Pacioli, and referred to in Billingsley</w:t>
      </w:r>
      <w:r>
        <w:rPr>
          <w:rFonts w:hAnsi="Helvetica" w:hint="default"/>
          <w:rtl w:val="0"/>
          <w:lang w:val="en-US"/>
        </w:rPr>
        <w:t>’</w:t>
      </w:r>
      <w:r>
        <w:rPr>
          <w:rtl w:val="0"/>
          <w:lang w:val="en-US"/>
        </w:rPr>
        <w:t xml:space="preserve">s Euclid as the </w:t>
      </w:r>
      <w:r>
        <w:rPr>
          <w:rFonts w:hAnsi="Helvetica" w:hint="default"/>
          <w:rtl w:val="0"/>
          <w:lang w:val="en-US"/>
        </w:rPr>
        <w:t>‘</w:t>
      </w:r>
      <w:r>
        <w:rPr>
          <w:rtl w:val="0"/>
          <w:lang w:val="en-US"/>
        </w:rPr>
        <w:t>extreme and meane proportion.</w:t>
      </w:r>
      <w:r>
        <w:rPr>
          <w:rFonts w:hAnsi="Helvetica" w:hint="default"/>
          <w:rtl w:val="0"/>
          <w:lang w:val="en-US"/>
        </w:rPr>
        <w:t>’</w:t>
      </w:r>
      <w:r>
        <w:rPr>
          <w:rFonts w:ascii="Times New Roman" w:cs="Times New Roman" w:hAnsi="Times New Roman" w:eastAsia="Times New Roman"/>
          <w:vertAlign w:val="superscript"/>
        </w:rPr>
        <w:footnoteReference w:id="51"/>
      </w:r>
      <w:r>
        <w:rPr>
          <w:rtl w:val="0"/>
          <w:lang w:val="en-US"/>
        </w:rPr>
        <w:t xml:space="preserve"> Just as the most opulent of Renaissance architectural specimens were founded on a geometry in which a line </w:t>
      </w:r>
      <w:r>
        <w:rPr>
          <w:i w:val="1"/>
          <w:iCs w:val="1"/>
          <w:rtl w:val="0"/>
          <w:lang w:val="en-US"/>
        </w:rPr>
        <w:t>a</w:t>
      </w:r>
      <w:r>
        <w:rPr>
          <w:rtl w:val="0"/>
          <w:lang w:val="en-US"/>
        </w:rPr>
        <w:t>+</w:t>
      </w:r>
      <w:r>
        <w:rPr>
          <w:i w:val="1"/>
          <w:iCs w:val="1"/>
          <w:rtl w:val="0"/>
          <w:lang w:val="en-US"/>
        </w:rPr>
        <w:t xml:space="preserve">b </w:t>
      </w:r>
      <w:r>
        <w:rPr>
          <w:rtl w:val="0"/>
          <w:lang w:val="en-US"/>
        </w:rPr>
        <w:t xml:space="preserve">is to </w:t>
      </w:r>
      <w:r>
        <w:rPr>
          <w:i w:val="1"/>
          <w:iCs w:val="1"/>
          <w:rtl w:val="0"/>
          <w:lang w:val="en-US"/>
        </w:rPr>
        <w:t xml:space="preserve">a </w:t>
      </w:r>
      <w:r>
        <w:rPr>
          <w:rtl w:val="0"/>
          <w:lang w:val="en-US"/>
        </w:rPr>
        <w:t xml:space="preserve">as </w:t>
      </w:r>
      <w:r>
        <w:rPr>
          <w:i w:val="1"/>
          <w:iCs w:val="1"/>
          <w:rtl w:val="0"/>
          <w:lang w:val="en-US"/>
        </w:rPr>
        <w:t>a</w:t>
      </w:r>
      <w:r>
        <w:rPr>
          <w:rtl w:val="0"/>
          <w:lang w:val="en-US"/>
        </w:rPr>
        <w:t xml:space="preserve"> is to </w:t>
      </w:r>
      <w:r>
        <w:rPr>
          <w:i w:val="1"/>
          <w:iCs w:val="1"/>
          <w:rtl w:val="0"/>
          <w:lang w:val="en-US"/>
        </w:rPr>
        <w:t>b</w:t>
      </w:r>
      <w:r>
        <w:rPr>
          <w:rtl w:val="0"/>
          <w:lang w:val="en-US"/>
        </w:rPr>
        <w:t>, and a ratio that modern mathematics has calculated to be closer to 1:1.6 than 1:1, so Matthias seeks an act of vengeance whose outwardly beautiful squareness is the result of an ingenuity which is actually aimed at imbalance.</w:t>
      </w:r>
      <w:r>
        <w:rPr>
          <w:rtl w:val="0"/>
          <w:lang w:val="en-US"/>
        </w:rPr>
        <w:t xml:space="preserve"> Matthias</w:t>
      </w:r>
      <w:r>
        <w:rPr>
          <w:rFonts w:hAnsi="Helvetica" w:hint="default"/>
          <w:rtl w:val="0"/>
          <w:lang w:val="fr-FR"/>
        </w:rPr>
        <w:t xml:space="preserve">’ </w:t>
      </w:r>
      <w:r>
        <w:rPr>
          <w:rtl w:val="0"/>
          <w:lang w:val="en-US"/>
        </w:rPr>
        <w:t xml:space="preserve">reluctance to cause </w:t>
      </w:r>
      <w:r>
        <w:rPr>
          <w:rFonts w:hAnsi="Helvetica" w:hint="default"/>
          <w:rtl w:val="0"/>
        </w:rPr>
        <w:t>‘</w:t>
      </w:r>
      <w:r>
        <w:rPr>
          <w:rtl w:val="0"/>
          <w:lang w:val="en-US"/>
        </w:rPr>
        <w:t>a hundred deaths</w:t>
      </w:r>
      <w:r>
        <w:rPr>
          <w:rFonts w:hAnsi="Helvetica" w:hint="default"/>
          <w:rtl w:val="0"/>
          <w:lang w:val="fr-FR"/>
        </w:rPr>
        <w:t>’</w:t>
      </w:r>
      <w:r>
        <w:rPr>
          <w:rtl w:val="0"/>
          <w:lang w:val="en-US"/>
        </w:rPr>
        <w:t>, then,</w:t>
      </w:r>
      <w:r>
        <w:rPr>
          <w:rtl w:val="0"/>
          <w:lang w:val="en-US"/>
        </w:rPr>
        <w:t xml:space="preserve"> is not necessarily based upon any </w:t>
      </w:r>
      <w:r>
        <w:rPr>
          <w:rtl w:val="0"/>
          <w:lang w:val="en-US"/>
        </w:rPr>
        <w:t xml:space="preserve">evident </w:t>
      </w:r>
      <w:r>
        <w:rPr>
          <w:rtl w:val="0"/>
          <w:lang w:val="en-US"/>
        </w:rPr>
        <w:t xml:space="preserve">moral superiority to Hoffman, but perhaps simply on his notion that a revenge </w:t>
      </w:r>
      <w:r>
        <w:rPr>
          <w:rFonts w:hAnsi="Helvetica" w:hint="default"/>
          <w:rtl w:val="0"/>
        </w:rPr>
        <w:t>‘</w:t>
      </w:r>
      <w:r>
        <w:rPr>
          <w:rtl w:val="0"/>
          <w:lang w:val="en-US"/>
        </w:rPr>
        <w:t>composed</w:t>
      </w:r>
      <w:r>
        <w:rPr>
          <w:rFonts w:hAnsi="Helvetica" w:hint="default"/>
          <w:rtl w:val="0"/>
          <w:lang w:val="fr-FR"/>
        </w:rPr>
        <w:t xml:space="preserve">’ </w:t>
      </w:r>
      <w:r>
        <w:rPr>
          <w:rtl w:val="0"/>
          <w:lang w:val="en-US"/>
        </w:rPr>
        <w:t>in Hoffman</w:t>
      </w:r>
      <w:r>
        <w:rPr>
          <w:rFonts w:hAnsi="Helvetica" w:hint="default"/>
          <w:rtl w:val="0"/>
          <w:lang w:val="fr-FR"/>
        </w:rPr>
        <w:t>’</w:t>
      </w:r>
      <w:r>
        <w:rPr>
          <w:rtl w:val="0"/>
        </w:rPr>
        <w:t xml:space="preserve">s </w:t>
      </w:r>
      <w:r>
        <w:rPr>
          <w:rFonts w:hAnsi="Helvetica" w:hint="default"/>
          <w:rtl w:val="0"/>
        </w:rPr>
        <w:t>‘</w:t>
      </w:r>
      <w:r>
        <w:rPr>
          <w:rtl w:val="0"/>
          <w:lang w:val="en-US"/>
        </w:rPr>
        <w:t>own fashion</w:t>
      </w:r>
      <w:r>
        <w:rPr>
          <w:rFonts w:hAnsi="Helvetica" w:hint="default"/>
          <w:rtl w:val="0"/>
          <w:lang w:val="fr-FR"/>
        </w:rPr>
        <w:t xml:space="preserve">’ </w:t>
      </w:r>
      <w:r>
        <w:rPr>
          <w:rtl w:val="0"/>
          <w:lang w:val="en-US"/>
        </w:rPr>
        <w:t xml:space="preserve">would </w:t>
      </w:r>
      <w:r>
        <w:rPr>
          <w:rFonts w:hAnsi="Helvetica" w:hint="default"/>
          <w:rtl w:val="0"/>
        </w:rPr>
        <w:t>‘</w:t>
      </w:r>
      <w:r>
        <w:rPr>
          <w:i w:val="1"/>
          <w:iCs w:val="1"/>
          <w:rtl w:val="0"/>
          <w:lang w:val="en-US"/>
        </w:rPr>
        <w:t>more</w:t>
      </w:r>
      <w:r>
        <w:rPr>
          <w:rtl w:val="0"/>
        </w:rPr>
        <w:t xml:space="preserve"> vex</w:t>
      </w:r>
      <w:r>
        <w:rPr>
          <w:rtl w:val="0"/>
          <w:lang w:val="en-US"/>
        </w:rPr>
        <w:t xml:space="preserve"> </w:t>
      </w:r>
      <w:r>
        <w:rPr>
          <w:rtl w:val="0"/>
        </w:rPr>
        <w:t>him</w:t>
      </w:r>
      <w:r>
        <w:rPr>
          <w:rFonts w:hAnsi="Helvetica" w:hint="default"/>
          <w:rtl w:val="0"/>
          <w:lang w:val="en-US"/>
        </w:rPr>
        <w:t xml:space="preserve">’ </w:t>
      </w:r>
      <w:r>
        <w:rPr>
          <w:rtl w:val="0"/>
          <w:lang w:val="en-US"/>
        </w:rPr>
        <w:t xml:space="preserve">(my emphasis). Matthias is, despite his oppositional methodology, just as interested as Hoffman in competitive over-going. </w:t>
      </w:r>
    </w:p>
    <w:p>
      <w:pPr>
        <w:pStyle w:val="Body"/>
        <w:spacing w:line="360" w:lineRule="auto"/>
        <w:jc w:val="left"/>
      </w:pPr>
      <w:r>
        <w:rPr>
          <w:rtl w:val="0"/>
        </w:rPr>
        <w:tab/>
        <w:t xml:space="preserve">Just as Hoff conceals a geometrically proportionate plan of revenge in the seemingly arithmetical structure of the account book, so too does Matthias conceal his own excessive ambitions in the seemingly symmetrical syntax of his legal rhetoric. Interestingly, legal terminology in </w:t>
      </w:r>
      <w:r>
        <w:rPr>
          <w:i w:val="1"/>
          <w:iCs w:val="1"/>
          <w:rtl w:val="0"/>
          <w:lang w:val="en-US"/>
        </w:rPr>
        <w:t xml:space="preserve">Hoffman </w:t>
      </w:r>
      <w:r>
        <w:rPr>
          <w:rtl w:val="0"/>
          <w:lang w:val="en-US"/>
        </w:rPr>
        <w:t xml:space="preserve">does tend to coincide with spectacles or syntaxes of symmetry, </w:t>
      </w:r>
      <w:r>
        <w:rPr>
          <w:rtl w:val="0"/>
          <w:lang w:val="en-US"/>
        </w:rPr>
        <w:t>as if the legal world the play</w:t>
      </w:r>
      <w:r>
        <w:rPr>
          <w:rFonts w:hAnsi="Helvetica" w:hint="default"/>
          <w:rtl w:val="0"/>
          <w:lang w:val="fr-FR"/>
        </w:rPr>
        <w:t>’</w:t>
      </w:r>
      <w:r>
        <w:rPr>
          <w:rtl w:val="0"/>
          <w:lang w:val="en-US"/>
        </w:rPr>
        <w:t xml:space="preserve">s characters inhabit equates </w:t>
      </w:r>
      <w:r>
        <w:rPr>
          <w:rtl w:val="0"/>
          <w:lang w:val="en-US"/>
        </w:rPr>
        <w:t>legitimate</w:t>
      </w:r>
      <w:r>
        <w:rPr>
          <w:rtl w:val="0"/>
          <w:lang w:val="en-US"/>
        </w:rPr>
        <w:t xml:space="preserve"> justice with arithmetical proportion</w:t>
      </w:r>
      <w:r>
        <w:rPr>
          <w:rtl w:val="0"/>
          <w:lang w:val="en-US"/>
        </w:rPr>
        <w:t xml:space="preserve">. Immediately prefixing his speech on the necessity of revenge to be </w:t>
      </w:r>
      <w:r>
        <w:rPr>
          <w:rFonts w:hAnsi="Helvetica" w:hint="default"/>
          <w:rtl w:val="0"/>
          <w:lang w:val="en-US"/>
        </w:rPr>
        <w:t>‘</w:t>
      </w:r>
      <w:r>
        <w:rPr>
          <w:rtl w:val="0"/>
          <w:lang w:val="en-US"/>
        </w:rPr>
        <w:t>fit, just, and square</w:t>
      </w:r>
      <w:r>
        <w:rPr>
          <w:rFonts w:hAnsi="Helvetica" w:hint="default"/>
          <w:rtl w:val="0"/>
          <w:lang w:val="en-US"/>
        </w:rPr>
        <w:t>’</w:t>
      </w:r>
      <w:r>
        <w:rPr>
          <w:rtl w:val="0"/>
          <w:lang w:val="en-US"/>
        </w:rPr>
        <w:t>, Matthias delivers a persuasive counter-argument to Martha</w:t>
      </w:r>
      <w:r>
        <w:rPr>
          <w:rFonts w:hAnsi="Helvetica" w:hint="default"/>
          <w:rtl w:val="0"/>
          <w:lang w:val="en-US"/>
        </w:rPr>
        <w:t>’</w:t>
      </w:r>
      <w:r>
        <w:rPr>
          <w:rtl w:val="0"/>
          <w:lang w:val="en-US"/>
        </w:rPr>
        <w:t xml:space="preserve">s conviction that Lorrique </w:t>
      </w:r>
      <w:r>
        <w:rPr>
          <w:rFonts w:hAnsi="Helvetica" w:hint="default"/>
          <w:rtl w:val="0"/>
          <w:lang w:val="en-US"/>
        </w:rPr>
        <w:t>‘</w:t>
      </w:r>
      <w:r>
        <w:rPr>
          <w:rtl w:val="0"/>
          <w:lang w:val="en-US"/>
        </w:rPr>
        <w:t>merit</w:t>
      </w:r>
      <w:r>
        <w:rPr>
          <w:rFonts w:hAnsi="Helvetica" w:hint="default"/>
          <w:rtl w:val="0"/>
          <w:lang w:val="en-US"/>
        </w:rPr>
        <w:t>’</w:t>
      </w:r>
      <w:r>
        <w:rPr>
          <w:rtl w:val="0"/>
          <w:lang w:val="en-US"/>
        </w:rPr>
        <w:t>st death</w:t>
      </w:r>
      <w:r>
        <w:rPr>
          <w:rFonts w:hAnsi="Helvetica" w:hint="default"/>
          <w:rtl w:val="0"/>
          <w:lang w:val="en-US"/>
        </w:rPr>
        <w:t xml:space="preserve">’ </w:t>
      </w:r>
      <w:r>
        <w:rPr>
          <w:rtl w:val="0"/>
          <w:lang w:val="en-US"/>
        </w:rPr>
        <w:t xml:space="preserve">(5.1.262) </w:t>
      </w:r>
      <w:r>
        <w:rPr>
          <w:rtl w:val="0"/>
          <w:lang w:val="en-US"/>
        </w:rPr>
        <w:t>for his role in Hoffman</w:t>
      </w:r>
      <w:r>
        <w:rPr>
          <w:rFonts w:hAnsi="Helvetica" w:hint="default"/>
          <w:rtl w:val="0"/>
          <w:lang w:val="fr-FR"/>
        </w:rPr>
        <w:t>’</w:t>
      </w:r>
      <w:r>
        <w:rPr>
          <w:rtl w:val="0"/>
          <w:lang w:val="pt-PT"/>
        </w:rPr>
        <w:t>s crimes</w:t>
      </w:r>
      <w:r>
        <w:rPr>
          <w:rtl w:val="0"/>
          <w:lang w:val="en-US"/>
        </w:rPr>
        <w:t>:</w:t>
      </w:r>
    </w:p>
    <w:p>
      <w:pPr>
        <w:pStyle w:val="Body"/>
        <w:jc w:val="left"/>
        <w:rPr>
          <w:sz w:val="20"/>
          <w:szCs w:val="20"/>
        </w:rPr>
      </w:pPr>
    </w:p>
    <w:p>
      <w:pPr>
        <w:pStyle w:val="Body"/>
        <w:jc w:val="left"/>
        <w:rPr>
          <w:sz w:val="20"/>
          <w:szCs w:val="20"/>
        </w:rPr>
      </w:pPr>
      <w:r>
        <w:rPr>
          <w:sz w:val="20"/>
          <w:szCs w:val="20"/>
          <w:rtl w:val="0"/>
        </w:rPr>
        <w:tab/>
        <w:tab/>
        <w:tab/>
        <w:t>Stay: judge him not; let me a little plead in his excuse,</w:t>
      </w:r>
    </w:p>
    <w:p>
      <w:pPr>
        <w:pStyle w:val="Body"/>
        <w:jc w:val="left"/>
        <w:rPr>
          <w:sz w:val="20"/>
          <w:szCs w:val="20"/>
        </w:rPr>
      </w:pPr>
      <w:r>
        <w:rPr>
          <w:sz w:val="20"/>
          <w:szCs w:val="20"/>
          <w:rtl w:val="0"/>
        </w:rPr>
        <w:tab/>
        <w:tab/>
        <w:tab/>
        <w:t>And this one sentence serves. A man compelled</w:t>
      </w:r>
    </w:p>
    <w:p>
      <w:pPr>
        <w:pStyle w:val="Body"/>
        <w:jc w:val="left"/>
        <w:rPr>
          <w:sz w:val="20"/>
          <w:szCs w:val="20"/>
        </w:rPr>
      </w:pPr>
      <w:r>
        <w:rPr>
          <w:sz w:val="20"/>
          <w:szCs w:val="20"/>
          <w:rtl w:val="0"/>
        </w:rPr>
        <w:tab/>
        <w:tab/>
        <w:tab/>
        <w:t>To evil acts, cannot be justly held</w:t>
      </w:r>
    </w:p>
    <w:p>
      <w:pPr>
        <w:pStyle w:val="Body"/>
        <w:jc w:val="left"/>
        <w:rPr>
          <w:sz w:val="20"/>
          <w:szCs w:val="20"/>
        </w:rPr>
      </w:pPr>
      <w:r>
        <w:rPr>
          <w:sz w:val="20"/>
          <w:szCs w:val="20"/>
          <w:rtl w:val="0"/>
        </w:rPr>
        <w:tab/>
        <w:tab/>
        <w:tab/>
        <w:t>A wilful malefactor. The law still</w:t>
      </w:r>
    </w:p>
    <w:p>
      <w:pPr>
        <w:pStyle w:val="Body"/>
        <w:jc w:val="left"/>
        <w:rPr>
          <w:sz w:val="20"/>
          <w:szCs w:val="20"/>
        </w:rPr>
      </w:pPr>
      <w:r>
        <w:rPr>
          <w:sz w:val="20"/>
          <w:szCs w:val="20"/>
          <w:rtl w:val="0"/>
        </w:rPr>
        <w:tab/>
        <w:tab/>
        <w:tab/>
        <w:t>Looks upon the deed, ne</w:t>
      </w:r>
      <w:r>
        <w:rPr>
          <w:rFonts w:hAnsi="Helvetica" w:hint="default"/>
          <w:sz w:val="20"/>
          <w:szCs w:val="20"/>
          <w:rtl w:val="0"/>
          <w:lang w:val="en-US"/>
        </w:rPr>
        <w:t>’</w:t>
      </w:r>
      <w:r>
        <w:rPr>
          <w:sz w:val="20"/>
          <w:szCs w:val="20"/>
          <w:rtl w:val="0"/>
          <w:lang w:val="en-US"/>
        </w:rPr>
        <w:t xml:space="preserve">er on the will. </w:t>
      </w:r>
    </w:p>
    <w:p>
      <w:pPr>
        <w:pStyle w:val="Body"/>
        <w:jc w:val="left"/>
        <w:rPr>
          <w:sz w:val="20"/>
          <w:szCs w:val="20"/>
        </w:rPr>
      </w:pPr>
      <w:r>
        <w:rPr>
          <w:sz w:val="20"/>
          <w:szCs w:val="20"/>
          <w:rtl w:val="0"/>
        </w:rPr>
        <w:tab/>
        <w:tab/>
        <w:tab/>
        <w:tab/>
        <w:tab/>
        <w:tab/>
        <w:tab/>
        <w:t>(5.1.263-267)</w:t>
      </w:r>
    </w:p>
    <w:p>
      <w:pPr>
        <w:pStyle w:val="Body"/>
        <w:spacing w:line="360" w:lineRule="auto"/>
        <w:jc w:val="left"/>
        <w:rPr>
          <w:sz w:val="20"/>
          <w:szCs w:val="20"/>
        </w:rPr>
      </w:pPr>
    </w:p>
    <w:p>
      <w:pPr>
        <w:pStyle w:val="Body"/>
        <w:spacing w:line="360" w:lineRule="auto"/>
        <w:jc w:val="left"/>
      </w:pPr>
      <w:r>
        <w:rPr>
          <w:rtl w:val="0"/>
          <w:lang w:val="en-US"/>
        </w:rPr>
        <w:t xml:space="preserve">Matthias adopts the rhetorical mode of the legal advocate here, offering to </w:t>
      </w:r>
      <w:r>
        <w:rPr>
          <w:rFonts w:hAnsi="Helvetica" w:hint="default"/>
          <w:rtl w:val="0"/>
          <w:lang w:val="en-US"/>
        </w:rPr>
        <w:t>‘</w:t>
      </w:r>
      <w:r>
        <w:rPr>
          <w:rtl w:val="0"/>
          <w:lang w:val="en-US"/>
        </w:rPr>
        <w:t>plead</w:t>
      </w:r>
      <w:r>
        <w:rPr>
          <w:rFonts w:hAnsi="Helvetica" w:hint="default"/>
          <w:rtl w:val="0"/>
          <w:lang w:val="en-US"/>
        </w:rPr>
        <w:t xml:space="preserve">’ </w:t>
      </w:r>
      <w:r>
        <w:rPr>
          <w:rtl w:val="0"/>
          <w:lang w:val="en-US"/>
        </w:rPr>
        <w:t xml:space="preserve">on behalf of Lorrique, and attempting to influence how his audience will </w:t>
      </w:r>
      <w:r>
        <w:rPr>
          <w:rFonts w:hAnsi="Helvetica" w:hint="default"/>
          <w:rtl w:val="0"/>
          <w:lang w:val="en-US"/>
        </w:rPr>
        <w:t>‘</w:t>
      </w:r>
      <w:r>
        <w:rPr>
          <w:rtl w:val="0"/>
          <w:lang w:val="en-US"/>
        </w:rPr>
        <w:t>judge</w:t>
      </w:r>
      <w:r>
        <w:rPr>
          <w:rFonts w:hAnsi="Helvetica" w:hint="default"/>
          <w:rtl w:val="0"/>
          <w:lang w:val="en-US"/>
        </w:rPr>
        <w:t xml:space="preserve">’ </w:t>
      </w:r>
      <w:r>
        <w:rPr>
          <w:rtl w:val="0"/>
          <w:lang w:val="en-US"/>
        </w:rPr>
        <w:t xml:space="preserve">him. His </w:t>
      </w:r>
      <w:r>
        <w:rPr>
          <w:rFonts w:hAnsi="Helvetica" w:hint="default"/>
          <w:rtl w:val="0"/>
          <w:lang w:val="en-US"/>
        </w:rPr>
        <w:t>‘</w:t>
      </w:r>
      <w:r>
        <w:rPr>
          <w:rtl w:val="0"/>
          <w:lang w:val="en-US"/>
        </w:rPr>
        <w:t>sentence</w:t>
      </w:r>
      <w:r>
        <w:rPr>
          <w:rFonts w:hAnsi="Helvetica" w:hint="default"/>
          <w:rtl w:val="0"/>
          <w:lang w:val="en-US"/>
        </w:rPr>
        <w:t xml:space="preserve">’ </w:t>
      </w:r>
      <w:r>
        <w:rPr>
          <w:rtl w:val="0"/>
          <w:lang w:val="en-US"/>
        </w:rPr>
        <w:t xml:space="preserve">holds all the plausibility of legal maxims, as if Matthias is citing a technical and authoritative legislature pertaining to both the definition of a </w:t>
      </w:r>
      <w:r>
        <w:rPr>
          <w:rFonts w:hAnsi="Helvetica" w:hint="default"/>
          <w:rtl w:val="0"/>
          <w:lang w:val="en-US"/>
        </w:rPr>
        <w:t>‘</w:t>
      </w:r>
      <w:r>
        <w:rPr>
          <w:rtl w:val="0"/>
          <w:lang w:val="en-US"/>
        </w:rPr>
        <w:t>wilful malefactor</w:t>
      </w:r>
      <w:r>
        <w:rPr>
          <w:rFonts w:hAnsi="Helvetica" w:hint="default"/>
          <w:rtl w:val="0"/>
          <w:lang w:val="en-US"/>
        </w:rPr>
        <w:t>’</w:t>
      </w:r>
      <w:r>
        <w:rPr>
          <w:rtl w:val="0"/>
          <w:lang w:val="en-US"/>
        </w:rPr>
        <w:t xml:space="preserve">, and what exactly the </w:t>
      </w:r>
      <w:r>
        <w:rPr>
          <w:rFonts w:hAnsi="Helvetica" w:hint="default"/>
          <w:rtl w:val="0"/>
          <w:lang w:val="en-US"/>
        </w:rPr>
        <w:t>‘</w:t>
      </w:r>
      <w:r>
        <w:rPr>
          <w:rtl w:val="0"/>
          <w:lang w:val="en-US"/>
        </w:rPr>
        <w:t>law</w:t>
      </w:r>
      <w:r>
        <w:rPr>
          <w:rFonts w:hAnsi="Helvetica" w:hint="default"/>
          <w:rtl w:val="0"/>
          <w:lang w:val="en-US"/>
        </w:rPr>
        <w:t>…</w:t>
      </w:r>
      <w:r>
        <w:rPr>
          <w:rtl w:val="0"/>
          <w:lang w:val="en-US"/>
        </w:rPr>
        <w:t>Looks upon</w:t>
      </w:r>
      <w:r>
        <w:rPr>
          <w:rFonts w:hAnsi="Helvetica" w:hint="default"/>
          <w:rtl w:val="0"/>
          <w:lang w:val="en-US"/>
        </w:rPr>
        <w:t xml:space="preserve">’ </w:t>
      </w:r>
      <w:r>
        <w:rPr>
          <w:rtl w:val="0"/>
          <w:lang w:val="en-US"/>
        </w:rPr>
        <w:t xml:space="preserve">as evidence in accusing someone of that status: a </w:t>
      </w:r>
      <w:r>
        <w:rPr>
          <w:rFonts w:hAnsi="Helvetica" w:hint="default"/>
          <w:rtl w:val="0"/>
          <w:lang w:val="en-US"/>
        </w:rPr>
        <w:t>‘</w:t>
      </w:r>
      <w:r>
        <w:rPr>
          <w:rtl w:val="0"/>
          <w:lang w:val="en-US"/>
        </w:rPr>
        <w:t>deed</w:t>
      </w:r>
      <w:r>
        <w:rPr>
          <w:rFonts w:hAnsi="Helvetica" w:hint="default"/>
          <w:rtl w:val="0"/>
          <w:lang w:val="en-US"/>
        </w:rPr>
        <w:t>’</w:t>
      </w:r>
      <w:r>
        <w:rPr>
          <w:rtl w:val="0"/>
          <w:lang w:val="en-US"/>
        </w:rPr>
        <w:t xml:space="preserve">, or a </w:t>
      </w:r>
      <w:r>
        <w:rPr>
          <w:rFonts w:hAnsi="Helvetica" w:hint="default"/>
          <w:rtl w:val="0"/>
          <w:lang w:val="en-US"/>
        </w:rPr>
        <w:t>‘</w:t>
      </w:r>
      <w:r>
        <w:rPr>
          <w:rtl w:val="0"/>
          <w:lang w:val="en-US"/>
        </w:rPr>
        <w:t>will</w:t>
      </w:r>
      <w:r>
        <w:rPr>
          <w:rFonts w:hAnsi="Helvetica" w:hint="default"/>
          <w:rtl w:val="0"/>
          <w:lang w:val="en-US"/>
        </w:rPr>
        <w:t>’</w:t>
      </w:r>
      <w:r>
        <w:rPr>
          <w:rtl w:val="0"/>
          <w:lang w:val="en-US"/>
        </w:rPr>
        <w:t>. Within this context, Matthias</w:t>
      </w:r>
      <w:r>
        <w:rPr>
          <w:rFonts w:hAnsi="Helvetica" w:hint="default"/>
          <w:rtl w:val="0"/>
          <w:lang w:val="en-US"/>
        </w:rPr>
        <w:t xml:space="preserve">’ </w:t>
      </w:r>
      <w:r>
        <w:rPr>
          <w:rtl w:val="0"/>
          <w:lang w:val="en-US"/>
        </w:rPr>
        <w:t xml:space="preserve">ensuing petition for a proportionate revenge might appear as if adhering to legal principles, and his desire for mathematical squareness might appear a desire for the even-sided fairness that the law supposedly promulgates. But Matthias is in fact anything but a man of law, and certainly would not have qualified as such in any recognisable way to his early modern spectators. His notion that </w:t>
      </w:r>
      <w:r>
        <w:rPr>
          <w:rFonts w:hAnsi="Helvetica" w:hint="default"/>
          <w:rtl w:val="0"/>
          <w:lang w:val="en-US"/>
        </w:rPr>
        <w:t>‘</w:t>
      </w:r>
      <w:r>
        <w:rPr>
          <w:rtl w:val="0"/>
          <w:lang w:val="en-US"/>
        </w:rPr>
        <w:t>A man compelled / To evil acts, cannot be justly held / A wilful malefactor</w:t>
      </w:r>
      <w:r>
        <w:rPr>
          <w:rFonts w:hAnsi="Helvetica" w:hint="default"/>
          <w:rtl w:val="0"/>
          <w:lang w:val="en-US"/>
        </w:rPr>
        <w:t xml:space="preserve">’ </w:t>
      </w:r>
      <w:r>
        <w:rPr>
          <w:rtl w:val="0"/>
          <w:lang w:val="en-US"/>
        </w:rPr>
        <w:t xml:space="preserve">was well at odds with Elizabethan and Jacobean legal theory, in which the concept of </w:t>
      </w:r>
      <w:r>
        <w:rPr>
          <w:i w:val="1"/>
          <w:iCs w:val="1"/>
          <w:rtl w:val="0"/>
          <w:lang w:val="en-US"/>
        </w:rPr>
        <w:t>malitia praecogitata</w:t>
      </w:r>
      <w:r>
        <w:rPr>
          <w:rtl w:val="0"/>
          <w:lang w:val="en-US"/>
        </w:rPr>
        <w:t xml:space="preserve">, or malice prepense, dominated the criminal law. As Andrew Zurcher has explained, </w:t>
      </w:r>
      <w:r>
        <w:rPr>
          <w:rFonts w:hAnsi="Helvetica" w:hint="default"/>
          <w:rtl w:val="0"/>
          <w:lang w:val="en-US"/>
        </w:rPr>
        <w:t>‘</w:t>
      </w:r>
      <w:r>
        <w:rPr>
          <w:rtl w:val="0"/>
          <w:lang w:val="en-US"/>
        </w:rPr>
        <w:t>malice prepense was of such force in the law of felony that it persisted through certain obstructions to and alterations of the intended crime</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52"/>
      </w:r>
      <w:r>
        <w:rPr>
          <w:rtl w:val="0"/>
          <w:lang w:val="en-US"/>
        </w:rPr>
        <w:t xml:space="preserve"> Zurcher cites Coke: </w:t>
      </w:r>
      <w:r>
        <w:rPr>
          <w:rFonts w:hAnsi="Helvetica" w:hint="default"/>
          <w:rtl w:val="0"/>
          <w:lang w:val="en-US"/>
        </w:rPr>
        <w:t>‘</w:t>
      </w:r>
      <w:r>
        <w:rPr>
          <w:rtl w:val="0"/>
          <w:lang w:val="en-US"/>
        </w:rPr>
        <w:t>For if A command B, to kill C, and B by mistaking killeth D in stead of C, this is murder in B because he did the act: and it sprang out of the root of malice, and the law shall couple the event to the cause</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53"/>
      </w:r>
      <w:r>
        <w:rPr>
          <w:rtl w:val="0"/>
          <w:lang w:val="en-US"/>
        </w:rPr>
        <w:t xml:space="preserve"> Especially when we recall that Matthias </w:t>
      </w:r>
      <w:r>
        <w:rPr>
          <w:rtl w:val="0"/>
          <w:lang w:val="en-US"/>
        </w:rPr>
        <w:t xml:space="preserve">has </w:t>
      </w:r>
      <w:r>
        <w:rPr>
          <w:rtl w:val="0"/>
          <w:lang w:val="en-US"/>
        </w:rPr>
        <w:t xml:space="preserve">himself </w:t>
      </w:r>
      <w:r>
        <w:rPr>
          <w:rtl w:val="0"/>
          <w:lang w:val="en-US"/>
        </w:rPr>
        <w:t>previously been duped into parricide</w:t>
      </w:r>
      <w:r>
        <w:rPr>
          <w:rtl w:val="0"/>
          <w:lang w:val="en-US"/>
        </w:rPr>
        <w:t xml:space="preserve">, his incentives for advocating the conception of an innocent man compelled to evil come to appear quite disingenuous, as well as without legal basis.  </w:t>
      </w:r>
    </w:p>
    <w:p>
      <w:pPr>
        <w:pStyle w:val="Body"/>
        <w:spacing w:line="360" w:lineRule="auto"/>
        <w:jc w:val="left"/>
      </w:pPr>
      <w:r>
        <w:rPr>
          <w:rtl w:val="0"/>
        </w:rPr>
        <w:tab/>
        <w:t>In fact, both Mathias and Hoffman</w:t>
      </w:r>
      <w:r>
        <w:rPr>
          <w:rFonts w:hAnsi="Helvetica" w:hint="default"/>
          <w:rtl w:val="0"/>
          <w:lang w:val="en-US"/>
        </w:rPr>
        <w:t>’</w:t>
      </w:r>
      <w:r>
        <w:rPr>
          <w:rtl w:val="0"/>
          <w:lang w:val="en-US"/>
        </w:rPr>
        <w:t>s instincts to quantify violence are almost never attempts to remain within the remit of the law, but are rather reactions to that law</w:t>
      </w:r>
      <w:r>
        <w:rPr>
          <w:rFonts w:hAnsi="Helvetica" w:hint="default"/>
          <w:rtl w:val="0"/>
          <w:lang w:val="en-US"/>
        </w:rPr>
        <w:t>’</w:t>
      </w:r>
      <w:r>
        <w:rPr>
          <w:rtl w:val="0"/>
          <w:lang w:val="en-US"/>
        </w:rPr>
        <w:t>s ineffectiveness. Matthias</w:t>
      </w:r>
      <w:r>
        <w:rPr>
          <w:rFonts w:hAnsi="Helvetica" w:hint="default"/>
          <w:rtl w:val="0"/>
          <w:lang w:val="en-US"/>
        </w:rPr>
        <w:t xml:space="preserve">’ </w:t>
      </w:r>
      <w:r>
        <w:rPr>
          <w:rtl w:val="0"/>
          <w:lang w:val="en-US"/>
        </w:rPr>
        <w:t xml:space="preserve">announcement that </w:t>
      </w:r>
      <w:r>
        <w:rPr>
          <w:rFonts w:hAnsi="Helvetica" w:hint="default"/>
          <w:rtl w:val="0"/>
          <w:lang w:val="en-US"/>
        </w:rPr>
        <w:t>‘</w:t>
      </w:r>
      <w:r>
        <w:rPr>
          <w:rtl w:val="0"/>
          <w:lang w:val="en-US"/>
        </w:rPr>
        <w:t>The law still / Looks upon the deed, ne</w:t>
      </w:r>
      <w:r>
        <w:rPr>
          <w:rFonts w:hAnsi="Helvetica" w:hint="default"/>
          <w:rtl w:val="0"/>
          <w:lang w:val="en-US"/>
        </w:rPr>
        <w:t>’</w:t>
      </w:r>
      <w:r>
        <w:rPr>
          <w:rtl w:val="0"/>
          <w:lang w:val="en-US"/>
        </w:rPr>
        <w:t>er on the will</w:t>
      </w:r>
      <w:r>
        <w:rPr>
          <w:rFonts w:hAnsi="Helvetica" w:hint="default"/>
          <w:rtl w:val="0"/>
          <w:lang w:val="en-US"/>
        </w:rPr>
        <w:t xml:space="preserve">’ </w:t>
      </w:r>
      <w:r>
        <w:rPr>
          <w:rtl w:val="0"/>
          <w:lang w:val="en-US"/>
        </w:rPr>
        <w:t xml:space="preserve">should not be read as the declaration of legal truth but rather as a subversive indictment of the judicial process: the law </w:t>
      </w:r>
      <w:r>
        <w:rPr>
          <w:i w:val="1"/>
          <w:iCs w:val="1"/>
          <w:rtl w:val="0"/>
          <w:lang w:val="en-US"/>
        </w:rPr>
        <w:t>should</w:t>
      </w:r>
      <w:r>
        <w:rPr>
          <w:rtl w:val="0"/>
          <w:lang w:val="en-US"/>
        </w:rPr>
        <w:t xml:space="preserve"> be considering the </w:t>
      </w:r>
      <w:r>
        <w:rPr>
          <w:rFonts w:hAnsi="Helvetica" w:hint="default"/>
          <w:rtl w:val="0"/>
          <w:lang w:val="en-US"/>
        </w:rPr>
        <w:t>‘</w:t>
      </w:r>
      <w:r>
        <w:rPr>
          <w:rtl w:val="0"/>
          <w:lang w:val="en-US"/>
        </w:rPr>
        <w:t>will</w:t>
      </w:r>
      <w:r>
        <w:rPr>
          <w:rFonts w:hAnsi="Helvetica" w:hint="default"/>
          <w:rtl w:val="0"/>
          <w:lang w:val="en-US"/>
        </w:rPr>
        <w:t>’</w:t>
      </w:r>
      <w:r>
        <w:rPr>
          <w:rtl w:val="0"/>
          <w:lang w:val="en-US"/>
        </w:rPr>
        <w:t xml:space="preserve">, and not just the </w:t>
      </w:r>
      <w:r>
        <w:rPr>
          <w:rFonts w:hAnsi="Helvetica" w:hint="default"/>
          <w:rtl w:val="0"/>
          <w:lang w:val="en-US"/>
        </w:rPr>
        <w:t>‘</w:t>
      </w:r>
      <w:r>
        <w:rPr>
          <w:rtl w:val="0"/>
          <w:lang w:val="en-US"/>
        </w:rPr>
        <w:t>deed</w:t>
      </w:r>
      <w:r>
        <w:rPr>
          <w:rFonts w:hAnsi="Helvetica" w:hint="default"/>
          <w:rtl w:val="0"/>
          <w:lang w:val="en-US"/>
        </w:rPr>
        <w:t>’</w:t>
      </w:r>
      <w:r>
        <w:rPr>
          <w:rtl w:val="0"/>
          <w:lang w:val="en-US"/>
        </w:rPr>
        <w:t xml:space="preserve">, but it is </w:t>
      </w:r>
      <w:r>
        <w:rPr>
          <w:rFonts w:hAnsi="Helvetica" w:hint="default"/>
          <w:rtl w:val="0"/>
          <w:lang w:val="en-US"/>
        </w:rPr>
        <w:t>‘</w:t>
      </w:r>
      <w:r>
        <w:rPr>
          <w:rtl w:val="0"/>
          <w:lang w:val="en-US"/>
        </w:rPr>
        <w:t>still</w:t>
      </w:r>
      <w:r>
        <w:rPr>
          <w:rFonts w:hAnsi="Helvetica" w:hint="default"/>
          <w:rtl w:val="0"/>
          <w:lang w:val="en-US"/>
        </w:rPr>
        <w:t xml:space="preserve">’ </w:t>
      </w:r>
      <w:r>
        <w:rPr>
          <w:rtl w:val="0"/>
          <w:lang w:val="en-US"/>
        </w:rPr>
        <w:t xml:space="preserve">failing to do so. For despite the prevalence of malice prepense in early modern legal </w:t>
      </w:r>
      <w:r>
        <w:rPr>
          <w:i w:val="1"/>
          <w:iCs w:val="1"/>
          <w:rtl w:val="0"/>
          <w:lang w:val="en-US"/>
        </w:rPr>
        <w:t>theory</w:t>
      </w:r>
      <w:r>
        <w:rPr>
          <w:rtl w:val="0"/>
          <w:lang w:val="en-US"/>
        </w:rPr>
        <w:t>, the principle</w:t>
      </w:r>
      <w:r>
        <w:rPr>
          <w:rFonts w:hAnsi="Helvetica" w:hint="default"/>
          <w:rtl w:val="0"/>
          <w:lang w:val="en-US"/>
        </w:rPr>
        <w:t>’</w:t>
      </w:r>
      <w:r>
        <w:rPr>
          <w:rtl w:val="0"/>
          <w:lang w:val="en-US"/>
        </w:rPr>
        <w:t xml:space="preserve">s actual application in early modern legal </w:t>
      </w:r>
      <w:r>
        <w:rPr>
          <w:i w:val="1"/>
          <w:iCs w:val="1"/>
          <w:rtl w:val="0"/>
          <w:lang w:val="en-US"/>
        </w:rPr>
        <w:t xml:space="preserve">praxis </w:t>
      </w:r>
      <w:r>
        <w:rPr>
          <w:rtl w:val="0"/>
          <w:lang w:val="en-US"/>
        </w:rPr>
        <w:t xml:space="preserve">was inconsistent. As John Baker has made clear, the criminal law was </w:t>
      </w:r>
      <w:r>
        <w:rPr>
          <w:rFonts w:hAnsi="Helvetica" w:hint="default"/>
          <w:rtl w:val="0"/>
          <w:lang w:val="en-US"/>
        </w:rPr>
        <w:t>‘</w:t>
      </w:r>
      <w:r>
        <w:rPr>
          <w:rtl w:val="0"/>
          <w:lang w:val="en-US"/>
        </w:rPr>
        <w:t>slow to develop</w:t>
      </w:r>
      <w:r>
        <w:rPr>
          <w:rFonts w:hAnsi="Helvetica" w:hint="default"/>
          <w:rtl w:val="0"/>
          <w:lang w:val="en-US"/>
        </w:rPr>
        <w:t>’</w:t>
      </w:r>
      <w:r>
        <w:rPr>
          <w:rtl w:val="0"/>
          <w:lang w:val="en-US"/>
        </w:rPr>
        <w:t xml:space="preserve">, and its operation </w:t>
      </w:r>
      <w:r>
        <w:rPr>
          <w:rFonts w:hAnsi="Helvetica" w:hint="default"/>
          <w:rtl w:val="0"/>
          <w:lang w:val="en-US"/>
        </w:rPr>
        <w:t>‘</w:t>
      </w:r>
      <w:r>
        <w:rPr>
          <w:rtl w:val="0"/>
          <w:lang w:val="en-US"/>
        </w:rPr>
        <w:t>fluctuated from almost ineffectual leniency to brutal severity</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54"/>
      </w:r>
      <w:r>
        <w:rPr>
          <w:rFonts w:hAnsi="Helvetica" w:hint="default"/>
          <w:rtl w:val="0"/>
          <w:lang w:val="en-US"/>
        </w:rPr>
        <w:t xml:space="preserve"> ‘</w:t>
      </w:r>
      <w:r>
        <w:rPr>
          <w:rtl w:val="0"/>
          <w:lang w:val="en-US"/>
        </w:rPr>
        <w:t>Trained lawyers</w:t>
      </w:r>
      <w:r>
        <w:rPr>
          <w:rFonts w:hAnsi="Helvetica" w:hint="default"/>
          <w:rtl w:val="0"/>
          <w:lang w:val="en-US"/>
        </w:rPr>
        <w:t>’</w:t>
      </w:r>
      <w:r>
        <w:rPr>
          <w:rtl w:val="0"/>
          <w:lang w:val="en-US"/>
        </w:rPr>
        <w:t xml:space="preserve">, explains Cynthia Herrup, </w:t>
      </w:r>
      <w:r>
        <w:rPr>
          <w:rFonts w:hAnsi="Helvetica" w:hint="default"/>
          <w:rtl w:val="0"/>
          <w:lang w:val="en-US"/>
        </w:rPr>
        <w:t>‘</w:t>
      </w:r>
      <w:r>
        <w:rPr>
          <w:rtl w:val="0"/>
          <w:lang w:val="en-US"/>
        </w:rPr>
        <w:t>were essential to most procedures, but professional counsel was rare in criminal trials until the eighteenth century</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55"/>
      </w:r>
      <w:r>
        <w:rPr>
          <w:rtl w:val="0"/>
          <w:lang w:val="en-US"/>
        </w:rPr>
        <w:t xml:space="preserve"> Complicating the judicial process was the difficulty of obtaining concrete evidence. The </w:t>
      </w:r>
      <w:r>
        <w:rPr>
          <w:rFonts w:hAnsi="Helvetica" w:hint="default"/>
          <w:rtl w:val="0"/>
        </w:rPr>
        <w:t>‘</w:t>
      </w:r>
      <w:r>
        <w:rPr>
          <w:rtl w:val="0"/>
          <w:lang w:val="en-US"/>
        </w:rPr>
        <w:t>providentialist evidentiary practise</w:t>
      </w:r>
      <w:r>
        <w:rPr>
          <w:rFonts w:hAnsi="Helvetica" w:hint="default"/>
          <w:rtl w:val="0"/>
          <w:lang w:val="fr-FR"/>
        </w:rPr>
        <w:t>’</w:t>
      </w:r>
      <w:r>
        <w:rPr>
          <w:rtl w:val="0"/>
          <w:lang w:val="en-US"/>
        </w:rPr>
        <w:t xml:space="preserve"> outlined by Subha Mukherji,</w:t>
      </w:r>
      <w:r>
        <w:rPr>
          <w:rFonts w:ascii="Times New Roman" w:cs="Times New Roman" w:hAnsi="Times New Roman" w:eastAsia="Times New Roman"/>
          <w:vertAlign w:val="superscript"/>
        </w:rPr>
        <w:footnoteReference w:id="56"/>
      </w:r>
      <w:r>
        <w:rPr>
          <w:rtl w:val="0"/>
          <w:lang w:val="en-US"/>
        </w:rPr>
        <w:t xml:space="preserve"> based upon superstitious processes such as cruentation, was aimed primarily at attributing a perpetrator, not establishing that perpetrator</w:t>
      </w:r>
      <w:r>
        <w:rPr>
          <w:rFonts w:hAnsi="Helvetica" w:hint="default"/>
          <w:rtl w:val="0"/>
          <w:lang w:val="en-US"/>
        </w:rPr>
        <w:t>’</w:t>
      </w:r>
      <w:r>
        <w:rPr>
          <w:rtl w:val="0"/>
          <w:lang w:val="en-US"/>
        </w:rPr>
        <w:t xml:space="preserve">s motives, whereas the </w:t>
      </w:r>
      <w:r>
        <w:rPr>
          <w:rFonts w:hAnsi="Helvetica" w:hint="default"/>
          <w:rtl w:val="0"/>
          <w:lang w:val="en-US"/>
        </w:rPr>
        <w:t>‘“</w:t>
      </w:r>
      <w:r>
        <w:rPr>
          <w:rtl w:val="0"/>
          <w:lang w:val="en-US"/>
        </w:rPr>
        <w:t>forensic</w:t>
      </w:r>
      <w:r>
        <w:rPr>
          <w:rFonts w:hAnsi="Helvetica" w:hint="default"/>
          <w:rtl w:val="0"/>
          <w:lang w:val="en-US"/>
        </w:rPr>
        <w:t xml:space="preserve">” </w:t>
      </w:r>
      <w:r>
        <w:rPr>
          <w:rtl w:val="0"/>
          <w:lang w:val="en-US"/>
        </w:rPr>
        <w:t xml:space="preserve">or </w:t>
      </w:r>
      <w:r>
        <w:rPr>
          <w:rFonts w:hAnsi="Helvetica" w:hint="default"/>
          <w:rtl w:val="0"/>
          <w:lang w:val="en-US"/>
        </w:rPr>
        <w:t>“</w:t>
      </w:r>
      <w:r>
        <w:rPr>
          <w:rtl w:val="0"/>
          <w:lang w:val="en-US"/>
        </w:rPr>
        <w:t>detective</w:t>
      </w:r>
      <w:r>
        <w:rPr>
          <w:rFonts w:hAnsi="Helvetica" w:hint="default"/>
          <w:rtl w:val="0"/>
          <w:lang w:val="en-US"/>
        </w:rPr>
        <w:t xml:space="preserve">” </w:t>
      </w:r>
      <w:r>
        <w:rPr>
          <w:rtl w:val="0"/>
          <w:lang w:val="en-US"/>
        </w:rPr>
        <w:t>habits of mind</w:t>
      </w:r>
      <w:r>
        <w:rPr>
          <w:rFonts w:hAnsi="Helvetica" w:hint="default"/>
          <w:rtl w:val="0"/>
          <w:lang w:val="en-US"/>
        </w:rPr>
        <w:t xml:space="preserve">’ </w:t>
      </w:r>
      <w:r>
        <w:rPr>
          <w:rtl w:val="0"/>
          <w:lang w:val="en-US"/>
        </w:rPr>
        <w:t>outlined by Lorna Hutson,</w:t>
      </w:r>
      <w:r>
        <w:rPr>
          <w:rFonts w:ascii="Times New Roman" w:cs="Times New Roman" w:hAnsi="Times New Roman" w:eastAsia="Times New Roman"/>
          <w:vertAlign w:val="superscript"/>
        </w:rPr>
        <w:footnoteReference w:id="57"/>
      </w:r>
      <w:r>
        <w:rPr>
          <w:rtl w:val="0"/>
          <w:lang w:val="en-US"/>
        </w:rPr>
        <w:t xml:space="preserve"> based upon the techniques of classical rhetoric, lacked divine authority. Establishing intentionality, then, was an almost impossible task, and the courts</w:t>
      </w:r>
      <w:r>
        <w:rPr>
          <w:rFonts w:hAnsi="Helvetica" w:hint="default"/>
          <w:rtl w:val="0"/>
          <w:lang w:val="en-US"/>
        </w:rPr>
        <w:t xml:space="preserve">’ </w:t>
      </w:r>
      <w:r>
        <w:rPr>
          <w:rtl w:val="0"/>
          <w:lang w:val="en-US"/>
        </w:rPr>
        <w:t>decisions were inevitably both dubious and inconsistent as a result. In light of his critique of the law, Matthias</w:t>
      </w:r>
      <w:r>
        <w:rPr>
          <w:rFonts w:hAnsi="Helvetica" w:hint="default"/>
          <w:rtl w:val="0"/>
          <w:lang w:val="en-US"/>
        </w:rPr>
        <w:t xml:space="preserve">’ </w:t>
      </w:r>
      <w:r>
        <w:rPr>
          <w:rtl w:val="0"/>
          <w:lang w:val="en-US"/>
        </w:rPr>
        <w:t xml:space="preserve">attendant desire to pardon Lorrique can be understood as motivated not by any legal or ethical equitability based upon a legitimate evidentiary practise evidence, but by his intention to use Lorrique as a pawn in his proportional revenge plans: </w:t>
      </w:r>
      <w:r>
        <w:rPr>
          <w:rFonts w:hAnsi="Helvetica" w:hint="default"/>
          <w:rtl w:val="0"/>
          <w:lang w:val="en-US"/>
        </w:rPr>
        <w:t>‘</w:t>
      </w:r>
      <w:r>
        <w:rPr>
          <w:rtl w:val="0"/>
          <w:lang w:val="en-US"/>
        </w:rPr>
        <w:t>by my advice</w:t>
      </w:r>
      <w:r>
        <w:rPr>
          <w:rFonts w:hAnsi="Helvetica" w:hint="default"/>
          <w:rtl w:val="0"/>
          <w:lang w:val="en-US"/>
        </w:rPr>
        <w:t>’</w:t>
      </w:r>
      <w:r>
        <w:rPr>
          <w:rtl w:val="0"/>
          <w:lang w:val="en-US"/>
        </w:rPr>
        <w:t xml:space="preserve">, he says, </w:t>
      </w:r>
      <w:r>
        <w:rPr>
          <w:rFonts w:hAnsi="Helvetica" w:hint="default"/>
          <w:rtl w:val="0"/>
          <w:lang w:val="en-US"/>
        </w:rPr>
        <w:t>‘</w:t>
      </w:r>
      <w:r>
        <w:rPr>
          <w:rtl w:val="0"/>
          <w:lang w:val="en-US"/>
        </w:rPr>
        <w:t>pardon Lorrique / Upon condition that he lay some plot / To intercept the other</w:t>
      </w:r>
      <w:r>
        <w:rPr>
          <w:rFonts w:hAnsi="Helvetica" w:hint="default"/>
          <w:rtl w:val="0"/>
          <w:lang w:val="en-US"/>
        </w:rPr>
        <w:t xml:space="preserve">’ </w:t>
      </w:r>
      <w:r>
        <w:rPr>
          <w:rtl w:val="0"/>
          <w:lang w:val="en-US"/>
        </w:rPr>
        <w:t>(5.1.286-88). Law is eschewed in favour of a mathematically reciprocal private justice.</w:t>
      </w:r>
    </w:p>
    <w:p>
      <w:pPr>
        <w:pStyle w:val="Body"/>
        <w:spacing w:line="360" w:lineRule="auto"/>
        <w:jc w:val="left"/>
      </w:pPr>
      <w:r>
        <w:rPr>
          <w:rtl w:val="0"/>
        </w:rPr>
        <w:tab/>
        <w:t>Similarly, for Hoffman, the failure of the judiciary in respect to his father</w:t>
      </w:r>
      <w:r>
        <w:rPr>
          <w:rFonts w:hAnsi="Helvetica" w:hint="default"/>
          <w:rtl w:val="0"/>
          <w:lang w:val="en-US"/>
        </w:rPr>
        <w:t>’</w:t>
      </w:r>
      <w:r>
        <w:rPr>
          <w:rtl w:val="0"/>
          <w:lang w:val="en-US"/>
        </w:rPr>
        <w:t xml:space="preserve">s (mis)doings provides him with the overarching justification for his entire revenge project, and is articulated by him as a matter of deep-seated socio-political unfairness. As Otho expires, he declares: </w:t>
      </w:r>
      <w:r>
        <w:rPr>
          <w:rFonts w:hAnsi="Helvetica" w:hint="default"/>
          <w:rtl w:val="0"/>
          <w:lang w:val="en-US"/>
        </w:rPr>
        <w:t>‘</w:t>
      </w:r>
      <w:r>
        <w:rPr>
          <w:rtl w:val="0"/>
          <w:lang w:val="en-US"/>
        </w:rPr>
        <w:t>wretches sentenced never find defence, / How ever guiltless be their innocence</w:t>
      </w:r>
      <w:r>
        <w:rPr>
          <w:rFonts w:hAnsi="Helvetica" w:hint="default"/>
          <w:rtl w:val="0"/>
          <w:lang w:val="en-US"/>
        </w:rPr>
        <w:t xml:space="preserve">’ </w:t>
      </w:r>
      <w:r>
        <w:rPr>
          <w:rtl w:val="0"/>
          <w:lang w:val="en-US"/>
        </w:rPr>
        <w:t xml:space="preserve">(1.1.14-15). In the absence of a successful, state-provided system of retribution, Hoffman defers to a method of justice based upon private memory and primitive oath. In his final moments, rancorously resigning himself to his own impending subjection to the burning crown, Hoffman castigates his negligence in satisfying the bond he has made with his dead father, thwarted only by his unbusinesslike affections: </w:t>
      </w:r>
      <w:r>
        <w:rPr>
          <w:rFonts w:hAnsi="Helvetica" w:hint="default"/>
          <w:rtl w:val="0"/>
          <w:lang w:val="en-US"/>
        </w:rPr>
        <w:t>‘</w:t>
      </w:r>
      <w:r>
        <w:rPr>
          <w:rtl w:val="0"/>
          <w:lang w:val="en-US"/>
        </w:rPr>
        <w:t>A man resolved in blood, bound by a vow / For no less vengeance than his father</w:t>
      </w:r>
      <w:r>
        <w:rPr>
          <w:rFonts w:hAnsi="Helvetica" w:hint="default"/>
          <w:rtl w:val="0"/>
          <w:lang w:val="en-US"/>
        </w:rPr>
        <w:t>’</w:t>
      </w:r>
      <w:r>
        <w:rPr>
          <w:rtl w:val="0"/>
          <w:lang w:val="en-US"/>
        </w:rPr>
        <w:t>s death, / Yet become amorous of his foe</w:t>
      </w:r>
      <w:r>
        <w:rPr>
          <w:rFonts w:hAnsi="Helvetica" w:hint="default"/>
          <w:rtl w:val="0"/>
          <w:lang w:val="en-US"/>
        </w:rPr>
        <w:t>’</w:t>
      </w:r>
      <w:r>
        <w:rPr>
          <w:rtl w:val="0"/>
          <w:lang w:val="en-US"/>
        </w:rPr>
        <w:t>s wife!</w:t>
      </w:r>
      <w:r>
        <w:rPr>
          <w:rFonts w:hAnsi="Helvetica" w:hint="default"/>
          <w:rtl w:val="0"/>
          <w:lang w:val="en-US"/>
        </w:rPr>
        <w:t xml:space="preserve">’ </w:t>
      </w:r>
      <w:r>
        <w:rPr>
          <w:rtl w:val="0"/>
          <w:lang w:val="en-US"/>
        </w:rPr>
        <w:t>(5.3.158-160). The sheer magnitude of his duties gives them intractable force, but their numerical specificity makes his failure to discharge them impossible to ignore:</w:t>
      </w:r>
    </w:p>
    <w:p>
      <w:pPr>
        <w:pStyle w:val="Body"/>
        <w:jc w:val="left"/>
      </w:pPr>
    </w:p>
    <w:p>
      <w:pPr>
        <w:pStyle w:val="Body"/>
        <w:jc w:val="left"/>
        <w:rPr>
          <w:sz w:val="20"/>
          <w:szCs w:val="20"/>
        </w:rPr>
      </w:pPr>
      <w:r>
        <w:rPr>
          <w:sz w:val="20"/>
          <w:szCs w:val="20"/>
          <w:rtl w:val="0"/>
        </w:rPr>
        <w:tab/>
        <w:tab/>
        <w:tab/>
        <w:t>I that had sworn unto my father</w:t>
      </w:r>
      <w:r>
        <w:rPr>
          <w:rFonts w:hAnsi="Helvetica" w:hint="default"/>
          <w:sz w:val="20"/>
          <w:szCs w:val="20"/>
          <w:rtl w:val="0"/>
          <w:lang w:val="en-US"/>
        </w:rPr>
        <w:t>’</w:t>
      </w:r>
      <w:r>
        <w:rPr>
          <w:sz w:val="20"/>
          <w:szCs w:val="20"/>
          <w:rtl w:val="0"/>
          <w:lang w:val="en-US"/>
        </w:rPr>
        <w:t>s soul</w:t>
      </w:r>
    </w:p>
    <w:p>
      <w:pPr>
        <w:pStyle w:val="Body"/>
        <w:jc w:val="left"/>
        <w:rPr>
          <w:sz w:val="20"/>
          <w:szCs w:val="20"/>
        </w:rPr>
      </w:pPr>
      <w:r>
        <w:rPr>
          <w:sz w:val="20"/>
          <w:szCs w:val="20"/>
          <w:rtl w:val="0"/>
        </w:rPr>
        <w:tab/>
        <w:tab/>
        <w:tab/>
        <w:t>To be revenged on Austria, Saxony,</w:t>
        <w:tab/>
        <w:tab/>
        <w:tab/>
        <w:tab/>
      </w:r>
    </w:p>
    <w:p>
      <w:pPr>
        <w:pStyle w:val="Body"/>
        <w:jc w:val="left"/>
        <w:rPr>
          <w:sz w:val="20"/>
          <w:szCs w:val="20"/>
        </w:rPr>
      </w:pPr>
      <w:r>
        <w:rPr>
          <w:sz w:val="20"/>
          <w:szCs w:val="20"/>
          <w:rtl w:val="0"/>
        </w:rPr>
        <w:tab/>
        <w:tab/>
        <w:tab/>
        <w:t>Prussia, Luningberg, and all their heirs:</w:t>
      </w:r>
    </w:p>
    <w:p>
      <w:pPr>
        <w:pStyle w:val="Body"/>
        <w:jc w:val="left"/>
        <w:rPr>
          <w:sz w:val="20"/>
          <w:szCs w:val="20"/>
        </w:rPr>
      </w:pPr>
      <w:r>
        <w:rPr>
          <w:sz w:val="20"/>
          <w:szCs w:val="20"/>
          <w:rtl w:val="0"/>
        </w:rPr>
        <w:tab/>
        <w:tab/>
        <w:tab/>
        <w:t>Had prospered in the downfall of some five;</w:t>
      </w:r>
    </w:p>
    <w:p>
      <w:pPr>
        <w:pStyle w:val="Body"/>
        <w:jc w:val="left"/>
        <w:rPr>
          <w:sz w:val="20"/>
          <w:szCs w:val="20"/>
        </w:rPr>
      </w:pPr>
      <w:r>
        <w:rPr>
          <w:sz w:val="20"/>
          <w:szCs w:val="20"/>
          <w:rtl w:val="0"/>
        </w:rPr>
        <w:tab/>
        <w:tab/>
        <w:tab/>
        <w:t>Had only three to offer to the fiends,</w:t>
      </w:r>
    </w:p>
    <w:p>
      <w:pPr>
        <w:pStyle w:val="Body"/>
        <w:jc w:val="left"/>
        <w:rPr>
          <w:sz w:val="20"/>
          <w:szCs w:val="20"/>
        </w:rPr>
      </w:pPr>
      <w:r>
        <w:rPr>
          <w:sz w:val="20"/>
          <w:szCs w:val="20"/>
          <w:rtl w:val="0"/>
        </w:rPr>
        <w:tab/>
        <w:tab/>
        <w:tab/>
        <w:t>And then must fall in love</w:t>
      </w:r>
      <w:r>
        <w:rPr>
          <w:rFonts w:hAnsi="Helvetica" w:hint="default"/>
          <w:sz w:val="20"/>
          <w:szCs w:val="20"/>
          <w:rtl w:val="0"/>
          <w:lang w:val="en-US"/>
        </w:rPr>
        <w:t>…</w:t>
      </w:r>
    </w:p>
    <w:p>
      <w:pPr>
        <w:pStyle w:val="Body"/>
        <w:jc w:val="left"/>
        <w:rPr>
          <w:sz w:val="20"/>
          <w:szCs w:val="20"/>
        </w:rPr>
      </w:pPr>
      <w:r>
        <w:rPr>
          <w:sz w:val="20"/>
          <w:szCs w:val="20"/>
        </w:rPr>
        <w:tab/>
        <w:tab/>
        <w:tab/>
        <w:tab/>
        <w:tab/>
        <w:tab/>
      </w:r>
      <w:r>
        <w:rPr>
          <w:sz w:val="20"/>
          <w:szCs w:val="20"/>
          <w:rtl w:val="0"/>
        </w:rPr>
        <w:t>(5.3.145-151</w:t>
      </w:r>
      <w:r>
        <w:rPr>
          <w:sz w:val="20"/>
          <w:szCs w:val="20"/>
          <w:rtl w:val="0"/>
          <w:lang w:val="en-US"/>
        </w:rPr>
        <w:t>)</w:t>
      </w:r>
    </w:p>
    <w:p>
      <w:pPr>
        <w:pStyle w:val="Body"/>
        <w:jc w:val="left"/>
        <w:rPr>
          <w:sz w:val="20"/>
          <w:szCs w:val="20"/>
        </w:rPr>
      </w:pPr>
    </w:p>
    <w:p>
      <w:pPr>
        <w:pStyle w:val="Body"/>
        <w:jc w:val="left"/>
      </w:pPr>
    </w:p>
    <w:p>
      <w:pPr>
        <w:pStyle w:val="Body"/>
        <w:spacing w:line="360" w:lineRule="auto"/>
        <w:jc w:val="left"/>
      </w:pPr>
      <w:r>
        <w:rPr>
          <w:rtl w:val="0"/>
          <w:lang w:val="en-US"/>
        </w:rPr>
        <w:t xml:space="preserve">Even though Kerrigan has argued convincingly that revenge tragedy </w:t>
      </w:r>
      <w:r>
        <w:rPr>
          <w:rFonts w:hAnsi="Helvetica" w:hint="default"/>
          <w:rtl w:val="0"/>
          <w:lang w:val="en-US"/>
        </w:rPr>
        <w:t>‘</w:t>
      </w:r>
      <w:r>
        <w:rPr>
          <w:rtl w:val="0"/>
          <w:lang w:val="en-US"/>
        </w:rPr>
        <w:t>shows the past inciting violence but notices how retrospection can offer its own satisfactions and draw an avenger back from his task</w:t>
      </w:r>
      <w:r>
        <w:rPr>
          <w:rFonts w:hAnsi="Helvetica" w:hint="default"/>
          <w:rtl w:val="0"/>
          <w:lang w:val="en-US"/>
        </w:rPr>
        <w:t>’</w:t>
      </w:r>
      <w:r>
        <w:rPr>
          <w:rtl w:val="0"/>
          <w:lang w:val="en-US"/>
        </w:rPr>
        <w:t>,</w:t>
      </w:r>
      <w:r>
        <w:rPr>
          <w:rFonts w:ascii="Times New Roman" w:cs="Times New Roman" w:hAnsi="Times New Roman" w:eastAsia="Times New Roman"/>
          <w:vertAlign w:val="superscript"/>
        </w:rPr>
        <w:footnoteReference w:id="58"/>
      </w:r>
      <w:r>
        <w:rPr>
          <w:rtl w:val="0"/>
          <w:lang w:val="en-US"/>
        </w:rPr>
        <w:t xml:space="preserve"> Hoffman, unlike Hamlet,</w:t>
      </w:r>
      <w:r>
        <w:rPr>
          <w:rFonts w:ascii="Times New Roman" w:cs="Times New Roman" w:hAnsi="Times New Roman" w:eastAsia="Times New Roman"/>
          <w:vertAlign w:val="superscript"/>
        </w:rPr>
        <w:footnoteReference w:id="59"/>
      </w:r>
      <w:r>
        <w:rPr>
          <w:rtl w:val="0"/>
          <w:lang w:val="en-US"/>
        </w:rPr>
        <w:t xml:space="preserve"> finds no satisfaction in retrospection because what lies in his past, and what continues to haunt him, is the strict numerical agreement he has recklessly breached: the agreement that, as a </w:t>
      </w:r>
      <w:r>
        <w:rPr>
          <w:rFonts w:hAnsi="Helvetica" w:hint="default"/>
          <w:rtl w:val="0"/>
          <w:lang w:val="en-US"/>
        </w:rPr>
        <w:t>‘</w:t>
      </w:r>
      <w:r>
        <w:rPr>
          <w:rtl w:val="0"/>
          <w:lang w:val="en-US"/>
        </w:rPr>
        <w:t>vow</w:t>
      </w:r>
      <w:r>
        <w:rPr>
          <w:rFonts w:hAnsi="Helvetica" w:hint="default"/>
          <w:rtl w:val="0"/>
          <w:lang w:val="en-US"/>
        </w:rPr>
        <w:t xml:space="preserve">’ </w:t>
      </w:r>
      <w:r>
        <w:rPr>
          <w:rtl w:val="0"/>
          <w:lang w:val="en-US"/>
        </w:rPr>
        <w:t xml:space="preserve">that was </w:t>
      </w:r>
      <w:r>
        <w:rPr>
          <w:rFonts w:hAnsi="Helvetica" w:hint="default"/>
          <w:rtl w:val="0"/>
          <w:lang w:val="en-US"/>
        </w:rPr>
        <w:t>‘</w:t>
      </w:r>
      <w:r>
        <w:rPr>
          <w:rtl w:val="0"/>
          <w:lang w:val="en-US"/>
        </w:rPr>
        <w:t>sworn unto [Hoffman</w:t>
      </w:r>
      <w:r>
        <w:rPr>
          <w:rFonts w:hAnsi="Helvetica" w:hint="default"/>
          <w:rtl w:val="0"/>
          <w:lang w:val="en-US"/>
        </w:rPr>
        <w:t>’</w:t>
      </w:r>
      <w:r>
        <w:rPr>
          <w:rtl w:val="0"/>
          <w:lang w:val="en-US"/>
        </w:rPr>
        <w:t>s] father</w:t>
      </w:r>
      <w:r>
        <w:rPr>
          <w:rFonts w:hAnsi="Helvetica" w:hint="default"/>
          <w:rtl w:val="0"/>
          <w:lang w:val="en-US"/>
        </w:rPr>
        <w:t>’</w:t>
      </w:r>
      <w:r>
        <w:rPr>
          <w:rtl w:val="0"/>
          <w:lang w:val="en-US"/>
        </w:rPr>
        <w:t>s soul</w:t>
      </w:r>
      <w:r>
        <w:rPr>
          <w:rFonts w:hAnsi="Helvetica" w:hint="default"/>
          <w:rtl w:val="0"/>
          <w:lang w:val="en-US"/>
        </w:rPr>
        <w:t>’</w:t>
      </w:r>
      <w:r>
        <w:rPr>
          <w:rtl w:val="0"/>
          <w:lang w:val="en-US"/>
        </w:rPr>
        <w:t xml:space="preserve">, takes on a quasi-spiritual quality, necessarily transcendent of tedious political realities such as dissatisfying legal systems. With Matthias, Saxony and Roderick still alive, Hoffman has failed to meet the fundamentally important requirements of his quota of death, and agrees that any thinkable punishment would be entirely deserved: </w:t>
      </w:r>
      <w:r>
        <w:rPr>
          <w:rFonts w:hAnsi="Helvetica" w:hint="default"/>
          <w:rtl w:val="0"/>
          <w:lang w:val="en-US"/>
        </w:rPr>
        <w:t>‘</w:t>
      </w:r>
      <w:r>
        <w:rPr>
          <w:rtl w:val="0"/>
          <w:lang w:val="en-US"/>
        </w:rPr>
        <w:t>Oh sin against all conceit! worthy this shame / And all the tortures that the world can name</w:t>
      </w:r>
      <w:r>
        <w:rPr>
          <w:rFonts w:hAnsi="Helvetica" w:hint="default"/>
          <w:rtl w:val="0"/>
          <w:lang w:val="en-US"/>
        </w:rPr>
        <w:t xml:space="preserve">’ </w:t>
      </w:r>
      <w:r>
        <w:rPr>
          <w:rtl w:val="0"/>
          <w:lang w:val="en-US"/>
        </w:rPr>
        <w:t xml:space="preserve">(5.3.158-162). His </w:t>
      </w:r>
      <w:r>
        <w:rPr>
          <w:rFonts w:hAnsi="Helvetica" w:hint="default"/>
          <w:rtl w:val="0"/>
          <w:lang w:val="en-US"/>
        </w:rPr>
        <w:t>‘</w:t>
      </w:r>
      <w:r>
        <w:rPr>
          <w:rtl w:val="0"/>
          <w:lang w:val="en-US"/>
        </w:rPr>
        <w:t>sin</w:t>
      </w:r>
      <w:r>
        <w:rPr>
          <w:rFonts w:hAnsi="Helvetica" w:hint="default"/>
          <w:rtl w:val="0"/>
          <w:lang w:val="en-US"/>
        </w:rPr>
        <w:t>’</w:t>
      </w:r>
      <w:r>
        <w:rPr>
          <w:rtl w:val="0"/>
          <w:lang w:val="en-US"/>
        </w:rPr>
        <w:t>, contrary to Biblical injunction, is not that of murdering too much, but of murdering too little, and its punishment, Hoffman believes, could never be deemed excessive.</w:t>
      </w:r>
    </w:p>
    <w:p>
      <w:pPr>
        <w:pStyle w:val="Body"/>
        <w:spacing w:line="360" w:lineRule="auto"/>
        <w:jc w:val="left"/>
      </w:pPr>
    </w:p>
    <w:p>
      <w:pPr>
        <w:pStyle w:val="Body"/>
        <w:spacing w:line="360" w:lineRule="auto"/>
        <w:jc w:val="center"/>
        <w:rPr>
          <w:b w:val="1"/>
          <w:bCs w:val="1"/>
        </w:rPr>
      </w:pPr>
      <w:r>
        <w:rPr>
          <w:b w:val="1"/>
          <w:bCs w:val="1"/>
          <w:rtl w:val="0"/>
          <w:lang w:val="en-US"/>
        </w:rPr>
        <w:t>*</w:t>
        <w:tab/>
        <w:t>*</w:t>
        <w:tab/>
        <w:t>*</w:t>
      </w:r>
    </w:p>
    <w:p>
      <w:pPr>
        <w:pStyle w:val="Body"/>
        <w:spacing w:line="360" w:lineRule="auto"/>
        <w:jc w:val="left"/>
        <w:rPr>
          <w:b w:val="1"/>
          <w:bCs w:val="1"/>
          <w:u w:val="single"/>
        </w:rPr>
      </w:pPr>
    </w:p>
    <w:p>
      <w:pPr>
        <w:pStyle w:val="Body"/>
        <w:spacing w:line="360" w:lineRule="auto"/>
        <w:jc w:val="left"/>
      </w:pPr>
      <w:r>
        <w:rPr>
          <w:rtl w:val="0"/>
          <w:lang w:val="en-US"/>
        </w:rPr>
        <w:t>Despite Bacon</w:t>
      </w:r>
      <w:r>
        <w:rPr>
          <w:rFonts w:hAnsi="Helvetica" w:hint="default"/>
          <w:rtl w:val="0"/>
          <w:lang w:val="en-US"/>
        </w:rPr>
        <w:t>’</w:t>
      </w:r>
      <w:r>
        <w:rPr>
          <w:rtl w:val="0"/>
          <w:lang w:val="en-US"/>
        </w:rPr>
        <w:t xml:space="preserve">s desire for the law to </w:t>
      </w:r>
      <w:r>
        <w:rPr>
          <w:rFonts w:hAnsi="Helvetica" w:hint="default"/>
          <w:rtl w:val="0"/>
          <w:lang w:val="en-US"/>
        </w:rPr>
        <w:t>‘</w:t>
      </w:r>
      <w:r>
        <w:rPr>
          <w:rtl w:val="0"/>
          <w:lang w:val="en-US"/>
        </w:rPr>
        <w:t>weed</w:t>
      </w:r>
      <w:r>
        <w:rPr>
          <w:rFonts w:hAnsi="Helvetica" w:hint="default"/>
          <w:rtl w:val="0"/>
          <w:lang w:val="en-US"/>
        </w:rPr>
        <w:t>…</w:t>
      </w:r>
      <w:r>
        <w:rPr>
          <w:rtl w:val="0"/>
          <w:lang w:val="en-US"/>
        </w:rPr>
        <w:t>out</w:t>
      </w:r>
      <w:r>
        <w:rPr>
          <w:rFonts w:hAnsi="Helvetica" w:hint="default"/>
          <w:rtl w:val="0"/>
          <w:lang w:val="en-US"/>
        </w:rPr>
        <w:t>’ ‘</w:t>
      </w:r>
      <w:r>
        <w:rPr>
          <w:rtl w:val="0"/>
          <w:lang w:val="en-US"/>
        </w:rPr>
        <w:t>wilde justice</w:t>
      </w:r>
      <w:r>
        <w:rPr>
          <w:rFonts w:hAnsi="Helvetica" w:hint="default"/>
          <w:rtl w:val="0"/>
          <w:lang w:val="en-US"/>
        </w:rPr>
        <w:t>’</w:t>
      </w:r>
      <w:r>
        <w:rPr>
          <w:rtl w:val="0"/>
          <w:lang w:val="en-US"/>
        </w:rPr>
        <w:t xml:space="preserve">, his tolerance for it in those circumstances in which the law is unable to provide solutions, coupled with his recommendation to make private justice unpunishable by law, actually propagates the cycle of revenge. Even if he does so somewhat implicitly, Bacon seems to be admitting in </w:t>
      </w:r>
      <w:r>
        <w:rPr>
          <w:rFonts w:hAnsi="Helvetica" w:hint="default"/>
          <w:rtl w:val="0"/>
          <w:lang w:val="en-US"/>
        </w:rPr>
        <w:t>‘</w:t>
      </w:r>
      <w:r>
        <w:rPr>
          <w:rtl w:val="0"/>
          <w:lang w:val="en-US"/>
        </w:rPr>
        <w:t>Of Revenge</w:t>
      </w:r>
      <w:r>
        <w:rPr>
          <w:rFonts w:hAnsi="Helvetica" w:hint="default"/>
          <w:rtl w:val="0"/>
          <w:lang w:val="en-US"/>
        </w:rPr>
        <w:t xml:space="preserve">’ </w:t>
      </w:r>
      <w:r>
        <w:rPr>
          <w:rtl w:val="0"/>
          <w:lang w:val="en-US"/>
        </w:rPr>
        <w:t xml:space="preserve">that the law, as a primarily reactionary institution, is always catching up to </w:t>
      </w:r>
      <w:r>
        <w:rPr>
          <w:rFonts w:hAnsi="Helvetica" w:hint="default"/>
          <w:rtl w:val="0"/>
          <w:lang w:val="en-US"/>
        </w:rPr>
        <w:t>‘</w:t>
      </w:r>
      <w:r>
        <w:rPr>
          <w:rtl w:val="0"/>
          <w:lang w:val="en-US"/>
        </w:rPr>
        <w:t>man</w:t>
      </w:r>
      <w:r>
        <w:rPr>
          <w:rFonts w:hAnsi="Helvetica" w:hint="default"/>
          <w:rtl w:val="0"/>
          <w:lang w:val="en-US"/>
        </w:rPr>
        <w:t>’</w:t>
      </w:r>
      <w:r>
        <w:rPr>
          <w:rtl w:val="0"/>
          <w:lang w:val="en-US"/>
        </w:rPr>
        <w:t>s nature</w:t>
      </w:r>
      <w:r>
        <w:rPr>
          <w:rFonts w:hAnsi="Helvetica" w:hint="default"/>
          <w:rtl w:val="0"/>
          <w:lang w:val="en-US"/>
        </w:rPr>
        <w:t xml:space="preserve">’ </w:t>
      </w:r>
      <w:r>
        <w:rPr>
          <w:rtl w:val="0"/>
          <w:lang w:val="en-US"/>
        </w:rPr>
        <w:t>and the social changes that that nature is constantly effecting.</w:t>
      </w:r>
      <w:r>
        <w:rPr>
          <w:rFonts w:ascii="Times New Roman" w:cs="Times New Roman" w:hAnsi="Times New Roman" w:eastAsia="Times New Roman"/>
          <w:vertAlign w:val="superscript"/>
        </w:rPr>
        <w:footnoteReference w:id="60"/>
      </w:r>
      <w:r>
        <w:rPr>
          <w:rtl w:val="0"/>
          <w:lang w:val="en-US"/>
        </w:rPr>
        <w:t xml:space="preserve"> This is perhaps what Hamlet refers to in his complaint of </w:t>
      </w:r>
      <w:r>
        <w:rPr>
          <w:rFonts w:hAnsi="Helvetica" w:hint="default"/>
          <w:rtl w:val="0"/>
          <w:lang w:val="en-US"/>
        </w:rPr>
        <w:t>‘</w:t>
      </w:r>
      <w:r>
        <w:rPr>
          <w:rtl w:val="0"/>
          <w:lang w:val="en-US"/>
        </w:rPr>
        <w:t>the law</w:t>
      </w:r>
      <w:r>
        <w:rPr>
          <w:rFonts w:hAnsi="Helvetica" w:hint="default"/>
          <w:rtl w:val="0"/>
          <w:lang w:val="en-US"/>
        </w:rPr>
        <w:t>’</w:t>
      </w:r>
      <w:r>
        <w:rPr>
          <w:rtl w:val="0"/>
          <w:lang w:val="en-US"/>
        </w:rPr>
        <w:t>s delay</w:t>
      </w:r>
      <w:r>
        <w:rPr>
          <w:rFonts w:hAnsi="Helvetica" w:hint="default"/>
          <w:rtl w:val="0"/>
          <w:lang w:val="en-US"/>
        </w:rPr>
        <w:t xml:space="preserve">’ </w:t>
      </w:r>
      <w:r>
        <w:rPr>
          <w:rtl w:val="0"/>
          <w:lang w:val="en-US"/>
        </w:rPr>
        <w:t>(</w:t>
      </w:r>
      <w:r>
        <w:rPr>
          <w:i w:val="1"/>
          <w:iCs w:val="1"/>
          <w:rtl w:val="0"/>
          <w:lang w:val="en-US"/>
        </w:rPr>
        <w:t>Hamlet</w:t>
      </w:r>
      <w:r>
        <w:rPr>
          <w:rtl w:val="0"/>
          <w:lang w:val="en-US"/>
        </w:rPr>
        <w:t>, 3.1.80), his recognition in parallel with Bacon</w:t>
      </w:r>
      <w:r>
        <w:rPr>
          <w:rFonts w:hAnsi="Helvetica" w:hint="default"/>
          <w:rtl w:val="0"/>
          <w:lang w:val="en-US"/>
        </w:rPr>
        <w:t>’</w:t>
      </w:r>
      <w:r>
        <w:rPr>
          <w:rtl w:val="0"/>
          <w:lang w:val="en-US"/>
        </w:rPr>
        <w:t>s of the law</w:t>
      </w:r>
      <w:r>
        <w:rPr>
          <w:rFonts w:hAnsi="Helvetica" w:hint="default"/>
          <w:rtl w:val="0"/>
          <w:lang w:val="en-US"/>
        </w:rPr>
        <w:t>’</w:t>
      </w:r>
      <w:r>
        <w:rPr>
          <w:rtl w:val="0"/>
          <w:lang w:val="en-US"/>
        </w:rPr>
        <w:t>s inevitable</w:t>
      </w:r>
      <w:r>
        <w:rPr>
          <w:rtl w:val="0"/>
          <w:lang w:val="en-US"/>
        </w:rPr>
        <w:t xml:space="preserve"> and perpetual fallib</w:t>
      </w:r>
      <w:r>
        <w:rPr>
          <w:rtl w:val="0"/>
          <w:lang w:val="en-US"/>
        </w:rPr>
        <w:t xml:space="preserve">ility. This supreme difficulty, I would like to suggest, provided a crucial imperative for the structural and psychological genesis of revenge tragedy as a genre, and is navigated by different plays through a variety of different methods. </w:t>
      </w:r>
      <w:r>
        <w:rPr>
          <w:i w:val="1"/>
          <w:iCs w:val="1"/>
          <w:rtl w:val="0"/>
          <w:lang w:val="en-US"/>
        </w:rPr>
        <w:t>Hoffman</w:t>
      </w:r>
      <w:r>
        <w:rPr>
          <w:rFonts w:hAnsi="Helvetica" w:hint="default"/>
          <w:rtl w:val="0"/>
          <w:lang w:val="en-US"/>
        </w:rPr>
        <w:t>’</w:t>
      </w:r>
      <w:r>
        <w:rPr>
          <w:rtl w:val="0"/>
          <w:lang w:val="en-US"/>
        </w:rPr>
        <w:t>s singularity, as I hope to have demonstrated, emanated from its characters</w:t>
      </w:r>
      <w:r>
        <w:rPr>
          <w:rFonts w:hAnsi="Helvetica" w:hint="default"/>
          <w:rtl w:val="0"/>
          <w:lang w:val="en-US"/>
        </w:rPr>
        <w:t xml:space="preserve">’ </w:t>
      </w:r>
      <w:r>
        <w:rPr>
          <w:rtl w:val="0"/>
          <w:lang w:val="en-US"/>
        </w:rPr>
        <w:t>persistent tendencies toward attempting to quantify justice, and to calculate where its parameters might lie, in lieu of any satisfactory pre-existing legal system which might have preordained those numbers for them.</w:t>
      </w:r>
      <w:r>
        <w:rPr>
          <w:rtl w:val="0"/>
          <w:lang w:val="en-US"/>
        </w:rPr>
        <w:t xml:space="preserve"> For, notwithstanding Recorde</w:t>
      </w:r>
      <w:r>
        <w:rPr>
          <w:rtl w:val="0"/>
          <w:lang w:val="en-US"/>
        </w:rPr>
        <w:t>, Dee,</w:t>
      </w:r>
      <w:r>
        <w:rPr>
          <w:rtl w:val="0"/>
          <w:lang w:val="en-US"/>
        </w:rPr>
        <w:t xml:space="preserve"> and others</w:t>
      </w:r>
      <w:r>
        <w:rPr>
          <w:rFonts w:hAnsi="Helvetica" w:hint="default"/>
          <w:rtl w:val="0"/>
          <w:lang w:val="fr-FR"/>
        </w:rPr>
        <w:t xml:space="preserve">’ </w:t>
      </w:r>
      <w:r>
        <w:rPr>
          <w:rtl w:val="0"/>
          <w:lang w:val="en-US"/>
        </w:rPr>
        <w:t>espousal of the importance of mathematical learning to judicial process, the writings of actual practitioners of the law are relatively quiet on the subject</w:t>
      </w:r>
      <w:r>
        <w:rPr>
          <w:rtl w:val="0"/>
          <w:lang w:val="en-US"/>
        </w:rPr>
        <w:t>. It is, indeed, telling that Bacon</w:t>
      </w:r>
      <w:r>
        <w:rPr>
          <w:rFonts w:hAnsi="Helvetica" w:hint="default"/>
          <w:rtl w:val="0"/>
          <w:lang w:val="en-US"/>
        </w:rPr>
        <w:t>’</w:t>
      </w:r>
      <w:r>
        <w:rPr>
          <w:rtl w:val="0"/>
          <w:lang w:val="en-US"/>
        </w:rPr>
        <w:t>s</w:t>
      </w:r>
      <w:r>
        <w:rPr>
          <w:rtl w:val="0"/>
        </w:rPr>
        <w:t xml:space="preserve"> </w:t>
      </w:r>
      <w:r>
        <w:rPr>
          <w:rtl w:val="0"/>
          <w:lang w:val="en-US"/>
        </w:rPr>
        <w:t>unusual</w:t>
      </w:r>
      <w:r>
        <w:rPr>
          <w:rtl w:val="0"/>
        </w:rPr>
        <w:t xml:space="preserve"> </w:t>
      </w:r>
      <w:r>
        <w:rPr>
          <w:rtl w:val="0"/>
          <w:lang w:val="en-US"/>
        </w:rPr>
        <w:t>arithmetical</w:t>
      </w:r>
      <w:r>
        <w:rPr>
          <w:rtl w:val="0"/>
          <w:lang w:val="en-US"/>
        </w:rPr>
        <w:t xml:space="preserve"> interventions occur</w:t>
      </w:r>
      <w:r>
        <w:rPr>
          <w:rtl w:val="0"/>
          <w:lang w:val="en-US"/>
        </w:rPr>
        <w:t xml:space="preserve"> </w:t>
      </w:r>
      <w:r>
        <w:rPr>
          <w:rtl w:val="0"/>
          <w:lang w:val="en-US"/>
        </w:rPr>
        <w:t>only when the law is being criticised.</w:t>
      </w:r>
      <w:r>
        <w:rPr>
          <w:rtl w:val="0"/>
          <w:lang w:val="en-US"/>
        </w:rPr>
        <w:t xml:space="preserve"> </w:t>
      </w:r>
    </w:p>
    <w:p>
      <w:pPr>
        <w:pStyle w:val="Body"/>
        <w:spacing w:line="360" w:lineRule="auto"/>
        <w:jc w:val="left"/>
      </w:pPr>
      <w:r>
        <w:tab/>
      </w:r>
      <w:r>
        <w:rPr>
          <w:i w:val="1"/>
          <w:iCs w:val="1"/>
          <w:rtl w:val="0"/>
          <w:lang w:val="en-US"/>
        </w:rPr>
        <w:t>Hoffman</w:t>
      </w:r>
      <w:r>
        <w:rPr>
          <w:rtl w:val="0"/>
          <w:lang w:val="en-US"/>
        </w:rPr>
        <w:t xml:space="preserve">, of course, by dramatising and aestheticising this culturally sensitive subject matter, re-frames it in such a way that completely alters any function or teleology its treatment in </w:t>
      </w:r>
      <w:r>
        <w:rPr>
          <w:rtl w:val="0"/>
          <w:lang w:val="en-US"/>
        </w:rPr>
        <w:t>legal or political theory</w:t>
      </w:r>
      <w:r>
        <w:rPr>
          <w:rtl w:val="0"/>
          <w:lang w:val="en-US"/>
        </w:rPr>
        <w:t xml:space="preserve"> may have had. </w:t>
      </w:r>
      <w:r>
        <w:rPr>
          <w:i w:val="1"/>
          <w:iCs w:val="1"/>
          <w:rtl w:val="0"/>
          <w:lang w:val="en-US"/>
        </w:rPr>
        <w:t>Hoffman</w:t>
      </w:r>
      <w:r>
        <w:rPr>
          <w:rtl w:val="0"/>
          <w:lang w:val="en-US"/>
        </w:rPr>
        <w:t xml:space="preserve"> is by no means a treatise on justice, and at no point does it attempt to be. Partaking in early modern drama</w:t>
      </w:r>
      <w:r>
        <w:rPr>
          <w:rFonts w:hAnsi="Helvetica" w:hint="default"/>
          <w:rtl w:val="0"/>
          <w:lang w:val="en-US"/>
        </w:rPr>
        <w:t>’</w:t>
      </w:r>
      <w:r>
        <w:rPr>
          <w:rtl w:val="0"/>
          <w:lang w:val="en-US"/>
        </w:rPr>
        <w:t xml:space="preserve">s typical intellectual eclecticism, its exploration of what justice might be and how it might be achieved sets its anxieties surrounding the fairness of contemporary jurisprudence alongside classical ideas and forms. As I hope to have shown, in </w:t>
      </w:r>
      <w:r>
        <w:rPr>
          <w:rtl w:val="0"/>
          <w:lang w:val="en-US"/>
        </w:rPr>
        <w:t>the ethical world Chettle</w:t>
      </w:r>
      <w:r>
        <w:rPr>
          <w:rFonts w:hAnsi="Helvetica" w:hint="default"/>
          <w:rtl w:val="0"/>
          <w:lang w:val="fr-FR"/>
        </w:rPr>
        <w:t>’</w:t>
      </w:r>
      <w:r>
        <w:rPr>
          <w:rtl w:val="0"/>
          <w:lang w:val="en-US"/>
        </w:rPr>
        <w:t>s play</w:t>
      </w:r>
      <w:r>
        <w:rPr>
          <w:rFonts w:hAnsi="Helvetica" w:hint="default"/>
          <w:rtl w:val="0"/>
          <w:lang w:val="fr-FR"/>
        </w:rPr>
        <w:t>’</w:t>
      </w:r>
      <w:r>
        <w:rPr>
          <w:rtl w:val="0"/>
          <w:lang w:val="en-US"/>
        </w:rPr>
        <w:t>s characters inhabit</w:t>
      </w:r>
      <w:r>
        <w:rPr>
          <w:rtl w:val="0"/>
          <w:lang w:val="en-US"/>
        </w:rPr>
        <w:t>,</w:t>
      </w:r>
      <w:r>
        <w:rPr>
          <w:rtl w:val="0"/>
        </w:rPr>
        <w:t xml:space="preserve"> </w:t>
      </w:r>
      <w:r>
        <w:rPr>
          <w:rtl w:val="0"/>
          <w:lang w:val="en-US"/>
        </w:rPr>
        <w:t xml:space="preserve">the excesses of the Senecan revenger and the nuances of Aristotelian averages become sources of equal significance to the complex evidentiary and procedural practises of the actual legal world Chettle and his audiences would have been unavoidably intertwined with. The only technology shown to be of any utility in analysing all of these various derivations of justice is mathematics, Hoffman and Matthias represented as a kind of numerical dialectic, each having recourse to different methods of quantifying death and calculating its appropriate revenge. When, upon closer inspection, these separate, mathematically governed architectures of revenge-justice are shown to collapse into each other, mathematics too is rendered futile, and the play ends with a particularly Senecan sense of irresolution: </w:t>
      </w:r>
      <w:r>
        <w:rPr>
          <w:rFonts w:hAnsi="Helvetica" w:hint="default"/>
          <w:rtl w:val="0"/>
          <w:lang w:val="en-US"/>
        </w:rPr>
        <w:t>‘</w:t>
      </w:r>
      <w:r>
        <w:rPr>
          <w:rtl w:val="0"/>
          <w:lang w:val="en-US"/>
        </w:rPr>
        <w:t>We pardon thee, and pray for thy soul</w:t>
      </w:r>
      <w:r>
        <w:rPr>
          <w:rFonts w:hAnsi="Helvetica" w:hint="default"/>
          <w:rtl w:val="0"/>
          <w:lang w:val="en-US"/>
        </w:rPr>
        <w:t>’</w:t>
      </w:r>
      <w:r>
        <w:rPr>
          <w:rtl w:val="0"/>
          <w:lang w:val="en-US"/>
        </w:rPr>
        <w:t>s health</w:t>
      </w:r>
      <w:r>
        <w:rPr>
          <w:rFonts w:hAnsi="Helvetica" w:hint="default"/>
          <w:rtl w:val="0"/>
          <w:lang w:val="en-US"/>
        </w:rPr>
        <w:t>’</w:t>
      </w:r>
      <w:r>
        <w:rPr>
          <w:rtl w:val="0"/>
          <w:lang w:val="en-US"/>
        </w:rPr>
        <w:t xml:space="preserve">, says Saxony; </w:t>
      </w:r>
      <w:r>
        <w:rPr>
          <w:rFonts w:hAnsi="Helvetica" w:hint="default"/>
          <w:rtl w:val="0"/>
          <w:lang w:val="en-US"/>
        </w:rPr>
        <w:t>‘</w:t>
      </w:r>
      <w:r>
        <w:rPr>
          <w:rtl w:val="0"/>
          <w:lang w:val="en-US"/>
        </w:rPr>
        <w:t>So do I not yours, nor pardon you,</w:t>
      </w:r>
      <w:r>
        <w:rPr>
          <w:rFonts w:hAnsi="Helvetica" w:hint="default"/>
          <w:rtl w:val="0"/>
          <w:lang w:val="en-US"/>
        </w:rPr>
        <w:t xml:space="preserve">’ </w:t>
      </w:r>
      <w:r>
        <w:rPr>
          <w:rtl w:val="0"/>
          <w:lang w:val="en-US"/>
        </w:rPr>
        <w:t>retorts Hoffman (5.3.166-67). The ideological-ethical conflict cannot be resolved because, despite their attempts to quantify equality, balance, profit, and excess, the characters do so without any objective epistemological framework. Perhaps the bleak world of revenge tragedy is experimental with the idea that no such framework (not even the supposedly objective purity of mathematics) exists; or, perhaps, it wishes to show that such a framework is undesired, for if its absence leads only to social unrest and abundant death, it also leads, as Chettle understood only too well, to tantalising drama.</w:t>
      </w:r>
    </w:p>
    <w:p>
      <w:pPr>
        <w:pStyle w:val="Body"/>
        <w:spacing w:line="360" w:lineRule="auto"/>
        <w:jc w:val="left"/>
      </w:pPr>
    </w:p>
    <w:p>
      <w:pPr>
        <w:pStyle w:val="Body"/>
        <w:spacing w:line="360" w:lineRule="auto"/>
        <w:jc w:val="left"/>
      </w:pPr>
      <w:r/>
    </w:p>
    <w:sectPr>
      <w:headerReference w:type="default" r:id="rId4"/>
      <w:footerReference w:type="default" r:id="rId5"/>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r/>
  </w:p>
</w:ftr>
</file>

<file path=word/footnotes.xml><?xml version="1.0" encoding="utf-8"?>
<w:footnotes xmlns:w="http://schemas.openxmlformats.org/wordprocessingml/2006/main" xmlns:r="http://schemas.openxmlformats.org/officeDocument/2006/relationships" xmlns:w14="http://schemas.microsoft.com/office/word/2010/wordml">
  <w:footnote w:type="separator" w:id="-1">
    <w:p>
      <w:r>
        <w:separator/>
      </w:r>
    </w:p>
  </w:footnote>
  <w:footnote w:type="continuationSeparator" w:id="0">
    <w:p>
      <w:r>
        <w:continuationSeparator/>
      </w:r>
    </w:p>
  </w:footnote>
  <w:footnote w:type="continuationNotice" w:id="-2">
    <w:p>
      <w:r>
        <w:t/>
      </w:r>
    </w:p>
  </w:footnote>
  <w:footnote w:id="1">
    <w:p>
      <w:pPr>
        <w:pStyle w:val="Footnote"/>
      </w:pPr>
      <w:r>
        <w:rPr>
          <w:sz w:val="20"/>
          <w:szCs w:val="20"/>
          <w:vertAlign w:val="superscript"/>
        </w:rPr>
        <w:footnoteRef/>
      </w:r>
      <w:r>
        <w:rPr>
          <w:sz w:val="20"/>
          <w:szCs w:val="20"/>
          <w:rtl w:val="0"/>
        </w:rPr>
        <w:t xml:space="preserve"> </w:t>
      </w:r>
      <w:r>
        <w:rPr>
          <w:sz w:val="20"/>
          <w:szCs w:val="20"/>
          <w:rtl w:val="0"/>
          <w:lang w:val="en-US"/>
        </w:rPr>
        <w:t xml:space="preserve">Francis Bacon, </w:t>
      </w:r>
      <w:r>
        <w:rPr>
          <w:sz w:val="20"/>
          <w:szCs w:val="20"/>
          <w:rtl w:val="0"/>
          <w:lang w:val="en-US"/>
        </w:rPr>
        <w:t>‘</w:t>
      </w:r>
      <w:r>
        <w:rPr>
          <w:sz w:val="20"/>
          <w:szCs w:val="20"/>
          <w:rtl w:val="0"/>
          <w:lang w:val="en-US"/>
        </w:rPr>
        <w:t>Of Revenge</w:t>
      </w:r>
      <w:r>
        <w:rPr>
          <w:sz w:val="20"/>
          <w:szCs w:val="20"/>
          <w:rtl w:val="0"/>
          <w:lang w:val="en-US"/>
        </w:rPr>
        <w:t>’</w:t>
      </w:r>
      <w:r>
        <w:rPr>
          <w:sz w:val="20"/>
          <w:szCs w:val="20"/>
          <w:rtl w:val="0"/>
          <w:lang w:val="en-US"/>
        </w:rPr>
        <w:t xml:space="preserve">, in </w:t>
      </w:r>
      <w:r>
        <w:rPr>
          <w:i w:val="1"/>
          <w:iCs w:val="1"/>
          <w:sz w:val="20"/>
          <w:szCs w:val="20"/>
          <w:rtl w:val="0"/>
          <w:lang w:val="en-US"/>
        </w:rPr>
        <w:t>Essayes</w:t>
      </w:r>
      <w:r>
        <w:rPr>
          <w:sz w:val="20"/>
          <w:szCs w:val="20"/>
          <w:rtl w:val="0"/>
          <w:lang w:val="en-US"/>
        </w:rPr>
        <w:t>, ed. Michael Kiernan (Oxford, 1985), pp.16-17.</w:t>
      </w:r>
    </w:p>
  </w:footnote>
  <w:footnote w:id="2">
    <w:p>
      <w:pPr>
        <w:pStyle w:val="Footnote"/>
      </w:pPr>
      <w:r>
        <w:rPr>
          <w:sz w:val="20"/>
          <w:szCs w:val="20"/>
          <w:vertAlign w:val="superscript"/>
        </w:rPr>
        <w:footnoteRef/>
      </w:r>
      <w:r>
        <w:rPr>
          <w:sz w:val="20"/>
          <w:szCs w:val="20"/>
          <w:rtl w:val="0"/>
        </w:rPr>
        <w:t xml:space="preserve"> </w:t>
      </w:r>
      <w:r>
        <w:rPr>
          <w:sz w:val="20"/>
          <w:szCs w:val="20"/>
          <w:rtl w:val="0"/>
          <w:lang w:val="en-US"/>
        </w:rPr>
        <w:t xml:space="preserve">John Dee, in his </w:t>
      </w:r>
      <w:r>
        <w:rPr>
          <w:sz w:val="20"/>
          <w:szCs w:val="20"/>
          <w:rtl w:val="0"/>
          <w:lang w:val="en-US"/>
        </w:rPr>
        <w:t>‘</w:t>
      </w:r>
      <w:r>
        <w:rPr>
          <w:sz w:val="20"/>
          <w:szCs w:val="20"/>
          <w:rtl w:val="0"/>
          <w:lang w:val="en-US"/>
        </w:rPr>
        <w:t>Mathematicall Preface</w:t>
      </w:r>
      <w:r>
        <w:rPr>
          <w:sz w:val="20"/>
          <w:szCs w:val="20"/>
          <w:rtl w:val="0"/>
          <w:lang w:val="en-US"/>
        </w:rPr>
        <w:t xml:space="preserve">’ </w:t>
      </w:r>
      <w:r>
        <w:rPr>
          <w:sz w:val="20"/>
          <w:szCs w:val="20"/>
          <w:rtl w:val="0"/>
          <w:lang w:val="en-US"/>
        </w:rPr>
        <w:t>to Henry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r</w:t>
      </w:r>
      <w:r>
        <w:rPr>
          <w:sz w:val="20"/>
          <w:szCs w:val="20"/>
          <w:rtl w:val="0"/>
          <w:lang w:val="en-US"/>
        </w:rPr>
        <w:t>.</w:t>
      </w:r>
    </w:p>
  </w:footnote>
  <w:footnote w:id="3">
    <w:p>
      <w:pPr>
        <w:pStyle w:val="Footnote"/>
      </w:pPr>
      <w:r>
        <w:rPr>
          <w:sz w:val="20"/>
          <w:szCs w:val="20"/>
          <w:vertAlign w:val="superscript"/>
        </w:rPr>
        <w:footnoteRef/>
      </w:r>
      <w:r>
        <w:rPr>
          <w:sz w:val="20"/>
          <w:szCs w:val="20"/>
          <w:rtl w:val="0"/>
        </w:rPr>
        <w:t xml:space="preserve"> </w:t>
      </w:r>
      <w:r>
        <w:rPr>
          <w:sz w:val="20"/>
          <w:szCs w:val="20"/>
          <w:rtl w:val="0"/>
          <w:lang w:val="en-US"/>
        </w:rPr>
        <w:t xml:space="preserve">John Kerrigan, </w:t>
      </w:r>
      <w:r>
        <w:rPr>
          <w:i w:val="1"/>
          <w:iCs w:val="1"/>
          <w:sz w:val="20"/>
          <w:szCs w:val="20"/>
          <w:rtl w:val="0"/>
          <w:lang w:val="en-US"/>
        </w:rPr>
        <w:t>Revenge Tragedy: Aeschylus to Armageddon</w:t>
      </w:r>
      <w:r>
        <w:rPr>
          <w:sz w:val="20"/>
          <w:szCs w:val="20"/>
          <w:rtl w:val="0"/>
          <w:lang w:val="en-US"/>
        </w:rPr>
        <w:t xml:space="preserve"> (Oxford, 1996), pp.115-16.</w:t>
      </w:r>
    </w:p>
  </w:footnote>
  <w:footnote w:id="4">
    <w:p>
      <w:pPr>
        <w:pStyle w:val="Footnote"/>
      </w:pPr>
      <w:r>
        <w:rPr>
          <w:sz w:val="20"/>
          <w:szCs w:val="20"/>
          <w:vertAlign w:val="superscript"/>
        </w:rPr>
        <w:footnoteRef/>
      </w:r>
      <w:r>
        <w:rPr>
          <w:sz w:val="20"/>
          <w:szCs w:val="20"/>
          <w:rtl w:val="0"/>
        </w:rPr>
        <w:t xml:space="preserve"> </w:t>
      </w:r>
      <w:r>
        <w:rPr>
          <w:sz w:val="20"/>
          <w:szCs w:val="20"/>
          <w:rtl w:val="0"/>
          <w:lang w:val="en-US"/>
        </w:rPr>
        <w:t xml:space="preserve">Margaret Atwood, </w:t>
      </w:r>
      <w:r>
        <w:rPr>
          <w:i w:val="1"/>
          <w:iCs w:val="1"/>
          <w:sz w:val="20"/>
          <w:szCs w:val="20"/>
          <w:rtl w:val="0"/>
          <w:lang w:val="en-US"/>
        </w:rPr>
        <w:t xml:space="preserve">Payback: Debt and the Shadow Side of Wealth </w:t>
      </w:r>
      <w:r>
        <w:rPr>
          <w:sz w:val="20"/>
          <w:szCs w:val="20"/>
          <w:rtl w:val="0"/>
          <w:lang w:val="en-US"/>
        </w:rPr>
        <w:t>(London, 2009), p.126.</w:t>
      </w:r>
    </w:p>
  </w:footnote>
  <w:footnote w:id="5">
    <w:p>
      <w:pPr>
        <w:pStyle w:val="Footnote"/>
      </w:pPr>
      <w:r>
        <w:rPr>
          <w:sz w:val="20"/>
          <w:szCs w:val="20"/>
          <w:vertAlign w:val="superscript"/>
        </w:rPr>
        <w:footnoteRef/>
      </w:r>
      <w:r>
        <w:rPr>
          <w:sz w:val="20"/>
          <w:szCs w:val="20"/>
          <w:rtl w:val="0"/>
        </w:rPr>
        <w:t xml:space="preserve"> </w:t>
      </w:r>
      <w:r>
        <w:rPr>
          <w:sz w:val="20"/>
          <w:szCs w:val="20"/>
          <w:rtl w:val="0"/>
          <w:lang w:val="en-US"/>
        </w:rPr>
        <w:t>Kerrigan (Oxford, 1996), pp.111-141.</w:t>
      </w:r>
    </w:p>
  </w:footnote>
  <w:footnote w:id="6">
    <w:p>
      <w:pPr>
        <w:pStyle w:val="Footnote"/>
      </w:pPr>
      <w:r>
        <w:rPr>
          <w:sz w:val="20"/>
          <w:szCs w:val="20"/>
          <w:vertAlign w:val="superscript"/>
        </w:rPr>
        <w:footnoteRef/>
      </w:r>
      <w:r>
        <w:rPr>
          <w:sz w:val="20"/>
          <w:szCs w:val="20"/>
          <w:rtl w:val="0"/>
        </w:rPr>
        <w:t xml:space="preserve"> </w:t>
      </w:r>
      <w:r>
        <w:rPr>
          <w:sz w:val="20"/>
          <w:szCs w:val="20"/>
          <w:rtl w:val="0"/>
          <w:lang w:val="en-US"/>
        </w:rPr>
        <w:t xml:space="preserve">Linda </w:t>
      </w:r>
      <w:r>
        <w:rPr>
          <w:sz w:val="20"/>
          <w:szCs w:val="20"/>
          <w:rtl w:val="0"/>
          <w:lang w:val="nl-NL"/>
        </w:rPr>
        <w:t>Woodbridge</w:t>
      </w:r>
      <w:r>
        <w:rPr>
          <w:sz w:val="20"/>
          <w:szCs w:val="20"/>
          <w:rtl w:val="0"/>
          <w:lang w:val="en-US"/>
        </w:rPr>
        <w:t xml:space="preserve">, </w:t>
      </w:r>
      <w:r>
        <w:rPr>
          <w:i w:val="1"/>
          <w:iCs w:val="1"/>
          <w:sz w:val="20"/>
          <w:szCs w:val="20"/>
          <w:rtl w:val="0"/>
          <w:lang w:val="en-US"/>
        </w:rPr>
        <w:t>English Revenge Drama: Money, Resistance, Equality</w:t>
      </w:r>
      <w:r>
        <w:rPr>
          <w:sz w:val="20"/>
          <w:szCs w:val="20"/>
          <w:rtl w:val="0"/>
        </w:rPr>
        <w:t xml:space="preserve"> (Cambridge, 2010), p.254.</w:t>
      </w:r>
    </w:p>
  </w:footnote>
  <w:footnote w:id="7">
    <w:p>
      <w:pPr>
        <w:pStyle w:val="Footnote"/>
      </w:pPr>
      <w:r>
        <w:rPr>
          <w:sz w:val="20"/>
          <w:szCs w:val="20"/>
          <w:vertAlign w:val="superscript"/>
        </w:rPr>
        <w:footnoteRef/>
      </w:r>
      <w:r>
        <w:rPr>
          <w:sz w:val="20"/>
          <w:szCs w:val="20"/>
          <w:rtl w:val="0"/>
        </w:rPr>
        <w:t xml:space="preserve"> </w:t>
      </w:r>
      <w:r>
        <w:rPr>
          <w:sz w:val="20"/>
          <w:szCs w:val="20"/>
          <w:rtl w:val="0"/>
          <w:lang w:val="en-US"/>
        </w:rPr>
        <w:t xml:space="preserve">Aristotle, </w:t>
      </w:r>
      <w:r>
        <w:rPr>
          <w:i w:val="1"/>
          <w:iCs w:val="1"/>
          <w:sz w:val="20"/>
          <w:szCs w:val="20"/>
          <w:rtl w:val="0"/>
          <w:lang w:val="en-US"/>
        </w:rPr>
        <w:t>Nicomachean Ethics</w:t>
      </w:r>
      <w:r>
        <w:rPr>
          <w:sz w:val="20"/>
          <w:szCs w:val="20"/>
          <w:rtl w:val="0"/>
          <w:lang w:val="en-US"/>
        </w:rPr>
        <w:t xml:space="preserve">, trans. H. Rackham, Loeb Classical Library (Massachusetts, 1926). Unless otherwise stated, all citations, in both Greek and English, are from this edition. </w:t>
      </w:r>
      <w:r>
        <w:rPr>
          <w:sz w:val="20"/>
          <w:szCs w:val="20"/>
          <w:rtl w:val="0"/>
          <w:lang w:val="en-US"/>
        </w:rPr>
        <w:t xml:space="preserve">Line numbers are </w:t>
      </w:r>
      <w:r>
        <w:rPr>
          <w:sz w:val="20"/>
          <w:szCs w:val="20"/>
          <w:rtl w:val="0"/>
          <w:lang w:val="en-US"/>
        </w:rPr>
        <w:t xml:space="preserve">inserted </w:t>
      </w:r>
      <w:r>
        <w:rPr>
          <w:sz w:val="20"/>
          <w:szCs w:val="20"/>
          <w:rtl w:val="0"/>
        </w:rPr>
        <w:t>in</w:t>
      </w:r>
      <w:r>
        <w:rPr>
          <w:sz w:val="20"/>
          <w:szCs w:val="20"/>
          <w:rtl w:val="0"/>
          <w:lang w:val="en-US"/>
        </w:rPr>
        <w:t>to</w:t>
      </w:r>
      <w:r>
        <w:rPr>
          <w:sz w:val="20"/>
          <w:szCs w:val="20"/>
          <w:rtl w:val="0"/>
          <w:lang w:val="en-US"/>
        </w:rPr>
        <w:t xml:space="preserve"> the text.</w:t>
      </w:r>
    </w:p>
  </w:footnote>
  <w:footnote w:id="8">
    <w:p>
      <w:pPr>
        <w:pStyle w:val="Footnote"/>
      </w:pPr>
      <w:r>
        <w:rPr>
          <w:sz w:val="20"/>
          <w:szCs w:val="20"/>
          <w:vertAlign w:val="superscript"/>
        </w:rPr>
        <w:footnoteRef/>
      </w:r>
      <w:r>
        <w:rPr>
          <w:sz w:val="20"/>
          <w:szCs w:val="20"/>
          <w:rtl w:val="0"/>
        </w:rPr>
        <w:t xml:space="preserve"> </w:t>
      </w:r>
      <w:r>
        <w:rPr>
          <w:sz w:val="20"/>
          <w:szCs w:val="20"/>
          <w:rtl w:val="0"/>
          <w:lang w:val="en-US"/>
        </w:rPr>
        <w:t xml:space="preserve">Charles B. Schmitt, </w:t>
      </w:r>
      <w:r>
        <w:rPr>
          <w:i w:val="1"/>
          <w:iCs w:val="1"/>
          <w:sz w:val="20"/>
          <w:szCs w:val="20"/>
          <w:rtl w:val="0"/>
          <w:lang w:val="en-US"/>
        </w:rPr>
        <w:t xml:space="preserve">Aristotle and the Renaissance </w:t>
      </w:r>
      <w:r>
        <w:rPr>
          <w:sz w:val="20"/>
          <w:szCs w:val="20"/>
          <w:rtl w:val="0"/>
          <w:lang w:val="en-US"/>
        </w:rPr>
        <w:t>(Massachusetts, 1983), pp.38-41.</w:t>
      </w:r>
    </w:p>
  </w:footnote>
  <w:footnote w:id="9">
    <w:p>
      <w:pPr>
        <w:pStyle w:val="Footnote"/>
      </w:pPr>
      <w:r>
        <w:rPr>
          <w:sz w:val="20"/>
          <w:szCs w:val="20"/>
          <w:vertAlign w:val="superscript"/>
        </w:rPr>
        <w:footnoteRef/>
      </w:r>
      <w:r>
        <w:rPr>
          <w:sz w:val="20"/>
          <w:szCs w:val="20"/>
          <w:rtl w:val="0"/>
        </w:rPr>
        <w:t xml:space="preserve"> </w:t>
      </w:r>
      <w:r>
        <w:rPr>
          <w:sz w:val="20"/>
          <w:szCs w:val="20"/>
          <w:rtl w:val="0"/>
          <w:lang w:val="en-US"/>
        </w:rPr>
        <w:t>Schmitt (Massachusetts, 1983), p.39.</w:t>
      </w:r>
    </w:p>
  </w:footnote>
  <w:footnote w:id="10">
    <w:p>
      <w:pPr>
        <w:pStyle w:val="Footnote"/>
      </w:pPr>
      <w:r>
        <w:rPr>
          <w:sz w:val="20"/>
          <w:szCs w:val="20"/>
          <w:vertAlign w:val="superscript"/>
        </w:rPr>
        <w:footnoteRef/>
      </w:r>
      <w:r>
        <w:rPr>
          <w:sz w:val="20"/>
          <w:szCs w:val="20"/>
          <w:rtl w:val="0"/>
        </w:rPr>
        <w:t xml:space="preserve"> </w:t>
      </w:r>
      <w:r>
        <w:rPr>
          <w:sz w:val="20"/>
          <w:szCs w:val="20"/>
          <w:rtl w:val="0"/>
          <w:lang w:val="en-US"/>
        </w:rPr>
        <w:t xml:space="preserve">Aristotle, </w:t>
      </w:r>
      <w:r>
        <w:rPr>
          <w:i w:val="1"/>
          <w:iCs w:val="1"/>
          <w:sz w:val="20"/>
          <w:szCs w:val="20"/>
          <w:rtl w:val="0"/>
          <w:lang w:val="en-US"/>
        </w:rPr>
        <w:t>The Ethiques of Aristotle</w:t>
      </w:r>
      <w:r>
        <w:rPr>
          <w:sz w:val="20"/>
          <w:szCs w:val="20"/>
          <w:rtl w:val="0"/>
          <w:lang w:val="en-US"/>
        </w:rPr>
        <w:t xml:space="preserve"> (London, 1547),</w:t>
      </w:r>
      <w:r>
        <w:rPr>
          <w:i w:val="1"/>
          <w:iCs w:val="1"/>
          <w:sz w:val="20"/>
          <w:szCs w:val="20"/>
          <w:rtl w:val="0"/>
          <w:lang w:val="en-US"/>
        </w:rPr>
        <w:t xml:space="preserve"> </w:t>
      </w:r>
      <w:r>
        <w:rPr>
          <w:sz w:val="20"/>
          <w:szCs w:val="20"/>
          <w:rtl w:val="0"/>
          <w:lang w:val="en-US"/>
        </w:rPr>
        <w:t>f1</w:t>
      </w:r>
      <w:r>
        <w:rPr>
          <w:sz w:val="20"/>
          <w:szCs w:val="20"/>
          <w:vertAlign w:val="superscript"/>
          <w:rtl w:val="0"/>
          <w:lang w:val="en-US"/>
        </w:rPr>
        <w:t>r</w:t>
      </w:r>
      <w:r>
        <w:rPr>
          <w:sz w:val="20"/>
          <w:szCs w:val="20"/>
          <w:rtl w:val="0"/>
          <w:lang w:val="en-US"/>
        </w:rPr>
        <w:t>-f3</w:t>
      </w:r>
      <w:r>
        <w:rPr>
          <w:sz w:val="20"/>
          <w:szCs w:val="20"/>
          <w:vertAlign w:val="superscript"/>
          <w:rtl w:val="0"/>
          <w:lang w:val="en-US"/>
        </w:rPr>
        <w:t>r</w:t>
      </w:r>
      <w:r>
        <w:rPr>
          <w:sz w:val="20"/>
          <w:szCs w:val="20"/>
          <w:rtl w:val="0"/>
          <w:lang w:val="en-US"/>
        </w:rPr>
        <w:t>.</w:t>
      </w:r>
    </w:p>
  </w:footnote>
  <w:footnote w:id="11">
    <w:p>
      <w:pPr>
        <w:pStyle w:val="Footnote"/>
      </w:pPr>
      <w:r>
        <w:rPr>
          <w:sz w:val="20"/>
          <w:szCs w:val="20"/>
          <w:vertAlign w:val="superscript"/>
        </w:rPr>
        <w:footnoteRef/>
      </w:r>
      <w:r>
        <w:rPr>
          <w:sz w:val="20"/>
          <w:szCs w:val="20"/>
          <w:rtl w:val="0"/>
        </w:rPr>
        <w:t xml:space="preserve"> </w:t>
      </w:r>
      <w:r>
        <w:rPr>
          <w:sz w:val="20"/>
          <w:szCs w:val="20"/>
          <w:rtl w:val="0"/>
          <w:lang w:val="en-US"/>
        </w:rPr>
        <w:t xml:space="preserve">Aristotle, </w:t>
      </w:r>
      <w:r>
        <w:rPr>
          <w:i w:val="1"/>
          <w:iCs w:val="1"/>
          <w:sz w:val="20"/>
          <w:szCs w:val="20"/>
          <w:rtl w:val="0"/>
          <w:lang w:val="en-US"/>
        </w:rPr>
        <w:t xml:space="preserve">Aristotelis Ethicorum ad Nicomachum Libri Decem </w:t>
      </w:r>
      <w:r>
        <w:rPr>
          <w:sz w:val="20"/>
          <w:szCs w:val="20"/>
          <w:rtl w:val="0"/>
          <w:lang w:val="en-US"/>
        </w:rPr>
        <w:t>(London, 1581), F2</w:t>
      </w:r>
      <w:r>
        <w:rPr>
          <w:sz w:val="20"/>
          <w:szCs w:val="20"/>
          <w:vertAlign w:val="superscript"/>
          <w:rtl w:val="0"/>
          <w:lang w:val="en-US"/>
        </w:rPr>
        <w:t>r</w:t>
      </w:r>
      <w:r>
        <w:rPr>
          <w:sz w:val="20"/>
          <w:szCs w:val="20"/>
          <w:rtl w:val="0"/>
          <w:lang w:val="en-US"/>
        </w:rPr>
        <w:t>-F4</w:t>
      </w:r>
      <w:r>
        <w:rPr>
          <w:sz w:val="20"/>
          <w:szCs w:val="20"/>
          <w:vertAlign w:val="superscript"/>
          <w:rtl w:val="0"/>
          <w:lang w:val="en-US"/>
        </w:rPr>
        <w:t>r</w:t>
      </w:r>
      <w:r>
        <w:rPr>
          <w:sz w:val="20"/>
          <w:szCs w:val="20"/>
          <w:rtl w:val="0"/>
          <w:lang w:val="en-US"/>
        </w:rPr>
        <w:t>.</w:t>
      </w:r>
    </w:p>
  </w:footnote>
  <w:footnote w:id="12">
    <w:p>
      <w:pPr>
        <w:pStyle w:val="Footnote"/>
      </w:pPr>
      <w:r>
        <w:rPr>
          <w:sz w:val="20"/>
          <w:szCs w:val="20"/>
          <w:vertAlign w:val="superscript"/>
        </w:rPr>
        <w:footnoteRef/>
      </w:r>
      <w:r>
        <w:rPr>
          <w:sz w:val="20"/>
          <w:szCs w:val="20"/>
          <w:rtl w:val="0"/>
        </w:rPr>
        <w:t xml:space="preserve"> </w:t>
      </w:r>
      <w:r>
        <w:rPr>
          <w:sz w:val="20"/>
          <w:szCs w:val="20"/>
          <w:rtl w:val="0"/>
          <w:lang w:val="en-US"/>
        </w:rPr>
        <w:t xml:space="preserve">Aristotle, </w:t>
      </w:r>
      <w:r>
        <w:rPr>
          <w:i w:val="1"/>
          <w:iCs w:val="1"/>
          <w:sz w:val="20"/>
          <w:szCs w:val="20"/>
          <w:rtl w:val="0"/>
          <w:lang w:val="en-US"/>
        </w:rPr>
        <w:t>Aristotles Politiques, or Discourses of Gouernment</w:t>
      </w:r>
      <w:r>
        <w:rPr>
          <w:sz w:val="20"/>
          <w:szCs w:val="20"/>
          <w:rtl w:val="0"/>
          <w:lang w:val="en-US"/>
        </w:rPr>
        <w:t xml:space="preserve"> (London, 1598), I3</w:t>
      </w:r>
      <w:r>
        <w:rPr>
          <w:sz w:val="20"/>
          <w:szCs w:val="20"/>
          <w:vertAlign w:val="superscript"/>
          <w:rtl w:val="0"/>
          <w:lang w:val="en-US"/>
        </w:rPr>
        <w:t>r</w:t>
      </w:r>
      <w:r>
        <w:rPr>
          <w:sz w:val="20"/>
          <w:szCs w:val="20"/>
          <w:rtl w:val="0"/>
          <w:lang w:val="en-US"/>
        </w:rPr>
        <w:t>-I3</w:t>
      </w:r>
      <w:r>
        <w:rPr>
          <w:sz w:val="20"/>
          <w:szCs w:val="20"/>
          <w:vertAlign w:val="superscript"/>
          <w:rtl w:val="0"/>
          <w:lang w:val="en-US"/>
        </w:rPr>
        <w:t>v</w:t>
      </w:r>
      <w:r>
        <w:rPr>
          <w:sz w:val="20"/>
          <w:szCs w:val="20"/>
          <w:rtl w:val="0"/>
          <w:lang w:val="en-US"/>
        </w:rPr>
        <w:t>.</w:t>
      </w:r>
    </w:p>
  </w:footnote>
  <w:footnote w:id="13">
    <w:p>
      <w:pPr>
        <w:pStyle w:val="Footnote"/>
      </w:pPr>
      <w:r>
        <w:rPr>
          <w:sz w:val="20"/>
          <w:szCs w:val="20"/>
          <w:vertAlign w:val="superscript"/>
        </w:rPr>
        <w:footnoteRef/>
      </w:r>
      <w:r>
        <w:rPr>
          <w:sz w:val="20"/>
          <w:szCs w:val="20"/>
          <w:rtl w:val="0"/>
        </w:rPr>
        <w:t xml:space="preserve"> </w:t>
      </w:r>
      <w:r>
        <w:rPr>
          <w:sz w:val="20"/>
          <w:szCs w:val="20"/>
          <w:rtl w:val="0"/>
          <w:lang w:val="en-US"/>
        </w:rPr>
        <w:t xml:space="preserve">See Jeffrey Hause, </w:t>
      </w:r>
      <w:r>
        <w:rPr>
          <w:sz w:val="20"/>
          <w:szCs w:val="20"/>
          <w:rtl w:val="0"/>
          <w:lang w:val="en-US"/>
        </w:rPr>
        <w:t>‘</w:t>
      </w:r>
      <w:r>
        <w:rPr>
          <w:sz w:val="20"/>
          <w:szCs w:val="20"/>
          <w:rtl w:val="0"/>
          <w:lang w:val="en-US"/>
        </w:rPr>
        <w:t>Aquinas on Aristotelian Justice</w:t>
      </w:r>
      <w:r>
        <w:rPr>
          <w:sz w:val="20"/>
          <w:szCs w:val="20"/>
          <w:rtl w:val="0"/>
          <w:lang w:val="en-US"/>
        </w:rPr>
        <w:t>’</w:t>
      </w:r>
      <w:r>
        <w:rPr>
          <w:sz w:val="20"/>
          <w:szCs w:val="20"/>
          <w:rtl w:val="0"/>
          <w:lang w:val="en-US"/>
        </w:rPr>
        <w:t xml:space="preserve">, in </w:t>
      </w:r>
      <w:r>
        <w:rPr>
          <w:i w:val="1"/>
          <w:iCs w:val="1"/>
          <w:sz w:val="20"/>
          <w:szCs w:val="20"/>
          <w:rtl w:val="0"/>
          <w:lang w:val="en-US"/>
        </w:rPr>
        <w:t>Aquinas and the Nicomachean Ethics</w:t>
      </w:r>
      <w:r>
        <w:rPr>
          <w:sz w:val="20"/>
          <w:szCs w:val="20"/>
          <w:rtl w:val="0"/>
          <w:lang w:val="en-US"/>
        </w:rPr>
        <w:t>, ed. Tobias Hoffman, J</w:t>
      </w:r>
      <w:r>
        <w:rPr>
          <w:sz w:val="20"/>
          <w:szCs w:val="20"/>
          <w:rtl w:val="0"/>
          <w:lang w:val="en-US"/>
        </w:rPr>
        <w:t>ö</w:t>
      </w:r>
      <w:r>
        <w:rPr>
          <w:sz w:val="20"/>
          <w:szCs w:val="20"/>
          <w:rtl w:val="0"/>
          <w:lang w:val="en-US"/>
        </w:rPr>
        <w:t>rn M</w:t>
      </w:r>
      <w:r>
        <w:rPr>
          <w:sz w:val="20"/>
          <w:szCs w:val="20"/>
          <w:rtl w:val="0"/>
          <w:lang w:val="en-US"/>
        </w:rPr>
        <w:t>ü</w:t>
      </w:r>
      <w:r>
        <w:rPr>
          <w:sz w:val="20"/>
          <w:szCs w:val="20"/>
          <w:rtl w:val="0"/>
          <w:lang w:val="en-US"/>
        </w:rPr>
        <w:t>ller and Matthias Perkams (Cambridge, 2013), pp.146-164.</w:t>
      </w:r>
      <w:r>
        <w:rPr>
          <w:i w:val="1"/>
          <w:iCs w:val="1"/>
          <w:sz w:val="20"/>
          <w:szCs w:val="20"/>
          <w:rtl w:val="0"/>
          <w:lang w:val="en-US"/>
        </w:rPr>
        <w:t xml:space="preserve"> </w:t>
      </w:r>
    </w:p>
  </w:footnote>
  <w:footnote w:id="14">
    <w:p>
      <w:pPr>
        <w:pStyle w:val="Footnote"/>
      </w:pPr>
      <w:r>
        <w:rPr>
          <w:sz w:val="20"/>
          <w:szCs w:val="20"/>
          <w:vertAlign w:val="superscript"/>
        </w:rPr>
        <w:footnoteRef/>
      </w:r>
      <w:r>
        <w:rPr>
          <w:sz w:val="20"/>
          <w:szCs w:val="20"/>
          <w:rtl w:val="0"/>
        </w:rPr>
        <w:t xml:space="preserve"> </w:t>
      </w:r>
      <w:r>
        <w:rPr>
          <w:sz w:val="20"/>
          <w:szCs w:val="20"/>
          <w:rtl w:val="0"/>
          <w:lang w:val="en-US"/>
        </w:rPr>
        <w:t xml:space="preserve">Philipp Caesar, </w:t>
      </w:r>
      <w:r>
        <w:rPr>
          <w:i w:val="1"/>
          <w:iCs w:val="1"/>
          <w:sz w:val="20"/>
          <w:szCs w:val="20"/>
          <w:rtl w:val="0"/>
          <w:lang w:val="en-US"/>
        </w:rPr>
        <w:t>A General Discourse Against the Damnable Sect of Vsurers</w:t>
      </w:r>
      <w:r>
        <w:rPr>
          <w:sz w:val="20"/>
          <w:szCs w:val="20"/>
          <w:rtl w:val="0"/>
          <w:lang w:val="en-US"/>
        </w:rPr>
        <w:t xml:space="preserve"> (London, 1578), E3</w:t>
      </w:r>
      <w:r>
        <w:rPr>
          <w:sz w:val="20"/>
          <w:szCs w:val="20"/>
          <w:vertAlign w:val="superscript"/>
          <w:rtl w:val="0"/>
          <w:lang w:val="en-US"/>
        </w:rPr>
        <w:t>r</w:t>
      </w:r>
      <w:r>
        <w:rPr>
          <w:sz w:val="20"/>
          <w:szCs w:val="20"/>
          <w:rtl w:val="0"/>
          <w:lang w:val="en-US"/>
        </w:rPr>
        <w:t>.</w:t>
      </w:r>
    </w:p>
  </w:footnote>
  <w:footnote w:id="15">
    <w:p>
      <w:pPr>
        <w:pStyle w:val="Footnote"/>
      </w:pPr>
      <w:r>
        <w:rPr>
          <w:sz w:val="20"/>
          <w:szCs w:val="20"/>
          <w:vertAlign w:val="superscript"/>
        </w:rPr>
        <w:footnoteRef/>
      </w:r>
      <w:r>
        <w:rPr>
          <w:color w:val="ff2c21"/>
          <w:sz w:val="20"/>
          <w:szCs w:val="20"/>
          <w:rtl w:val="0"/>
        </w:rPr>
        <w:t xml:space="preserve"> </w:t>
      </w:r>
      <w:r>
        <w:rPr>
          <w:sz w:val="20"/>
          <w:szCs w:val="20"/>
          <w:rtl w:val="0"/>
          <w:lang w:val="en-US"/>
        </w:rPr>
        <w:t>Aristotle (London, 1598), I3</w:t>
      </w:r>
      <w:r>
        <w:rPr>
          <w:sz w:val="20"/>
          <w:szCs w:val="20"/>
          <w:vertAlign w:val="superscript"/>
          <w:rtl w:val="0"/>
          <w:lang w:val="en-US"/>
        </w:rPr>
        <w:t>r</w:t>
      </w:r>
      <w:r>
        <w:rPr>
          <w:sz w:val="20"/>
          <w:szCs w:val="20"/>
          <w:rtl w:val="0"/>
          <w:lang w:val="en-US"/>
        </w:rPr>
        <w:t>.</w:t>
      </w:r>
    </w:p>
  </w:footnote>
  <w:footnote w:id="16">
    <w:p>
      <w:pPr>
        <w:pStyle w:val="Footnote"/>
      </w:pPr>
      <w:r>
        <w:rPr>
          <w:sz w:val="20"/>
          <w:szCs w:val="20"/>
          <w:vertAlign w:val="superscript"/>
        </w:rPr>
        <w:footnoteRef/>
      </w:r>
      <w:r>
        <w:rPr>
          <w:sz w:val="20"/>
          <w:szCs w:val="20"/>
          <w:rtl w:val="0"/>
        </w:rPr>
        <w:t xml:space="preserve"> </w:t>
      </w:r>
      <w:r>
        <w:rPr>
          <w:sz w:val="20"/>
          <w:szCs w:val="20"/>
          <w:rtl w:val="0"/>
          <w:lang w:val="en-US"/>
        </w:rPr>
        <w:t xml:space="preserve">Gabriel Harvey, </w:t>
      </w:r>
      <w:r>
        <w:rPr>
          <w:i w:val="1"/>
          <w:iCs w:val="1"/>
          <w:sz w:val="20"/>
          <w:szCs w:val="20"/>
          <w:rtl w:val="0"/>
          <w:lang w:val="en-US"/>
        </w:rPr>
        <w:t xml:space="preserve">Pierces Supererogation </w:t>
      </w:r>
      <w:r>
        <w:rPr>
          <w:sz w:val="20"/>
          <w:szCs w:val="20"/>
          <w:rtl w:val="0"/>
          <w:lang w:val="en-US"/>
        </w:rPr>
        <w:t>(London, 1593), p.94.</w:t>
      </w:r>
    </w:p>
  </w:footnote>
  <w:footnote w:id="17">
    <w:p>
      <w:pPr>
        <w:pStyle w:val="Footnote"/>
      </w:pPr>
      <w:r>
        <w:rPr>
          <w:sz w:val="20"/>
          <w:szCs w:val="20"/>
          <w:vertAlign w:val="superscript"/>
        </w:rPr>
        <w:footnoteRef/>
      </w:r>
      <w:r>
        <w:rPr>
          <w:sz w:val="20"/>
          <w:szCs w:val="20"/>
          <w:rtl w:val="0"/>
        </w:rPr>
        <w:t xml:space="preserve"> </w:t>
      </w:r>
      <w:r>
        <w:rPr>
          <w:sz w:val="20"/>
          <w:szCs w:val="20"/>
          <w:rtl w:val="0"/>
          <w:lang w:val="en-US"/>
        </w:rPr>
        <w:t>Gabriel Harvey (London, 1593), p.95.</w:t>
      </w:r>
    </w:p>
  </w:footnote>
  <w:footnote w:id="18">
    <w:p>
      <w:pPr>
        <w:pStyle w:val="Footnote"/>
      </w:pPr>
      <w:r>
        <w:rPr>
          <w:sz w:val="20"/>
          <w:szCs w:val="20"/>
          <w:vertAlign w:val="superscript"/>
        </w:rPr>
        <w:footnoteRef/>
      </w:r>
      <w:r>
        <w:rPr>
          <w:sz w:val="20"/>
          <w:szCs w:val="20"/>
          <w:rtl w:val="0"/>
        </w:rPr>
        <w:t xml:space="preserve"> </w:t>
      </w:r>
      <w:r>
        <w:rPr>
          <w:sz w:val="20"/>
          <w:szCs w:val="20"/>
          <w:rtl w:val="0"/>
          <w:lang w:val="en-US"/>
        </w:rPr>
        <w:t xml:space="preserve">Francis Bacon, </w:t>
      </w:r>
      <w:r>
        <w:rPr>
          <w:i w:val="1"/>
          <w:iCs w:val="1"/>
          <w:sz w:val="20"/>
          <w:szCs w:val="20"/>
          <w:rtl w:val="0"/>
          <w:lang w:val="en-US"/>
        </w:rPr>
        <w:t xml:space="preserve">Of the Proficience and Aduancement of Learning, Diuine and Humane </w:t>
      </w:r>
      <w:r>
        <w:rPr>
          <w:sz w:val="20"/>
          <w:szCs w:val="20"/>
          <w:rtl w:val="0"/>
          <w:lang w:val="en-US"/>
        </w:rPr>
        <w:t>(London, 1605), Ff1</w:t>
      </w:r>
      <w:r>
        <w:rPr>
          <w:sz w:val="20"/>
          <w:szCs w:val="20"/>
          <w:vertAlign w:val="superscript"/>
          <w:rtl w:val="0"/>
          <w:lang w:val="en-US"/>
        </w:rPr>
        <w:t>r</w:t>
      </w:r>
      <w:r>
        <w:rPr>
          <w:sz w:val="20"/>
          <w:szCs w:val="20"/>
          <w:rtl w:val="0"/>
          <w:lang w:val="en-US"/>
        </w:rPr>
        <w:t>-Ff1</w:t>
      </w:r>
      <w:r>
        <w:rPr>
          <w:sz w:val="20"/>
          <w:szCs w:val="20"/>
          <w:vertAlign w:val="superscript"/>
          <w:rtl w:val="0"/>
          <w:lang w:val="en-US"/>
        </w:rPr>
        <w:t>v</w:t>
      </w:r>
      <w:r>
        <w:rPr>
          <w:sz w:val="20"/>
          <w:szCs w:val="20"/>
          <w:rtl w:val="0"/>
          <w:lang w:val="en-US"/>
        </w:rPr>
        <w:t>.</w:t>
      </w:r>
    </w:p>
  </w:footnote>
  <w:footnote w:id="19">
    <w:p>
      <w:pPr>
        <w:pStyle w:val="Footnote"/>
      </w:pPr>
      <w:r>
        <w:rPr>
          <w:sz w:val="20"/>
          <w:szCs w:val="20"/>
          <w:vertAlign w:val="superscript"/>
        </w:rPr>
        <w:footnoteRef/>
      </w:r>
      <w:r>
        <w:rPr>
          <w:sz w:val="20"/>
          <w:szCs w:val="20"/>
          <w:rtl w:val="0"/>
        </w:rPr>
        <w:t xml:space="preserve"> </w:t>
      </w:r>
      <w:r>
        <w:rPr>
          <w:sz w:val="20"/>
          <w:szCs w:val="20"/>
          <w:rtl w:val="0"/>
          <w:lang w:val="en-US"/>
        </w:rPr>
        <w:t xml:space="preserve">Robert Recorde, </w:t>
      </w:r>
      <w:r>
        <w:rPr>
          <w:i w:val="1"/>
          <w:iCs w:val="1"/>
          <w:sz w:val="20"/>
          <w:szCs w:val="20"/>
          <w:rtl w:val="0"/>
          <w:lang w:val="en-US"/>
        </w:rPr>
        <w:t>The Whetstone of Witte</w:t>
      </w:r>
      <w:r>
        <w:rPr>
          <w:sz w:val="20"/>
          <w:szCs w:val="20"/>
          <w:rtl w:val="0"/>
          <w:lang w:val="en-US"/>
        </w:rPr>
        <w:t xml:space="preserve"> (London, 1557), b1</w:t>
      </w:r>
      <w:r>
        <w:rPr>
          <w:sz w:val="20"/>
          <w:szCs w:val="20"/>
          <w:vertAlign w:val="superscript"/>
          <w:rtl w:val="0"/>
          <w:lang w:val="en-US"/>
        </w:rPr>
        <w:t>v</w:t>
      </w:r>
      <w:r>
        <w:rPr>
          <w:sz w:val="20"/>
          <w:szCs w:val="20"/>
          <w:rtl w:val="0"/>
          <w:lang w:val="en-US"/>
        </w:rPr>
        <w:t>-b2</w:t>
      </w:r>
      <w:r>
        <w:rPr>
          <w:sz w:val="20"/>
          <w:szCs w:val="20"/>
          <w:vertAlign w:val="superscript"/>
          <w:rtl w:val="0"/>
          <w:lang w:val="en-US"/>
        </w:rPr>
        <w:t>r</w:t>
      </w:r>
      <w:r>
        <w:rPr>
          <w:sz w:val="20"/>
          <w:szCs w:val="20"/>
          <w:rtl w:val="0"/>
          <w:lang w:val="en-US"/>
        </w:rPr>
        <w:t>.,</w:t>
      </w:r>
    </w:p>
  </w:footnote>
  <w:footnote w:id="20">
    <w:p>
      <w:pPr>
        <w:pStyle w:val="Footnote"/>
      </w:pPr>
      <w:r>
        <w:rPr>
          <w:sz w:val="20"/>
          <w:szCs w:val="20"/>
          <w:vertAlign w:val="superscript"/>
        </w:rPr>
        <w:footnoteRef/>
      </w:r>
      <w:r>
        <w:rPr>
          <w:sz w:val="20"/>
          <w:szCs w:val="20"/>
          <w:rtl w:val="0"/>
        </w:rPr>
        <w:t xml:space="preserve"> </w:t>
      </w:r>
      <w:r>
        <w:rPr>
          <w:sz w:val="20"/>
          <w:szCs w:val="20"/>
          <w:rtl w:val="0"/>
          <w:lang w:val="en-US"/>
        </w:rPr>
        <w:t xml:space="preserve">Robert Recorde, </w:t>
      </w:r>
      <w:r>
        <w:rPr>
          <w:i w:val="1"/>
          <w:iCs w:val="1"/>
          <w:sz w:val="20"/>
          <w:szCs w:val="20"/>
          <w:rtl w:val="0"/>
          <w:lang w:val="en-US"/>
        </w:rPr>
        <w:t xml:space="preserve">The Pathway to Knowledg </w:t>
      </w:r>
      <w:r>
        <w:rPr>
          <w:sz w:val="20"/>
          <w:szCs w:val="20"/>
          <w:rtl w:val="0"/>
          <w:lang w:val="en-US"/>
        </w:rPr>
        <w:t xml:space="preserve">(London, 1551), </w:t>
      </w:r>
      <w:r>
        <w:rPr>
          <w:sz w:val="20"/>
          <w:szCs w:val="20"/>
          <w:rtl w:val="0"/>
          <w:lang w:val="en-US"/>
        </w:rPr>
        <w:t>‡</w:t>
      </w:r>
      <w:r>
        <w:rPr>
          <w:sz w:val="20"/>
          <w:szCs w:val="20"/>
          <w:rtl w:val="0"/>
          <w:lang w:val="en-US"/>
        </w:rPr>
        <w:t>2</w:t>
      </w:r>
      <w:r>
        <w:rPr>
          <w:sz w:val="20"/>
          <w:szCs w:val="20"/>
          <w:vertAlign w:val="superscript"/>
          <w:rtl w:val="0"/>
          <w:lang w:val="en-US"/>
        </w:rPr>
        <w:t>r</w:t>
      </w:r>
      <w:r>
        <w:rPr>
          <w:sz w:val="20"/>
          <w:szCs w:val="20"/>
          <w:rtl w:val="0"/>
          <w:lang w:val="en-US"/>
        </w:rPr>
        <w:t>. The book was evidently popular, for it was reprinted in 1574 and again in 1602.</w:t>
      </w:r>
    </w:p>
  </w:footnote>
  <w:footnote w:id="21">
    <w:p>
      <w:pPr>
        <w:pStyle w:val="Footnote"/>
      </w:pPr>
      <w:r>
        <w:rPr>
          <w:sz w:val="20"/>
          <w:szCs w:val="20"/>
          <w:vertAlign w:val="superscript"/>
        </w:rPr>
        <w:footnoteRef/>
      </w:r>
      <w:r>
        <w:rPr>
          <w:sz w:val="20"/>
          <w:szCs w:val="20"/>
          <w:rtl w:val="0"/>
        </w:rPr>
        <w:t xml:space="preserve"> </w:t>
      </w:r>
      <w:r>
        <w:rPr>
          <w:sz w:val="20"/>
          <w:szCs w:val="20"/>
          <w:rtl w:val="0"/>
          <w:lang w:val="en-US"/>
        </w:rPr>
        <w:t>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v</w:t>
      </w:r>
      <w:r>
        <w:rPr>
          <w:sz w:val="20"/>
          <w:szCs w:val="20"/>
          <w:rtl w:val="0"/>
          <w:lang w:val="en-US"/>
        </w:rPr>
        <w:t>.</w:t>
      </w:r>
    </w:p>
  </w:footnote>
  <w:footnote w:id="22">
    <w:p>
      <w:pPr>
        <w:pStyle w:val="Footnote"/>
      </w:pPr>
      <w:r>
        <w:rPr>
          <w:sz w:val="20"/>
          <w:szCs w:val="20"/>
          <w:vertAlign w:val="superscript"/>
        </w:rPr>
        <w:footnoteRef/>
      </w:r>
      <w:r>
        <w:rPr>
          <w:sz w:val="20"/>
          <w:szCs w:val="20"/>
          <w:rtl w:val="0"/>
        </w:rPr>
        <w:t xml:space="preserve"> </w:t>
      </w:r>
      <w:r>
        <w:rPr>
          <w:sz w:val="20"/>
          <w:szCs w:val="20"/>
          <w:rtl w:val="0"/>
          <w:lang w:val="en-US"/>
        </w:rPr>
        <w:t>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v</w:t>
      </w:r>
      <w:r>
        <w:rPr>
          <w:sz w:val="20"/>
          <w:szCs w:val="20"/>
          <w:rtl w:val="0"/>
          <w:lang w:val="en-US"/>
        </w:rPr>
        <w:t>.</w:t>
      </w:r>
    </w:p>
  </w:footnote>
  <w:footnote w:id="23">
    <w:p>
      <w:pPr>
        <w:pStyle w:val="Footnote"/>
      </w:pPr>
      <w:r>
        <w:rPr>
          <w:sz w:val="20"/>
          <w:szCs w:val="20"/>
          <w:vertAlign w:val="superscript"/>
        </w:rPr>
        <w:footnoteRef/>
      </w:r>
      <w:r>
        <w:rPr>
          <w:sz w:val="20"/>
          <w:szCs w:val="20"/>
          <w:rtl w:val="0"/>
        </w:rPr>
        <w:t xml:space="preserve"> </w:t>
      </w:r>
      <w:r>
        <w:rPr>
          <w:sz w:val="20"/>
          <w:szCs w:val="20"/>
          <w:rtl w:val="0"/>
          <w:lang w:val="en-US"/>
        </w:rPr>
        <w:t>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v</w:t>
      </w:r>
      <w:r>
        <w:rPr>
          <w:sz w:val="20"/>
          <w:szCs w:val="20"/>
          <w:rtl w:val="0"/>
          <w:lang w:val="en-US"/>
        </w:rPr>
        <w:t>.</w:t>
      </w:r>
    </w:p>
  </w:footnote>
  <w:footnote w:id="24">
    <w:p>
      <w:pPr>
        <w:pStyle w:val="Footnote"/>
      </w:pPr>
      <w:r>
        <w:rPr>
          <w:sz w:val="20"/>
          <w:szCs w:val="20"/>
          <w:vertAlign w:val="superscript"/>
        </w:rPr>
        <w:footnoteRef/>
      </w:r>
      <w:r>
        <w:rPr>
          <w:sz w:val="20"/>
          <w:szCs w:val="20"/>
          <w:rtl w:val="0"/>
        </w:rPr>
        <w:t xml:space="preserve"> </w:t>
      </w:r>
      <w:r>
        <w:rPr>
          <w:sz w:val="20"/>
          <w:szCs w:val="20"/>
          <w:rtl w:val="0"/>
          <w:lang w:val="en-US"/>
        </w:rPr>
        <w:t>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v</w:t>
      </w:r>
      <w:r>
        <w:rPr>
          <w:sz w:val="20"/>
          <w:szCs w:val="20"/>
          <w:rtl w:val="0"/>
          <w:lang w:val="en-US"/>
        </w:rPr>
        <w:t>.</w:t>
      </w:r>
    </w:p>
  </w:footnote>
  <w:footnote w:id="25">
    <w:p>
      <w:pPr>
        <w:pStyle w:val="Footnote"/>
      </w:pPr>
      <w:r>
        <w:rPr>
          <w:sz w:val="20"/>
          <w:szCs w:val="20"/>
          <w:vertAlign w:val="superscript"/>
        </w:rPr>
        <w:footnoteRef/>
      </w:r>
      <w:r>
        <w:rPr>
          <w:sz w:val="20"/>
          <w:szCs w:val="20"/>
          <w:rtl w:val="0"/>
          <w:lang w:val="en-US"/>
        </w:rPr>
        <w:t xml:space="preserve"> 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a1</w:t>
      </w:r>
      <w:r>
        <w:rPr>
          <w:sz w:val="20"/>
          <w:szCs w:val="20"/>
          <w:vertAlign w:val="superscript"/>
          <w:rtl w:val="0"/>
          <w:lang w:val="en-US"/>
        </w:rPr>
        <w:t>v</w:t>
      </w:r>
      <w:r>
        <w:rPr>
          <w:sz w:val="20"/>
          <w:szCs w:val="20"/>
          <w:rtl w:val="0"/>
          <w:lang w:val="en-US"/>
        </w:rPr>
        <w:t>.</w:t>
      </w:r>
    </w:p>
  </w:footnote>
  <w:footnote w:id="26">
    <w:p>
      <w:pPr>
        <w:pStyle w:val="Footnote"/>
      </w:pPr>
      <w:r>
        <w:rPr>
          <w:sz w:val="20"/>
          <w:szCs w:val="20"/>
          <w:vertAlign w:val="superscript"/>
        </w:rPr>
        <w:footnoteRef/>
      </w:r>
      <w:r>
        <w:rPr>
          <w:sz w:val="20"/>
          <w:szCs w:val="20"/>
          <w:rtl w:val="0"/>
        </w:rPr>
        <w:t xml:space="preserve"> Kerrigan (Oxford, 1996), pp.1</w:t>
      </w:r>
      <w:r>
        <w:rPr>
          <w:sz w:val="20"/>
          <w:szCs w:val="20"/>
          <w:rtl w:val="0"/>
          <w:lang w:val="en-US"/>
        </w:rPr>
        <w:t>17.</w:t>
      </w:r>
    </w:p>
  </w:footnote>
  <w:footnote w:id="27">
    <w:p>
      <w:pPr>
        <w:pStyle w:val="Footnote"/>
      </w:pPr>
      <w:r>
        <w:rPr>
          <w:sz w:val="20"/>
          <w:szCs w:val="20"/>
          <w:vertAlign w:val="superscript"/>
        </w:rPr>
        <w:footnoteRef/>
      </w:r>
      <w:r>
        <w:rPr>
          <w:sz w:val="20"/>
          <w:szCs w:val="20"/>
          <w:rtl w:val="0"/>
        </w:rPr>
        <w:t xml:space="preserve"> Kerrigan (Oxford, 1996), pp.117.</w:t>
      </w:r>
    </w:p>
  </w:footnote>
  <w:footnote w:id="28">
    <w:p>
      <w:pPr>
        <w:pStyle w:val="Footnote"/>
      </w:pPr>
      <w:r>
        <w:rPr>
          <w:sz w:val="20"/>
          <w:szCs w:val="20"/>
          <w:vertAlign w:val="superscript"/>
        </w:rPr>
        <w:footnoteRef/>
      </w:r>
      <w:r>
        <w:rPr>
          <w:sz w:val="20"/>
          <w:szCs w:val="20"/>
          <w:rtl w:val="0"/>
        </w:rPr>
        <w:t xml:space="preserve"> Kerrigan (Oxford, 1996), pp.1</w:t>
      </w:r>
      <w:r>
        <w:rPr>
          <w:sz w:val="20"/>
          <w:szCs w:val="20"/>
          <w:rtl w:val="0"/>
          <w:lang w:val="en-US"/>
        </w:rPr>
        <w:t>15.</w:t>
      </w:r>
    </w:p>
  </w:footnote>
  <w:footnote w:id="29">
    <w:p>
      <w:pPr>
        <w:pStyle w:val="Footnote"/>
      </w:pPr>
      <w:r>
        <w:rPr>
          <w:sz w:val="20"/>
          <w:szCs w:val="20"/>
          <w:vertAlign w:val="superscript"/>
        </w:rPr>
        <w:footnoteRef/>
      </w:r>
      <w:r>
        <w:rPr>
          <w:sz w:val="20"/>
          <w:szCs w:val="20"/>
          <w:rtl w:val="0"/>
        </w:rPr>
        <w:t xml:space="preserve"> </w:t>
      </w:r>
      <w:r>
        <w:rPr>
          <w:sz w:val="20"/>
          <w:szCs w:val="20"/>
          <w:rtl w:val="0"/>
          <w:lang w:val="en-US"/>
        </w:rPr>
        <w:t xml:space="preserve">Seneca, </w:t>
      </w:r>
      <w:r>
        <w:rPr>
          <w:i w:val="1"/>
          <w:iCs w:val="1"/>
          <w:sz w:val="20"/>
          <w:szCs w:val="20"/>
          <w:rtl w:val="0"/>
          <w:lang w:val="en-US"/>
        </w:rPr>
        <w:t>Tragedies</w:t>
      </w:r>
      <w:r>
        <w:rPr>
          <w:sz w:val="20"/>
          <w:szCs w:val="20"/>
          <w:rtl w:val="0"/>
          <w:lang w:val="en-US"/>
        </w:rPr>
        <w:t>, trans. John G. Fitch, Loeb Classical Library (Massachusetts, 2014). All citations from Seneca</w:t>
      </w:r>
      <w:r>
        <w:rPr>
          <w:sz w:val="20"/>
          <w:szCs w:val="20"/>
          <w:rtl w:val="0"/>
          <w:lang w:val="en-US"/>
        </w:rPr>
        <w:t>’</w:t>
      </w:r>
      <w:r>
        <w:rPr>
          <w:sz w:val="20"/>
          <w:szCs w:val="20"/>
          <w:rtl w:val="0"/>
          <w:lang w:val="en-US"/>
        </w:rPr>
        <w:t xml:space="preserve">s tragedies, in both Latin and English, are from this edition. Line numbers are inserted into the text. </w:t>
      </w:r>
    </w:p>
  </w:footnote>
  <w:footnote w:id="30">
    <w:p>
      <w:pPr>
        <w:pStyle w:val="Footnote"/>
      </w:pPr>
      <w:r>
        <w:rPr>
          <w:sz w:val="20"/>
          <w:szCs w:val="20"/>
          <w:vertAlign w:val="superscript"/>
        </w:rPr>
        <w:footnoteRef/>
      </w:r>
      <w:r>
        <w:rPr>
          <w:sz w:val="20"/>
          <w:szCs w:val="20"/>
          <w:rtl w:val="0"/>
          <w:lang w:val="nl-NL"/>
        </w:rPr>
        <w:t xml:space="preserve"> Woodbridge, (Cambridge, 2010), p.254.</w:t>
      </w:r>
    </w:p>
  </w:footnote>
  <w:footnote w:id="31">
    <w:p>
      <w:pPr>
        <w:pStyle w:val="Footnote"/>
      </w:pPr>
      <w:r>
        <w:rPr>
          <w:sz w:val="20"/>
          <w:szCs w:val="20"/>
          <w:vertAlign w:val="superscript"/>
        </w:rPr>
        <w:footnoteRef/>
      </w:r>
      <w:r>
        <w:rPr>
          <w:sz w:val="20"/>
          <w:szCs w:val="20"/>
          <w:rtl w:val="0"/>
        </w:rPr>
        <w:t xml:space="preserve"> </w:t>
      </w:r>
      <w:r>
        <w:rPr>
          <w:sz w:val="20"/>
          <w:szCs w:val="20"/>
          <w:rtl w:val="0"/>
          <w:lang w:val="en-US"/>
        </w:rPr>
        <w:t>Woodbridge, (Cambridge, 2010), p.254.</w:t>
      </w:r>
    </w:p>
  </w:footnote>
  <w:footnote w:id="32">
    <w:p>
      <w:pPr>
        <w:pStyle w:val="Footnote"/>
      </w:pPr>
      <w:r>
        <w:rPr>
          <w:sz w:val="20"/>
          <w:szCs w:val="20"/>
          <w:vertAlign w:val="superscript"/>
        </w:rPr>
        <w:footnoteRef/>
      </w:r>
      <w:r>
        <w:rPr>
          <w:sz w:val="20"/>
          <w:szCs w:val="20"/>
          <w:rtl w:val="0"/>
        </w:rPr>
        <w:t xml:space="preserve"> </w:t>
      </w:r>
      <w:r>
        <w:rPr>
          <w:sz w:val="20"/>
          <w:szCs w:val="20"/>
          <w:rtl w:val="0"/>
          <w:lang w:val="en-US"/>
        </w:rPr>
        <w:t xml:space="preserve">Aeschylus, </w:t>
      </w:r>
      <w:r>
        <w:rPr>
          <w:i w:val="1"/>
          <w:iCs w:val="1"/>
          <w:sz w:val="20"/>
          <w:szCs w:val="20"/>
          <w:rtl w:val="0"/>
          <w:lang w:val="en-US"/>
        </w:rPr>
        <w:t>The Oresteia</w:t>
      </w:r>
      <w:r>
        <w:rPr>
          <w:sz w:val="20"/>
          <w:szCs w:val="20"/>
          <w:rtl w:val="0"/>
          <w:lang w:val="en-US"/>
        </w:rPr>
        <w:t>, trans. Alan H. Sommerstein (Massachusetts, 2008), pp.252-53.</w:t>
      </w:r>
    </w:p>
  </w:footnote>
  <w:footnote w:id="33">
    <w:p>
      <w:pPr>
        <w:pStyle w:val="Footnote"/>
      </w:pPr>
      <w:r>
        <w:rPr>
          <w:sz w:val="20"/>
          <w:szCs w:val="20"/>
          <w:vertAlign w:val="superscript"/>
        </w:rPr>
        <w:footnoteRef/>
      </w:r>
      <w:r>
        <w:rPr>
          <w:sz w:val="20"/>
          <w:szCs w:val="20"/>
          <w:rtl w:val="0"/>
        </w:rPr>
        <w:t xml:space="preserve"> </w:t>
      </w:r>
      <w:r>
        <w:rPr>
          <w:sz w:val="20"/>
          <w:szCs w:val="20"/>
          <w:rtl w:val="0"/>
          <w:lang w:val="en-US"/>
        </w:rPr>
        <w:t>John Dee, in Billingsley</w:t>
      </w:r>
      <w:r>
        <w:rPr>
          <w:sz w:val="20"/>
          <w:szCs w:val="20"/>
          <w:rtl w:val="0"/>
          <w:lang w:val="en-US"/>
        </w:rPr>
        <w:t>’</w:t>
      </w:r>
      <w:r>
        <w:rPr>
          <w:sz w:val="20"/>
          <w:szCs w:val="20"/>
          <w:rtl w:val="0"/>
          <w:lang w:val="en-US"/>
        </w:rPr>
        <w:t xml:space="preserve">s </w:t>
      </w:r>
      <w:r>
        <w:rPr>
          <w:i w:val="1"/>
          <w:iCs w:val="1"/>
          <w:sz w:val="20"/>
          <w:szCs w:val="20"/>
          <w:rtl w:val="0"/>
          <w:lang w:val="en-US"/>
        </w:rPr>
        <w:t>Elements</w:t>
      </w:r>
      <w:r>
        <w:rPr>
          <w:sz w:val="20"/>
          <w:szCs w:val="20"/>
          <w:rtl w:val="0"/>
          <w:lang w:val="en-US"/>
        </w:rPr>
        <w:t xml:space="preserve"> (London, 1570), *3</w:t>
      </w:r>
      <w:r>
        <w:rPr>
          <w:sz w:val="20"/>
          <w:szCs w:val="20"/>
          <w:vertAlign w:val="superscript"/>
          <w:rtl w:val="0"/>
          <w:lang w:val="en-US"/>
        </w:rPr>
        <w:t>r</w:t>
      </w:r>
      <w:r>
        <w:rPr>
          <w:sz w:val="20"/>
          <w:szCs w:val="20"/>
          <w:rtl w:val="0"/>
          <w:lang w:val="en-US"/>
        </w:rPr>
        <w:t>.</w:t>
      </w:r>
    </w:p>
  </w:footnote>
  <w:footnote w:id="34">
    <w:p>
      <w:pPr>
        <w:pStyle w:val="Footnote"/>
      </w:pPr>
      <w:r>
        <w:rPr>
          <w:sz w:val="20"/>
          <w:szCs w:val="20"/>
          <w:vertAlign w:val="superscript"/>
        </w:rPr>
        <w:footnoteRef/>
      </w:r>
      <w:r>
        <w:rPr>
          <w:sz w:val="20"/>
          <w:szCs w:val="20"/>
          <w:rtl w:val="0"/>
          <w:lang w:val="en-US"/>
        </w:rPr>
        <w:t xml:space="preserve"> Recorde</w:t>
      </w:r>
      <w:r>
        <w:rPr>
          <w:sz w:val="20"/>
          <w:szCs w:val="20"/>
          <w:rtl w:val="0"/>
          <w:lang w:val="fr-FR"/>
        </w:rPr>
        <w:t>’</w:t>
      </w:r>
      <w:r>
        <w:rPr>
          <w:sz w:val="20"/>
          <w:szCs w:val="20"/>
          <w:rtl w:val="0"/>
          <w:lang w:val="en-US"/>
        </w:rPr>
        <w:t xml:space="preserve">s full title was </w:t>
      </w:r>
      <w:r>
        <w:rPr>
          <w:sz w:val="20"/>
          <w:szCs w:val="20"/>
          <w:rtl w:val="0"/>
          <w:lang w:val="en-US"/>
        </w:rPr>
        <w:t>regularly</w:t>
      </w:r>
      <w:r>
        <w:rPr>
          <w:sz w:val="20"/>
          <w:szCs w:val="20"/>
          <w:rtl w:val="0"/>
          <w:lang w:val="en-US"/>
        </w:rPr>
        <w:t xml:space="preserve"> featured on the frontispieces of his mathematical books, perhaps to give them additional scholarly authority.</w:t>
      </w:r>
    </w:p>
  </w:footnote>
  <w:footnote w:id="35">
    <w:p>
      <w:pPr>
        <w:pStyle w:val="Footnote"/>
      </w:pPr>
      <w:r>
        <w:rPr>
          <w:sz w:val="20"/>
          <w:szCs w:val="20"/>
          <w:vertAlign w:val="superscript"/>
        </w:rPr>
        <w:footnoteRef/>
      </w:r>
      <w:r>
        <w:rPr>
          <w:sz w:val="20"/>
          <w:szCs w:val="20"/>
          <w:rtl w:val="0"/>
        </w:rPr>
        <w:t xml:space="preserve"> </w:t>
      </w:r>
      <w:r>
        <w:rPr>
          <w:sz w:val="20"/>
          <w:szCs w:val="20"/>
          <w:rtl w:val="0"/>
          <w:lang w:val="en-US"/>
        </w:rPr>
        <w:t xml:space="preserve">See Stephen Johnston, </w:t>
      </w:r>
      <w:r>
        <w:rPr>
          <w:sz w:val="20"/>
          <w:szCs w:val="20"/>
          <w:rtl w:val="0"/>
          <w:lang w:val="en-US"/>
        </w:rPr>
        <w:t>‘</w:t>
      </w:r>
      <w:r>
        <w:rPr>
          <w:sz w:val="20"/>
          <w:szCs w:val="20"/>
          <w:rtl w:val="0"/>
          <w:lang w:val="en-US"/>
        </w:rPr>
        <w:t>Recorde, Robert (</w:t>
      </w:r>
      <w:r>
        <w:rPr>
          <w:i w:val="1"/>
          <w:iCs w:val="1"/>
          <w:sz w:val="20"/>
          <w:szCs w:val="20"/>
          <w:rtl w:val="0"/>
          <w:lang w:val="en-US"/>
        </w:rPr>
        <w:t>c.</w:t>
      </w:r>
      <w:r>
        <w:rPr>
          <w:sz w:val="20"/>
          <w:szCs w:val="20"/>
          <w:rtl w:val="0"/>
          <w:lang w:val="en-US"/>
        </w:rPr>
        <w:t>1512-1558)</w:t>
      </w:r>
      <w:r>
        <w:rPr>
          <w:sz w:val="20"/>
          <w:szCs w:val="20"/>
          <w:rtl w:val="0"/>
          <w:lang w:val="en-US"/>
        </w:rPr>
        <w:t>’</w:t>
      </w:r>
      <w:r>
        <w:rPr>
          <w:sz w:val="20"/>
          <w:szCs w:val="20"/>
          <w:rtl w:val="0"/>
          <w:lang w:val="en-US"/>
        </w:rPr>
        <w:t xml:space="preserve">, </w:t>
      </w:r>
      <w:r>
        <w:rPr>
          <w:i w:val="1"/>
          <w:iCs w:val="1"/>
          <w:sz w:val="20"/>
          <w:szCs w:val="20"/>
          <w:rtl w:val="0"/>
          <w:lang w:val="en-US"/>
        </w:rPr>
        <w:t xml:space="preserve">Oxford Dictionary of National Biography </w:t>
      </w:r>
      <w:r>
        <w:rPr>
          <w:sz w:val="20"/>
          <w:szCs w:val="20"/>
          <w:rtl w:val="0"/>
          <w:lang w:val="en-US"/>
        </w:rPr>
        <w:t>(Oxford, 2004).</w:t>
      </w:r>
    </w:p>
  </w:footnote>
  <w:footnote w:id="36">
    <w:p>
      <w:pPr>
        <w:pStyle w:val="Footnote"/>
      </w:pPr>
      <w:r>
        <w:rPr>
          <w:sz w:val="20"/>
          <w:szCs w:val="20"/>
          <w:vertAlign w:val="superscript"/>
        </w:rPr>
        <w:footnoteRef/>
      </w:r>
      <w:r>
        <w:rPr>
          <w:sz w:val="20"/>
          <w:szCs w:val="20"/>
          <w:rtl w:val="0"/>
        </w:rPr>
        <w:t xml:space="preserve"> </w:t>
      </w:r>
      <w:r>
        <w:rPr>
          <w:sz w:val="20"/>
          <w:szCs w:val="20"/>
          <w:rtl w:val="0"/>
          <w:lang w:val="en-US"/>
        </w:rPr>
        <w:t xml:space="preserve">Robert Recorde, </w:t>
      </w:r>
      <w:r>
        <w:rPr>
          <w:i w:val="1"/>
          <w:iCs w:val="1"/>
          <w:sz w:val="20"/>
          <w:szCs w:val="20"/>
          <w:rtl w:val="0"/>
          <w:lang w:val="en-US"/>
        </w:rPr>
        <w:t xml:space="preserve">The Grounde of Artes </w:t>
      </w:r>
      <w:r>
        <w:rPr>
          <w:sz w:val="20"/>
          <w:szCs w:val="20"/>
          <w:rtl w:val="0"/>
        </w:rPr>
        <w:t>(London, 1582)</w:t>
      </w:r>
      <w:r>
        <w:rPr>
          <w:sz w:val="20"/>
          <w:szCs w:val="20"/>
          <w:rtl w:val="0"/>
          <w:lang w:val="en-US"/>
        </w:rPr>
        <w:t>,</w:t>
      </w:r>
      <w:r>
        <w:rPr>
          <w:i w:val="1"/>
          <w:iCs w:val="1"/>
          <w:sz w:val="20"/>
          <w:szCs w:val="20"/>
          <w:rtl w:val="0"/>
        </w:rPr>
        <w:t xml:space="preserve"> </w:t>
      </w:r>
      <w:r>
        <w:rPr>
          <w:sz w:val="20"/>
          <w:szCs w:val="20"/>
          <w:rtl w:val="0"/>
          <w:lang w:val="en-US"/>
        </w:rPr>
        <w:t>C3</w:t>
      </w:r>
      <w:r>
        <w:rPr>
          <w:sz w:val="20"/>
          <w:szCs w:val="20"/>
          <w:vertAlign w:val="superscript"/>
          <w:rtl w:val="0"/>
          <w:lang w:val="en-US"/>
        </w:rPr>
        <w:t>r</w:t>
      </w:r>
      <w:r>
        <w:rPr>
          <w:sz w:val="20"/>
          <w:szCs w:val="20"/>
          <w:rtl w:val="0"/>
          <w:lang w:val="en-US"/>
        </w:rPr>
        <w:t>-C3</w:t>
      </w:r>
      <w:r>
        <w:rPr>
          <w:sz w:val="20"/>
          <w:szCs w:val="20"/>
          <w:vertAlign w:val="superscript"/>
          <w:rtl w:val="0"/>
          <w:lang w:val="en-US"/>
        </w:rPr>
        <w:t>v</w:t>
      </w:r>
      <w:r>
        <w:rPr>
          <w:sz w:val="20"/>
          <w:szCs w:val="20"/>
          <w:rtl w:val="0"/>
          <w:lang w:val="en-US"/>
        </w:rPr>
        <w:t>.</w:t>
      </w:r>
    </w:p>
  </w:footnote>
  <w:footnote w:id="37">
    <w:p>
      <w:pPr>
        <w:pStyle w:val="Footnote"/>
      </w:pPr>
      <w:r>
        <w:rPr>
          <w:sz w:val="20"/>
          <w:szCs w:val="20"/>
          <w:vertAlign w:val="superscript"/>
        </w:rPr>
        <w:footnoteRef/>
      </w:r>
      <w:r>
        <w:rPr>
          <w:sz w:val="20"/>
          <w:szCs w:val="20"/>
          <w:rtl w:val="0"/>
        </w:rPr>
        <w:t xml:space="preserve"> </w:t>
      </w:r>
      <w:r>
        <w:rPr>
          <w:sz w:val="20"/>
          <w:szCs w:val="20"/>
          <w:rtl w:val="0"/>
          <w:lang w:val="en-US"/>
        </w:rPr>
        <w:t xml:space="preserve">Hoffman, for example, avows to </w:t>
      </w:r>
      <w:r>
        <w:rPr>
          <w:sz w:val="20"/>
          <w:szCs w:val="20"/>
          <w:rtl w:val="0"/>
          <w:lang w:val="en-US"/>
        </w:rPr>
        <w:t>‘</w:t>
      </w:r>
      <w:r>
        <w:rPr>
          <w:sz w:val="20"/>
          <w:szCs w:val="20"/>
          <w:rtl w:val="0"/>
          <w:lang w:val="en-US"/>
        </w:rPr>
        <w:t>play Mercury, / And like fond Marsyas flay the quacksalver</w:t>
      </w:r>
      <w:r>
        <w:rPr>
          <w:sz w:val="20"/>
          <w:szCs w:val="20"/>
          <w:rtl w:val="0"/>
          <w:lang w:val="en-US"/>
        </w:rPr>
        <w:t xml:space="preserve">’ </w:t>
      </w:r>
      <w:r>
        <w:rPr>
          <w:sz w:val="20"/>
          <w:szCs w:val="20"/>
          <w:rtl w:val="0"/>
          <w:lang w:val="en-US"/>
        </w:rPr>
        <w:t>(1.3.2-3), but it was Apollo (not Mercury) who flayed Marsyas.</w:t>
      </w:r>
    </w:p>
  </w:footnote>
  <w:footnote w:id="38">
    <w:p>
      <w:pPr>
        <w:pStyle w:val="Footnote"/>
      </w:pPr>
      <w:r>
        <w:rPr>
          <w:sz w:val="20"/>
          <w:szCs w:val="20"/>
          <w:vertAlign w:val="superscript"/>
        </w:rPr>
        <w:footnoteRef/>
      </w:r>
      <w:r>
        <w:rPr>
          <w:sz w:val="20"/>
          <w:szCs w:val="20"/>
          <w:rtl w:val="0"/>
        </w:rPr>
        <w:t xml:space="preserve"> </w:t>
      </w:r>
      <w:r>
        <w:rPr>
          <w:sz w:val="20"/>
          <w:szCs w:val="20"/>
          <w:rtl w:val="0"/>
          <w:lang w:val="en-US"/>
        </w:rPr>
        <w:t xml:space="preserve">Edward Coke, </w:t>
      </w:r>
      <w:r>
        <w:rPr>
          <w:i w:val="1"/>
          <w:iCs w:val="1"/>
          <w:sz w:val="20"/>
          <w:szCs w:val="20"/>
          <w:rtl w:val="0"/>
          <w:lang w:val="en-US"/>
        </w:rPr>
        <w:t xml:space="preserve">The Third Part of the Institutes of the Laws of England </w:t>
      </w:r>
      <w:r>
        <w:rPr>
          <w:sz w:val="20"/>
          <w:szCs w:val="20"/>
          <w:rtl w:val="0"/>
          <w:lang w:val="en-US"/>
        </w:rPr>
        <w:t>(London, 1644), p.112.</w:t>
      </w:r>
    </w:p>
  </w:footnote>
  <w:footnote w:id="39">
    <w:p>
      <w:pPr>
        <w:pStyle w:val="Footnote"/>
      </w:pPr>
      <w:r>
        <w:rPr>
          <w:sz w:val="20"/>
          <w:szCs w:val="20"/>
          <w:vertAlign w:val="superscript"/>
        </w:rPr>
        <w:footnoteRef/>
      </w:r>
      <w:r>
        <w:rPr>
          <w:sz w:val="20"/>
          <w:szCs w:val="20"/>
          <w:rtl w:val="0"/>
        </w:rPr>
        <w:t xml:space="preserve"> </w:t>
      </w:r>
      <w:r>
        <w:rPr>
          <w:sz w:val="20"/>
          <w:szCs w:val="20"/>
          <w:rtl w:val="0"/>
          <w:lang w:val="en-US"/>
        </w:rPr>
        <w:t xml:space="preserve">See, for example, Robert Miola, </w:t>
      </w:r>
      <w:r>
        <w:rPr>
          <w:i w:val="1"/>
          <w:iCs w:val="1"/>
          <w:sz w:val="20"/>
          <w:szCs w:val="20"/>
          <w:rtl w:val="0"/>
          <w:lang w:val="en-US"/>
        </w:rPr>
        <w:t>Shakespeare and Classical Tragedy</w:t>
      </w:r>
      <w:r>
        <w:rPr>
          <w:sz w:val="20"/>
          <w:szCs w:val="20"/>
          <w:rtl w:val="0"/>
          <w:lang w:val="en-US"/>
        </w:rPr>
        <w:t xml:space="preserve"> (Oxford, 1992) and A. J. Boyle, </w:t>
      </w:r>
      <w:r>
        <w:rPr>
          <w:i w:val="1"/>
          <w:iCs w:val="1"/>
          <w:sz w:val="20"/>
          <w:szCs w:val="20"/>
          <w:rtl w:val="0"/>
          <w:lang w:val="en-US"/>
        </w:rPr>
        <w:t>Tragic Seneca: An Essay in the Theatrical Tradition</w:t>
      </w:r>
      <w:r>
        <w:rPr>
          <w:sz w:val="20"/>
          <w:szCs w:val="20"/>
          <w:rtl w:val="0"/>
          <w:lang w:val="en-US"/>
        </w:rPr>
        <w:t xml:space="preserve"> (New York, 1997).</w:t>
      </w:r>
    </w:p>
  </w:footnote>
  <w:footnote w:id="40">
    <w:p>
      <w:pPr>
        <w:pStyle w:val="Footnote"/>
        <w:bidi w:val="0"/>
      </w:pPr>
      <w:r>
        <w:rPr>
          <w:vertAlign w:val="superscript"/>
        </w:rPr>
        <w:footnoteRef/>
      </w:r>
      <w:r>
        <w:rPr>
          <w:rFonts w:ascii="Helvetica" w:cs="Arial Unicode MS" w:hAnsi="Arial Unicode MS" w:eastAsia="Arial Unicode MS"/>
          <w:rtl w:val="0"/>
        </w:rPr>
        <w:t xml:space="preserve"> </w:t>
      </w:r>
      <w:r>
        <w:rPr>
          <w:rFonts w:ascii="Helvetica" w:cs="Arial Unicode MS" w:hAnsi="Arial Unicode MS" w:eastAsia="Arial Unicode MS"/>
          <w:sz w:val="20"/>
          <w:szCs w:val="20"/>
          <w:rtl w:val="0"/>
          <w:lang w:val="en-US"/>
        </w:rPr>
        <w:t xml:space="preserve">Alessandro Schiesaro, </w:t>
      </w:r>
      <w:r>
        <w:rPr>
          <w:rFonts w:ascii="Helvetica" w:cs="Arial Unicode MS" w:hAnsi="Arial Unicode MS" w:eastAsia="Arial Unicode MS"/>
          <w:i w:val="1"/>
          <w:iCs w:val="1"/>
          <w:sz w:val="20"/>
          <w:szCs w:val="20"/>
          <w:rtl w:val="0"/>
          <w:lang w:val="en-US"/>
        </w:rPr>
        <w:t xml:space="preserve">The Passions in Play: Thyestes and the Dynamics of Senecan Drama </w:t>
      </w:r>
      <w:r>
        <w:rPr>
          <w:rFonts w:ascii="Helvetica" w:cs="Arial Unicode MS" w:hAnsi="Arial Unicode MS" w:eastAsia="Arial Unicode MS"/>
          <w:sz w:val="20"/>
          <w:szCs w:val="20"/>
          <w:rtl w:val="0"/>
          <w:lang w:val="en-US"/>
        </w:rPr>
        <w:t>(Cambridge, 2003), p.3.</w:t>
      </w:r>
    </w:p>
  </w:footnote>
  <w:footnote w:id="41">
    <w:p>
      <w:pPr>
        <w:pStyle w:val="Footnote"/>
      </w:pPr>
      <w:r>
        <w:rPr>
          <w:sz w:val="20"/>
          <w:szCs w:val="20"/>
          <w:vertAlign w:val="superscript"/>
        </w:rPr>
        <w:footnoteRef/>
      </w:r>
      <w:r>
        <w:rPr>
          <w:sz w:val="20"/>
          <w:szCs w:val="20"/>
          <w:rtl w:val="0"/>
        </w:rPr>
        <w:t xml:space="preserve"> </w:t>
      </w:r>
      <w:r>
        <w:rPr>
          <w:sz w:val="20"/>
          <w:szCs w:val="20"/>
          <w:rtl w:val="0"/>
          <w:lang w:val="en-US"/>
        </w:rPr>
        <w:t>Kerrigan (Oxford, 1996), p.18.</w:t>
      </w:r>
    </w:p>
  </w:footnote>
  <w:footnote w:id="42">
    <w:p>
      <w:pPr>
        <w:pStyle w:val="Footnote"/>
      </w:pPr>
      <w:r>
        <w:rPr>
          <w:sz w:val="20"/>
          <w:szCs w:val="20"/>
          <w:vertAlign w:val="superscript"/>
        </w:rPr>
        <w:footnoteRef/>
      </w:r>
      <w:r>
        <w:rPr>
          <w:sz w:val="20"/>
          <w:szCs w:val="20"/>
          <w:rtl w:val="0"/>
        </w:rPr>
        <w:t xml:space="preserve"> </w:t>
      </w:r>
      <w:r>
        <w:rPr>
          <w:sz w:val="20"/>
          <w:szCs w:val="20"/>
          <w:rtl w:val="0"/>
          <w:lang w:val="en-US"/>
        </w:rPr>
        <w:t xml:space="preserve">See Woodbridge (Cambridge, 2010) and Patricia Parker, </w:t>
      </w:r>
      <w:r>
        <w:rPr>
          <w:sz w:val="20"/>
          <w:szCs w:val="20"/>
          <w:rtl w:val="0"/>
          <w:lang w:val="en-US"/>
        </w:rPr>
        <w:t>‘</w:t>
      </w:r>
      <w:r>
        <w:rPr>
          <w:sz w:val="20"/>
          <w:szCs w:val="20"/>
          <w:rtl w:val="0"/>
          <w:lang w:val="en-US"/>
        </w:rPr>
        <w:t xml:space="preserve">Cassio, Cash, and the </w:t>
      </w:r>
      <w:r>
        <w:rPr>
          <w:sz w:val="20"/>
          <w:szCs w:val="20"/>
          <w:rtl w:val="0"/>
          <w:lang w:val="en-US"/>
        </w:rPr>
        <w:t>“</w:t>
      </w:r>
      <w:r>
        <w:rPr>
          <w:sz w:val="20"/>
          <w:szCs w:val="20"/>
          <w:rtl w:val="0"/>
          <w:lang w:val="en-US"/>
        </w:rPr>
        <w:t>Infidel 0</w:t>
      </w:r>
      <w:r>
        <w:rPr>
          <w:sz w:val="20"/>
          <w:szCs w:val="20"/>
          <w:rtl w:val="0"/>
          <w:lang w:val="en-US"/>
        </w:rPr>
        <w:t>”</w:t>
      </w:r>
      <w:r>
        <w:rPr>
          <w:sz w:val="20"/>
          <w:szCs w:val="20"/>
          <w:rtl w:val="0"/>
          <w:lang w:val="en-US"/>
        </w:rPr>
        <w:t>: Arithmetic, Double-entry Bookkeeping, and Othello</w:t>
      </w:r>
      <w:r>
        <w:rPr>
          <w:sz w:val="20"/>
          <w:szCs w:val="20"/>
          <w:rtl w:val="0"/>
          <w:lang w:val="en-US"/>
        </w:rPr>
        <w:t>’</w:t>
      </w:r>
      <w:r>
        <w:rPr>
          <w:sz w:val="20"/>
          <w:szCs w:val="20"/>
          <w:rtl w:val="0"/>
          <w:lang w:val="en-US"/>
        </w:rPr>
        <w:t>s Unfaithful Accounts</w:t>
      </w:r>
      <w:r>
        <w:rPr>
          <w:sz w:val="20"/>
          <w:szCs w:val="20"/>
          <w:rtl w:val="0"/>
          <w:lang w:val="en-US"/>
        </w:rPr>
        <w:t xml:space="preserve">’ </w:t>
      </w:r>
      <w:r>
        <w:rPr>
          <w:sz w:val="20"/>
          <w:szCs w:val="20"/>
          <w:rtl w:val="0"/>
          <w:lang w:val="en-US"/>
        </w:rPr>
        <w:t xml:space="preserve">in </w:t>
      </w:r>
      <w:r>
        <w:rPr>
          <w:i w:val="1"/>
          <w:iCs w:val="1"/>
          <w:sz w:val="20"/>
          <w:szCs w:val="20"/>
          <w:rtl w:val="0"/>
          <w:lang w:val="en-US"/>
        </w:rPr>
        <w:t>A Companion to the Global Renaissance: English Literature and Culture in the Era of Expansion</w:t>
      </w:r>
      <w:r>
        <w:rPr>
          <w:sz w:val="20"/>
          <w:szCs w:val="20"/>
          <w:rtl w:val="0"/>
          <w:lang w:val="en-US"/>
        </w:rPr>
        <w:t>, ed. Jyotsna G. Singh (Oxford, 2009), pp.223-241.</w:t>
      </w:r>
    </w:p>
  </w:footnote>
  <w:footnote w:id="43">
    <w:p>
      <w:pPr>
        <w:pStyle w:val="Footnote"/>
      </w:pPr>
      <w:r>
        <w:rPr>
          <w:sz w:val="20"/>
          <w:szCs w:val="20"/>
          <w:vertAlign w:val="superscript"/>
        </w:rPr>
        <w:footnoteRef/>
      </w:r>
      <w:r>
        <w:rPr>
          <w:sz w:val="20"/>
          <w:szCs w:val="20"/>
          <w:rtl w:val="0"/>
          <w:lang w:val="nl-NL"/>
        </w:rPr>
        <w:t xml:space="preserve"> Woodbridge (Cambridge, 2010), p.62.</w:t>
      </w:r>
    </w:p>
  </w:footnote>
  <w:footnote w:id="44">
    <w:p>
      <w:pPr>
        <w:pStyle w:val="Footnote"/>
      </w:pPr>
      <w:r>
        <w:rPr>
          <w:sz w:val="20"/>
          <w:szCs w:val="20"/>
          <w:vertAlign w:val="superscript"/>
        </w:rPr>
        <w:footnoteRef/>
      </w:r>
      <w:r>
        <w:rPr>
          <w:sz w:val="20"/>
          <w:szCs w:val="20"/>
          <w:rtl w:val="0"/>
        </w:rPr>
        <w:t xml:space="preserve"> </w:t>
      </w:r>
      <w:r>
        <w:rPr>
          <w:sz w:val="20"/>
          <w:szCs w:val="20"/>
          <w:rtl w:val="0"/>
          <w:lang w:val="en-US"/>
        </w:rPr>
        <w:t xml:space="preserve">Amanda Bailey, </w:t>
      </w:r>
      <w:r>
        <w:rPr>
          <w:i w:val="1"/>
          <w:iCs w:val="1"/>
          <w:sz w:val="20"/>
          <w:szCs w:val="20"/>
          <w:rtl w:val="0"/>
          <w:lang w:val="en-US"/>
        </w:rPr>
        <w:t>Of Bondage: Debt, Property and Personhood in Early Modern England</w:t>
      </w:r>
      <w:r>
        <w:rPr>
          <w:sz w:val="20"/>
          <w:szCs w:val="20"/>
          <w:rtl w:val="0"/>
          <w:lang w:val="en-US"/>
        </w:rPr>
        <w:t xml:space="preserve"> (Philadelphia, 2013), p.4.</w:t>
      </w:r>
    </w:p>
  </w:footnote>
  <w:footnote w:id="45">
    <w:p>
      <w:pPr>
        <w:pStyle w:val="Footnote"/>
      </w:pPr>
      <w:r>
        <w:rPr>
          <w:sz w:val="20"/>
          <w:szCs w:val="20"/>
          <w:vertAlign w:val="superscript"/>
        </w:rPr>
        <w:footnoteRef/>
      </w:r>
      <w:r>
        <w:rPr>
          <w:sz w:val="20"/>
          <w:szCs w:val="20"/>
          <w:rtl w:val="0"/>
        </w:rPr>
        <w:t xml:space="preserve"> </w:t>
      </w:r>
      <w:r>
        <w:rPr>
          <w:sz w:val="20"/>
          <w:szCs w:val="20"/>
          <w:rtl w:val="0"/>
          <w:lang w:val="en-US"/>
        </w:rPr>
        <w:t xml:space="preserve">Andrea Finkelstein, </w:t>
      </w:r>
      <w:r>
        <w:rPr>
          <w:i w:val="1"/>
          <w:iCs w:val="1"/>
          <w:sz w:val="20"/>
          <w:szCs w:val="20"/>
          <w:rtl w:val="0"/>
          <w:lang w:val="en-US"/>
        </w:rPr>
        <w:t xml:space="preserve">Harmony and the Balance: An Intellectual History of Seventeenth-Century English Economic Thought </w:t>
      </w:r>
      <w:r>
        <w:rPr>
          <w:sz w:val="20"/>
          <w:szCs w:val="20"/>
          <w:rtl w:val="0"/>
          <w:lang w:val="en-US"/>
        </w:rPr>
        <w:t>(Michigan, 2000), p.90.</w:t>
      </w:r>
    </w:p>
  </w:footnote>
  <w:footnote w:id="46">
    <w:p>
      <w:pPr>
        <w:pStyle w:val="Footnote"/>
      </w:pPr>
      <w:r>
        <w:rPr>
          <w:sz w:val="20"/>
          <w:szCs w:val="20"/>
          <w:vertAlign w:val="superscript"/>
        </w:rPr>
        <w:footnoteRef/>
      </w:r>
      <w:r>
        <w:rPr>
          <w:sz w:val="20"/>
          <w:szCs w:val="20"/>
          <w:rtl w:val="0"/>
        </w:rPr>
        <w:t xml:space="preserve"> </w:t>
      </w:r>
      <w:r>
        <w:rPr>
          <w:sz w:val="20"/>
          <w:szCs w:val="20"/>
          <w:rtl w:val="0"/>
          <w:lang w:val="en-US"/>
        </w:rPr>
        <w:t>Parker (Oxford, 2009), p.236-7.</w:t>
      </w:r>
    </w:p>
  </w:footnote>
  <w:footnote w:id="47">
    <w:p>
      <w:pPr>
        <w:pStyle w:val="Footnote"/>
      </w:pPr>
      <w:r>
        <w:rPr>
          <w:sz w:val="20"/>
          <w:szCs w:val="20"/>
          <w:vertAlign w:val="superscript"/>
        </w:rPr>
        <w:footnoteRef/>
      </w:r>
      <w:r>
        <w:rPr>
          <w:sz w:val="20"/>
          <w:szCs w:val="20"/>
          <w:rtl w:val="0"/>
        </w:rPr>
        <w:t xml:space="preserve"> </w:t>
      </w:r>
      <w:r>
        <w:rPr>
          <w:sz w:val="20"/>
          <w:szCs w:val="20"/>
          <w:rtl w:val="0"/>
          <w:lang w:val="en-US"/>
        </w:rPr>
        <w:t xml:space="preserve">Alfred W. Crosby, </w:t>
      </w:r>
      <w:r>
        <w:rPr>
          <w:i w:val="1"/>
          <w:iCs w:val="1"/>
          <w:sz w:val="20"/>
          <w:szCs w:val="20"/>
          <w:rtl w:val="0"/>
          <w:lang w:val="en-US"/>
        </w:rPr>
        <w:t>The Measure of Reality: Quantification and Western Society, 1250-1600</w:t>
      </w:r>
      <w:r>
        <w:rPr>
          <w:sz w:val="20"/>
          <w:szCs w:val="20"/>
          <w:rtl w:val="0"/>
          <w:lang w:val="en-US"/>
        </w:rPr>
        <w:t xml:space="preserve"> (Cambridge, 1997), p.280.</w:t>
      </w:r>
    </w:p>
  </w:footnote>
  <w:footnote w:id="48">
    <w:p>
      <w:pPr>
        <w:pStyle w:val="Footnote"/>
      </w:pPr>
      <w:r>
        <w:rPr>
          <w:sz w:val="20"/>
          <w:szCs w:val="20"/>
          <w:vertAlign w:val="superscript"/>
        </w:rPr>
        <w:footnoteRef/>
      </w:r>
      <w:r>
        <w:rPr>
          <w:sz w:val="20"/>
          <w:szCs w:val="20"/>
          <w:rtl w:val="0"/>
        </w:rPr>
        <w:t xml:space="preserve"> </w:t>
      </w:r>
      <w:r>
        <w:rPr>
          <w:sz w:val="20"/>
          <w:szCs w:val="20"/>
          <w:rtl w:val="0"/>
          <w:lang w:val="en-US"/>
        </w:rPr>
        <w:t>Kerrigan (Oxford, 1996), pp.111-41.</w:t>
      </w:r>
    </w:p>
  </w:footnote>
  <w:footnote w:id="49">
    <w:p>
      <w:pPr>
        <w:pStyle w:val="Footnote"/>
      </w:pPr>
      <w:r>
        <w:rPr>
          <w:sz w:val="20"/>
          <w:szCs w:val="20"/>
          <w:vertAlign w:val="superscript"/>
        </w:rPr>
        <w:footnoteRef/>
      </w:r>
      <w:r>
        <w:rPr>
          <w:sz w:val="20"/>
          <w:szCs w:val="20"/>
          <w:rtl w:val="0"/>
        </w:rPr>
        <w:t xml:space="preserve"> </w:t>
      </w:r>
      <w:r>
        <w:rPr>
          <w:sz w:val="20"/>
          <w:szCs w:val="20"/>
          <w:rtl w:val="0"/>
          <w:lang w:val="en-US"/>
        </w:rPr>
        <w:t xml:space="preserve">Lodowick Carlell, </w:t>
      </w:r>
      <w:r>
        <w:rPr>
          <w:i w:val="1"/>
          <w:iCs w:val="1"/>
          <w:sz w:val="20"/>
          <w:szCs w:val="20"/>
          <w:rtl w:val="0"/>
          <w:lang w:val="en-US"/>
        </w:rPr>
        <w:t>The Deseruing Fauorite</w:t>
      </w:r>
      <w:r>
        <w:rPr>
          <w:sz w:val="20"/>
          <w:szCs w:val="20"/>
          <w:rtl w:val="0"/>
          <w:lang w:val="en-US"/>
        </w:rPr>
        <w:t xml:space="preserve"> (London, 1629), E4</w:t>
      </w:r>
      <w:r>
        <w:rPr>
          <w:sz w:val="20"/>
          <w:szCs w:val="20"/>
          <w:vertAlign w:val="superscript"/>
          <w:rtl w:val="0"/>
          <w:lang w:val="en-US"/>
        </w:rPr>
        <w:t>r</w:t>
      </w:r>
      <w:r>
        <w:rPr>
          <w:sz w:val="20"/>
          <w:szCs w:val="20"/>
          <w:rtl w:val="0"/>
          <w:lang w:val="en-US"/>
        </w:rPr>
        <w:t>.</w:t>
      </w:r>
    </w:p>
  </w:footnote>
  <w:footnote w:id="50">
    <w:p>
      <w:pPr>
        <w:pStyle w:val="Footnote"/>
      </w:pPr>
      <w:r>
        <w:rPr>
          <w:sz w:val="20"/>
          <w:szCs w:val="20"/>
          <w:vertAlign w:val="superscript"/>
        </w:rPr>
        <w:footnoteRef/>
      </w:r>
      <w:r>
        <w:rPr>
          <w:sz w:val="20"/>
          <w:szCs w:val="20"/>
          <w:rtl w:val="0"/>
        </w:rPr>
        <w:t xml:space="preserve"> </w:t>
      </w:r>
      <w:r>
        <w:rPr>
          <w:sz w:val="20"/>
          <w:szCs w:val="20"/>
          <w:rtl w:val="0"/>
          <w:lang w:val="en-US"/>
        </w:rPr>
        <w:t xml:space="preserve">Luca Pacioli, </w:t>
      </w:r>
      <w:r>
        <w:rPr>
          <w:i w:val="1"/>
          <w:iCs w:val="1"/>
          <w:sz w:val="20"/>
          <w:szCs w:val="20"/>
          <w:rtl w:val="0"/>
          <w:lang w:val="en-US"/>
        </w:rPr>
        <w:t xml:space="preserve">De Divina Proportione </w:t>
      </w:r>
      <w:r>
        <w:rPr>
          <w:sz w:val="20"/>
          <w:szCs w:val="20"/>
          <w:rtl w:val="0"/>
          <w:lang w:val="en-US"/>
        </w:rPr>
        <w:t>(Venice, 1509).</w:t>
      </w:r>
    </w:p>
  </w:footnote>
  <w:footnote w:id="51">
    <w:p>
      <w:pPr>
        <w:pStyle w:val="Footnote"/>
      </w:pPr>
      <w:r>
        <w:rPr>
          <w:sz w:val="20"/>
          <w:szCs w:val="20"/>
          <w:vertAlign w:val="superscript"/>
        </w:rPr>
        <w:footnoteRef/>
      </w:r>
      <w:r>
        <w:rPr>
          <w:sz w:val="20"/>
          <w:szCs w:val="20"/>
          <w:rtl w:val="0"/>
        </w:rPr>
        <w:t xml:space="preserve"> </w:t>
      </w:r>
      <w:r>
        <w:rPr>
          <w:sz w:val="20"/>
          <w:szCs w:val="20"/>
          <w:rtl w:val="0"/>
          <w:lang w:val="en-US"/>
        </w:rPr>
        <w:t xml:space="preserve">Henry Billingsley, </w:t>
      </w:r>
      <w:r>
        <w:rPr>
          <w:i w:val="1"/>
          <w:iCs w:val="1"/>
          <w:sz w:val="20"/>
          <w:szCs w:val="20"/>
          <w:rtl w:val="0"/>
          <w:lang w:val="en-US"/>
        </w:rPr>
        <w:t xml:space="preserve">Elements </w:t>
      </w:r>
      <w:r>
        <w:rPr>
          <w:sz w:val="20"/>
          <w:szCs w:val="20"/>
          <w:rtl w:val="0"/>
          <w:lang w:val="en-US"/>
        </w:rPr>
        <w:t>(London, 1570), IIi1</w:t>
      </w:r>
      <w:r>
        <w:rPr>
          <w:sz w:val="20"/>
          <w:szCs w:val="20"/>
          <w:vertAlign w:val="superscript"/>
          <w:rtl w:val="0"/>
          <w:lang w:val="en-US"/>
        </w:rPr>
        <w:t>r</w:t>
      </w:r>
      <w:r>
        <w:rPr>
          <w:sz w:val="20"/>
          <w:szCs w:val="20"/>
          <w:rtl w:val="0"/>
          <w:lang w:val="en-US"/>
        </w:rPr>
        <w:t>.</w:t>
      </w:r>
    </w:p>
  </w:footnote>
  <w:footnote w:id="52">
    <w:p>
      <w:pPr>
        <w:pStyle w:val="Footnote"/>
      </w:pPr>
      <w:r>
        <w:rPr>
          <w:sz w:val="20"/>
          <w:szCs w:val="20"/>
          <w:vertAlign w:val="superscript"/>
        </w:rPr>
        <w:footnoteRef/>
      </w:r>
      <w:r>
        <w:rPr>
          <w:sz w:val="20"/>
          <w:szCs w:val="20"/>
          <w:rtl w:val="0"/>
        </w:rPr>
        <w:t xml:space="preserve"> </w:t>
      </w:r>
      <w:r>
        <w:rPr>
          <w:sz w:val="20"/>
          <w:szCs w:val="20"/>
          <w:rtl w:val="0"/>
          <w:lang w:val="en-US"/>
        </w:rPr>
        <w:t xml:space="preserve">Andrew Zurcher, </w:t>
      </w:r>
      <w:r>
        <w:rPr>
          <w:i w:val="1"/>
          <w:iCs w:val="1"/>
          <w:sz w:val="20"/>
          <w:szCs w:val="20"/>
          <w:rtl w:val="0"/>
          <w:lang w:val="en-US"/>
        </w:rPr>
        <w:t xml:space="preserve">Shakespeare and Law </w:t>
      </w:r>
      <w:r>
        <w:rPr>
          <w:sz w:val="20"/>
          <w:szCs w:val="20"/>
          <w:rtl w:val="0"/>
          <w:lang w:val="en-US"/>
        </w:rPr>
        <w:t>(London, 2010), p.176.</w:t>
      </w:r>
    </w:p>
  </w:footnote>
  <w:footnote w:id="53">
    <w:p>
      <w:pPr>
        <w:pStyle w:val="Footnote"/>
      </w:pPr>
      <w:r>
        <w:rPr>
          <w:sz w:val="20"/>
          <w:szCs w:val="20"/>
          <w:vertAlign w:val="superscript"/>
        </w:rPr>
        <w:footnoteRef/>
      </w:r>
      <w:r>
        <w:rPr>
          <w:sz w:val="20"/>
          <w:szCs w:val="20"/>
          <w:rtl w:val="0"/>
        </w:rPr>
        <w:t xml:space="preserve"> </w:t>
      </w:r>
      <w:r>
        <w:rPr>
          <w:sz w:val="20"/>
          <w:szCs w:val="20"/>
          <w:rtl w:val="0"/>
          <w:lang w:val="en-US"/>
        </w:rPr>
        <w:t>Coke (London, 1644), p.51. Cited in Zurcher (London, 2010), p.176.</w:t>
      </w:r>
    </w:p>
  </w:footnote>
  <w:footnote w:id="54">
    <w:p>
      <w:pPr>
        <w:pStyle w:val="Footnote"/>
      </w:pPr>
      <w:r>
        <w:rPr>
          <w:sz w:val="20"/>
          <w:szCs w:val="20"/>
          <w:vertAlign w:val="superscript"/>
        </w:rPr>
        <w:footnoteRef/>
      </w:r>
      <w:r>
        <w:rPr>
          <w:sz w:val="20"/>
          <w:szCs w:val="20"/>
          <w:rtl w:val="0"/>
        </w:rPr>
        <w:t xml:space="preserve"> </w:t>
      </w:r>
      <w:r>
        <w:rPr>
          <w:sz w:val="20"/>
          <w:szCs w:val="20"/>
          <w:rtl w:val="0"/>
          <w:lang w:val="en-US"/>
        </w:rPr>
        <w:t xml:space="preserve">John Baker, </w:t>
      </w:r>
      <w:r>
        <w:rPr>
          <w:i w:val="1"/>
          <w:iCs w:val="1"/>
          <w:sz w:val="20"/>
          <w:szCs w:val="20"/>
          <w:rtl w:val="0"/>
          <w:lang w:val="en-US"/>
        </w:rPr>
        <w:t>Introduction to English Legal History</w:t>
      </w:r>
      <w:r>
        <w:rPr>
          <w:sz w:val="20"/>
          <w:szCs w:val="20"/>
          <w:rtl w:val="0"/>
          <w:lang w:val="en-US"/>
        </w:rPr>
        <w:t xml:space="preserve"> (London, 2002) , p.411-436.</w:t>
      </w:r>
    </w:p>
  </w:footnote>
  <w:footnote w:id="55">
    <w:p>
      <w:pPr>
        <w:pStyle w:val="Footnote"/>
      </w:pPr>
      <w:r>
        <w:rPr>
          <w:sz w:val="20"/>
          <w:szCs w:val="20"/>
          <w:vertAlign w:val="superscript"/>
        </w:rPr>
        <w:footnoteRef/>
      </w:r>
      <w:r>
        <w:rPr>
          <w:sz w:val="20"/>
          <w:szCs w:val="20"/>
          <w:rtl w:val="0"/>
        </w:rPr>
        <w:t xml:space="preserve"> </w:t>
      </w:r>
      <w:r>
        <w:rPr>
          <w:sz w:val="20"/>
          <w:szCs w:val="20"/>
          <w:rtl w:val="0"/>
          <w:lang w:val="en-US"/>
        </w:rPr>
        <w:t xml:space="preserve">Cynthia B. Herrup, </w:t>
      </w:r>
      <w:r>
        <w:rPr>
          <w:i w:val="1"/>
          <w:iCs w:val="1"/>
          <w:sz w:val="20"/>
          <w:szCs w:val="20"/>
          <w:rtl w:val="0"/>
          <w:lang w:val="en-US"/>
        </w:rPr>
        <w:t>The Common Peace: Participation and the Criminal Law in Seventeenth-Century England</w:t>
      </w:r>
      <w:r>
        <w:rPr>
          <w:sz w:val="20"/>
          <w:szCs w:val="20"/>
          <w:rtl w:val="0"/>
          <w:lang w:val="en-US"/>
        </w:rPr>
        <w:t xml:space="preserve"> (Cambridge, 1987), p.3.</w:t>
      </w:r>
    </w:p>
  </w:footnote>
  <w:footnote w:id="56">
    <w:p>
      <w:pPr>
        <w:pStyle w:val="Footnote"/>
      </w:pPr>
      <w:r>
        <w:rPr>
          <w:sz w:val="20"/>
          <w:szCs w:val="20"/>
          <w:vertAlign w:val="superscript"/>
        </w:rPr>
        <w:footnoteRef/>
      </w:r>
      <w:r>
        <w:rPr>
          <w:sz w:val="20"/>
          <w:szCs w:val="20"/>
          <w:rtl w:val="0"/>
        </w:rPr>
        <w:t xml:space="preserve"> </w:t>
      </w:r>
      <w:r>
        <w:rPr>
          <w:sz w:val="20"/>
          <w:szCs w:val="20"/>
          <w:rtl w:val="0"/>
          <w:lang w:val="en-US"/>
        </w:rPr>
        <w:t xml:space="preserve">Subha Mukherji, </w:t>
      </w:r>
      <w:r>
        <w:rPr>
          <w:i w:val="1"/>
          <w:iCs w:val="1"/>
          <w:sz w:val="20"/>
          <w:szCs w:val="20"/>
          <w:rtl w:val="0"/>
          <w:lang w:val="en-US"/>
        </w:rPr>
        <w:t xml:space="preserve">Law and Representation in Early Modern Drama </w:t>
      </w:r>
      <w:r>
        <w:rPr>
          <w:sz w:val="20"/>
          <w:szCs w:val="20"/>
          <w:rtl w:val="0"/>
          <w:lang w:val="en-US"/>
        </w:rPr>
        <w:t>(Cambridge, 2006), p.115.</w:t>
      </w:r>
    </w:p>
  </w:footnote>
  <w:footnote w:id="57">
    <w:p>
      <w:pPr>
        <w:pStyle w:val="Footnote"/>
      </w:pPr>
      <w:r>
        <w:rPr>
          <w:sz w:val="20"/>
          <w:szCs w:val="20"/>
          <w:vertAlign w:val="superscript"/>
        </w:rPr>
        <w:footnoteRef/>
      </w:r>
      <w:r>
        <w:rPr>
          <w:sz w:val="20"/>
          <w:szCs w:val="20"/>
          <w:rtl w:val="0"/>
        </w:rPr>
        <w:t xml:space="preserve"> </w:t>
      </w:r>
      <w:r>
        <w:rPr>
          <w:sz w:val="20"/>
          <w:szCs w:val="20"/>
          <w:rtl w:val="0"/>
          <w:lang w:val="en-US"/>
        </w:rPr>
        <w:t xml:space="preserve">Lorna Hutson, </w:t>
      </w:r>
      <w:r>
        <w:rPr>
          <w:i w:val="1"/>
          <w:iCs w:val="1"/>
          <w:sz w:val="20"/>
          <w:szCs w:val="20"/>
          <w:rtl w:val="0"/>
          <w:lang w:val="en-US"/>
        </w:rPr>
        <w:t>The Invention of Suspicion: Law and Mimesis in Shakespeare and Renaissance Drama</w:t>
      </w:r>
      <w:r>
        <w:rPr>
          <w:sz w:val="20"/>
          <w:szCs w:val="20"/>
          <w:rtl w:val="0"/>
          <w:lang w:val="en-US"/>
        </w:rPr>
        <w:t xml:space="preserve"> (Oxford, 2007), p.272.</w:t>
      </w:r>
    </w:p>
  </w:footnote>
  <w:footnote w:id="58">
    <w:p>
      <w:pPr>
        <w:pStyle w:val="Footnote"/>
      </w:pPr>
      <w:r>
        <w:rPr>
          <w:sz w:val="20"/>
          <w:szCs w:val="20"/>
          <w:vertAlign w:val="superscript"/>
        </w:rPr>
        <w:footnoteRef/>
      </w:r>
      <w:r>
        <w:rPr>
          <w:sz w:val="20"/>
          <w:szCs w:val="20"/>
          <w:rtl w:val="0"/>
        </w:rPr>
        <w:t xml:space="preserve"> </w:t>
      </w:r>
      <w:r>
        <w:rPr>
          <w:sz w:val="20"/>
          <w:szCs w:val="20"/>
          <w:rtl w:val="0"/>
          <w:lang w:val="en-US"/>
        </w:rPr>
        <w:t>Kerrigan (Oxford, 1996), p.171.</w:t>
      </w:r>
    </w:p>
  </w:footnote>
  <w:footnote w:id="59">
    <w:p>
      <w:pPr>
        <w:pStyle w:val="Footnote"/>
      </w:pPr>
      <w:r>
        <w:rPr>
          <w:sz w:val="20"/>
          <w:szCs w:val="20"/>
          <w:vertAlign w:val="superscript"/>
        </w:rPr>
        <w:footnoteRef/>
      </w:r>
      <w:r>
        <w:rPr>
          <w:sz w:val="20"/>
          <w:szCs w:val="20"/>
          <w:rtl w:val="0"/>
        </w:rPr>
        <w:t xml:space="preserve"> </w:t>
      </w:r>
      <w:r>
        <w:rPr>
          <w:sz w:val="20"/>
          <w:szCs w:val="20"/>
          <w:rtl w:val="0"/>
          <w:lang w:val="en-US"/>
        </w:rPr>
        <w:t xml:space="preserve">Hoffman is quite obviously intended as a specific kind of anti-Hamlet, </w:t>
      </w:r>
      <w:r>
        <w:rPr>
          <w:sz w:val="20"/>
          <w:szCs w:val="20"/>
          <w:rtl w:val="0"/>
          <w:lang w:val="nl-NL"/>
        </w:rPr>
        <w:t>opening Chettle</w:t>
      </w:r>
      <w:r>
        <w:rPr>
          <w:sz w:val="20"/>
          <w:szCs w:val="20"/>
          <w:rtl w:val="0"/>
          <w:lang w:val="fr-FR"/>
        </w:rPr>
        <w:t>’</w:t>
      </w:r>
      <w:r>
        <w:rPr>
          <w:sz w:val="20"/>
          <w:szCs w:val="20"/>
          <w:rtl w:val="0"/>
          <w:lang w:val="en-US"/>
        </w:rPr>
        <w:t xml:space="preserve">s play with the lines: </w:t>
      </w:r>
      <w:r>
        <w:rPr>
          <w:sz w:val="20"/>
          <w:szCs w:val="20"/>
          <w:rtl w:val="0"/>
        </w:rPr>
        <w:t>‘</w:t>
      </w:r>
      <w:r>
        <w:rPr>
          <w:sz w:val="20"/>
          <w:szCs w:val="20"/>
          <w:rtl w:val="0"/>
          <w:lang w:val="en-US"/>
        </w:rPr>
        <w:t>Hence clouds of melancholy! / I</w:t>
      </w:r>
      <w:r>
        <w:rPr>
          <w:sz w:val="20"/>
          <w:szCs w:val="20"/>
          <w:rtl w:val="0"/>
          <w:lang w:val="fr-FR"/>
        </w:rPr>
        <w:t>’</w:t>
      </w:r>
      <w:r>
        <w:rPr>
          <w:sz w:val="20"/>
          <w:szCs w:val="20"/>
          <w:rtl w:val="0"/>
          <w:lang w:val="en-US"/>
        </w:rPr>
        <w:t>ll be no longer subject to your schisms</w:t>
      </w:r>
      <w:r>
        <w:rPr>
          <w:sz w:val="20"/>
          <w:szCs w:val="20"/>
          <w:rtl w:val="0"/>
          <w:lang w:val="fr-FR"/>
        </w:rPr>
        <w:t xml:space="preserve">’ </w:t>
      </w:r>
      <w:r>
        <w:rPr>
          <w:sz w:val="20"/>
          <w:szCs w:val="20"/>
          <w:rtl w:val="0"/>
        </w:rPr>
        <w:t>(1.1.1-2).</w:t>
      </w:r>
    </w:p>
  </w:footnote>
  <w:footnote w:id="60">
    <w:p>
      <w:pPr>
        <w:pStyle w:val="Footnote"/>
      </w:pPr>
      <w:r>
        <w:rPr>
          <w:sz w:val="20"/>
          <w:szCs w:val="20"/>
          <w:vertAlign w:val="superscript"/>
        </w:rPr>
        <w:footnoteRef/>
      </w:r>
      <w:r>
        <w:rPr>
          <w:sz w:val="20"/>
          <w:szCs w:val="20"/>
          <w:rtl w:val="0"/>
        </w:rPr>
        <w:t xml:space="preserve"> </w:t>
      </w:r>
      <w:r>
        <w:rPr>
          <w:sz w:val="20"/>
          <w:szCs w:val="20"/>
          <w:rtl w:val="0"/>
          <w:lang w:val="en-US"/>
        </w:rPr>
        <w:t>Bacon (Oxford, 1985), p.16.</w:t>
      </w:r>
    </w:p>
  </w:footnote>
</w:footnotes>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mc:Ignorable="w14">
  <w:p>
    <w:r/>
  </w:p>
</w:hdr>
</file>

<file path=word/settings.xml><?xml version="1.0" encoding="utf-8"?>
<w:settings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 w:val="‘“(〔[{〈《「『【⦅〘〖«〝︵︷︹︻︽︿﹁﹃﹇﹙﹛﹝｢"/>
  <w:noLineBreaksBefore w:lang="" w:val="’”)〕]}〉"/>
  <w:footnotePr>
    <w:numFmt w:val="decimal"/>
    <w:numStart w:val="1"/>
    <w:numRestart w:val="continuous"/>
    <w:footnote w:id="-1"/>
    <w:footnote w:id="0"/>
    <w:footnote w:id="-2"/>
  </w:footnotePr>
  <w:compat>
    <w:compatSetting w:name="compatibilityMode" w:uri="http://schemas.microsoft.com/office/word" w:val="15"/>
  </w:compat>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Body">
    <w:name w:val="Body"/>
    <w:next w:val="Body"/>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Arial Unicode MS" w:hAnsi="Arial Unicode MS" w:eastAsia="Arial Unicode MS"/>
      <w:b w:val="0"/>
      <w:bCs w:val="0"/>
      <w:i w:val="0"/>
      <w:iCs w:val="0"/>
      <w:caps w:val="0"/>
      <w:smallCaps w:val="0"/>
      <w:strike w:val="0"/>
      <w:dstrike w:val="0"/>
      <w:outline w:val="0"/>
      <w:color w:val="000000"/>
      <w:spacing w:val="0"/>
      <w:kern w:val="0"/>
      <w:position w:val="0"/>
      <w:sz w:val="22"/>
      <w:szCs w:val="22"/>
      <w:u w:val="none"/>
      <w:vertAlign w:val="baseline"/>
      <w:lang w:val="en-US"/>
    </w:rPr>
  </w:style>
  <w:style w:type="paragraph" w:styleId="Footnote">
    <w:name w:val="Footnote"/>
    <w:next w:val="Footnote"/>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w:cs="Helvetica" w:hAnsi="Helvetica" w:eastAsia="Helvetica"/>
      <w:b w:val="0"/>
      <w:bCs w:val="0"/>
      <w:i w:val="0"/>
      <w:iCs w:val="0"/>
      <w:caps w:val="0"/>
      <w:smallCaps w:val="0"/>
      <w:strike w:val="0"/>
      <w:dstrike w:val="0"/>
      <w:outline w:val="0"/>
      <w:color w:val="000000"/>
      <w:spacing w:val="0"/>
      <w:kern w:val="0"/>
      <w:position w:val="0"/>
      <w:sz w:val="22"/>
      <w:szCs w:val="22"/>
      <w:u w:val="none"/>
      <w:vertAlign w:val="baselin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theme" Target="theme/theme1.xml"/></Relationships>

</file>

<file path=word/theme/_rels/theme1.xml.rels><?xml version="1.0" encoding="UTF-8" standalone="yes"?><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38100" dist="25400" dir="5400000">
              <a:srgbClr val="000000">
                <a:alpha val="50000"/>
              </a:srgbClr>
            </a:outerShdw>
          </a:effectLst>
        </a:effectStyle>
        <a:effectStyle>
          <a:effectLst>
            <a:outerShdw sx="100000" sy="100000" kx="0" ky="0" algn="b" rotWithShape="0" blurRad="40000" dist="20000" dir="5400000">
              <a:srgbClr val="000000">
                <a:alpha val="38000"/>
              </a:srgbClr>
            </a:outerShdw>
          </a:effectLst>
        </a:effectStyle>
        <a:effectStyle>
          <a:effectLst>
            <a:outerShdw sx="100000" sy="100000" kx="0" ky="0" algn="b" rotWithShape="0" blurRad="40000" dist="23000" dir="5400000">
              <a:srgbClr val="000000">
                <a:alpha val="35000"/>
              </a:srgbClr>
            </a:outerShdw>
          </a:effectLst>
        </a:effectStyle>
        <a:effectStyle>
          <a:effectLst>
            <a:outerShdw sx="100000" sy="100000" kx="0" ky="0" algn="b" rotWithShape="0" blurRad="40000" dist="23000" dir="540000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r:embed="rId1"/>
          <a:srcRect l="0" t="0" r="0" b="0"/>
          <a:tile tx="0" ty="0" sx="100000" sy="100000" flip="none" algn="tl"/>
        </a:blipFill>
        <a:ln w="12700" cap="flat">
          <a:noFill/>
          <a:miter lim="400000"/>
        </a:ln>
        <a:effectLst>
          <a:outerShdw sx="100000" sy="100000" kx="0" ky="0" algn="b" rotWithShape="0" blurRad="38100" dist="25400" dir="5400000">
            <a:srgbClr val="000000">
              <a:alpha val="50000"/>
            </a:srgbClr>
          </a:outerShdw>
        </a:effectLst>
      </a:spPr>
      <a:bodyPr rot="0" spcFirstLastPara="1" vertOverflow="overflow" horzOverflow="overflow" vert="horz" wrap="square" lIns="50800" tIns="50800" rIns="50800" bIns="50800" numCol="1" spcCol="38100" rtlCol="0" anchor="ctr" upright="0">
        <a:spAutoFit/>
      </a:bodyPr>
      <a:lstStyle>
        <a:defPPr marL="0" marR="0" indent="0" algn="ctr" defTabSz="457200" rtl="0" fontAlgn="auto" latinLnBrk="1"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outerShdw sx="100000" sy="100000" kx="0" ky="0" algn="b" rotWithShape="0" blurRad="25400" dist="23998" dir="270000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1"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