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A4ECC" w14:textId="27B38DD0" w:rsidR="002E36E9" w:rsidRPr="00616459" w:rsidRDefault="006636AC" w:rsidP="00980A3F">
      <w:pPr>
        <w:spacing w:line="480" w:lineRule="auto"/>
        <w:jc w:val="both"/>
        <w:rPr>
          <w:b/>
          <w:bCs/>
        </w:rPr>
      </w:pPr>
      <w:r>
        <w:rPr>
          <w:b/>
          <w:bCs/>
        </w:rPr>
        <w:t>Anticipatory c</w:t>
      </w:r>
      <w:r w:rsidR="00786206">
        <w:rPr>
          <w:b/>
          <w:bCs/>
        </w:rPr>
        <w:t xml:space="preserve">hanges in </w:t>
      </w:r>
      <w:r w:rsidR="00E74FE8">
        <w:rPr>
          <w:b/>
          <w:bCs/>
        </w:rPr>
        <w:t>British</w:t>
      </w:r>
      <w:r w:rsidR="00C9271D">
        <w:rPr>
          <w:b/>
          <w:bCs/>
        </w:rPr>
        <w:t xml:space="preserve"> </w:t>
      </w:r>
      <w:r w:rsidR="00786206">
        <w:rPr>
          <w:b/>
          <w:bCs/>
        </w:rPr>
        <w:t xml:space="preserve">household </w:t>
      </w:r>
      <w:r>
        <w:rPr>
          <w:b/>
          <w:bCs/>
        </w:rPr>
        <w:t xml:space="preserve">purchases </w:t>
      </w:r>
      <w:r w:rsidR="00786206">
        <w:rPr>
          <w:b/>
          <w:bCs/>
        </w:rPr>
        <w:t xml:space="preserve">of soft drinks </w:t>
      </w:r>
      <w:r w:rsidR="00FD3614">
        <w:rPr>
          <w:b/>
          <w:bCs/>
        </w:rPr>
        <w:t>associated with the announcement</w:t>
      </w:r>
      <w:r w:rsidR="000F4804">
        <w:rPr>
          <w:b/>
          <w:bCs/>
        </w:rPr>
        <w:t xml:space="preserve"> </w:t>
      </w:r>
      <w:r w:rsidR="00FD3614">
        <w:rPr>
          <w:b/>
          <w:bCs/>
        </w:rPr>
        <w:t>of the Soft Drinks Industry Levy</w:t>
      </w:r>
      <w:r w:rsidR="00786206">
        <w:rPr>
          <w:b/>
          <w:bCs/>
        </w:rPr>
        <w:t>: a controlled interrupted time series analysis</w:t>
      </w:r>
      <w:r w:rsidR="001130CE">
        <w:rPr>
          <w:b/>
          <w:bCs/>
        </w:rPr>
        <w:t xml:space="preserve"> </w:t>
      </w:r>
    </w:p>
    <w:p w14:paraId="0DBDE355" w14:textId="33504611" w:rsidR="002D4373" w:rsidRDefault="002D4373" w:rsidP="00980A3F">
      <w:pPr>
        <w:spacing w:line="480" w:lineRule="auto"/>
        <w:jc w:val="both"/>
      </w:pPr>
      <w:r>
        <w:t>David Pell</w:t>
      </w:r>
      <w:r w:rsidR="00735812">
        <w:t>*</w:t>
      </w:r>
      <w:r>
        <w:t>,</w:t>
      </w:r>
      <w:r w:rsidRPr="00E75D9A">
        <w:rPr>
          <w:vertAlign w:val="superscript"/>
        </w:rPr>
        <w:t>1</w:t>
      </w:r>
      <w:r w:rsidR="008C42EB">
        <w:t xml:space="preserve"> </w:t>
      </w:r>
      <w:r w:rsidRPr="002D4373">
        <w:t>Tarra</w:t>
      </w:r>
      <w:r>
        <w:t xml:space="preserve"> L Penney,</w:t>
      </w:r>
      <w:r w:rsidR="008C42EB">
        <w:rPr>
          <w:vertAlign w:val="superscript"/>
        </w:rPr>
        <w:t>1,2</w:t>
      </w:r>
      <w:r>
        <w:t xml:space="preserve"> Oliver Mytton</w:t>
      </w:r>
      <w:r w:rsidR="00C36C08">
        <w:t>,</w:t>
      </w:r>
      <w:r w:rsidRPr="00E75D9A">
        <w:rPr>
          <w:vertAlign w:val="superscript"/>
        </w:rPr>
        <w:t>1</w:t>
      </w:r>
      <w:r>
        <w:t xml:space="preserve"> </w:t>
      </w:r>
      <w:r w:rsidR="00F415B1">
        <w:t>Adam Briggs,</w:t>
      </w:r>
      <w:r w:rsidR="00F415B1">
        <w:rPr>
          <w:vertAlign w:val="superscript"/>
        </w:rPr>
        <w:t>3,4</w:t>
      </w:r>
      <w:r w:rsidR="00F415B1">
        <w:t xml:space="preserve"> Steven Cummins,</w:t>
      </w:r>
      <w:r w:rsidR="00F415B1">
        <w:rPr>
          <w:vertAlign w:val="superscript"/>
        </w:rPr>
        <w:t>5</w:t>
      </w:r>
      <w:r w:rsidR="00F415B1">
        <w:t xml:space="preserve"> Mike Rayner,</w:t>
      </w:r>
      <w:r w:rsidR="00F415B1">
        <w:rPr>
          <w:vertAlign w:val="superscript"/>
        </w:rPr>
        <w:t>6</w:t>
      </w:r>
      <w:r w:rsidR="00F415B1">
        <w:t xml:space="preserve"> Harry Rutter,</w:t>
      </w:r>
      <w:r w:rsidR="00F415B1">
        <w:rPr>
          <w:vertAlign w:val="superscript"/>
        </w:rPr>
        <w:t>7</w:t>
      </w:r>
      <w:r w:rsidR="00F415B1">
        <w:t xml:space="preserve"> </w:t>
      </w:r>
      <w:r w:rsidR="008C42EB">
        <w:t>Peter Scarborough,</w:t>
      </w:r>
      <w:r w:rsidR="008C42EB">
        <w:rPr>
          <w:vertAlign w:val="superscript"/>
        </w:rPr>
        <w:t>3</w:t>
      </w:r>
      <w:r w:rsidR="00B927E1">
        <w:rPr>
          <w:vertAlign w:val="superscript"/>
        </w:rPr>
        <w:t>,</w:t>
      </w:r>
      <w:r w:rsidR="00F415B1">
        <w:rPr>
          <w:vertAlign w:val="superscript"/>
        </w:rPr>
        <w:t>6</w:t>
      </w:r>
      <w:r w:rsidR="008C42EB">
        <w:t xml:space="preserve"> </w:t>
      </w:r>
      <w:r w:rsidR="00C36C08">
        <w:t>Stephen J Sharp,</w:t>
      </w:r>
      <w:r w:rsidR="00C36C08" w:rsidRPr="00E75D9A">
        <w:rPr>
          <w:vertAlign w:val="superscript"/>
        </w:rPr>
        <w:t>1</w:t>
      </w:r>
      <w:r w:rsidR="00C36C08">
        <w:rPr>
          <w:vertAlign w:val="superscript"/>
        </w:rPr>
        <w:t xml:space="preserve"> </w:t>
      </w:r>
      <w:r w:rsidR="008C42EB">
        <w:t>Richard D. Smith,</w:t>
      </w:r>
      <w:r w:rsidR="00994B41">
        <w:rPr>
          <w:vertAlign w:val="superscript"/>
        </w:rPr>
        <w:t>8</w:t>
      </w:r>
      <w:r w:rsidR="008C42EB">
        <w:t xml:space="preserve"> </w:t>
      </w:r>
      <w:r>
        <w:t>Martin White,</w:t>
      </w:r>
      <w:r w:rsidRPr="00E75D9A">
        <w:rPr>
          <w:vertAlign w:val="superscript"/>
        </w:rPr>
        <w:t>1</w:t>
      </w:r>
      <w:r>
        <w:t xml:space="preserve"> Jean Adams</w:t>
      </w:r>
      <w:r w:rsidR="00C36C08">
        <w:t>,</w:t>
      </w:r>
      <w:r w:rsidRPr="00CC511E">
        <w:rPr>
          <w:vertAlign w:val="superscript"/>
        </w:rPr>
        <w:t>1</w:t>
      </w:r>
    </w:p>
    <w:p w14:paraId="2C9B26E6" w14:textId="299CCB2D" w:rsidR="002D4373" w:rsidRDefault="002D4373" w:rsidP="00980A3F">
      <w:pPr>
        <w:spacing w:line="480" w:lineRule="auto"/>
        <w:jc w:val="both"/>
      </w:pPr>
      <w:r w:rsidRPr="00CC511E">
        <w:rPr>
          <w:vertAlign w:val="superscript"/>
        </w:rPr>
        <w:t>1</w:t>
      </w:r>
      <w:r>
        <w:t>Centre for Diet and Activity Research, MRC Epidemiology Unit, University of Cambridge</w:t>
      </w:r>
      <w:r w:rsidR="001130CE">
        <w:t xml:space="preserve"> School of Clinical Medicine, Box 285 Institute of Metabolic Science, Cambridge Biomedical Campus</w:t>
      </w:r>
      <w:r>
        <w:t>, Cambridge, UK</w:t>
      </w:r>
    </w:p>
    <w:p w14:paraId="3C8C166D" w14:textId="7F2B3E62" w:rsidR="008C42EB" w:rsidRDefault="008C42EB" w:rsidP="008C42EB">
      <w:pPr>
        <w:spacing w:line="480" w:lineRule="auto"/>
        <w:jc w:val="both"/>
      </w:pPr>
      <w:r w:rsidRPr="00CC511E">
        <w:rPr>
          <w:vertAlign w:val="superscript"/>
        </w:rPr>
        <w:t>2</w:t>
      </w:r>
      <w:r>
        <w:t>Faculty of health</w:t>
      </w:r>
      <w:r w:rsidR="00B927E1">
        <w:t>,</w:t>
      </w:r>
      <w:r>
        <w:t xml:space="preserve"> School of Kinesiology &amp; Health Science, 5022F Victor Phillip Dahdaleh Building – DB, Keele Campus, Toronto,  Canada</w:t>
      </w:r>
    </w:p>
    <w:p w14:paraId="33580D5E" w14:textId="390528EB" w:rsidR="00F415B1" w:rsidRDefault="00B927E1" w:rsidP="008C42EB">
      <w:pPr>
        <w:spacing w:line="480" w:lineRule="auto"/>
        <w:jc w:val="both"/>
      </w:pPr>
      <w:r>
        <w:rPr>
          <w:vertAlign w:val="superscript"/>
        </w:rPr>
        <w:t>3</w:t>
      </w:r>
      <w:r w:rsidR="008826CE">
        <w:t xml:space="preserve">Centre </w:t>
      </w:r>
      <w:r w:rsidR="005907BE">
        <w:t xml:space="preserve">on </w:t>
      </w:r>
      <w:r w:rsidR="008826CE">
        <w:t xml:space="preserve">Population Approaches </w:t>
      </w:r>
      <w:r w:rsidR="005907BE">
        <w:t xml:space="preserve">for </w:t>
      </w:r>
      <w:r w:rsidR="008826CE">
        <w:t xml:space="preserve"> Non-Communicable Disease Prevention, </w:t>
      </w:r>
      <w:r w:rsidR="005907BE">
        <w:t>Nuffield Department of Population Health</w:t>
      </w:r>
      <w:r w:rsidR="008826CE">
        <w:t>, University of Oxford, Headington, Oxford</w:t>
      </w:r>
      <w:r w:rsidR="001130CE">
        <w:t>, UK</w:t>
      </w:r>
    </w:p>
    <w:p w14:paraId="20F53604" w14:textId="15FF87D4" w:rsidR="00F415B1" w:rsidRDefault="00F415B1" w:rsidP="00F415B1">
      <w:pPr>
        <w:spacing w:line="480" w:lineRule="auto"/>
        <w:jc w:val="both"/>
      </w:pPr>
      <w:r>
        <w:rPr>
          <w:vertAlign w:val="superscript"/>
        </w:rPr>
        <w:t>4</w:t>
      </w:r>
      <w:r w:rsidRPr="008C42EB">
        <w:t xml:space="preserve">Warwick Medical School, The University of Warwick, Division of Health Sciences, Coventry, </w:t>
      </w:r>
      <w:r>
        <w:t>UK</w:t>
      </w:r>
    </w:p>
    <w:p w14:paraId="477EEB93" w14:textId="070A9C4C" w:rsidR="00F415B1" w:rsidRDefault="00F415B1" w:rsidP="00F415B1">
      <w:pPr>
        <w:spacing w:line="480" w:lineRule="auto"/>
        <w:jc w:val="both"/>
      </w:pPr>
      <w:r>
        <w:rPr>
          <w:vertAlign w:val="superscript"/>
        </w:rPr>
        <w:t>5</w:t>
      </w:r>
      <w:r>
        <w:t xml:space="preserve">Population Health Innovation Lab, </w:t>
      </w:r>
      <w:r w:rsidRPr="007A0CBF">
        <w:t>Department</w:t>
      </w:r>
      <w:r>
        <w:t xml:space="preserve"> of Public Health, Environment and Society, London School of Hygiene and Tropical Medicine, 15-17 Tavistock Place, London, UK</w:t>
      </w:r>
    </w:p>
    <w:p w14:paraId="4915A4E6" w14:textId="3D1ABFA4" w:rsidR="00994B41" w:rsidRDefault="00F415B1" w:rsidP="00994B41">
      <w:pPr>
        <w:spacing w:line="480" w:lineRule="auto"/>
        <w:jc w:val="both"/>
      </w:pPr>
      <w:r>
        <w:rPr>
          <w:vertAlign w:val="superscript"/>
        </w:rPr>
        <w:t>6</w:t>
      </w:r>
      <w:r w:rsidR="008C42EB">
        <w:t>National Institute of Health Research Oxford Biomedical Research Centre, Oxford University Hospitals NHS Foundation Trust, Headington, Oxford, UK</w:t>
      </w:r>
    </w:p>
    <w:p w14:paraId="0B2AC4ED" w14:textId="4636BA9D" w:rsidR="00994B41" w:rsidRDefault="00994B41" w:rsidP="00994B41">
      <w:pPr>
        <w:spacing w:line="480" w:lineRule="auto"/>
        <w:jc w:val="both"/>
      </w:pPr>
      <w:r>
        <w:rPr>
          <w:vertAlign w:val="superscript"/>
        </w:rPr>
        <w:t>7</w:t>
      </w:r>
      <w:r>
        <w:rPr>
          <w:rStyle w:val="institution"/>
        </w:rPr>
        <w:t>Department of Social and Policy Sciences</w:t>
      </w:r>
      <w:r>
        <w:t xml:space="preserve">, </w:t>
      </w:r>
      <w:r>
        <w:rPr>
          <w:rStyle w:val="institution"/>
        </w:rPr>
        <w:t>University of Bath</w:t>
      </w:r>
      <w:r>
        <w:t xml:space="preserve">, </w:t>
      </w:r>
      <w:r>
        <w:rPr>
          <w:rStyle w:val="addr-line"/>
        </w:rPr>
        <w:t>Claverton Down, Bath</w:t>
      </w:r>
      <w:r>
        <w:t xml:space="preserve">, UK </w:t>
      </w:r>
    </w:p>
    <w:p w14:paraId="15A88D16" w14:textId="2B87D1B4" w:rsidR="00980A3F" w:rsidRDefault="00994B41" w:rsidP="00980A3F">
      <w:pPr>
        <w:spacing w:line="480" w:lineRule="auto"/>
        <w:jc w:val="both"/>
      </w:pPr>
      <w:r>
        <w:rPr>
          <w:vertAlign w:val="superscript"/>
        </w:rPr>
        <w:t>8</w:t>
      </w:r>
      <w:r w:rsidR="008C42EB" w:rsidRPr="00191DC1">
        <w:t>College</w:t>
      </w:r>
      <w:r w:rsidR="008C42EB">
        <w:t xml:space="preserve"> of Medicine and Health, University of Exeter, </w:t>
      </w:r>
      <w:r w:rsidR="008C42EB" w:rsidRPr="00CC511E">
        <w:t xml:space="preserve">Medical School Building, St Luke’s Campus, </w:t>
      </w:r>
      <w:r w:rsidR="008C42EB">
        <w:t xml:space="preserve">Exeter, </w:t>
      </w:r>
      <w:r w:rsidR="008C42EB" w:rsidRPr="00CC511E">
        <w:t>UK</w:t>
      </w:r>
    </w:p>
    <w:p w14:paraId="5ADEEA7A" w14:textId="26A56E4A" w:rsidR="001130CE" w:rsidRPr="001130CE" w:rsidRDefault="00735812" w:rsidP="001130CE">
      <w:pPr>
        <w:spacing w:line="480" w:lineRule="auto"/>
        <w:jc w:val="both"/>
      </w:pPr>
      <w:r>
        <w:t>*</w:t>
      </w:r>
      <w:hyperlink r:id="rId11" w:history="1">
        <w:r w:rsidR="002B2123" w:rsidRPr="00A27A8E">
          <w:rPr>
            <w:rStyle w:val="Hyperlink"/>
          </w:rPr>
          <w:t>david.pell@mrc-epid.cam.ac.uk</w:t>
        </w:r>
      </w:hyperlink>
      <w:r w:rsidR="002B2123">
        <w:t xml:space="preserve"> </w:t>
      </w:r>
      <w:r w:rsidR="001130CE">
        <w:rPr>
          <w:b/>
        </w:rPr>
        <w:br w:type="page"/>
      </w:r>
    </w:p>
    <w:p w14:paraId="7E393C83" w14:textId="4DB2AE8B" w:rsidR="00980A3F" w:rsidRPr="00C9271D" w:rsidRDefault="00980A3F" w:rsidP="00980A3F">
      <w:pPr>
        <w:spacing w:line="480" w:lineRule="auto"/>
        <w:jc w:val="both"/>
        <w:rPr>
          <w:b/>
        </w:rPr>
      </w:pPr>
      <w:r w:rsidRPr="00C9271D">
        <w:rPr>
          <w:b/>
        </w:rPr>
        <w:lastRenderedPageBreak/>
        <w:t>Abstract</w:t>
      </w:r>
    </w:p>
    <w:p w14:paraId="5CF9A8DB" w14:textId="7A6D37EC" w:rsidR="00FB3558" w:rsidRDefault="00FB3558" w:rsidP="00FB3558">
      <w:pPr>
        <w:rPr>
          <w:b/>
        </w:rPr>
      </w:pPr>
      <w:r w:rsidRPr="00C57E3C">
        <w:rPr>
          <w:b/>
        </w:rPr>
        <w:t>Background</w:t>
      </w:r>
    </w:p>
    <w:p w14:paraId="6F1D0085" w14:textId="339E3256" w:rsidR="00FB3558" w:rsidRDefault="00994B41" w:rsidP="00FB3558">
      <w:pPr>
        <w:spacing w:line="480" w:lineRule="auto"/>
        <w:jc w:val="both"/>
      </w:pPr>
      <w:r w:rsidRPr="000F67B3">
        <w:t xml:space="preserve">Sugar-sweetened beverage (SSB) consumption is </w:t>
      </w:r>
      <w:r>
        <w:t xml:space="preserve">positively </w:t>
      </w:r>
      <w:r w:rsidRPr="000F67B3">
        <w:t>associated with obesity, type 2 diabetes and cardiovascular disease</w:t>
      </w:r>
      <w:r>
        <w:t xml:space="preserve">. </w:t>
      </w:r>
      <w:r w:rsidRPr="002C72FD">
        <w:t xml:space="preserve">The World Health Organization recommends that member states implement effective taxes on </w:t>
      </w:r>
      <w:r>
        <w:t xml:space="preserve">SSBs to reduce consumption. </w:t>
      </w:r>
      <w:r w:rsidR="005F711A">
        <w:t xml:space="preserve">The UK Soft Drinks Industry Levy (SDIL) is a two tiered tax, announced in March 2016 and implemented in April 2018. Drinks with ≥8g of sugar per 100ml (higher levy tier) are taxed at £0.24 per litre, drinks with ≥5-&lt;8g of sugar per 100ml (lower levy tier) are taxed at £0.18 per litre and drinks with &lt;5g sugar per 100ml (no levy) are not taxed. Milk-based drinks, pure fruit juices, drinks sold as powder and drinks with &gt;1.2% alcohol by volume are exempt. </w:t>
      </w:r>
      <w:r w:rsidR="00FB3558">
        <w:t xml:space="preserve"> We aimed to determine if the announcement of the SDIL was associated with anticipatory changes in purchases of soft drinks prior to implementation of the SDIL in April 2018. We explored differences in the volume of, </w:t>
      </w:r>
      <w:r w:rsidR="005F711A">
        <w:t>and</w:t>
      </w:r>
      <w:r w:rsidR="00FB3558">
        <w:t xml:space="preserve"> amount of sugar in, household purchases of drinks in each levy tier</w:t>
      </w:r>
      <w:r w:rsidR="005F711A">
        <w:t xml:space="preserve"> </w:t>
      </w:r>
      <w:r w:rsidR="00FB3558">
        <w:t xml:space="preserve">at two years post-announcement. </w:t>
      </w:r>
    </w:p>
    <w:p w14:paraId="46A9F1F7" w14:textId="7183DA22" w:rsidR="00FB3558" w:rsidRPr="00C57E3C" w:rsidRDefault="00FB3558" w:rsidP="00FB3558">
      <w:pPr>
        <w:spacing w:line="480" w:lineRule="auto"/>
        <w:jc w:val="both"/>
        <w:rPr>
          <w:b/>
        </w:rPr>
      </w:pPr>
      <w:r w:rsidRPr="00C57E3C">
        <w:rPr>
          <w:b/>
        </w:rPr>
        <w:t>Methods and findings</w:t>
      </w:r>
    </w:p>
    <w:p w14:paraId="00B4701E" w14:textId="2E115A22" w:rsidR="00FB3558" w:rsidRDefault="00FB3558" w:rsidP="00FB3558">
      <w:pPr>
        <w:spacing w:line="480" w:lineRule="auto"/>
        <w:jc w:val="both"/>
      </w:pPr>
      <w:r>
        <w:t xml:space="preserve">We used controlled interrupted time series to compare observed changes associated with the announcement of the SDIL to the counterfactual scenario </w:t>
      </w:r>
      <w:r w:rsidR="005F711A">
        <w:t xml:space="preserve">of no </w:t>
      </w:r>
      <w:r>
        <w:t xml:space="preserve">announcement. We used data from Kantar Worldpanel, a commercial household purchasing panel with approximately 30,000 British members that includes linked nutritional data on purchases. We conducted separate analyses for drinks </w:t>
      </w:r>
      <w:r w:rsidR="005F711A">
        <w:t xml:space="preserve">liable for the SDIL in the higher, lower and no levy tiers </w:t>
      </w:r>
      <w:r>
        <w:t>controlling with household purchase volumes of toiletries.</w:t>
      </w:r>
    </w:p>
    <w:p w14:paraId="53729F6B" w14:textId="44BE6995" w:rsidR="00FB3558" w:rsidRDefault="00FB3558" w:rsidP="00FB3558">
      <w:pPr>
        <w:spacing w:line="480" w:lineRule="auto"/>
        <w:jc w:val="both"/>
      </w:pPr>
      <w:r>
        <w:t xml:space="preserve">At two years post-announcement there was no difference in volume of, or sugar from, </w:t>
      </w:r>
      <w:r w:rsidR="005F711A">
        <w:t xml:space="preserve">purchases of </w:t>
      </w:r>
      <w:r>
        <w:t xml:space="preserve">higher levy tier </w:t>
      </w:r>
      <w:r w:rsidR="005F711A">
        <w:t xml:space="preserve">drinks </w:t>
      </w:r>
      <w:r>
        <w:t xml:space="preserve">compared to the counterfactual of no announcement. In contrast, a reversal of the existing upward trend in volume </w:t>
      </w:r>
      <w:r w:rsidR="009E0B77">
        <w:t xml:space="preserve">(ml) </w:t>
      </w:r>
      <w:r>
        <w:t xml:space="preserve">of, and amount of sugar </w:t>
      </w:r>
      <w:r w:rsidR="009E0B77">
        <w:t xml:space="preserve">(g) </w:t>
      </w:r>
      <w:r>
        <w:t xml:space="preserve">in, purchases of lower levy tier </w:t>
      </w:r>
      <w:r w:rsidR="005F711A">
        <w:t xml:space="preserve">drinks </w:t>
      </w:r>
      <w:r>
        <w:t xml:space="preserve">was seen. These changes led to a </w:t>
      </w:r>
      <w:r w:rsidR="00834230">
        <w:t>-</w:t>
      </w:r>
      <w:r w:rsidR="007131B9">
        <w:t>9</w:t>
      </w:r>
      <w:r w:rsidR="008A5B3E">
        <w:t>6</w:t>
      </w:r>
      <w:r w:rsidR="007131B9">
        <w:t>.</w:t>
      </w:r>
      <w:r w:rsidR="008A5B3E">
        <w:t>1</w:t>
      </w:r>
      <w:r w:rsidR="007131B9">
        <w:t>ml (95% CI: -14</w:t>
      </w:r>
      <w:r w:rsidR="008A5B3E">
        <w:t>4</w:t>
      </w:r>
      <w:r w:rsidR="007131B9">
        <w:t>.</w:t>
      </w:r>
      <w:r w:rsidR="008A5B3E">
        <w:t>2</w:t>
      </w:r>
      <w:r w:rsidR="007131B9">
        <w:t>, -4</w:t>
      </w:r>
      <w:r w:rsidR="008A5B3E">
        <w:t>8</w:t>
      </w:r>
      <w:r w:rsidR="007131B9">
        <w:t>.0</w:t>
      </w:r>
      <w:r>
        <w:t xml:space="preserve">) reduction in volume and </w:t>
      </w:r>
      <w:r w:rsidR="00834230">
        <w:t>-</w:t>
      </w:r>
      <w:r>
        <w:t>6.</w:t>
      </w:r>
      <w:r w:rsidR="008A5B3E">
        <w:t>4</w:t>
      </w:r>
      <w:r>
        <w:t>g (95% CI: -</w:t>
      </w:r>
      <w:r w:rsidR="007131B9">
        <w:t>9.</w:t>
      </w:r>
      <w:r w:rsidR="008A5B3E">
        <w:t>8</w:t>
      </w:r>
      <w:r>
        <w:t>, -3.</w:t>
      </w:r>
      <w:r w:rsidR="008A5B3E">
        <w:t>1</w:t>
      </w:r>
      <w:r>
        <w:t>) reduction in sugar purchased in these drinks per household per week.</w:t>
      </w:r>
    </w:p>
    <w:p w14:paraId="6F5A9AF5" w14:textId="128A72D5" w:rsidR="00FB3558" w:rsidRDefault="00FB3558" w:rsidP="00FB3558">
      <w:pPr>
        <w:spacing w:line="480" w:lineRule="auto"/>
        <w:jc w:val="both"/>
      </w:pPr>
      <w:r>
        <w:lastRenderedPageBreak/>
        <w:t>There was a reversal of the existing downward trend in the amount of sugar in household purchases of the no levy drinks</w:t>
      </w:r>
      <w:r w:rsidR="00C66932">
        <w:t>, but no c</w:t>
      </w:r>
      <w:r w:rsidR="00E46D4F">
        <w:t>ha</w:t>
      </w:r>
      <w:r w:rsidR="00C66932">
        <w:t>nge in volume purchased</w:t>
      </w:r>
      <w:r>
        <w:t>. At two years post-announcement, these changes led to a</w:t>
      </w:r>
      <w:r w:rsidR="009A7164">
        <w:t xml:space="preserve"> 6.</w:t>
      </w:r>
      <w:r w:rsidR="008A5B3E">
        <w:t>1</w:t>
      </w:r>
      <w:r>
        <w:t>g (95% CI: 3.</w:t>
      </w:r>
      <w:r w:rsidR="009A7164">
        <w:t>9</w:t>
      </w:r>
      <w:r>
        <w:t xml:space="preserve">, </w:t>
      </w:r>
      <w:r w:rsidR="009A7164">
        <w:t>8.</w:t>
      </w:r>
      <w:r w:rsidR="008A5B3E">
        <w:t>2</w:t>
      </w:r>
      <w:r>
        <w:t xml:space="preserve">) increase in sugar purchased in these drinks per household per week. </w:t>
      </w:r>
      <w:r w:rsidR="00C66932">
        <w:t>There was no evidence that volume of, or amount of sugar in, purchases of all drinks combined was different from the counterfactual.</w:t>
      </w:r>
    </w:p>
    <w:p w14:paraId="2D29ECEA" w14:textId="2479DAE6" w:rsidR="00C66932" w:rsidRDefault="00C66932" w:rsidP="00FB3558">
      <w:pPr>
        <w:spacing w:line="480" w:lineRule="auto"/>
        <w:jc w:val="both"/>
      </w:pPr>
      <w:r>
        <w:t xml:space="preserve">This is an observational study and changes other than the SDIL may have been responsible for the results reported. </w:t>
      </w:r>
      <w:r w:rsidR="00346117">
        <w:t>P</w:t>
      </w:r>
      <w:r>
        <w:t xml:space="preserve">urchases </w:t>
      </w:r>
      <w:r w:rsidR="00346117">
        <w:t>consumed outside of the home were not accounted for</w:t>
      </w:r>
      <w:r>
        <w:t xml:space="preserve">. </w:t>
      </w:r>
    </w:p>
    <w:p w14:paraId="01F78B64" w14:textId="77777777" w:rsidR="00FB3558" w:rsidRPr="00DC10AA" w:rsidRDefault="00FB3558" w:rsidP="00FB3558">
      <w:pPr>
        <w:spacing w:line="480" w:lineRule="auto"/>
        <w:jc w:val="both"/>
        <w:rPr>
          <w:b/>
        </w:rPr>
      </w:pPr>
      <w:r w:rsidRPr="00DC10AA">
        <w:rPr>
          <w:b/>
        </w:rPr>
        <w:t>Conclusions</w:t>
      </w:r>
    </w:p>
    <w:p w14:paraId="6FD6660C" w14:textId="1484ED30" w:rsidR="00FB3558" w:rsidRDefault="00FB3558" w:rsidP="00DC10AA">
      <w:pPr>
        <w:spacing w:line="480" w:lineRule="auto"/>
        <w:jc w:val="both"/>
      </w:pPr>
      <w:r>
        <w:t xml:space="preserve">The announcement of the UK SDIL was associated with reductions in volume and sugar purchased in lower levy tier drinks before implementation. These were offset by increases in sugar purchased </w:t>
      </w:r>
      <w:r w:rsidR="009C5CF8">
        <w:t>from</w:t>
      </w:r>
      <w:r>
        <w:t xml:space="preserve"> no levy drinks. These findings may reflect reformulation of drinks from the lower levy to no levy tier with removal of some, but not, all sugar</w:t>
      </w:r>
      <w:r w:rsidR="009C5CF8">
        <w:t>,</w:t>
      </w:r>
      <w:r>
        <w:t xml:space="preserve"> alongside changes in consumer attitudes and beliefs.</w:t>
      </w:r>
    </w:p>
    <w:p w14:paraId="34041B41" w14:textId="51215D30" w:rsidR="00412088" w:rsidRPr="00CC511E" w:rsidRDefault="00412088" w:rsidP="00C57E3C">
      <w:pPr>
        <w:rPr>
          <w:b/>
        </w:rPr>
      </w:pPr>
      <w:r w:rsidRPr="00CC511E">
        <w:rPr>
          <w:b/>
        </w:rPr>
        <w:t>Introduction</w:t>
      </w:r>
    </w:p>
    <w:p w14:paraId="16CAF7E9" w14:textId="67BE2AA9" w:rsidR="00712BE6" w:rsidRPr="002C72FD" w:rsidRDefault="00712BE6" w:rsidP="00980A3F">
      <w:pPr>
        <w:spacing w:line="480" w:lineRule="auto"/>
        <w:jc w:val="both"/>
      </w:pPr>
      <w:r w:rsidRPr="000F67B3">
        <w:t xml:space="preserve">Sugar-sweetened beverage (SSB) consumption is </w:t>
      </w:r>
      <w:r w:rsidR="00C97460">
        <w:t xml:space="preserve">positively </w:t>
      </w:r>
      <w:r w:rsidRPr="000F67B3">
        <w:t>associated with dental caries, total energy intake, obesity, type 2 diabetes and cardiovascular disease</w:t>
      </w:r>
      <w:r w:rsidR="00B01F0F">
        <w:t xml:space="preserve"> </w:t>
      </w:r>
      <w:r w:rsidR="00DC753C" w:rsidRPr="000F67B3">
        <w:fldChar w:fldCharType="begin"/>
      </w:r>
      <w:r w:rsidR="006C4B25">
        <w:instrText xml:space="preserve"> ADDIN ZOTERO_ITEM CSL_CITATION {"citationID":"a21hicn7qi9","properties":{"formattedCitation":"[1]","plainCitation":"[1]","dontUpdate":true,"noteIndex":0},"citationItems":[{"id":836,"uris":["http://zotero.org/users/1356132/items/9A959CFN"],"uri":["http://zotero.org/users/1356132/items/9A959CFN"],"itemData":{"id":836,"type":"article-journal","abstract":"A systematic review of studies in humans was conducted to update evidence on the association between the amount of sugars intake and dental caries and on the effect of restricting sugars intake to &lt; 10% and &lt; 5% energy (E) on caries to inform the updating of World Health Organization guidelines on sugars consumption. Data sources included MEDLINE, EMBASE, Cochrane Database, Cochrane Central Register of Controlled Trials, Latin American and Caribbean Health Sciences, China National Knowledge Infrastructure, Wanfang, and South African Department of Health. Eligible studies reported the absolute amount of sugars and dental caries, measured as prevalence, incidence, or severity. The review was conducted and reported in accordance with the PRISMA statement, and the evidence was assessed according to GRADE Working Group guidelines. From 5,990 papers identified, 55 studies were eligible – 3 intervention, 8 cohort, 20 population, and 24 cross-sectional. Data variability limited meta-analysis. Of the studies, 42 out of 50 of those in children and 5 out of 5 in adults reported at least one positive association between sugars and caries. There is evidence of moderate quality showing that caries is lower when free-sugars intake is &lt; 10% E. With the &lt; 5% E cut-off, a significant relationship was observed, but the evidence was judged to be of very low quality. The findings are relevant to minimizing caries risk throughout the life course.","container-title":"Journal of Dental Research","DOI":"10.1177/0022034513508954","ISSN":"0022-0345","issue":"1","journalAbbreviation":"J Dent Res","language":"en","page":"8-18","source":"SAGE Journals","title":"Effect on Caries of Restricting Sugars Intake: Systematic Review to Inform WHO Guidelines","title-short":"Effect on Caries of Restricting Sugars Intake","volume":"93","author":[{"family":"Moynihan","given":"P.J."},{"family":"Kelly","given":"S.A.M."}],"issued":{"date-parts":[["2014",1,1]]}}}],"schema":"https://github.com/citation-style-language/schema/raw/master/csl-citation.json"} </w:instrText>
      </w:r>
      <w:r w:rsidR="00DC753C" w:rsidRPr="000F67B3">
        <w:fldChar w:fldCharType="separate"/>
      </w:r>
      <w:r w:rsidR="00D46E69" w:rsidRPr="000F67B3">
        <w:t>[1–3]</w:t>
      </w:r>
      <w:r w:rsidR="00B01F0F">
        <w:t>.</w:t>
      </w:r>
      <w:r w:rsidR="00733AC3">
        <w:t xml:space="preserve"> </w:t>
      </w:r>
      <w:r w:rsidR="00DC753C" w:rsidRPr="000F67B3">
        <w:fldChar w:fldCharType="end"/>
      </w:r>
      <w:r w:rsidR="00935C55" w:rsidRPr="000F67B3">
        <w:t xml:space="preserve">Each additional </w:t>
      </w:r>
      <w:r w:rsidR="00FE460B">
        <w:t xml:space="preserve">daily </w:t>
      </w:r>
      <w:r w:rsidR="00935C55" w:rsidRPr="000F67B3">
        <w:t xml:space="preserve">serving of SSBs consumed </w:t>
      </w:r>
      <w:r w:rsidR="002B1F58">
        <w:t>on a regular basis</w:t>
      </w:r>
      <w:r w:rsidR="00935C55" w:rsidRPr="000F67B3">
        <w:t xml:space="preserve"> is </w:t>
      </w:r>
      <w:r w:rsidRPr="000F67B3">
        <w:t>associated</w:t>
      </w:r>
      <w:r w:rsidRPr="002C72FD">
        <w:t xml:space="preserve"> with a</w:t>
      </w:r>
      <w:r w:rsidR="00FD3614">
        <w:t>n</w:t>
      </w:r>
      <w:r w:rsidRPr="002C72FD">
        <w:t xml:space="preserve"> 1</w:t>
      </w:r>
      <w:r w:rsidR="00D46E69" w:rsidRPr="002C72FD">
        <w:t>8</w:t>
      </w:r>
      <w:r w:rsidRPr="002C72FD">
        <w:t xml:space="preserve">% increased risk of </w:t>
      </w:r>
      <w:r w:rsidR="00733AC3">
        <w:t xml:space="preserve">type 2 diabetes </w:t>
      </w:r>
      <w:r w:rsidRPr="002C72FD">
        <w:t xml:space="preserve">and </w:t>
      </w:r>
      <w:r w:rsidR="00053BC6">
        <w:t xml:space="preserve">a </w:t>
      </w:r>
      <w:r w:rsidRPr="002C72FD">
        <w:t xml:space="preserve">17% increased risk of </w:t>
      </w:r>
      <w:r w:rsidR="0060406D">
        <w:t>coronary heart disease</w:t>
      </w:r>
      <w:r w:rsidR="00B01F0F">
        <w:t xml:space="preserve"> </w:t>
      </w:r>
      <w:r w:rsidR="00DC753C" w:rsidRPr="002C72FD">
        <w:fldChar w:fldCharType="begin"/>
      </w:r>
      <w:r w:rsidR="006C4B25">
        <w:instrText xml:space="preserve"> ADDIN ZOTERO_ITEM CSL_CITATION {"citationID":"a14hv1op41g","properties":{"formattedCitation":"[2], [3]","plainCitation":"[2], [3]","dontUpdate":true,"noteIndex":0},"citationItems":[{"id":954,"uris":["http://zotero.org/users/1356132/items/9C88HGC8"],"uri":["http://zotero.org/users/1356132/items/9C88HGC8"],"itemData":{"id":954,"type":"article-journal","abstract":"Objectives To examine the prospective associations between consumption of sugar sweetened beverages, artificially sweetened beverages, and fruit juice with type 2 diabetes before and after adjustment for adiposity, and to estimate the population attributable fraction for type 2 diabetes from consumption of sugar sweetened beverages in the United States and United Kingdom.\nDesign Systematic review and meta-analysis.\nData sources and eligibility PubMed, Embase, Ovid, and Web of Knowledge for prospective studies of adults without diabetes, published until February 2014. The population attributable fraction was estimated in national surveys in the USA, 2009–10 (n=4729 representing 189.1 million adults without diabetes) and the UK, 2008–12 (n=1932 representing 44.7 million).\nSynthesis methods Random effects meta-analysis and survey analysis for population attributable fraction associated with consumption of sugar sweetened beverages.\nResults Prespecified information was extracted from 17 cohorts (38 253 cases/10 126 754 person years). Higher consumption of sugar sweetened beverages was associated with a greater incidence of type 2 diabetes, by 18% per one serving/day (95% confidence interval 9% to 28%, I2 for heterogeneity=89%) and 13% (6% to 21%, I2=79%) before and after adjustment for adiposity; for artificially sweetened beverages, 25% (18% to 33%, I2=70%) and 8% (2% to 15%, I2=64%); and for fruit juice, 5% (−1% to 11%, I2=58%) and 7% (1% to 14%, I2=51%). Potential sources of heterogeneity or bias were not evident for sugar sweetened beverages. For artificially sweetened beverages, publication bias and residual confounding were indicated. For fruit juice the finding was non-significant in studies ascertaining type 2 diabetes objectively (P for heterogeneity=0.008). Under specified assumptions for population attributable fraction, of 20.9 million events of type 2 diabetes predicted to occur over 10 years in the USA (absolute event rate 11.0%), 1.8 million would be attributable to consumption of sugar sweetened beverages (population attributable fraction 8.7%, 95% confidence interval 3.9% to 12.9%); and of 2.6 million events in the UK (absolute event rate 5.8%), 79 000 would be attributable to consumption of sugar sweetened beverages (population attributable fraction 3.6%, 1.7% to 5.6%).\nConclusions Habitual consumption of sugar sweetened beverages was associated with a greater incidence of type 2 diabetes, independently of adiposity. Although artificially sweetened beverages and fruit juice also showd positive associations with incidence of type 2 diabetes, the findings were likely to involve bias. None the less, both artificially sweetened beverages and fruit juice were unlikely to be healthy alternatives to sugar sweetened beverages for the prevention of type 2 diabetes. Under assumption of causality, consumption of sugar sweetened beverages over years may be related to a substantial number of cases of new onset diabetes.","container-title":"Br J Sports Med","DOI":"10.1136/bjsports-2016-h3576rep","ISSN":"0306-3674, 1473-0480","issue":"8","journalAbbreviation":"Br J Sports Med","language":"en","note":"PMID: 27044603","page":"496-504","source":"bjsm.bmj.com","title":"Consumption of sugar sweetened beverages, artificially sweetened beverages, and fruit juice and incidence of type 2 diabetes: systematic review, meta-analysis, and estimation of population attributable fraction","title-short":"Consumption of sugar sweetened beverages, artificially sweetened beverages, and fruit juice and incidence of type 2 diabetes","volume":"50","author":[{"family":"Imamura","given":"Fumiaki"},{"family":"O'Connor","given":"Laura"},{"family":"Ye","given":"Zheng"},{"family":"Mursu","given":"Jaakko"},{"family":"Hayashino","given":"Yasuaki"},{"family":"Bhupathiraju","given":"Shilpa N."},{"family":"Forouhi","given":"Nita G."}],"issued":{"date-parts":[["2016",4,1]]}}},{"id":834,"uris":["http://zotero.org/users/1356132/items/9RG7R48P"],"uri":["http://zotero.org/users/1356132/items/9RG7R48P"],"itemData":{"id":834,"type":"article-journal","abstract":"A number of prospective cohort studies have investigated the associations between consumption of sugar-sweetened beverages (SSB) and the risk of hypertension, CHD and stroke, but revealed mixed results. In the present study, we aimed to perform a dose–response meta-analysis of these prospective studies to clarify these associations. A systematic literature search was conducted using the PubMed and Embase databases up to 5 May 2014. Random- or fixed-effects models were used to calculate the pooled relative risks (RR) with 95 % CI for the highest compared with the lowest category of SSB consumption, and to conduct a dose–response analysis. A total of six prospective studies (240 726 participants and 80 411 incident cases of hypertension) from four publications on hypertension were identified. A total of four prospective studies (194 664 participants and 7396 incident cases of CHD) from four publications on CHD were identified. A total of four prospective studies (259 176 participants and 10 011 incident cases of stroke) from four publications on stroke were identified. The summary RR for incident hypertension was 1·08 (95 % CI 1·04, 1·12) for every additional one serving/d increase in SSB consumption. The summary RR for incident CHD was 1·17 (95 % CI 1·10, 1·24) for every serving/d increase in SSB consumption. There was no significant association between SSB consumption and total stroke (summary RR 1·06, 95 % CI 0·97, 1·15) for every serving/d increase in SSB consumption. The present meta-analysis suggested that a higher consumption of SSB was associated with a higher risk of hypertension and CHD, but not with a higher risk of stroke.","container-title":"British Journal of Nutrition","DOI":"10.1017/S0007114514004383","ISSN":"0007-1145, 1475-2662","issue":"5","language":"en","page":"709-717","source":"Cambridge Core","title":"Sugar-sweetened beverages and risk of hypertension and CVD: a dose–response meta-analysis","title-short":"Sugar-sweetened beverages and risk of hypertension and CVD","volume":"113","author":[{"family":"Xi","given":"Bo"},{"family":"Huang","given":"Yubei"},{"family":"Reilly","given":"Kathleen Heather"},{"family":"Li","given":"Shuangshuang"},{"family":"Zheng","given":"Ruolong"},{"family":"Barrio-Lopez","given":"Maria T."},{"family":"Martinez-Gonzalez","given":"Miguel A."},{"family":"Zhou","given":"Donghao"}],"issued":{"date-parts":[["2015",3]]}}}],"schema":"https://github.com/citation-style-language/schema/raw/master/csl-citation.json"} </w:instrText>
      </w:r>
      <w:r w:rsidR="00DC753C" w:rsidRPr="002C72FD">
        <w:fldChar w:fldCharType="separate"/>
      </w:r>
      <w:r w:rsidR="00CF0A03" w:rsidRPr="00C57E3C">
        <w:rPr>
          <w:rFonts w:ascii="Calibri" w:hAnsi="Calibri" w:cs="Calibri"/>
        </w:rPr>
        <w:t>[2,3]</w:t>
      </w:r>
      <w:r w:rsidR="00DC753C" w:rsidRPr="002C72FD">
        <w:fldChar w:fldCharType="end"/>
      </w:r>
      <w:r w:rsidR="00B01F0F">
        <w:t>.</w:t>
      </w:r>
      <w:r w:rsidR="00DC753C" w:rsidRPr="002C72FD">
        <w:t xml:space="preserve"> </w:t>
      </w:r>
      <w:r w:rsidRPr="002C72FD">
        <w:t xml:space="preserve">The economic burden of </w:t>
      </w:r>
      <w:r w:rsidR="00FE460B">
        <w:t>this</w:t>
      </w:r>
      <w:r w:rsidRPr="002C72FD">
        <w:t xml:space="preserve"> is significant. </w:t>
      </w:r>
      <w:r w:rsidR="00FE460B">
        <w:t>O</w:t>
      </w:r>
      <w:r w:rsidRPr="002C72FD">
        <w:t xml:space="preserve">besity cost the UK </w:t>
      </w:r>
      <w:r w:rsidR="00527F02" w:rsidRPr="002C72FD">
        <w:t xml:space="preserve">economy </w:t>
      </w:r>
      <w:r w:rsidR="00FE460B">
        <w:t>around</w:t>
      </w:r>
      <w:r w:rsidRPr="002C72FD">
        <w:t xml:space="preserve"> £27 billion in 2015</w:t>
      </w:r>
      <w:r w:rsidR="00B01F0F">
        <w:t xml:space="preserve"> </w:t>
      </w:r>
      <w:r w:rsidR="00DC753C" w:rsidRPr="002C72FD">
        <w:fldChar w:fldCharType="begin"/>
      </w:r>
      <w:r w:rsidR="006C4B25">
        <w:instrText xml:space="preserve"> ADDIN ZOTERO_ITEM CSL_CITATION {"citationID":"a1ggu38jkg8","properties":{"formattedCitation":"[4]","plainCitation":"[4]","noteIndex":0},"citationItems":[{"id":833,"uris":["http://zotero.org/users/1356132/items/Q6WS59RH"],"uri":["http://zotero.org/users/1356132/items/Q6WS59RH"],"itemData":{"id":833,"type":"article-journal","container-title":"Sugar reduction: the evidence for action.","source":"Google Scholar","title":"Sugar reduction: the evidence for action.","title-short":"Sugar reduction","author":[{"family":"Tedstone","given":"A."},{"family":"Targett","given":"V."},{"family":"Allen","given":"R."}],"issued":{"date-parts":[["2015"]]}}}],"schema":"https://github.com/citation-style-language/schema/raw/master/csl-citation.json"} </w:instrText>
      </w:r>
      <w:r w:rsidR="00DC753C" w:rsidRPr="002C72FD">
        <w:fldChar w:fldCharType="separate"/>
      </w:r>
      <w:r w:rsidR="006C4B25" w:rsidRPr="006C4B25">
        <w:rPr>
          <w:rFonts w:ascii="Calibri" w:hAnsi="Calibri" w:cs="Calibri"/>
        </w:rPr>
        <w:t>[4]</w:t>
      </w:r>
      <w:r w:rsidR="00DC753C" w:rsidRPr="002C72FD">
        <w:fldChar w:fldCharType="end"/>
      </w:r>
      <w:r w:rsidR="00B01F0F">
        <w:t>,</w:t>
      </w:r>
      <w:r w:rsidR="00DC753C" w:rsidRPr="002C72FD">
        <w:t xml:space="preserve"> </w:t>
      </w:r>
      <w:r w:rsidRPr="002C72FD">
        <w:t>with direct cost</w:t>
      </w:r>
      <w:r w:rsidR="00527F02" w:rsidRPr="002C72FD">
        <w:t>s</w:t>
      </w:r>
      <w:r w:rsidRPr="002C72FD">
        <w:t xml:space="preserve"> to the NHS </w:t>
      </w:r>
      <w:r w:rsidR="00DA635F">
        <w:t xml:space="preserve">of </w:t>
      </w:r>
      <w:r w:rsidRPr="002C72FD">
        <w:t>over £5 billion</w:t>
      </w:r>
      <w:r w:rsidR="00B01F0F">
        <w:t xml:space="preserve"> </w:t>
      </w:r>
      <w:r w:rsidR="00DC753C" w:rsidRPr="002C72FD">
        <w:fldChar w:fldCharType="begin"/>
      </w:r>
      <w:r w:rsidR="006C4B25">
        <w:instrText xml:space="preserve"> ADDIN ZOTERO_ITEM CSL_CITATION {"citationID":"afveeoblg0","properties":{"formattedCitation":"[5]","plainCitation":"[5]","noteIndex":0},"citationItems":[{"id":832,"uris":["http://zotero.org/users/1356132/items/N56J763N"],"uri":["http://zotero.org/users/1356132/items/N56J763N"],"itemData":{"id":832,"type":"article-journal","container-title":"Natl Obes Obs","page":"1–13","source":"Google Scholar","title":"The economic burden of obesity","author":[{"family":"Morgan","given":"E."},{"family":"Dent","given":"M."}],"issued":{"date-parts":[["2010"]]}}}],"schema":"https://github.com/citation-style-language/schema/raw/master/csl-citation.json"} </w:instrText>
      </w:r>
      <w:r w:rsidR="00DC753C" w:rsidRPr="002C72FD">
        <w:fldChar w:fldCharType="separate"/>
      </w:r>
      <w:r w:rsidR="006C4B25" w:rsidRPr="006C4B25">
        <w:rPr>
          <w:rFonts w:ascii="Calibri" w:hAnsi="Calibri" w:cs="Calibri"/>
        </w:rPr>
        <w:t>[5]</w:t>
      </w:r>
      <w:r w:rsidR="00DC753C" w:rsidRPr="002C72FD">
        <w:fldChar w:fldCharType="end"/>
      </w:r>
      <w:r w:rsidR="00B01F0F">
        <w:t>.</w:t>
      </w:r>
    </w:p>
    <w:p w14:paraId="2DC4582F" w14:textId="5AAD138B" w:rsidR="00FB10D5" w:rsidRPr="002C72FD" w:rsidRDefault="00527F02" w:rsidP="0032739D">
      <w:pPr>
        <w:spacing w:line="480" w:lineRule="auto"/>
        <w:jc w:val="both"/>
      </w:pPr>
      <w:r w:rsidRPr="002C72FD">
        <w:t>The World Health Organization recommends that member states</w:t>
      </w:r>
      <w:r w:rsidR="00ED18CB" w:rsidRPr="002C72FD">
        <w:t xml:space="preserve"> implement effective taxes on </w:t>
      </w:r>
      <w:r w:rsidR="00442455">
        <w:t>SSBs</w:t>
      </w:r>
      <w:r w:rsidR="00733AC3">
        <w:t xml:space="preserve"> to reduce consumption</w:t>
      </w:r>
      <w:r w:rsidR="00B01F0F">
        <w:t xml:space="preserve"> </w:t>
      </w:r>
      <w:r w:rsidR="0032739D" w:rsidRPr="002C72FD">
        <w:fldChar w:fldCharType="begin"/>
      </w:r>
      <w:r w:rsidR="006C4B25">
        <w:instrText xml:space="preserve"> ADDIN ZOTERO_ITEM CSL_CITATION {"citationID":"VeQQPN7X","properties":{"formattedCitation":"[6], [7]","plainCitation":"[6], [7]","dontUpdate":true,"noteIndex":0},"citationItems":[{"id":794,"uris":["http://zotero.org/users/1356132/items/9RVQ996R"],"uri":["http://zotero.org/users/1356132/items/9RVQ996R"],"itemData":{"id":794,"type":"article-journal","source":"Google Scholar","title":"Consideration of the evidence on childhood obesity for the Commission on Ending Childhood Obesity: report of the ad hoc working group on science and evidence for ending childhood obesity, Geneva, Switzerland","title-short":"Consideration of the evidence on childhood obesity for the Commission on Ending Childhood Obesity","author":[{"literal":"World Health Organization"}],"issued":{"date-parts":[["2016"]]}}},{"id":63,"uris":["http://zotero.org/users/1356132/items/CUTGL66E"],"uri":["http://zotero.org/users/1356132/items/CUTGL66E"],"itemData":{"id":63,"type":"article","publisher":"Geneva, Switzerland","title":"Tackling NCDs: \"Best Buys\" and Other Recommended Interventions for the Prevention and Control of Noncommunicable Diseases.","URL":"http://apps.who.int/iris/bitstream/10665/259232/1/WHO-NMH-NVI-17.9-eng.pdf?ua=1","author":[{"literal":"World Health Organisation"}],"accessed":{"date-parts":[["2019",4,17]]},"issued":{"date-parts":[["2017"]]}}}],"schema":"https://github.com/citation-style-language/schema/raw/master/csl-citation.json"} </w:instrText>
      </w:r>
      <w:r w:rsidR="0032739D" w:rsidRPr="002C72FD">
        <w:fldChar w:fldCharType="separate"/>
      </w:r>
      <w:r w:rsidR="005E32B2" w:rsidRPr="00CF0B66">
        <w:rPr>
          <w:rFonts w:ascii="Calibri" w:hAnsi="Calibri" w:cs="Calibri"/>
        </w:rPr>
        <w:t>[6</w:t>
      </w:r>
      <w:r w:rsidR="00CF0A03" w:rsidRPr="00C57E3C">
        <w:rPr>
          <w:rFonts w:ascii="Calibri" w:hAnsi="Calibri" w:cs="Calibri"/>
        </w:rPr>
        <w:t>,7]</w:t>
      </w:r>
      <w:r w:rsidR="0032739D" w:rsidRPr="002C72FD">
        <w:fldChar w:fldCharType="end"/>
      </w:r>
      <w:r w:rsidR="00B01F0F">
        <w:t>.</w:t>
      </w:r>
      <w:r w:rsidR="000235F0" w:rsidRPr="002C72FD">
        <w:t xml:space="preserve"> </w:t>
      </w:r>
      <w:r w:rsidRPr="002C72FD">
        <w:t>A</w:t>
      </w:r>
      <w:r w:rsidR="004A6643" w:rsidRPr="002C72FD">
        <w:t xml:space="preserve"> number of national </w:t>
      </w:r>
      <w:r w:rsidR="00733AC3">
        <w:t xml:space="preserve">and regional </w:t>
      </w:r>
      <w:r w:rsidR="004A6643" w:rsidRPr="002C72FD">
        <w:t>governments</w:t>
      </w:r>
      <w:r w:rsidR="007217B8" w:rsidRPr="002C72FD">
        <w:t xml:space="preserve"> </w:t>
      </w:r>
      <w:r w:rsidR="004A6643" w:rsidRPr="002C72FD">
        <w:t xml:space="preserve">including Mexico, France, and multiple US </w:t>
      </w:r>
      <w:r w:rsidR="00733AC3">
        <w:t xml:space="preserve">cities </w:t>
      </w:r>
      <w:r w:rsidR="004A6643" w:rsidRPr="002C72FD">
        <w:t xml:space="preserve">have </w:t>
      </w:r>
      <w:r w:rsidRPr="002C72FD">
        <w:t xml:space="preserve">introduced </w:t>
      </w:r>
      <w:r w:rsidR="00712BE6" w:rsidRPr="002C72FD">
        <w:t>SSB</w:t>
      </w:r>
      <w:r w:rsidR="004A6643" w:rsidRPr="002C72FD">
        <w:t xml:space="preserve"> </w:t>
      </w:r>
      <w:r w:rsidR="007217B8" w:rsidRPr="002C72FD">
        <w:t>t</w:t>
      </w:r>
      <w:r w:rsidR="00AC34B3" w:rsidRPr="002C72FD">
        <w:t>axes</w:t>
      </w:r>
      <w:r w:rsidR="00B01F0F">
        <w:t xml:space="preserve"> </w:t>
      </w:r>
      <w:r w:rsidR="001812C3" w:rsidRPr="002C72FD">
        <w:fldChar w:fldCharType="begin"/>
      </w:r>
      <w:r w:rsidR="006C4B25">
        <w:instrText xml:space="preserve"> ADDIN ZOTERO_ITEM CSL_CITATION {"citationID":"nFOhvJTY","properties":{"formattedCitation":"[8]\\uc0\\u8211{}[14]","plainCitation":"[8]–[14]\r[7]–[12]\r","dontUpdate":true,"noteIndex":0},"citationItems":[{"id":814,"uris":["http://zotero.org/users/1356132/items/IW4NL4Z6"],"uri":["http://zotero.org/users/1356132/items/IW4NL4Z6"],"itemData":{"id":814,"type":"article-journal","abstract":"Monthly data derived from the Nielsen Homescan Panel for calendar years 1998 through 2003 are used to estimate the effects of a proposed tax on sugar-sweetened beverages (SSBs). Most arguments in describing the ramifications of a tax fail to consider demand interrelationships among various beverages. To circumvent this shortcoming we employ a variation of Quadratic Almost Ideal Demand System (QUAIDS) model. The consumption of isotonics, regular soft drinks and fruit drinks, the set of SSBs, is negatively impacted by the proposed tax, while the consumption of fruit juices, low-fat milk, coffee, and tea is positively affected. Diversion ratios are provided identifying where the volumes of the SSBs are directed as a result of the tax policy. The reduction in the body weight as a result of a 20% tax on SSBs is estimated to be between 1.54 and 2.55 lb per year. However, not considering demand interrelationships would result in higher weight loss. Unequivocally, it is necessary to consider interrelationships among non-alcoholic beverages in assessing the effect of the tax. Copyright © 2011 John Wiley &amp; Sons, Ltd.","container-title":"Health Economics","DOI":"10.1002/hec.1738","ISSN":"1099-1050","issue":"6","language":"en","page":"669-694","source":"Wiley Online Library","title":"Intended and unintended consequences of a proposed national tax on sugar-sweetened beverages to combat the U.S. obesity problem","volume":"21","author":[{"family":"Dharmasena","given":"Senarath"},{"family":"Capps","given":"Oral"}],"issued":{"date-parts":[["2012",6,1]]}}},{"id":816,"uris":["http://zotero.org/users/1356132/items/HGFKVUPU"],"uri":["http://zotero.org/users/1356132/items/HGFKVUPU"],"itemData":{"id":816,"type":"article-journal","abstract":"Objectives. We assessed the short-term ability to increase retail prices of the first US 1-cent-per-ounce excise tax on the distribution of sugar-sweetened beverages (SSBs), which was implemented in March 2015 by Berkeley, California.Methods. In 2014 and 2015, we examined pre- to posttax price changes of SSBs and non-SSBs in a variety of retailers in Berkeley and in the comparison cities Oakland and San Francisco, California. We examined price changes by beverage, brand, size, and retailer type.Results. For smaller beverages (≤ 33.8 oz), price increases (cents/oz) in Berkeley relative to those in comparison cities were 0.69 (95% confidence interval [CI] = 0.36, 1.03) for soda, 0.47 (95% CI = 0.08, 0.87) for fruit-flavored beverages, and 0.47 (95% CI = 0.25, 0.69) for SSBs overall. For 2-liter bottles and multipacks of soda, relative price increases were 0.46 (95% CI = 0.03, 0.89) and 0.49 (95% CI = 0.21, 0.77). We observed no relative price increases for nontaxed beverages overall.Conclusions. Approximately 3 months after the tax was implemented, SSB retail prices increased more in Berkeley than in nearby cities, marking a step in the causal pathway between the tax and reduced SSB consumption.","container-title":"American Journal of Public Health","DOI":"10.2105/AJPH.2015.302881","ISSN":"0090-0036","issue":"11","journalAbbreviation":"Am J Public Health","page":"2194-2201","source":"ajph.aphapublications.org (Atypon)","title":"Higher Retail Prices of Sugar-Sweetened Beverages 3 Months After Implementation of an Excise Tax in Berkeley, California","volume":"105","author":[{"family":"Falbe","given":"Jennifer"},{"family":"Rojas","given":"Nadia"},{"family":"Grummon","given":"Anna H."},{"family":"Madsen","given":"Kristine A."}],"issued":{"date-parts":[["2015",10,7]]}}},{"id":815,"uris":["http://zotero.org/users/1356132/items/DALF8RSG"],"uri":["http://zotero.org/users/1356132/items/DALF8RSG"],"itemData":{"id":815,"type":"article-journal","abstract":"Objectives. To evaluate the impact of the excise tax on sugar-sweetened beverage (SSB) consumption in Berkeley, California, which became the first US jurisdiction to implement such a tax ($0.01/oz) in March 2015.Methods. We used a repeated cross-sectional design to examine changes in pre- to posttax beverage consumption in low-income neighborhoods in Berkeley versus in the comparison cities of Oakland and San Francisco, California. A beverage frequency questionnaire was interviewer administered to 990 participants before the tax and 1689 after the tax (approximately 8 months after the vote and 4 months after implementation) to examine relative changes in consumption.Results. Consumption of SSBs decreased 21% in Berkeley and increased 4% in comparison cities (P = .046). Water consumption increased more in Berkeley (+63%) than in comparison cities (+19%; P &lt; .01).Conclusions. Berkeley’s excise tax reduced SSB consumption in low-income neighborhoods. Evaluating SSB taxes in other cities will improve understanding of their public health benefit and their generalizability.","container-title":"American Journal of Public Health","DOI":"10.2105/AJPH.2016.303362","ISSN":"0090-0036","issue":"10","journalAbbreviation":"Am J Public Health","page":"1865-1871","source":"ajph.aphapublications.org (Atypon)","title":"Impact of the Berkeley Excise Tax on Sugar-Sweetened Beverage Consumption","volume":"106","author":[{"family":"Falbe","given":"Jennifer"},{"family":"Thompson","given":"Hannah R."},{"family":"Becker","given":"Christina M."},{"family":"Rojas","given":"Nadia"},{"family":"McCulloch","given":"Charles E."},{"family":"Madsen","given":"Kristine A."}],"issued":{"date-parts":[["2016",8,23]]}}},{"id":924,"uris":["http://zotero.org/users/1356132/items/IMZA3XR6"],"uri":["http://zotero.org/users/1356132/items/IMZA3XR6"],"itemData":{"id":924,"type":"article-journal","abstract":"An 8% tax on high-energy, non-essential foods in Mexico reduces the amount of these foods consumed, an effect that is more pronounced in lower income families, Taillie and colleagues reveal., \n\nWhy Was This Study Done?\nIn January 2014, Mexico passed an 8% tax on nonessential foods with energy density ≥275 kcal/100 g, including salty snacks, chips, cakes, pastries, and frozen desserts; and a 1 peso/liter (~10%) tax on sugar-sweetened beverages.To date, there has been very limited research as to how larger health-related food/beverage taxes change household food purchases, or whether low socioeconomic status (SES) households are more responsive to such taxes.\n\nWhat Did the Researchers Do and Find?\nUsing a dataset that follows household food purchases over time, we examined whether the volume of taxed foods showed greater declines in the post-tax period than we would have expected based on trends in the volume of taxed food purchases prior to the tax. We also examined whether post-tax changes in the volume of taxed food purchases was greater among low SES households.We found that the mean volume of purchases of taxed foods in 2014 declined by 25 g per capita per month, or a 5.1% change beyond what would have been expected based on pre-tax (2012–2013) trends.There were no changes in the purchase of untaxed foods in the post-tax period.Low SES households’ purchases of taxed foods declined by 10.2% and medium SES households by 5.8%, whereas high SES did not change.\n\nWhat Do These Findings Mean?\nThese findings show that in the post-tax period, purchases of taxed foods declined more than we would expect if pre-tax trends had simply continued, particularly among low and medium SES households. Future research should explore how these shifts are linked to changes in the nutritional quality of the overall diet.","container-title":"PLoS Medicine","DOI":"10.1371/journal.pmed.1002057","ISSN":"1549-1277","issue":"7","journalAbbreviation":"PLoS Med","note":"PMID: 27379797\nPMCID: PMC4933356","source":"PubMed Central","title":"First-Year Evaluation of Mexico’s Tax on Nonessential Energy-Dense Foods: An Observational Study","title-short":"First-Year Evaluation of Mexico’s Tax on Nonessential Energy-Dense Foods","URL":"https://www.ncbi.nlm.nih.gov/pmc/articles/PMC4933356/","volume":"13","author":[{"family":"Batis","given":"Carolina"},{"family":"Rivera","given":"Juan A."},{"family":"Popkin","given":"Barry M."},{"family":"Taillie","given":"Lindsey Smith"}],"issued":{"date-parts":[["2016",7,5]]}}},{"id":818,"uris":["http://zotero.org/users/1356132/items/E7MT5GU3"],"uri":["http://zotero.org/users/1356132/items/E7MT5GU3"],"itemData":{"id":818,"type":"article-journal","abstract":"Mexico implemented a 1 peso per liter excise tax on sugar-sweetened beverages on January 1, 2014, and a previous study found a 6 percent reduction in purchases of taxed beverages in 2014. In this study we estimated changes in beverage purchases for 2014 and 2015. We used store purchase data for 6,645 households from January 2012 to December 2015. Changes in purchases of taxed and untaxed beverages in the study period were estimated using two models, which compared 2014 and 2015 purchases with predicted (counterfactual) purchases based on trends in 2012–13. Purchases of taxed beverages decreased 5.5 percent in 2014 and 9.7 percent in 2015, yielding an average reduction of 7.6 percent over the study period. Households at the lowest socioeconomic level had the largest decreases in purchases of taxed beverages in both years. Purchases of untaxed beverage increased 2.1 percent in the study period. Findings from Mexico may encourage other countries to use fiscal policies to reduce consumption of unhealthy beverages along with other interventions to reduce the burden of chronic disease.","container-title":"Health Affairs","DOI":"10.1377/hlthaff.2016.1231","ISSN":"0278-2715","issue":"3","journalAbbreviation":"Health Affairs","page":"564-571","source":"healthaffairs.org (Atypon)","title":"In Mexico, Evidence Of Sustained Consumer Response Two Years After Implementing A Sugar-Sweetened Beverage Tax","volume":"36","author":[{"family":"Colchero","given":"M. Arantxa"},{"family":"Rivera-Dommarco","given":"Juan"},{"family":"Popkin","given":"Barry M."},{"family":"Ng","given":"Shu Wen"}],"issued":{"date-parts":[["2017",3,1]]}}},{"id":817,"uris":["http://zotero.org/users/1356132/items/Q9L2MNX3"],"uri":["http://zotero.org/users/1356132/items/Q9L2MNX3"],"itemData":{"id":817,"type":"legislation","container-title":"Code général des impôts","title":"Code général des impôts - Article 1613 ter","volume":"1613 ter","accessed":{"date-parts":[["2018",9,21]]}}},{"id":98,"uris":["http://zotero.org/users/1356132/items/CW76J6NN"],"uri":["http://zotero.org/users/1356132/items/CW76J6NN"],"itemData":{"id":98,"type":"webpage","abstract":"Taking action on childhood obesity report","container-title":"WHO","title":"Taking action on childhood obesity report","URL":"http://www.who.int/end-childhood-obesity/publications/taking-action-childhood-obesity-report/en/","author":[{"literal":"World Health Organisation"}],"accessed":{"date-parts":[["2019",4,17]]}}}],"schema":"https://github.com/citation-style-language/schema/raw/master/csl-citation.json"} </w:instrText>
      </w:r>
      <w:r w:rsidR="001812C3" w:rsidRPr="002C72FD">
        <w:fldChar w:fldCharType="separate"/>
      </w:r>
      <w:r w:rsidR="000F67B3" w:rsidRPr="002C72FD">
        <w:t>[8–14]</w:t>
      </w:r>
      <w:r w:rsidR="001812C3" w:rsidRPr="002C72FD">
        <w:fldChar w:fldCharType="end"/>
      </w:r>
      <w:r w:rsidR="00B01F0F">
        <w:t>.</w:t>
      </w:r>
      <w:r w:rsidR="00FE460B">
        <w:t xml:space="preserve"> </w:t>
      </w:r>
      <w:r w:rsidR="004E5173" w:rsidRPr="002C72FD">
        <w:t>A</w:t>
      </w:r>
      <w:r w:rsidR="002C3CE1" w:rsidRPr="002C72FD">
        <w:t>lthough the long</w:t>
      </w:r>
      <w:r w:rsidR="007217B8" w:rsidRPr="002C72FD">
        <w:t>er</w:t>
      </w:r>
      <w:r w:rsidR="002C3CE1" w:rsidRPr="002C72FD">
        <w:t xml:space="preserve"> term impacts of these taxes upon obesity rates </w:t>
      </w:r>
      <w:r w:rsidR="00070086" w:rsidRPr="002C72FD">
        <w:t xml:space="preserve">are </w:t>
      </w:r>
      <w:r w:rsidR="002C3CE1" w:rsidRPr="002C72FD">
        <w:t xml:space="preserve">yet to be observed, short and medium term investigations have reported a drop in </w:t>
      </w:r>
      <w:r w:rsidR="00414C19" w:rsidRPr="002C72FD">
        <w:t xml:space="preserve">both </w:t>
      </w:r>
      <w:r w:rsidR="002C3CE1" w:rsidRPr="002C72FD">
        <w:t xml:space="preserve">SSB </w:t>
      </w:r>
      <w:r w:rsidR="00712BE6" w:rsidRPr="002C72FD">
        <w:t xml:space="preserve">purchasing and </w:t>
      </w:r>
      <w:r w:rsidR="002C3CE1" w:rsidRPr="002C72FD">
        <w:t>consumption</w:t>
      </w:r>
      <w:r w:rsidR="00B01F0F">
        <w:t xml:space="preserve"> </w:t>
      </w:r>
      <w:r w:rsidR="00A86226" w:rsidRPr="00C57E3C">
        <w:rPr>
          <w:rFonts w:ascii="Calibri" w:hAnsi="Calibri"/>
        </w:rPr>
        <w:fldChar w:fldCharType="begin"/>
      </w:r>
      <w:r w:rsidR="006C4B25">
        <w:rPr>
          <w:rFonts w:ascii="Calibri" w:hAnsi="Calibri"/>
        </w:rPr>
        <w:instrText xml:space="preserve"> ADDIN ZOTERO_ITEM CSL_CITATION {"citationID":"9f5AundV","properties":{"formattedCitation":"[10], [12], [15]\\uc0\\u8211{}[17]","plainCitation":"[10], [12], [15]–[17]","dontUpdate":true,"noteIndex":0},"citationItems":[{"id":815,"uris":["http://zotero.org/users/1356132/items/DALF8RSG"],"uri":["http://zotero.org/users/1356132/items/DALF8RSG"],"itemData":{"id":815,"type":"article-journal","abstract":"Objectives. To evaluate the impact of the excise tax on sugar-sweetened beverage (SSB) consumption in Berkeley, California, which became the first US jurisdiction to implement such a tax ($0.01/oz) in March 2015.Methods. We used a repeated cross-sectional design to examine changes in pre- to posttax beverage consumption in low-income neighborhoods in Berkeley versus in the comparison cities of Oakland and San Francisco, California. A beverage frequency questionnaire was interviewer administered to 990 participants before the tax and 1689 after the tax (approximately 8 months after the vote and 4 months after implementation) to examine relative changes in consumption.Results. Consumption of SSBs decreased 21% in Berkeley and increased 4% in comparison cities (P = .046). Water consumption increased more in Berkeley (+63%) than in comparison cities (+19%; P &lt; .01).Conclusions. Berkeley’s excise tax reduced SSB consumption in low-income neighborhoods. Evaluating SSB taxes in other cities will improve understanding of their public health benefit and their generalizability.","container-title":"American Journal of Public Health","DOI":"10.2105/AJPH.2016.303362","ISSN":"0090-0036","issue":"10","journalAbbreviation":"Am J Public Health","page":"1865-1871","source":"ajph.aphapublications.org (Atypon)","title":"Impact of the Berkeley Excise Tax on Sugar-Sweetened Beverage Consumption","volume":"106","author":[{"family":"Falbe","given":"Jennifer"},{"family":"Thompson","given":"Hannah R."},{"family":"Becker","given":"Christina M."},{"family":"Rojas","given":"Nadia"},{"family":"McCulloch","given":"Charles E."},{"family":"Madsen","given":"Kristine A."}],"issued":{"date-parts":[["2016",8,23]]}}},{"id":818,"uris":["http://zotero.org/users/1356132/items/E7MT5GU3"],"uri":["http://zotero.org/users/1356132/items/E7MT5GU3"],"itemData":{"id":818,"type":"article-journal","abstract":"Mexico implemented a 1 peso per liter excise tax on sugar-sweetened beverages on January 1, 2014, and a previous study found a 6 percent reduction in purchases of taxed beverages in 2014. In this study we estimated changes in beverage purchases for 2014 and 2015. We used store purchase data for 6,645 households from January 2012 to December 2015. Changes in purchases of taxed and untaxed beverages in the study period were estimated using two models, which compared 2014 and 2015 purchases with predicted (counterfactual) purchases based on trends in 2012–13. Purchases of taxed beverages decreased 5.5 percent in 2014 and 9.7 percent in 2015, yielding an average reduction of 7.6 percent over the study period. Households at the lowest socioeconomic level had the largest decreases in purchases of taxed beverages in both years. Purchases of untaxed beverage increased 2.1 percent in the study period. Findings from Mexico may encourage other countries to use fiscal policies to reduce consumption of unhealthy beverages along with other interventions to reduce the burden of chronic disease.","container-title":"Health Affairs","DOI":"10.1377/hlthaff.2016.1231","ISSN":"0278-2715","issue":"3","journalAbbreviation":"Health Affairs","page":"564-571","source":"healthaffairs.org (Atypon)","title":"In Mexico, Evidence Of Sustained Consumer Response Two Years After Implementing A Sugar-Sweetened Beverage Tax","volume":"36","author":[{"family":"Colchero","given":"M. Arantxa"},{"family":"Rivera-Dommarco","given":"Juan"},{"family":"Popkin","given":"Barry M."},{"family":"Ng","given":"Shu Wen"}],"issued":{"date-parts":[["2017",3,1]]}}},{"id":802,"uris":["http://zotero.org/users/1356132/items/7L5GNCXZ"],"uri":["http://zotero.org/users/1356132/items/7L5GNCXZ"],"itemData":{"id":802,"type":"article-journal","abstract":"Background Taxes on sugar-sweetened beverages (SSBs) meant to improve health and raise revenue are being adopted, yet evaluation is scarce. This study examines the association of the first penny per ounce SSB excise tax in the United States, in Berkeley, California, with beverage prices, sales, store revenue/consumer spending, and usual beverage intake. Methods and findings Methods included comparison of pre-taxation (before 1 January 2015) and first-year post-taxation (1 March 2015–29 February 2016) measures of (1) beverage prices at 26 Berkeley stores; (2) point-of-sale scanner data on 15.5 million checkouts for beverage prices, sales, and store revenue for two supermarket chains covering three Berkeley and six control non-Berkeley large supermarkets in adjacent cities; and (3) a representative telephone survey (17.4% cooperation rate) of 957 adult Berkeley residents. Key hypotheses were that (1) the tax would be passed through to the prices of taxed beverages among the chain stores in which Berkeley implemented the tax in 2015; (2) sales of taxed beverages would decline, and sales of untaxed beverages would rise, in Berkeley stores more than in comparison non-Berkeley stores; (3) consumer spending per transaction (checkout episode) would not increase in Berkeley stores; and (4) self-reported consumption of taxed beverages would decline. Main outcomes and measures included changes in inflation-adjusted prices (cents/ounce), beverage sales (ounces), consumers’ spending measured as store revenue (inflation-adjusted dollars per transaction) in two large chains, and usual beverage intake (grams/day and kilocalories/day). Tax pass-through (changes in the price after imposition of the tax) for SSBs varied in degree and timing by store type and beverage type. Pass-through was complete in large chain supermarkets (+1.07¢/oz, p = 0.001) and small chain supermarkets and chain gas stations (1.31¢/oz, p = 0.004), partial in pharmacies (+0.45¢/oz, p = 0.03), and negative in independent corner stores and independent gas stations (−0.64¢/oz, p = 0.004). Sales-unweighted mean price change from scanner data was +0.67¢/oz (p = 0.00) (sales-weighted, +0.65¢/oz, p = 0.003), with +1.09¢/oz (p &lt; 0.001) for sodas and energy drinks, but a lower change in other categories. Post-tax year 1 scanner data SSB sales (ounces/transaction) in Berkeley stores declined 9.6% (p &lt; 0.001) compared to estimates if the tax were not in place, but rose 6.9% (p &lt; 0.001) for non-Berkeley stores. Sales of untaxed beverages in Berkeley stores rose by 3.5% versus 0.5% (both p &lt; 0.001) for non-Berkeley stores. Overall beverage sales also rose across stores. In Berkeley, sales of water rose by 15.6% (p &lt; 0.001) (exceeding the decline in SSB sales in ounces); untaxed fruit, vegetable, and tea drinks, by 4.37% (p &lt; 0.001); and plain milk, by 0.63% (p = 0.01). Scanner data mean store revenue/consumer spending (dollars per transaction) fell 18¢ less in Berkeley (−$0.36, p &lt; 0.001) than in comparison stores (−$0.54, p &lt; 0.001). Baseline and post-tax Berkeley SSB sales and usual dietary intake were markedly low compared to national levels (at baseline, National Health and Nutrition Examination Survey SSB intake nationally was 131 kcal/d and in Berkeley was 45 kcal/d). Reductions in self-reported mean daily SSB intake in grams (−19.8%, p = 0.49) and in mean per capita SSB caloric intake (−13.3%, p = 0.56) from baseline to post-tax were not statistically significant. Limitations of the study include inability to establish causal links due to observational design, and the absence of health outcomes. Analysis of consumption was limited by the small effect size in relation to high standard error and Berkeley’s low baseline consumption. Conclusions One year following implementation of the nation’s first large SSB tax, prices of SSBs increased in many, but not all, settings, SSB sales declined, and sales of untaxed beverages (especially water) and overall study beverages rose in Berkeley; overall consumer spending per transaction in the stores studied did not rise. Price increases for SSBs in two distinct data sources, their timing, and the patterns of change in taxed and untaxed beverage sales suggest that the observed changes may be attributable to the tax. Post-tax self-reported SSB intake did not change significantly compared to baseline. Significant declines in SSB sales, even in this relatively affluent community, accompanied by revenue used for prevention suggest promise for this policy. Evaluation of taxation in jurisdictions with more typical SSB consumption, with controls, is needed to assess broader dietary and potential health impacts.","container-title":"PLOS Medicine","DOI":"10.1371/journal.pmed.1002283","ISSN":"1549-1676","issue":"4","journalAbbreviation":"PLOS Medicine","language":"en","page":"e1002283","source":"PLoS Journals","title":"Changes in prices, sales, consumer spending, and beverage consumption one year after a tax on sugar-sweetened beverages in Berkeley, California, US: A before-and-after study","title-short":"Changes in prices, sales, consumer spending, and beverage consumption one year after a tax on sugar-sweetened beverages in Berkeley, California, US","volume":"14","author":[{"family":"Silver","given":"Lynn D."},{"family":"Ng","given":"Shu Wen"},{"family":"Ryan-Ibarra","given":"Suzanne"},{"family":"Taillie","given":"Lindsey Smith"},{"family":"Induni","given":"Marta"},{"family":"Miles","given":"Donna R."},{"family":"Poti","given":"Jennifer M."},{"family":"Popkin","given":"Barry M."}],"issued":{"date-parts":[["2017",4,18]]}}},{"id":819,"uris":["http://zotero.org/users/1356132/items/EHY3TZHW"],"uri":["http://zotero.org/users/1356132/items/EHY3TZHW"],"itemData":{"id":819,"type":"article-journal","abstract":"&lt;p&gt;&lt;b&gt;Study question&lt;/b&gt;&amp;nbsp;What has been the effect on purchases of beverages from stores in Mexico one year after implementation of the excise tax on sugar sweetened beverages?&lt;/p&gt;&lt;p&gt;&lt;b&gt;Methods&lt;/b&gt;&amp;nbsp;In this observational study the authors used data on the purchase of beverages in Mexico from January 2012 to December 2014 from an unbalanced panel of 6253 households providing 205 112 observations in 53 cities with more than 50 000 inhabitants. To test whether the post-tax trend in purchases was significantly different from the pretax trend, the authors used a difference in difference fixed effects model, which adjusts for both macroeconomic variables that can affect the purchase of beverages over time, and pre-existing trends. The variables used in the analysis included demographic information on household composition (age and sex of household members) and socioeconomic status (low, middle, and high). The authors compared the predicted volumes (mL/capita/day) of taxed and untaxed beverages purchased in 2014—the observed post-tax period—with the estimated volumes that would have been purchased if the tax had not been implemented (counterfactual) based on pretax trends. &lt;/p&gt;&lt;p&gt;&lt;b&gt;Study answer and limitations&lt;/b&gt;&amp;nbsp;Relative to the counterfactual in 2014, purchases of taxed beverages decreased by an average of 6% (−12 mL/capita/day), and decreased at an increasing rate up to a 12% decline by December 2014. All three socioeconomic groups reduced purchases of taxed beverages, but reductions were higher among the households of low socioeconomic status, averaging a 9% decline during 2014, and up to a 17% decrease by December 2014 compared with pretax trends. Purchases of untaxed beverages were 4% (36 mL/capita/day) higher than the counterfactual, mainly driven by an increase in purchases of bottled plain water.&lt;/p&gt;&lt;p&gt;&lt;b&gt;What this study adds&lt;/b&gt;&amp;nbsp;The tax on sugar sweetened beverages was associated with reductions in purchases of taxed beverages and increases in purchases of untaxed beverages. Continued monitoring is needed to understand purchases longer term, potential substitutions, and health implications.&lt;/p&gt;&lt;p&gt;&lt;b&gt;Funding, competing interests, data sharing&lt;/b&gt;&amp;nbsp;This work was supported by grants from Bloomberg Philanthropies and the Robert Wood Johnson Foundation and by the Instituto Nacional de Salud Pública and the Carolina Population Center. The authors have no competing interests. No additional data are available.&lt;/p&gt;","container-title":"BMJ","DOI":"10.1136/bmj.h6704","ISSN":"1756-1833","journalAbbreviation":"BMJ","language":"en","note":"PMID: 26738745","page":"h6704","source":"www.bmj.com","title":"Beverage purchases from stores in Mexico under the excise tax on sugar sweetened beverages: observational study","title-short":"Beverage purchases from stores in Mexico under the excise tax on sugar sweetened beverages","volume":"352","author":[{"family":"Colchero","given":"M. Arantxa"},{"family":"Popkin","given":"Barry M."},{"family":"Rivera","given":"Juan A."},{"family":"Ng","given":"Shu Wen"}],"issued":{"date-parts":[["2016",1,6]]}}},{"id":62,"uris":["http://zotero.org/users/1356132/items/6R6P86MN"],"uri":["http://zotero.org/users/1356132/items/6R6P86MN"],"itemData":{"id":62,"type":"article-journal","abstract":"The aim was to conduct a systematic review of real-world sugar-sweetened beverage (SSB) tax evaluations and examine the overall impact on beverage purchases and dietary intake by meta-analysis. Medline, EconLit, Google Scholar, and Scopus databases were searched up to June 2018. SSB tax evaluations from any formal jurisdiction from cities to national governments were eligible if there was a comparison between pre–post tax (n = 11) or taxed and untaxed jurisdiction(s) (n = 6). The consumption outcome comprised sales, purchasing, and intake (reported by volume, energy, or frequency). Taxed and untaxed beverage consumption outcomes were examined separately by meta-analysis with adjustment for the size of each tax. The study was registered at PROSPERO (CRD42018100620). The equivalent of a 10% SSB tax was associated with an average decline in beverage purchases and dietary intake of 10.0% (95% CI: −5.0% to −14.7%, n = 17 studies, 6 jurisdictions) with considerable heterogeneity between results (I2 = 97%).The equivalent of a 10% SSB tax was also associated with a nonsignificant 1.9% increase in total untaxed beverage consumption (eg, water) (95% CI: −2.1% to 6.1%, n = 6 studies, 4 jurisdictions). Based on real-world evaluations, SSB taxes introduced in jurisdictions around the world appear to have been effective in reducing SSB purchases and dietary intake.","container-title":"Obesity Reviews","DOI":"10.1111/obr.12868","ISSN":"1467-789X","issue":"9","language":"en","page":"1187-1204","source":"Wiley Online Library","title":"Impact of sugar-sweetened beverage taxes on purchases and dietary intake: Systematic review and meta-analysis","title-short":"Impact of sugar-sweetened beverage taxes on purchases and dietary intake","volume":"20","author":[{"family":"Teng","given":"Andrea M."},{"family":"Jones","given":"Amanda C."},{"family":"Mizdrak","given":"Anja"},{"family":"Signal","given":"Louise"},{"family":"Genç","given":"Murat"},{"family":"Wilson","given":"Nick"}],"issued":{"date-parts":[["2019"]]}}}],"schema":"https://github.com/citation-style-language/schema/raw/master/csl-citation.json"} </w:instrText>
      </w:r>
      <w:r w:rsidR="00A86226" w:rsidRPr="00C57E3C">
        <w:rPr>
          <w:rFonts w:ascii="Calibri" w:hAnsi="Calibri"/>
        </w:rPr>
        <w:fldChar w:fldCharType="separate"/>
      </w:r>
      <w:r w:rsidR="00CF0A03" w:rsidRPr="00C57E3C">
        <w:rPr>
          <w:rFonts w:ascii="Calibri" w:hAnsi="Calibri" w:cs="Calibri"/>
          <w:szCs w:val="24"/>
        </w:rPr>
        <w:t>[10,12,15–17]</w:t>
      </w:r>
      <w:r w:rsidR="00A86226" w:rsidRPr="00C57E3C">
        <w:rPr>
          <w:rFonts w:ascii="Calibri" w:hAnsi="Calibri"/>
        </w:rPr>
        <w:fldChar w:fldCharType="end"/>
      </w:r>
      <w:r w:rsidR="00B01F0F" w:rsidRPr="00C57E3C">
        <w:rPr>
          <w:rFonts w:ascii="Calibri" w:hAnsi="Calibri"/>
        </w:rPr>
        <w:t>.</w:t>
      </w:r>
      <w:r w:rsidR="002C3CE1" w:rsidRPr="002C72FD">
        <w:t xml:space="preserve"> </w:t>
      </w:r>
      <w:r w:rsidR="007E0A9F">
        <w:t>M</w:t>
      </w:r>
      <w:r w:rsidR="00695EBF">
        <w:t>any of these taxes generate a</w:t>
      </w:r>
      <w:r w:rsidR="007E0A9F">
        <w:t>n</w:t>
      </w:r>
      <w:r w:rsidR="00695EBF">
        <w:t xml:space="preserve"> </w:t>
      </w:r>
      <w:r w:rsidR="007E0A9F">
        <w:t xml:space="preserve">associated increase in </w:t>
      </w:r>
      <w:r w:rsidR="00053BC6">
        <w:t xml:space="preserve">the </w:t>
      </w:r>
      <w:r w:rsidR="007E0A9F">
        <w:t>price of SSBs</w:t>
      </w:r>
      <w:r w:rsidR="00B01F0F">
        <w:t xml:space="preserve"> </w:t>
      </w:r>
      <w:r w:rsidR="006220F4" w:rsidRPr="002C72FD">
        <w:fldChar w:fldCharType="begin"/>
      </w:r>
      <w:r w:rsidR="006C4B25">
        <w:instrText xml:space="preserve"> ADDIN ZOTERO_ITEM CSL_CITATION {"citationID":"zMVuu4d3","properties":{"formattedCitation":"[9], [18], [19]","plainCitation":"[9], [18], [19]","dontUpdate":true,"noteIndex":0},"citationItems":[{"id":949,"uris":["http://zotero.org/users/1356132/items/TPIN72IX"],"uri":["http://zotero.org/users/1356132/items/TPIN72IX"],"itemData":{"id":949,"type":"article-journal","abstract":"A 10% excise tax on sugar sweetened beverages (SSBs) was implemented in Barbados in September 2015. A national evaluation has been established to assess the impact of the tax. We present a descriptive analysis of initial price changes following implementation of the SSB tax using price data provided by a major supermarket chain in Barbados over the period 2014–2016. We summarize trends in price changes for SSBs and non-SSBs before and after the tax using year-on-year mean price per liter. We find that prior to the tax, the year-on-year growth of SSB and non-SSB prices was very similar (approximately 1%). During the quarter in which the tax was implemented, the trends diverged, with SSB price growth increasing to 3% and that of non-SSBs decreasing slightly. The growth of SSB prices outpaced non-SSBs prices in each quarter thereafter, reaching 5.9% compared to &lt;1% for non-SSBs. Future analyses will assess the trends in prices of SSBs and non-SSBs over a longer period and will integrate price data from additional sources to assess heterogeneity of post-tax price changes. A continued examination of the impact of the SSB tax in Barbados will expand the evidence base available to policymakers worldwide in considering SSB taxes as a lever for reducing the consumption of added sugar at the population level.","collection-title":"Supplement: Noncommunicable Disease Risk Factors in Developing Countries: Policy Perspectives","container-title":"Preventive Medicine","DOI":"10.1016/j.ypmed.2017.07.013","ISSN":"0091-7435","issue":"Supplement","journalAbbreviation":"Preventive Medicine","page":"S23-S25","source":"ScienceDirect","title":"Trends in beverage prices following the introduction of a tax on sugar-sweetened beverages in Barbados","volume":"105","author":[{"family":"Alvarado","given":"Miriam"},{"family":"Kostova","given":"Deliana"},{"family":"Suhrcke","given":"Marc"},{"family":"Hambleton","given":"Ian"},{"family":"Hassell","given":"Trevor"},{"family":"Samuels","given":"T. Alafia"},{"family":"Adams","given":"Jean"},{"family":"Unwin","given":"Nigel"}],"issued":{"date-parts":[["2017",12,1]]}}},{"id":816,"uris":["http://zotero.org/users/1356132/items/HGFKVUPU"],"uri":["http://zotero.org/users/1356132/items/HGFKVUPU"],"itemData":{"id":816,"type":"article-journal","abstract":"Objectives. We assessed the short-term ability to increase retail prices of the first US 1-cent-per-ounce excise tax on the distribution of sugar-sweetened beverages (SSBs), which was implemented in March 2015 by Berkeley, California.Methods. In 2014 and 2015, we examined pre- to posttax price changes of SSBs and non-SSBs in a variety of retailers in Berkeley and in the comparison cities Oakland and San Francisco, California. We examined price changes by beverage, brand, size, and retailer type.Results. For smaller beverages (≤ 33.8 oz), price increases (cents/oz) in Berkeley relative to those in comparison cities were 0.69 (95% confidence interval [CI] = 0.36, 1.03) for soda, 0.47 (95% CI = 0.08, 0.87) for fruit-flavored beverages, and 0.47 (95% CI = 0.25, 0.69) for SSBs overall. For 2-liter bottles and multipacks of soda, relative price increases were 0.46 (95% CI = 0.03, 0.89) and 0.49 (95% CI = 0.21, 0.77). We observed no relative price increases for nontaxed beverages overall.Conclusions. Approximately 3 months after the tax was implemented, SSB retail prices increased more in Berkeley than in nearby cities, marking a step in the causal pathway between the tax and reduced SSB consumption.","container-title":"American Journal of Public Health","DOI":"10.2105/AJPH.2015.302881","ISSN":"0090-0036","issue":"11","journalAbbreviation":"Am J Public Health","page":"2194-2201","source":"ajph.aphapublications.org (Atypon)","title":"Higher Retail Prices of Sugar-Sweetened Beverages 3 Months After Implementation of an Excise Tax in Berkeley, California","volume":"105","author":[{"family":"Falbe","given":"Jennifer"},{"family":"Rojas","given":"Nadia"},{"family":"Grummon","given":"Anna H."},{"family":"Madsen","given":"Kristine A."}],"issued":{"date-parts":[["2015",10,7]]}}},{"id":100,"uris":["http://zotero.org/users/1356132/items/I7TZQEU9"],"uri":["http://zotero.org/users/1356132/items/I7TZQEU9"],"itemData":{"id":100,"type":"article-journal","abstract":"This study estimates how much the 1.5¢-per-ounce tax on sugar-sweetened beverages in Philadelphia raised retail prices of soft drinks at the Philadelphia International Airport 1 month after implementation.","container-title":"JAMA","DOI":"10.1001/jama.2017.16903","ISSN":"0098-7484","issue":"3","journalAbbreviation":"JAMA","language":"en","page":"305-306","source":"jamanetwork.com","title":"Pass-Through of a Tax on Sugar-Sweetened Beverages at the Philadelphia International Airport","volume":"319","author":[{"family":"Cawley","given":"John"},{"family":"Willage","given":"Barton"},{"family":"Frisvold","given":"David"}],"issued":{"date-parts":[["2018",1,16]]}}}],"schema":"https://github.com/citation-style-language/schema/raw/master/csl-citation.json"} </w:instrText>
      </w:r>
      <w:r w:rsidR="006220F4" w:rsidRPr="002C72FD">
        <w:fldChar w:fldCharType="separate"/>
      </w:r>
      <w:r w:rsidR="00CF0A03" w:rsidRPr="00C57E3C">
        <w:rPr>
          <w:rFonts w:ascii="Calibri" w:hAnsi="Calibri" w:cs="Calibri"/>
        </w:rPr>
        <w:t>[9,18,19]</w:t>
      </w:r>
      <w:r w:rsidR="006220F4" w:rsidRPr="002C72FD">
        <w:fldChar w:fldCharType="end"/>
      </w:r>
      <w:r w:rsidR="00B01F0F">
        <w:t>,</w:t>
      </w:r>
      <w:r w:rsidR="007E0A9F">
        <w:t xml:space="preserve"> which may be responsible for impact</w:t>
      </w:r>
      <w:r w:rsidR="00FE460B">
        <w:t xml:space="preserve">s on </w:t>
      </w:r>
      <w:r w:rsidR="00FE460B">
        <w:lastRenderedPageBreak/>
        <w:t>purchasing and consumption</w:t>
      </w:r>
      <w:r w:rsidR="007E0A9F">
        <w:t xml:space="preserve">. However, </w:t>
      </w:r>
      <w:r w:rsidR="00FE460B">
        <w:t>there may also be</w:t>
      </w:r>
      <w:r w:rsidR="00FD3614">
        <w:t xml:space="preserve"> other mechanisms </w:t>
      </w:r>
      <w:r w:rsidR="00FE460B">
        <w:t xml:space="preserve">of effect, </w:t>
      </w:r>
      <w:r w:rsidR="00414C19" w:rsidRPr="002C72FD">
        <w:t xml:space="preserve">including signalling of the health risks associated with SSBs, changes in social norms, </w:t>
      </w:r>
      <w:r w:rsidR="00B52A4E" w:rsidRPr="002C72FD">
        <w:t xml:space="preserve">reduced portion sizes, and </w:t>
      </w:r>
      <w:r w:rsidR="00414C19" w:rsidRPr="002C72FD">
        <w:t xml:space="preserve">reformulation </w:t>
      </w:r>
      <w:r w:rsidR="007E0A9F">
        <w:t>of drinks</w:t>
      </w:r>
      <w:r w:rsidR="00B01F0F">
        <w:t xml:space="preserve"> </w:t>
      </w:r>
      <w:r w:rsidR="00213A6F">
        <w:fldChar w:fldCharType="begin"/>
      </w:r>
      <w:r w:rsidR="006C4B25">
        <w:instrText xml:space="preserve"> ADDIN ZOTERO_ITEM CSL_CITATION {"citationID":"ERWqSPpA","properties":{"formattedCitation":"[20]","plainCitation":"[20]","noteIndex":0},"citationItems":[{"id":76,"uris":["http://zotero.org/users/1356132/items/8E2H2CXH"],"uri":["http://zotero.org/users/1356132/items/8E2H2CXH"],"itemData":{"id":76,"type":"article-journal","abstract":"Objective To evaluate the potential signaling effect of the Mexican tax on sugar-sweetened beverages (SSBs) by analyzing the association between awareness of and opinions about its effectiveness with current consumption of taxed SSBs and with a self-reported change in consumption of SSBs since the implementation of the tax. We also examined the association between psychosocial and environmental determinants of SSB consumption with current consumption of taxed SSBs and with a reported change in consumption of SSBs. Methods Cross-sectional analyses of survey and food-frequency questionnaire data from the Mexican National Health and Nutrition Survey 2016. Participants were Mexican adults (20–59 years, N = 6,650). Logistic regression was used to evaluate the probability of a person reporting a decrease in SSB consumption, given their awareness of the tax, opinion about its effectiveness, psychosocial (SSB health-related beliefs, self-efficacy, and liking of SSBs) and environmental (availability of potable water) determinants. Multiple linear regression analysis was utilized to examine the association between the aforementioned factors and current consumption of taxed SSBs. Results Compared with adults not aware, adults who were aware of the SSB tax were more likely (OR = 1.30) to report a decrease in SSB consumption (p = .012). In urban areas, adults aware of the tax drank a significantly lower amount of taxed SSBs (-15.7%; p = .023) than those not aware. Self-efficacy and liking of SSBs were significantly associated with a reported decrease in consumption and with current consumption (p &lt; .001), while health beliefs and availability of potable water were not significantly associated with either reported change in SSB consumption or current consumption of taxed SSBs. Conclusions Implementation of an SSB tax accompanied by highly visible campaigns may further influence the impact of taxes on SSBs consumption. Future public health and nutrition education campaigns designed to increase knowledge and enhance motivation should be complemented by programs to assist individuals develop self-efficacy and self-regulation skills.","container-title":"PLOS ONE","DOI":"10.1371/journal.pone.0199337","ISSN":"1932-6203","issue":"8","journalAbbreviation":"PLOS ONE","language":"en","page":"e0199337","source":"PLoS Journals","title":"Does the Mexican sugar-sweetened beverage tax have a signaling effect? ENSANUT 2016","title-short":"Does the Mexican sugar-sweetened beverage tax have a signaling effect?","volume":"13","author":[{"family":"Álvarez-Sánchez","given":"Cristina"},{"family":"Contento","given":"Isobel"},{"family":"Jiménez-Aguilar","given":"Alejandra"},{"family":"Koch","given":"Pamela"},{"family":"Gray","given":"Heewon Lee"},{"family":"Guerra","given":"Laura A."},{"family":"Rivera-Dommarco","given":"Juan"},{"family":"Uribe-Carvajal","given":"Rebeca"},{"family":"Shamah-Levy","given":"Teresa"}],"issued":{"date-parts":[["2018",8,22]]}}}],"schema":"https://github.com/citation-style-language/schema/raw/master/csl-citation.json"} </w:instrText>
      </w:r>
      <w:r w:rsidR="00213A6F">
        <w:fldChar w:fldCharType="separate"/>
      </w:r>
      <w:r w:rsidR="006C4B25" w:rsidRPr="006C4B25">
        <w:rPr>
          <w:rFonts w:ascii="Calibri" w:hAnsi="Calibri" w:cs="Calibri"/>
        </w:rPr>
        <w:t>[20]</w:t>
      </w:r>
      <w:r w:rsidR="00213A6F">
        <w:fldChar w:fldCharType="end"/>
      </w:r>
      <w:r w:rsidR="00B01F0F">
        <w:t>.</w:t>
      </w:r>
      <w:r w:rsidR="00C9271D">
        <w:t xml:space="preserve"> </w:t>
      </w:r>
      <w:r w:rsidR="00BC3E64">
        <w:t>To date these alternative mechanisms have received less research attention.</w:t>
      </w:r>
    </w:p>
    <w:p w14:paraId="05E37248" w14:textId="5202268F" w:rsidR="00CF145E" w:rsidRDefault="00B07A1C" w:rsidP="00980A3F">
      <w:pPr>
        <w:spacing w:line="480" w:lineRule="auto"/>
        <w:jc w:val="both"/>
      </w:pPr>
      <w:r w:rsidRPr="002C72FD">
        <w:t>O</w:t>
      </w:r>
      <w:r w:rsidR="00176F63" w:rsidRPr="002C72FD">
        <w:t xml:space="preserve">n </w:t>
      </w:r>
      <w:r w:rsidR="00613AAD" w:rsidRPr="002C72FD">
        <w:t>March 16</w:t>
      </w:r>
      <w:r w:rsidR="00613AAD" w:rsidRPr="007E0A9F">
        <w:rPr>
          <w:vertAlign w:val="superscript"/>
        </w:rPr>
        <w:t>th</w:t>
      </w:r>
      <w:r w:rsidR="00176F63" w:rsidRPr="002C72FD">
        <w:t xml:space="preserve"> 2016 the UK </w:t>
      </w:r>
      <w:r w:rsidR="00C9271D">
        <w:t>g</w:t>
      </w:r>
      <w:r w:rsidR="00176F63" w:rsidRPr="002C72FD">
        <w:t>overn</w:t>
      </w:r>
      <w:r w:rsidR="007217B8" w:rsidRPr="002C72FD">
        <w:t xml:space="preserve">ment announced </w:t>
      </w:r>
      <w:r w:rsidR="0002767D" w:rsidRPr="002C72FD">
        <w:t xml:space="preserve">the </w:t>
      </w:r>
      <w:r w:rsidR="006F781E" w:rsidRPr="002C72FD">
        <w:t>Soft</w:t>
      </w:r>
      <w:r w:rsidR="006F781E" w:rsidRPr="00AE38B4">
        <w:t xml:space="preserve"> Drinks Industry Levy </w:t>
      </w:r>
      <w:r w:rsidR="0002767D" w:rsidRPr="00AE38B4">
        <w:t>(SDIL)</w:t>
      </w:r>
      <w:r w:rsidR="004549D1" w:rsidRPr="00AE38B4">
        <w:t>.</w:t>
      </w:r>
      <w:r w:rsidR="001E4879" w:rsidRPr="00AE38B4">
        <w:t xml:space="preserve"> The SDIL</w:t>
      </w:r>
      <w:r w:rsidR="001E4879">
        <w:rPr>
          <w:sz w:val="23"/>
          <w:szCs w:val="23"/>
        </w:rPr>
        <w:t xml:space="preserve"> </w:t>
      </w:r>
      <w:r w:rsidR="001E4879" w:rsidRPr="00AE38B4">
        <w:t>was the first</w:t>
      </w:r>
      <w:r w:rsidR="00FD3614">
        <w:t xml:space="preserve"> SSB</w:t>
      </w:r>
      <w:r w:rsidR="001E4879" w:rsidRPr="00AE38B4">
        <w:t xml:space="preserve"> tax</w:t>
      </w:r>
      <w:r w:rsidR="001E4879">
        <w:t xml:space="preserve"> </w:t>
      </w:r>
      <w:r w:rsidR="00FD3614">
        <w:t xml:space="preserve">explicitly </w:t>
      </w:r>
      <w:r w:rsidR="00414C19">
        <w:t xml:space="preserve">designed to incentivise </w:t>
      </w:r>
      <w:r w:rsidR="004549D1">
        <w:t xml:space="preserve">a reduction in </w:t>
      </w:r>
      <w:r w:rsidR="004549D1" w:rsidRPr="002C72FD">
        <w:rPr>
          <w:sz w:val="23"/>
          <w:szCs w:val="23"/>
        </w:rPr>
        <w:t>the</w:t>
      </w:r>
      <w:r w:rsidR="004549D1">
        <w:t xml:space="preserve"> amount of sugar in SSBs through </w:t>
      </w:r>
      <w:r w:rsidR="00894DBB">
        <w:t>reformulation</w:t>
      </w:r>
      <w:r w:rsidR="00B01F0F">
        <w:t xml:space="preserve"> </w:t>
      </w:r>
      <w:r w:rsidR="002C72FD">
        <w:fldChar w:fldCharType="begin"/>
      </w:r>
      <w:r w:rsidR="006C4B25">
        <w:instrText xml:space="preserve"> ADDIN ZOTERO_ITEM CSL_CITATION {"citationID":"olsZnTvF","properties":{"formattedCitation":"[21]","plainCitation":"[21]","noteIndex":0},"citationItems":[{"id":801,"uris":["http://zotero.org/users/1356132/items/3TEAP79K"],"uri":["http://zotero.org/users/1356132/items/3TEAP79K"],"itemData":{"id":801,"type":"webpage","container-title":"GOV.UK","language":"en","title":"Soft Drinks Industry Levy","URL":"https://www.gov.uk/government/publications/soft-drinks-industry-levy/soft-drinks-industry-levy","author":[{"literal":"HM Revenue &amp; Customs"}],"accessed":{"date-parts":[["2019",1,14]]}}}],"schema":"https://github.com/citation-style-language/schema/raw/master/csl-citation.json"} </w:instrText>
      </w:r>
      <w:r w:rsidR="002C72FD">
        <w:fldChar w:fldCharType="separate"/>
      </w:r>
      <w:r w:rsidR="006C4B25" w:rsidRPr="006C4B25">
        <w:rPr>
          <w:rFonts w:ascii="Calibri" w:hAnsi="Calibri" w:cs="Calibri"/>
        </w:rPr>
        <w:t>[21]</w:t>
      </w:r>
      <w:r w:rsidR="002C72FD">
        <w:fldChar w:fldCharType="end"/>
      </w:r>
      <w:r w:rsidR="00B01F0F">
        <w:t>.</w:t>
      </w:r>
      <w:r w:rsidR="0002767D">
        <w:t xml:space="preserve"> </w:t>
      </w:r>
      <w:r w:rsidR="007E0A9F">
        <w:t xml:space="preserve">This is reflected in the </w:t>
      </w:r>
      <w:r w:rsidR="005A5D42">
        <w:t xml:space="preserve">two </w:t>
      </w:r>
      <w:r w:rsidR="00414C19">
        <w:t xml:space="preserve">levy </w:t>
      </w:r>
      <w:r w:rsidR="005A5D42">
        <w:t>tiers: £0.24</w:t>
      </w:r>
      <w:r w:rsidR="001F1E9A">
        <w:t xml:space="preserve"> per </w:t>
      </w:r>
      <w:r w:rsidR="005A5D42">
        <w:t xml:space="preserve">litre for drinks containing ≥8g </w:t>
      </w:r>
      <w:r w:rsidR="009C1DBD">
        <w:t>total</w:t>
      </w:r>
      <w:r w:rsidR="007E0A9F">
        <w:t xml:space="preserve"> </w:t>
      </w:r>
      <w:r w:rsidR="005A5D42">
        <w:t>sugar</w:t>
      </w:r>
      <w:r w:rsidR="001F1E9A">
        <w:t xml:space="preserve"> per </w:t>
      </w:r>
      <w:r w:rsidR="005A5D42">
        <w:t>100ml</w:t>
      </w:r>
      <w:r w:rsidR="007E0A9F">
        <w:t xml:space="preserve"> and £0.18</w:t>
      </w:r>
      <w:r w:rsidR="001F1E9A">
        <w:t xml:space="preserve"> per </w:t>
      </w:r>
      <w:r w:rsidR="005A5D42">
        <w:t xml:space="preserve">litre for drinks containing ≥5g and &lt;8g </w:t>
      </w:r>
      <w:r w:rsidR="009C1DBD">
        <w:t>total</w:t>
      </w:r>
      <w:r w:rsidR="007E0A9F">
        <w:t xml:space="preserve"> sugar</w:t>
      </w:r>
      <w:r w:rsidR="001F1E9A">
        <w:t xml:space="preserve"> per </w:t>
      </w:r>
      <w:r w:rsidR="005A5D42">
        <w:t>100ml</w:t>
      </w:r>
      <w:r w:rsidR="007E0A9F">
        <w:t xml:space="preserve">. Drinks </w:t>
      </w:r>
      <w:r w:rsidR="004806FD">
        <w:t>c</w:t>
      </w:r>
      <w:r w:rsidR="007E0A9F">
        <w:t xml:space="preserve">ontaining </w:t>
      </w:r>
      <w:r w:rsidR="00733AC3">
        <w:t>&lt;</w:t>
      </w:r>
      <w:r w:rsidR="007E0A9F">
        <w:t xml:space="preserve">5g </w:t>
      </w:r>
      <w:r w:rsidR="009C1DBD">
        <w:t>total</w:t>
      </w:r>
      <w:r w:rsidR="00733AC3">
        <w:t xml:space="preserve"> </w:t>
      </w:r>
      <w:r w:rsidR="007E0A9F">
        <w:t>sugar</w:t>
      </w:r>
      <w:r w:rsidR="001F1E9A">
        <w:t xml:space="preserve"> per </w:t>
      </w:r>
      <w:r w:rsidR="004806FD">
        <w:t>100ml</w:t>
      </w:r>
      <w:r w:rsidR="007E0A9F">
        <w:t xml:space="preserve"> are not taxed</w:t>
      </w:r>
      <w:r w:rsidR="005A5D42">
        <w:t>.</w:t>
      </w:r>
      <w:r w:rsidR="00AD474D">
        <w:t xml:space="preserve"> </w:t>
      </w:r>
      <w:r w:rsidR="004976B1">
        <w:t>D</w:t>
      </w:r>
      <w:r w:rsidR="00D02C48">
        <w:t xml:space="preserve">rinks containing at least 75% milk or milk alternatives, </w:t>
      </w:r>
      <w:r w:rsidR="00733AC3">
        <w:t>low and no alcohol drinks marketed as direct replacements for alcoholic drinks with &lt;1.2% alcohol by volume</w:t>
      </w:r>
      <w:r w:rsidR="00D02C48">
        <w:t>, no added sugar fruit juice, drinks sold as powder</w:t>
      </w:r>
      <w:r w:rsidR="007E0A9F">
        <w:t>s</w:t>
      </w:r>
      <w:r w:rsidR="00D02C48">
        <w:t xml:space="preserve">, </w:t>
      </w:r>
      <w:r w:rsidR="00733AC3">
        <w:t xml:space="preserve">alcoholic </w:t>
      </w:r>
      <w:r w:rsidR="007E0A9F">
        <w:t>drinks with &gt;1.2% alcohol by volume</w:t>
      </w:r>
      <w:r w:rsidR="00733AC3">
        <w:t>,</w:t>
      </w:r>
      <w:r w:rsidR="00D02C48">
        <w:t xml:space="preserve"> </w:t>
      </w:r>
      <w:r w:rsidR="00733AC3">
        <w:t xml:space="preserve">infant formula, </w:t>
      </w:r>
      <w:r w:rsidR="00D02C48">
        <w:t>and drinks for special medical purposes</w:t>
      </w:r>
      <w:r w:rsidR="004976B1">
        <w:t xml:space="preserve"> are exempt </w:t>
      </w:r>
      <w:r w:rsidR="00733AC3">
        <w:t xml:space="preserve">from the </w:t>
      </w:r>
      <w:r w:rsidR="004976B1">
        <w:t>SDIL irrespective of sugar content</w:t>
      </w:r>
      <w:r w:rsidR="00D02C48">
        <w:t>.</w:t>
      </w:r>
      <w:r w:rsidR="00E86E03">
        <w:t xml:space="preserve"> </w:t>
      </w:r>
      <w:r w:rsidR="007E0A9F">
        <w:t>P</w:t>
      </w:r>
      <w:r w:rsidR="00E86E03">
        <w:t xml:space="preserve">roducts from small manufacturers and producers with </w:t>
      </w:r>
      <w:r w:rsidR="00FE460B">
        <w:t xml:space="preserve">annual </w:t>
      </w:r>
      <w:r w:rsidR="00E86E03">
        <w:t xml:space="preserve">sales </w:t>
      </w:r>
      <w:r w:rsidR="007E0A9F">
        <w:t xml:space="preserve">of </w:t>
      </w:r>
      <w:r w:rsidR="00733AC3">
        <w:t>&lt;</w:t>
      </w:r>
      <w:r w:rsidR="00E86E03">
        <w:t xml:space="preserve">1M litres of </w:t>
      </w:r>
      <w:r w:rsidR="00C9271D">
        <w:t>liable</w:t>
      </w:r>
      <w:r w:rsidR="00E86E03">
        <w:t xml:space="preserve"> drinks are </w:t>
      </w:r>
      <w:r w:rsidR="007E0A9F">
        <w:t xml:space="preserve">also </w:t>
      </w:r>
      <w:r w:rsidR="00E86E03">
        <w:t>exempt</w:t>
      </w:r>
      <w:r w:rsidR="00B01F0F">
        <w:t xml:space="preserve"> </w:t>
      </w:r>
      <w:r w:rsidR="00300095">
        <w:fldChar w:fldCharType="begin"/>
      </w:r>
      <w:r w:rsidR="006C4B25">
        <w:instrText xml:space="preserve"> ADDIN ZOTERO_ITEM CSL_CITATION {"citationID":"zXKgU5U2","properties":{"formattedCitation":"[22]","plainCitation":"[22]","noteIndex":0},"citationItems":[{"id":821,"uris":["http://zotero.org/users/1356132/items/LEW5TMS3"],"uri":["http://zotero.org/users/1356132/items/LEW5TMS3"],"itemData":{"id":821,"type":"webpage","abstract":"Find out which drinks are liable for the Soft Drinks Industry Levy, and how much you may need to pay.","container-title":"GOV.UK","language":"en","title":"Check if your drink is liable for the Soft Drinks Industry Levy","URL":"https://www.gov.uk/guidance/check-if-your-drink-is-liable-for-the-soft-drinks-industry-levy","author":[{"literal":"HM Revenue &amp; Customs"}],"accessed":{"date-parts":[["2018",9,18]]}}}],"schema":"https://github.com/citation-style-language/schema/raw/master/csl-citation.json"} </w:instrText>
      </w:r>
      <w:r w:rsidR="00300095">
        <w:fldChar w:fldCharType="separate"/>
      </w:r>
      <w:r w:rsidR="006C4B25" w:rsidRPr="006C4B25">
        <w:rPr>
          <w:rFonts w:ascii="Calibri" w:hAnsi="Calibri" w:cs="Calibri"/>
        </w:rPr>
        <w:t>[22]</w:t>
      </w:r>
      <w:r w:rsidR="00300095">
        <w:fldChar w:fldCharType="end"/>
      </w:r>
      <w:r w:rsidR="00B01F0F">
        <w:t>.</w:t>
      </w:r>
      <w:r w:rsidR="00FD3614">
        <w:t xml:space="preserve"> A number of other countries, including Ireland</w:t>
      </w:r>
      <w:r w:rsidR="00B01F0F">
        <w:t xml:space="preserve"> </w:t>
      </w:r>
      <w:r w:rsidR="006D2F29">
        <w:fldChar w:fldCharType="begin"/>
      </w:r>
      <w:r w:rsidR="006C4B25">
        <w:instrText xml:space="preserve"> ADDIN ZOTERO_ITEM CSL_CITATION {"citationID":"5IJ73qfE","properties":{"formattedCitation":"[23]","plainCitation":"[23]","noteIndex":0},"citationItems":[{"id":84,"uris":["http://zotero.org/users/1356132/items/GT9AXJS5"],"uri":["http://zotero.org/users/1356132/items/GT9AXJS5"],"itemData":{"id":84,"type":"report","title":"Sugar-Sweetened Drinks Tax Public Consulation","author":[{"literal":"An Roinn Airgeadais Department of Finance"}],"accessed":{"date-parts":[["2019",12,6]]},"issued":{"date-parts":[["2016",10,11]]}}}],"schema":"https://github.com/citation-style-language/schema/raw/master/csl-citation.json"} </w:instrText>
      </w:r>
      <w:r w:rsidR="006D2F29">
        <w:fldChar w:fldCharType="separate"/>
      </w:r>
      <w:r w:rsidR="006C4B25" w:rsidRPr="006C4B25">
        <w:rPr>
          <w:rFonts w:ascii="Calibri" w:hAnsi="Calibri" w:cs="Calibri"/>
        </w:rPr>
        <w:t>[23]</w:t>
      </w:r>
      <w:r w:rsidR="006D2F29">
        <w:fldChar w:fldCharType="end"/>
      </w:r>
      <w:r w:rsidR="007E0A9F">
        <w:t xml:space="preserve"> </w:t>
      </w:r>
      <w:r w:rsidR="00FD3614">
        <w:t>and South Africa</w:t>
      </w:r>
      <w:r w:rsidR="00B01F0F">
        <w:t xml:space="preserve"> </w:t>
      </w:r>
      <w:r w:rsidR="006D2F29">
        <w:fldChar w:fldCharType="begin"/>
      </w:r>
      <w:r w:rsidR="006C4B25">
        <w:instrText xml:space="preserve"> ADDIN ZOTERO_ITEM CSL_CITATION {"citationID":"zsP6lCjo","properties":{"formattedCitation":"[24]","plainCitation":"[24]","noteIndex":0},"citationItems":[{"id":85,"uris":["http://zotero.org/users/1356132/items/J67TQK27"],"uri":["http://zotero.org/users/1356132/items/J67TQK27"],"itemData":{"id":85,"type":"report","title":"Taxation of sugar sweetened beverages","URL":"http://www.treasury.gov.za/public%20comments/sugar%20sweetened%20beverages/policy%20paper%20and%20proposals%20on%20the%20taxation%20of%20sugar%20sweetened%20beverages-8%20july%202016.pdf","author":[{"literal":"Economics Tax Analysis Chief Directorate"}],"accessed":{"date-parts":[["2019",12,6]]},"issued":{"date-parts":[["2016",7,8]]}}}],"schema":"https://github.com/citation-style-language/schema/raw/master/csl-citation.json"} </w:instrText>
      </w:r>
      <w:r w:rsidR="006D2F29">
        <w:fldChar w:fldCharType="separate"/>
      </w:r>
      <w:r w:rsidR="006C4B25" w:rsidRPr="006C4B25">
        <w:rPr>
          <w:rFonts w:ascii="Calibri" w:hAnsi="Calibri" w:cs="Calibri"/>
        </w:rPr>
        <w:t>[24]</w:t>
      </w:r>
      <w:r w:rsidR="006D2F29">
        <w:fldChar w:fldCharType="end"/>
      </w:r>
      <w:r w:rsidR="00B01F0F">
        <w:t>,</w:t>
      </w:r>
      <w:r w:rsidR="00FD3614">
        <w:t xml:space="preserve"> have </w:t>
      </w:r>
      <w:r w:rsidR="007E0A9F">
        <w:t xml:space="preserve">recently </w:t>
      </w:r>
      <w:r w:rsidR="00FD3614">
        <w:t>introduced similar taxes based on sugar concentration.</w:t>
      </w:r>
    </w:p>
    <w:p w14:paraId="6D0ABB82" w14:textId="23CBFAA3" w:rsidR="00316D23" w:rsidRDefault="00B006F3" w:rsidP="00980A3F">
      <w:pPr>
        <w:spacing w:line="480" w:lineRule="auto"/>
        <w:jc w:val="both"/>
      </w:pPr>
      <w:r>
        <w:t xml:space="preserve">The announcement of the SDIL included a stated implementation date of </w:t>
      </w:r>
      <w:r w:rsidR="00176F63" w:rsidRPr="00176F63">
        <w:t>April 2018</w:t>
      </w:r>
      <w:r w:rsidR="00B01F0F">
        <w:t xml:space="preserve"> </w:t>
      </w:r>
      <w:r w:rsidR="00613AAD">
        <w:fldChar w:fldCharType="begin"/>
      </w:r>
      <w:r w:rsidR="006C4B25">
        <w:instrText xml:space="preserve"> ADDIN ZOTERO_ITEM CSL_CITATION {"citationID":"augbj0mgvr","properties":{"formattedCitation":"[14]","plainCitation":"[14]","dontUpdate":true,"noteIndex":0},"citationItems":[{"id":801,"uris":["http://zotero.org/users/1356132/items/3TEAP79K"],"uri":["http://zotero.org/users/1356132/items/3TEAP79K"],"itemData":{"id":801,"type":"webpage","container-title":"GOV.UK","language":"en","title":"Soft Drinks Industry Levy","URL":"https://www.gov.uk/government/publications/soft-drinks-industry-levy/soft-drinks-industry-levy","author":[{"literal":"HM Revenue &amp; Customs"}],"accessed":{"date-parts":[["2019",1,14]]}}}],"schema":"https://github.com/citation-style-language/schema/raw/master/csl-citation.json"} </w:instrText>
      </w:r>
      <w:r w:rsidR="00613AAD">
        <w:fldChar w:fldCharType="separate"/>
      </w:r>
      <w:r w:rsidR="00895EC8" w:rsidRPr="006B771C">
        <w:rPr>
          <w:rFonts w:ascii="Calibri" w:hAnsi="Calibri"/>
        </w:rPr>
        <w:t>[15]</w:t>
      </w:r>
      <w:r w:rsidR="00613AAD">
        <w:fldChar w:fldCharType="end"/>
      </w:r>
      <w:r w:rsidR="00B01F0F">
        <w:t>,</w:t>
      </w:r>
      <w:r w:rsidR="00EA6C95">
        <w:t xml:space="preserve"> </w:t>
      </w:r>
      <w:r w:rsidR="00176F63" w:rsidRPr="00176F63">
        <w:t>giv</w:t>
      </w:r>
      <w:r w:rsidR="00B07A1C">
        <w:t>ing</w:t>
      </w:r>
      <w:r w:rsidR="00176F63" w:rsidRPr="00176F63">
        <w:t xml:space="preserve"> manufacturers </w:t>
      </w:r>
      <w:r w:rsidR="00B07A1C">
        <w:t>two year</w:t>
      </w:r>
      <w:r w:rsidR="005A5D42">
        <w:t>s</w:t>
      </w:r>
      <w:r w:rsidR="00B07A1C">
        <w:t xml:space="preserve"> </w:t>
      </w:r>
      <w:r w:rsidR="00176F63" w:rsidRPr="00176F63">
        <w:t xml:space="preserve">to </w:t>
      </w:r>
      <w:r>
        <w:t xml:space="preserve">adapt (e.g. </w:t>
      </w:r>
      <w:r w:rsidR="00176F63" w:rsidRPr="00176F63">
        <w:t>reformulate their products</w:t>
      </w:r>
      <w:r w:rsidR="00BC3E64">
        <w:t xml:space="preserve"> or introduce new ones</w:t>
      </w:r>
      <w:r>
        <w:t>)</w:t>
      </w:r>
      <w:r w:rsidR="00176F63" w:rsidRPr="00176F63">
        <w:t xml:space="preserve"> prior to </w:t>
      </w:r>
      <w:r w:rsidR="00414C19">
        <w:t>implementation</w:t>
      </w:r>
      <w:r w:rsidR="00176F63" w:rsidRPr="00176F63">
        <w:t xml:space="preserve">. </w:t>
      </w:r>
      <w:r w:rsidR="008725F1" w:rsidRPr="008725F1">
        <w:t xml:space="preserve">The announcement received </w:t>
      </w:r>
      <w:r w:rsidR="00EB6940">
        <w:t xml:space="preserve">extensive </w:t>
      </w:r>
      <w:r w:rsidR="00613AAD">
        <w:t xml:space="preserve">media </w:t>
      </w:r>
      <w:r w:rsidR="00AC34B3">
        <w:t>coverage</w:t>
      </w:r>
      <w:r w:rsidR="00B01F0F">
        <w:t xml:space="preserve"> </w:t>
      </w:r>
      <w:r w:rsidR="00895EC8">
        <w:fldChar w:fldCharType="begin"/>
      </w:r>
      <w:r w:rsidR="006C4B25">
        <w:instrText xml:space="preserve"> ADDIN ZOTERO_ITEM CSL_CITATION {"citationID":"OdLJsRCI","properties":{"formattedCitation":"[25]","plainCitation":"[25]","noteIndex":0},"citationItems":[{"id":796,"uris":["http://zotero.org/users/1356132/items/J5QMFDZC"],"uri":["http://zotero.org/users/1356132/items/J5QMFDZC"],"itemData":{"id":796,"type":"article-journal","abstract":"BACKGROUND: Excess sugar consumption, including sugar-sweetened beverages (SSBs), contributes to a variety of negative health outcomes, particularly for young people. The mass media play a powerful role in influencing public and policy-makers' perceptions of public health issues and their solutions. We analysed how sugar and SSB policy debates were presented in UK newspapers at a time of heightened awareness and following the announcement of the UK Government's soft drinks industry levy (SDIL), to inform future public health advocacy.\nMETHODS &amp; FINDINGS: We carried out quantitative content analysis of articles discussing the issues of sugar and SSB consumption published in 11 national newspapers from April 2015 to November 2016. 684 newspaper articles were analysed using a structured coding frame. Coverage peaked in line with evidence publication, campaigner activities and policy events. Articles predominantly supportive of SSB taxation (23.5%) outnumbered those that were predominantly oppositional (14.2%). However, oppositional articles outnumbered supportive ones in the month of the announcement of the SDIL. Sugar and SSB consumption were presented as health risks, particularly affecting young people, with the actions of industry often identified as the cause of the public health problem. Responsibility for addressing sugar overconsumption was primarily assigned to government intervention.\nCONCLUSION: Our results suggest that the policy landscape favouring fiscal solutions to curb sugar and SSB consumption has benefited from media coverage characterising the issue as an industry-driven problem. Media coverage may drive greater public acceptance of the SDIL and any future taxation of products containing sugar. However, future advocacy efforts should note the surge in opposition coinciding with the announcement of the SDIL, which echoes similar patterns of opposition observed in tobacco control debates.","container-title":"PloS One","DOI":"10.1371/journal.pone.0207576","ISSN":"1932-6203","issue":"12","journalAbbreviation":"PLoS ONE","language":"eng","note":"PMID: 30517133\nPMCID: PMC6281206","page":"e0207576","source":"PubMed","title":"The palatability of sugar-sweetened beverage taxation: A content analysis of newspaper coverage of the UK sugar debate","title-short":"The palatability of sugar-sweetened beverage taxation","volume":"13","author":[{"family":"Buckton","given":"Christina H."},{"family":"Patterson","given":"Chris"},{"family":"Hyseni","given":"Lirije"},{"family":"Katikireddi","given":"S. Vittal"},{"family":"Lloyd-Williams","given":"Ffion"},{"family":"Elliott-Green","given":"Alex"},{"family":"Capewell","given":"Simon"},{"family":"Hilton","given":"Shona"}],"issued":{"date-parts":[["2018"]]}}}],"schema":"https://github.com/citation-style-language/schema/raw/master/csl-citation.json"} </w:instrText>
      </w:r>
      <w:r w:rsidR="00895EC8">
        <w:fldChar w:fldCharType="separate"/>
      </w:r>
      <w:r w:rsidR="006C4B25" w:rsidRPr="006C4B25">
        <w:rPr>
          <w:rFonts w:ascii="Calibri" w:hAnsi="Calibri" w:cs="Calibri"/>
        </w:rPr>
        <w:t>[25]</w:t>
      </w:r>
      <w:r w:rsidR="00895EC8">
        <w:fldChar w:fldCharType="end"/>
      </w:r>
      <w:r w:rsidR="00B07A1C">
        <w:t xml:space="preserve"> </w:t>
      </w:r>
      <w:r w:rsidR="00AC34B3">
        <w:t>and</w:t>
      </w:r>
      <w:r w:rsidR="00EB6940">
        <w:t xml:space="preserve">, together with </w:t>
      </w:r>
      <w:r w:rsidR="00CF145E">
        <w:t xml:space="preserve">discussion </w:t>
      </w:r>
      <w:r w:rsidR="00414C19">
        <w:t>surrounding the potential harms of SSBs</w:t>
      </w:r>
      <w:r w:rsidR="00AC34B3">
        <w:t>,</w:t>
      </w:r>
      <w:r w:rsidR="00EB6940">
        <w:t xml:space="preserve"> </w:t>
      </w:r>
      <w:r w:rsidR="00414C19">
        <w:t xml:space="preserve">may have </w:t>
      </w:r>
      <w:r>
        <w:t>itself impacted purchasing and consumption</w:t>
      </w:r>
      <w:r w:rsidR="00FE460B">
        <w:t xml:space="preserve"> via changes in attitudes and beliefs</w:t>
      </w:r>
      <w:r>
        <w:t xml:space="preserve">. Furthermore, manufacturers </w:t>
      </w:r>
      <w:r w:rsidR="00C66932">
        <w:t>had</w:t>
      </w:r>
      <w:r w:rsidR="00894DBB">
        <w:t xml:space="preserve"> begun </w:t>
      </w:r>
      <w:r>
        <w:t xml:space="preserve">to introduce </w:t>
      </w:r>
      <w:r w:rsidR="00316D23">
        <w:t>reformulated</w:t>
      </w:r>
      <w:r>
        <w:t xml:space="preserve"> and new lower sugar, products during the </w:t>
      </w:r>
      <w:r w:rsidR="00894DBB">
        <w:t>two year adaptation period</w:t>
      </w:r>
      <w:r>
        <w:t xml:space="preserve">. </w:t>
      </w:r>
      <w:r w:rsidR="00316D23">
        <w:t xml:space="preserve">The availability of SDIL liable soft drinks on supermarket shelves fell 19.5% almost two years after the announcement of the SDIL </w:t>
      </w:r>
      <w:r w:rsidR="0048438D">
        <w:fldChar w:fldCharType="begin"/>
      </w:r>
      <w:r w:rsidR="006C4B25">
        <w:instrText xml:space="preserve"> ADDIN ZOTERO_ITEM CSL_CITATION {"citationID":"is2cFF3Z","properties":{"formattedCitation":"[26]","plainCitation":"[26]","noteIndex":0},"citationItems":[{"id":26,"uris":["http://zotero.org/users/1356132/items/F6JVCCIB"],"uri":["http://zotero.org/users/1356132/items/F6JVCCIB"],"itemData":{"id":26,"type":"article-journal","abstract":"Background Dietary sugar, especially in liquid form, increases risk of dental caries, adiposity, and type 2 diabetes. The United Kingdom Soft Drinks Industry Levy (SDIL) was announced in March 2016 and implemented in April 2018 and charges manufacturers and importers at £0.24 per litre for drinks with over 8 g sugar per 100 mL (high levy category), £0.18 per litre for drinks with 5 to 8 g sugar per 100 mL (low levy category), and no charge for drinks with less than 5 g sugar per 100 mL (no levy category). Fruit juices and milk-based drinks are exempt. We measured the impact of the SDIL on price, product size, number of soft drinks on the marketplace, and the proportion of drinks over the lower levy threshold of 5 g sugar per 100 mL. Methods and findings We analysed data on a total of 209,637 observations of soft drinks over 85 time points between September 2015 and February 2019, collected from the websites of the leading supermarkets in the UK. The data set was structured as a repeat cross-sectional study. We used controlled interrupted time series to assess the impact of the SDIL on changes in level and slope for the 4 outcome variables. Equivalent models were run for potentially levy-eligible drink categories (‘intervention’ drinks) and levy-exempt fruit juices and milk-based drinks (‘control’ drinks). Observed results were compared with counterfactual scenarios based on extrapolation of pre-SDIL trends. We found that in February 2019, the proportion of intervention drinks over the lower levy sugar threshold had fallen by 33.8 percentage points (95% CI: 33.3–34.4, p &lt; 0.001). The price of intervention drinks in the high levy category had risen by £0.075 (£0.037–0.115, p &lt; 0.001) per litre—a 31% pass through rate—whilst prices of intervention drinks in the low levy category and no levy category had fallen and risen by smaller amounts, respectively. Whilst the product size of branded high levy and low levy drinks barely changed after implementation of the SDIL (−7 mL [−23 to 11 mL] and 16 mL [6–27ml], respectively), there were large changes to product size of own-brand drinks with an increase of 172 mL (133–214 mL) for high levy drinks and a decrease of 141 mL (111–170 mL) for low levy drinks. The number of available drinks that were in the high levy category when the SDIL was announced was reduced by 3 (−6 to 12) by the implementation of the SDIL. Equivalent models for control drinks provided little evidence of impact of the SDIL. These results are not sales weighted, so do not give an account of how sugar consumption from drinks may have changed over the time period. Conclusions The results suggest that the SDIL incentivised many manufacturers to reduce sugar in soft drinks. Some of the cost of the levy to manufacturers and importers was passed on to consumers as higher prices but not always on targeted drinks. These changes could reduce population exposure to liquid sugars and associated health risks.","container-title":"PLOS Medicine","DOI":"10.1371/journal.pmed.1003025","ISSN":"1549-1676","issue":"2","journalAbbreviation":"PLOS Medicine","language":"en","page":"e1003025","source":"PLoS Journals","title":"Impact of the announcement and implementation of the UK Soft Drinks Industry Levy on sugar content, price, product size and number of available soft drinks in the UK, 2015-19: A controlled interrupted time series analysis","title-short":"Impact of the announcement and implementation of the UK Soft Drinks Industry Levy on sugar content, price, product size and number of available soft drinks in the UK, 2015-19","volume":"17","author":[{"family":"Scarborough","given":"Peter"},{"family":"Adhikari","given":"Vyas"},{"family":"Harrington","given":"Richard A."},{"family":"Elhussein","given":"Ahmed"},{"family":"Briggs","given":"Adam"},{"family":"Rayner","given":"Mike"},{"family":"Adams","given":"Jean"},{"family":"Cummins","given":"Steven"},{"family":"Penney","given":"Tarra"},{"family":"White","given":"Martin"}],"issued":{"date-parts":[["2020",2,11]]}}}],"schema":"https://github.com/citation-style-language/schema/raw/master/csl-citation.json"} </w:instrText>
      </w:r>
      <w:r w:rsidR="0048438D">
        <w:fldChar w:fldCharType="separate"/>
      </w:r>
      <w:r w:rsidR="006C4B25" w:rsidRPr="006C4B25">
        <w:rPr>
          <w:rFonts w:ascii="Calibri" w:hAnsi="Calibri" w:cs="Calibri"/>
        </w:rPr>
        <w:t>[26]</w:t>
      </w:r>
      <w:r w:rsidR="0048438D">
        <w:fldChar w:fldCharType="end"/>
      </w:r>
      <w:r w:rsidR="0048438D">
        <w:t xml:space="preserve">. </w:t>
      </w:r>
      <w:r w:rsidR="008748C9">
        <w:t xml:space="preserve">Whilst it has been reported that </w:t>
      </w:r>
      <w:r w:rsidR="0048438D">
        <w:t xml:space="preserve">sales of levy eligible soft drinks fell by 50% </w:t>
      </w:r>
      <w:r w:rsidR="008748C9">
        <w:t xml:space="preserve">from 2015-18, </w:t>
      </w:r>
      <w:r w:rsidR="0048438D">
        <w:t>leading to an overall reduction in the amount of sugar in purchased soft drinks</w:t>
      </w:r>
      <w:r w:rsidR="008748C9">
        <w:t xml:space="preserve"> of 30%</w:t>
      </w:r>
      <w:r w:rsidR="0048438D">
        <w:t xml:space="preserve"> </w:t>
      </w:r>
      <w:r w:rsidR="0048438D">
        <w:fldChar w:fldCharType="begin"/>
      </w:r>
      <w:r w:rsidR="006C4B25">
        <w:instrText xml:space="preserve"> ADDIN ZOTERO_ITEM CSL_CITATION {"citationID":"gh3QUSzk","properties":{"formattedCitation":"[27]","plainCitation":"[27]","noteIndex":0},"citationItems":[{"id":25,"uris":["http://zotero.org/users/1356132/items/LJZZDTR4"],"uri":["http://zotero.org/users/1356132/items/LJZZDTR4"],"itemData":{"id":25,"type":"article-journal","abstract":"The consumption of free sugars in the UK is more than double the guideline intake for adults and close to triple for children, with soft drinks representing a significant proportion. The aim of this study was to assess how individual soft drink companies and consumers have responded to calls to reduce sugar consumption, including the soft drink industry levy (SDIL), between 2015 and 2018.","container-title":"BMC Medicine","DOI":"10.1186/s12916-019-1477-4","ISSN":"1741-7015","issue":"1","journalAbbreviation":"BMC Med","language":"en","page":"20","source":"Springer Link","title":"Reductions in sugar sales from soft drinks in the UK from 2015 to 2018","volume":"18","author":[{"family":"Bandy","given":"L. K."},{"family":"Scarborough","given":"P."},{"family":"Harrington","given":"R. A."},{"family":"Rayner","given":"M."},{"family":"Jebb","given":"S. A."}],"issued":{"date-parts":[["2020",1,13]]}}}],"schema":"https://github.com/citation-style-language/schema/raw/master/csl-citation.json"} </w:instrText>
      </w:r>
      <w:r w:rsidR="0048438D">
        <w:fldChar w:fldCharType="separate"/>
      </w:r>
      <w:r w:rsidR="006C4B25" w:rsidRPr="006C4B25">
        <w:rPr>
          <w:rFonts w:ascii="Calibri" w:hAnsi="Calibri" w:cs="Calibri"/>
        </w:rPr>
        <w:t>[27]</w:t>
      </w:r>
      <w:r w:rsidR="0048438D">
        <w:fldChar w:fldCharType="end"/>
      </w:r>
      <w:r w:rsidR="0048438D">
        <w:t xml:space="preserve">, </w:t>
      </w:r>
      <w:r w:rsidR="008748C9">
        <w:t xml:space="preserve">this </w:t>
      </w:r>
      <w:r w:rsidR="008748C9">
        <w:lastRenderedPageBreak/>
        <w:t xml:space="preserve">before-after study was not able to distinguish </w:t>
      </w:r>
      <w:r w:rsidR="0048438D">
        <w:t>the impact of the SDIL from other trends in soft drinks purchases.</w:t>
      </w:r>
    </w:p>
    <w:p w14:paraId="2AFD815F" w14:textId="424CF5CA" w:rsidR="00B006F3" w:rsidRDefault="00894DBB" w:rsidP="00980A3F">
      <w:pPr>
        <w:spacing w:line="480" w:lineRule="auto"/>
        <w:jc w:val="both"/>
      </w:pPr>
      <w:r>
        <w:t>In line with recent developments in the public health literature</w:t>
      </w:r>
      <w:r w:rsidR="00B01F0F">
        <w:t xml:space="preserve"> </w:t>
      </w:r>
      <w:r w:rsidR="00213A6F">
        <w:fldChar w:fldCharType="begin"/>
      </w:r>
      <w:r w:rsidR="006C4B25">
        <w:instrText xml:space="preserve"> ADDIN ZOTERO_ITEM CSL_CITATION {"citationID":"CWWhaLhs","properties":{"formattedCitation":"[28]","plainCitation":"[28]","noteIndex":0},"citationItems":[{"id":71,"uris":["http://zotero.org/users/1356132/items/Z6T6NW5F"],"uri":["http://zotero.org/users/1356132/items/Z6T6NW5F"],"itemData":{"id":71,"type":"article-journal","container-title":"Lancet (London, England)","DOI":"10.1016/S0140-6736(17)31267-9","ISSN":"1474-547X","issue":"10112","journalAbbreviation":"Lancet","language":"eng","note":"PMID: 28622953","page":"2602-2604","source":"PubMed","title":"The need for a complex systems model of evidence for public health","volume":"390","author":[{"family":"Rutter","given":"Harry"},{"family":"Savona","given":"Natalie"},{"family":"Glonti","given":"Ketevan"},{"family":"Bibby","given":"Jo"},{"family":"Cummins","given":"Steven"},{"family":"Finegood","given":"Diane T."},{"family":"Greaves","given":"Felix"},{"family":"Harper","given":"Laura"},{"family":"Hawe","given":"Penelope"},{"family":"Moore","given":"Laurence"},{"family":"Petticrew","given":"Mark"},{"family":"Rehfuess","given":"Eva"},{"family":"Shiell","given":"Alan"},{"family":"Thomas","given":"James"},{"family":"White","given":"Martin"}],"issued":{"date-parts":[["2017",12,9]]}}}],"schema":"https://github.com/citation-style-language/schema/raw/master/csl-citation.json"} </w:instrText>
      </w:r>
      <w:r w:rsidR="00213A6F">
        <w:fldChar w:fldCharType="separate"/>
      </w:r>
      <w:r w:rsidR="006C4B25" w:rsidRPr="006C4B25">
        <w:rPr>
          <w:rFonts w:ascii="Calibri" w:hAnsi="Calibri" w:cs="Calibri"/>
        </w:rPr>
        <w:t>[28]</w:t>
      </w:r>
      <w:r w:rsidR="00213A6F">
        <w:fldChar w:fldCharType="end"/>
      </w:r>
      <w:r w:rsidR="00B01F0F">
        <w:t>,</w:t>
      </w:r>
      <w:r>
        <w:t xml:space="preserve"> </w:t>
      </w:r>
      <w:r w:rsidR="009E0B77">
        <w:t xml:space="preserve">our evaluation </w:t>
      </w:r>
      <w:r w:rsidR="00B006F3">
        <w:t>theorised the SDIL as a series of events</w:t>
      </w:r>
      <w:r w:rsidR="008748C9">
        <w:t xml:space="preserve"> (specifically the announcement and implementation </w:t>
      </w:r>
      <w:r w:rsidR="00C10114">
        <w:t>of</w:t>
      </w:r>
      <w:r w:rsidR="008748C9">
        <w:t xml:space="preserve"> the levy</w:t>
      </w:r>
      <w:r w:rsidR="00E31134">
        <w:t xml:space="preserve"> and related responses from relevant actors</w:t>
      </w:r>
      <w:r w:rsidR="008748C9">
        <w:t>)</w:t>
      </w:r>
      <w:r w:rsidR="00B006F3">
        <w:t xml:space="preserve"> in a complex adaptive system and planned analyses to evaluate the impact of each event</w:t>
      </w:r>
      <w:r w:rsidR="00B01F0F">
        <w:t xml:space="preserve"> </w:t>
      </w:r>
      <w:r w:rsidR="00213A6F">
        <w:fldChar w:fldCharType="begin"/>
      </w:r>
      <w:r w:rsidR="006C4B25">
        <w:instrText xml:space="preserve"> ADDIN ZOTERO_ITEM CSL_CITATION {"citationID":"4oMRhcNB","properties":{"formattedCitation":"[29]","plainCitation":"[29]","noteIndex":0},"citationItems":[{"id":74,"uris":["http://zotero.org/users/1356132/items/CLE8MI27"],"uri":["http://zotero.org/users/1356132/items/CLE8MI27"],"itemData":{"id":74,"type":"webpage","language":"en","note":"DOI: https://doi.org/10.1186/ISRCTN18042742","title":"Evaluation of the health impacts of the UK Treasury Soft Drinks Industry Levy (SDIL)","title-short":"ISRCTN - ISRCTN18042742","URL":"http://www.isrctn.com/ISRCTN18042742","author":[{"family":"White","given":"Martin"}],"accessed":{"date-parts":[["2019",6,25]]},"issued":{"date-parts":[["2017",8,11]]}}}],"schema":"https://github.com/citation-style-language/schema/raw/master/csl-citation.json"} </w:instrText>
      </w:r>
      <w:r w:rsidR="00213A6F">
        <w:fldChar w:fldCharType="separate"/>
      </w:r>
      <w:r w:rsidR="006C4B25" w:rsidRPr="006C4B25">
        <w:rPr>
          <w:rFonts w:ascii="Calibri" w:hAnsi="Calibri" w:cs="Calibri"/>
        </w:rPr>
        <w:t>[29]</w:t>
      </w:r>
      <w:r w:rsidR="00213A6F">
        <w:fldChar w:fldCharType="end"/>
      </w:r>
      <w:r w:rsidR="00B01F0F">
        <w:t>.</w:t>
      </w:r>
      <w:r w:rsidR="00B006F3">
        <w:t xml:space="preserve"> </w:t>
      </w:r>
      <w:r>
        <w:t>In this framing, the SDIL</w:t>
      </w:r>
      <w:r w:rsidR="00B006F3">
        <w:t xml:space="preserve"> announcement </w:t>
      </w:r>
      <w:r>
        <w:t xml:space="preserve">forms </w:t>
      </w:r>
      <w:r w:rsidR="00B006F3">
        <w:t xml:space="preserve">an important early </w:t>
      </w:r>
      <w:r w:rsidR="00733AC3">
        <w:t>phase of the intervention</w:t>
      </w:r>
      <w:r w:rsidR="0048438D">
        <w:t xml:space="preserve"> that is </w:t>
      </w:r>
      <w:r w:rsidR="008748C9">
        <w:t>related to</w:t>
      </w:r>
      <w:r w:rsidR="0048438D">
        <w:t>, but distinct from, the implementation</w:t>
      </w:r>
      <w:r w:rsidR="00B006F3">
        <w:t xml:space="preserve">. </w:t>
      </w:r>
      <w:r w:rsidR="00875F02">
        <w:t xml:space="preserve">The two years between announcement and implementation </w:t>
      </w:r>
      <w:r w:rsidR="00C10114">
        <w:t xml:space="preserve">was intended to </w:t>
      </w:r>
      <w:r w:rsidR="00053BC6">
        <w:t>give</w:t>
      </w:r>
      <w:r w:rsidR="00875F02">
        <w:t xml:space="preserve"> soft drinks manufacturers and producers time to respon</w:t>
      </w:r>
      <w:r w:rsidR="00C10114">
        <w:t>d</w:t>
      </w:r>
      <w:r w:rsidR="00875F02">
        <w:t xml:space="preserve"> </w:t>
      </w:r>
      <w:r w:rsidR="00053BC6">
        <w:t>to the SDIL under the assumption that it</w:t>
      </w:r>
      <w:r w:rsidR="007A0B76">
        <w:t xml:space="preserve"> </w:t>
      </w:r>
      <w:r w:rsidR="00C10114">
        <w:t>would</w:t>
      </w:r>
      <w:r w:rsidR="007A0B76">
        <w:t xml:space="preserve"> be implemented. </w:t>
      </w:r>
      <w:r w:rsidR="00875F02">
        <w:t xml:space="preserve">During this period </w:t>
      </w:r>
      <w:r w:rsidR="00053BC6">
        <w:t xml:space="preserve">changes in the availability of soft drinks occurred </w:t>
      </w:r>
      <w:r w:rsidR="00053BC6">
        <w:fldChar w:fldCharType="begin"/>
      </w:r>
      <w:r w:rsidR="006C4B25">
        <w:instrText xml:space="preserve"> ADDIN ZOTERO_ITEM CSL_CITATION {"citationID":"5aSoEJRh","properties":{"formattedCitation":"[26]","plainCitation":"[26]","noteIndex":0},"citationItems":[{"id":26,"uris":["http://zotero.org/users/1356132/items/F6JVCCIB"],"uri":["http://zotero.org/users/1356132/items/F6JVCCIB"],"itemData":{"id":26,"type":"article-journal","abstract":"Background Dietary sugar, especially in liquid form, increases risk of dental caries, adiposity, and type 2 diabetes. The United Kingdom Soft Drinks Industry Levy (SDIL) was announced in March 2016 and implemented in April 2018 and charges manufacturers and importers at £0.24 per litre for drinks with over 8 g sugar per 100 mL (high levy category), £0.18 per litre for drinks with 5 to 8 g sugar per 100 mL (low levy category), and no charge for drinks with less than 5 g sugar per 100 mL (no levy category). Fruit juices and milk-based drinks are exempt. We measured the impact of the SDIL on price, product size, number of soft drinks on the marketplace, and the proportion of drinks over the lower levy threshold of 5 g sugar per 100 mL. Methods and findings We analysed data on a total of 209,637 observations of soft drinks over 85 time points between September 2015 and February 2019, collected from the websites of the leading supermarkets in the UK. The data set was structured as a repeat cross-sectional study. We used controlled interrupted time series to assess the impact of the SDIL on changes in level and slope for the 4 outcome variables. Equivalent models were run for potentially levy-eligible drink categories (‘intervention’ drinks) and levy-exempt fruit juices and milk-based drinks (‘control’ drinks). Observed results were compared with counterfactual scenarios based on extrapolation of pre-SDIL trends. We found that in February 2019, the proportion of intervention drinks over the lower levy sugar threshold had fallen by 33.8 percentage points (95% CI: 33.3–34.4, p &lt; 0.001). The price of intervention drinks in the high levy category had risen by £0.075 (£0.037–0.115, p &lt; 0.001) per litre—a 31% pass through rate—whilst prices of intervention drinks in the low levy category and no levy category had fallen and risen by smaller amounts, respectively. Whilst the product size of branded high levy and low levy drinks barely changed after implementation of the SDIL (−7 mL [−23 to 11 mL] and 16 mL [6–27ml], respectively), there were large changes to product size of own-brand drinks with an increase of 172 mL (133–214 mL) for high levy drinks and a decrease of 141 mL (111–170 mL) for low levy drinks. The number of available drinks that were in the high levy category when the SDIL was announced was reduced by 3 (−6 to 12) by the implementation of the SDIL. Equivalent models for control drinks provided little evidence of impact of the SDIL. These results are not sales weighted, so do not give an account of how sugar consumption from drinks may have changed over the time period. Conclusions The results suggest that the SDIL incentivised many manufacturers to reduce sugar in soft drinks. Some of the cost of the levy to manufacturers and importers was passed on to consumers as higher prices but not always on targeted drinks. These changes could reduce population exposure to liquid sugars and associated health risks.","container-title":"PLOS Medicine","DOI":"10.1371/journal.pmed.1003025","ISSN":"1549-1676","issue":"2","journalAbbreviation":"PLOS Medicine","language":"en","page":"e1003025","source":"PLoS Journals","title":"Impact of the announcement and implementation of the UK Soft Drinks Industry Levy on sugar content, price, product size and number of available soft drinks in the UK, 2015-19: A controlled interrupted time series analysis","title-short":"Impact of the announcement and implementation of the UK Soft Drinks Industry Levy on sugar content, price, product size and number of available soft drinks in the UK, 2015-19","volume":"17","author":[{"family":"Scarborough","given":"Peter"},{"family":"Adhikari","given":"Vyas"},{"family":"Harrington","given":"Richard A."},{"family":"Elhussein","given":"Ahmed"},{"family":"Briggs","given":"Adam"},{"family":"Rayner","given":"Mike"},{"family":"Adams","given":"Jean"},{"family":"Cummins","given":"Steven"},{"family":"Penney","given":"Tarra"},{"family":"White","given":"Martin"}],"issued":{"date-parts":[["2020",2,11]]}}}],"schema":"https://github.com/citation-style-language/schema/raw/master/csl-citation.json"} </w:instrText>
      </w:r>
      <w:r w:rsidR="00053BC6">
        <w:fldChar w:fldCharType="separate"/>
      </w:r>
      <w:r w:rsidR="006C4B25" w:rsidRPr="006C4B25">
        <w:rPr>
          <w:rFonts w:ascii="Calibri" w:hAnsi="Calibri" w:cs="Calibri"/>
        </w:rPr>
        <w:t>[26]</w:t>
      </w:r>
      <w:r w:rsidR="00053BC6">
        <w:fldChar w:fldCharType="end"/>
      </w:r>
      <w:r w:rsidR="00053BC6">
        <w:t xml:space="preserve"> </w:t>
      </w:r>
      <w:r w:rsidR="008748C9">
        <w:t xml:space="preserve">which appear to have specifically been in anticipation of the </w:t>
      </w:r>
      <w:r w:rsidR="00E46D4F">
        <w:t>implementation</w:t>
      </w:r>
      <w:r w:rsidR="00053BC6">
        <w:t>. It is important to explore the impact of this preparatory stage as</w:t>
      </w:r>
      <w:r w:rsidR="009C5CF8">
        <w:t>,</w:t>
      </w:r>
      <w:r w:rsidR="007A0B76">
        <w:t xml:space="preserve"> were</w:t>
      </w:r>
      <w:r w:rsidR="006F7401">
        <w:t xml:space="preserve"> the levy</w:t>
      </w:r>
      <w:r w:rsidR="007A0B76">
        <w:t xml:space="preserve"> to be repealed</w:t>
      </w:r>
      <w:r w:rsidR="006F7401">
        <w:t>,</w:t>
      </w:r>
      <w:r w:rsidR="007A0B76">
        <w:t xml:space="preserve"> </w:t>
      </w:r>
      <w:r w:rsidR="006F7401">
        <w:t>these anticipatory responses may not be reversed</w:t>
      </w:r>
      <w:r w:rsidR="007A0B76">
        <w:t>.</w:t>
      </w:r>
      <w:r w:rsidR="00875F02">
        <w:t xml:space="preserve"> </w:t>
      </w:r>
      <w:r w:rsidR="00733AC3">
        <w:t>By studying</w:t>
      </w:r>
      <w:r w:rsidR="007A0B76">
        <w:t xml:space="preserve"> the impact of the SDIL on household purchases of soft drinks following the announcement along with post-implementation changes</w:t>
      </w:r>
      <w:r w:rsidR="00053BC6">
        <w:t xml:space="preserve"> </w:t>
      </w:r>
      <w:r w:rsidR="006F7401">
        <w:t xml:space="preserve">and </w:t>
      </w:r>
      <w:r w:rsidR="00053BC6">
        <w:t xml:space="preserve">other work examining the impact </w:t>
      </w:r>
      <w:r w:rsidR="006F7401">
        <w:t xml:space="preserve">on health outcomes, </w:t>
      </w:r>
      <w:r w:rsidR="00053BC6">
        <w:t xml:space="preserve">the </w:t>
      </w:r>
      <w:r w:rsidR="006F7401">
        <w:t xml:space="preserve">wider </w:t>
      </w:r>
      <w:r w:rsidR="00053BC6">
        <w:t>food and drinks industry and economy</w:t>
      </w:r>
      <w:r w:rsidR="006F7401">
        <w:t>,</w:t>
      </w:r>
      <w:r w:rsidR="00053BC6">
        <w:t xml:space="preserve"> </w:t>
      </w:r>
      <w:r w:rsidR="00733AC3">
        <w:t>and integrating findings</w:t>
      </w:r>
      <w:r w:rsidR="00F40100">
        <w:t xml:space="preserve"> in our overall SDIL evaluation</w:t>
      </w:r>
      <w:r w:rsidR="00053BC6">
        <w:t xml:space="preserve"> </w:t>
      </w:r>
      <w:r w:rsidR="00053BC6">
        <w:rPr>
          <w:rFonts w:ascii="Calibri" w:eastAsia="Calibri" w:hAnsi="Calibri" w:cs="Times New Roman"/>
        </w:rPr>
        <w:fldChar w:fldCharType="begin"/>
      </w:r>
      <w:r w:rsidR="006C4B25">
        <w:rPr>
          <w:rFonts w:ascii="Calibri" w:eastAsia="Calibri" w:hAnsi="Calibri" w:cs="Times New Roman"/>
        </w:rPr>
        <w:instrText xml:space="preserve"> ADDIN ZOTERO_ITEM CSL_CITATION {"citationID":"Ee9ilDQx","properties":{"formattedCitation":"[30]","plainCitation":"[30]","noteIndex":0},"citationItems":[{"id":66,"uris":["http://zotero.org/users/1356132/items/TP5KMSVW"],"uri":["http://zotero.org/users/1356132/items/TP5KMSVW"],"itemData":{"id":66,"type":"webpage","language":"en","note":"DOI: https://doi.org/10.1186/ISRCTN18042742","title":"ISRCTN18042742: Evaluation of the health impacts of the UK Treasury Soft Drinks Industry Levy (SDIL)","title-short":"ISRCTN18042742","URL":"http://www.isrctn.com/ISRCTN18042742","author":[{"family":"Penney","given":"Tarra L."}],"accessed":{"date-parts":[["2019",7,9]]},"issued":{"date-parts":[["2017",5]]}}}],"schema":"https://github.com/citation-style-language/schema/raw/master/csl-citation.json"} </w:instrText>
      </w:r>
      <w:r w:rsidR="00053BC6">
        <w:rPr>
          <w:rFonts w:ascii="Calibri" w:eastAsia="Calibri" w:hAnsi="Calibri" w:cs="Times New Roman"/>
        </w:rPr>
        <w:fldChar w:fldCharType="separate"/>
      </w:r>
      <w:r w:rsidR="006C4B25" w:rsidRPr="006C4B25">
        <w:rPr>
          <w:rFonts w:ascii="Calibri" w:hAnsi="Calibri" w:cs="Calibri"/>
        </w:rPr>
        <w:t>[30]</w:t>
      </w:r>
      <w:r w:rsidR="00053BC6">
        <w:rPr>
          <w:rFonts w:ascii="Calibri" w:eastAsia="Calibri" w:hAnsi="Calibri" w:cs="Times New Roman"/>
        </w:rPr>
        <w:fldChar w:fldCharType="end"/>
      </w:r>
      <w:r w:rsidR="00733AC3">
        <w:t xml:space="preserve">, we </w:t>
      </w:r>
      <w:r>
        <w:t xml:space="preserve">aim to </w:t>
      </w:r>
      <w:r w:rsidR="00733AC3">
        <w:t>build up a comprehensive picture of the impacts of the SDIL and the mechanisms through</w:t>
      </w:r>
      <w:r>
        <w:t xml:space="preserve"> which those </w:t>
      </w:r>
      <w:r w:rsidR="00733AC3">
        <w:t>were achieved</w:t>
      </w:r>
      <w:r w:rsidR="00B01F0F">
        <w:t xml:space="preserve"> </w:t>
      </w:r>
      <w:r w:rsidR="00F40100">
        <w:fldChar w:fldCharType="begin"/>
      </w:r>
      <w:r w:rsidR="006C4B25">
        <w:instrText xml:space="preserve"> ADDIN ZOTERO_ITEM CSL_CITATION {"citationID":"hyLxYd5D","properties":{"formattedCitation":"[30]","plainCitation":"[30]","noteIndex":0},"citationItems":[{"id":66,"uris":["http://zotero.org/users/1356132/items/TP5KMSVW"],"uri":["http://zotero.org/users/1356132/items/TP5KMSVW"],"itemData":{"id":66,"type":"webpage","language":"en","note":"DOI: https://doi.org/10.1186/ISRCTN18042742","title":"ISRCTN18042742: Evaluation of the health impacts of the UK Treasury Soft Drinks Industry Levy (SDIL)","title-short":"ISRCTN18042742","URL":"http://www.isrctn.com/ISRCTN18042742","author":[{"family":"Penney","given":"Tarra L."}],"accessed":{"date-parts":[["2019",7,9]]},"issued":{"date-parts":[["2017",5]]}}}],"schema":"https://github.com/citation-style-language/schema/raw/master/csl-citation.json"} </w:instrText>
      </w:r>
      <w:r w:rsidR="00F40100">
        <w:fldChar w:fldCharType="separate"/>
      </w:r>
      <w:r w:rsidR="006C4B25" w:rsidRPr="006C4B25">
        <w:rPr>
          <w:rFonts w:ascii="Calibri" w:hAnsi="Calibri" w:cs="Calibri"/>
        </w:rPr>
        <w:t>[30]</w:t>
      </w:r>
      <w:r w:rsidR="00F40100">
        <w:fldChar w:fldCharType="end"/>
      </w:r>
      <w:r w:rsidR="00B01F0F">
        <w:t>.</w:t>
      </w:r>
      <w:r w:rsidR="007A0B76">
        <w:t xml:space="preserve"> </w:t>
      </w:r>
    </w:p>
    <w:p w14:paraId="7A414B58" w14:textId="05DBB62A" w:rsidR="00894DBB" w:rsidRDefault="00BC3E64" w:rsidP="00894DBB">
      <w:pPr>
        <w:spacing w:line="480" w:lineRule="auto"/>
        <w:jc w:val="both"/>
        <w:rPr>
          <w:rFonts w:ascii="Calibri" w:eastAsia="Calibri" w:hAnsi="Calibri" w:cs="Times New Roman"/>
        </w:rPr>
      </w:pPr>
      <w:r>
        <w:t xml:space="preserve">In this paper we aimed to determine if the announcement of the SDIL was associated with </w:t>
      </w:r>
      <w:r w:rsidR="00064205">
        <w:t>anticipatory changes in purchases of soft drinks prior to implementation of the SDIL in April 2018</w:t>
      </w:r>
      <w:r w:rsidR="00B01F0F" w:rsidDel="00B01F0F">
        <w:t xml:space="preserve"> </w:t>
      </w:r>
      <w:r w:rsidR="00420995" w:rsidRPr="00420995">
        <w:rPr>
          <w:rFonts w:ascii="Calibri" w:hAnsi="Calibri"/>
        </w:rPr>
        <w:t>[28]</w:t>
      </w:r>
      <w:r w:rsidR="00B01F0F">
        <w:rPr>
          <w:rFonts w:ascii="Calibri" w:hAnsi="Calibri"/>
        </w:rPr>
        <w:t>.</w:t>
      </w:r>
      <w:r w:rsidR="00420995">
        <w:rPr>
          <w:rFonts w:ascii="Calibri" w:hAnsi="Calibri"/>
        </w:rPr>
        <w:t xml:space="preserve"> </w:t>
      </w:r>
      <w:r w:rsidR="00064205">
        <w:t xml:space="preserve">We have explored </w:t>
      </w:r>
      <w:r>
        <w:t xml:space="preserve">differences in the </w:t>
      </w:r>
      <w:r w:rsidRPr="00FE34F0">
        <w:t xml:space="preserve">volume of, </w:t>
      </w:r>
      <w:r>
        <w:t>or</w:t>
      </w:r>
      <w:r w:rsidRPr="00FE34F0">
        <w:t xml:space="preserve"> amount of sugar in, </w:t>
      </w:r>
      <w:r>
        <w:t xml:space="preserve">household </w:t>
      </w:r>
      <w:r w:rsidRPr="00FE34F0">
        <w:t xml:space="preserve">purchases of drinks </w:t>
      </w:r>
      <w:r>
        <w:t>in each levy tier, exempt drinks categories, and confectionery at two years post-</w:t>
      </w:r>
      <w:r w:rsidR="00894DBB">
        <w:t>announcement</w:t>
      </w:r>
      <w:r>
        <w:t xml:space="preserve">. We used controlled interrupted time series </w:t>
      </w:r>
      <w:r w:rsidR="00894DBB">
        <w:t xml:space="preserve">(ITS) </w:t>
      </w:r>
      <w:r>
        <w:t xml:space="preserve">methods with </w:t>
      </w:r>
      <w:r w:rsidR="00FE460B">
        <w:rPr>
          <w:rFonts w:ascii="Calibri" w:eastAsia="Calibri" w:hAnsi="Calibri" w:cs="Times New Roman"/>
        </w:rPr>
        <w:t>toiletries</w:t>
      </w:r>
      <w:r>
        <w:rPr>
          <w:rFonts w:ascii="Calibri" w:eastAsia="Calibri" w:hAnsi="Calibri" w:cs="Times New Roman"/>
        </w:rPr>
        <w:t xml:space="preserve"> included as a control </w:t>
      </w:r>
      <w:r w:rsidR="006F7401">
        <w:rPr>
          <w:rFonts w:ascii="Calibri" w:eastAsia="Calibri" w:hAnsi="Calibri" w:cs="Times New Roman"/>
        </w:rPr>
        <w:t xml:space="preserve">category </w:t>
      </w:r>
      <w:r w:rsidR="00185CA1">
        <w:rPr>
          <w:rFonts w:ascii="Calibri" w:eastAsia="Calibri" w:hAnsi="Calibri" w:cs="Times New Roman"/>
        </w:rPr>
        <w:t xml:space="preserve">to take </w:t>
      </w:r>
      <w:r>
        <w:rPr>
          <w:rFonts w:ascii="Calibri" w:eastAsia="Calibri" w:hAnsi="Calibri" w:cs="Times New Roman"/>
        </w:rPr>
        <w:t xml:space="preserve">account of </w:t>
      </w:r>
      <w:r w:rsidR="00185CA1">
        <w:rPr>
          <w:rFonts w:ascii="Calibri" w:eastAsia="Calibri" w:hAnsi="Calibri" w:cs="Times New Roman"/>
        </w:rPr>
        <w:t>underlying</w:t>
      </w:r>
      <w:r>
        <w:rPr>
          <w:rFonts w:ascii="Calibri" w:eastAsia="Calibri" w:hAnsi="Calibri" w:cs="Times New Roman"/>
        </w:rPr>
        <w:t xml:space="preserve"> trends in household purchasing</w:t>
      </w:r>
      <w:r w:rsidR="00465509">
        <w:rPr>
          <w:rFonts w:ascii="Calibri" w:eastAsia="Calibri" w:hAnsi="Calibri" w:cs="Times New Roman"/>
        </w:rPr>
        <w:t xml:space="preserve"> which we hypothesised to be </w:t>
      </w:r>
      <w:r w:rsidR="00053BC6">
        <w:rPr>
          <w:rFonts w:ascii="Calibri" w:eastAsia="Calibri" w:hAnsi="Calibri" w:cs="Times New Roman"/>
        </w:rPr>
        <w:t>unaffected by the SDIL</w:t>
      </w:r>
      <w:r w:rsidR="00C9271D">
        <w:rPr>
          <w:rFonts w:ascii="Calibri" w:eastAsia="Calibri" w:hAnsi="Calibri" w:cs="Times New Roman"/>
        </w:rPr>
        <w:t>.</w:t>
      </w:r>
      <w:r w:rsidR="009641B6">
        <w:rPr>
          <w:rFonts w:ascii="Calibri" w:eastAsia="Calibri" w:hAnsi="Calibri" w:cs="Times New Roman"/>
        </w:rPr>
        <w:t xml:space="preserve"> </w:t>
      </w:r>
      <w:r w:rsidR="0050027B" w:rsidRPr="0050027B">
        <w:rPr>
          <w:rFonts w:ascii="Calibri" w:eastAsia="Calibri" w:hAnsi="Calibri" w:cs="Times New Roman"/>
        </w:rPr>
        <w:t>This allows existing purchasing trends to be taken into account when comparing pre- to post-announcement data, and predict</w:t>
      </w:r>
      <w:r w:rsidR="00053BC6">
        <w:rPr>
          <w:rFonts w:ascii="Calibri" w:eastAsia="Calibri" w:hAnsi="Calibri" w:cs="Times New Roman"/>
        </w:rPr>
        <w:t>ion of</w:t>
      </w:r>
      <w:r w:rsidR="0050027B" w:rsidRPr="0050027B">
        <w:rPr>
          <w:rFonts w:ascii="Calibri" w:eastAsia="Calibri" w:hAnsi="Calibri" w:cs="Times New Roman"/>
        </w:rPr>
        <w:t xml:space="preserve"> longer-term changes in purchasing, compared to the </w:t>
      </w:r>
      <w:r w:rsidR="0050027B" w:rsidRPr="0050027B">
        <w:rPr>
          <w:rFonts w:ascii="Calibri" w:eastAsia="Calibri" w:hAnsi="Calibri" w:cs="Times New Roman"/>
        </w:rPr>
        <w:lastRenderedPageBreak/>
        <w:t>counterfactual scenario.</w:t>
      </w:r>
      <w:r w:rsidR="0046297C">
        <w:rPr>
          <w:rFonts w:ascii="Calibri" w:eastAsia="Calibri" w:hAnsi="Calibri" w:cs="Times New Roman"/>
        </w:rPr>
        <w:t xml:space="preserve"> </w:t>
      </w:r>
      <w:r w:rsidR="000446A1">
        <w:rPr>
          <w:rFonts w:ascii="Calibri" w:eastAsia="Calibri" w:hAnsi="Calibri" w:cs="Times New Roman"/>
        </w:rPr>
        <w:t xml:space="preserve">We compared </w:t>
      </w:r>
      <w:r w:rsidR="00185CA1">
        <w:rPr>
          <w:rFonts w:ascii="Calibri" w:eastAsia="Calibri" w:hAnsi="Calibri" w:cs="Times New Roman"/>
        </w:rPr>
        <w:t xml:space="preserve">observed </w:t>
      </w:r>
      <w:r w:rsidR="000446A1">
        <w:rPr>
          <w:rFonts w:ascii="Calibri" w:eastAsia="Calibri" w:hAnsi="Calibri" w:cs="Times New Roman"/>
        </w:rPr>
        <w:t xml:space="preserve">changes associated with </w:t>
      </w:r>
      <w:r w:rsidR="00CF145E">
        <w:rPr>
          <w:rFonts w:ascii="Calibri" w:eastAsia="Calibri" w:hAnsi="Calibri" w:cs="Times New Roman"/>
        </w:rPr>
        <w:t xml:space="preserve">the </w:t>
      </w:r>
      <w:r w:rsidR="000446A1">
        <w:rPr>
          <w:rFonts w:ascii="Calibri" w:eastAsia="Calibri" w:hAnsi="Calibri" w:cs="Times New Roman"/>
        </w:rPr>
        <w:t xml:space="preserve">announcement of the SDIL to the </w:t>
      </w:r>
      <w:r w:rsidR="00712BE6" w:rsidRPr="006A7B2B">
        <w:rPr>
          <w:rFonts w:ascii="Calibri" w:eastAsia="Calibri" w:hAnsi="Calibri" w:cs="Times New Roman"/>
        </w:rPr>
        <w:t xml:space="preserve">counterfactual scenario </w:t>
      </w:r>
      <w:r w:rsidR="00185CA1">
        <w:rPr>
          <w:rFonts w:ascii="Calibri" w:eastAsia="Calibri" w:hAnsi="Calibri" w:cs="Times New Roman"/>
        </w:rPr>
        <w:t>in which the announcement did not take place</w:t>
      </w:r>
      <w:r w:rsidR="00712BE6" w:rsidRPr="006A7B2B">
        <w:rPr>
          <w:rFonts w:ascii="Calibri" w:eastAsia="Calibri" w:hAnsi="Calibri" w:cs="Times New Roman"/>
        </w:rPr>
        <w:t>.</w:t>
      </w:r>
      <w:r w:rsidR="00EB27CD">
        <w:rPr>
          <w:rFonts w:ascii="Calibri" w:eastAsia="Calibri" w:hAnsi="Calibri" w:cs="Times New Roman"/>
        </w:rPr>
        <w:t xml:space="preserve"> The protocol was published </w:t>
      </w:r>
      <w:r w:rsidR="00213A6F">
        <w:rPr>
          <w:rFonts w:ascii="Calibri" w:eastAsia="Calibri" w:hAnsi="Calibri" w:cs="Times New Roman"/>
        </w:rPr>
        <w:fldChar w:fldCharType="begin"/>
      </w:r>
      <w:r w:rsidR="006C4B25">
        <w:rPr>
          <w:rFonts w:ascii="Calibri" w:eastAsia="Calibri" w:hAnsi="Calibri" w:cs="Times New Roman"/>
        </w:rPr>
        <w:instrText xml:space="preserve"> ADDIN ZOTERO_ITEM CSL_CITATION {"citationID":"4qtqQ0jM","properties":{"formattedCitation":"[29]","plainCitation":"[29]","noteIndex":0},"citationItems":[{"id":74,"uris":["http://zotero.org/users/1356132/items/CLE8MI27"],"uri":["http://zotero.org/users/1356132/items/CLE8MI27"],"itemData":{"id":74,"type":"webpage","language":"en","note":"DOI: https://doi.org/10.1186/ISRCTN18042742","title":"Evaluation of the health impacts of the UK Treasury Soft Drinks Industry Levy (SDIL)","title-short":"ISRCTN - ISRCTN18042742","URL":"http://www.isrctn.com/ISRCTN18042742","author":[{"family":"White","given":"Martin"}],"accessed":{"date-parts":[["2019",6,25]]},"issued":{"date-parts":[["2017",8,11]]}}}],"schema":"https://github.com/citation-style-language/schema/raw/master/csl-citation.json"} </w:instrText>
      </w:r>
      <w:r w:rsidR="00213A6F">
        <w:rPr>
          <w:rFonts w:ascii="Calibri" w:eastAsia="Calibri" w:hAnsi="Calibri" w:cs="Times New Roman"/>
        </w:rPr>
        <w:fldChar w:fldCharType="separate"/>
      </w:r>
      <w:r w:rsidR="006C4B25" w:rsidRPr="006C4B25">
        <w:rPr>
          <w:rFonts w:ascii="Calibri" w:hAnsi="Calibri" w:cs="Calibri"/>
        </w:rPr>
        <w:t>[29]</w:t>
      </w:r>
      <w:r w:rsidR="00213A6F">
        <w:rPr>
          <w:rFonts w:ascii="Calibri" w:eastAsia="Calibri" w:hAnsi="Calibri" w:cs="Times New Roman"/>
        </w:rPr>
        <w:fldChar w:fldCharType="end"/>
      </w:r>
      <w:r w:rsidR="00EB27CD">
        <w:rPr>
          <w:rFonts w:ascii="Calibri" w:eastAsia="Calibri" w:hAnsi="Calibri" w:cs="Times New Roman"/>
        </w:rPr>
        <w:t xml:space="preserve"> and the study was registered </w:t>
      </w:r>
      <w:r w:rsidR="00EB27CD" w:rsidRPr="00EB27CD">
        <w:rPr>
          <w:rFonts w:ascii="Calibri" w:eastAsia="Calibri" w:hAnsi="Calibri" w:cs="Times New Roman"/>
        </w:rPr>
        <w:t>[ISRCTN18042742]</w:t>
      </w:r>
      <w:r w:rsidR="00C95190">
        <w:rPr>
          <w:rFonts w:ascii="Calibri" w:eastAsia="Calibri" w:hAnsi="Calibri" w:cs="Times New Roman"/>
        </w:rPr>
        <w:fldChar w:fldCharType="begin"/>
      </w:r>
      <w:r w:rsidR="006C4B25">
        <w:rPr>
          <w:rFonts w:ascii="Calibri" w:eastAsia="Calibri" w:hAnsi="Calibri" w:cs="Times New Roman"/>
        </w:rPr>
        <w:instrText xml:space="preserve"> ADDIN ZOTERO_ITEM CSL_CITATION {"citationID":"MF9xz2Zr","properties":{"formattedCitation":"[30]","plainCitation":"[30]","noteIndex":0},"citationItems":[{"id":66,"uris":["http://zotero.org/users/1356132/items/TP5KMSVW"],"uri":["http://zotero.org/users/1356132/items/TP5KMSVW"],"itemData":{"id":66,"type":"webpage","language":"en","note":"DOI: https://doi.org/10.1186/ISRCTN18042742","title":"ISRCTN18042742: Evaluation of the health impacts of the UK Treasury Soft Drinks Industry Levy (SDIL)","title-short":"ISRCTN18042742","URL":"http://www.isrctn.com/ISRCTN18042742","author":[{"family":"Penney","given":"Tarra L."}],"accessed":{"date-parts":[["2019",7,9]]},"issued":{"date-parts":[["2017",5]]}}}],"schema":"https://github.com/citation-style-language/schema/raw/master/csl-citation.json"} </w:instrText>
      </w:r>
      <w:r w:rsidR="00C95190">
        <w:rPr>
          <w:rFonts w:ascii="Calibri" w:eastAsia="Calibri" w:hAnsi="Calibri" w:cs="Times New Roman"/>
        </w:rPr>
        <w:fldChar w:fldCharType="separate"/>
      </w:r>
      <w:r w:rsidR="006C4B25" w:rsidRPr="006C4B25">
        <w:rPr>
          <w:rFonts w:ascii="Calibri" w:hAnsi="Calibri" w:cs="Calibri"/>
        </w:rPr>
        <w:t>[30]</w:t>
      </w:r>
      <w:r w:rsidR="00C95190">
        <w:rPr>
          <w:rFonts w:ascii="Calibri" w:eastAsia="Calibri" w:hAnsi="Calibri" w:cs="Times New Roman"/>
        </w:rPr>
        <w:fldChar w:fldCharType="end"/>
      </w:r>
      <w:r w:rsidR="00784B22">
        <w:rPr>
          <w:rFonts w:ascii="Calibri" w:eastAsia="Calibri" w:hAnsi="Calibri" w:cs="Times New Roman"/>
        </w:rPr>
        <w:t>.</w:t>
      </w:r>
    </w:p>
    <w:p w14:paraId="6C933F44" w14:textId="35F45F96" w:rsidR="006A7B2B" w:rsidRPr="006D2F29" w:rsidRDefault="006A7B2B" w:rsidP="00894DBB">
      <w:pPr>
        <w:keepNext/>
        <w:spacing w:line="480" w:lineRule="auto"/>
        <w:jc w:val="both"/>
        <w:rPr>
          <w:rFonts w:ascii="Calibri" w:eastAsia="Calibri" w:hAnsi="Calibri" w:cs="Times New Roman"/>
          <w:b/>
        </w:rPr>
      </w:pPr>
      <w:r w:rsidRPr="006D2F29">
        <w:rPr>
          <w:rFonts w:ascii="Calibri" w:eastAsia="Calibri" w:hAnsi="Calibri" w:cs="Times New Roman"/>
          <w:b/>
        </w:rPr>
        <w:t>Methods</w:t>
      </w:r>
    </w:p>
    <w:p w14:paraId="0D29A7DC" w14:textId="090A6DD6" w:rsidR="00252533" w:rsidRDefault="000446A1" w:rsidP="00712BE6">
      <w:pPr>
        <w:spacing w:line="480" w:lineRule="auto"/>
        <w:jc w:val="both"/>
      </w:pPr>
      <w:r>
        <w:t xml:space="preserve">National-level </w:t>
      </w:r>
      <w:r w:rsidR="00F229CC">
        <w:t xml:space="preserve">policy </w:t>
      </w:r>
      <w:r>
        <w:t xml:space="preserve">interventions such as the SDIL </w:t>
      </w:r>
      <w:r w:rsidR="00C9271D">
        <w:t xml:space="preserve">are not amenable </w:t>
      </w:r>
      <w:r w:rsidR="00712BE6" w:rsidRPr="000A7DDD">
        <w:t>to</w:t>
      </w:r>
      <w:r w:rsidR="00A75C51">
        <w:t xml:space="preserve"> evaluation using </w:t>
      </w:r>
      <w:r>
        <w:t>randomised controlled trial</w:t>
      </w:r>
      <w:r w:rsidR="00894DBB">
        <w:t>s</w:t>
      </w:r>
      <w:r w:rsidR="00712BE6" w:rsidRPr="000A7DDD">
        <w:t xml:space="preserve">. </w:t>
      </w:r>
      <w:r w:rsidR="00C9271D">
        <w:t xml:space="preserve">Controlled </w:t>
      </w:r>
      <w:r w:rsidR="00CA79AB">
        <w:t>ITS</w:t>
      </w:r>
      <w:r w:rsidR="00C9271D">
        <w:t xml:space="preserve"> </w:t>
      </w:r>
      <w:r w:rsidR="00935C55" w:rsidRPr="000A7DDD">
        <w:t>analys</w:t>
      </w:r>
      <w:r w:rsidR="00C9271D">
        <w:t>i</w:t>
      </w:r>
      <w:r w:rsidR="00935C55" w:rsidRPr="000A7DDD">
        <w:t xml:space="preserve">s </w:t>
      </w:r>
      <w:r w:rsidR="00C9271D">
        <w:t>offers a robust observation</w:t>
      </w:r>
      <w:r w:rsidR="00A001D5">
        <w:t>al</w:t>
      </w:r>
      <w:r w:rsidR="00C9271D">
        <w:t xml:space="preserve"> method </w:t>
      </w:r>
      <w:r w:rsidR="00A001D5">
        <w:t xml:space="preserve">that </w:t>
      </w:r>
      <w:r w:rsidR="00712BE6" w:rsidRPr="000A7DDD">
        <w:t>allow</w:t>
      </w:r>
      <w:r w:rsidR="00C9271D">
        <w:t>s</w:t>
      </w:r>
      <w:r w:rsidR="00712BE6" w:rsidRPr="000A7DDD">
        <w:t xml:space="preserve"> the impact of the announcement to be </w:t>
      </w:r>
      <w:r w:rsidR="0048304E">
        <w:t>investigated</w:t>
      </w:r>
      <w:r w:rsidR="0048304E" w:rsidRPr="000A7DDD">
        <w:t xml:space="preserve"> </w:t>
      </w:r>
      <w:r w:rsidR="00712BE6" w:rsidRPr="000A7DDD">
        <w:t>by both examining immediate change</w:t>
      </w:r>
      <w:r>
        <w:t>s</w:t>
      </w:r>
      <w:r w:rsidR="00712BE6" w:rsidRPr="000A7DDD">
        <w:t xml:space="preserve"> in purchases</w:t>
      </w:r>
      <w:r w:rsidR="00894DBB">
        <w:t xml:space="preserve"> and trends in these over time in </w:t>
      </w:r>
      <w:r w:rsidR="00C9271D">
        <w:t>comparison to counterfactual scenarios</w:t>
      </w:r>
      <w:r w:rsidR="00784B22">
        <w:t xml:space="preserve"> </w:t>
      </w:r>
      <w:r w:rsidR="006B771C">
        <w:fldChar w:fldCharType="begin"/>
      </w:r>
      <w:r w:rsidR="006C4B25">
        <w:instrText xml:space="preserve"> ADDIN ZOTERO_ITEM CSL_CITATION {"citationID":"xdw9H7bG","properties":{"formattedCitation":"[31]","plainCitation":"[31]","noteIndex":0},"citationItems":[{"id":791,"uris":["http://zotero.org/users/1356132/items/AADMPNMR"],"uri":["http://zotero.org/users/1356132/items/AADMPNMR"],"itemData":{"id":791,"type":"article-journal","abstract":"Abstract.  Interrupted time series (ITS) analysis is a valuable study design for evaluating the effectiveness of population-level health interventions that have","container-title":"International Journal of Epidemiology","DOI":"10.1093/ije/dyw098","ISSN":"0300-5771","issue":"1","journalAbbreviation":"Int J Epidemiol","language":"en","page":"348-355","source":"academic.oup.com","title":"Interrupted time series regression for the evaluation of public health interventions: a tutorial","title-short":"Interrupted time series regression for the evaluation of public health interventions","volume":"46","author":[{"family":"Bernal","given":"James Lopez"},{"family":"Cummins","given":"Steven"},{"family":"Gasparrini","given":"Antonio"}],"issued":{"date-parts":[["2017",2,1]]}}}],"schema":"https://github.com/citation-style-language/schema/raw/master/csl-citation.json"} </w:instrText>
      </w:r>
      <w:r w:rsidR="006B771C">
        <w:fldChar w:fldCharType="separate"/>
      </w:r>
      <w:r w:rsidR="006C4B25" w:rsidRPr="006C4B25">
        <w:rPr>
          <w:rFonts w:ascii="Calibri" w:hAnsi="Calibri" w:cs="Calibri"/>
        </w:rPr>
        <w:t>[31]</w:t>
      </w:r>
      <w:r w:rsidR="006B771C">
        <w:fldChar w:fldCharType="end"/>
      </w:r>
      <w:r w:rsidR="00784B22">
        <w:t>.</w:t>
      </w:r>
      <w:r w:rsidR="00053BC6">
        <w:t xml:space="preserve"> The counterfactual is the trend that would have occurred if the SDIL was not announced and is estimated by extrapolating the pre-announcement trend.</w:t>
      </w:r>
      <w:r w:rsidR="006B771C">
        <w:t xml:space="preserve"> </w:t>
      </w:r>
      <w:r>
        <w:t xml:space="preserve">A controlled design, </w:t>
      </w:r>
      <w:r w:rsidR="00F229CC">
        <w:t xml:space="preserve">that </w:t>
      </w:r>
      <w:r w:rsidR="00876C2B">
        <w:t xml:space="preserve">uses </w:t>
      </w:r>
      <w:r w:rsidR="00F229CC">
        <w:t xml:space="preserve">a product </w:t>
      </w:r>
      <w:r>
        <w:t xml:space="preserve">category </w:t>
      </w:r>
      <w:r w:rsidR="00271116">
        <w:t xml:space="preserve">likely to be </w:t>
      </w:r>
      <w:r>
        <w:t>unaffected by the announcement of the SDIL (i.e. toiletries),</w:t>
      </w:r>
      <w:r w:rsidR="004B3ACE">
        <w:t xml:space="preserve"> </w:t>
      </w:r>
      <w:r w:rsidR="00C9271D">
        <w:t xml:space="preserve">takes account of </w:t>
      </w:r>
      <w:r w:rsidR="004549D1">
        <w:t xml:space="preserve">underlying </w:t>
      </w:r>
      <w:r w:rsidR="004B3ACE">
        <w:t xml:space="preserve">trends </w:t>
      </w:r>
      <w:r w:rsidR="004549D1">
        <w:t xml:space="preserve">in </w:t>
      </w:r>
      <w:r>
        <w:t xml:space="preserve">overall household </w:t>
      </w:r>
      <w:r w:rsidR="004549D1">
        <w:t>purchasing</w:t>
      </w:r>
      <w:r w:rsidR="00784B22">
        <w:t xml:space="preserve"> </w:t>
      </w:r>
      <w:r w:rsidR="00895EC8">
        <w:fldChar w:fldCharType="begin"/>
      </w:r>
      <w:r w:rsidR="006C4B25">
        <w:instrText xml:space="preserve"> ADDIN ZOTERO_ITEM CSL_CITATION {"citationID":"0yfqCVr1","properties":{"formattedCitation":"[32], [33]","plainCitation":"[32], [33]","dontUpdate":true,"noteIndex":0},"citationItems":[{"id":793,"uris":["http://zotero.org/users/1356132/items/FWJIZWVI"],"uri":["http://zotero.org/users/1356132/items/FWJIZWVI"],"itemData":{"id":793,"type":"article-journal","abstract":"&lt;h2&gt;Abstract&lt;/h2&gt;&lt;p&gt;Interrupted time series (ITS) analysis is arguably the strongest quasi-experimental research design. ITS is particularly useful when a randomized trial is infeasible or unethical. The approach usually involves constructing a time series of population-level rates for a particular quality improvement focus (eg, rates of attention-deficit/hyperactivity disorder [ADHD] medication initiation) and testing statistically for a change in the outcome rate in the time periods before and time periods after implementation of a policy/program designed to change the outcome. In parallel, investigators often analyze rates of negative outcomes that might be (unintentionally) affected by the policy/program. We discuss why ITS is a useful tool for quality improvement. Strengths of ITS include the ability to control for secular trends in the data (unlike a 2-period before-and-after &lt;i&gt;t&lt;/i&gt; test), ability to evaluate outcomes using population-level data, clear graphical presentation of results, ease of conducting stratified analyses, and ability to evaluate both intended and unintended consequences of interventions. Limitations of ITS include the need for a minimum of 8 time periods before and 8 after an intervention to evaluate changes statistically, difficulty in analyzing the independent impact of separate components of a program that are implemented close together in time, and existence of a suitable control population. Investigators must also be careful not to make individual-level inferences when population-level rates are used to evaluate interventions (though ITS can be used with individual-level data). A brief description of ITS is provided, including a fully implemented (but hypothetical) study of the impact of a program to reduce ADHD medication initiation in children younger than 5 years old and insured by Medicaid in Washington State. An example of the database needed to conduct an ITS is provided, as well as SAS code to implement a difference-in-differences model using preschool-age children in California as a comparison group.&lt;/p&gt;","container-title":"Academic Pediatrics","DOI":"10.1016/j.acap.2013.08.002","ISSN":"1876-2859, 1876-2867","issue":"6","journalAbbreviation":"Academic Pediatrics","language":"English","note":"PMID: 24268083","page":"S38-S44","source":"www.academicpedsjnl.net","title":"Use of Interrupted Time Series Analysis in Evaluating Health Care Quality Improvements","volume":"13","author":[{"family":"Penfold","given":"Robert B."},{"family":"Zhang","given":"Fang"}],"issued":{"date-parts":[["2013",11,1]]}}},{"id":792,"uris":["http://zotero.org/users/1356132/items/VQ89VHBY"],"uri":["http://zotero.org/users/1356132/items/VQ89VHBY"],"itemData":{"id":792,"type":"article-journal","container-title":"International journal of epidemiology","issue":"6","page":"2082–2093","source":"Google Scholar","title":"The use of controls in interrupted time series studies of public health interventions","volume":"47","author":[{"family":"Lopez Bernal","given":"James"},{"family":"Cummins","given":"Steven"},{"family":"Gasparrini","given":"Antonio"}],"issued":{"date-parts":[["2018"]]}}}],"schema":"https://github.com/citation-style-language/schema/raw/master/csl-citation.json"} </w:instrText>
      </w:r>
      <w:r w:rsidR="00895EC8">
        <w:fldChar w:fldCharType="separate"/>
      </w:r>
      <w:r w:rsidR="00CF0A03" w:rsidRPr="00C57E3C">
        <w:rPr>
          <w:rFonts w:ascii="Calibri" w:hAnsi="Calibri" w:cs="Calibri"/>
        </w:rPr>
        <w:t>[32,33]</w:t>
      </w:r>
      <w:r w:rsidR="00895EC8">
        <w:fldChar w:fldCharType="end"/>
      </w:r>
      <w:r w:rsidR="00784B22">
        <w:t>.</w:t>
      </w:r>
      <w:r w:rsidR="009B4880">
        <w:t xml:space="preserve"> </w:t>
      </w:r>
      <w:r w:rsidR="00F229CC">
        <w:t>In this study o</w:t>
      </w:r>
      <w:r w:rsidR="009B4880">
        <w:t xml:space="preserve">ur primary outcomes were </w:t>
      </w:r>
      <w:r w:rsidR="00894DBB">
        <w:t xml:space="preserve">differences in the </w:t>
      </w:r>
      <w:r w:rsidR="009B4880">
        <w:t>volume of</w:t>
      </w:r>
      <w:r w:rsidR="00894DBB">
        <w:t>,</w:t>
      </w:r>
      <w:r w:rsidR="009B4880">
        <w:t xml:space="preserve"> </w:t>
      </w:r>
      <w:r w:rsidR="00894DBB">
        <w:t>and amount of sugar in, purchases of drinks in each levy tier and exempt categories</w:t>
      </w:r>
      <w:r w:rsidR="001F1E9A">
        <w:t xml:space="preserve"> per </w:t>
      </w:r>
      <w:r w:rsidR="00894DBB">
        <w:t>household</w:t>
      </w:r>
      <w:r w:rsidR="001F1E9A">
        <w:t xml:space="preserve"> per </w:t>
      </w:r>
      <w:r w:rsidR="00894DBB">
        <w:t>week compared to the counterfactual scenario of no announcement, at two years post-announcement</w:t>
      </w:r>
      <w:r w:rsidR="009B4880">
        <w:t>. To assess</w:t>
      </w:r>
      <w:r w:rsidR="00053BC6">
        <w:t xml:space="preserve"> whether </w:t>
      </w:r>
      <w:r w:rsidR="00252533">
        <w:t xml:space="preserve">households would </w:t>
      </w:r>
      <w:r w:rsidR="002C3F37">
        <w:t xml:space="preserve">consciously or sub-consciously </w:t>
      </w:r>
      <w:r w:rsidR="00252533">
        <w:t>maintain their sugar intake by switching from SSBs to alternate high sugar products</w:t>
      </w:r>
      <w:r w:rsidR="00053BC6">
        <w:t xml:space="preserve"> </w:t>
      </w:r>
      <w:r w:rsidR="00053BC6">
        <w:fldChar w:fldCharType="begin"/>
      </w:r>
      <w:r w:rsidR="006C4B25">
        <w:instrText xml:space="preserve"> ADDIN ZOTERO_ITEM CSL_CITATION {"citationID":"fkTbTUf9","properties":{"formattedCitation":"[34], [35]","plainCitation":"[34], [35]","dontUpdate":true,"noteIndex":0},"citationItems":[{"id":24,"uris":["http://zotero.org/users/1356132/items/IMV8IVWL"],"uri":["http://zotero.org/users/1356132/items/IMV8IVWL"],"itemData":{"id":24,"type":"webpage","abstract":"The number of overweight children and adults has grown sharply since 1980. The explanation is usually partly based on the increased availability of sodas and fast foods that have many calories. Also emphasized is the growing number of leisure hours spent at sedentary activities, such as watching television and using computers and cell phones. To combat obesity, an article in the April 30, 2009 New England Journal of Medicine by Brownell and Frieden argues for a tax on sugared beverages. I agree with Posner that this is a bad idea. From the data presented by the authors of that article,...","container-title":"The Becker-Posner Blog","title":"A Tax on Sodas? Becker","title-short":"A Tax on Sodas?","URL":"https://www.becker-posner-blog.com/2009/05/a-tax-on-sodas-becker.html","accessed":{"date-parts":[["2020",3,5]]}}},{"id":23,"uris":["http://zotero.org/users/1356132/items/AD2VPCB8"],"uri":["http://zotero.org/users/1356132/items/AD2VPCB8"],"itemData":{"id":23,"type":"webpage","abstract":"Articles in the New England Journal of Medicine on April 30, and in the New York Times on May 19, discuss a proposal now before Congress to impose a tax on sugar-sweetened sodas in order to reduce obesity. Taxes are ordinarily intended to raise revenue, but some taxes, such as taxes on alcohol and tobacco--and on carbon emissions, should such a tax ever be passed--are designed not to raise revenue but to alter behavior, and the more they succeed in altering behavior the less revenue they generate. Sugar-sweetened sodas are high in calories, are drunk in great quantity, and because...","container-title":"The Becker-Posner Blog","title":"A Soda or Calorie Tax to Reduce Obesity--Posner","URL":"https://www.becker-posner-blog.com/2009/05/a-soda-or-calorie-tax-to-reduce-obesity--posner.html","accessed":{"date-parts":[["2020",3,5]]}}}],"schema":"https://github.com/citation-style-language/schema/raw/master/csl-citation.json"} </w:instrText>
      </w:r>
      <w:r w:rsidR="00053BC6">
        <w:fldChar w:fldCharType="separate"/>
      </w:r>
      <w:r w:rsidR="00CF0A03" w:rsidRPr="00C57E3C">
        <w:rPr>
          <w:rFonts w:ascii="Calibri" w:hAnsi="Calibri" w:cs="Calibri"/>
        </w:rPr>
        <w:t>[34,35]</w:t>
      </w:r>
      <w:r w:rsidR="00053BC6">
        <w:fldChar w:fldCharType="end"/>
      </w:r>
      <w:r w:rsidR="00053BC6">
        <w:t>,</w:t>
      </w:r>
      <w:r w:rsidR="00252533">
        <w:t xml:space="preserve"> we also studied trends in purchased total pack weight and sugar content of confectionery.</w:t>
      </w:r>
    </w:p>
    <w:p w14:paraId="40D29930" w14:textId="7337C94A" w:rsidR="0041551E" w:rsidRDefault="0041551E" w:rsidP="00712BE6">
      <w:pPr>
        <w:spacing w:line="480" w:lineRule="auto"/>
        <w:jc w:val="both"/>
      </w:pPr>
      <w:r w:rsidRPr="00332AE0">
        <w:rPr>
          <w:rFonts w:ascii="Calibri" w:eastAsia="Calibri" w:hAnsi="Calibri" w:cs="Times New Roman"/>
        </w:rPr>
        <w:t>This study is reported as per the Strengthening the Reporting of Observational Studies in Epidemiology STROBE guideline (S1 Checklist).</w:t>
      </w:r>
    </w:p>
    <w:p w14:paraId="6CAD2BA3" w14:textId="77777777" w:rsidR="00712BE6" w:rsidRPr="00C9271D" w:rsidRDefault="00712BE6" w:rsidP="00712BE6">
      <w:pPr>
        <w:spacing w:line="480" w:lineRule="auto"/>
        <w:jc w:val="both"/>
        <w:rPr>
          <w:rFonts w:ascii="Calibri" w:eastAsia="Calibri" w:hAnsi="Calibri" w:cs="Times New Roman"/>
          <w:b/>
          <w:i/>
        </w:rPr>
      </w:pPr>
      <w:r w:rsidRPr="00C9271D">
        <w:rPr>
          <w:rFonts w:ascii="Calibri" w:eastAsia="Calibri" w:hAnsi="Calibri" w:cs="Times New Roman"/>
          <w:b/>
          <w:i/>
        </w:rPr>
        <w:t>Data source</w:t>
      </w:r>
    </w:p>
    <w:p w14:paraId="4A02B0E7" w14:textId="213673B5" w:rsidR="00B4611F" w:rsidRDefault="008C5CB2" w:rsidP="00712BE6">
      <w:pPr>
        <w:spacing w:line="480" w:lineRule="auto"/>
        <w:jc w:val="both"/>
        <w:rPr>
          <w:rFonts w:ascii="Calibri" w:eastAsia="Calibri" w:hAnsi="Calibri" w:cs="Times New Roman"/>
        </w:rPr>
      </w:pPr>
      <w:r>
        <w:rPr>
          <w:rFonts w:ascii="Calibri" w:eastAsia="Calibri" w:hAnsi="Calibri" w:cs="Times New Roman"/>
        </w:rPr>
        <w:t>W</w:t>
      </w:r>
      <w:r w:rsidR="000446A1">
        <w:rPr>
          <w:rFonts w:ascii="Calibri" w:eastAsia="Calibri" w:hAnsi="Calibri" w:cs="Times New Roman"/>
        </w:rPr>
        <w:t xml:space="preserve">e </w:t>
      </w:r>
      <w:r w:rsidR="00271116">
        <w:rPr>
          <w:rFonts w:ascii="Calibri" w:eastAsia="Calibri" w:hAnsi="Calibri" w:cs="Times New Roman"/>
        </w:rPr>
        <w:t>used</w:t>
      </w:r>
      <w:r w:rsidR="00C9271D">
        <w:rPr>
          <w:rFonts w:ascii="Calibri" w:eastAsia="Calibri" w:hAnsi="Calibri" w:cs="Times New Roman"/>
        </w:rPr>
        <w:t xml:space="preserve"> routinely available</w:t>
      </w:r>
      <w:r w:rsidR="00F06428">
        <w:rPr>
          <w:rFonts w:ascii="Calibri" w:eastAsia="Calibri" w:hAnsi="Calibri" w:cs="Times New Roman"/>
        </w:rPr>
        <w:t xml:space="preserve"> </w:t>
      </w:r>
      <w:r w:rsidR="00F76E3A">
        <w:rPr>
          <w:rFonts w:ascii="Calibri" w:eastAsia="Calibri" w:hAnsi="Calibri" w:cs="Times New Roman"/>
        </w:rPr>
        <w:t xml:space="preserve">data from </w:t>
      </w:r>
      <w:r w:rsidR="00371A4D" w:rsidRPr="00371A4D">
        <w:rPr>
          <w:rFonts w:ascii="Calibri" w:eastAsia="Calibri" w:hAnsi="Calibri" w:cs="Times New Roman"/>
        </w:rPr>
        <w:t>a</w:t>
      </w:r>
      <w:r w:rsidR="00F76E3A">
        <w:rPr>
          <w:rFonts w:ascii="Calibri" w:eastAsia="Calibri" w:hAnsi="Calibri" w:cs="Times New Roman"/>
        </w:rPr>
        <w:t xml:space="preserve"> commercial household purchasing panel</w:t>
      </w:r>
      <w:r w:rsidR="004969AD">
        <w:rPr>
          <w:rFonts w:ascii="Calibri" w:eastAsia="Calibri" w:hAnsi="Calibri" w:cs="Times New Roman"/>
        </w:rPr>
        <w:t>,</w:t>
      </w:r>
      <w:r w:rsidR="00C9271D">
        <w:rPr>
          <w:rFonts w:ascii="Calibri" w:eastAsia="Calibri" w:hAnsi="Calibri" w:cs="Times New Roman"/>
        </w:rPr>
        <w:t xml:space="preserve"> with approximately 30,000 </w:t>
      </w:r>
      <w:r w:rsidR="00E74FE8">
        <w:rPr>
          <w:rFonts w:ascii="Calibri" w:eastAsia="Calibri" w:hAnsi="Calibri" w:cs="Times New Roman"/>
        </w:rPr>
        <w:t>British</w:t>
      </w:r>
      <w:r w:rsidR="00271116">
        <w:rPr>
          <w:rFonts w:ascii="Calibri" w:eastAsia="Calibri" w:hAnsi="Calibri" w:cs="Times New Roman"/>
        </w:rPr>
        <w:t xml:space="preserve"> </w:t>
      </w:r>
      <w:r w:rsidR="00C9271D">
        <w:rPr>
          <w:rFonts w:ascii="Calibri" w:eastAsia="Calibri" w:hAnsi="Calibri" w:cs="Times New Roman"/>
        </w:rPr>
        <w:t>members</w:t>
      </w:r>
      <w:r w:rsidR="004969AD">
        <w:rPr>
          <w:rFonts w:ascii="Calibri" w:eastAsia="Calibri" w:hAnsi="Calibri" w:cs="Times New Roman"/>
        </w:rPr>
        <w:t>,</w:t>
      </w:r>
      <w:r w:rsidR="00C9271D">
        <w:rPr>
          <w:rFonts w:ascii="Calibri" w:eastAsia="Calibri" w:hAnsi="Calibri" w:cs="Times New Roman"/>
        </w:rPr>
        <w:t xml:space="preserve"> </w:t>
      </w:r>
      <w:r w:rsidR="00876C2B">
        <w:rPr>
          <w:rFonts w:ascii="Calibri" w:eastAsia="Calibri" w:hAnsi="Calibri" w:cs="Times New Roman"/>
        </w:rPr>
        <w:t>that includes linked nutritional data on food and drink purchase</w:t>
      </w:r>
      <w:r>
        <w:rPr>
          <w:rFonts w:ascii="Calibri" w:eastAsia="Calibri" w:hAnsi="Calibri" w:cs="Times New Roman"/>
        </w:rPr>
        <w:t>s (Kantar Worldpanel (KWP)</w:t>
      </w:r>
      <w:r w:rsidR="00674D75">
        <w:rPr>
          <w:rFonts w:ascii="Calibri" w:eastAsia="Calibri" w:hAnsi="Calibri" w:cs="Times New Roman"/>
        </w:rPr>
        <w:t xml:space="preserve"> aggregated to the weekly level</w:t>
      </w:r>
      <w:r w:rsidR="00DF218F">
        <w:rPr>
          <w:rFonts w:ascii="Calibri" w:eastAsia="Calibri" w:hAnsi="Calibri" w:cs="Times New Roman"/>
        </w:rPr>
        <w:t>.</w:t>
      </w:r>
      <w:r w:rsidR="00DF1C0B">
        <w:rPr>
          <w:rFonts w:ascii="Calibri" w:eastAsia="Calibri" w:hAnsi="Calibri" w:cs="Times New Roman"/>
        </w:rPr>
        <w:t xml:space="preserve"> </w:t>
      </w:r>
      <w:r w:rsidR="00DA2833" w:rsidRPr="00371A4D">
        <w:rPr>
          <w:rFonts w:ascii="Calibri" w:eastAsia="Calibri" w:hAnsi="Calibri" w:cs="Times New Roman"/>
        </w:rPr>
        <w:t>Th</w:t>
      </w:r>
      <w:r w:rsidR="00DA2833">
        <w:rPr>
          <w:rFonts w:ascii="Calibri" w:eastAsia="Calibri" w:hAnsi="Calibri" w:cs="Times New Roman"/>
        </w:rPr>
        <w:t xml:space="preserve">is </w:t>
      </w:r>
      <w:r w:rsidR="00DA2833" w:rsidRPr="00371A4D">
        <w:rPr>
          <w:rFonts w:ascii="Calibri" w:eastAsia="Calibri" w:hAnsi="Calibri" w:cs="Times New Roman"/>
        </w:rPr>
        <w:t xml:space="preserve">allows purchases of SSBs to be examined in detail </w:t>
      </w:r>
      <w:r w:rsidR="00DA2833">
        <w:rPr>
          <w:rFonts w:ascii="Calibri" w:eastAsia="Calibri" w:hAnsi="Calibri" w:cs="Times New Roman"/>
        </w:rPr>
        <w:t xml:space="preserve">over time </w:t>
      </w:r>
      <w:r w:rsidR="00DA2833" w:rsidRPr="00371A4D">
        <w:rPr>
          <w:rFonts w:ascii="Calibri" w:eastAsia="Calibri" w:hAnsi="Calibri" w:cs="Times New Roman"/>
        </w:rPr>
        <w:t>and compares favourably to other measures of</w:t>
      </w:r>
      <w:r w:rsidR="00271116">
        <w:rPr>
          <w:rFonts w:ascii="Calibri" w:eastAsia="Calibri" w:hAnsi="Calibri" w:cs="Times New Roman"/>
        </w:rPr>
        <w:t xml:space="preserve"> food purchases</w:t>
      </w:r>
      <w:r w:rsidR="00784B22">
        <w:rPr>
          <w:rFonts w:ascii="Calibri" w:eastAsia="Calibri" w:hAnsi="Calibri" w:cs="Times New Roman"/>
        </w:rPr>
        <w:t xml:space="preserve"> </w:t>
      </w:r>
      <w:r w:rsidR="00DA2833">
        <w:rPr>
          <w:rFonts w:ascii="Calibri" w:eastAsia="Calibri" w:hAnsi="Calibri" w:cs="Times New Roman"/>
        </w:rPr>
        <w:fldChar w:fldCharType="begin"/>
      </w:r>
      <w:r w:rsidR="006C4B25">
        <w:rPr>
          <w:rFonts w:ascii="Calibri" w:eastAsia="Calibri" w:hAnsi="Calibri" w:cs="Times New Roman"/>
        </w:rPr>
        <w:instrText xml:space="preserve"> ADDIN ZOTERO_ITEM CSL_CITATION {"citationID":"L4rM1ONv","properties":{"formattedCitation":"[36]","plainCitation":"[36]","noteIndex":0},"citationItems":[{"id":795,"uris":["http://zotero.org/users/1356132/items/KYA9ZBW9"],"uri":["http://zotero.org/users/1356132/items/KYA9ZBW9"],"itemData":{"id":795,"type":"book","source":"Google Scholar","title":"Measuring the quality of people’s diets: a comparison of intake and purchase data. Econometrics and IO of food and nutrition; Toulouse School of Economics 2012","title-short":"Measuring the quality of people’s diets","author":[{"family":"Smith","given":"K."},{"family":"Griffith","given":"R."},{"family":"O’Connell","given":"M."}]}}],"schema":"https://github.com/citation-style-language/schema/raw/master/csl-citation.json"} </w:instrText>
      </w:r>
      <w:r w:rsidR="00DA2833">
        <w:rPr>
          <w:rFonts w:ascii="Calibri" w:eastAsia="Calibri" w:hAnsi="Calibri" w:cs="Times New Roman"/>
        </w:rPr>
        <w:fldChar w:fldCharType="separate"/>
      </w:r>
      <w:r w:rsidR="006C4B25" w:rsidRPr="006C4B25">
        <w:rPr>
          <w:rFonts w:ascii="Calibri" w:hAnsi="Calibri" w:cs="Calibri"/>
        </w:rPr>
        <w:t>[36]</w:t>
      </w:r>
      <w:r w:rsidR="00DA2833">
        <w:rPr>
          <w:rFonts w:ascii="Calibri" w:eastAsia="Calibri" w:hAnsi="Calibri" w:cs="Times New Roman"/>
        </w:rPr>
        <w:fldChar w:fldCharType="end"/>
      </w:r>
      <w:r w:rsidR="00784B22">
        <w:rPr>
          <w:rFonts w:ascii="Calibri" w:eastAsia="Calibri" w:hAnsi="Calibri" w:cs="Times New Roman"/>
        </w:rPr>
        <w:t>.</w:t>
      </w:r>
      <w:r w:rsidR="001A29FE">
        <w:rPr>
          <w:rFonts w:ascii="Calibri" w:eastAsia="Calibri" w:hAnsi="Calibri" w:cs="Times New Roman"/>
        </w:rPr>
        <w:t xml:space="preserve"> </w:t>
      </w:r>
      <w:r w:rsidR="00712BE6" w:rsidRPr="006A7B2B">
        <w:rPr>
          <w:rFonts w:ascii="Calibri" w:eastAsia="Calibri" w:hAnsi="Calibri" w:cs="Times New Roman"/>
        </w:rPr>
        <w:t xml:space="preserve">Household </w:t>
      </w:r>
      <w:r w:rsidR="00712BE6" w:rsidRPr="006A7B2B">
        <w:rPr>
          <w:rFonts w:ascii="Calibri" w:eastAsia="Calibri" w:hAnsi="Calibri" w:cs="Times New Roman"/>
        </w:rPr>
        <w:lastRenderedPageBreak/>
        <w:t xml:space="preserve">purchasing </w:t>
      </w:r>
      <w:r w:rsidR="00F76E3A">
        <w:rPr>
          <w:rFonts w:ascii="Calibri" w:eastAsia="Calibri" w:hAnsi="Calibri" w:cs="Times New Roman"/>
        </w:rPr>
        <w:t xml:space="preserve">of </w:t>
      </w:r>
      <w:r w:rsidR="00AD474D">
        <w:rPr>
          <w:rFonts w:ascii="Calibri" w:eastAsia="Calibri" w:hAnsi="Calibri" w:cs="Times New Roman"/>
        </w:rPr>
        <w:t xml:space="preserve">all </w:t>
      </w:r>
      <w:r w:rsidR="00F76E3A">
        <w:rPr>
          <w:rFonts w:ascii="Calibri" w:eastAsia="Calibri" w:hAnsi="Calibri" w:cs="Times New Roman"/>
        </w:rPr>
        <w:t>drinks</w:t>
      </w:r>
      <w:r w:rsidR="00AD474D">
        <w:rPr>
          <w:rFonts w:ascii="Calibri" w:eastAsia="Calibri" w:hAnsi="Calibri" w:cs="Times New Roman"/>
        </w:rPr>
        <w:t xml:space="preserve"> (including alcoholic drinks)</w:t>
      </w:r>
      <w:r w:rsidR="00F76E3A">
        <w:rPr>
          <w:rFonts w:ascii="Calibri" w:eastAsia="Calibri" w:hAnsi="Calibri" w:cs="Times New Roman"/>
        </w:rPr>
        <w:t xml:space="preserve">, sugar </w:t>
      </w:r>
      <w:r w:rsidR="00075E12">
        <w:rPr>
          <w:rFonts w:ascii="Calibri" w:eastAsia="Calibri" w:hAnsi="Calibri" w:cs="Times New Roman"/>
        </w:rPr>
        <w:t>confection</w:t>
      </w:r>
      <w:r w:rsidR="002E2998">
        <w:rPr>
          <w:rFonts w:ascii="Calibri" w:eastAsia="Calibri" w:hAnsi="Calibri" w:cs="Times New Roman"/>
        </w:rPr>
        <w:t>e</w:t>
      </w:r>
      <w:r w:rsidR="00075E12">
        <w:rPr>
          <w:rFonts w:ascii="Calibri" w:eastAsia="Calibri" w:hAnsi="Calibri" w:cs="Times New Roman"/>
        </w:rPr>
        <w:t xml:space="preserve">ry </w:t>
      </w:r>
      <w:r w:rsidR="00F76E3A">
        <w:rPr>
          <w:rFonts w:ascii="Calibri" w:eastAsia="Calibri" w:hAnsi="Calibri" w:cs="Times New Roman"/>
        </w:rPr>
        <w:t xml:space="preserve">and chocolate </w:t>
      </w:r>
      <w:r w:rsidR="0066468E">
        <w:rPr>
          <w:rFonts w:ascii="Calibri" w:eastAsia="Calibri" w:hAnsi="Calibri" w:cs="Times New Roman"/>
        </w:rPr>
        <w:t>confectionery</w:t>
      </w:r>
      <w:r w:rsidR="00F76E3A">
        <w:rPr>
          <w:rFonts w:ascii="Calibri" w:eastAsia="Calibri" w:hAnsi="Calibri" w:cs="Times New Roman"/>
        </w:rPr>
        <w:t xml:space="preserve"> (</w:t>
      </w:r>
      <w:r w:rsidR="00DA2833">
        <w:rPr>
          <w:rFonts w:ascii="Calibri" w:eastAsia="Calibri" w:hAnsi="Calibri" w:cs="Times New Roman"/>
        </w:rPr>
        <w:t xml:space="preserve">referred to </w:t>
      </w:r>
      <w:r w:rsidR="00876C2B">
        <w:rPr>
          <w:rFonts w:ascii="Calibri" w:eastAsia="Calibri" w:hAnsi="Calibri" w:cs="Times New Roman"/>
        </w:rPr>
        <w:t xml:space="preserve">collectively </w:t>
      </w:r>
      <w:r w:rsidR="006F7401">
        <w:rPr>
          <w:rFonts w:ascii="Calibri" w:eastAsia="Calibri" w:hAnsi="Calibri" w:cs="Times New Roman"/>
        </w:rPr>
        <w:t xml:space="preserve">here </w:t>
      </w:r>
      <w:r w:rsidR="00DA2833">
        <w:rPr>
          <w:rFonts w:ascii="Calibri" w:eastAsia="Calibri" w:hAnsi="Calibri" w:cs="Times New Roman"/>
        </w:rPr>
        <w:t>as ‘</w:t>
      </w:r>
      <w:r w:rsidR="0066468E">
        <w:rPr>
          <w:rFonts w:ascii="Calibri" w:eastAsia="Calibri" w:hAnsi="Calibri" w:cs="Times New Roman"/>
        </w:rPr>
        <w:t>confectionery</w:t>
      </w:r>
      <w:r w:rsidR="00DA2833">
        <w:rPr>
          <w:rFonts w:ascii="Calibri" w:eastAsia="Calibri" w:hAnsi="Calibri" w:cs="Times New Roman"/>
        </w:rPr>
        <w:t>’</w:t>
      </w:r>
      <w:r w:rsidR="00F76E3A">
        <w:rPr>
          <w:rFonts w:ascii="Calibri" w:eastAsia="Calibri" w:hAnsi="Calibri" w:cs="Times New Roman"/>
        </w:rPr>
        <w:t xml:space="preserve">), and </w:t>
      </w:r>
      <w:r w:rsidR="00DA2833" w:rsidRPr="006A7B2B">
        <w:rPr>
          <w:rFonts w:ascii="Calibri" w:eastAsia="Calibri" w:hAnsi="Calibri" w:cs="Times New Roman"/>
        </w:rPr>
        <w:t>shampoo, conditioner and liquid soap</w:t>
      </w:r>
      <w:r w:rsidR="00DA2833">
        <w:rPr>
          <w:rFonts w:ascii="Calibri" w:eastAsia="Calibri" w:hAnsi="Calibri" w:cs="Times New Roman"/>
        </w:rPr>
        <w:t xml:space="preserve"> (referred to </w:t>
      </w:r>
      <w:r w:rsidR="00876C2B">
        <w:rPr>
          <w:rFonts w:ascii="Calibri" w:eastAsia="Calibri" w:hAnsi="Calibri" w:cs="Times New Roman"/>
        </w:rPr>
        <w:t xml:space="preserve">collectively </w:t>
      </w:r>
      <w:r w:rsidR="006F7401">
        <w:rPr>
          <w:rFonts w:ascii="Calibri" w:eastAsia="Calibri" w:hAnsi="Calibri" w:cs="Times New Roman"/>
        </w:rPr>
        <w:t xml:space="preserve">here </w:t>
      </w:r>
      <w:r w:rsidR="00DA2833">
        <w:rPr>
          <w:rFonts w:ascii="Calibri" w:eastAsia="Calibri" w:hAnsi="Calibri" w:cs="Times New Roman"/>
        </w:rPr>
        <w:t>as ‘</w:t>
      </w:r>
      <w:r w:rsidR="00F76E3A">
        <w:rPr>
          <w:rFonts w:ascii="Calibri" w:eastAsia="Calibri" w:hAnsi="Calibri" w:cs="Times New Roman"/>
        </w:rPr>
        <w:t>toiletries</w:t>
      </w:r>
      <w:r w:rsidR="00DA2833">
        <w:rPr>
          <w:rFonts w:ascii="Calibri" w:eastAsia="Calibri" w:hAnsi="Calibri" w:cs="Times New Roman"/>
        </w:rPr>
        <w:t>’)</w:t>
      </w:r>
      <w:r w:rsidR="00F76E3A" w:rsidRPr="006A7B2B">
        <w:rPr>
          <w:rFonts w:ascii="Calibri" w:eastAsia="Calibri" w:hAnsi="Calibri" w:cs="Times New Roman"/>
        </w:rPr>
        <w:t xml:space="preserve"> </w:t>
      </w:r>
      <w:r w:rsidR="00F76E3A">
        <w:rPr>
          <w:rFonts w:ascii="Calibri" w:eastAsia="Calibri" w:hAnsi="Calibri" w:cs="Times New Roman"/>
        </w:rPr>
        <w:t xml:space="preserve">recorded </w:t>
      </w:r>
      <w:r w:rsidR="00712BE6" w:rsidRPr="006A7B2B">
        <w:rPr>
          <w:rFonts w:ascii="Calibri" w:eastAsia="Calibri" w:hAnsi="Calibri" w:cs="Times New Roman"/>
        </w:rPr>
        <w:t xml:space="preserve">by </w:t>
      </w:r>
      <w:r w:rsidR="00F76E3A">
        <w:rPr>
          <w:rFonts w:ascii="Calibri" w:eastAsia="Calibri" w:hAnsi="Calibri" w:cs="Times New Roman"/>
        </w:rPr>
        <w:t xml:space="preserve">KWP </w:t>
      </w:r>
      <w:r w:rsidR="005D77A7">
        <w:rPr>
          <w:rFonts w:ascii="Calibri" w:eastAsia="Calibri" w:hAnsi="Calibri" w:cs="Times New Roman"/>
        </w:rPr>
        <w:t xml:space="preserve">households </w:t>
      </w:r>
      <w:r w:rsidR="00712BE6" w:rsidRPr="006A7B2B">
        <w:rPr>
          <w:rFonts w:ascii="Calibri" w:eastAsia="Calibri" w:hAnsi="Calibri" w:cs="Times New Roman"/>
        </w:rPr>
        <w:t xml:space="preserve">between </w:t>
      </w:r>
      <w:r w:rsidR="001E46E0">
        <w:rPr>
          <w:rFonts w:ascii="Calibri" w:eastAsia="Calibri" w:hAnsi="Calibri" w:cs="Times New Roman"/>
        </w:rPr>
        <w:t>3</w:t>
      </w:r>
      <w:r w:rsidR="001E46E0">
        <w:rPr>
          <w:rFonts w:ascii="Calibri" w:eastAsia="Calibri" w:hAnsi="Calibri" w:cs="Times New Roman"/>
          <w:vertAlign w:val="superscript"/>
        </w:rPr>
        <w:t>rd</w:t>
      </w:r>
      <w:r w:rsidR="005A5D42">
        <w:rPr>
          <w:rFonts w:ascii="Calibri" w:eastAsia="Calibri" w:hAnsi="Calibri" w:cs="Times New Roman"/>
        </w:rPr>
        <w:t xml:space="preserve"> </w:t>
      </w:r>
      <w:r w:rsidR="001E46E0">
        <w:rPr>
          <w:rFonts w:ascii="Calibri" w:eastAsia="Calibri" w:hAnsi="Calibri" w:cs="Times New Roman"/>
        </w:rPr>
        <w:t>March</w:t>
      </w:r>
      <w:r w:rsidR="001E46E0" w:rsidRPr="006A7B2B">
        <w:rPr>
          <w:rFonts w:ascii="Calibri" w:eastAsia="Calibri" w:hAnsi="Calibri" w:cs="Times New Roman"/>
        </w:rPr>
        <w:t xml:space="preserve"> </w:t>
      </w:r>
      <w:r w:rsidR="00712BE6" w:rsidRPr="006A7B2B">
        <w:rPr>
          <w:rFonts w:ascii="Calibri" w:eastAsia="Calibri" w:hAnsi="Calibri" w:cs="Times New Roman"/>
        </w:rPr>
        <w:t xml:space="preserve">2014 and </w:t>
      </w:r>
      <w:r w:rsidR="001E46E0">
        <w:rPr>
          <w:rFonts w:ascii="Calibri" w:eastAsia="Calibri" w:hAnsi="Calibri" w:cs="Times New Roman"/>
        </w:rPr>
        <w:t>25</w:t>
      </w:r>
      <w:r w:rsidR="001E46E0">
        <w:rPr>
          <w:rFonts w:ascii="Calibri" w:eastAsia="Calibri" w:hAnsi="Calibri" w:cs="Times New Roman"/>
          <w:vertAlign w:val="superscript"/>
        </w:rPr>
        <w:t>th</w:t>
      </w:r>
      <w:r w:rsidR="005A5D42">
        <w:rPr>
          <w:rFonts w:ascii="Calibri" w:eastAsia="Calibri" w:hAnsi="Calibri" w:cs="Times New Roman"/>
        </w:rPr>
        <w:t xml:space="preserve"> March </w:t>
      </w:r>
      <w:r w:rsidR="00712BE6" w:rsidRPr="006A7B2B">
        <w:rPr>
          <w:rFonts w:ascii="Calibri" w:eastAsia="Calibri" w:hAnsi="Calibri" w:cs="Times New Roman"/>
        </w:rPr>
        <w:t>2018</w:t>
      </w:r>
      <w:r w:rsidR="00271116">
        <w:rPr>
          <w:rFonts w:ascii="Calibri" w:eastAsia="Calibri" w:hAnsi="Calibri" w:cs="Times New Roman"/>
        </w:rPr>
        <w:t xml:space="preserve"> were included</w:t>
      </w:r>
      <w:r w:rsidR="00712BE6" w:rsidRPr="006A7B2B">
        <w:rPr>
          <w:rFonts w:ascii="Calibri" w:eastAsia="Calibri" w:hAnsi="Calibri" w:cs="Times New Roman"/>
        </w:rPr>
        <w:t xml:space="preserve">. </w:t>
      </w:r>
      <w:r w:rsidR="00974A87">
        <w:rPr>
          <w:rFonts w:ascii="Calibri" w:eastAsia="Calibri" w:hAnsi="Calibri" w:cs="Times New Roman"/>
        </w:rPr>
        <w:t>We select</w:t>
      </w:r>
      <w:r w:rsidR="006F7401">
        <w:rPr>
          <w:rFonts w:ascii="Calibri" w:eastAsia="Calibri" w:hAnsi="Calibri" w:cs="Times New Roman"/>
        </w:rPr>
        <w:t>ed</w:t>
      </w:r>
      <w:r w:rsidR="00974A87">
        <w:rPr>
          <w:rFonts w:ascii="Calibri" w:eastAsia="Calibri" w:hAnsi="Calibri" w:cs="Times New Roman"/>
        </w:rPr>
        <w:t xml:space="preserve"> shampoo, conditioner and liquid soap </w:t>
      </w:r>
      <w:r w:rsidR="006F7401">
        <w:rPr>
          <w:rFonts w:ascii="Calibri" w:eastAsia="Calibri" w:hAnsi="Calibri" w:cs="Times New Roman"/>
        </w:rPr>
        <w:t xml:space="preserve">from the wider category of all health and beauty products </w:t>
      </w:r>
      <w:r w:rsidR="00974A87">
        <w:rPr>
          <w:rFonts w:ascii="Calibri" w:eastAsia="Calibri" w:hAnsi="Calibri" w:cs="Times New Roman"/>
        </w:rPr>
        <w:t xml:space="preserve">on the basis that they were not seasonally dependent </w:t>
      </w:r>
      <w:r w:rsidR="006F7401">
        <w:rPr>
          <w:rFonts w:ascii="Calibri" w:eastAsia="Calibri" w:hAnsi="Calibri" w:cs="Times New Roman"/>
        </w:rPr>
        <w:t>(</w:t>
      </w:r>
      <w:r w:rsidR="009C5CF8">
        <w:rPr>
          <w:rFonts w:ascii="Calibri" w:eastAsia="Calibri" w:hAnsi="Calibri" w:cs="Times New Roman"/>
        </w:rPr>
        <w:t xml:space="preserve">such as for </w:t>
      </w:r>
      <w:r w:rsidR="00974A87">
        <w:rPr>
          <w:rFonts w:ascii="Calibri" w:eastAsia="Calibri" w:hAnsi="Calibri" w:cs="Times New Roman"/>
        </w:rPr>
        <w:t>sun cream</w:t>
      </w:r>
      <w:r w:rsidR="006F7401">
        <w:rPr>
          <w:rFonts w:ascii="Calibri" w:eastAsia="Calibri" w:hAnsi="Calibri" w:cs="Times New Roman"/>
        </w:rPr>
        <w:t>),</w:t>
      </w:r>
      <w:r w:rsidR="00974A87">
        <w:rPr>
          <w:rFonts w:ascii="Calibri" w:eastAsia="Calibri" w:hAnsi="Calibri" w:cs="Times New Roman"/>
        </w:rPr>
        <w:t xml:space="preserve"> not likely to be impacted by changes in sugar consumption </w:t>
      </w:r>
      <w:r w:rsidR="006F7401">
        <w:rPr>
          <w:rFonts w:ascii="Calibri" w:eastAsia="Calibri" w:hAnsi="Calibri" w:cs="Times New Roman"/>
        </w:rPr>
        <w:t>(</w:t>
      </w:r>
      <w:r w:rsidR="009C5CF8">
        <w:rPr>
          <w:rFonts w:ascii="Calibri" w:eastAsia="Calibri" w:hAnsi="Calibri" w:cs="Times New Roman"/>
        </w:rPr>
        <w:t xml:space="preserve">such as </w:t>
      </w:r>
      <w:r w:rsidR="00974A87">
        <w:rPr>
          <w:rFonts w:ascii="Calibri" w:eastAsia="Calibri" w:hAnsi="Calibri" w:cs="Times New Roman"/>
        </w:rPr>
        <w:t>toothpaste</w:t>
      </w:r>
      <w:r w:rsidR="006F7401">
        <w:rPr>
          <w:rFonts w:ascii="Calibri" w:eastAsia="Calibri" w:hAnsi="Calibri" w:cs="Times New Roman"/>
        </w:rPr>
        <w:t>)</w:t>
      </w:r>
      <w:r w:rsidR="00974A87">
        <w:rPr>
          <w:rFonts w:ascii="Calibri" w:eastAsia="Calibri" w:hAnsi="Calibri" w:cs="Times New Roman"/>
        </w:rPr>
        <w:t>, not likely to be impacted by households composition (</w:t>
      </w:r>
      <w:r w:rsidR="009C5CF8">
        <w:rPr>
          <w:rFonts w:ascii="Calibri" w:eastAsia="Calibri" w:hAnsi="Calibri" w:cs="Times New Roman"/>
        </w:rPr>
        <w:t xml:space="preserve">such as </w:t>
      </w:r>
      <w:r w:rsidR="00501FEF">
        <w:rPr>
          <w:rFonts w:ascii="Calibri" w:eastAsia="Calibri" w:hAnsi="Calibri" w:cs="Times New Roman"/>
        </w:rPr>
        <w:t>gender bias</w:t>
      </w:r>
      <w:r w:rsidR="00CA3349">
        <w:rPr>
          <w:rFonts w:ascii="Calibri" w:eastAsia="Calibri" w:hAnsi="Calibri" w:cs="Times New Roman"/>
        </w:rPr>
        <w:t>ed</w:t>
      </w:r>
      <w:r w:rsidR="00501FEF">
        <w:rPr>
          <w:rFonts w:ascii="Calibri" w:eastAsia="Calibri" w:hAnsi="Calibri" w:cs="Times New Roman"/>
        </w:rPr>
        <w:t xml:space="preserve"> products</w:t>
      </w:r>
      <w:r w:rsidR="00CA3349">
        <w:rPr>
          <w:rFonts w:ascii="Calibri" w:eastAsia="Calibri" w:hAnsi="Calibri" w:cs="Times New Roman"/>
        </w:rPr>
        <w:t xml:space="preserve"> </w:t>
      </w:r>
      <w:r w:rsidR="0087595F">
        <w:rPr>
          <w:rFonts w:ascii="Calibri" w:eastAsia="Calibri" w:hAnsi="Calibri" w:cs="Times New Roman"/>
        </w:rPr>
        <w:t>like</w:t>
      </w:r>
      <w:r w:rsidR="00CA3349">
        <w:rPr>
          <w:rFonts w:ascii="Calibri" w:eastAsia="Calibri" w:hAnsi="Calibri" w:cs="Times New Roman"/>
        </w:rPr>
        <w:t xml:space="preserve"> make-up), </w:t>
      </w:r>
      <w:r w:rsidR="00501FEF">
        <w:rPr>
          <w:rFonts w:ascii="Calibri" w:eastAsia="Calibri" w:hAnsi="Calibri" w:cs="Times New Roman"/>
        </w:rPr>
        <w:t xml:space="preserve">that they are sold by volume </w:t>
      </w:r>
      <w:r w:rsidR="006F7401">
        <w:rPr>
          <w:rFonts w:ascii="Calibri" w:eastAsia="Calibri" w:hAnsi="Calibri" w:cs="Times New Roman"/>
        </w:rPr>
        <w:t>(</w:t>
      </w:r>
      <w:r w:rsidR="00E46D4F">
        <w:rPr>
          <w:rFonts w:ascii="Calibri" w:eastAsia="Calibri" w:hAnsi="Calibri" w:cs="Times New Roman"/>
        </w:rPr>
        <w:t xml:space="preserve">rather than units </w:t>
      </w:r>
      <w:r w:rsidR="00501FEF">
        <w:rPr>
          <w:rFonts w:ascii="Calibri" w:eastAsia="Calibri" w:hAnsi="Calibri" w:cs="Times New Roman"/>
        </w:rPr>
        <w:t>unlike</w:t>
      </w:r>
      <w:r w:rsidR="0087595F">
        <w:rPr>
          <w:rFonts w:ascii="Calibri" w:eastAsia="Calibri" w:hAnsi="Calibri" w:cs="Times New Roman"/>
        </w:rPr>
        <w:t>,</w:t>
      </w:r>
      <w:r w:rsidR="00501FEF">
        <w:rPr>
          <w:rFonts w:ascii="Calibri" w:eastAsia="Calibri" w:hAnsi="Calibri" w:cs="Times New Roman"/>
        </w:rPr>
        <w:t xml:space="preserve"> </w:t>
      </w:r>
      <w:r w:rsidR="0087595F">
        <w:rPr>
          <w:rFonts w:ascii="Calibri" w:eastAsia="Calibri" w:hAnsi="Calibri" w:cs="Times New Roman"/>
        </w:rPr>
        <w:t>for example,</w:t>
      </w:r>
      <w:r w:rsidR="006F7401">
        <w:rPr>
          <w:rFonts w:ascii="Calibri" w:eastAsia="Calibri" w:hAnsi="Calibri" w:cs="Times New Roman"/>
        </w:rPr>
        <w:t xml:space="preserve"> </w:t>
      </w:r>
      <w:r w:rsidR="00CA3349">
        <w:rPr>
          <w:rFonts w:ascii="Calibri" w:eastAsia="Calibri" w:hAnsi="Calibri" w:cs="Times New Roman"/>
        </w:rPr>
        <w:t>soap bars</w:t>
      </w:r>
      <w:r w:rsidR="006F7401">
        <w:rPr>
          <w:rFonts w:ascii="Calibri" w:eastAsia="Calibri" w:hAnsi="Calibri" w:cs="Times New Roman"/>
        </w:rPr>
        <w:t>)</w:t>
      </w:r>
      <w:r w:rsidR="00CA3349">
        <w:rPr>
          <w:rFonts w:ascii="Calibri" w:eastAsia="Calibri" w:hAnsi="Calibri" w:cs="Times New Roman"/>
        </w:rPr>
        <w:t xml:space="preserve"> and that purchased volumes were of a similar magnitude to drink purchases.</w:t>
      </w:r>
      <w:r w:rsidR="00501FEF">
        <w:rPr>
          <w:rFonts w:ascii="Calibri" w:eastAsia="Calibri" w:hAnsi="Calibri" w:cs="Times New Roman"/>
        </w:rPr>
        <w:t xml:space="preserve"> </w:t>
      </w:r>
      <w:r w:rsidR="00712BE6" w:rsidRPr="006A7B2B">
        <w:rPr>
          <w:rFonts w:ascii="Calibri" w:eastAsia="Calibri" w:hAnsi="Calibri" w:cs="Times New Roman"/>
        </w:rPr>
        <w:t>Panel</w:t>
      </w:r>
      <w:r w:rsidR="005D77A7">
        <w:rPr>
          <w:rFonts w:ascii="Calibri" w:eastAsia="Calibri" w:hAnsi="Calibri" w:cs="Times New Roman"/>
        </w:rPr>
        <w:t xml:space="preserve"> </w:t>
      </w:r>
      <w:r w:rsidR="00FB3558">
        <w:rPr>
          <w:rFonts w:ascii="Calibri" w:eastAsia="Calibri" w:hAnsi="Calibri" w:cs="Times New Roman"/>
        </w:rPr>
        <w:t xml:space="preserve">households </w:t>
      </w:r>
      <w:r w:rsidR="00712BE6" w:rsidRPr="006A7B2B">
        <w:rPr>
          <w:rFonts w:ascii="Calibri" w:eastAsia="Calibri" w:hAnsi="Calibri" w:cs="Times New Roman"/>
        </w:rPr>
        <w:t xml:space="preserve">record </w:t>
      </w:r>
      <w:r w:rsidR="00D5222B">
        <w:rPr>
          <w:rFonts w:ascii="Calibri" w:eastAsia="Calibri" w:hAnsi="Calibri" w:cs="Times New Roman"/>
        </w:rPr>
        <w:t xml:space="preserve">information </w:t>
      </w:r>
      <w:r w:rsidR="00C9271D">
        <w:rPr>
          <w:rFonts w:ascii="Calibri" w:eastAsia="Calibri" w:hAnsi="Calibri" w:cs="Times New Roman"/>
        </w:rPr>
        <w:t xml:space="preserve">by scanning the barcode of all purchases </w:t>
      </w:r>
      <w:r w:rsidR="00712BE6" w:rsidRPr="006A7B2B">
        <w:rPr>
          <w:rFonts w:ascii="Calibri" w:eastAsia="Calibri" w:hAnsi="Calibri" w:cs="Times New Roman"/>
        </w:rPr>
        <w:t xml:space="preserve">brought into the </w:t>
      </w:r>
      <w:r w:rsidR="00D5222B">
        <w:rPr>
          <w:rFonts w:ascii="Calibri" w:eastAsia="Calibri" w:hAnsi="Calibri" w:cs="Times New Roman"/>
        </w:rPr>
        <w:t>home</w:t>
      </w:r>
      <w:r w:rsidR="004B3ACE">
        <w:rPr>
          <w:rFonts w:ascii="Calibri" w:eastAsia="Calibri" w:hAnsi="Calibri" w:cs="Times New Roman"/>
        </w:rPr>
        <w:t xml:space="preserve">. Panel members receive </w:t>
      </w:r>
      <w:r w:rsidR="00D5222B">
        <w:rPr>
          <w:rFonts w:ascii="Calibri" w:eastAsia="Calibri" w:hAnsi="Calibri" w:cs="Times New Roman"/>
        </w:rPr>
        <w:t xml:space="preserve">points, exchangeable for </w:t>
      </w:r>
      <w:r w:rsidR="004B3ACE">
        <w:rPr>
          <w:rFonts w:ascii="Calibri" w:eastAsia="Calibri" w:hAnsi="Calibri" w:cs="Times New Roman"/>
        </w:rPr>
        <w:t>gift vouchers</w:t>
      </w:r>
      <w:r w:rsidR="00875AC9">
        <w:rPr>
          <w:rFonts w:ascii="Calibri" w:eastAsia="Calibri" w:hAnsi="Calibri" w:cs="Times New Roman"/>
        </w:rPr>
        <w:t xml:space="preserve"> </w:t>
      </w:r>
      <w:r w:rsidR="008509F5" w:rsidRPr="00160BB5">
        <w:rPr>
          <w:rFonts w:ascii="Calibri" w:eastAsia="Calibri" w:hAnsi="Calibri" w:cs="Times New Roman"/>
        </w:rPr>
        <w:t xml:space="preserve">worth </w:t>
      </w:r>
      <w:r w:rsidR="00875AC9" w:rsidRPr="00160BB5">
        <w:rPr>
          <w:rFonts w:ascii="Calibri" w:eastAsia="Calibri" w:hAnsi="Calibri" w:cs="Times New Roman"/>
        </w:rPr>
        <w:t>approximately £100</w:t>
      </w:r>
      <w:r w:rsidR="001F1E9A">
        <w:rPr>
          <w:rFonts w:ascii="Calibri" w:eastAsia="Calibri" w:hAnsi="Calibri" w:cs="Times New Roman"/>
        </w:rPr>
        <w:t xml:space="preserve"> per </w:t>
      </w:r>
      <w:r w:rsidR="00875AC9" w:rsidRPr="00160BB5">
        <w:rPr>
          <w:rFonts w:ascii="Calibri" w:eastAsia="Calibri" w:hAnsi="Calibri" w:cs="Times New Roman"/>
        </w:rPr>
        <w:t>year</w:t>
      </w:r>
      <w:r w:rsidR="00D5222B">
        <w:rPr>
          <w:rFonts w:ascii="Calibri" w:eastAsia="Calibri" w:hAnsi="Calibri" w:cs="Times New Roman"/>
        </w:rPr>
        <w:t>,</w:t>
      </w:r>
      <w:r w:rsidR="004B3ACE">
        <w:rPr>
          <w:rFonts w:ascii="Calibri" w:eastAsia="Calibri" w:hAnsi="Calibri" w:cs="Times New Roman"/>
        </w:rPr>
        <w:t xml:space="preserve"> </w:t>
      </w:r>
      <w:r w:rsidR="00D5222B">
        <w:rPr>
          <w:rFonts w:ascii="Calibri" w:eastAsia="Calibri" w:hAnsi="Calibri" w:cs="Times New Roman"/>
        </w:rPr>
        <w:t xml:space="preserve">as an incentive </w:t>
      </w:r>
      <w:r w:rsidR="004B3ACE">
        <w:rPr>
          <w:rFonts w:ascii="Calibri" w:eastAsia="Calibri" w:hAnsi="Calibri" w:cs="Times New Roman"/>
        </w:rPr>
        <w:t>for taking part</w:t>
      </w:r>
      <w:r w:rsidR="00E86E03">
        <w:rPr>
          <w:rFonts w:ascii="Calibri" w:eastAsia="Calibri" w:hAnsi="Calibri" w:cs="Times New Roman"/>
        </w:rPr>
        <w:t xml:space="preserve">, and </w:t>
      </w:r>
      <w:r w:rsidR="00E86E03" w:rsidRPr="00160BB5">
        <w:rPr>
          <w:rFonts w:ascii="Calibri" w:eastAsia="Calibri" w:hAnsi="Calibri" w:cs="Times New Roman"/>
        </w:rPr>
        <w:t xml:space="preserve">report </w:t>
      </w:r>
      <w:r w:rsidR="00271116">
        <w:rPr>
          <w:rFonts w:ascii="Calibri" w:eastAsia="Calibri" w:hAnsi="Calibri" w:cs="Times New Roman"/>
        </w:rPr>
        <w:t xml:space="preserve">household </w:t>
      </w:r>
      <w:r w:rsidR="00E86E03" w:rsidRPr="00160BB5">
        <w:rPr>
          <w:rFonts w:ascii="Calibri" w:eastAsia="Calibri" w:hAnsi="Calibri" w:cs="Times New Roman"/>
        </w:rPr>
        <w:t xml:space="preserve">demographic information every </w:t>
      </w:r>
      <w:r w:rsidR="00C9271D">
        <w:rPr>
          <w:rFonts w:ascii="Calibri" w:eastAsia="Calibri" w:hAnsi="Calibri" w:cs="Times New Roman"/>
        </w:rPr>
        <w:t>four</w:t>
      </w:r>
      <w:r w:rsidR="00E86E03" w:rsidRPr="00160BB5">
        <w:rPr>
          <w:rFonts w:ascii="Calibri" w:eastAsia="Calibri" w:hAnsi="Calibri" w:cs="Times New Roman"/>
        </w:rPr>
        <w:t xml:space="preserve"> weeks.</w:t>
      </w:r>
      <w:r w:rsidR="00E86E03">
        <w:t xml:space="preserve"> </w:t>
      </w:r>
    </w:p>
    <w:p w14:paraId="1019FF44" w14:textId="5E73B508" w:rsidR="00A318E9" w:rsidRDefault="00D5222B" w:rsidP="00712BE6">
      <w:pPr>
        <w:spacing w:line="480" w:lineRule="auto"/>
        <w:jc w:val="both"/>
        <w:rPr>
          <w:rFonts w:ascii="Calibri" w:eastAsia="Calibri" w:hAnsi="Calibri" w:cs="Times New Roman"/>
        </w:rPr>
      </w:pPr>
      <w:r>
        <w:rPr>
          <w:rFonts w:ascii="Calibri" w:eastAsia="Calibri" w:hAnsi="Calibri" w:cs="Times New Roman"/>
        </w:rPr>
        <w:t xml:space="preserve">Purchase </w:t>
      </w:r>
      <w:r w:rsidR="004B3ACE">
        <w:rPr>
          <w:rFonts w:ascii="Calibri" w:eastAsia="Calibri" w:hAnsi="Calibri" w:cs="Times New Roman"/>
        </w:rPr>
        <w:t xml:space="preserve">data </w:t>
      </w:r>
      <w:r w:rsidR="009E14A8">
        <w:rPr>
          <w:rFonts w:ascii="Calibri" w:eastAsia="Calibri" w:hAnsi="Calibri" w:cs="Times New Roman"/>
        </w:rPr>
        <w:t>are</w:t>
      </w:r>
      <w:r w:rsidR="00712BE6" w:rsidRPr="006A7B2B">
        <w:rPr>
          <w:rFonts w:ascii="Calibri" w:eastAsia="Calibri" w:hAnsi="Calibri" w:cs="Times New Roman"/>
        </w:rPr>
        <w:t xml:space="preserve"> sent </w:t>
      </w:r>
      <w:r w:rsidR="00DA2833">
        <w:rPr>
          <w:rFonts w:ascii="Calibri" w:eastAsia="Calibri" w:hAnsi="Calibri" w:cs="Times New Roman"/>
        </w:rPr>
        <w:t>electronically</w:t>
      </w:r>
      <w:r w:rsidR="008C5CB2">
        <w:rPr>
          <w:rFonts w:ascii="Calibri" w:eastAsia="Calibri" w:hAnsi="Calibri" w:cs="Times New Roman"/>
        </w:rPr>
        <w:t xml:space="preserve"> from participating households</w:t>
      </w:r>
      <w:r w:rsidR="00DA2833">
        <w:rPr>
          <w:rFonts w:ascii="Calibri" w:eastAsia="Calibri" w:hAnsi="Calibri" w:cs="Times New Roman"/>
        </w:rPr>
        <w:t xml:space="preserve"> </w:t>
      </w:r>
      <w:r w:rsidR="00712BE6" w:rsidRPr="006A7B2B">
        <w:rPr>
          <w:rFonts w:ascii="Calibri" w:eastAsia="Calibri" w:hAnsi="Calibri" w:cs="Times New Roman"/>
        </w:rPr>
        <w:t xml:space="preserve">to KWP each week and linked to nutritional compositional data </w:t>
      </w:r>
      <w:r w:rsidR="00B4611F">
        <w:rPr>
          <w:rFonts w:ascii="Calibri" w:eastAsia="Calibri" w:hAnsi="Calibri" w:cs="Times New Roman"/>
        </w:rPr>
        <w:t xml:space="preserve">(including sugar content) </w:t>
      </w:r>
      <w:r w:rsidR="00712BE6" w:rsidRPr="006A7B2B">
        <w:rPr>
          <w:rFonts w:ascii="Calibri" w:eastAsia="Calibri" w:hAnsi="Calibri" w:cs="Times New Roman"/>
        </w:rPr>
        <w:t xml:space="preserve">collected </w:t>
      </w:r>
      <w:r w:rsidR="004412D1">
        <w:rPr>
          <w:rFonts w:ascii="Calibri" w:eastAsia="Calibri" w:hAnsi="Calibri" w:cs="Times New Roman"/>
        </w:rPr>
        <w:t xml:space="preserve">on a rolling basis </w:t>
      </w:r>
      <w:r w:rsidR="00712BE6" w:rsidRPr="006A7B2B">
        <w:rPr>
          <w:rFonts w:ascii="Calibri" w:eastAsia="Calibri" w:hAnsi="Calibri" w:cs="Times New Roman"/>
        </w:rPr>
        <w:t>by KWP field workers</w:t>
      </w:r>
      <w:r w:rsidR="004412D1">
        <w:rPr>
          <w:rFonts w:ascii="Calibri" w:eastAsia="Calibri" w:hAnsi="Calibri" w:cs="Times New Roman"/>
        </w:rPr>
        <w:t xml:space="preserve">, covering all products </w:t>
      </w:r>
      <w:r w:rsidR="00712BE6" w:rsidRPr="006A7B2B">
        <w:rPr>
          <w:rFonts w:ascii="Calibri" w:eastAsia="Calibri" w:hAnsi="Calibri" w:cs="Times New Roman"/>
        </w:rPr>
        <w:t xml:space="preserve">every </w:t>
      </w:r>
      <w:r w:rsidR="00C9271D">
        <w:rPr>
          <w:rFonts w:ascii="Calibri" w:eastAsia="Calibri" w:hAnsi="Calibri" w:cs="Times New Roman"/>
        </w:rPr>
        <w:t>six</w:t>
      </w:r>
      <w:r w:rsidR="00712BE6" w:rsidRPr="006A7B2B">
        <w:rPr>
          <w:rFonts w:ascii="Calibri" w:eastAsia="Calibri" w:hAnsi="Calibri" w:cs="Times New Roman"/>
        </w:rPr>
        <w:t xml:space="preserve"> months.</w:t>
      </w:r>
      <w:r w:rsidR="00AC7C75">
        <w:rPr>
          <w:rFonts w:ascii="Calibri" w:eastAsia="Calibri" w:hAnsi="Calibri" w:cs="Times New Roman"/>
        </w:rPr>
        <w:t xml:space="preserve"> </w:t>
      </w:r>
      <w:r w:rsidR="007A32FD">
        <w:rPr>
          <w:rFonts w:ascii="Calibri" w:eastAsia="Calibri" w:hAnsi="Calibri" w:cs="Times New Roman"/>
        </w:rPr>
        <w:t xml:space="preserve">Thus, nutritional data </w:t>
      </w:r>
      <w:r w:rsidR="005A129B">
        <w:rPr>
          <w:rFonts w:ascii="Calibri" w:eastAsia="Calibri" w:hAnsi="Calibri" w:cs="Times New Roman"/>
        </w:rPr>
        <w:t>associated with each</w:t>
      </w:r>
      <w:r w:rsidR="007A32FD">
        <w:rPr>
          <w:rFonts w:ascii="Calibri" w:eastAsia="Calibri" w:hAnsi="Calibri" w:cs="Times New Roman"/>
        </w:rPr>
        <w:t xml:space="preserve"> product in KWP changes over time in response to changes on </w:t>
      </w:r>
      <w:r w:rsidR="005A129B">
        <w:rPr>
          <w:rFonts w:ascii="Calibri" w:eastAsia="Calibri" w:hAnsi="Calibri" w:cs="Times New Roman"/>
        </w:rPr>
        <w:t xml:space="preserve">product </w:t>
      </w:r>
      <w:r w:rsidR="007A32FD">
        <w:rPr>
          <w:rFonts w:ascii="Calibri" w:eastAsia="Calibri" w:hAnsi="Calibri" w:cs="Times New Roman"/>
        </w:rPr>
        <w:t xml:space="preserve">labels. </w:t>
      </w:r>
      <w:r w:rsidR="00AC7C75">
        <w:rPr>
          <w:rFonts w:ascii="Calibri" w:eastAsia="Calibri" w:hAnsi="Calibri" w:cs="Times New Roman"/>
        </w:rPr>
        <w:t>Composition</w:t>
      </w:r>
      <w:r w:rsidR="00712BE6" w:rsidRPr="006A7B2B">
        <w:rPr>
          <w:rFonts w:ascii="Calibri" w:eastAsia="Calibri" w:hAnsi="Calibri" w:cs="Times New Roman"/>
        </w:rPr>
        <w:t xml:space="preserve"> </w:t>
      </w:r>
      <w:r w:rsidR="00AC7C75">
        <w:rPr>
          <w:rFonts w:ascii="Calibri" w:eastAsia="Calibri" w:hAnsi="Calibri" w:cs="Times New Roman"/>
        </w:rPr>
        <w:t>d</w:t>
      </w:r>
      <w:r w:rsidR="00712BE6" w:rsidRPr="006A7B2B">
        <w:rPr>
          <w:rFonts w:ascii="Calibri" w:eastAsia="Calibri" w:hAnsi="Calibri" w:cs="Times New Roman"/>
        </w:rPr>
        <w:t xml:space="preserve">ata for new products </w:t>
      </w:r>
      <w:r w:rsidR="002C3F37">
        <w:rPr>
          <w:rFonts w:ascii="Calibri" w:eastAsia="Calibri" w:hAnsi="Calibri" w:cs="Times New Roman"/>
        </w:rPr>
        <w:t>are</w:t>
      </w:r>
      <w:r w:rsidR="00712BE6" w:rsidRPr="006A7B2B">
        <w:rPr>
          <w:rFonts w:ascii="Calibri" w:eastAsia="Calibri" w:hAnsi="Calibri" w:cs="Times New Roman"/>
        </w:rPr>
        <w:t xml:space="preserve"> collected </w:t>
      </w:r>
      <w:r w:rsidR="00DA2833">
        <w:rPr>
          <w:rFonts w:ascii="Calibri" w:eastAsia="Calibri" w:hAnsi="Calibri" w:cs="Times New Roman"/>
        </w:rPr>
        <w:t xml:space="preserve">when </w:t>
      </w:r>
      <w:r w:rsidR="00712BE6" w:rsidRPr="006A7B2B">
        <w:rPr>
          <w:rFonts w:ascii="Calibri" w:eastAsia="Calibri" w:hAnsi="Calibri" w:cs="Times New Roman"/>
        </w:rPr>
        <w:t xml:space="preserve">20 purchases have been recorded within a </w:t>
      </w:r>
      <w:r w:rsidR="00C9271D">
        <w:rPr>
          <w:rFonts w:ascii="Calibri" w:eastAsia="Calibri" w:hAnsi="Calibri" w:cs="Times New Roman"/>
        </w:rPr>
        <w:t>three</w:t>
      </w:r>
      <w:r w:rsidR="00712BE6" w:rsidRPr="006A7B2B">
        <w:rPr>
          <w:rFonts w:ascii="Calibri" w:eastAsia="Calibri" w:hAnsi="Calibri" w:cs="Times New Roman"/>
        </w:rPr>
        <w:t xml:space="preserve"> month period. KWP field workers visit supermarkets and photograph </w:t>
      </w:r>
      <w:r w:rsidR="00F76E3A">
        <w:rPr>
          <w:rFonts w:ascii="Calibri" w:eastAsia="Calibri" w:hAnsi="Calibri" w:cs="Times New Roman"/>
        </w:rPr>
        <w:t xml:space="preserve">nutritional information panels </w:t>
      </w:r>
      <w:r w:rsidR="00712BE6" w:rsidRPr="006A7B2B">
        <w:rPr>
          <w:rFonts w:ascii="Calibri" w:eastAsia="Calibri" w:hAnsi="Calibri" w:cs="Times New Roman"/>
        </w:rPr>
        <w:t xml:space="preserve">identified by their barcode. </w:t>
      </w:r>
      <w:r w:rsidR="00F76E3A">
        <w:rPr>
          <w:rFonts w:ascii="Calibri" w:eastAsia="Calibri" w:hAnsi="Calibri" w:cs="Times New Roman"/>
        </w:rPr>
        <w:t>P</w:t>
      </w:r>
      <w:r w:rsidR="00712BE6" w:rsidRPr="006A7B2B">
        <w:rPr>
          <w:rFonts w:ascii="Calibri" w:eastAsia="Calibri" w:hAnsi="Calibri" w:cs="Times New Roman"/>
        </w:rPr>
        <w:t>hotographs are transcribed and linked via barcode</w:t>
      </w:r>
      <w:r w:rsidR="00E936EA">
        <w:rPr>
          <w:rFonts w:ascii="Calibri" w:eastAsia="Calibri" w:hAnsi="Calibri" w:cs="Times New Roman"/>
        </w:rPr>
        <w:t>s</w:t>
      </w:r>
      <w:r w:rsidR="00712BE6" w:rsidRPr="006A7B2B">
        <w:rPr>
          <w:rFonts w:ascii="Calibri" w:eastAsia="Calibri" w:hAnsi="Calibri" w:cs="Times New Roman"/>
        </w:rPr>
        <w:t xml:space="preserve"> to purchas</w:t>
      </w:r>
      <w:r w:rsidR="00F76E3A">
        <w:rPr>
          <w:rFonts w:ascii="Calibri" w:eastAsia="Calibri" w:hAnsi="Calibri" w:cs="Times New Roman"/>
        </w:rPr>
        <w:t>ing</w:t>
      </w:r>
      <w:r w:rsidR="00712BE6" w:rsidRPr="006A7B2B">
        <w:rPr>
          <w:rFonts w:ascii="Calibri" w:eastAsia="Calibri" w:hAnsi="Calibri" w:cs="Times New Roman"/>
        </w:rPr>
        <w:t xml:space="preserve"> record</w:t>
      </w:r>
      <w:r w:rsidR="00F76E3A">
        <w:rPr>
          <w:rFonts w:ascii="Calibri" w:eastAsia="Calibri" w:hAnsi="Calibri" w:cs="Times New Roman"/>
        </w:rPr>
        <w:t>s</w:t>
      </w:r>
      <w:r w:rsidR="00712BE6" w:rsidRPr="006A7B2B">
        <w:rPr>
          <w:rFonts w:ascii="Calibri" w:eastAsia="Calibri" w:hAnsi="Calibri" w:cs="Times New Roman"/>
        </w:rPr>
        <w:t xml:space="preserve">. </w:t>
      </w:r>
    </w:p>
    <w:p w14:paraId="4A700A65" w14:textId="0432CB60" w:rsidR="00712BE6" w:rsidRDefault="00712BE6" w:rsidP="00712BE6">
      <w:pPr>
        <w:spacing w:line="480" w:lineRule="auto"/>
        <w:jc w:val="both"/>
        <w:rPr>
          <w:rFonts w:ascii="Calibri" w:eastAsia="Calibri" w:hAnsi="Calibri" w:cs="Times New Roman"/>
        </w:rPr>
      </w:pPr>
      <w:r w:rsidRPr="006A7B2B">
        <w:rPr>
          <w:rFonts w:ascii="Calibri" w:eastAsia="Calibri" w:hAnsi="Calibri" w:cs="Times New Roman"/>
        </w:rPr>
        <w:t>Whe</w:t>
      </w:r>
      <w:r w:rsidR="005A129B">
        <w:rPr>
          <w:rFonts w:ascii="Calibri" w:eastAsia="Calibri" w:hAnsi="Calibri" w:cs="Times New Roman"/>
        </w:rPr>
        <w:t>n</w:t>
      </w:r>
      <w:r w:rsidRPr="006A7B2B">
        <w:rPr>
          <w:rFonts w:ascii="Calibri" w:eastAsia="Calibri" w:hAnsi="Calibri" w:cs="Times New Roman"/>
        </w:rPr>
        <w:t xml:space="preserve"> a product cannot be found</w:t>
      </w:r>
      <w:r w:rsidR="00E936EA">
        <w:rPr>
          <w:rFonts w:ascii="Calibri" w:eastAsia="Calibri" w:hAnsi="Calibri" w:cs="Times New Roman"/>
        </w:rPr>
        <w:t xml:space="preserve"> in </w:t>
      </w:r>
      <w:r w:rsidR="005A129B">
        <w:rPr>
          <w:rFonts w:ascii="Calibri" w:eastAsia="Calibri" w:hAnsi="Calibri" w:cs="Times New Roman"/>
        </w:rPr>
        <w:t xml:space="preserve">any </w:t>
      </w:r>
      <w:r w:rsidR="00E936EA">
        <w:rPr>
          <w:rFonts w:ascii="Calibri" w:eastAsia="Calibri" w:hAnsi="Calibri" w:cs="Times New Roman"/>
        </w:rPr>
        <w:t>supermarket</w:t>
      </w:r>
      <w:r w:rsidRPr="006A7B2B">
        <w:rPr>
          <w:rFonts w:ascii="Calibri" w:eastAsia="Calibri" w:hAnsi="Calibri" w:cs="Times New Roman"/>
        </w:rPr>
        <w:t xml:space="preserve">, nutritional information is </w:t>
      </w:r>
      <w:r w:rsidR="00271116">
        <w:rPr>
          <w:rFonts w:ascii="Calibri" w:eastAsia="Calibri" w:hAnsi="Calibri" w:cs="Times New Roman"/>
        </w:rPr>
        <w:t>substituted from elsewhere</w:t>
      </w:r>
      <w:r w:rsidR="00F76E3A">
        <w:rPr>
          <w:rFonts w:ascii="Calibri" w:eastAsia="Calibri" w:hAnsi="Calibri" w:cs="Times New Roman"/>
        </w:rPr>
        <w:t xml:space="preserve">. Ideally, </w:t>
      </w:r>
      <w:r w:rsidR="00A318E9">
        <w:rPr>
          <w:rFonts w:ascii="Calibri" w:eastAsia="Calibri" w:hAnsi="Calibri" w:cs="Times New Roman"/>
        </w:rPr>
        <w:t xml:space="preserve">data </w:t>
      </w:r>
      <w:r w:rsidR="00F76E3A">
        <w:rPr>
          <w:rFonts w:ascii="Calibri" w:eastAsia="Calibri" w:hAnsi="Calibri" w:cs="Times New Roman"/>
        </w:rPr>
        <w:t xml:space="preserve">from </w:t>
      </w:r>
      <w:r w:rsidRPr="006A7B2B">
        <w:rPr>
          <w:rFonts w:ascii="Calibri" w:eastAsia="Calibri" w:hAnsi="Calibri" w:cs="Times New Roman"/>
        </w:rPr>
        <w:t>a different sized product in the same brand</w:t>
      </w:r>
      <w:r w:rsidR="00F76E3A">
        <w:rPr>
          <w:rFonts w:ascii="Calibri" w:eastAsia="Calibri" w:hAnsi="Calibri" w:cs="Times New Roman"/>
        </w:rPr>
        <w:t xml:space="preserve"> is </w:t>
      </w:r>
      <w:r w:rsidR="00F35104">
        <w:rPr>
          <w:rFonts w:ascii="Calibri" w:eastAsia="Calibri" w:hAnsi="Calibri" w:cs="Times New Roman"/>
        </w:rPr>
        <w:t xml:space="preserve">used, </w:t>
      </w:r>
      <w:r w:rsidR="00C9271D">
        <w:rPr>
          <w:rFonts w:ascii="Calibri" w:eastAsia="Calibri" w:hAnsi="Calibri" w:cs="Times New Roman"/>
        </w:rPr>
        <w:t>(</w:t>
      </w:r>
      <w:r w:rsidR="00F35104">
        <w:rPr>
          <w:rFonts w:ascii="Calibri" w:eastAsia="Calibri" w:hAnsi="Calibri" w:cs="Times New Roman"/>
        </w:rPr>
        <w:t xml:space="preserve">e.g. </w:t>
      </w:r>
      <w:r w:rsidR="00C66542">
        <w:rPr>
          <w:rFonts w:ascii="Calibri" w:eastAsia="Calibri" w:hAnsi="Calibri" w:cs="Times New Roman"/>
        </w:rPr>
        <w:t xml:space="preserve">nutritional </w:t>
      </w:r>
      <w:r w:rsidR="00DF218F">
        <w:rPr>
          <w:rFonts w:ascii="Calibri" w:eastAsia="Calibri" w:hAnsi="Calibri" w:cs="Times New Roman"/>
        </w:rPr>
        <w:t>i</w:t>
      </w:r>
      <w:r w:rsidR="00F35104">
        <w:rPr>
          <w:rFonts w:ascii="Calibri" w:eastAsia="Calibri" w:hAnsi="Calibri" w:cs="Times New Roman"/>
        </w:rPr>
        <w:t xml:space="preserve">nformation from </w:t>
      </w:r>
      <w:r w:rsidR="00BF2F6C">
        <w:rPr>
          <w:rFonts w:ascii="Calibri" w:eastAsia="Calibri" w:hAnsi="Calibri" w:cs="Times New Roman"/>
        </w:rPr>
        <w:t xml:space="preserve">a </w:t>
      </w:r>
      <w:r w:rsidR="00F35104">
        <w:rPr>
          <w:rFonts w:ascii="Calibri" w:eastAsia="Calibri" w:hAnsi="Calibri" w:cs="Times New Roman"/>
        </w:rPr>
        <w:t xml:space="preserve">500ml </w:t>
      </w:r>
      <w:r w:rsidR="00BF2F6C">
        <w:rPr>
          <w:rFonts w:ascii="Calibri" w:eastAsia="Calibri" w:hAnsi="Calibri" w:cs="Times New Roman"/>
        </w:rPr>
        <w:t xml:space="preserve">bottle </w:t>
      </w:r>
      <w:r w:rsidR="00F35104">
        <w:rPr>
          <w:rFonts w:ascii="Calibri" w:eastAsia="Calibri" w:hAnsi="Calibri" w:cs="Times New Roman"/>
        </w:rPr>
        <w:t xml:space="preserve">for </w:t>
      </w:r>
      <w:r w:rsidR="00DA2833">
        <w:rPr>
          <w:rFonts w:ascii="Calibri" w:eastAsia="Calibri" w:hAnsi="Calibri" w:cs="Times New Roman"/>
        </w:rPr>
        <w:t xml:space="preserve">a </w:t>
      </w:r>
      <w:r w:rsidR="00F35104">
        <w:rPr>
          <w:rFonts w:ascii="Calibri" w:eastAsia="Calibri" w:hAnsi="Calibri" w:cs="Times New Roman"/>
        </w:rPr>
        <w:t>330</w:t>
      </w:r>
      <w:r w:rsidR="00BF2F6C">
        <w:rPr>
          <w:rFonts w:ascii="Calibri" w:eastAsia="Calibri" w:hAnsi="Calibri" w:cs="Times New Roman"/>
        </w:rPr>
        <w:t>ml</w:t>
      </w:r>
      <w:r w:rsidR="00F35104">
        <w:rPr>
          <w:rFonts w:ascii="Calibri" w:eastAsia="Calibri" w:hAnsi="Calibri" w:cs="Times New Roman"/>
        </w:rPr>
        <w:t xml:space="preserve"> </w:t>
      </w:r>
      <w:r w:rsidR="00BF2F6C">
        <w:rPr>
          <w:rFonts w:ascii="Calibri" w:eastAsia="Calibri" w:hAnsi="Calibri" w:cs="Times New Roman"/>
        </w:rPr>
        <w:t>can</w:t>
      </w:r>
      <w:r w:rsidR="00C9271D">
        <w:rPr>
          <w:rFonts w:ascii="Calibri" w:eastAsia="Calibri" w:hAnsi="Calibri" w:cs="Times New Roman"/>
        </w:rPr>
        <w:t>)</w:t>
      </w:r>
      <w:r w:rsidRPr="006A7B2B">
        <w:rPr>
          <w:rFonts w:ascii="Calibri" w:eastAsia="Calibri" w:hAnsi="Calibri" w:cs="Times New Roman"/>
        </w:rPr>
        <w:t xml:space="preserve">. If no </w:t>
      </w:r>
      <w:r w:rsidR="00F76E3A">
        <w:rPr>
          <w:rFonts w:ascii="Calibri" w:eastAsia="Calibri" w:hAnsi="Calibri" w:cs="Times New Roman"/>
        </w:rPr>
        <w:t xml:space="preserve">alternative </w:t>
      </w:r>
      <w:r w:rsidRPr="006A7B2B">
        <w:rPr>
          <w:rFonts w:ascii="Calibri" w:eastAsia="Calibri" w:hAnsi="Calibri" w:cs="Times New Roman"/>
        </w:rPr>
        <w:t xml:space="preserve">within the </w:t>
      </w:r>
      <w:r w:rsidR="00F76E3A">
        <w:rPr>
          <w:rFonts w:ascii="Calibri" w:eastAsia="Calibri" w:hAnsi="Calibri" w:cs="Times New Roman"/>
        </w:rPr>
        <w:t xml:space="preserve">same </w:t>
      </w:r>
      <w:r w:rsidRPr="006A7B2B">
        <w:rPr>
          <w:rFonts w:ascii="Calibri" w:eastAsia="Calibri" w:hAnsi="Calibri" w:cs="Times New Roman"/>
        </w:rPr>
        <w:t>brand exists</w:t>
      </w:r>
      <w:r w:rsidR="00F76E3A">
        <w:rPr>
          <w:rFonts w:ascii="Calibri" w:eastAsia="Calibri" w:hAnsi="Calibri" w:cs="Times New Roman"/>
        </w:rPr>
        <w:t>,</w:t>
      </w:r>
      <w:r w:rsidRPr="006A7B2B">
        <w:rPr>
          <w:rFonts w:ascii="Calibri" w:eastAsia="Calibri" w:hAnsi="Calibri" w:cs="Times New Roman"/>
        </w:rPr>
        <w:t xml:space="preserve"> the </w:t>
      </w:r>
      <w:r w:rsidR="00F76E3A">
        <w:rPr>
          <w:rFonts w:ascii="Calibri" w:eastAsia="Calibri" w:hAnsi="Calibri" w:cs="Times New Roman"/>
        </w:rPr>
        <w:t xml:space="preserve">mean </w:t>
      </w:r>
      <w:r w:rsidRPr="006A7B2B">
        <w:rPr>
          <w:rFonts w:ascii="Calibri" w:eastAsia="Calibri" w:hAnsi="Calibri" w:cs="Times New Roman"/>
        </w:rPr>
        <w:t xml:space="preserve">nutritional data </w:t>
      </w:r>
      <w:r w:rsidR="00F76E3A">
        <w:rPr>
          <w:rFonts w:ascii="Calibri" w:eastAsia="Calibri" w:hAnsi="Calibri" w:cs="Times New Roman"/>
        </w:rPr>
        <w:t xml:space="preserve">of all </w:t>
      </w:r>
      <w:r w:rsidR="00271116">
        <w:rPr>
          <w:rFonts w:ascii="Calibri" w:eastAsia="Calibri" w:hAnsi="Calibri" w:cs="Times New Roman"/>
        </w:rPr>
        <w:t xml:space="preserve">similar </w:t>
      </w:r>
      <w:r w:rsidRPr="006A7B2B">
        <w:rPr>
          <w:rFonts w:ascii="Calibri" w:eastAsia="Calibri" w:hAnsi="Calibri" w:cs="Times New Roman"/>
        </w:rPr>
        <w:t xml:space="preserve">products </w:t>
      </w:r>
      <w:r w:rsidR="00F76E3A">
        <w:rPr>
          <w:rFonts w:ascii="Calibri" w:eastAsia="Calibri" w:hAnsi="Calibri" w:cs="Times New Roman"/>
        </w:rPr>
        <w:t>is imputed</w:t>
      </w:r>
      <w:r w:rsidR="00F35104">
        <w:rPr>
          <w:rFonts w:ascii="Calibri" w:eastAsia="Calibri" w:hAnsi="Calibri" w:cs="Times New Roman"/>
        </w:rPr>
        <w:t xml:space="preserve"> </w:t>
      </w:r>
      <w:r w:rsidR="00185CA1">
        <w:rPr>
          <w:rFonts w:ascii="Calibri" w:eastAsia="Calibri" w:hAnsi="Calibri" w:cs="Times New Roman"/>
        </w:rPr>
        <w:t>(</w:t>
      </w:r>
      <w:r w:rsidR="00F35104">
        <w:rPr>
          <w:rFonts w:ascii="Calibri" w:eastAsia="Calibri" w:hAnsi="Calibri" w:cs="Times New Roman"/>
        </w:rPr>
        <w:t>e.g. all cola</w:t>
      </w:r>
      <w:r w:rsidR="00185CA1">
        <w:rPr>
          <w:rFonts w:ascii="Calibri" w:eastAsia="Calibri" w:hAnsi="Calibri" w:cs="Times New Roman"/>
        </w:rPr>
        <w:t xml:space="preserve"> drinks)</w:t>
      </w:r>
      <w:r w:rsidR="00F35104">
        <w:rPr>
          <w:rFonts w:ascii="Calibri" w:eastAsia="Calibri" w:hAnsi="Calibri" w:cs="Times New Roman"/>
        </w:rPr>
        <w:t>.</w:t>
      </w:r>
      <w:r w:rsidRPr="006A7B2B">
        <w:rPr>
          <w:rFonts w:ascii="Calibri" w:eastAsia="Calibri" w:hAnsi="Calibri" w:cs="Times New Roman"/>
        </w:rPr>
        <w:t xml:space="preserve"> </w:t>
      </w:r>
      <w:r w:rsidR="00A318E9">
        <w:rPr>
          <w:rFonts w:ascii="Calibri" w:eastAsia="Calibri" w:hAnsi="Calibri" w:cs="Times New Roman"/>
        </w:rPr>
        <w:t xml:space="preserve">Where </w:t>
      </w:r>
      <w:r w:rsidR="005A129B">
        <w:rPr>
          <w:rFonts w:ascii="Calibri" w:eastAsia="Calibri" w:hAnsi="Calibri" w:cs="Times New Roman"/>
        </w:rPr>
        <w:t xml:space="preserve">a </w:t>
      </w:r>
      <w:r w:rsidR="00A318E9">
        <w:rPr>
          <w:rFonts w:ascii="Calibri" w:eastAsia="Calibri" w:hAnsi="Calibri" w:cs="Times New Roman"/>
        </w:rPr>
        <w:t xml:space="preserve">product included a mix of imputed and observed sugar </w:t>
      </w:r>
      <w:r w:rsidR="00A318E9" w:rsidRPr="006A7B2B">
        <w:rPr>
          <w:rFonts w:ascii="Calibri" w:eastAsia="Calibri" w:hAnsi="Calibri" w:cs="Times New Roman"/>
        </w:rPr>
        <w:t>content</w:t>
      </w:r>
      <w:r w:rsidR="00A318E9">
        <w:rPr>
          <w:rFonts w:ascii="Calibri" w:eastAsia="Calibri" w:hAnsi="Calibri" w:cs="Times New Roman"/>
        </w:rPr>
        <w:t xml:space="preserve"> values</w:t>
      </w:r>
      <w:r w:rsidR="007A32FD">
        <w:rPr>
          <w:rFonts w:ascii="Calibri" w:eastAsia="Calibri" w:hAnsi="Calibri" w:cs="Times New Roman"/>
        </w:rPr>
        <w:t xml:space="preserve"> over the study period</w:t>
      </w:r>
      <w:r w:rsidR="00A318E9">
        <w:rPr>
          <w:rFonts w:ascii="Calibri" w:eastAsia="Calibri" w:hAnsi="Calibri" w:cs="Times New Roman"/>
        </w:rPr>
        <w:t xml:space="preserve">, we replaced imputed values by the last previously observed valued. As nutritional information panels are not generally </w:t>
      </w:r>
      <w:r w:rsidR="00A318E9">
        <w:rPr>
          <w:rFonts w:ascii="Calibri" w:eastAsia="Calibri" w:hAnsi="Calibri" w:cs="Times New Roman"/>
        </w:rPr>
        <w:lastRenderedPageBreak/>
        <w:t>displayed on alcoholic drinks in the UK, we did not study sugar in purchases of alcoholic drinks. P</w:t>
      </w:r>
      <w:r w:rsidRPr="006A7B2B">
        <w:rPr>
          <w:rFonts w:ascii="Calibri" w:eastAsia="Calibri" w:hAnsi="Calibri" w:cs="Times New Roman"/>
        </w:rPr>
        <w:t xml:space="preserve">roducts </w:t>
      </w:r>
      <w:r w:rsidR="00A318E9">
        <w:rPr>
          <w:rFonts w:ascii="Calibri" w:eastAsia="Calibri" w:hAnsi="Calibri" w:cs="Times New Roman"/>
        </w:rPr>
        <w:t xml:space="preserve">in other categories </w:t>
      </w:r>
      <w:r w:rsidRPr="006A7B2B">
        <w:rPr>
          <w:rFonts w:ascii="Calibri" w:eastAsia="Calibri" w:hAnsi="Calibri" w:cs="Times New Roman"/>
        </w:rPr>
        <w:t>that contained only imputed sugar values were excluded.</w:t>
      </w:r>
      <w:r w:rsidR="00F76E3A">
        <w:rPr>
          <w:rFonts w:ascii="Calibri" w:eastAsia="Calibri" w:hAnsi="Calibri" w:cs="Times New Roman"/>
        </w:rPr>
        <w:t xml:space="preserve"> </w:t>
      </w:r>
      <w:r w:rsidR="00A318E9">
        <w:rPr>
          <w:rFonts w:ascii="Calibri" w:eastAsia="Calibri" w:hAnsi="Calibri" w:cs="Times New Roman"/>
        </w:rPr>
        <w:t xml:space="preserve">This included all </w:t>
      </w:r>
      <w:r w:rsidRPr="006A7B2B">
        <w:rPr>
          <w:rFonts w:ascii="Calibri" w:eastAsia="Calibri" w:hAnsi="Calibri" w:cs="Times New Roman"/>
        </w:rPr>
        <w:t>produc</w:t>
      </w:r>
      <w:r w:rsidR="00A318E9">
        <w:rPr>
          <w:rFonts w:ascii="Calibri" w:eastAsia="Calibri" w:hAnsi="Calibri" w:cs="Times New Roman"/>
        </w:rPr>
        <w:t>ts in the skimmed milk category</w:t>
      </w:r>
      <w:r w:rsidRPr="006A7B2B">
        <w:rPr>
          <w:rFonts w:ascii="Calibri" w:eastAsia="Calibri" w:hAnsi="Calibri" w:cs="Times New Roman"/>
        </w:rPr>
        <w:t xml:space="preserve">. </w:t>
      </w:r>
      <w:r w:rsidR="00A318E9">
        <w:rPr>
          <w:rFonts w:ascii="Calibri" w:eastAsia="Calibri" w:hAnsi="Calibri" w:cs="Times New Roman"/>
        </w:rPr>
        <w:t>W</w:t>
      </w:r>
      <w:r w:rsidR="008C5CB2">
        <w:rPr>
          <w:rFonts w:ascii="Calibri" w:eastAsia="Calibri" w:hAnsi="Calibri" w:cs="Times New Roman"/>
        </w:rPr>
        <w:t xml:space="preserve">e </w:t>
      </w:r>
      <w:r w:rsidR="00A318E9">
        <w:rPr>
          <w:rFonts w:ascii="Calibri" w:eastAsia="Calibri" w:hAnsi="Calibri" w:cs="Times New Roman"/>
        </w:rPr>
        <w:t>checked</w:t>
      </w:r>
      <w:r w:rsidR="008C5CB2">
        <w:rPr>
          <w:rFonts w:ascii="Calibri" w:eastAsia="Calibri" w:hAnsi="Calibri" w:cs="Times New Roman"/>
        </w:rPr>
        <w:t xml:space="preserve"> the validity of the </w:t>
      </w:r>
      <w:r w:rsidR="00A318E9">
        <w:rPr>
          <w:rFonts w:ascii="Calibri" w:eastAsia="Calibri" w:hAnsi="Calibri" w:cs="Times New Roman"/>
        </w:rPr>
        <w:t xml:space="preserve">remaining </w:t>
      </w:r>
      <w:r w:rsidR="008C5CB2">
        <w:rPr>
          <w:rFonts w:ascii="Calibri" w:eastAsia="Calibri" w:hAnsi="Calibri" w:cs="Times New Roman"/>
        </w:rPr>
        <w:t xml:space="preserve">nutritional data and found that it was highly correlated with </w:t>
      </w:r>
      <w:r w:rsidR="00271116">
        <w:rPr>
          <w:rFonts w:ascii="Calibri" w:eastAsia="Calibri" w:hAnsi="Calibri" w:cs="Times New Roman"/>
        </w:rPr>
        <w:t>contemporaneous</w:t>
      </w:r>
      <w:r w:rsidR="008C5CB2">
        <w:rPr>
          <w:rFonts w:ascii="Calibri" w:eastAsia="Calibri" w:hAnsi="Calibri" w:cs="Times New Roman"/>
        </w:rPr>
        <w:t xml:space="preserve"> nutritional data on supermarket websites (see </w:t>
      </w:r>
      <w:r w:rsidR="00271116">
        <w:rPr>
          <w:rFonts w:ascii="Calibri" w:eastAsia="Calibri" w:hAnsi="Calibri" w:cs="Times New Roman"/>
        </w:rPr>
        <w:t xml:space="preserve">Supplementary Material </w:t>
      </w:r>
      <w:r w:rsidR="002178DA">
        <w:rPr>
          <w:rFonts w:ascii="Calibri" w:eastAsia="Calibri" w:hAnsi="Calibri" w:cs="Times New Roman"/>
        </w:rPr>
        <w:t>F</w:t>
      </w:r>
      <w:r w:rsidR="008C5CB2">
        <w:rPr>
          <w:rFonts w:ascii="Calibri" w:eastAsia="Calibri" w:hAnsi="Calibri" w:cs="Times New Roman"/>
        </w:rPr>
        <w:t>)</w:t>
      </w:r>
      <w:r w:rsidR="00A71565">
        <w:rPr>
          <w:rFonts w:ascii="Calibri" w:eastAsia="Calibri" w:hAnsi="Calibri" w:cs="Times New Roman"/>
        </w:rPr>
        <w:t xml:space="preserve"> and that the imputed products were spread evenly across drinks categories</w:t>
      </w:r>
      <w:r w:rsidR="008C5CB2">
        <w:rPr>
          <w:rFonts w:ascii="Calibri" w:eastAsia="Calibri" w:hAnsi="Calibri" w:cs="Times New Roman"/>
        </w:rPr>
        <w:t xml:space="preserve">. </w:t>
      </w:r>
    </w:p>
    <w:p w14:paraId="381CEB6D" w14:textId="0B10EE8A" w:rsidR="005A129B" w:rsidRDefault="00DA2833" w:rsidP="00712BE6">
      <w:pPr>
        <w:spacing w:line="480" w:lineRule="auto"/>
        <w:jc w:val="both"/>
        <w:rPr>
          <w:rFonts w:ascii="Calibri" w:eastAsia="Calibri" w:hAnsi="Calibri" w:cs="Times New Roman"/>
        </w:rPr>
      </w:pPr>
      <w:r>
        <w:rPr>
          <w:rFonts w:ascii="Calibri" w:eastAsia="Calibri" w:hAnsi="Calibri" w:cs="Times New Roman"/>
        </w:rPr>
        <w:t>H</w:t>
      </w:r>
      <w:r w:rsidR="00712BE6" w:rsidRPr="006A7B2B">
        <w:rPr>
          <w:rFonts w:ascii="Calibri" w:eastAsia="Calibri" w:hAnsi="Calibri" w:cs="Times New Roman"/>
        </w:rPr>
        <w:t xml:space="preserve">ouseholds that </w:t>
      </w:r>
      <w:r w:rsidR="00A318E9">
        <w:rPr>
          <w:rFonts w:ascii="Calibri" w:eastAsia="Calibri" w:hAnsi="Calibri" w:cs="Times New Roman"/>
        </w:rPr>
        <w:t>record</w:t>
      </w:r>
      <w:r w:rsidR="005D77A7">
        <w:rPr>
          <w:rFonts w:ascii="Calibri" w:eastAsia="Calibri" w:hAnsi="Calibri" w:cs="Times New Roman"/>
        </w:rPr>
        <w:t xml:space="preserve"> </w:t>
      </w:r>
      <w:r w:rsidR="00C9271D">
        <w:rPr>
          <w:rFonts w:ascii="Calibri" w:eastAsia="Calibri" w:hAnsi="Calibri" w:cs="Times New Roman"/>
        </w:rPr>
        <w:t>five</w:t>
      </w:r>
      <w:r w:rsidR="005D77A7">
        <w:rPr>
          <w:rFonts w:ascii="Calibri" w:eastAsia="Calibri" w:hAnsi="Calibri" w:cs="Times New Roman"/>
        </w:rPr>
        <w:t xml:space="preserve"> or </w:t>
      </w:r>
      <w:r w:rsidR="00CC1AAF">
        <w:rPr>
          <w:rFonts w:ascii="Calibri" w:eastAsia="Calibri" w:hAnsi="Calibri" w:cs="Times New Roman"/>
        </w:rPr>
        <w:t>fewer</w:t>
      </w:r>
      <w:r w:rsidR="00712BE6" w:rsidRPr="006A7B2B">
        <w:rPr>
          <w:rFonts w:ascii="Calibri" w:eastAsia="Calibri" w:hAnsi="Calibri" w:cs="Times New Roman"/>
        </w:rPr>
        <w:t xml:space="preserve"> purchases per week </w:t>
      </w:r>
      <w:r w:rsidR="00A318E9">
        <w:rPr>
          <w:rFonts w:ascii="Calibri" w:eastAsia="Calibri" w:hAnsi="Calibri" w:cs="Times New Roman"/>
        </w:rPr>
        <w:t xml:space="preserve">are </w:t>
      </w:r>
      <w:r w:rsidR="00712BE6" w:rsidRPr="006A7B2B">
        <w:rPr>
          <w:rFonts w:ascii="Calibri" w:eastAsia="Calibri" w:hAnsi="Calibri" w:cs="Times New Roman"/>
        </w:rPr>
        <w:t xml:space="preserve">excluded </w:t>
      </w:r>
      <w:r w:rsidR="00A318E9">
        <w:rPr>
          <w:rFonts w:ascii="Calibri" w:eastAsia="Calibri" w:hAnsi="Calibri" w:cs="Times New Roman"/>
        </w:rPr>
        <w:t xml:space="preserve">by KWP </w:t>
      </w:r>
      <w:r w:rsidR="00712BE6" w:rsidRPr="006A7B2B">
        <w:rPr>
          <w:rFonts w:ascii="Calibri" w:eastAsia="Calibri" w:hAnsi="Calibri" w:cs="Times New Roman"/>
        </w:rPr>
        <w:t xml:space="preserve">along with households whose adjusted weekly spending </w:t>
      </w:r>
      <w:r w:rsidR="00A318E9">
        <w:rPr>
          <w:rFonts w:ascii="Calibri" w:eastAsia="Calibri" w:hAnsi="Calibri" w:cs="Times New Roman"/>
        </w:rPr>
        <w:t>does</w:t>
      </w:r>
      <w:r w:rsidR="00875AC9">
        <w:rPr>
          <w:rFonts w:ascii="Calibri" w:eastAsia="Calibri" w:hAnsi="Calibri" w:cs="Times New Roman"/>
        </w:rPr>
        <w:t xml:space="preserve"> not meet </w:t>
      </w:r>
      <w:r w:rsidR="00155D28">
        <w:rPr>
          <w:rFonts w:ascii="Calibri" w:eastAsia="Calibri" w:hAnsi="Calibri" w:cs="Times New Roman"/>
        </w:rPr>
        <w:t>a</w:t>
      </w:r>
      <w:r w:rsidR="00481EB5">
        <w:rPr>
          <w:rFonts w:ascii="Calibri" w:eastAsia="Calibri" w:hAnsi="Calibri" w:cs="Times New Roman"/>
        </w:rPr>
        <w:t>n</w:t>
      </w:r>
      <w:r w:rsidR="00155D28">
        <w:rPr>
          <w:rFonts w:ascii="Calibri" w:eastAsia="Calibri" w:hAnsi="Calibri" w:cs="Times New Roman"/>
        </w:rPr>
        <w:t xml:space="preserve"> </w:t>
      </w:r>
      <w:r w:rsidR="00271116">
        <w:rPr>
          <w:rFonts w:ascii="Calibri" w:eastAsia="Calibri" w:hAnsi="Calibri" w:cs="Times New Roman"/>
        </w:rPr>
        <w:t xml:space="preserve">undisclosed proprietary </w:t>
      </w:r>
      <w:r w:rsidR="00875AC9">
        <w:rPr>
          <w:rFonts w:ascii="Calibri" w:eastAsia="Calibri" w:hAnsi="Calibri" w:cs="Times New Roman"/>
        </w:rPr>
        <w:t xml:space="preserve">minimum </w:t>
      </w:r>
      <w:r w:rsidR="00271116">
        <w:rPr>
          <w:rFonts w:ascii="Calibri" w:eastAsia="Calibri" w:hAnsi="Calibri" w:cs="Times New Roman"/>
        </w:rPr>
        <w:t>value</w:t>
      </w:r>
      <w:r w:rsidR="00712BE6" w:rsidRPr="006A7B2B">
        <w:rPr>
          <w:rFonts w:ascii="Calibri" w:eastAsia="Calibri" w:hAnsi="Calibri" w:cs="Times New Roman"/>
        </w:rPr>
        <w:t xml:space="preserve">. </w:t>
      </w:r>
      <w:r w:rsidR="005E4254">
        <w:rPr>
          <w:rFonts w:ascii="Calibri" w:eastAsia="Calibri" w:hAnsi="Calibri" w:cs="Times New Roman"/>
        </w:rPr>
        <w:t>KWP</w:t>
      </w:r>
      <w:r w:rsidR="00A318E9">
        <w:rPr>
          <w:rFonts w:ascii="Calibri" w:eastAsia="Calibri" w:hAnsi="Calibri" w:cs="Times New Roman"/>
        </w:rPr>
        <w:t xml:space="preserve"> </w:t>
      </w:r>
      <w:r w:rsidR="008509E3">
        <w:rPr>
          <w:rFonts w:ascii="Calibri" w:eastAsia="Calibri" w:hAnsi="Calibri" w:cs="Times New Roman"/>
        </w:rPr>
        <w:t xml:space="preserve">applies </w:t>
      </w:r>
      <w:r w:rsidR="00A318E9">
        <w:rPr>
          <w:rFonts w:ascii="Calibri" w:eastAsia="Calibri" w:hAnsi="Calibri" w:cs="Times New Roman"/>
        </w:rPr>
        <w:t>weight</w:t>
      </w:r>
      <w:r w:rsidR="005D7A99">
        <w:rPr>
          <w:rFonts w:ascii="Calibri" w:eastAsia="Calibri" w:hAnsi="Calibri" w:cs="Times New Roman"/>
        </w:rPr>
        <w:t xml:space="preserve">s </w:t>
      </w:r>
      <w:r w:rsidR="008509E3">
        <w:rPr>
          <w:rFonts w:ascii="Calibri" w:eastAsia="Calibri" w:hAnsi="Calibri" w:cs="Times New Roman"/>
        </w:rPr>
        <w:t xml:space="preserve">to </w:t>
      </w:r>
      <w:r w:rsidR="00A318E9">
        <w:rPr>
          <w:rFonts w:ascii="Calibri" w:eastAsia="Calibri" w:hAnsi="Calibri" w:cs="Times New Roman"/>
        </w:rPr>
        <w:t xml:space="preserve">purchases </w:t>
      </w:r>
      <w:r w:rsidR="005D7A99">
        <w:rPr>
          <w:rFonts w:ascii="Calibri" w:eastAsia="Calibri" w:hAnsi="Calibri" w:cs="Times New Roman"/>
        </w:rPr>
        <w:t xml:space="preserve">to </w:t>
      </w:r>
      <w:r w:rsidR="00A318E9">
        <w:rPr>
          <w:rFonts w:ascii="Calibri" w:eastAsia="Calibri" w:hAnsi="Calibri" w:cs="Times New Roman"/>
        </w:rPr>
        <w:t>adjust</w:t>
      </w:r>
      <w:r w:rsidR="00712BE6" w:rsidRPr="006A7B2B">
        <w:rPr>
          <w:rFonts w:ascii="Calibri" w:eastAsia="Calibri" w:hAnsi="Calibri" w:cs="Times New Roman"/>
        </w:rPr>
        <w:t xml:space="preserve"> for</w:t>
      </w:r>
      <w:r w:rsidR="005E4254">
        <w:rPr>
          <w:rFonts w:ascii="Calibri" w:eastAsia="Calibri" w:hAnsi="Calibri" w:cs="Times New Roman"/>
        </w:rPr>
        <w:t xml:space="preserve"> </w:t>
      </w:r>
      <w:r w:rsidR="00712BE6" w:rsidRPr="006A7B2B">
        <w:rPr>
          <w:rFonts w:ascii="Calibri" w:eastAsia="Calibri" w:hAnsi="Calibri" w:cs="Times New Roman"/>
        </w:rPr>
        <w:t>households</w:t>
      </w:r>
      <w:r w:rsidR="00BF3789">
        <w:rPr>
          <w:rFonts w:ascii="Calibri" w:eastAsia="Calibri" w:hAnsi="Calibri" w:cs="Times New Roman"/>
        </w:rPr>
        <w:t xml:space="preserve"> </w:t>
      </w:r>
      <w:r w:rsidR="005D7A99">
        <w:rPr>
          <w:rFonts w:ascii="Calibri" w:eastAsia="Calibri" w:hAnsi="Calibri" w:cs="Times New Roman"/>
        </w:rPr>
        <w:t>excluded due to minimum purchase or spend</w:t>
      </w:r>
      <w:r w:rsidR="00481EB5">
        <w:rPr>
          <w:rFonts w:ascii="Calibri" w:eastAsia="Calibri" w:hAnsi="Calibri" w:cs="Times New Roman"/>
        </w:rPr>
        <w:t>ing</w:t>
      </w:r>
      <w:r w:rsidR="005D7A99">
        <w:rPr>
          <w:rFonts w:ascii="Calibri" w:eastAsia="Calibri" w:hAnsi="Calibri" w:cs="Times New Roman"/>
        </w:rPr>
        <w:t xml:space="preserve"> thresholds, </w:t>
      </w:r>
      <w:r w:rsidR="005E4254">
        <w:rPr>
          <w:rFonts w:ascii="Calibri" w:eastAsia="Calibri" w:hAnsi="Calibri" w:cs="Times New Roman"/>
        </w:rPr>
        <w:t xml:space="preserve">and </w:t>
      </w:r>
      <w:r w:rsidR="005D7A99">
        <w:rPr>
          <w:rFonts w:ascii="Calibri" w:eastAsia="Calibri" w:hAnsi="Calibri" w:cs="Times New Roman"/>
        </w:rPr>
        <w:t>t</w:t>
      </w:r>
      <w:r w:rsidR="008509E3">
        <w:rPr>
          <w:rFonts w:ascii="Calibri" w:eastAsia="Calibri" w:hAnsi="Calibri" w:cs="Times New Roman"/>
        </w:rPr>
        <w:t>o</w:t>
      </w:r>
      <w:r w:rsidR="005D7A99">
        <w:rPr>
          <w:rFonts w:ascii="Calibri" w:eastAsia="Calibri" w:hAnsi="Calibri" w:cs="Times New Roman"/>
        </w:rPr>
        <w:t xml:space="preserve"> </w:t>
      </w:r>
      <w:r w:rsidR="008509E3">
        <w:rPr>
          <w:rFonts w:ascii="Calibri" w:eastAsia="Calibri" w:hAnsi="Calibri" w:cs="Times New Roman"/>
        </w:rPr>
        <w:t xml:space="preserve">maintain the </w:t>
      </w:r>
      <w:r w:rsidR="00520CA1">
        <w:rPr>
          <w:rFonts w:ascii="Calibri" w:eastAsia="Calibri" w:hAnsi="Calibri" w:cs="Times New Roman"/>
        </w:rPr>
        <w:t xml:space="preserve">representativeness </w:t>
      </w:r>
      <w:r w:rsidR="008509E3">
        <w:rPr>
          <w:rFonts w:ascii="Calibri" w:eastAsia="Calibri" w:hAnsi="Calibri" w:cs="Times New Roman"/>
        </w:rPr>
        <w:t>of the panel</w:t>
      </w:r>
      <w:r w:rsidR="005D7A99">
        <w:rPr>
          <w:rFonts w:ascii="Calibri" w:eastAsia="Calibri" w:hAnsi="Calibri" w:cs="Times New Roman"/>
        </w:rPr>
        <w:t xml:space="preserve">. These weights were </w:t>
      </w:r>
      <w:r w:rsidR="00271116">
        <w:rPr>
          <w:rFonts w:ascii="Calibri" w:eastAsia="Calibri" w:hAnsi="Calibri" w:cs="Times New Roman"/>
        </w:rPr>
        <w:t>used in all analyses and ensure</w:t>
      </w:r>
      <w:r w:rsidR="005D7A99">
        <w:rPr>
          <w:rFonts w:ascii="Calibri" w:eastAsia="Calibri" w:hAnsi="Calibri" w:cs="Times New Roman"/>
        </w:rPr>
        <w:t xml:space="preserve"> that the </w:t>
      </w:r>
      <w:r w:rsidR="00C9271D">
        <w:rPr>
          <w:rFonts w:ascii="Calibri" w:eastAsia="Calibri" w:hAnsi="Calibri" w:cs="Times New Roman"/>
        </w:rPr>
        <w:t>panel</w:t>
      </w:r>
      <w:r w:rsidR="005D7A99">
        <w:rPr>
          <w:rFonts w:ascii="Calibri" w:eastAsia="Calibri" w:hAnsi="Calibri" w:cs="Times New Roman"/>
        </w:rPr>
        <w:t>, and all purchases within it, are</w:t>
      </w:r>
      <w:r w:rsidR="00C9271D">
        <w:rPr>
          <w:rFonts w:ascii="Calibri" w:eastAsia="Calibri" w:hAnsi="Calibri" w:cs="Times New Roman"/>
        </w:rPr>
        <w:t xml:space="preserve"> </w:t>
      </w:r>
      <w:r w:rsidR="005D7A99">
        <w:rPr>
          <w:rFonts w:ascii="Calibri" w:eastAsia="Calibri" w:hAnsi="Calibri" w:cs="Times New Roman"/>
        </w:rPr>
        <w:t xml:space="preserve">considered </w:t>
      </w:r>
      <w:r w:rsidR="00712BE6" w:rsidRPr="006A7B2B">
        <w:rPr>
          <w:rFonts w:ascii="Calibri" w:eastAsia="Calibri" w:hAnsi="Calibri" w:cs="Times New Roman"/>
        </w:rPr>
        <w:t xml:space="preserve">representative </w:t>
      </w:r>
      <w:r w:rsidR="00185CA1">
        <w:rPr>
          <w:rFonts w:ascii="Calibri" w:eastAsia="Calibri" w:hAnsi="Calibri" w:cs="Times New Roman"/>
        </w:rPr>
        <w:t>of</w:t>
      </w:r>
      <w:r w:rsidR="00271116">
        <w:rPr>
          <w:rFonts w:ascii="Calibri" w:eastAsia="Calibri" w:hAnsi="Calibri" w:cs="Times New Roman"/>
        </w:rPr>
        <w:t xml:space="preserve"> all</w:t>
      </w:r>
      <w:r w:rsidR="00185CA1">
        <w:rPr>
          <w:rFonts w:ascii="Calibri" w:eastAsia="Calibri" w:hAnsi="Calibri" w:cs="Times New Roman"/>
        </w:rPr>
        <w:t xml:space="preserve"> </w:t>
      </w:r>
      <w:r w:rsidR="00E74FE8">
        <w:rPr>
          <w:rFonts w:ascii="Calibri" w:eastAsia="Calibri" w:hAnsi="Calibri" w:cs="Times New Roman"/>
        </w:rPr>
        <w:t>British</w:t>
      </w:r>
      <w:r w:rsidR="00712BE6" w:rsidRPr="006A7B2B">
        <w:rPr>
          <w:rFonts w:ascii="Calibri" w:eastAsia="Calibri" w:hAnsi="Calibri" w:cs="Times New Roman"/>
        </w:rPr>
        <w:t xml:space="preserve"> household</w:t>
      </w:r>
      <w:r w:rsidR="00C9271D">
        <w:rPr>
          <w:rFonts w:ascii="Calibri" w:eastAsia="Calibri" w:hAnsi="Calibri" w:cs="Times New Roman"/>
        </w:rPr>
        <w:t>s</w:t>
      </w:r>
      <w:r w:rsidR="005D7A99">
        <w:rPr>
          <w:rFonts w:ascii="Calibri" w:eastAsia="Calibri" w:hAnsi="Calibri" w:cs="Times New Roman"/>
        </w:rPr>
        <w:t xml:space="preserve"> and purchases</w:t>
      </w:r>
      <w:r w:rsidR="00712BE6" w:rsidRPr="006A7B2B">
        <w:rPr>
          <w:rFonts w:ascii="Calibri" w:eastAsia="Calibri" w:hAnsi="Calibri" w:cs="Times New Roman"/>
        </w:rPr>
        <w:t>.</w:t>
      </w:r>
      <w:r w:rsidR="0043376A">
        <w:rPr>
          <w:rFonts w:ascii="Calibri" w:eastAsia="Calibri" w:hAnsi="Calibri" w:cs="Times New Roman"/>
        </w:rPr>
        <w:t xml:space="preserve"> </w:t>
      </w:r>
      <w:r w:rsidR="005D7A99">
        <w:rPr>
          <w:rFonts w:ascii="Calibri" w:eastAsia="Calibri" w:hAnsi="Calibri" w:cs="Times New Roman"/>
        </w:rPr>
        <w:t>In particular, our data represent mean purchases</w:t>
      </w:r>
      <w:r w:rsidR="001F1E9A">
        <w:rPr>
          <w:rFonts w:ascii="Calibri" w:eastAsia="Calibri" w:hAnsi="Calibri" w:cs="Times New Roman"/>
        </w:rPr>
        <w:t xml:space="preserve"> per </w:t>
      </w:r>
      <w:r w:rsidR="005D7A99">
        <w:rPr>
          <w:rFonts w:ascii="Calibri" w:eastAsia="Calibri" w:hAnsi="Calibri" w:cs="Times New Roman"/>
        </w:rPr>
        <w:t>household</w:t>
      </w:r>
      <w:r w:rsidR="001F1E9A">
        <w:rPr>
          <w:rFonts w:ascii="Calibri" w:eastAsia="Calibri" w:hAnsi="Calibri" w:cs="Times New Roman"/>
        </w:rPr>
        <w:t xml:space="preserve"> per </w:t>
      </w:r>
      <w:r w:rsidR="00A068A9">
        <w:rPr>
          <w:rFonts w:ascii="Calibri" w:eastAsia="Calibri" w:hAnsi="Calibri" w:cs="Times New Roman"/>
        </w:rPr>
        <w:t>week across all British</w:t>
      </w:r>
      <w:r w:rsidR="005D7A99">
        <w:rPr>
          <w:rFonts w:ascii="Calibri" w:eastAsia="Calibri" w:hAnsi="Calibri" w:cs="Times New Roman"/>
        </w:rPr>
        <w:t xml:space="preserve"> households</w:t>
      </w:r>
      <w:r w:rsidR="00271116">
        <w:rPr>
          <w:rFonts w:ascii="Calibri" w:eastAsia="Calibri" w:hAnsi="Calibri" w:cs="Times New Roman"/>
        </w:rPr>
        <w:t xml:space="preserve"> including non-purchasing households</w:t>
      </w:r>
      <w:r w:rsidR="005D7A99">
        <w:rPr>
          <w:rFonts w:ascii="Calibri" w:eastAsia="Calibri" w:hAnsi="Calibri" w:cs="Times New Roman"/>
        </w:rPr>
        <w:t xml:space="preserve">, rather than across all </w:t>
      </w:r>
      <w:r w:rsidR="00A068A9">
        <w:rPr>
          <w:rFonts w:ascii="Calibri" w:eastAsia="Calibri" w:hAnsi="Calibri" w:cs="Times New Roman"/>
        </w:rPr>
        <w:t>British</w:t>
      </w:r>
      <w:r w:rsidR="005D7A99">
        <w:rPr>
          <w:rFonts w:ascii="Calibri" w:eastAsia="Calibri" w:hAnsi="Calibri" w:cs="Times New Roman"/>
        </w:rPr>
        <w:t xml:space="preserve"> households that purchased a particular product, or group of products. </w:t>
      </w:r>
    </w:p>
    <w:p w14:paraId="2E7AB8EF" w14:textId="2EBA0EFB" w:rsidR="006A7B2B" w:rsidRPr="00C9271D" w:rsidRDefault="009B4880" w:rsidP="006A7B2B">
      <w:pPr>
        <w:spacing w:line="480" w:lineRule="auto"/>
        <w:jc w:val="both"/>
        <w:rPr>
          <w:rFonts w:ascii="Calibri" w:eastAsia="Calibri" w:hAnsi="Calibri" w:cs="Times New Roman"/>
          <w:b/>
          <w:i/>
        </w:rPr>
      </w:pPr>
      <w:r w:rsidRPr="00C9271D">
        <w:rPr>
          <w:rFonts w:ascii="Calibri" w:eastAsia="Calibri" w:hAnsi="Calibri" w:cs="Times New Roman"/>
          <w:b/>
          <w:i/>
        </w:rPr>
        <w:t xml:space="preserve">Drink </w:t>
      </w:r>
      <w:r w:rsidR="006A7B2B" w:rsidRPr="00C9271D">
        <w:rPr>
          <w:rFonts w:ascii="Calibri" w:eastAsia="Calibri" w:hAnsi="Calibri" w:cs="Times New Roman"/>
          <w:b/>
          <w:i/>
        </w:rPr>
        <w:t>categories</w:t>
      </w:r>
    </w:p>
    <w:p w14:paraId="17D4570F" w14:textId="41CF9047" w:rsidR="005D7A99" w:rsidRDefault="009B4880" w:rsidP="006A7B2B">
      <w:pPr>
        <w:spacing w:line="480" w:lineRule="auto"/>
        <w:jc w:val="both"/>
        <w:rPr>
          <w:rFonts w:ascii="Calibri" w:eastAsia="Calibri" w:hAnsi="Calibri" w:cs="Times New Roman"/>
        </w:rPr>
      </w:pPr>
      <w:r>
        <w:rPr>
          <w:rFonts w:ascii="Calibri" w:eastAsia="Calibri" w:hAnsi="Calibri" w:cs="Times New Roman"/>
        </w:rPr>
        <w:t>D</w:t>
      </w:r>
      <w:r w:rsidR="006A7B2B" w:rsidRPr="006A7B2B">
        <w:rPr>
          <w:rFonts w:ascii="Calibri" w:eastAsia="Calibri" w:hAnsi="Calibri" w:cs="Times New Roman"/>
        </w:rPr>
        <w:t xml:space="preserve">rinks </w:t>
      </w:r>
      <w:r w:rsidR="00227FCA">
        <w:rPr>
          <w:rFonts w:ascii="Calibri" w:eastAsia="Calibri" w:hAnsi="Calibri" w:cs="Times New Roman"/>
        </w:rPr>
        <w:t>liable</w:t>
      </w:r>
      <w:r w:rsidR="00E936EA">
        <w:rPr>
          <w:rFonts w:ascii="Calibri" w:eastAsia="Calibri" w:hAnsi="Calibri" w:cs="Times New Roman"/>
        </w:rPr>
        <w:t xml:space="preserve"> </w:t>
      </w:r>
      <w:r w:rsidR="006D2F29">
        <w:rPr>
          <w:rFonts w:ascii="Calibri" w:eastAsia="Calibri" w:hAnsi="Calibri" w:cs="Times New Roman"/>
        </w:rPr>
        <w:t>for</w:t>
      </w:r>
      <w:r w:rsidR="00E936EA">
        <w:rPr>
          <w:rFonts w:ascii="Calibri" w:eastAsia="Calibri" w:hAnsi="Calibri" w:cs="Times New Roman"/>
        </w:rPr>
        <w:t xml:space="preserve"> the SDIL </w:t>
      </w:r>
      <w:r w:rsidR="006A7B2B" w:rsidRPr="006A7B2B">
        <w:rPr>
          <w:rFonts w:ascii="Calibri" w:eastAsia="Calibri" w:hAnsi="Calibri" w:cs="Times New Roman"/>
        </w:rPr>
        <w:t xml:space="preserve">were classified into </w:t>
      </w:r>
      <w:r w:rsidR="005D7A99">
        <w:rPr>
          <w:rFonts w:ascii="Calibri" w:eastAsia="Calibri" w:hAnsi="Calibri" w:cs="Times New Roman"/>
        </w:rPr>
        <w:t xml:space="preserve">three </w:t>
      </w:r>
      <w:r w:rsidR="006A7B2B" w:rsidRPr="006A7B2B">
        <w:rPr>
          <w:rFonts w:ascii="Calibri" w:eastAsia="Calibri" w:hAnsi="Calibri" w:cs="Times New Roman"/>
        </w:rPr>
        <w:t xml:space="preserve">categories: </w:t>
      </w:r>
      <w:r w:rsidR="005D7A99">
        <w:rPr>
          <w:rFonts w:ascii="Calibri" w:eastAsia="Calibri" w:hAnsi="Calibri" w:cs="Times New Roman"/>
        </w:rPr>
        <w:t xml:space="preserve">drinks containing ≥8g </w:t>
      </w:r>
      <w:r w:rsidR="009C1DBD">
        <w:rPr>
          <w:rFonts w:ascii="Calibri" w:eastAsia="Calibri" w:hAnsi="Calibri" w:cs="Times New Roman"/>
        </w:rPr>
        <w:t>total</w:t>
      </w:r>
      <w:r w:rsidR="005D7A99">
        <w:rPr>
          <w:rFonts w:ascii="Calibri" w:eastAsia="Calibri" w:hAnsi="Calibri" w:cs="Times New Roman"/>
        </w:rPr>
        <w:t xml:space="preserve"> sugar</w:t>
      </w:r>
      <w:r w:rsidR="001F1E9A">
        <w:rPr>
          <w:rFonts w:ascii="Calibri" w:eastAsia="Calibri" w:hAnsi="Calibri" w:cs="Times New Roman"/>
        </w:rPr>
        <w:t xml:space="preserve"> per </w:t>
      </w:r>
      <w:r w:rsidR="006A7B2B" w:rsidRPr="006A7B2B">
        <w:rPr>
          <w:rFonts w:ascii="Calibri" w:eastAsia="Calibri" w:hAnsi="Calibri" w:cs="Times New Roman"/>
        </w:rPr>
        <w:t>100ml</w:t>
      </w:r>
      <w:r w:rsidR="00371A4D">
        <w:rPr>
          <w:rFonts w:ascii="Calibri" w:eastAsia="Calibri" w:hAnsi="Calibri" w:cs="Times New Roman"/>
        </w:rPr>
        <w:t xml:space="preserve"> (high</w:t>
      </w:r>
      <w:r w:rsidR="008125A3">
        <w:rPr>
          <w:rFonts w:ascii="Calibri" w:eastAsia="Calibri" w:hAnsi="Calibri" w:cs="Times New Roman"/>
        </w:rPr>
        <w:t>er</w:t>
      </w:r>
      <w:r w:rsidR="00CA79AB">
        <w:rPr>
          <w:rFonts w:ascii="Calibri" w:eastAsia="Calibri" w:hAnsi="Calibri" w:cs="Times New Roman"/>
        </w:rPr>
        <w:t xml:space="preserve"> levy</w:t>
      </w:r>
      <w:r w:rsidR="00371A4D">
        <w:rPr>
          <w:rFonts w:ascii="Calibri" w:eastAsia="Calibri" w:hAnsi="Calibri" w:cs="Times New Roman"/>
        </w:rPr>
        <w:t xml:space="preserve"> tier)</w:t>
      </w:r>
      <w:r w:rsidR="006A7B2B" w:rsidRPr="006A7B2B">
        <w:rPr>
          <w:rFonts w:ascii="Calibri" w:eastAsia="Calibri" w:hAnsi="Calibri" w:cs="Times New Roman"/>
        </w:rPr>
        <w:t xml:space="preserve">; drinks containing ≥5g </w:t>
      </w:r>
      <w:r w:rsidR="005D7A99">
        <w:rPr>
          <w:rFonts w:ascii="Calibri" w:eastAsia="Calibri" w:hAnsi="Calibri" w:cs="Times New Roman"/>
        </w:rPr>
        <w:t>to</w:t>
      </w:r>
      <w:r w:rsidR="006A7B2B" w:rsidRPr="006A7B2B">
        <w:rPr>
          <w:rFonts w:ascii="Calibri" w:eastAsia="Calibri" w:hAnsi="Calibri" w:cs="Times New Roman"/>
        </w:rPr>
        <w:t xml:space="preserve"> &lt;8g </w:t>
      </w:r>
      <w:r w:rsidR="009C1DBD">
        <w:rPr>
          <w:rFonts w:ascii="Calibri" w:eastAsia="Calibri" w:hAnsi="Calibri" w:cs="Times New Roman"/>
        </w:rPr>
        <w:t>total</w:t>
      </w:r>
      <w:r w:rsidR="005D7A99">
        <w:rPr>
          <w:rFonts w:ascii="Calibri" w:eastAsia="Calibri" w:hAnsi="Calibri" w:cs="Times New Roman"/>
        </w:rPr>
        <w:t xml:space="preserve"> sugar</w:t>
      </w:r>
      <w:r w:rsidR="001F1E9A">
        <w:rPr>
          <w:rFonts w:ascii="Calibri" w:eastAsia="Calibri" w:hAnsi="Calibri" w:cs="Times New Roman"/>
        </w:rPr>
        <w:t xml:space="preserve"> per </w:t>
      </w:r>
      <w:r w:rsidR="006A7B2B" w:rsidRPr="006A7B2B">
        <w:rPr>
          <w:rFonts w:ascii="Calibri" w:eastAsia="Calibri" w:hAnsi="Calibri" w:cs="Times New Roman"/>
        </w:rPr>
        <w:t>100ml</w:t>
      </w:r>
      <w:r w:rsidR="00371A4D">
        <w:rPr>
          <w:rFonts w:ascii="Calibri" w:eastAsia="Calibri" w:hAnsi="Calibri" w:cs="Times New Roman"/>
        </w:rPr>
        <w:t xml:space="preserve"> (low</w:t>
      </w:r>
      <w:r w:rsidR="008125A3">
        <w:rPr>
          <w:rFonts w:ascii="Calibri" w:eastAsia="Calibri" w:hAnsi="Calibri" w:cs="Times New Roman"/>
        </w:rPr>
        <w:t>er</w:t>
      </w:r>
      <w:r w:rsidR="00CA79AB">
        <w:rPr>
          <w:rFonts w:ascii="Calibri" w:eastAsia="Calibri" w:hAnsi="Calibri" w:cs="Times New Roman"/>
        </w:rPr>
        <w:t xml:space="preserve"> levy</w:t>
      </w:r>
      <w:r w:rsidR="00371A4D">
        <w:rPr>
          <w:rFonts w:ascii="Calibri" w:eastAsia="Calibri" w:hAnsi="Calibri" w:cs="Times New Roman"/>
        </w:rPr>
        <w:t xml:space="preserve"> tier) and </w:t>
      </w:r>
      <w:r w:rsidR="006A7B2B" w:rsidRPr="006A7B2B">
        <w:rPr>
          <w:rFonts w:ascii="Calibri" w:eastAsia="Calibri" w:hAnsi="Calibri" w:cs="Times New Roman"/>
        </w:rPr>
        <w:t xml:space="preserve">drinks containing &lt;5g </w:t>
      </w:r>
      <w:r w:rsidR="009C1DBD">
        <w:rPr>
          <w:rFonts w:ascii="Calibri" w:eastAsia="Calibri" w:hAnsi="Calibri" w:cs="Times New Roman"/>
        </w:rPr>
        <w:t>total</w:t>
      </w:r>
      <w:r w:rsidR="005D7A99">
        <w:rPr>
          <w:rFonts w:ascii="Calibri" w:eastAsia="Calibri" w:hAnsi="Calibri" w:cs="Times New Roman"/>
        </w:rPr>
        <w:t xml:space="preserve"> sugar</w:t>
      </w:r>
      <w:r w:rsidR="001F1E9A">
        <w:rPr>
          <w:rFonts w:ascii="Calibri" w:eastAsia="Calibri" w:hAnsi="Calibri" w:cs="Times New Roman"/>
        </w:rPr>
        <w:t xml:space="preserve"> per </w:t>
      </w:r>
      <w:r w:rsidR="006A7B2B" w:rsidRPr="006A7B2B">
        <w:rPr>
          <w:rFonts w:ascii="Calibri" w:eastAsia="Calibri" w:hAnsi="Calibri" w:cs="Times New Roman"/>
        </w:rPr>
        <w:t>100ml</w:t>
      </w:r>
      <w:r w:rsidR="00371A4D">
        <w:rPr>
          <w:rFonts w:ascii="Calibri" w:eastAsia="Calibri" w:hAnsi="Calibri" w:cs="Times New Roman"/>
        </w:rPr>
        <w:t xml:space="preserve"> (no levy). </w:t>
      </w:r>
      <w:r w:rsidR="007A32FD">
        <w:rPr>
          <w:rFonts w:ascii="Calibri" w:eastAsia="Calibri" w:hAnsi="Calibri" w:cs="Times New Roman"/>
        </w:rPr>
        <w:t>Non-exempt d</w:t>
      </w:r>
      <w:r w:rsidR="00F92136">
        <w:rPr>
          <w:rFonts w:ascii="Calibri" w:eastAsia="Calibri" w:hAnsi="Calibri" w:cs="Times New Roman"/>
        </w:rPr>
        <w:t xml:space="preserve">rinks containing &lt;5g </w:t>
      </w:r>
      <w:r w:rsidR="009C1DBD">
        <w:rPr>
          <w:rFonts w:ascii="Calibri" w:eastAsia="Calibri" w:hAnsi="Calibri" w:cs="Times New Roman"/>
        </w:rPr>
        <w:t>total</w:t>
      </w:r>
      <w:r w:rsidR="005D7A99">
        <w:rPr>
          <w:rFonts w:ascii="Calibri" w:eastAsia="Calibri" w:hAnsi="Calibri" w:cs="Times New Roman"/>
        </w:rPr>
        <w:t xml:space="preserve"> sugar</w:t>
      </w:r>
      <w:r w:rsidR="001F1E9A">
        <w:rPr>
          <w:rFonts w:ascii="Calibri" w:eastAsia="Calibri" w:hAnsi="Calibri" w:cs="Times New Roman"/>
        </w:rPr>
        <w:t xml:space="preserve"> per </w:t>
      </w:r>
      <w:r w:rsidR="00F92136">
        <w:rPr>
          <w:rFonts w:ascii="Calibri" w:eastAsia="Calibri" w:hAnsi="Calibri" w:cs="Times New Roman"/>
        </w:rPr>
        <w:t xml:space="preserve">100ml </w:t>
      </w:r>
      <w:r w:rsidR="00AD474D">
        <w:rPr>
          <w:rFonts w:ascii="Calibri" w:eastAsia="Calibri" w:hAnsi="Calibri" w:cs="Times New Roman"/>
        </w:rPr>
        <w:t xml:space="preserve">were </w:t>
      </w:r>
      <w:r w:rsidR="00271116">
        <w:rPr>
          <w:rFonts w:ascii="Calibri" w:eastAsia="Calibri" w:hAnsi="Calibri" w:cs="Times New Roman"/>
        </w:rPr>
        <w:t xml:space="preserve">sub-categorised </w:t>
      </w:r>
      <w:r w:rsidR="006A7B2B" w:rsidRPr="006A7B2B">
        <w:rPr>
          <w:rFonts w:ascii="Calibri" w:eastAsia="Calibri" w:hAnsi="Calibri" w:cs="Times New Roman"/>
        </w:rPr>
        <w:t xml:space="preserve">into </w:t>
      </w:r>
      <w:r w:rsidR="00441F6E">
        <w:rPr>
          <w:rFonts w:ascii="Calibri" w:eastAsia="Calibri" w:hAnsi="Calibri" w:cs="Times New Roman"/>
        </w:rPr>
        <w:t xml:space="preserve">flavoured drinks </w:t>
      </w:r>
      <w:r w:rsidR="005D7A99">
        <w:rPr>
          <w:rFonts w:ascii="Calibri" w:eastAsia="Calibri" w:hAnsi="Calibri" w:cs="Times New Roman"/>
        </w:rPr>
        <w:t>containing &gt;0g to</w:t>
      </w:r>
      <w:r w:rsidR="006A7B2B" w:rsidRPr="006A7B2B">
        <w:rPr>
          <w:rFonts w:ascii="Calibri" w:eastAsia="Calibri" w:hAnsi="Calibri" w:cs="Times New Roman"/>
        </w:rPr>
        <w:t xml:space="preserve"> &lt;5g </w:t>
      </w:r>
      <w:r w:rsidR="009C1DBD">
        <w:rPr>
          <w:rFonts w:ascii="Calibri" w:eastAsia="Calibri" w:hAnsi="Calibri" w:cs="Times New Roman"/>
        </w:rPr>
        <w:t>total</w:t>
      </w:r>
      <w:r w:rsidR="005D7A99">
        <w:rPr>
          <w:rFonts w:ascii="Calibri" w:eastAsia="Calibri" w:hAnsi="Calibri" w:cs="Times New Roman"/>
        </w:rPr>
        <w:t xml:space="preserve"> sugar</w:t>
      </w:r>
      <w:r w:rsidR="001F1E9A">
        <w:rPr>
          <w:rFonts w:ascii="Calibri" w:eastAsia="Calibri" w:hAnsi="Calibri" w:cs="Times New Roman"/>
        </w:rPr>
        <w:t xml:space="preserve"> per </w:t>
      </w:r>
      <w:r w:rsidR="006A7B2B" w:rsidRPr="006A7B2B">
        <w:rPr>
          <w:rFonts w:ascii="Calibri" w:eastAsia="Calibri" w:hAnsi="Calibri" w:cs="Times New Roman"/>
        </w:rPr>
        <w:t xml:space="preserve">100ml, </w:t>
      </w:r>
      <w:r w:rsidR="00227FCA">
        <w:rPr>
          <w:rFonts w:ascii="Calibri" w:eastAsia="Calibri" w:hAnsi="Calibri" w:cs="Times New Roman"/>
        </w:rPr>
        <w:t xml:space="preserve">flavoured drinks </w:t>
      </w:r>
      <w:r w:rsidR="002E36E9">
        <w:rPr>
          <w:rFonts w:ascii="Calibri" w:eastAsia="Calibri" w:hAnsi="Calibri" w:cs="Times New Roman"/>
        </w:rPr>
        <w:t xml:space="preserve">containing </w:t>
      </w:r>
      <w:r w:rsidR="006A7B2B" w:rsidRPr="006A7B2B">
        <w:rPr>
          <w:rFonts w:ascii="Calibri" w:eastAsia="Calibri" w:hAnsi="Calibri" w:cs="Times New Roman"/>
        </w:rPr>
        <w:t>0g of sugar per 100ml</w:t>
      </w:r>
      <w:r w:rsidR="00227FCA">
        <w:rPr>
          <w:rFonts w:ascii="Calibri" w:eastAsia="Calibri" w:hAnsi="Calibri" w:cs="Times New Roman"/>
        </w:rPr>
        <w:t>,</w:t>
      </w:r>
      <w:r w:rsidR="006A7B2B" w:rsidRPr="006A7B2B">
        <w:rPr>
          <w:rFonts w:ascii="Calibri" w:eastAsia="Calibri" w:hAnsi="Calibri" w:cs="Times New Roman"/>
        </w:rPr>
        <w:t xml:space="preserve"> and bottled water</w:t>
      </w:r>
      <w:r w:rsidR="00F92136">
        <w:rPr>
          <w:rFonts w:ascii="Calibri" w:eastAsia="Calibri" w:hAnsi="Calibri" w:cs="Times New Roman"/>
        </w:rPr>
        <w:t xml:space="preserve">. </w:t>
      </w:r>
      <w:r w:rsidR="00AD474D">
        <w:rPr>
          <w:rFonts w:ascii="Calibri" w:eastAsia="Calibri" w:hAnsi="Calibri" w:cs="Times New Roman"/>
        </w:rPr>
        <w:t>Exempt drinks were categorised as</w:t>
      </w:r>
      <w:r w:rsidR="00F92136">
        <w:rPr>
          <w:rFonts w:ascii="Calibri" w:eastAsia="Calibri" w:hAnsi="Calibri" w:cs="Times New Roman"/>
        </w:rPr>
        <w:t xml:space="preserve">: </w:t>
      </w:r>
      <w:r w:rsidR="00422B9E" w:rsidRPr="006A7B2B">
        <w:rPr>
          <w:rFonts w:ascii="Calibri" w:eastAsia="Calibri" w:hAnsi="Calibri" w:cs="Times New Roman"/>
        </w:rPr>
        <w:t>alcoholic drinks containing &gt;1</w:t>
      </w:r>
      <w:r w:rsidR="00422B9E">
        <w:rPr>
          <w:rFonts w:ascii="Calibri" w:eastAsia="Calibri" w:hAnsi="Calibri" w:cs="Times New Roman"/>
        </w:rPr>
        <w:t>.</w:t>
      </w:r>
      <w:r w:rsidR="00422B9E" w:rsidRPr="006A7B2B">
        <w:rPr>
          <w:rFonts w:ascii="Calibri" w:eastAsia="Calibri" w:hAnsi="Calibri" w:cs="Times New Roman"/>
        </w:rPr>
        <w:t>2%</w:t>
      </w:r>
      <w:r w:rsidR="00C9271D">
        <w:rPr>
          <w:rFonts w:ascii="Calibri" w:eastAsia="Calibri" w:hAnsi="Calibri" w:cs="Times New Roman"/>
        </w:rPr>
        <w:t xml:space="preserve"> alcohol by volume </w:t>
      </w:r>
      <w:r w:rsidR="00422B9E" w:rsidRPr="006A7B2B">
        <w:rPr>
          <w:rFonts w:ascii="Calibri" w:eastAsia="Calibri" w:hAnsi="Calibri" w:cs="Times New Roman"/>
        </w:rPr>
        <w:t xml:space="preserve">and </w:t>
      </w:r>
      <w:r w:rsidR="005D7A99">
        <w:rPr>
          <w:rFonts w:ascii="Calibri" w:eastAsia="Calibri" w:hAnsi="Calibri" w:cs="Times New Roman"/>
        </w:rPr>
        <w:t>drinks with less alcohol</w:t>
      </w:r>
      <w:r w:rsidR="005A129B">
        <w:rPr>
          <w:rFonts w:ascii="Calibri" w:eastAsia="Calibri" w:hAnsi="Calibri" w:cs="Times New Roman"/>
        </w:rPr>
        <w:t xml:space="preserve"> by volume that are</w:t>
      </w:r>
      <w:r w:rsidR="005D7A99">
        <w:rPr>
          <w:rFonts w:ascii="Calibri" w:eastAsia="Calibri" w:hAnsi="Calibri" w:cs="Times New Roman"/>
        </w:rPr>
        <w:t xml:space="preserve"> marketed as direct replacements for alcoholic drinks</w:t>
      </w:r>
      <w:r w:rsidR="00271116">
        <w:rPr>
          <w:rFonts w:ascii="Calibri" w:eastAsia="Calibri" w:hAnsi="Calibri" w:cs="Times New Roman"/>
        </w:rPr>
        <w:t xml:space="preserve"> (collectively termed ‘alcoholic drinks’)</w:t>
      </w:r>
      <w:r w:rsidR="00422B9E" w:rsidRPr="006A7B2B">
        <w:rPr>
          <w:rFonts w:ascii="Calibri" w:eastAsia="Calibri" w:hAnsi="Calibri" w:cs="Times New Roman"/>
        </w:rPr>
        <w:t>;</w:t>
      </w:r>
      <w:r w:rsidR="00422B9E">
        <w:rPr>
          <w:rFonts w:ascii="Calibri" w:eastAsia="Calibri" w:hAnsi="Calibri" w:cs="Times New Roman"/>
        </w:rPr>
        <w:t xml:space="preserve"> </w:t>
      </w:r>
      <w:r w:rsidR="006A7B2B" w:rsidRPr="006A7B2B">
        <w:rPr>
          <w:rFonts w:ascii="Calibri" w:eastAsia="Calibri" w:hAnsi="Calibri" w:cs="Times New Roman"/>
        </w:rPr>
        <w:t xml:space="preserve">milk and milk based drinks </w:t>
      </w:r>
      <w:r w:rsidR="005D7A99">
        <w:rPr>
          <w:rFonts w:ascii="Calibri" w:eastAsia="Calibri" w:hAnsi="Calibri" w:cs="Times New Roman"/>
        </w:rPr>
        <w:t>containing at least 75% milk or milk alternatives</w:t>
      </w:r>
      <w:r w:rsidR="005A129B">
        <w:rPr>
          <w:rFonts w:ascii="Calibri" w:eastAsia="Calibri" w:hAnsi="Calibri" w:cs="Times New Roman"/>
        </w:rPr>
        <w:t xml:space="preserve"> (e.g. soy and almond drinks)</w:t>
      </w:r>
      <w:r w:rsidR="006A7B2B" w:rsidRPr="006A7B2B">
        <w:rPr>
          <w:rFonts w:ascii="Calibri" w:eastAsia="Calibri" w:hAnsi="Calibri" w:cs="Times New Roman"/>
        </w:rPr>
        <w:t xml:space="preserve">; </w:t>
      </w:r>
      <w:r w:rsidR="00422B9E">
        <w:rPr>
          <w:rFonts w:ascii="Calibri" w:eastAsia="Calibri" w:hAnsi="Calibri" w:cs="Times New Roman"/>
        </w:rPr>
        <w:t>no added sugar</w:t>
      </w:r>
      <w:r w:rsidR="005D7A99">
        <w:rPr>
          <w:rFonts w:ascii="Calibri" w:eastAsia="Calibri" w:hAnsi="Calibri" w:cs="Times New Roman"/>
        </w:rPr>
        <w:t xml:space="preserve"> fruit juice</w:t>
      </w:r>
      <w:r w:rsidR="00422B9E">
        <w:rPr>
          <w:rFonts w:ascii="Calibri" w:eastAsia="Calibri" w:hAnsi="Calibri" w:cs="Times New Roman"/>
        </w:rPr>
        <w:t>;</w:t>
      </w:r>
      <w:r w:rsidR="00422B9E" w:rsidRPr="006A7B2B" w:rsidDel="00422B9E">
        <w:rPr>
          <w:rFonts w:ascii="Calibri" w:eastAsia="Calibri" w:hAnsi="Calibri" w:cs="Times New Roman"/>
        </w:rPr>
        <w:t xml:space="preserve"> </w:t>
      </w:r>
      <w:r w:rsidR="006A7B2B" w:rsidRPr="006A7B2B">
        <w:rPr>
          <w:rFonts w:ascii="Calibri" w:eastAsia="Calibri" w:hAnsi="Calibri" w:cs="Times New Roman"/>
        </w:rPr>
        <w:t xml:space="preserve">and </w:t>
      </w:r>
      <w:r w:rsidR="005D7A99">
        <w:rPr>
          <w:rFonts w:ascii="Calibri" w:eastAsia="Calibri" w:hAnsi="Calibri" w:cs="Times New Roman"/>
        </w:rPr>
        <w:t>drinks sold as powders</w:t>
      </w:r>
      <w:r w:rsidR="005A129B">
        <w:rPr>
          <w:rFonts w:ascii="Calibri" w:eastAsia="Calibri" w:hAnsi="Calibri" w:cs="Times New Roman"/>
        </w:rPr>
        <w:t xml:space="preserve"> (e.g. teas, coffees and hot chocolate)</w:t>
      </w:r>
      <w:r w:rsidR="006A7B2B" w:rsidRPr="006A7B2B">
        <w:rPr>
          <w:rFonts w:ascii="Calibri" w:eastAsia="Calibri" w:hAnsi="Calibri" w:cs="Times New Roman"/>
        </w:rPr>
        <w:t xml:space="preserve">. The </w:t>
      </w:r>
      <w:r w:rsidR="00C9271D">
        <w:rPr>
          <w:rFonts w:ascii="Calibri" w:eastAsia="Calibri" w:hAnsi="Calibri" w:cs="Times New Roman"/>
        </w:rPr>
        <w:t>SDIL</w:t>
      </w:r>
      <w:r w:rsidR="00C9271D" w:rsidRPr="006A7B2B">
        <w:rPr>
          <w:rFonts w:ascii="Calibri" w:eastAsia="Calibri" w:hAnsi="Calibri" w:cs="Times New Roman"/>
        </w:rPr>
        <w:t xml:space="preserve"> </w:t>
      </w:r>
      <w:r w:rsidR="006A7B2B" w:rsidRPr="006A7B2B">
        <w:rPr>
          <w:rFonts w:ascii="Calibri" w:eastAsia="Calibri" w:hAnsi="Calibri" w:cs="Times New Roman"/>
        </w:rPr>
        <w:lastRenderedPageBreak/>
        <w:t xml:space="preserve">includes further exemptions </w:t>
      </w:r>
      <w:r w:rsidR="00AD474D">
        <w:rPr>
          <w:rFonts w:ascii="Calibri" w:eastAsia="Calibri" w:hAnsi="Calibri" w:cs="Times New Roman"/>
        </w:rPr>
        <w:t xml:space="preserve">for </w:t>
      </w:r>
      <w:r w:rsidR="006A7B2B" w:rsidRPr="006A7B2B">
        <w:rPr>
          <w:rFonts w:ascii="Calibri" w:eastAsia="Calibri" w:hAnsi="Calibri" w:cs="Times New Roman"/>
        </w:rPr>
        <w:t>infant formulas and foods for special medical</w:t>
      </w:r>
      <w:r w:rsidR="005D7A99">
        <w:rPr>
          <w:rFonts w:ascii="Calibri" w:eastAsia="Calibri" w:hAnsi="Calibri" w:cs="Times New Roman"/>
        </w:rPr>
        <w:t xml:space="preserve"> purposes that </w:t>
      </w:r>
      <w:r w:rsidR="008125A3">
        <w:rPr>
          <w:rFonts w:ascii="Calibri" w:eastAsia="Calibri" w:hAnsi="Calibri" w:cs="Times New Roman"/>
        </w:rPr>
        <w:t xml:space="preserve">were </w:t>
      </w:r>
      <w:r w:rsidR="005D7A99">
        <w:rPr>
          <w:rFonts w:ascii="Calibri" w:eastAsia="Calibri" w:hAnsi="Calibri" w:cs="Times New Roman"/>
        </w:rPr>
        <w:t>not examined</w:t>
      </w:r>
      <w:r w:rsidR="00784B22">
        <w:rPr>
          <w:rFonts w:ascii="Calibri" w:eastAsia="Calibri" w:hAnsi="Calibri" w:cs="Times New Roman"/>
        </w:rPr>
        <w:t xml:space="preserve"> </w:t>
      </w:r>
      <w:r w:rsidR="009605D5">
        <w:rPr>
          <w:rFonts w:ascii="Calibri" w:eastAsia="Calibri" w:hAnsi="Calibri" w:cs="Times New Roman"/>
        </w:rPr>
        <w:fldChar w:fldCharType="begin"/>
      </w:r>
      <w:r w:rsidR="006C4B25">
        <w:rPr>
          <w:rFonts w:ascii="Calibri" w:eastAsia="Calibri" w:hAnsi="Calibri" w:cs="Times New Roman"/>
        </w:rPr>
        <w:instrText xml:space="preserve"> ADDIN ZOTERO_ITEM CSL_CITATION {"citationID":"8HD0JVtu","properties":{"formattedCitation":"[21]","plainCitation":"[21]","noteIndex":0},"citationItems":[{"id":801,"uris":["http://zotero.org/users/1356132/items/3TEAP79K"],"uri":["http://zotero.org/users/1356132/items/3TEAP79K"],"itemData":{"id":801,"type":"webpage","container-title":"GOV.UK","language":"en","title":"Soft Drinks Industry Levy","URL":"https://www.gov.uk/government/publications/soft-drinks-industry-levy/soft-drinks-industry-levy","author":[{"literal":"HM Revenue &amp; Customs"}],"accessed":{"date-parts":[["2019",1,14]]}}}],"schema":"https://github.com/citation-style-language/schema/raw/master/csl-citation.json"} </w:instrText>
      </w:r>
      <w:r w:rsidR="009605D5">
        <w:rPr>
          <w:rFonts w:ascii="Calibri" w:eastAsia="Calibri" w:hAnsi="Calibri" w:cs="Times New Roman"/>
        </w:rPr>
        <w:fldChar w:fldCharType="separate"/>
      </w:r>
      <w:r w:rsidR="006C4B25" w:rsidRPr="006C4B25">
        <w:rPr>
          <w:rFonts w:ascii="Calibri" w:hAnsi="Calibri" w:cs="Calibri"/>
        </w:rPr>
        <w:t>[21]</w:t>
      </w:r>
      <w:r w:rsidR="009605D5">
        <w:rPr>
          <w:rFonts w:ascii="Calibri" w:eastAsia="Calibri" w:hAnsi="Calibri" w:cs="Times New Roman"/>
        </w:rPr>
        <w:fldChar w:fldCharType="end"/>
      </w:r>
      <w:r w:rsidR="00784B22">
        <w:rPr>
          <w:rFonts w:ascii="Calibri" w:eastAsia="Calibri" w:hAnsi="Calibri" w:cs="Times New Roman"/>
        </w:rPr>
        <w:t>.</w:t>
      </w:r>
      <w:r w:rsidR="006A7B2B" w:rsidRPr="006A7B2B">
        <w:rPr>
          <w:rFonts w:ascii="Calibri" w:eastAsia="Calibri" w:hAnsi="Calibri" w:cs="Times New Roman"/>
        </w:rPr>
        <w:t xml:space="preserve"> </w:t>
      </w:r>
    </w:p>
    <w:p w14:paraId="44886744" w14:textId="49E895F7" w:rsidR="006A7B2B" w:rsidRPr="00C9271D" w:rsidRDefault="006A7B2B" w:rsidP="006A7B2B">
      <w:pPr>
        <w:spacing w:line="480" w:lineRule="auto"/>
        <w:jc w:val="both"/>
        <w:rPr>
          <w:rFonts w:ascii="Calibri" w:eastAsia="Calibri" w:hAnsi="Calibri" w:cs="Times New Roman"/>
          <w:b/>
          <w:i/>
        </w:rPr>
      </w:pPr>
      <w:r w:rsidRPr="00C9271D">
        <w:rPr>
          <w:rFonts w:ascii="Calibri" w:eastAsia="Calibri" w:hAnsi="Calibri" w:cs="Times New Roman"/>
          <w:b/>
          <w:i/>
        </w:rPr>
        <w:t xml:space="preserve">Analysis </w:t>
      </w:r>
    </w:p>
    <w:p w14:paraId="61612678" w14:textId="7AAEF47C" w:rsidR="00C9271D" w:rsidRDefault="00C9271D" w:rsidP="006A7B2B">
      <w:pPr>
        <w:spacing w:line="480" w:lineRule="auto"/>
        <w:jc w:val="both"/>
        <w:rPr>
          <w:rFonts w:ascii="Calibri" w:eastAsia="Calibri" w:hAnsi="Calibri" w:cs="Times New Roman"/>
          <w:i/>
        </w:rPr>
      </w:pPr>
      <w:r w:rsidRPr="00C9271D">
        <w:rPr>
          <w:rFonts w:ascii="Calibri" w:eastAsia="Calibri" w:hAnsi="Calibri" w:cs="Times New Roman"/>
          <w:i/>
        </w:rPr>
        <w:t>Main analysis</w:t>
      </w:r>
    </w:p>
    <w:p w14:paraId="3BDAD341" w14:textId="67DE2859" w:rsidR="006A7B2B" w:rsidRPr="006A7B2B" w:rsidRDefault="006A7B2B" w:rsidP="006A7B2B">
      <w:pPr>
        <w:spacing w:line="480" w:lineRule="auto"/>
        <w:jc w:val="both"/>
        <w:rPr>
          <w:rFonts w:ascii="Calibri" w:eastAsia="Calibri" w:hAnsi="Calibri" w:cs="Times New Roman"/>
        </w:rPr>
      </w:pPr>
      <w:r w:rsidRPr="006A7B2B">
        <w:rPr>
          <w:rFonts w:ascii="Calibri" w:eastAsia="Calibri" w:hAnsi="Calibri" w:cs="Times New Roman"/>
        </w:rPr>
        <w:t xml:space="preserve">We conducted separate </w:t>
      </w:r>
      <w:r w:rsidR="00CA79AB">
        <w:rPr>
          <w:rFonts w:ascii="Calibri" w:eastAsia="Calibri" w:hAnsi="Calibri" w:cs="Times New Roman"/>
        </w:rPr>
        <w:t>controlled ITS</w:t>
      </w:r>
      <w:r w:rsidRPr="006A7B2B">
        <w:rPr>
          <w:rFonts w:ascii="Calibri" w:eastAsia="Calibri" w:hAnsi="Calibri" w:cs="Times New Roman"/>
        </w:rPr>
        <w:t xml:space="preserve"> analyses for each drink</w:t>
      </w:r>
      <w:r w:rsidR="00271116">
        <w:rPr>
          <w:rFonts w:ascii="Calibri" w:eastAsia="Calibri" w:hAnsi="Calibri" w:cs="Times New Roman"/>
        </w:rPr>
        <w:t>s</w:t>
      </w:r>
      <w:r w:rsidRPr="006A7B2B">
        <w:rPr>
          <w:rFonts w:ascii="Calibri" w:eastAsia="Calibri" w:hAnsi="Calibri" w:cs="Times New Roman"/>
        </w:rPr>
        <w:t xml:space="preserve"> </w:t>
      </w:r>
      <w:r w:rsidR="00A902DB">
        <w:rPr>
          <w:rFonts w:ascii="Calibri" w:eastAsia="Calibri" w:hAnsi="Calibri" w:cs="Times New Roman"/>
        </w:rPr>
        <w:t>category</w:t>
      </w:r>
      <w:r w:rsidRPr="006A7B2B">
        <w:rPr>
          <w:rFonts w:ascii="Calibri" w:eastAsia="Calibri" w:hAnsi="Calibri" w:cs="Times New Roman"/>
        </w:rPr>
        <w:t xml:space="preserve"> and confectionery controlling </w:t>
      </w:r>
      <w:r w:rsidR="002C3F37">
        <w:rPr>
          <w:rFonts w:ascii="Calibri" w:eastAsia="Calibri" w:hAnsi="Calibri" w:cs="Times New Roman"/>
        </w:rPr>
        <w:t>for</w:t>
      </w:r>
      <w:r w:rsidR="002C3F37" w:rsidRPr="006A7B2B">
        <w:rPr>
          <w:rFonts w:ascii="Calibri" w:eastAsia="Calibri" w:hAnsi="Calibri" w:cs="Times New Roman"/>
        </w:rPr>
        <w:t xml:space="preserve"> </w:t>
      </w:r>
      <w:r w:rsidRPr="006A7B2B">
        <w:rPr>
          <w:rFonts w:ascii="Calibri" w:eastAsia="Calibri" w:hAnsi="Calibri" w:cs="Times New Roman"/>
        </w:rPr>
        <w:t xml:space="preserve">household purchase volumes of </w:t>
      </w:r>
      <w:r w:rsidR="0066378B">
        <w:rPr>
          <w:rFonts w:ascii="Calibri" w:eastAsia="Calibri" w:hAnsi="Calibri" w:cs="Times New Roman"/>
        </w:rPr>
        <w:t>toiletries</w:t>
      </w:r>
      <w:r w:rsidR="00A25AC4" w:rsidRPr="006A7B2B">
        <w:rPr>
          <w:rFonts w:ascii="Calibri" w:eastAsia="Calibri" w:hAnsi="Calibri" w:cs="Times New Roman"/>
        </w:rPr>
        <w:t xml:space="preserve">. </w:t>
      </w:r>
      <w:r w:rsidRPr="006A7B2B">
        <w:rPr>
          <w:rFonts w:ascii="Calibri" w:eastAsia="Calibri" w:hAnsi="Calibri" w:cs="Times New Roman"/>
        </w:rPr>
        <w:t>We used 212 weekly time points from</w:t>
      </w:r>
      <w:r w:rsidR="00C9271D">
        <w:rPr>
          <w:rFonts w:ascii="Calibri" w:eastAsia="Calibri" w:hAnsi="Calibri" w:cs="Times New Roman"/>
        </w:rPr>
        <w:t xml:space="preserve"> </w:t>
      </w:r>
      <w:r w:rsidR="001E46E0">
        <w:rPr>
          <w:rFonts w:ascii="Calibri" w:eastAsia="Calibri" w:hAnsi="Calibri" w:cs="Times New Roman"/>
        </w:rPr>
        <w:t>3</w:t>
      </w:r>
      <w:r w:rsidR="0064463E" w:rsidRPr="0064463E">
        <w:rPr>
          <w:rFonts w:ascii="Calibri" w:eastAsia="Calibri" w:hAnsi="Calibri" w:cs="Times New Roman"/>
          <w:vertAlign w:val="superscript"/>
        </w:rPr>
        <w:t>rd</w:t>
      </w:r>
      <w:r w:rsidR="0064463E">
        <w:rPr>
          <w:rFonts w:ascii="Calibri" w:eastAsia="Calibri" w:hAnsi="Calibri" w:cs="Times New Roman"/>
        </w:rPr>
        <w:t xml:space="preserve"> </w:t>
      </w:r>
      <w:r w:rsidR="00B02F05">
        <w:rPr>
          <w:rFonts w:ascii="Calibri" w:eastAsia="Calibri" w:hAnsi="Calibri" w:cs="Times New Roman"/>
        </w:rPr>
        <w:t>March</w:t>
      </w:r>
      <w:r w:rsidR="00B02F05" w:rsidRPr="006A7B2B">
        <w:rPr>
          <w:rFonts w:ascii="Calibri" w:eastAsia="Calibri" w:hAnsi="Calibri" w:cs="Times New Roman"/>
        </w:rPr>
        <w:t xml:space="preserve"> </w:t>
      </w:r>
      <w:r w:rsidRPr="006A7B2B">
        <w:rPr>
          <w:rFonts w:ascii="Calibri" w:eastAsia="Calibri" w:hAnsi="Calibri" w:cs="Times New Roman"/>
        </w:rPr>
        <w:t xml:space="preserve">2014 to </w:t>
      </w:r>
      <w:r w:rsidR="00B02F05">
        <w:rPr>
          <w:rFonts w:ascii="Calibri" w:eastAsia="Calibri" w:hAnsi="Calibri" w:cs="Times New Roman"/>
        </w:rPr>
        <w:t>25</w:t>
      </w:r>
      <w:r w:rsidR="00B02F05">
        <w:rPr>
          <w:rFonts w:ascii="Calibri" w:eastAsia="Calibri" w:hAnsi="Calibri" w:cs="Times New Roman"/>
          <w:vertAlign w:val="superscript"/>
        </w:rPr>
        <w:t>th</w:t>
      </w:r>
      <w:r w:rsidRPr="006A7B2B">
        <w:rPr>
          <w:rFonts w:ascii="Calibri" w:eastAsia="Calibri" w:hAnsi="Calibri" w:cs="Times New Roman"/>
        </w:rPr>
        <w:t xml:space="preserve"> March 2018 giving 10</w:t>
      </w:r>
      <w:r w:rsidR="00096019">
        <w:rPr>
          <w:rFonts w:ascii="Calibri" w:eastAsia="Calibri" w:hAnsi="Calibri" w:cs="Times New Roman"/>
        </w:rPr>
        <w:t>7</w:t>
      </w:r>
      <w:r w:rsidRPr="006A7B2B">
        <w:rPr>
          <w:rFonts w:ascii="Calibri" w:eastAsia="Calibri" w:hAnsi="Calibri" w:cs="Times New Roman"/>
        </w:rPr>
        <w:t xml:space="preserve"> </w:t>
      </w:r>
      <w:r w:rsidR="006B2225">
        <w:rPr>
          <w:rFonts w:ascii="Calibri" w:eastAsia="Calibri" w:hAnsi="Calibri" w:cs="Times New Roman"/>
        </w:rPr>
        <w:t xml:space="preserve">pre- </w:t>
      </w:r>
      <w:r w:rsidRPr="006A7B2B">
        <w:rPr>
          <w:rFonts w:ascii="Calibri" w:eastAsia="Calibri" w:hAnsi="Calibri" w:cs="Times New Roman"/>
        </w:rPr>
        <w:t xml:space="preserve">and 105 </w:t>
      </w:r>
      <w:r w:rsidR="006B2225">
        <w:rPr>
          <w:rFonts w:ascii="Calibri" w:eastAsia="Calibri" w:hAnsi="Calibri" w:cs="Times New Roman"/>
        </w:rPr>
        <w:t>post-</w:t>
      </w:r>
      <w:r w:rsidR="00271116">
        <w:rPr>
          <w:rFonts w:ascii="Calibri" w:eastAsia="Calibri" w:hAnsi="Calibri" w:cs="Times New Roman"/>
        </w:rPr>
        <w:t>announcement</w:t>
      </w:r>
      <w:r w:rsidR="0064463E">
        <w:rPr>
          <w:rFonts w:ascii="Calibri" w:eastAsia="Calibri" w:hAnsi="Calibri" w:cs="Times New Roman"/>
        </w:rPr>
        <w:t xml:space="preserve"> weeks</w:t>
      </w:r>
      <w:r w:rsidRPr="006A7B2B">
        <w:rPr>
          <w:rFonts w:ascii="Calibri" w:eastAsia="Calibri" w:hAnsi="Calibri" w:cs="Times New Roman"/>
        </w:rPr>
        <w:t xml:space="preserve">. The model is </w:t>
      </w:r>
      <w:r w:rsidR="00B5685E">
        <w:rPr>
          <w:rFonts w:ascii="Calibri" w:eastAsia="Calibri" w:hAnsi="Calibri" w:cs="Times New Roman"/>
        </w:rPr>
        <w:t>specified</w:t>
      </w:r>
      <w:r w:rsidR="00A902DB">
        <w:rPr>
          <w:rFonts w:ascii="Calibri" w:eastAsia="Calibri" w:hAnsi="Calibri" w:cs="Times New Roman"/>
        </w:rPr>
        <w:t xml:space="preserve"> as follows</w:t>
      </w:r>
      <w:r w:rsidR="00B5685E">
        <w:rPr>
          <w:rFonts w:ascii="Calibri" w:eastAsia="Calibri" w:hAnsi="Calibri" w:cs="Times New Roman"/>
        </w:rPr>
        <w:t>:</w:t>
      </w:r>
    </w:p>
    <w:p w14:paraId="54E7292C" w14:textId="4D3503BB" w:rsidR="006A7B2B" w:rsidRPr="006A7B2B" w:rsidRDefault="000F05A4" w:rsidP="006A7B2B">
      <w:pPr>
        <w:spacing w:line="480" w:lineRule="auto"/>
        <w:jc w:val="both"/>
        <w:rPr>
          <w:rFonts w:ascii="Calibri" w:eastAsia="Times New Roman" w:hAnsi="Calibri" w:cs="Times New Roman"/>
        </w:rPr>
      </w:pPr>
      <m:oMathPara>
        <m:oMath>
          <m:sSub>
            <m:sSubPr>
              <m:ctrlPr>
                <w:rPr>
                  <w:rFonts w:ascii="Cambria Math" w:eastAsia="Calibri" w:hAnsi="Cambria Math" w:cs="Times New Roman"/>
                  <w:i/>
                </w:rPr>
              </m:ctrlPr>
            </m:sSubPr>
            <m:e>
              <m:r>
                <w:rPr>
                  <w:rFonts w:ascii="Cambria Math" w:eastAsia="Calibri" w:hAnsi="Cambria Math" w:cs="Times New Roman"/>
                </w:rPr>
                <m:t>Y</m:t>
              </m:r>
            </m:e>
            <m:sub>
              <m:r>
                <w:rPr>
                  <w:rFonts w:ascii="Cambria Math" w:eastAsia="Calibri" w:hAnsi="Cambria Math" w:cs="Times New Roman"/>
                </w:rPr>
                <m:t>t</m:t>
              </m:r>
            </m:sub>
          </m:sSub>
          <m:r>
            <w:rPr>
              <w:rFonts w:ascii="Cambria Math" w:eastAsia="Calibri" w:hAnsi="Cambria Math" w:cs="Times New Roman"/>
            </w:rPr>
            <m:t xml:space="preserve">= </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0</m:t>
              </m:r>
            </m:sub>
          </m:sSub>
          <m:r>
            <w:rPr>
              <w:rFonts w:ascii="Cambria Math" w:eastAsia="Calibri" w:hAnsi="Cambria Math" w:cs="Times New Roman"/>
            </w:rPr>
            <m:t xml:space="preserve">+ </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m:t>
              </m:r>
            </m:sub>
          </m:sSub>
          <m:sSub>
            <m:sSubPr>
              <m:ctrlPr>
                <w:rPr>
                  <w:rFonts w:ascii="Cambria Math" w:eastAsia="Calibri" w:hAnsi="Cambria Math" w:cs="Times New Roman"/>
                  <w:i/>
                </w:rPr>
              </m:ctrlPr>
            </m:sSubPr>
            <m:e>
              <m:r>
                <w:rPr>
                  <w:rFonts w:ascii="Cambria Math" w:eastAsia="Calibri" w:hAnsi="Cambria Math" w:cs="Times New Roman"/>
                </w:rPr>
                <m:t>T</m:t>
              </m:r>
            </m:e>
            <m:sub>
              <m:r>
                <w:rPr>
                  <w:rFonts w:ascii="Cambria Math" w:eastAsia="Calibri" w:hAnsi="Cambria Math" w:cs="Times New Roman"/>
                </w:rPr>
                <m:t>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2</m:t>
              </m:r>
            </m:sub>
          </m:sSub>
          <m:sSub>
            <m:sSubPr>
              <m:ctrlPr>
                <w:rPr>
                  <w:rFonts w:ascii="Cambria Math" w:eastAsia="Calibri" w:hAnsi="Cambria Math" w:cs="Times New Roman"/>
                  <w:i/>
                </w:rPr>
              </m:ctrlPr>
            </m:sSubPr>
            <m:e>
              <m:r>
                <w:rPr>
                  <w:rFonts w:ascii="Cambria Math" w:eastAsia="Calibri" w:hAnsi="Cambria Math" w:cs="Times New Roman"/>
                </w:rPr>
                <m:t>X</m:t>
              </m:r>
            </m:e>
            <m:sub>
              <m:r>
                <w:rPr>
                  <w:rFonts w:ascii="Cambria Math" w:eastAsia="Calibri" w:hAnsi="Cambria Math" w:cs="Times New Roman"/>
                </w:rPr>
                <m:t>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3</m:t>
              </m:r>
            </m:sub>
          </m:sSub>
          <m:sSub>
            <m:sSubPr>
              <m:ctrlPr>
                <w:rPr>
                  <w:rFonts w:ascii="Cambria Math" w:eastAsia="Calibri" w:hAnsi="Cambria Math" w:cs="Times New Roman"/>
                  <w:i/>
                </w:rPr>
              </m:ctrlPr>
            </m:sSubPr>
            <m:e>
              <m:r>
                <w:rPr>
                  <w:rFonts w:ascii="Cambria Math" w:eastAsia="Calibri" w:hAnsi="Cambria Math" w:cs="Times New Roman"/>
                </w:rPr>
                <m:t>X</m:t>
              </m:r>
            </m:e>
            <m:sub>
              <m:r>
                <w:rPr>
                  <w:rFonts w:ascii="Cambria Math" w:eastAsia="Calibri" w:hAnsi="Cambria Math" w:cs="Times New Roman"/>
                </w:rPr>
                <m:t>t</m:t>
              </m:r>
            </m:sub>
          </m:sSub>
          <m:sSub>
            <m:sSubPr>
              <m:ctrlPr>
                <w:rPr>
                  <w:rFonts w:ascii="Cambria Math" w:eastAsia="Calibri" w:hAnsi="Cambria Math" w:cs="Times New Roman"/>
                  <w:i/>
                </w:rPr>
              </m:ctrlPr>
            </m:sSubPr>
            <m:e>
              <m:r>
                <w:rPr>
                  <w:rFonts w:ascii="Cambria Math" w:eastAsia="Calibri" w:hAnsi="Cambria Math" w:cs="Times New Roman"/>
                </w:rPr>
                <m:t>T</m:t>
              </m:r>
            </m:e>
            <m:sub>
              <m:r>
                <w:rPr>
                  <w:rFonts w:ascii="Cambria Math" w:eastAsia="Calibri" w:hAnsi="Cambria Math" w:cs="Times New Roman"/>
                </w:rPr>
                <m:t>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4</m:t>
              </m:r>
            </m:sub>
          </m:sSub>
          <m:r>
            <w:rPr>
              <w:rFonts w:ascii="Cambria Math" w:eastAsia="Calibri" w:hAnsi="Cambria Math" w:cs="Times New Roman"/>
            </w:rPr>
            <m:t xml:space="preserve">Z+ </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5</m:t>
              </m:r>
            </m:sub>
          </m:sSub>
          <m:r>
            <w:rPr>
              <w:rFonts w:ascii="Cambria Math" w:eastAsia="Calibri" w:hAnsi="Cambria Math" w:cs="Times New Roman"/>
            </w:rPr>
            <m:t>Z</m:t>
          </m:r>
          <m:sSub>
            <m:sSubPr>
              <m:ctrlPr>
                <w:rPr>
                  <w:rFonts w:ascii="Cambria Math" w:eastAsia="Calibri" w:hAnsi="Cambria Math" w:cs="Times New Roman"/>
                  <w:i/>
                </w:rPr>
              </m:ctrlPr>
            </m:sSubPr>
            <m:e>
              <m:r>
                <w:rPr>
                  <w:rFonts w:ascii="Cambria Math" w:eastAsia="Calibri" w:hAnsi="Cambria Math" w:cs="Times New Roman"/>
                </w:rPr>
                <m:t>T</m:t>
              </m:r>
            </m:e>
            <m:sub>
              <m:r>
                <w:rPr>
                  <w:rFonts w:ascii="Cambria Math" w:eastAsia="Calibri" w:hAnsi="Cambria Math" w:cs="Times New Roman"/>
                </w:rPr>
                <m:t>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6</m:t>
              </m:r>
            </m:sub>
          </m:sSub>
          <m:r>
            <w:rPr>
              <w:rFonts w:ascii="Cambria Math" w:eastAsia="Calibri" w:hAnsi="Cambria Math" w:cs="Times New Roman"/>
            </w:rPr>
            <m:t>Z</m:t>
          </m:r>
          <m:sSub>
            <m:sSubPr>
              <m:ctrlPr>
                <w:rPr>
                  <w:rFonts w:ascii="Cambria Math" w:eastAsia="Calibri" w:hAnsi="Cambria Math" w:cs="Times New Roman"/>
                  <w:i/>
                </w:rPr>
              </m:ctrlPr>
            </m:sSubPr>
            <m:e>
              <m:r>
                <w:rPr>
                  <w:rFonts w:ascii="Cambria Math" w:eastAsia="Calibri" w:hAnsi="Cambria Math" w:cs="Times New Roman"/>
                </w:rPr>
                <m:t>X</m:t>
              </m:r>
            </m:e>
            <m:sub>
              <m:r>
                <w:rPr>
                  <w:rFonts w:ascii="Cambria Math" w:eastAsia="Calibri" w:hAnsi="Cambria Math" w:cs="Times New Roman"/>
                </w:rPr>
                <m:t>t</m:t>
              </m:r>
            </m:sub>
          </m:sSub>
          <m:r>
            <w:rPr>
              <w:rFonts w:ascii="Cambria Math" w:eastAsia="Calibri" w:hAnsi="Cambria Math" w:cs="Times New Roman"/>
            </w:rPr>
            <m:t xml:space="preserve">+ </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7</m:t>
              </m:r>
            </m:sub>
          </m:sSub>
          <m:r>
            <w:rPr>
              <w:rFonts w:ascii="Cambria Math" w:eastAsia="Calibri" w:hAnsi="Cambria Math" w:cs="Times New Roman"/>
            </w:rPr>
            <m:t>Z</m:t>
          </m:r>
          <m:sSub>
            <m:sSubPr>
              <m:ctrlPr>
                <w:rPr>
                  <w:rFonts w:ascii="Cambria Math" w:eastAsia="Calibri" w:hAnsi="Cambria Math" w:cs="Times New Roman"/>
                  <w:i/>
                </w:rPr>
              </m:ctrlPr>
            </m:sSubPr>
            <m:e>
              <m:r>
                <w:rPr>
                  <w:rFonts w:ascii="Cambria Math" w:eastAsia="Calibri" w:hAnsi="Cambria Math" w:cs="Times New Roman"/>
                </w:rPr>
                <m:t>X</m:t>
              </m:r>
            </m:e>
            <m:sub>
              <m:r>
                <w:rPr>
                  <w:rFonts w:ascii="Cambria Math" w:eastAsia="Calibri" w:hAnsi="Cambria Math" w:cs="Times New Roman"/>
                </w:rPr>
                <m:t>t</m:t>
              </m:r>
            </m:sub>
          </m:sSub>
          <m:sSub>
            <m:sSubPr>
              <m:ctrlPr>
                <w:rPr>
                  <w:rFonts w:ascii="Cambria Math" w:eastAsia="Calibri" w:hAnsi="Cambria Math" w:cs="Times New Roman"/>
                  <w:i/>
                </w:rPr>
              </m:ctrlPr>
            </m:sSubPr>
            <m:e>
              <m:r>
                <w:rPr>
                  <w:rFonts w:ascii="Cambria Math" w:eastAsia="Calibri" w:hAnsi="Cambria Math" w:cs="Times New Roman"/>
                </w:rPr>
                <m:t>T</m:t>
              </m:r>
            </m:e>
            <m:sub>
              <m:r>
                <w:rPr>
                  <w:rFonts w:ascii="Cambria Math" w:eastAsia="Calibri" w:hAnsi="Cambria Math" w:cs="Times New Roman"/>
                </w:rPr>
                <m:t>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e</m:t>
              </m:r>
            </m:e>
            <m:sub>
              <m:r>
                <w:rPr>
                  <w:rFonts w:ascii="Cambria Math" w:eastAsia="Calibri" w:hAnsi="Cambria Math" w:cs="Times New Roman"/>
                </w:rPr>
                <m:t>t</m:t>
              </m:r>
            </m:sub>
          </m:sSub>
        </m:oMath>
      </m:oMathPara>
    </w:p>
    <w:p w14:paraId="43235E8B" w14:textId="566B44BA" w:rsidR="006A7B2B" w:rsidRPr="006A7B2B" w:rsidRDefault="006A7B2B" w:rsidP="006A7B2B">
      <w:pPr>
        <w:spacing w:line="480" w:lineRule="auto"/>
        <w:jc w:val="both"/>
        <w:rPr>
          <w:rFonts w:ascii="Calibri" w:eastAsia="Times New Roman" w:hAnsi="Calibri" w:cs="Times New Roman"/>
        </w:rPr>
      </w:pPr>
      <w:r w:rsidRPr="006A7B2B">
        <w:rPr>
          <w:rFonts w:ascii="Calibri" w:eastAsia="Times New Roman" w:hAnsi="Calibri" w:cs="Times New Roman"/>
        </w:rPr>
        <w:t xml:space="preserve">where </w:t>
      </w:r>
      <m:oMath>
        <m:sSub>
          <m:sSubPr>
            <m:ctrlPr>
              <w:rPr>
                <w:rFonts w:ascii="Cambria Math" w:eastAsia="Times New Roman" w:hAnsi="Cambria Math" w:cs="Times New Roman"/>
                <w:i/>
              </w:rPr>
            </m:ctrlPr>
          </m:sSubPr>
          <m:e>
            <m:r>
              <w:rPr>
                <w:rFonts w:ascii="Cambria Math" w:eastAsia="Times New Roman" w:hAnsi="Cambria Math" w:cs="Times New Roman"/>
              </w:rPr>
              <m:t>Y</m:t>
            </m:r>
          </m:e>
          <m:sub>
            <m:r>
              <w:rPr>
                <w:rFonts w:ascii="Cambria Math" w:eastAsia="Times New Roman" w:hAnsi="Cambria Math" w:cs="Times New Roman"/>
              </w:rPr>
              <m:t>t</m:t>
            </m:r>
          </m:sub>
        </m:sSub>
      </m:oMath>
      <w:r w:rsidRPr="006A7B2B">
        <w:rPr>
          <w:rFonts w:ascii="Calibri" w:eastAsia="Times New Roman" w:hAnsi="Calibri" w:cs="Times New Roman"/>
        </w:rPr>
        <w:t xml:space="preserve"> is the outcome (average weekly </w:t>
      </w:r>
      <w:r w:rsidR="00340C80">
        <w:rPr>
          <w:rFonts w:ascii="Calibri" w:eastAsia="Times New Roman" w:hAnsi="Calibri" w:cs="Times New Roman"/>
        </w:rPr>
        <w:t xml:space="preserve">household </w:t>
      </w:r>
      <w:r w:rsidR="00AD474D">
        <w:rPr>
          <w:rFonts w:ascii="Calibri" w:eastAsia="Times New Roman" w:hAnsi="Calibri" w:cs="Times New Roman"/>
        </w:rPr>
        <w:t>purchases</w:t>
      </w:r>
      <w:r w:rsidRPr="006A7B2B">
        <w:rPr>
          <w:rFonts w:ascii="Calibri" w:eastAsia="Times New Roman" w:hAnsi="Calibri" w:cs="Times New Roman"/>
        </w:rPr>
        <w:t xml:space="preserve">) at time </w:t>
      </w:r>
      <w:r w:rsidRPr="006A7B2B">
        <w:rPr>
          <w:rFonts w:ascii="Calibri" w:eastAsia="Times New Roman" w:hAnsi="Calibri" w:cs="Times New Roman"/>
          <w:i/>
        </w:rPr>
        <w:t>t</w:t>
      </w:r>
      <w:r w:rsidRPr="006A7B2B">
        <w:rPr>
          <w:rFonts w:ascii="Calibri" w:eastAsia="Times New Roman" w:hAnsi="Calibri" w:cs="Times New Roman"/>
        </w:rPr>
        <w:t xml:space="preserve">, </w:t>
      </w:r>
      <m:oMath>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0</m:t>
            </m:r>
          </m:sub>
        </m:sSub>
      </m:oMath>
      <w:r w:rsidRPr="006A7B2B">
        <w:rPr>
          <w:rFonts w:ascii="Calibri" w:eastAsia="Times New Roman" w:hAnsi="Calibri" w:cs="Times New Roman"/>
        </w:rPr>
        <w:t xml:space="preserve"> </w:t>
      </w:r>
      <w:r w:rsidR="00185CA1">
        <w:rPr>
          <w:rFonts w:ascii="Calibri" w:eastAsia="Times New Roman" w:hAnsi="Calibri" w:cs="Times New Roman"/>
        </w:rPr>
        <w:t xml:space="preserve">to </w:t>
      </w:r>
      <m:oMath>
        <m:sSub>
          <m:sSubPr>
            <m:ctrlPr>
              <w:rPr>
                <w:rFonts w:ascii="Cambria Math" w:eastAsia="Times New Roman" w:hAnsi="Cambria Math" w:cs="Times New Roman"/>
                <w:i/>
              </w:rPr>
            </m:ctrlPr>
          </m:sSubPr>
          <m:e>
            <m:r>
              <w:rPr>
                <w:rFonts w:ascii="Cambria Math" w:eastAsia="Times New Roman" w:hAnsi="Cambria Math" w:cs="Times New Roman"/>
              </w:rPr>
              <m:t>β</m:t>
            </m:r>
          </m:e>
          <m:sub>
            <m:r>
              <w:rPr>
                <w:rFonts w:ascii="Cambria Math" w:eastAsia="Times New Roman" w:hAnsi="Cambria Math" w:cs="Times New Roman"/>
              </w:rPr>
              <m:t>3</m:t>
            </m:r>
          </m:sub>
        </m:sSub>
        <m:r>
          <w:rPr>
            <w:rFonts w:ascii="Cambria Math" w:eastAsia="Times New Roman" w:hAnsi="Cambria Math" w:cs="Times New Roman"/>
          </w:rPr>
          <m:t xml:space="preserve"> </m:t>
        </m:r>
      </m:oMath>
      <w:r w:rsidR="00185CA1">
        <w:rPr>
          <w:rFonts w:ascii="Calibri" w:eastAsia="Times New Roman" w:hAnsi="Calibri" w:cs="Times New Roman"/>
        </w:rPr>
        <w:t>are the coefficients for the control group</w:t>
      </w:r>
      <w:r w:rsidRPr="006A7B2B">
        <w:rPr>
          <w:rFonts w:ascii="Calibri" w:eastAsia="Times New Roman" w:hAnsi="Calibri" w:cs="Times New Roman"/>
        </w:rPr>
        <w:t>,</w:t>
      </w:r>
      <w:r w:rsidR="00185CA1">
        <w:rPr>
          <w:rFonts w:ascii="Calibri" w:eastAsia="Times New Roman" w:hAnsi="Calibri" w:cs="Times New Roman"/>
        </w:rPr>
        <w:t xml:space="preserve"> and </w:t>
      </w:r>
      <m:oMath>
        <m:sSub>
          <m:sSubPr>
            <m:ctrlPr>
              <w:rPr>
                <w:rFonts w:ascii="Cambria Math" w:eastAsia="Times New Roman" w:hAnsi="Cambria Math" w:cs="Times New Roman"/>
                <w:i/>
              </w:rPr>
            </m:ctrlPr>
          </m:sSubPr>
          <m:e>
            <m:r>
              <w:rPr>
                <w:rFonts w:ascii="Cambria Math" w:eastAsia="Times New Roman" w:hAnsi="Cambria Math" w:cs="Times New Roman"/>
              </w:rPr>
              <m:t>β</m:t>
            </m:r>
          </m:e>
          <m:sub>
            <m:r>
              <w:rPr>
                <w:rFonts w:ascii="Cambria Math" w:eastAsia="Times New Roman" w:hAnsi="Cambria Math" w:cs="Times New Roman"/>
              </w:rPr>
              <m:t>4</m:t>
            </m:r>
          </m:sub>
        </m:sSub>
      </m:oMath>
      <w:r w:rsidR="00185CA1">
        <w:rPr>
          <w:rFonts w:ascii="Calibri" w:eastAsia="Times New Roman" w:hAnsi="Calibri" w:cs="Times New Roman"/>
        </w:rPr>
        <w:t xml:space="preserve"> to </w:t>
      </w:r>
      <m:oMath>
        <m:sSub>
          <m:sSubPr>
            <m:ctrlPr>
              <w:rPr>
                <w:rFonts w:ascii="Cambria Math" w:eastAsia="Times New Roman" w:hAnsi="Cambria Math" w:cs="Times New Roman"/>
                <w:i/>
              </w:rPr>
            </m:ctrlPr>
          </m:sSubPr>
          <m:e>
            <m:r>
              <w:rPr>
                <w:rFonts w:ascii="Cambria Math" w:eastAsia="Times New Roman" w:hAnsi="Cambria Math" w:cs="Times New Roman"/>
              </w:rPr>
              <m:t>β</m:t>
            </m:r>
          </m:e>
          <m:sub>
            <m:r>
              <w:rPr>
                <w:rFonts w:ascii="Cambria Math" w:eastAsia="Times New Roman" w:hAnsi="Cambria Math" w:cs="Times New Roman"/>
              </w:rPr>
              <m:t>7</m:t>
            </m:r>
          </m:sub>
        </m:sSub>
      </m:oMath>
      <w:r w:rsidR="00185CA1">
        <w:rPr>
          <w:rFonts w:ascii="Calibri" w:eastAsia="Times New Roman" w:hAnsi="Calibri" w:cs="Times New Roman"/>
        </w:rPr>
        <w:t xml:space="preserve"> represent the </w:t>
      </w:r>
      <w:r w:rsidR="00887B28">
        <w:rPr>
          <w:rFonts w:ascii="Calibri" w:eastAsia="Times New Roman" w:hAnsi="Calibri" w:cs="Times New Roman"/>
        </w:rPr>
        <w:t>intervention</w:t>
      </w:r>
      <w:r w:rsidR="00185CA1">
        <w:rPr>
          <w:rFonts w:ascii="Calibri" w:eastAsia="Times New Roman" w:hAnsi="Calibri" w:cs="Times New Roman"/>
        </w:rPr>
        <w:t xml:space="preserve"> group (drink</w:t>
      </w:r>
      <w:r w:rsidR="00887B28">
        <w:rPr>
          <w:rFonts w:ascii="Calibri" w:eastAsia="Times New Roman" w:hAnsi="Calibri" w:cs="Times New Roman"/>
        </w:rPr>
        <w:t>s category</w:t>
      </w:r>
      <w:r w:rsidR="001F1E9A">
        <w:rPr>
          <w:rFonts w:ascii="Calibri" w:eastAsia="Times New Roman" w:hAnsi="Calibri" w:cs="Times New Roman"/>
        </w:rPr>
        <w:t xml:space="preserve"> </w:t>
      </w:r>
      <w:r w:rsidR="00887B28">
        <w:rPr>
          <w:rFonts w:ascii="Calibri" w:eastAsia="Times New Roman" w:hAnsi="Calibri" w:cs="Times New Roman"/>
        </w:rPr>
        <w:t>or</w:t>
      </w:r>
      <w:r w:rsidR="001F1E9A">
        <w:rPr>
          <w:rFonts w:ascii="Calibri" w:eastAsia="Times New Roman" w:hAnsi="Calibri" w:cs="Times New Roman"/>
        </w:rPr>
        <w:t xml:space="preserve"> </w:t>
      </w:r>
      <w:r w:rsidR="00185CA1">
        <w:rPr>
          <w:rFonts w:ascii="Calibri" w:eastAsia="Times New Roman" w:hAnsi="Calibri" w:cs="Times New Roman"/>
        </w:rPr>
        <w:t>confectionery).</w:t>
      </w:r>
      <w:r w:rsidRPr="006A7B2B">
        <w:rPr>
          <w:rFonts w:ascii="Calibri" w:eastAsia="Times New Roman" w:hAnsi="Calibri" w:cs="Times New Roman"/>
        </w:rPr>
        <w:t xml:space="preserve"> </w:t>
      </w:r>
      <m:oMath>
        <m:sSub>
          <m:sSubPr>
            <m:ctrlPr>
              <w:rPr>
                <w:rFonts w:ascii="Cambria Math" w:eastAsia="Times New Roman" w:hAnsi="Cambria Math" w:cs="Times New Roman"/>
                <w:i/>
              </w:rPr>
            </m:ctrlPr>
          </m:sSubPr>
          <m:e>
            <m:r>
              <w:rPr>
                <w:rFonts w:ascii="Cambria Math" w:eastAsia="Times New Roman" w:hAnsi="Cambria Math" w:cs="Times New Roman"/>
              </w:rPr>
              <m:t>T</m:t>
            </m:r>
          </m:e>
          <m:sub>
            <m:r>
              <w:rPr>
                <w:rFonts w:ascii="Cambria Math" w:eastAsia="Times New Roman" w:hAnsi="Cambria Math" w:cs="Times New Roman"/>
              </w:rPr>
              <m:t>t</m:t>
            </m:r>
          </m:sub>
        </m:sSub>
      </m:oMath>
      <w:r w:rsidRPr="006A7B2B">
        <w:rPr>
          <w:rFonts w:ascii="Calibri" w:eastAsia="Times New Roman" w:hAnsi="Calibri" w:cs="Times New Roman"/>
          <w:i/>
        </w:rPr>
        <w:t xml:space="preserve"> </w:t>
      </w:r>
      <w:r w:rsidRPr="006A7B2B">
        <w:rPr>
          <w:rFonts w:ascii="Calibri" w:eastAsia="Times New Roman" w:hAnsi="Calibri" w:cs="Times New Roman"/>
        </w:rPr>
        <w:t xml:space="preserve">represents the number of weeks since the first time point, a dummy variable is given by </w:t>
      </w:r>
      <m:oMath>
        <m:sSub>
          <m:sSubPr>
            <m:ctrlPr>
              <w:rPr>
                <w:rFonts w:ascii="Cambria Math" w:eastAsia="Times New Roman" w:hAnsi="Cambria Math" w:cs="Times New Roman"/>
                <w:i/>
              </w:rPr>
            </m:ctrlPr>
          </m:sSubPr>
          <m:e>
            <m:r>
              <w:rPr>
                <w:rFonts w:ascii="Cambria Math" w:eastAsia="Times New Roman" w:hAnsi="Cambria Math" w:cs="Times New Roman"/>
              </w:rPr>
              <m:t>X</m:t>
            </m:r>
          </m:e>
          <m:sub>
            <m:r>
              <w:rPr>
                <w:rFonts w:ascii="Cambria Math" w:eastAsia="Times New Roman" w:hAnsi="Cambria Math" w:cs="Times New Roman"/>
              </w:rPr>
              <m:t>t</m:t>
            </m:r>
          </m:sub>
        </m:sSub>
      </m:oMath>
      <w:r w:rsidRPr="006A7B2B">
        <w:rPr>
          <w:rFonts w:ascii="Calibri" w:eastAsia="Times New Roman" w:hAnsi="Calibri" w:cs="Times New Roman"/>
        </w:rPr>
        <w:t xml:space="preserve"> where 0 indicates the period prior to the </w:t>
      </w:r>
      <w:r w:rsidR="00185CA1">
        <w:rPr>
          <w:rFonts w:ascii="Calibri" w:eastAsia="Times New Roman" w:hAnsi="Calibri" w:cs="Times New Roman"/>
        </w:rPr>
        <w:t xml:space="preserve">SDIL </w:t>
      </w:r>
      <w:r w:rsidRPr="006A7B2B">
        <w:rPr>
          <w:rFonts w:ascii="Calibri" w:eastAsia="Times New Roman" w:hAnsi="Calibri" w:cs="Times New Roman"/>
        </w:rPr>
        <w:t xml:space="preserve">announcement and 1 indicates the </w:t>
      </w:r>
      <w:r w:rsidR="00AD474D">
        <w:rPr>
          <w:rFonts w:ascii="Calibri" w:eastAsia="Times New Roman" w:hAnsi="Calibri" w:cs="Times New Roman"/>
        </w:rPr>
        <w:t xml:space="preserve">period after the </w:t>
      </w:r>
      <w:r w:rsidRPr="006A7B2B">
        <w:rPr>
          <w:rFonts w:ascii="Calibri" w:eastAsia="Times New Roman" w:hAnsi="Calibri" w:cs="Times New Roman"/>
        </w:rPr>
        <w:t xml:space="preserve">announcement and </w:t>
      </w:r>
      <m:oMath>
        <m:sSub>
          <m:sSubPr>
            <m:ctrlPr>
              <w:rPr>
                <w:rFonts w:ascii="Cambria Math" w:eastAsia="Times New Roman" w:hAnsi="Cambria Math" w:cs="Times New Roman"/>
                <w:i/>
              </w:rPr>
            </m:ctrlPr>
          </m:sSubPr>
          <m:e>
            <m:r>
              <w:rPr>
                <w:rFonts w:ascii="Cambria Math" w:eastAsia="Times New Roman" w:hAnsi="Cambria Math" w:cs="Times New Roman"/>
              </w:rPr>
              <m:t>X</m:t>
            </m:r>
          </m:e>
          <m:sub>
            <m:r>
              <w:rPr>
                <w:rFonts w:ascii="Cambria Math" w:eastAsia="Times New Roman" w:hAnsi="Cambria Math" w:cs="Times New Roman"/>
              </w:rPr>
              <m:t>t</m:t>
            </m:r>
          </m:sub>
        </m:sSub>
        <m:sSub>
          <m:sSubPr>
            <m:ctrlPr>
              <w:rPr>
                <w:rFonts w:ascii="Cambria Math" w:eastAsia="Times New Roman" w:hAnsi="Cambria Math" w:cs="Times New Roman"/>
                <w:i/>
              </w:rPr>
            </m:ctrlPr>
          </m:sSubPr>
          <m:e>
            <m:r>
              <w:rPr>
                <w:rFonts w:ascii="Cambria Math" w:eastAsia="Times New Roman" w:hAnsi="Cambria Math" w:cs="Times New Roman"/>
              </w:rPr>
              <m:t>T</m:t>
            </m:r>
          </m:e>
          <m:sub>
            <m:r>
              <w:rPr>
                <w:rFonts w:ascii="Cambria Math" w:eastAsia="Times New Roman" w:hAnsi="Cambria Math" w:cs="Times New Roman"/>
              </w:rPr>
              <m:t>t</m:t>
            </m:r>
          </m:sub>
        </m:sSub>
      </m:oMath>
      <w:r w:rsidRPr="006A7B2B">
        <w:rPr>
          <w:rFonts w:ascii="Calibri" w:eastAsia="Times New Roman" w:hAnsi="Calibri" w:cs="Times New Roman"/>
        </w:rPr>
        <w:t xml:space="preserve"> is the interaction of the announcement and the time since the start of the study</w:t>
      </w:r>
      <w:r w:rsidR="00340C80">
        <w:rPr>
          <w:rFonts w:ascii="Calibri" w:eastAsia="Times New Roman" w:hAnsi="Calibri" w:cs="Times New Roman"/>
        </w:rPr>
        <w:t xml:space="preserve"> </w:t>
      </w:r>
      <w:r w:rsidRPr="006A7B2B">
        <w:rPr>
          <w:rFonts w:ascii="Calibri" w:eastAsia="Times New Roman" w:hAnsi="Calibri" w:cs="Times New Roman"/>
        </w:rPr>
        <w:t>allow</w:t>
      </w:r>
      <w:r w:rsidR="00340C80">
        <w:rPr>
          <w:rFonts w:ascii="Calibri" w:eastAsia="Times New Roman" w:hAnsi="Calibri" w:cs="Times New Roman"/>
        </w:rPr>
        <w:t>ing</w:t>
      </w:r>
      <w:r w:rsidRPr="006A7B2B">
        <w:rPr>
          <w:rFonts w:ascii="Calibri" w:eastAsia="Times New Roman" w:hAnsi="Calibri" w:cs="Times New Roman"/>
        </w:rPr>
        <w:t xml:space="preserve"> the trend following the announcement to be modelled. The control group (</w:t>
      </w:r>
      <w:r w:rsidR="00340C80">
        <w:rPr>
          <w:rFonts w:ascii="Calibri" w:eastAsia="Times New Roman" w:hAnsi="Calibri" w:cs="Times New Roman"/>
        </w:rPr>
        <w:t>t</w:t>
      </w:r>
      <w:r w:rsidRPr="006A7B2B">
        <w:rPr>
          <w:rFonts w:ascii="Calibri" w:eastAsia="Times New Roman" w:hAnsi="Calibri" w:cs="Times New Roman"/>
        </w:rPr>
        <w:t xml:space="preserve">oiletries) is included through </w:t>
      </w:r>
      <w:r w:rsidRPr="006A7B2B">
        <w:rPr>
          <w:rFonts w:ascii="Calibri" w:eastAsia="Times New Roman" w:hAnsi="Calibri" w:cs="Times New Roman"/>
          <w:i/>
        </w:rPr>
        <w:t>Z</w:t>
      </w:r>
      <w:r w:rsidRPr="006A7B2B">
        <w:rPr>
          <w:rFonts w:ascii="Calibri" w:eastAsia="Times New Roman" w:hAnsi="Calibri" w:cs="Times New Roman"/>
        </w:rPr>
        <w:t>, a dummy variable indicating drink</w:t>
      </w:r>
      <w:r w:rsidR="00D528EA">
        <w:rPr>
          <w:rFonts w:ascii="Calibri" w:eastAsia="Times New Roman" w:hAnsi="Calibri" w:cs="Times New Roman"/>
        </w:rPr>
        <w:t xml:space="preserve"> or </w:t>
      </w:r>
      <w:r w:rsidRPr="006A7B2B">
        <w:rPr>
          <w:rFonts w:ascii="Calibri" w:eastAsia="Times New Roman" w:hAnsi="Calibri" w:cs="Times New Roman"/>
        </w:rPr>
        <w:t>confectionery category or control</w:t>
      </w:r>
      <w:r w:rsidR="004F1AA0">
        <w:rPr>
          <w:rFonts w:ascii="Calibri" w:eastAsia="Times New Roman" w:hAnsi="Calibri" w:cs="Times New Roman"/>
        </w:rPr>
        <w:t xml:space="preserve"> category</w:t>
      </w:r>
      <w:r w:rsidRPr="006A7B2B">
        <w:rPr>
          <w:rFonts w:ascii="Calibri" w:eastAsia="Times New Roman" w:hAnsi="Calibri" w:cs="Times New Roman"/>
        </w:rPr>
        <w:t xml:space="preserve">, </w:t>
      </w:r>
      <m:oMath>
        <m:sSub>
          <m:sSubPr>
            <m:ctrlPr>
              <w:rPr>
                <w:rFonts w:ascii="Cambria Math" w:eastAsia="Times New Roman" w:hAnsi="Cambria Math" w:cs="Times New Roman"/>
                <w:i/>
              </w:rPr>
            </m:ctrlPr>
          </m:sSubPr>
          <m:e>
            <m:r>
              <w:rPr>
                <w:rFonts w:ascii="Cambria Math" w:eastAsia="Times New Roman" w:hAnsi="Cambria Math" w:cs="Times New Roman"/>
              </w:rPr>
              <m:t>β</m:t>
            </m:r>
          </m:e>
          <m:sub>
            <m:r>
              <w:rPr>
                <w:rFonts w:ascii="Cambria Math" w:eastAsia="Times New Roman" w:hAnsi="Cambria Math" w:cs="Times New Roman"/>
              </w:rPr>
              <m:t>4</m:t>
            </m:r>
          </m:sub>
        </m:sSub>
      </m:oMath>
      <w:r w:rsidRPr="006A7B2B">
        <w:rPr>
          <w:rFonts w:ascii="Calibri" w:eastAsia="Times New Roman" w:hAnsi="Calibri" w:cs="Times New Roman"/>
        </w:rPr>
        <w:t xml:space="preserve"> gives the difference between the treatment and </w:t>
      </w:r>
      <w:r w:rsidR="00C9271D">
        <w:rPr>
          <w:rFonts w:ascii="Calibri" w:eastAsia="Times New Roman" w:hAnsi="Calibri" w:cs="Times New Roman"/>
        </w:rPr>
        <w:t>counterfactual</w:t>
      </w:r>
      <w:r w:rsidR="00493DEF">
        <w:rPr>
          <w:rFonts w:ascii="Calibri" w:eastAsia="Times New Roman" w:hAnsi="Calibri" w:cs="Times New Roman"/>
        </w:rPr>
        <w:t xml:space="preserve"> before the announcement</w:t>
      </w:r>
      <w:r w:rsidRPr="006A7B2B">
        <w:rPr>
          <w:rFonts w:ascii="Calibri" w:eastAsia="Times New Roman" w:hAnsi="Calibri" w:cs="Times New Roman"/>
        </w:rPr>
        <w:t xml:space="preserve">. The difference </w:t>
      </w:r>
      <w:r w:rsidR="00493DEF">
        <w:rPr>
          <w:rFonts w:ascii="Calibri" w:eastAsia="Times New Roman" w:hAnsi="Calibri" w:cs="Times New Roman"/>
        </w:rPr>
        <w:t xml:space="preserve">in the slope between </w:t>
      </w:r>
      <w:r w:rsidRPr="006A7B2B">
        <w:rPr>
          <w:rFonts w:ascii="Calibri" w:eastAsia="Times New Roman" w:hAnsi="Calibri" w:cs="Times New Roman"/>
        </w:rPr>
        <w:t xml:space="preserve">the treatment and control groups before the announcement is given by </w:t>
      </w:r>
      <m:oMath>
        <m:sSub>
          <m:sSubPr>
            <m:ctrlPr>
              <w:rPr>
                <w:rFonts w:ascii="Cambria Math" w:eastAsia="Times New Roman" w:hAnsi="Cambria Math" w:cs="Times New Roman"/>
                <w:i/>
              </w:rPr>
            </m:ctrlPr>
          </m:sSubPr>
          <m:e>
            <m:r>
              <w:rPr>
                <w:rFonts w:ascii="Cambria Math" w:eastAsia="Times New Roman" w:hAnsi="Cambria Math" w:cs="Times New Roman"/>
              </w:rPr>
              <m:t>β</m:t>
            </m:r>
          </m:e>
          <m:sub>
            <m:r>
              <w:rPr>
                <w:rFonts w:ascii="Cambria Math" w:eastAsia="Times New Roman" w:hAnsi="Cambria Math" w:cs="Times New Roman"/>
              </w:rPr>
              <m:t>5</m:t>
            </m:r>
          </m:sub>
        </m:sSub>
      </m:oMath>
      <w:r w:rsidR="00493DEF">
        <w:rPr>
          <w:rFonts w:ascii="Calibri" w:eastAsia="Times New Roman" w:hAnsi="Calibri" w:cs="Times New Roman"/>
        </w:rPr>
        <w:t xml:space="preserve"> </w:t>
      </w:r>
      <w:r w:rsidRPr="006A7B2B">
        <w:rPr>
          <w:rFonts w:ascii="Calibri" w:eastAsia="Times New Roman" w:hAnsi="Calibri" w:cs="Times New Roman"/>
        </w:rPr>
        <w:t>and the difference in</w:t>
      </w:r>
      <w:r w:rsidR="00493DEF">
        <w:rPr>
          <w:rFonts w:ascii="Calibri" w:eastAsia="Times New Roman" w:hAnsi="Calibri" w:cs="Times New Roman"/>
        </w:rPr>
        <w:t xml:space="preserve"> the</w:t>
      </w:r>
      <w:r w:rsidRPr="006A7B2B">
        <w:rPr>
          <w:rFonts w:ascii="Calibri" w:eastAsia="Times New Roman" w:hAnsi="Calibri" w:cs="Times New Roman"/>
        </w:rPr>
        <w:t xml:space="preserve"> level in the week immediately after the announcement is given by </w:t>
      </w:r>
      <m:oMath>
        <m:sSub>
          <m:sSubPr>
            <m:ctrlPr>
              <w:rPr>
                <w:rFonts w:ascii="Cambria Math" w:eastAsia="Times New Roman" w:hAnsi="Cambria Math" w:cs="Times New Roman"/>
                <w:i/>
              </w:rPr>
            </m:ctrlPr>
          </m:sSubPr>
          <m:e>
            <m:r>
              <w:rPr>
                <w:rFonts w:ascii="Cambria Math" w:eastAsia="Times New Roman" w:hAnsi="Cambria Math" w:cs="Times New Roman"/>
              </w:rPr>
              <m:t>β</m:t>
            </m:r>
          </m:e>
          <m:sub>
            <m:r>
              <w:rPr>
                <w:rFonts w:ascii="Cambria Math" w:eastAsia="Times New Roman" w:hAnsi="Cambria Math" w:cs="Times New Roman"/>
              </w:rPr>
              <m:t>6</m:t>
            </m:r>
          </m:sub>
        </m:sSub>
      </m:oMath>
      <w:r w:rsidR="00B5685E">
        <w:rPr>
          <w:rFonts w:ascii="Calibri" w:eastAsia="Times New Roman" w:hAnsi="Calibri" w:cs="Times New Roman"/>
        </w:rPr>
        <w:t>,</w:t>
      </w:r>
      <w:r w:rsidR="008F290E">
        <w:rPr>
          <w:rFonts w:ascii="Calibri" w:eastAsia="Times New Roman" w:hAnsi="Calibri" w:cs="Times New Roman"/>
        </w:rPr>
        <w:t xml:space="preserve"> </w:t>
      </w:r>
      <m:oMath>
        <m:sSub>
          <m:sSubPr>
            <m:ctrlPr>
              <w:rPr>
                <w:rFonts w:ascii="Cambria Math" w:eastAsia="Times New Roman" w:hAnsi="Cambria Math" w:cs="Times New Roman"/>
                <w:i/>
              </w:rPr>
            </m:ctrlPr>
          </m:sSubPr>
          <m:e>
            <m:r>
              <w:rPr>
                <w:rFonts w:ascii="Cambria Math" w:eastAsia="Times New Roman" w:hAnsi="Cambria Math" w:cs="Times New Roman"/>
              </w:rPr>
              <m:t>β</m:t>
            </m:r>
          </m:e>
          <m:sub>
            <m:r>
              <w:rPr>
                <w:rFonts w:ascii="Cambria Math" w:eastAsia="Times New Roman" w:hAnsi="Cambria Math" w:cs="Times New Roman"/>
              </w:rPr>
              <m:t>7</m:t>
            </m:r>
          </m:sub>
        </m:sSub>
      </m:oMath>
      <w:r w:rsidRPr="006A7B2B">
        <w:rPr>
          <w:rFonts w:ascii="Calibri" w:eastAsia="Times New Roman" w:hAnsi="Calibri" w:cs="Times New Roman"/>
        </w:rPr>
        <w:t xml:space="preserve"> gives the difference between the slopes </w:t>
      </w:r>
      <w:r w:rsidR="00340C80">
        <w:rPr>
          <w:rFonts w:ascii="Calibri" w:eastAsia="Times New Roman" w:hAnsi="Calibri" w:cs="Times New Roman"/>
        </w:rPr>
        <w:t>in</w:t>
      </w:r>
      <w:r w:rsidRPr="006A7B2B">
        <w:rPr>
          <w:rFonts w:ascii="Calibri" w:eastAsia="Times New Roman" w:hAnsi="Calibri" w:cs="Times New Roman"/>
        </w:rPr>
        <w:t xml:space="preserve"> the treatment and control groups after the announcement</w:t>
      </w:r>
      <w:r w:rsidR="00B5685E">
        <w:rPr>
          <w:rFonts w:ascii="Calibri" w:eastAsia="Times New Roman" w:hAnsi="Calibri" w:cs="Times New Roman"/>
        </w:rPr>
        <w:t xml:space="preserve"> and </w:t>
      </w:r>
      <m:oMath>
        <m:sSub>
          <m:sSubPr>
            <m:ctrlPr>
              <w:rPr>
                <w:rFonts w:ascii="Cambria Math" w:eastAsia="Times New Roman" w:hAnsi="Cambria Math" w:cs="Times New Roman"/>
                <w:i/>
              </w:rPr>
            </m:ctrlPr>
          </m:sSubPr>
          <m:e>
            <m:r>
              <w:rPr>
                <w:rFonts w:ascii="Cambria Math" w:eastAsia="Times New Roman" w:hAnsi="Cambria Math" w:cs="Times New Roman"/>
              </w:rPr>
              <m:t>e</m:t>
            </m:r>
          </m:e>
          <m:sub>
            <m:r>
              <w:rPr>
                <w:rFonts w:ascii="Cambria Math" w:eastAsia="Times New Roman" w:hAnsi="Cambria Math" w:cs="Times New Roman"/>
              </w:rPr>
              <m:t>t</m:t>
            </m:r>
          </m:sub>
        </m:sSub>
      </m:oMath>
      <w:r w:rsidR="00B5685E">
        <w:rPr>
          <w:rFonts w:ascii="Calibri" w:eastAsia="Times New Roman" w:hAnsi="Calibri" w:cs="Times New Roman"/>
        </w:rPr>
        <w:t xml:space="preserve"> </w:t>
      </w:r>
      <w:r w:rsidR="008F290E">
        <w:rPr>
          <w:rFonts w:ascii="Calibri" w:eastAsia="Times New Roman" w:hAnsi="Calibri" w:cs="Times New Roman"/>
        </w:rPr>
        <w:t xml:space="preserve">is the variability at time </w:t>
      </w:r>
      <w:r w:rsidR="008F290E" w:rsidRPr="008F290E">
        <w:rPr>
          <w:rFonts w:ascii="Calibri" w:eastAsia="Times New Roman" w:hAnsi="Calibri" w:cs="Times New Roman"/>
          <w:i/>
        </w:rPr>
        <w:t>t</w:t>
      </w:r>
      <w:r w:rsidR="008F290E">
        <w:rPr>
          <w:rFonts w:ascii="Calibri" w:eastAsia="Times New Roman" w:hAnsi="Calibri" w:cs="Times New Roman"/>
          <w:i/>
        </w:rPr>
        <w:t xml:space="preserve"> </w:t>
      </w:r>
      <w:r w:rsidR="008F290E">
        <w:rPr>
          <w:rFonts w:ascii="Calibri" w:eastAsia="Times New Roman" w:hAnsi="Calibri" w:cs="Times New Roman"/>
        </w:rPr>
        <w:t>not explained by the model</w:t>
      </w:r>
      <w:r w:rsidR="00FB3558">
        <w:rPr>
          <w:rFonts w:ascii="Calibri" w:eastAsia="Times New Roman" w:hAnsi="Calibri" w:cs="Times New Roman"/>
        </w:rPr>
        <w:t xml:space="preserve"> </w:t>
      </w:r>
      <w:r w:rsidR="00197374">
        <w:rPr>
          <w:rFonts w:ascii="Calibri" w:eastAsia="Times New Roman" w:hAnsi="Calibri" w:cs="Times New Roman"/>
        </w:rPr>
        <w:fldChar w:fldCharType="begin"/>
      </w:r>
      <w:r w:rsidR="006C4B25">
        <w:rPr>
          <w:rFonts w:ascii="Calibri" w:eastAsia="Times New Roman" w:hAnsi="Calibri" w:cs="Times New Roman"/>
        </w:rPr>
        <w:instrText xml:space="preserve"> ADDIN ZOTERO_ITEM CSL_CITATION {"citationID":"wNnrO6wZ","properties":{"formattedCitation":"[37]","plainCitation":"[37]","noteIndex":0},"citationItems":[{"id":68,"uris":["http://zotero.org/users/1356132/items/UGGYFI6X"],"uri":["http://zotero.org/users/1356132/items/UGGYFI6X"],"itemData":{"id":68,"type":"article-journal","abstract":"In this article, I introduce the itsa command, which performs interrupted time-series analysis for single- and multiple-group comparisons. In an interrupted time-series analysis, an outcome variable is observed over multiple, equally spaced time periods before and after the introduction of an intervention that is expected to interrupt its level or trend. The itsa command estimates the effect of an intervention on an outcome variable either for a single treatment group or when compared with one or more control groups. Additionally, its options allow the user to control for autocorrelated disturbances and to estimate treatment effects over multiple periods.","container-title":"The Stata Journal","DOI":"10.1177/1536867X1501500208","ISSN":"1536-867X","issue":"2","journalAbbreviation":"The Stata Journal","language":"en","page":"480-500","source":"SAGE Journals","title":"Conducting Interrupted Time-series Analysis for Single- and Multiple-group Comparisons","volume":"15","author":[{"family":"Linden","given":"Ariel"}],"issued":{"date-parts":[["2015",6,1]]}}}],"schema":"https://github.com/citation-style-language/schema/raw/master/csl-citation.json"} </w:instrText>
      </w:r>
      <w:r w:rsidR="00197374">
        <w:rPr>
          <w:rFonts w:ascii="Calibri" w:eastAsia="Times New Roman" w:hAnsi="Calibri" w:cs="Times New Roman"/>
        </w:rPr>
        <w:fldChar w:fldCharType="separate"/>
      </w:r>
      <w:r w:rsidR="006C4B25" w:rsidRPr="006C4B25">
        <w:rPr>
          <w:rFonts w:ascii="Calibri" w:hAnsi="Calibri" w:cs="Calibri"/>
        </w:rPr>
        <w:t>[37]</w:t>
      </w:r>
      <w:r w:rsidR="00197374">
        <w:rPr>
          <w:rFonts w:ascii="Calibri" w:eastAsia="Times New Roman" w:hAnsi="Calibri" w:cs="Times New Roman"/>
        </w:rPr>
        <w:fldChar w:fldCharType="end"/>
      </w:r>
      <w:r w:rsidR="00FB3558">
        <w:rPr>
          <w:rFonts w:ascii="Calibri" w:eastAsia="Times New Roman" w:hAnsi="Calibri" w:cs="Times New Roman"/>
        </w:rPr>
        <w:t>.</w:t>
      </w:r>
      <w:r w:rsidRPr="006A7B2B">
        <w:rPr>
          <w:rFonts w:ascii="Calibri" w:eastAsia="Times New Roman" w:hAnsi="Calibri" w:cs="Times New Roman"/>
        </w:rPr>
        <w:t xml:space="preserve"> </w:t>
      </w:r>
      <w:r w:rsidR="00E46D4F">
        <w:rPr>
          <w:rFonts w:ascii="Calibri" w:eastAsia="Times New Roman" w:hAnsi="Calibri" w:cs="Times New Roman"/>
        </w:rPr>
        <w:t xml:space="preserve">No evidence of </w:t>
      </w:r>
      <w:r w:rsidR="00173E5B">
        <w:rPr>
          <w:rFonts w:ascii="Calibri" w:eastAsia="Times New Roman" w:hAnsi="Calibri" w:cs="Times New Roman"/>
        </w:rPr>
        <w:t xml:space="preserve">stationarity </w:t>
      </w:r>
      <w:r w:rsidR="00E46D4F">
        <w:rPr>
          <w:rFonts w:ascii="Calibri" w:eastAsia="Times New Roman" w:hAnsi="Calibri" w:cs="Times New Roman"/>
        </w:rPr>
        <w:t>in</w:t>
      </w:r>
      <w:r w:rsidR="00173E5B">
        <w:rPr>
          <w:rFonts w:ascii="Calibri" w:eastAsia="Times New Roman" w:hAnsi="Calibri" w:cs="Times New Roman"/>
        </w:rPr>
        <w:t xml:space="preserve"> each time series of volume and sugar </w:t>
      </w:r>
      <w:r w:rsidR="00E46D4F">
        <w:rPr>
          <w:rFonts w:ascii="Calibri" w:eastAsia="Times New Roman" w:hAnsi="Calibri" w:cs="Times New Roman"/>
        </w:rPr>
        <w:t xml:space="preserve">was found </w:t>
      </w:r>
      <w:r w:rsidR="00173E5B">
        <w:rPr>
          <w:rFonts w:ascii="Calibri" w:eastAsia="Times New Roman" w:hAnsi="Calibri" w:cs="Times New Roman"/>
        </w:rPr>
        <w:t xml:space="preserve">using augmented Dickey-Fuller tests (both without and with trend). </w:t>
      </w:r>
      <w:r w:rsidR="00340C80">
        <w:rPr>
          <w:rFonts w:ascii="Calibri" w:eastAsia="Times New Roman" w:hAnsi="Calibri" w:cs="Times New Roman"/>
        </w:rPr>
        <w:t>D</w:t>
      </w:r>
      <w:r w:rsidRPr="006A7B2B">
        <w:rPr>
          <w:rFonts w:ascii="Calibri" w:eastAsia="Times New Roman" w:hAnsi="Calibri" w:cs="Times New Roman"/>
        </w:rPr>
        <w:t xml:space="preserve">ummy indicator variables </w:t>
      </w:r>
      <w:r w:rsidR="008F290E">
        <w:rPr>
          <w:rFonts w:ascii="Calibri" w:eastAsia="Times New Roman" w:hAnsi="Calibri" w:cs="Times New Roman"/>
        </w:rPr>
        <w:t>determined</w:t>
      </w:r>
      <w:r w:rsidR="00C9271D">
        <w:rPr>
          <w:rFonts w:ascii="Calibri" w:eastAsia="Times New Roman" w:hAnsi="Calibri" w:cs="Times New Roman"/>
        </w:rPr>
        <w:t xml:space="preserve"> to be</w:t>
      </w:r>
      <w:r w:rsidR="008F290E">
        <w:rPr>
          <w:rFonts w:ascii="Calibri" w:eastAsia="Times New Roman" w:hAnsi="Calibri" w:cs="Times New Roman"/>
        </w:rPr>
        <w:t xml:space="preserve"> statistically significant </w:t>
      </w:r>
      <w:r w:rsidR="00BA6730">
        <w:rPr>
          <w:rFonts w:ascii="Calibri" w:eastAsia="Times New Roman" w:hAnsi="Calibri" w:cs="Times New Roman"/>
        </w:rPr>
        <w:t xml:space="preserve">(p&lt;0.05) </w:t>
      </w:r>
      <w:r w:rsidRPr="006A7B2B">
        <w:rPr>
          <w:rFonts w:ascii="Calibri" w:eastAsia="Times New Roman" w:hAnsi="Calibri" w:cs="Times New Roman"/>
        </w:rPr>
        <w:t>were included</w:t>
      </w:r>
      <w:r w:rsidR="008F290E">
        <w:rPr>
          <w:rFonts w:ascii="Calibri" w:eastAsia="Times New Roman" w:hAnsi="Calibri" w:cs="Times New Roman"/>
        </w:rPr>
        <w:t xml:space="preserve"> as appropriate</w:t>
      </w:r>
      <w:r w:rsidRPr="006A7B2B">
        <w:rPr>
          <w:rFonts w:ascii="Calibri" w:eastAsia="Times New Roman" w:hAnsi="Calibri" w:cs="Times New Roman"/>
        </w:rPr>
        <w:t xml:space="preserve"> representing</w:t>
      </w:r>
      <w:r w:rsidR="00C9271D">
        <w:rPr>
          <w:rFonts w:ascii="Calibri" w:eastAsia="Times New Roman" w:hAnsi="Calibri" w:cs="Times New Roman"/>
        </w:rPr>
        <w:t>:</w:t>
      </w:r>
      <w:r w:rsidRPr="006A7B2B">
        <w:rPr>
          <w:rFonts w:ascii="Calibri" w:eastAsia="Times New Roman" w:hAnsi="Calibri" w:cs="Times New Roman"/>
        </w:rPr>
        <w:t xml:space="preserve"> the increase in purchases seen </w:t>
      </w:r>
      <w:r w:rsidRPr="006A7B2B">
        <w:rPr>
          <w:rFonts w:ascii="Calibri" w:eastAsia="Times New Roman" w:hAnsi="Calibri" w:cs="Times New Roman"/>
        </w:rPr>
        <w:lastRenderedPageBreak/>
        <w:t>throughout December in the weeks before Christmas</w:t>
      </w:r>
      <w:r w:rsidR="00C9271D">
        <w:rPr>
          <w:rFonts w:ascii="Calibri" w:eastAsia="Times New Roman" w:hAnsi="Calibri" w:cs="Times New Roman"/>
        </w:rPr>
        <w:t>;</w:t>
      </w:r>
      <w:r w:rsidRPr="006A7B2B">
        <w:rPr>
          <w:rFonts w:ascii="Calibri" w:eastAsia="Times New Roman" w:hAnsi="Calibri" w:cs="Times New Roman"/>
        </w:rPr>
        <w:t xml:space="preserve"> the fall in purchases in the weeks immediately after Christmas</w:t>
      </w:r>
      <w:r w:rsidR="00C9271D">
        <w:rPr>
          <w:rFonts w:ascii="Calibri" w:eastAsia="Times New Roman" w:hAnsi="Calibri" w:cs="Times New Roman"/>
        </w:rPr>
        <w:t>;</w:t>
      </w:r>
      <w:r w:rsidRPr="006A7B2B">
        <w:rPr>
          <w:rFonts w:ascii="Calibri" w:eastAsia="Times New Roman" w:hAnsi="Calibri" w:cs="Times New Roman"/>
        </w:rPr>
        <w:t xml:space="preserve"> </w:t>
      </w:r>
      <w:r w:rsidR="00C9271D">
        <w:rPr>
          <w:rFonts w:ascii="Calibri" w:eastAsia="Times New Roman" w:hAnsi="Calibri" w:cs="Times New Roman"/>
        </w:rPr>
        <w:t xml:space="preserve">and </w:t>
      </w:r>
      <w:r w:rsidRPr="006A7B2B">
        <w:rPr>
          <w:rFonts w:ascii="Calibri" w:eastAsia="Times New Roman" w:hAnsi="Calibri" w:cs="Times New Roman"/>
        </w:rPr>
        <w:t>the increase in confectionery purchases seen at Easter</w:t>
      </w:r>
      <w:r w:rsidR="004F1AA0">
        <w:rPr>
          <w:rFonts w:ascii="Calibri" w:eastAsia="Times New Roman" w:hAnsi="Calibri" w:cs="Times New Roman"/>
        </w:rPr>
        <w:t>.</w:t>
      </w:r>
      <w:r w:rsidRPr="006A7B2B">
        <w:rPr>
          <w:rFonts w:ascii="Calibri" w:eastAsia="Times New Roman" w:hAnsi="Calibri" w:cs="Times New Roman"/>
        </w:rPr>
        <w:t xml:space="preserve"> </w:t>
      </w:r>
      <w:r w:rsidR="004F1AA0">
        <w:rPr>
          <w:rFonts w:ascii="Calibri" w:eastAsia="Times New Roman" w:hAnsi="Calibri" w:cs="Times New Roman"/>
        </w:rPr>
        <w:t>T</w:t>
      </w:r>
      <w:r w:rsidRPr="006A7B2B">
        <w:rPr>
          <w:rFonts w:ascii="Calibri" w:eastAsia="Times New Roman" w:hAnsi="Calibri" w:cs="Times New Roman"/>
        </w:rPr>
        <w:t xml:space="preserve">o adjust for </w:t>
      </w:r>
      <w:r w:rsidR="00EA1128">
        <w:rPr>
          <w:rFonts w:ascii="Calibri" w:eastAsia="Times New Roman" w:hAnsi="Calibri" w:cs="Times New Roman"/>
        </w:rPr>
        <w:t xml:space="preserve">seasonality </w:t>
      </w:r>
      <w:r w:rsidR="00E11FEC">
        <w:rPr>
          <w:rFonts w:ascii="Calibri" w:eastAsia="Times New Roman" w:hAnsi="Calibri" w:cs="Times New Roman"/>
        </w:rPr>
        <w:t xml:space="preserve">and </w:t>
      </w:r>
      <w:r w:rsidR="004F1AA0">
        <w:rPr>
          <w:rFonts w:ascii="Calibri" w:eastAsia="Times New Roman" w:hAnsi="Calibri" w:cs="Times New Roman"/>
        </w:rPr>
        <w:t xml:space="preserve">temperature-related </w:t>
      </w:r>
      <w:r w:rsidRPr="006A7B2B">
        <w:rPr>
          <w:rFonts w:ascii="Calibri" w:eastAsia="Times New Roman" w:hAnsi="Calibri" w:cs="Times New Roman"/>
        </w:rPr>
        <w:t xml:space="preserve">trends in drink consumption the average UK monthly temperature </w:t>
      </w:r>
      <w:r w:rsidR="00694C21">
        <w:rPr>
          <w:rFonts w:ascii="Calibri" w:eastAsia="Times New Roman" w:hAnsi="Calibri" w:cs="Times New Roman"/>
        </w:rPr>
        <w:t xml:space="preserve">at each weekly time point </w:t>
      </w:r>
      <w:r w:rsidRPr="006A7B2B">
        <w:rPr>
          <w:rFonts w:ascii="Calibri" w:eastAsia="Times New Roman" w:hAnsi="Calibri" w:cs="Times New Roman"/>
        </w:rPr>
        <w:t>was included</w:t>
      </w:r>
      <w:r w:rsidR="002D0E88">
        <w:rPr>
          <w:rFonts w:ascii="Calibri" w:eastAsia="Times New Roman" w:hAnsi="Calibri" w:cs="Times New Roman"/>
        </w:rPr>
        <w:t xml:space="preserve"> </w:t>
      </w:r>
      <w:r w:rsidR="00A25AC4">
        <w:rPr>
          <w:rFonts w:ascii="Calibri" w:eastAsia="Times New Roman" w:hAnsi="Calibri" w:cs="Times New Roman"/>
        </w:rPr>
        <w:fldChar w:fldCharType="begin"/>
      </w:r>
      <w:r w:rsidR="006C4B25">
        <w:rPr>
          <w:rFonts w:ascii="Calibri" w:eastAsia="Times New Roman" w:hAnsi="Calibri" w:cs="Times New Roman"/>
        </w:rPr>
        <w:instrText xml:space="preserve"> ADDIN ZOTERO_ITEM CSL_CITATION {"citationID":"O8Mz5Bwc","properties":{"formattedCitation":"[38]","plainCitation":"[38]","noteIndex":0},"citationItems":[{"id":807,"uris":["http://zotero.org/users/1356132/items/TTV77BN3"],"uri":["http://zotero.org/users/1356132/items/TTV77BN3"],"itemData":{"id":807,"type":"webpage","abstract":"Download time-series of monthly, seasonal and annual values for the UK, countries and regions in rank or date order","container-title":"Met Office","language":"en","title":"UK and regional series","URL":"https://www.metoffice.gov.uk/climate/uk/summaries/datasets","accessed":{"date-parts":[["2018",12,6]]}}}],"schema":"https://github.com/citation-style-language/schema/raw/master/csl-citation.json"} </w:instrText>
      </w:r>
      <w:r w:rsidR="00A25AC4">
        <w:rPr>
          <w:rFonts w:ascii="Calibri" w:eastAsia="Times New Roman" w:hAnsi="Calibri" w:cs="Times New Roman"/>
        </w:rPr>
        <w:fldChar w:fldCharType="separate"/>
      </w:r>
      <w:r w:rsidR="006C4B25" w:rsidRPr="006C4B25">
        <w:rPr>
          <w:rFonts w:ascii="Calibri" w:hAnsi="Calibri" w:cs="Calibri"/>
        </w:rPr>
        <w:t>[38]</w:t>
      </w:r>
      <w:r w:rsidR="00A25AC4">
        <w:rPr>
          <w:rFonts w:ascii="Calibri" w:eastAsia="Times New Roman" w:hAnsi="Calibri" w:cs="Times New Roman"/>
        </w:rPr>
        <w:fldChar w:fldCharType="end"/>
      </w:r>
      <w:r w:rsidR="002D0E88">
        <w:rPr>
          <w:rFonts w:ascii="Calibri" w:eastAsia="Times New Roman" w:hAnsi="Calibri" w:cs="Times New Roman"/>
        </w:rPr>
        <w:t>.</w:t>
      </w:r>
      <w:r w:rsidR="00140ABE">
        <w:rPr>
          <w:rFonts w:ascii="Calibri" w:eastAsia="Times New Roman" w:hAnsi="Calibri" w:cs="Times New Roman"/>
        </w:rPr>
        <w:t xml:space="preserve"> </w:t>
      </w:r>
      <w:r w:rsidR="006B2225">
        <w:rPr>
          <w:rFonts w:ascii="Calibri" w:eastAsia="Times New Roman" w:hAnsi="Calibri" w:cs="Times New Roman"/>
        </w:rPr>
        <w:t>Q</w:t>
      </w:r>
      <w:r w:rsidR="000C4F1D">
        <w:rPr>
          <w:rFonts w:ascii="Calibri" w:eastAsia="Times New Roman" w:hAnsi="Calibri" w:cs="Times New Roman"/>
        </w:rPr>
        <w:t>uadratic functions of</w:t>
      </w:r>
      <w:r w:rsidR="00140ABE">
        <w:rPr>
          <w:rFonts w:ascii="Calibri" w:eastAsia="Times New Roman" w:hAnsi="Calibri" w:cs="Times New Roman"/>
        </w:rPr>
        <w:t xml:space="preserve"> trend </w:t>
      </w:r>
      <m:oMath>
        <m:r>
          <w:rPr>
            <w:rFonts w:ascii="Cambria Math" w:eastAsia="Times New Roman" w:hAnsi="Cambria Math" w:cs="Times New Roman"/>
          </w:rPr>
          <m:t>T</m:t>
        </m:r>
        <m:sSub>
          <m:sSubPr>
            <m:ctrlPr>
              <w:rPr>
                <w:rFonts w:ascii="Cambria Math" w:eastAsia="Times New Roman" w:hAnsi="Cambria Math" w:cs="Times New Roman"/>
                <w:i/>
              </w:rPr>
            </m:ctrlPr>
          </m:sSubPr>
          <m:e>
            <m:r>
              <w:rPr>
                <w:rFonts w:ascii="Cambria Math" w:eastAsia="Times New Roman" w:hAnsi="Cambria Math" w:cs="Times New Roman"/>
              </w:rPr>
              <m:t>X</m:t>
            </m:r>
          </m:e>
          <m:sub>
            <m:r>
              <w:rPr>
                <w:rFonts w:ascii="Cambria Math" w:eastAsia="Times New Roman" w:hAnsi="Cambria Math" w:cs="Times New Roman"/>
              </w:rPr>
              <m:t>t</m:t>
            </m:r>
          </m:sub>
        </m:sSub>
      </m:oMath>
      <w:r w:rsidR="000C4F1D">
        <w:rPr>
          <w:rFonts w:ascii="Calibri" w:eastAsia="Times New Roman" w:hAnsi="Calibri" w:cs="Times New Roman"/>
        </w:rPr>
        <w:t xml:space="preserve"> </w:t>
      </w:r>
      <w:r w:rsidR="00140ABE">
        <w:rPr>
          <w:rFonts w:ascii="Calibri" w:eastAsia="Times New Roman" w:hAnsi="Calibri" w:cs="Times New Roman"/>
        </w:rPr>
        <w:t>were included where they improved model fit</w:t>
      </w:r>
      <w:r w:rsidR="006B2225">
        <w:rPr>
          <w:rFonts w:ascii="Calibri" w:eastAsia="Times New Roman" w:hAnsi="Calibri" w:cs="Times New Roman"/>
        </w:rPr>
        <w:t xml:space="preserve"> - assessed</w:t>
      </w:r>
      <w:r w:rsidR="00D528EA">
        <w:rPr>
          <w:rFonts w:ascii="Calibri" w:eastAsia="Times New Roman" w:hAnsi="Calibri" w:cs="Times New Roman"/>
        </w:rPr>
        <w:t xml:space="preserve"> using likelihood ratio test</w:t>
      </w:r>
      <w:r w:rsidR="006B2225">
        <w:rPr>
          <w:rFonts w:ascii="Calibri" w:eastAsia="Times New Roman" w:hAnsi="Calibri" w:cs="Times New Roman"/>
        </w:rPr>
        <w:t>s</w:t>
      </w:r>
      <w:r w:rsidRPr="006A7B2B">
        <w:rPr>
          <w:rFonts w:ascii="Calibri" w:eastAsia="Times New Roman" w:hAnsi="Calibri" w:cs="Times New Roman"/>
        </w:rPr>
        <w:t>. Autocorrelation between preceding time points was examined using Durbin-Watson tests</w:t>
      </w:r>
      <w:r w:rsidR="00197374">
        <w:rPr>
          <w:rFonts w:ascii="Calibri" w:eastAsia="Times New Roman" w:hAnsi="Calibri" w:cs="Times New Roman"/>
        </w:rPr>
        <w:t xml:space="preserve"> and autocorrelation and partial-autocorrelation plots</w:t>
      </w:r>
      <w:r w:rsidR="004F1AA0">
        <w:rPr>
          <w:rFonts w:ascii="Calibri" w:eastAsia="Times New Roman" w:hAnsi="Calibri" w:cs="Times New Roman"/>
        </w:rPr>
        <w:t>.</w:t>
      </w:r>
      <w:r w:rsidRPr="006A7B2B">
        <w:rPr>
          <w:rFonts w:ascii="Calibri" w:eastAsia="Times New Roman" w:hAnsi="Calibri" w:cs="Times New Roman"/>
        </w:rPr>
        <w:t xml:space="preserve"> </w:t>
      </w:r>
      <w:r w:rsidR="004F1AA0">
        <w:rPr>
          <w:rFonts w:ascii="Calibri" w:eastAsia="Times New Roman" w:hAnsi="Calibri" w:cs="Times New Roman"/>
        </w:rPr>
        <w:t>A</w:t>
      </w:r>
      <w:r w:rsidRPr="006A7B2B">
        <w:rPr>
          <w:rFonts w:ascii="Calibri" w:eastAsia="Times New Roman" w:hAnsi="Calibri" w:cs="Times New Roman"/>
        </w:rPr>
        <w:t xml:space="preserve">n appropriate autocorrelation structure was </w:t>
      </w:r>
      <w:r w:rsidR="00340C80">
        <w:rPr>
          <w:rFonts w:ascii="Calibri" w:eastAsia="Times New Roman" w:hAnsi="Calibri" w:cs="Times New Roman"/>
        </w:rPr>
        <w:t>determined</w:t>
      </w:r>
      <w:r w:rsidR="004F1AA0">
        <w:rPr>
          <w:rFonts w:ascii="Calibri" w:eastAsia="Times New Roman" w:hAnsi="Calibri" w:cs="Times New Roman"/>
        </w:rPr>
        <w:t xml:space="preserve"> and</w:t>
      </w:r>
      <w:r w:rsidR="00340C80">
        <w:rPr>
          <w:rFonts w:ascii="Calibri" w:eastAsia="Times New Roman" w:hAnsi="Calibri" w:cs="Times New Roman"/>
        </w:rPr>
        <w:t xml:space="preserve"> </w:t>
      </w:r>
      <w:r w:rsidRPr="006A7B2B">
        <w:rPr>
          <w:rFonts w:ascii="Calibri" w:eastAsia="Times New Roman" w:hAnsi="Calibri" w:cs="Times New Roman"/>
        </w:rPr>
        <w:t xml:space="preserve">then compared to alternative models </w:t>
      </w:r>
      <w:r w:rsidR="002A6A00">
        <w:rPr>
          <w:rFonts w:ascii="Calibri" w:eastAsia="Times New Roman" w:hAnsi="Calibri" w:cs="Times New Roman"/>
        </w:rPr>
        <w:t>using likelihood ratio test</w:t>
      </w:r>
      <w:r w:rsidR="00E00593">
        <w:rPr>
          <w:rFonts w:ascii="Calibri" w:eastAsia="Times New Roman" w:hAnsi="Calibri" w:cs="Times New Roman"/>
        </w:rPr>
        <w:t>s.</w:t>
      </w:r>
      <w:r w:rsidRPr="006A7B2B">
        <w:rPr>
          <w:rFonts w:ascii="Calibri" w:eastAsia="Times New Roman" w:hAnsi="Calibri" w:cs="Times New Roman"/>
        </w:rPr>
        <w:t xml:space="preserve"> </w:t>
      </w:r>
      <w:r w:rsidR="006B2225">
        <w:rPr>
          <w:rFonts w:ascii="Calibri" w:eastAsia="Times New Roman" w:hAnsi="Calibri" w:cs="Times New Roman"/>
        </w:rPr>
        <w:t>Visual inspection of the data suggested no additional benefit would be gained from including polynomial terms.</w:t>
      </w:r>
    </w:p>
    <w:p w14:paraId="1799C5AE" w14:textId="4F9B2AF1" w:rsidR="00961342" w:rsidRDefault="006A7B2B" w:rsidP="009E0B77">
      <w:pPr>
        <w:spacing w:line="480" w:lineRule="auto"/>
        <w:jc w:val="both"/>
        <w:rPr>
          <w:rFonts w:ascii="Calibri" w:eastAsia="Times New Roman" w:hAnsi="Calibri" w:cs="Times New Roman"/>
        </w:rPr>
      </w:pPr>
      <w:r w:rsidRPr="006A7B2B">
        <w:rPr>
          <w:rFonts w:ascii="Calibri" w:eastAsia="Times New Roman" w:hAnsi="Calibri" w:cs="Times New Roman"/>
        </w:rPr>
        <w:t>Absolute and relative differences</w:t>
      </w:r>
      <w:r w:rsidR="00AD00F2">
        <w:rPr>
          <w:rFonts w:ascii="Calibri" w:eastAsia="Times New Roman" w:hAnsi="Calibri" w:cs="Times New Roman"/>
        </w:rPr>
        <w:t xml:space="preserve"> between </w:t>
      </w:r>
      <w:r w:rsidR="00C9271D">
        <w:rPr>
          <w:rFonts w:ascii="Calibri" w:eastAsia="Times New Roman" w:hAnsi="Calibri" w:cs="Times New Roman"/>
        </w:rPr>
        <w:t>observed post-announcement</w:t>
      </w:r>
      <w:r w:rsidR="0088536B">
        <w:rPr>
          <w:rFonts w:ascii="Calibri" w:eastAsia="Times New Roman" w:hAnsi="Calibri" w:cs="Times New Roman"/>
        </w:rPr>
        <w:t xml:space="preserve"> </w:t>
      </w:r>
      <w:r w:rsidR="006B2225">
        <w:rPr>
          <w:rFonts w:ascii="Calibri" w:eastAsia="Times New Roman" w:hAnsi="Calibri" w:cs="Times New Roman"/>
        </w:rPr>
        <w:t xml:space="preserve">purchasing </w:t>
      </w:r>
      <w:r w:rsidR="0088536B">
        <w:rPr>
          <w:rFonts w:ascii="Calibri" w:eastAsia="Times New Roman" w:hAnsi="Calibri" w:cs="Times New Roman"/>
        </w:rPr>
        <w:t xml:space="preserve">and </w:t>
      </w:r>
      <w:r w:rsidR="006B2225">
        <w:rPr>
          <w:rFonts w:ascii="Calibri" w:eastAsia="Times New Roman" w:hAnsi="Calibri" w:cs="Times New Roman"/>
        </w:rPr>
        <w:t xml:space="preserve">the </w:t>
      </w:r>
      <w:r w:rsidR="0088536B">
        <w:rPr>
          <w:rFonts w:ascii="Calibri" w:eastAsia="Times New Roman" w:hAnsi="Calibri" w:cs="Times New Roman"/>
        </w:rPr>
        <w:t xml:space="preserve">counterfactual scenario </w:t>
      </w:r>
      <w:r w:rsidR="00C9271D">
        <w:rPr>
          <w:rFonts w:ascii="Calibri" w:eastAsia="Times New Roman" w:hAnsi="Calibri" w:cs="Times New Roman"/>
        </w:rPr>
        <w:t>(</w:t>
      </w:r>
      <w:r w:rsidR="006B2225">
        <w:rPr>
          <w:rFonts w:ascii="Calibri" w:eastAsia="Times New Roman" w:hAnsi="Calibri" w:cs="Times New Roman"/>
        </w:rPr>
        <w:t>assuming</w:t>
      </w:r>
      <w:r w:rsidR="0088536B">
        <w:rPr>
          <w:rFonts w:ascii="Calibri" w:eastAsia="Times New Roman" w:hAnsi="Calibri" w:cs="Times New Roman"/>
        </w:rPr>
        <w:t xml:space="preserve"> pre-announcement trend</w:t>
      </w:r>
      <w:r w:rsidR="006B2225">
        <w:rPr>
          <w:rFonts w:ascii="Calibri" w:eastAsia="Times New Roman" w:hAnsi="Calibri" w:cs="Times New Roman"/>
        </w:rPr>
        <w:t>s continued</w:t>
      </w:r>
      <w:r w:rsidR="0088536B">
        <w:rPr>
          <w:rFonts w:ascii="Calibri" w:eastAsia="Times New Roman" w:hAnsi="Calibri" w:cs="Times New Roman"/>
        </w:rPr>
        <w:t xml:space="preserve"> post</w:t>
      </w:r>
      <w:r w:rsidR="00493DEF">
        <w:rPr>
          <w:rFonts w:ascii="Calibri" w:eastAsia="Times New Roman" w:hAnsi="Calibri" w:cs="Times New Roman"/>
        </w:rPr>
        <w:t>-</w:t>
      </w:r>
      <w:r w:rsidR="0088536B">
        <w:rPr>
          <w:rFonts w:ascii="Calibri" w:eastAsia="Times New Roman" w:hAnsi="Calibri" w:cs="Times New Roman"/>
        </w:rPr>
        <w:t>announcement</w:t>
      </w:r>
      <w:r w:rsidR="00C9271D">
        <w:rPr>
          <w:rFonts w:ascii="Calibri" w:eastAsia="Times New Roman" w:hAnsi="Calibri" w:cs="Times New Roman"/>
        </w:rPr>
        <w:t>)</w:t>
      </w:r>
      <w:r w:rsidR="0088536B">
        <w:rPr>
          <w:rFonts w:ascii="Calibri" w:eastAsia="Times New Roman" w:hAnsi="Calibri" w:cs="Times New Roman"/>
        </w:rPr>
        <w:t xml:space="preserve"> </w:t>
      </w:r>
      <w:r w:rsidR="00C9271D">
        <w:rPr>
          <w:rFonts w:ascii="Calibri" w:eastAsia="Times New Roman" w:hAnsi="Calibri" w:cs="Times New Roman"/>
        </w:rPr>
        <w:t xml:space="preserve">at 105 weeks </w:t>
      </w:r>
      <w:r w:rsidR="0064463E">
        <w:rPr>
          <w:rFonts w:ascii="Calibri" w:eastAsia="Times New Roman" w:hAnsi="Calibri" w:cs="Times New Roman"/>
        </w:rPr>
        <w:t xml:space="preserve">(‘2 years’) </w:t>
      </w:r>
      <w:r w:rsidR="00C9271D">
        <w:rPr>
          <w:rFonts w:ascii="Calibri" w:eastAsia="Times New Roman" w:hAnsi="Calibri" w:cs="Times New Roman"/>
        </w:rPr>
        <w:t xml:space="preserve">post-announcement </w:t>
      </w:r>
      <w:r w:rsidR="0088536B">
        <w:rPr>
          <w:rFonts w:ascii="Calibri" w:eastAsia="Times New Roman" w:hAnsi="Calibri" w:cs="Times New Roman"/>
        </w:rPr>
        <w:t>are presented</w:t>
      </w:r>
      <w:r w:rsidR="00784B22">
        <w:rPr>
          <w:rFonts w:ascii="Calibri" w:eastAsia="Times New Roman" w:hAnsi="Calibri" w:cs="Times New Roman"/>
        </w:rPr>
        <w:t>.</w:t>
      </w:r>
      <w:r w:rsidR="006B2225">
        <w:rPr>
          <w:rFonts w:ascii="Calibri" w:eastAsia="Times New Roman" w:hAnsi="Calibri" w:cs="Times New Roman"/>
        </w:rPr>
        <w:t xml:space="preserve"> </w:t>
      </w:r>
      <w:r w:rsidR="00961342">
        <w:rPr>
          <w:rFonts w:ascii="Calibri" w:eastAsia="Times New Roman" w:hAnsi="Calibri" w:cs="Times New Roman"/>
        </w:rPr>
        <w:t>Ninety-five</w:t>
      </w:r>
      <w:r w:rsidR="005A129B">
        <w:rPr>
          <w:rFonts w:ascii="Calibri" w:eastAsia="Times New Roman" w:hAnsi="Calibri" w:cs="Times New Roman"/>
        </w:rPr>
        <w:t xml:space="preserve"> percent confidence intervals for absolute differences are given by</w:t>
      </w:r>
      <w:r w:rsidR="00961342">
        <w:rPr>
          <w:rFonts w:ascii="Calibri" w:eastAsia="Times New Roman" w:hAnsi="Calibri" w:cs="Times New Roman"/>
        </w:rPr>
        <w:t>:</w:t>
      </w:r>
    </w:p>
    <w:p w14:paraId="02B86AA4" w14:textId="23743960" w:rsidR="00961342" w:rsidRDefault="005A129B" w:rsidP="00C57E3C">
      <w:pPr>
        <w:spacing w:line="480" w:lineRule="auto"/>
        <w:ind w:firstLine="720"/>
        <w:jc w:val="both"/>
        <w:rPr>
          <w:rFonts w:ascii="Calibri" w:eastAsia="Times New Roman" w:hAnsi="Calibri" w:cs="Times New Roman"/>
        </w:rPr>
      </w:pPr>
      <w:r>
        <w:rPr>
          <w:rFonts w:ascii="Calibri" w:eastAsia="Times New Roman" w:hAnsi="Calibri" w:cs="Times New Roman"/>
        </w:rPr>
        <w:t xml:space="preserve"> </w:t>
      </w:r>
      <m:oMath>
        <m:r>
          <w:rPr>
            <w:rFonts w:ascii="Cambria Math" w:eastAsia="Times New Roman" w:hAnsi="Cambria Math" w:cs="Times New Roman"/>
          </w:rPr>
          <m:t>(</m:t>
        </m:r>
        <m:sSub>
          <m:sSubPr>
            <m:ctrlPr>
              <w:rPr>
                <w:rFonts w:ascii="Cambria Math" w:eastAsia="Times New Roman" w:hAnsi="Cambria Math" w:cs="Times New Roman"/>
                <w:i/>
              </w:rPr>
            </m:ctrlPr>
          </m:sSubPr>
          <m:e>
            <m:acc>
              <m:accPr>
                <m:ctrlPr>
                  <w:rPr>
                    <w:rFonts w:ascii="Cambria Math" w:eastAsia="Times New Roman" w:hAnsi="Cambria Math" w:cs="Times New Roman"/>
                    <w:i/>
                  </w:rPr>
                </m:ctrlPr>
              </m:accPr>
              <m:e>
                <m:r>
                  <w:rPr>
                    <w:rFonts w:ascii="Cambria Math" w:eastAsia="Times New Roman" w:hAnsi="Cambria Math" w:cs="Times New Roman"/>
                  </w:rPr>
                  <m:t>Y</m:t>
                </m:r>
              </m:e>
            </m:acc>
          </m:e>
          <m:sub>
            <m:r>
              <w:rPr>
                <w:rFonts w:ascii="Cambria Math" w:eastAsia="Times New Roman" w:hAnsi="Cambria Math" w:cs="Times New Roman"/>
              </w:rPr>
              <m:t>t105w</m:t>
            </m:r>
          </m:sub>
        </m:sSub>
        <m:r>
          <w:rPr>
            <w:rFonts w:ascii="Cambria Math" w:eastAsia="Times New Roman" w:hAnsi="Cambria Math" w:cs="Times New Roman"/>
          </w:rPr>
          <m:t>-</m:t>
        </m:r>
        <m:sSub>
          <m:sSubPr>
            <m:ctrlPr>
              <w:rPr>
                <w:rFonts w:ascii="Cambria Math" w:eastAsia="Times New Roman" w:hAnsi="Cambria Math" w:cs="Times New Roman"/>
                <w:i/>
              </w:rPr>
            </m:ctrlPr>
          </m:sSubPr>
          <m:e>
            <m:acc>
              <m:accPr>
                <m:ctrlPr>
                  <w:rPr>
                    <w:rFonts w:ascii="Cambria Math" w:eastAsia="Times New Roman" w:hAnsi="Cambria Math" w:cs="Times New Roman"/>
                    <w:i/>
                  </w:rPr>
                </m:ctrlPr>
              </m:accPr>
              <m:e>
                <m:r>
                  <w:rPr>
                    <w:rFonts w:ascii="Cambria Math" w:eastAsia="Times New Roman" w:hAnsi="Cambria Math" w:cs="Times New Roman"/>
                  </w:rPr>
                  <m:t>Y</m:t>
                </m:r>
              </m:e>
            </m:acc>
          </m:e>
          <m:sub>
            <m:r>
              <w:rPr>
                <w:rFonts w:ascii="Cambria Math" w:eastAsia="Times New Roman" w:hAnsi="Cambria Math" w:cs="Times New Roman"/>
              </w:rPr>
              <m:t>t105</m:t>
            </m:r>
          </m:sub>
        </m:sSub>
        <m:r>
          <w:rPr>
            <w:rFonts w:ascii="Cambria Math" w:eastAsia="Times New Roman" w:hAnsi="Cambria Math" w:cs="Times New Roman"/>
          </w:rPr>
          <m:t>) ±1.96*</m:t>
        </m:r>
        <m:rad>
          <m:radPr>
            <m:degHide m:val="1"/>
            <m:ctrlPr>
              <w:rPr>
                <w:rFonts w:ascii="Cambria Math" w:eastAsia="Times New Roman" w:hAnsi="Cambria Math" w:cs="Times New Roman"/>
                <w:i/>
              </w:rPr>
            </m:ctrlPr>
          </m:radPr>
          <m:deg/>
          <m:e>
            <m:r>
              <w:rPr>
                <w:rFonts w:ascii="Cambria Math" w:eastAsia="Times New Roman" w:hAnsi="Cambria Math" w:cs="Times New Roman"/>
              </w:rPr>
              <m:t>VAR(</m:t>
            </m:r>
            <m:sSub>
              <m:sSubPr>
                <m:ctrlPr>
                  <w:rPr>
                    <w:rFonts w:ascii="Cambria Math" w:eastAsia="Times New Roman" w:hAnsi="Cambria Math" w:cs="Times New Roman"/>
                    <w:i/>
                  </w:rPr>
                </m:ctrlPr>
              </m:sSubPr>
              <m:e>
                <m:acc>
                  <m:accPr>
                    <m:ctrlPr>
                      <w:rPr>
                        <w:rFonts w:ascii="Cambria Math" w:eastAsia="Times New Roman" w:hAnsi="Cambria Math" w:cs="Times New Roman"/>
                        <w:i/>
                      </w:rPr>
                    </m:ctrlPr>
                  </m:accPr>
                  <m:e>
                    <m:r>
                      <w:rPr>
                        <w:rFonts w:ascii="Cambria Math" w:eastAsia="Times New Roman" w:hAnsi="Cambria Math" w:cs="Times New Roman"/>
                      </w:rPr>
                      <m:t>Y</m:t>
                    </m:r>
                  </m:e>
                </m:acc>
              </m:e>
              <m:sub>
                <m:r>
                  <w:rPr>
                    <w:rFonts w:ascii="Cambria Math" w:eastAsia="Times New Roman" w:hAnsi="Cambria Math" w:cs="Times New Roman"/>
                  </w:rPr>
                  <m:t>t105w</m:t>
                </m:r>
              </m:sub>
            </m:sSub>
            <m:r>
              <w:rPr>
                <w:rFonts w:ascii="Cambria Math" w:eastAsia="Times New Roman" w:hAnsi="Cambria Math" w:cs="Times New Roman"/>
              </w:rPr>
              <m:t xml:space="preserve">- </m:t>
            </m:r>
            <m:sSub>
              <m:sSubPr>
                <m:ctrlPr>
                  <w:rPr>
                    <w:rFonts w:ascii="Cambria Math" w:eastAsia="Times New Roman" w:hAnsi="Cambria Math" w:cs="Times New Roman"/>
                    <w:i/>
                  </w:rPr>
                </m:ctrlPr>
              </m:sSubPr>
              <m:e>
                <m:acc>
                  <m:accPr>
                    <m:ctrlPr>
                      <w:rPr>
                        <w:rFonts w:ascii="Cambria Math" w:eastAsia="Times New Roman" w:hAnsi="Cambria Math" w:cs="Times New Roman"/>
                        <w:i/>
                      </w:rPr>
                    </m:ctrlPr>
                  </m:accPr>
                  <m:e>
                    <m:r>
                      <w:rPr>
                        <w:rFonts w:ascii="Cambria Math" w:eastAsia="Times New Roman" w:hAnsi="Cambria Math" w:cs="Times New Roman"/>
                      </w:rPr>
                      <m:t>Y</m:t>
                    </m:r>
                  </m:e>
                </m:acc>
              </m:e>
              <m:sub>
                <m:r>
                  <w:rPr>
                    <w:rFonts w:ascii="Cambria Math" w:eastAsia="Times New Roman" w:hAnsi="Cambria Math" w:cs="Times New Roman"/>
                  </w:rPr>
                  <m:t>t105</m:t>
                </m:r>
              </m:sub>
            </m:sSub>
            <m:r>
              <w:rPr>
                <w:rFonts w:ascii="Cambria Math" w:eastAsia="Times New Roman" w:hAnsi="Cambria Math" w:cs="Times New Roman"/>
              </w:rPr>
              <m:t>)</m:t>
            </m:r>
          </m:e>
        </m:rad>
      </m:oMath>
      <w:r>
        <w:rPr>
          <w:rFonts w:ascii="Calibri" w:eastAsia="Times New Roman" w:hAnsi="Calibri" w:cs="Times New Roman"/>
        </w:rPr>
        <w:t xml:space="preserve"> </w:t>
      </w:r>
    </w:p>
    <w:p w14:paraId="11102703" w14:textId="02C244D4" w:rsidR="001E4879" w:rsidRPr="009E0B77" w:rsidRDefault="005A129B" w:rsidP="00961342">
      <w:pPr>
        <w:spacing w:line="480" w:lineRule="auto"/>
        <w:jc w:val="both"/>
        <w:rPr>
          <w:rFonts w:ascii="Calibri" w:eastAsia="Times New Roman" w:hAnsi="Calibri" w:cs="Times New Roman"/>
        </w:rPr>
      </w:pPr>
      <w:r>
        <w:rPr>
          <w:rFonts w:ascii="Calibri" w:eastAsia="Times New Roman" w:hAnsi="Calibri" w:cs="Times New Roman"/>
        </w:rPr>
        <w:t xml:space="preserve">Where </w:t>
      </w:r>
      <m:oMath>
        <m:sSub>
          <m:sSubPr>
            <m:ctrlPr>
              <w:rPr>
                <w:rFonts w:ascii="Cambria Math" w:eastAsia="Times New Roman" w:hAnsi="Cambria Math" w:cs="Times New Roman"/>
                <w:i/>
              </w:rPr>
            </m:ctrlPr>
          </m:sSubPr>
          <m:e>
            <m:acc>
              <m:accPr>
                <m:ctrlPr>
                  <w:rPr>
                    <w:rFonts w:ascii="Cambria Math" w:eastAsia="Times New Roman" w:hAnsi="Cambria Math" w:cs="Times New Roman"/>
                    <w:i/>
                  </w:rPr>
                </m:ctrlPr>
              </m:accPr>
              <m:e>
                <m:r>
                  <w:rPr>
                    <w:rFonts w:ascii="Cambria Math" w:eastAsia="Times New Roman" w:hAnsi="Cambria Math" w:cs="Times New Roman"/>
                  </w:rPr>
                  <m:t>Y</m:t>
                </m:r>
              </m:e>
            </m:acc>
          </m:e>
          <m:sub>
            <m:r>
              <w:rPr>
                <w:rFonts w:ascii="Cambria Math" w:eastAsia="Times New Roman" w:hAnsi="Cambria Math" w:cs="Times New Roman"/>
              </w:rPr>
              <m:t>t105w</m:t>
            </m:r>
          </m:sub>
        </m:sSub>
      </m:oMath>
      <w:r>
        <w:rPr>
          <w:rFonts w:ascii="Calibri" w:eastAsia="Times New Roman" w:hAnsi="Calibri" w:cs="Times New Roman"/>
        </w:rPr>
        <w:t xml:space="preserve"> is the estimated purchased volume or amount of sugar given the SDIL announcement took place after 105 weeks and </w:t>
      </w:r>
      <m:oMath>
        <m:sSub>
          <m:sSubPr>
            <m:ctrlPr>
              <w:rPr>
                <w:rFonts w:ascii="Cambria Math" w:eastAsia="Times New Roman" w:hAnsi="Cambria Math" w:cs="Times New Roman"/>
                <w:i/>
              </w:rPr>
            </m:ctrlPr>
          </m:sSubPr>
          <m:e>
            <m:acc>
              <m:accPr>
                <m:ctrlPr>
                  <w:rPr>
                    <w:rFonts w:ascii="Cambria Math" w:eastAsia="Times New Roman" w:hAnsi="Cambria Math" w:cs="Times New Roman"/>
                    <w:i/>
                  </w:rPr>
                </m:ctrlPr>
              </m:accPr>
              <m:e>
                <m:r>
                  <w:rPr>
                    <w:rFonts w:ascii="Cambria Math" w:eastAsia="Times New Roman" w:hAnsi="Cambria Math" w:cs="Times New Roman"/>
                  </w:rPr>
                  <m:t>Y</m:t>
                </m:r>
              </m:e>
            </m:acc>
          </m:e>
          <m:sub>
            <m:r>
              <w:rPr>
                <w:rFonts w:ascii="Cambria Math" w:eastAsia="Times New Roman" w:hAnsi="Cambria Math" w:cs="Times New Roman"/>
              </w:rPr>
              <m:t>t105</m:t>
            </m:r>
          </m:sub>
        </m:sSub>
      </m:oMath>
      <w:r>
        <w:rPr>
          <w:rFonts w:ascii="Calibri" w:eastAsia="Times New Roman" w:hAnsi="Calibri" w:cs="Times New Roman"/>
        </w:rPr>
        <w:t xml:space="preserve"> is the counterfactual at 105 weeks post announcement, and VAR refers to the variance </w:t>
      </w:r>
      <w:r>
        <w:rPr>
          <w:rFonts w:ascii="Calibri" w:eastAsia="Times New Roman" w:hAnsi="Calibri" w:cs="Times New Roman"/>
        </w:rPr>
        <w:fldChar w:fldCharType="begin"/>
      </w:r>
      <w:r w:rsidR="006C4B25">
        <w:rPr>
          <w:rFonts w:ascii="Calibri" w:eastAsia="Times New Roman" w:hAnsi="Calibri" w:cs="Times New Roman"/>
        </w:rPr>
        <w:instrText xml:space="preserve"> ADDIN ZOTERO_ITEM CSL_CITATION {"citationID":"hywKLkh1","properties":{"formattedCitation":"[39]","plainCitation":"[39]","noteIndex":0},"citationItems":[{"id":800,"uris":["http://zotero.org/users/1356132/items/N9DFX57V"],"uri":["http://zotero.org/users/1356132/items/N9DFX57V"],"itemData":{"id":800,"type":"article-journal","abstract":"Objective\nInterrupted time series (ITS) is a strong quasi-experimental research design, which is increasingly applied to estimate the effects of health services and policy interventions. We describe and illustrate two methods for estimating confidence intervals (CIs) around absolute and relative changes in outcomes calculated from segmented regression parameter estimates.\nStudy Design and Setting\nWe used multivariate delta and bootstrapping methods (BMs) to construct CIs around relative changes in level and trend, and around absolute changes in outcome based on segmented linear regression analyses of time series data corrected for autocorrelated errors.\nResults\nUsing previously published time series data, we estimated CIs around the effect of prescription alerts for interacting medications with warfarin on the rate of prescriptions per 10,000 warfarin users per month. Both the multivariate delta method (MDM) and the BM produced similar results.\nConclusion\nBM is preferred for calculating CIs of relative changes in outcomes of time series studies, because it does not require large sample sizes when parameter estimates are obtained correctly from the model. Caution is needed when sample size is small.","container-title":"Journal of Clinical Epidemiology","DOI":"10.1016/j.jclinepi.2008.08.007","ISSN":"0895-4356","issue":"2","journalAbbreviation":"Journal of Clinical Epidemiology","page":"143-148","source":"ScienceDirect","title":"Methods for estimating confidence intervals in interrupted time series analyses of health interventions","volume":"62","author":[{"family":"Zhang","given":"Fang"},{"family":"Wagner","given":"Anita K."},{"family":"Soumerai","given":"Stephen B."},{"family":"Ross-Degnan","given":"Dennis"}],"issued":{"date-parts":[["2009",2,1]]}}}],"schema":"https://github.com/citation-style-language/schema/raw/master/csl-citation.json"} </w:instrText>
      </w:r>
      <w:r>
        <w:rPr>
          <w:rFonts w:ascii="Calibri" w:eastAsia="Times New Roman" w:hAnsi="Calibri" w:cs="Times New Roman"/>
        </w:rPr>
        <w:fldChar w:fldCharType="separate"/>
      </w:r>
      <w:r w:rsidR="006C4B25" w:rsidRPr="006C4B25">
        <w:rPr>
          <w:rFonts w:ascii="Calibri" w:hAnsi="Calibri" w:cs="Calibri"/>
        </w:rPr>
        <w:t>[39]</w:t>
      </w:r>
      <w:r>
        <w:rPr>
          <w:rFonts w:ascii="Calibri" w:eastAsia="Times New Roman" w:hAnsi="Calibri" w:cs="Times New Roman"/>
        </w:rPr>
        <w:fldChar w:fldCharType="end"/>
      </w:r>
      <w:r>
        <w:rPr>
          <w:rFonts w:ascii="Calibri" w:eastAsia="Times New Roman" w:hAnsi="Calibri" w:cs="Times New Roman"/>
        </w:rPr>
        <w:t xml:space="preserve">. To calculate 95% confidence intervals for the relative change by dividing the absolute difference by </w:t>
      </w:r>
      <m:oMath>
        <m:sSub>
          <m:sSubPr>
            <m:ctrlPr>
              <w:rPr>
                <w:rFonts w:ascii="Cambria Math" w:eastAsia="Times New Roman" w:hAnsi="Cambria Math" w:cs="Times New Roman"/>
                <w:i/>
              </w:rPr>
            </m:ctrlPr>
          </m:sSubPr>
          <m:e>
            <m:acc>
              <m:accPr>
                <m:ctrlPr>
                  <w:rPr>
                    <w:rFonts w:ascii="Cambria Math" w:eastAsia="Times New Roman" w:hAnsi="Cambria Math" w:cs="Times New Roman"/>
                    <w:i/>
                  </w:rPr>
                </m:ctrlPr>
              </m:accPr>
              <m:e>
                <m:r>
                  <w:rPr>
                    <w:rFonts w:ascii="Cambria Math" w:eastAsia="Times New Roman" w:hAnsi="Cambria Math" w:cs="Times New Roman"/>
                  </w:rPr>
                  <m:t>Y</m:t>
                </m:r>
              </m:e>
            </m:acc>
          </m:e>
          <m:sub>
            <m:r>
              <w:rPr>
                <w:rFonts w:ascii="Cambria Math" w:eastAsia="Times New Roman" w:hAnsi="Cambria Math" w:cs="Times New Roman"/>
              </w:rPr>
              <m:t>t105</m:t>
            </m:r>
          </m:sub>
        </m:sSub>
      </m:oMath>
      <w:r>
        <w:rPr>
          <w:rFonts w:ascii="Calibri" w:eastAsia="Times New Roman" w:hAnsi="Calibri" w:cs="Times New Roman"/>
        </w:rPr>
        <w:t xml:space="preserve"> would inflate the amount of variance giving incorrect values. Therefore 95% confidence intervals for the relative difference were obtained following the multivariate delta method which uses Taylor series expansion to estimate the relative variance </w:t>
      </w:r>
      <w:r>
        <w:rPr>
          <w:rFonts w:ascii="Calibri" w:eastAsia="Times New Roman" w:hAnsi="Calibri" w:cs="Times New Roman"/>
        </w:rPr>
        <w:fldChar w:fldCharType="begin"/>
      </w:r>
      <w:r w:rsidR="006C4B25">
        <w:rPr>
          <w:rFonts w:ascii="Calibri" w:eastAsia="Times New Roman" w:hAnsi="Calibri" w:cs="Times New Roman"/>
        </w:rPr>
        <w:instrText xml:space="preserve"> ADDIN ZOTERO_ITEM CSL_CITATION {"citationID":"nkFx63JA","properties":{"formattedCitation":"[39]","plainCitation":"[39]","noteIndex":0},"citationItems":[{"id":800,"uris":["http://zotero.org/users/1356132/items/N9DFX57V"],"uri":["http://zotero.org/users/1356132/items/N9DFX57V"],"itemData":{"id":800,"type":"article-journal","abstract":"Objective\nInterrupted time series (ITS) is a strong quasi-experimental research design, which is increasingly applied to estimate the effects of health services and policy interventions. We describe and illustrate two methods for estimating confidence intervals (CIs) around absolute and relative changes in outcomes calculated from segmented regression parameter estimates.\nStudy Design and Setting\nWe used multivariate delta and bootstrapping methods (BMs) to construct CIs around relative changes in level and trend, and around absolute changes in outcome based on segmented linear regression analyses of time series data corrected for autocorrelated errors.\nResults\nUsing previously published time series data, we estimated CIs around the effect of prescription alerts for interacting medications with warfarin on the rate of prescriptions per 10,000 warfarin users per month. Both the multivariate delta method (MDM) and the BM produced similar results.\nConclusion\nBM is preferred for calculating CIs of relative changes in outcomes of time series studies, because it does not require large sample sizes when parameter estimates are obtained correctly from the model. Caution is needed when sample size is small.","container-title":"Journal of Clinical Epidemiology","DOI":"10.1016/j.jclinepi.2008.08.007","ISSN":"0895-4356","issue":"2","journalAbbreviation":"Journal of Clinical Epidemiology","page":"143-148","source":"ScienceDirect","title":"Methods for estimating confidence intervals in interrupted time series analyses of health interventions","volume":"62","author":[{"family":"Zhang","given":"Fang"},{"family":"Wagner","given":"Anita K."},{"family":"Soumerai","given":"Stephen B."},{"family":"Ross-Degnan","given":"Dennis"}],"issued":{"date-parts":[["2009",2,1]]}}}],"schema":"https://github.com/citation-style-language/schema/raw/master/csl-citation.json"} </w:instrText>
      </w:r>
      <w:r>
        <w:rPr>
          <w:rFonts w:ascii="Calibri" w:eastAsia="Times New Roman" w:hAnsi="Calibri" w:cs="Times New Roman"/>
        </w:rPr>
        <w:fldChar w:fldCharType="separate"/>
      </w:r>
      <w:r w:rsidR="006C4B25" w:rsidRPr="006C4B25">
        <w:rPr>
          <w:rFonts w:ascii="Calibri" w:hAnsi="Calibri" w:cs="Calibri"/>
        </w:rPr>
        <w:t>[39]</w:t>
      </w:r>
      <w:r>
        <w:rPr>
          <w:rFonts w:ascii="Calibri" w:eastAsia="Times New Roman" w:hAnsi="Calibri" w:cs="Times New Roman"/>
        </w:rPr>
        <w:fldChar w:fldCharType="end"/>
      </w:r>
      <w:r>
        <w:rPr>
          <w:rFonts w:ascii="Calibri" w:eastAsia="Times New Roman" w:hAnsi="Calibri" w:cs="Times New Roman"/>
        </w:rPr>
        <w:t xml:space="preserve">. </w:t>
      </w:r>
    </w:p>
    <w:p w14:paraId="09500A9C" w14:textId="47F600D3" w:rsidR="006A7B2B" w:rsidRPr="00C9271D" w:rsidRDefault="00821824" w:rsidP="0058685B">
      <w:pPr>
        <w:keepNext/>
        <w:spacing w:line="480" w:lineRule="auto"/>
        <w:jc w:val="both"/>
        <w:rPr>
          <w:rFonts w:ascii="Calibri" w:eastAsia="Calibri" w:hAnsi="Calibri" w:cs="Times New Roman"/>
          <w:i/>
        </w:rPr>
      </w:pPr>
      <w:r w:rsidRPr="00C9271D">
        <w:rPr>
          <w:rFonts w:ascii="Calibri" w:eastAsia="Calibri" w:hAnsi="Calibri" w:cs="Times New Roman"/>
          <w:i/>
        </w:rPr>
        <w:t>Sensitivity analysis 1: Exemptions for small manufactures and producers</w:t>
      </w:r>
    </w:p>
    <w:p w14:paraId="72BEC09B" w14:textId="28929B93" w:rsidR="00C92C8B" w:rsidRDefault="00C92C8B" w:rsidP="006A7B2B">
      <w:pPr>
        <w:spacing w:line="480" w:lineRule="auto"/>
        <w:jc w:val="both"/>
        <w:rPr>
          <w:rFonts w:ascii="Calibri" w:eastAsia="Calibri" w:hAnsi="Calibri" w:cs="Times New Roman"/>
        </w:rPr>
      </w:pPr>
      <w:r w:rsidRPr="00C92C8B">
        <w:rPr>
          <w:rFonts w:ascii="Calibri" w:eastAsia="Calibri" w:hAnsi="Calibri" w:cs="Times New Roman"/>
        </w:rPr>
        <w:t xml:space="preserve">Soft drinks manufacturers and producers </w:t>
      </w:r>
      <w:r w:rsidR="0064463E">
        <w:rPr>
          <w:rFonts w:ascii="Calibri" w:eastAsia="Calibri" w:hAnsi="Calibri" w:cs="Times New Roman"/>
        </w:rPr>
        <w:t xml:space="preserve">with annual sales of </w:t>
      </w:r>
      <w:r w:rsidR="006B2225">
        <w:rPr>
          <w:rFonts w:ascii="Calibri" w:eastAsia="Calibri" w:hAnsi="Calibri" w:cs="Times New Roman"/>
        </w:rPr>
        <w:t>&lt;</w:t>
      </w:r>
      <w:r w:rsidRPr="00C92C8B">
        <w:rPr>
          <w:rFonts w:ascii="Calibri" w:eastAsia="Calibri" w:hAnsi="Calibri" w:cs="Times New Roman"/>
        </w:rPr>
        <w:t>1</w:t>
      </w:r>
      <w:r w:rsidR="006B2225">
        <w:rPr>
          <w:rFonts w:ascii="Calibri" w:eastAsia="Calibri" w:hAnsi="Calibri" w:cs="Times New Roman"/>
        </w:rPr>
        <w:t>M</w:t>
      </w:r>
      <w:r w:rsidRPr="00C92C8B">
        <w:rPr>
          <w:rFonts w:ascii="Calibri" w:eastAsia="Calibri" w:hAnsi="Calibri" w:cs="Times New Roman"/>
        </w:rPr>
        <w:t xml:space="preserve"> </w:t>
      </w:r>
      <w:r w:rsidR="0064463E">
        <w:rPr>
          <w:rFonts w:ascii="Calibri" w:eastAsia="Calibri" w:hAnsi="Calibri" w:cs="Times New Roman"/>
        </w:rPr>
        <w:t xml:space="preserve">litres </w:t>
      </w:r>
      <w:r w:rsidRPr="00C92C8B">
        <w:rPr>
          <w:rFonts w:ascii="Calibri" w:eastAsia="Calibri" w:hAnsi="Calibri" w:cs="Times New Roman"/>
        </w:rPr>
        <w:t>of liable dr</w:t>
      </w:r>
      <w:r w:rsidR="00086876">
        <w:rPr>
          <w:rFonts w:ascii="Calibri" w:eastAsia="Calibri" w:hAnsi="Calibri" w:cs="Times New Roman"/>
        </w:rPr>
        <w:t>inks are excluded from the levy</w:t>
      </w:r>
      <w:r w:rsidRPr="00C92C8B">
        <w:rPr>
          <w:rFonts w:ascii="Calibri" w:eastAsia="Calibri" w:hAnsi="Calibri" w:cs="Times New Roman"/>
        </w:rPr>
        <w:t>.</w:t>
      </w:r>
      <w:r w:rsidR="004F1AA0">
        <w:rPr>
          <w:rFonts w:ascii="Calibri" w:eastAsia="Calibri" w:hAnsi="Calibri" w:cs="Times New Roman"/>
        </w:rPr>
        <w:t xml:space="preserve"> Relevant manufacturers </w:t>
      </w:r>
      <w:r w:rsidR="00A902DB">
        <w:rPr>
          <w:rFonts w:ascii="Calibri" w:eastAsia="Calibri" w:hAnsi="Calibri" w:cs="Times New Roman"/>
        </w:rPr>
        <w:t>are require</w:t>
      </w:r>
      <w:r w:rsidR="003455DD">
        <w:rPr>
          <w:rFonts w:ascii="Calibri" w:eastAsia="Calibri" w:hAnsi="Calibri" w:cs="Times New Roman"/>
        </w:rPr>
        <w:t>d to</w:t>
      </w:r>
      <w:r w:rsidR="00A902DB">
        <w:rPr>
          <w:rFonts w:ascii="Calibri" w:eastAsia="Calibri" w:hAnsi="Calibri" w:cs="Times New Roman"/>
        </w:rPr>
        <w:t xml:space="preserve"> self-</w:t>
      </w:r>
      <w:r w:rsidR="004F1AA0">
        <w:rPr>
          <w:rFonts w:ascii="Calibri" w:eastAsia="Calibri" w:hAnsi="Calibri" w:cs="Times New Roman"/>
        </w:rPr>
        <w:t xml:space="preserve">identify to </w:t>
      </w:r>
      <w:r w:rsidR="00B4741D">
        <w:rPr>
          <w:rFonts w:ascii="Calibri" w:eastAsia="Calibri" w:hAnsi="Calibri" w:cs="Times New Roman"/>
        </w:rPr>
        <w:t xml:space="preserve">Her Majesty’s Revenue and Customs via their tax returns. </w:t>
      </w:r>
      <w:r w:rsidR="006B2225">
        <w:rPr>
          <w:rFonts w:ascii="Calibri" w:eastAsia="Calibri" w:hAnsi="Calibri" w:cs="Times New Roman"/>
        </w:rPr>
        <w:t xml:space="preserve"> </w:t>
      </w:r>
      <w:r w:rsidR="00B4741D">
        <w:rPr>
          <w:rFonts w:ascii="Calibri" w:eastAsia="Calibri" w:hAnsi="Calibri" w:cs="Times New Roman"/>
        </w:rPr>
        <w:t>A</w:t>
      </w:r>
      <w:r w:rsidR="004F1AA0">
        <w:rPr>
          <w:rFonts w:ascii="Calibri" w:eastAsia="Calibri" w:hAnsi="Calibri" w:cs="Times New Roman"/>
        </w:rPr>
        <w:t xml:space="preserve"> list of </w:t>
      </w:r>
      <w:r w:rsidR="00086876">
        <w:rPr>
          <w:rFonts w:ascii="Calibri" w:eastAsia="Calibri" w:hAnsi="Calibri" w:cs="Times New Roman"/>
        </w:rPr>
        <w:t xml:space="preserve">exempt </w:t>
      </w:r>
      <w:r w:rsidRPr="00C92C8B">
        <w:rPr>
          <w:rFonts w:ascii="Calibri" w:eastAsia="Calibri" w:hAnsi="Calibri" w:cs="Times New Roman"/>
        </w:rPr>
        <w:t>manufacturers</w:t>
      </w:r>
      <w:r w:rsidR="0064463E">
        <w:rPr>
          <w:rFonts w:ascii="Calibri" w:eastAsia="Calibri" w:hAnsi="Calibri" w:cs="Times New Roman"/>
        </w:rPr>
        <w:t xml:space="preserve"> </w:t>
      </w:r>
      <w:r w:rsidR="008125A3">
        <w:rPr>
          <w:rFonts w:ascii="Calibri" w:eastAsia="Calibri" w:hAnsi="Calibri" w:cs="Times New Roman"/>
        </w:rPr>
        <w:t xml:space="preserve">was </w:t>
      </w:r>
      <w:r w:rsidR="0064463E">
        <w:rPr>
          <w:rFonts w:ascii="Calibri" w:eastAsia="Calibri" w:hAnsi="Calibri" w:cs="Times New Roman"/>
        </w:rPr>
        <w:t>not available</w:t>
      </w:r>
      <w:r w:rsidR="005A129B">
        <w:rPr>
          <w:rFonts w:ascii="Calibri" w:eastAsia="Calibri" w:hAnsi="Calibri" w:cs="Times New Roman"/>
        </w:rPr>
        <w:t xml:space="preserve"> to us</w:t>
      </w:r>
      <w:r w:rsidR="00B4741D">
        <w:rPr>
          <w:rFonts w:ascii="Calibri" w:eastAsia="Calibri" w:hAnsi="Calibri" w:cs="Times New Roman"/>
        </w:rPr>
        <w:t>, t</w:t>
      </w:r>
      <w:r w:rsidRPr="00C92C8B">
        <w:rPr>
          <w:rFonts w:ascii="Calibri" w:eastAsia="Calibri" w:hAnsi="Calibri" w:cs="Times New Roman"/>
        </w:rPr>
        <w:t>herefore</w:t>
      </w:r>
      <w:r w:rsidR="006B2225">
        <w:rPr>
          <w:rFonts w:ascii="Calibri" w:eastAsia="Calibri" w:hAnsi="Calibri" w:cs="Times New Roman"/>
        </w:rPr>
        <w:t>,</w:t>
      </w:r>
      <w:r w:rsidRPr="00C92C8B">
        <w:rPr>
          <w:rFonts w:ascii="Calibri" w:eastAsia="Calibri" w:hAnsi="Calibri" w:cs="Times New Roman"/>
        </w:rPr>
        <w:t xml:space="preserve"> in </w:t>
      </w:r>
      <w:r w:rsidRPr="00C92C8B">
        <w:rPr>
          <w:rFonts w:ascii="Calibri" w:eastAsia="Calibri" w:hAnsi="Calibri" w:cs="Times New Roman"/>
        </w:rPr>
        <w:lastRenderedPageBreak/>
        <w:t>the main analysis</w:t>
      </w:r>
      <w:r w:rsidR="006B2225">
        <w:rPr>
          <w:rFonts w:ascii="Calibri" w:eastAsia="Calibri" w:hAnsi="Calibri" w:cs="Times New Roman"/>
        </w:rPr>
        <w:t>,</w:t>
      </w:r>
      <w:r w:rsidRPr="00C92C8B">
        <w:rPr>
          <w:rFonts w:ascii="Calibri" w:eastAsia="Calibri" w:hAnsi="Calibri" w:cs="Times New Roman"/>
        </w:rPr>
        <w:t xml:space="preserve"> products from all manufacturers were included</w:t>
      </w:r>
      <w:r w:rsidR="00086876">
        <w:rPr>
          <w:rFonts w:ascii="Calibri" w:eastAsia="Calibri" w:hAnsi="Calibri" w:cs="Times New Roman"/>
        </w:rPr>
        <w:t>. T</w:t>
      </w:r>
      <w:r w:rsidRPr="00C92C8B">
        <w:rPr>
          <w:rFonts w:ascii="Calibri" w:eastAsia="Calibri" w:hAnsi="Calibri" w:cs="Times New Roman"/>
        </w:rPr>
        <w:t xml:space="preserve">o </w:t>
      </w:r>
      <w:r w:rsidR="004F1AA0">
        <w:rPr>
          <w:rFonts w:ascii="Calibri" w:eastAsia="Calibri" w:hAnsi="Calibri" w:cs="Times New Roman"/>
        </w:rPr>
        <w:t xml:space="preserve">estimate whether results were </w:t>
      </w:r>
      <w:r w:rsidR="00086876">
        <w:rPr>
          <w:rFonts w:ascii="Calibri" w:eastAsia="Calibri" w:hAnsi="Calibri" w:cs="Times New Roman"/>
        </w:rPr>
        <w:t xml:space="preserve">impacted by </w:t>
      </w:r>
      <w:r w:rsidR="009B4880">
        <w:rPr>
          <w:rFonts w:ascii="Calibri" w:eastAsia="Calibri" w:hAnsi="Calibri" w:cs="Times New Roman"/>
        </w:rPr>
        <w:t xml:space="preserve">excluding </w:t>
      </w:r>
      <w:r w:rsidR="004F1AA0">
        <w:rPr>
          <w:rFonts w:ascii="Calibri" w:eastAsia="Calibri" w:hAnsi="Calibri" w:cs="Times New Roman"/>
        </w:rPr>
        <w:t>small</w:t>
      </w:r>
      <w:r w:rsidR="006B2225">
        <w:rPr>
          <w:rFonts w:ascii="Calibri" w:eastAsia="Calibri" w:hAnsi="Calibri" w:cs="Times New Roman"/>
        </w:rPr>
        <w:t>er</w:t>
      </w:r>
      <w:r w:rsidR="004F1AA0">
        <w:rPr>
          <w:rFonts w:ascii="Calibri" w:eastAsia="Calibri" w:hAnsi="Calibri" w:cs="Times New Roman"/>
        </w:rPr>
        <w:t xml:space="preserve"> </w:t>
      </w:r>
      <w:r w:rsidR="0064463E">
        <w:rPr>
          <w:rFonts w:ascii="Calibri" w:eastAsia="Calibri" w:hAnsi="Calibri" w:cs="Times New Roman"/>
        </w:rPr>
        <w:t>manufacturers</w:t>
      </w:r>
      <w:r w:rsidR="00086876">
        <w:rPr>
          <w:rFonts w:ascii="Calibri" w:eastAsia="Calibri" w:hAnsi="Calibri" w:cs="Times New Roman"/>
        </w:rPr>
        <w:t xml:space="preserve">, </w:t>
      </w:r>
      <w:r w:rsidRPr="00C92C8B">
        <w:rPr>
          <w:rFonts w:ascii="Calibri" w:eastAsia="Calibri" w:hAnsi="Calibri" w:cs="Times New Roman"/>
        </w:rPr>
        <w:t>we estimated annual sales per manufacturer by summing purchases of liable drinks b</w:t>
      </w:r>
      <w:r w:rsidR="00086876">
        <w:rPr>
          <w:rFonts w:ascii="Calibri" w:eastAsia="Calibri" w:hAnsi="Calibri" w:cs="Times New Roman"/>
        </w:rPr>
        <w:t>y manufacturer within each year</w:t>
      </w:r>
      <w:r w:rsidRPr="00C92C8B">
        <w:rPr>
          <w:rFonts w:ascii="Calibri" w:eastAsia="Calibri" w:hAnsi="Calibri" w:cs="Times New Roman"/>
        </w:rPr>
        <w:t xml:space="preserve">. </w:t>
      </w:r>
      <w:r w:rsidR="00F541D3">
        <w:rPr>
          <w:rFonts w:ascii="Calibri" w:eastAsia="Calibri" w:hAnsi="Calibri" w:cs="Times New Roman"/>
        </w:rPr>
        <w:t xml:space="preserve">Thus, in this sensitivity analysis, </w:t>
      </w:r>
      <w:r w:rsidR="00F541D3" w:rsidRPr="00C92C8B">
        <w:rPr>
          <w:rFonts w:ascii="Calibri" w:eastAsia="Calibri" w:hAnsi="Calibri" w:cs="Times New Roman"/>
        </w:rPr>
        <w:t>we</w:t>
      </w:r>
      <w:r w:rsidR="00F541D3">
        <w:rPr>
          <w:rFonts w:ascii="Calibri" w:eastAsia="Calibri" w:hAnsi="Calibri" w:cs="Times New Roman"/>
        </w:rPr>
        <w:t xml:space="preserve"> repeated the analysis described above</w:t>
      </w:r>
      <w:r w:rsidR="00F541D3" w:rsidRPr="00C92C8B">
        <w:rPr>
          <w:rFonts w:ascii="Calibri" w:eastAsia="Calibri" w:hAnsi="Calibri" w:cs="Times New Roman"/>
        </w:rPr>
        <w:t xml:space="preserve"> </w:t>
      </w:r>
      <w:r w:rsidR="00F541D3">
        <w:rPr>
          <w:rFonts w:ascii="Calibri" w:eastAsia="Calibri" w:hAnsi="Calibri" w:cs="Times New Roman"/>
        </w:rPr>
        <w:t xml:space="preserve">firstly </w:t>
      </w:r>
      <w:r w:rsidR="00F541D3" w:rsidRPr="00C92C8B">
        <w:rPr>
          <w:rFonts w:ascii="Calibri" w:eastAsia="Calibri" w:hAnsi="Calibri" w:cs="Times New Roman"/>
        </w:rPr>
        <w:t>exclud</w:t>
      </w:r>
      <w:r w:rsidR="00F541D3">
        <w:rPr>
          <w:rFonts w:ascii="Calibri" w:eastAsia="Calibri" w:hAnsi="Calibri" w:cs="Times New Roman"/>
        </w:rPr>
        <w:t>ing</w:t>
      </w:r>
      <w:r w:rsidR="00F541D3" w:rsidRPr="00C92C8B">
        <w:rPr>
          <w:rFonts w:ascii="Calibri" w:eastAsia="Calibri" w:hAnsi="Calibri" w:cs="Times New Roman"/>
        </w:rPr>
        <w:t xml:space="preserve"> </w:t>
      </w:r>
      <w:r w:rsidR="00F541D3">
        <w:rPr>
          <w:rFonts w:ascii="Calibri" w:eastAsia="Calibri" w:hAnsi="Calibri" w:cs="Times New Roman"/>
        </w:rPr>
        <w:t xml:space="preserve">liable </w:t>
      </w:r>
      <w:r w:rsidR="00F541D3" w:rsidRPr="00C92C8B">
        <w:rPr>
          <w:rFonts w:ascii="Calibri" w:eastAsia="Calibri" w:hAnsi="Calibri" w:cs="Times New Roman"/>
        </w:rPr>
        <w:t xml:space="preserve">products from manufacturers </w:t>
      </w:r>
      <w:r w:rsidR="00F541D3">
        <w:rPr>
          <w:rFonts w:ascii="Calibri" w:eastAsia="Calibri" w:hAnsi="Calibri" w:cs="Times New Roman"/>
        </w:rPr>
        <w:t xml:space="preserve">and producers </w:t>
      </w:r>
      <w:r w:rsidR="00F541D3" w:rsidRPr="00C92C8B">
        <w:rPr>
          <w:rFonts w:ascii="Calibri" w:eastAsia="Calibri" w:hAnsi="Calibri" w:cs="Times New Roman"/>
        </w:rPr>
        <w:t xml:space="preserve">with </w:t>
      </w:r>
      <w:r w:rsidR="00F541D3">
        <w:rPr>
          <w:rFonts w:ascii="Calibri" w:eastAsia="Calibri" w:hAnsi="Calibri" w:cs="Times New Roman"/>
        </w:rPr>
        <w:t>less than a</w:t>
      </w:r>
      <w:r w:rsidR="005A129B">
        <w:rPr>
          <w:rFonts w:ascii="Calibri" w:eastAsia="Calibri" w:hAnsi="Calibri" w:cs="Times New Roman"/>
        </w:rPr>
        <w:t>n</w:t>
      </w:r>
      <w:r w:rsidR="00F541D3">
        <w:rPr>
          <w:rFonts w:ascii="Calibri" w:eastAsia="Calibri" w:hAnsi="Calibri" w:cs="Times New Roman"/>
        </w:rPr>
        <w:t xml:space="preserve"> </w:t>
      </w:r>
      <w:r w:rsidR="005A129B">
        <w:rPr>
          <w:rFonts w:ascii="Calibri" w:eastAsia="Calibri" w:hAnsi="Calibri" w:cs="Times New Roman"/>
        </w:rPr>
        <w:t>average</w:t>
      </w:r>
      <w:r w:rsidR="00F541D3">
        <w:rPr>
          <w:rFonts w:ascii="Calibri" w:eastAsia="Calibri" w:hAnsi="Calibri" w:cs="Times New Roman"/>
        </w:rPr>
        <w:t xml:space="preserve"> of </w:t>
      </w:r>
      <w:r w:rsidR="00F541D3" w:rsidRPr="00C92C8B">
        <w:rPr>
          <w:rFonts w:ascii="Calibri" w:eastAsia="Calibri" w:hAnsi="Calibri" w:cs="Times New Roman"/>
        </w:rPr>
        <w:t>1</w:t>
      </w:r>
      <w:r w:rsidR="00F541D3">
        <w:rPr>
          <w:rFonts w:ascii="Calibri" w:eastAsia="Calibri" w:hAnsi="Calibri" w:cs="Times New Roman"/>
        </w:rPr>
        <w:t xml:space="preserve">M litres per </w:t>
      </w:r>
      <w:r w:rsidR="00F541D3" w:rsidRPr="00C92C8B">
        <w:rPr>
          <w:rFonts w:ascii="Calibri" w:eastAsia="Calibri" w:hAnsi="Calibri" w:cs="Times New Roman"/>
        </w:rPr>
        <w:t>year</w:t>
      </w:r>
      <w:r w:rsidR="00F541D3">
        <w:rPr>
          <w:rFonts w:ascii="Calibri" w:eastAsia="Calibri" w:hAnsi="Calibri" w:cs="Times New Roman"/>
        </w:rPr>
        <w:t xml:space="preserve"> in our dataset. In addition, a</w:t>
      </w:r>
      <w:r w:rsidRPr="00C92C8B">
        <w:rPr>
          <w:rFonts w:ascii="Calibri" w:eastAsia="Calibri" w:hAnsi="Calibri" w:cs="Times New Roman"/>
        </w:rPr>
        <w:t xml:space="preserve">s </w:t>
      </w:r>
      <w:r w:rsidR="00821824">
        <w:rPr>
          <w:rFonts w:ascii="Calibri" w:eastAsia="Calibri" w:hAnsi="Calibri" w:cs="Times New Roman"/>
        </w:rPr>
        <w:t xml:space="preserve">the </w:t>
      </w:r>
      <w:r w:rsidR="00086876">
        <w:rPr>
          <w:rFonts w:ascii="Calibri" w:eastAsia="Calibri" w:hAnsi="Calibri" w:cs="Times New Roman"/>
        </w:rPr>
        <w:t xml:space="preserve">KWP </w:t>
      </w:r>
      <w:r w:rsidRPr="00C92C8B">
        <w:rPr>
          <w:rFonts w:ascii="Calibri" w:eastAsia="Calibri" w:hAnsi="Calibri" w:cs="Times New Roman"/>
        </w:rPr>
        <w:t xml:space="preserve">data </w:t>
      </w:r>
      <w:r w:rsidR="00821824">
        <w:rPr>
          <w:rFonts w:ascii="Calibri" w:eastAsia="Calibri" w:hAnsi="Calibri" w:cs="Times New Roman"/>
        </w:rPr>
        <w:t xml:space="preserve">we </w:t>
      </w:r>
      <w:r w:rsidR="00C9271D">
        <w:rPr>
          <w:rFonts w:ascii="Calibri" w:eastAsia="Calibri" w:hAnsi="Calibri" w:cs="Times New Roman"/>
        </w:rPr>
        <w:t>used</w:t>
      </w:r>
      <w:r w:rsidR="00821824">
        <w:rPr>
          <w:rFonts w:ascii="Calibri" w:eastAsia="Calibri" w:hAnsi="Calibri" w:cs="Times New Roman"/>
        </w:rPr>
        <w:t xml:space="preserve"> </w:t>
      </w:r>
      <w:r w:rsidR="00B432E4">
        <w:rPr>
          <w:rFonts w:ascii="Calibri" w:eastAsia="Calibri" w:hAnsi="Calibri" w:cs="Times New Roman"/>
        </w:rPr>
        <w:t>only captures purchase</w:t>
      </w:r>
      <w:r w:rsidR="00821824">
        <w:rPr>
          <w:rFonts w:ascii="Calibri" w:eastAsia="Calibri" w:hAnsi="Calibri" w:cs="Times New Roman"/>
        </w:rPr>
        <w:t>s</w:t>
      </w:r>
      <w:r w:rsidR="00B432E4">
        <w:rPr>
          <w:rFonts w:ascii="Calibri" w:eastAsia="Calibri" w:hAnsi="Calibri" w:cs="Times New Roman"/>
        </w:rPr>
        <w:t xml:space="preserve"> brought in to the home</w:t>
      </w:r>
      <w:r w:rsidR="008125A3">
        <w:rPr>
          <w:rFonts w:ascii="Calibri" w:eastAsia="Calibri" w:hAnsi="Calibri" w:cs="Times New Roman"/>
        </w:rPr>
        <w:t>,</w:t>
      </w:r>
      <w:r w:rsidR="00B432E4">
        <w:rPr>
          <w:rFonts w:ascii="Calibri" w:eastAsia="Calibri" w:hAnsi="Calibri" w:cs="Times New Roman"/>
        </w:rPr>
        <w:t xml:space="preserve"> it </w:t>
      </w:r>
      <w:r w:rsidR="004F1AA0">
        <w:rPr>
          <w:rFonts w:ascii="Calibri" w:eastAsia="Calibri" w:hAnsi="Calibri" w:cs="Times New Roman"/>
        </w:rPr>
        <w:t>underestimates total sales</w:t>
      </w:r>
      <w:r w:rsidR="00F541D3">
        <w:rPr>
          <w:rFonts w:ascii="Calibri" w:eastAsia="Calibri" w:hAnsi="Calibri" w:cs="Times New Roman"/>
        </w:rPr>
        <w:t xml:space="preserve">, therefore we performed </w:t>
      </w:r>
      <w:r w:rsidR="00030445">
        <w:rPr>
          <w:rFonts w:ascii="Calibri" w:eastAsia="Calibri" w:hAnsi="Calibri" w:cs="Times New Roman"/>
        </w:rPr>
        <w:t xml:space="preserve">a </w:t>
      </w:r>
      <w:r w:rsidR="00F541D3">
        <w:rPr>
          <w:rFonts w:ascii="Calibri" w:eastAsia="Calibri" w:hAnsi="Calibri" w:cs="Times New Roman"/>
        </w:rPr>
        <w:t xml:space="preserve">further set of analyses </w:t>
      </w:r>
      <w:r w:rsidR="0064463E">
        <w:rPr>
          <w:rFonts w:ascii="Calibri" w:eastAsia="Calibri" w:hAnsi="Calibri" w:cs="Times New Roman"/>
        </w:rPr>
        <w:t>excluding</w:t>
      </w:r>
      <w:r w:rsidR="004F1AA0">
        <w:rPr>
          <w:rFonts w:ascii="Calibri" w:eastAsia="Calibri" w:hAnsi="Calibri" w:cs="Times New Roman"/>
        </w:rPr>
        <w:t xml:space="preserve"> </w:t>
      </w:r>
      <w:r w:rsidR="00030445">
        <w:rPr>
          <w:rFonts w:ascii="Calibri" w:eastAsia="Calibri" w:hAnsi="Calibri" w:cs="Times New Roman"/>
        </w:rPr>
        <w:t>manufacturers</w:t>
      </w:r>
      <w:r w:rsidR="004F1AA0">
        <w:rPr>
          <w:rFonts w:ascii="Calibri" w:eastAsia="Calibri" w:hAnsi="Calibri" w:cs="Times New Roman"/>
        </w:rPr>
        <w:t xml:space="preserve"> with less than</w:t>
      </w:r>
      <w:r w:rsidR="00821824">
        <w:rPr>
          <w:rFonts w:ascii="Calibri" w:eastAsia="Calibri" w:hAnsi="Calibri" w:cs="Times New Roman"/>
        </w:rPr>
        <w:t>,</w:t>
      </w:r>
      <w:r w:rsidR="004F1AA0">
        <w:rPr>
          <w:rFonts w:ascii="Calibri" w:eastAsia="Calibri" w:hAnsi="Calibri" w:cs="Times New Roman"/>
        </w:rPr>
        <w:t xml:space="preserve"> </w:t>
      </w:r>
      <w:r w:rsidRPr="00C92C8B">
        <w:rPr>
          <w:rFonts w:ascii="Calibri" w:eastAsia="Calibri" w:hAnsi="Calibri" w:cs="Times New Roman"/>
        </w:rPr>
        <w:t xml:space="preserve">a more conservative </w:t>
      </w:r>
      <w:r w:rsidR="005A129B">
        <w:rPr>
          <w:rFonts w:ascii="Calibri" w:eastAsia="Calibri" w:hAnsi="Calibri" w:cs="Times New Roman"/>
        </w:rPr>
        <w:t>average</w:t>
      </w:r>
      <w:r w:rsidR="004F1AA0">
        <w:rPr>
          <w:rFonts w:ascii="Calibri" w:eastAsia="Calibri" w:hAnsi="Calibri" w:cs="Times New Roman"/>
        </w:rPr>
        <w:t xml:space="preserve"> of</w:t>
      </w:r>
      <w:r w:rsidR="00821824">
        <w:rPr>
          <w:rFonts w:ascii="Calibri" w:eastAsia="Calibri" w:hAnsi="Calibri" w:cs="Times New Roman"/>
        </w:rPr>
        <w:t>,</w:t>
      </w:r>
      <w:r w:rsidR="004F1AA0">
        <w:rPr>
          <w:rFonts w:ascii="Calibri" w:eastAsia="Calibri" w:hAnsi="Calibri" w:cs="Times New Roman"/>
        </w:rPr>
        <w:t xml:space="preserve"> </w:t>
      </w:r>
      <w:r w:rsidRPr="00C92C8B">
        <w:rPr>
          <w:rFonts w:ascii="Calibri" w:eastAsia="Calibri" w:hAnsi="Calibri" w:cs="Times New Roman"/>
        </w:rPr>
        <w:t>0.5</w:t>
      </w:r>
      <w:r w:rsidR="009C1DBD">
        <w:rPr>
          <w:rFonts w:ascii="Calibri" w:eastAsia="Calibri" w:hAnsi="Calibri" w:cs="Times New Roman"/>
        </w:rPr>
        <w:t>M</w:t>
      </w:r>
      <w:r w:rsidR="00C9271D">
        <w:rPr>
          <w:rFonts w:ascii="Calibri" w:eastAsia="Calibri" w:hAnsi="Calibri" w:cs="Times New Roman"/>
        </w:rPr>
        <w:t xml:space="preserve"> litre</w:t>
      </w:r>
      <w:r w:rsidR="009C1DBD">
        <w:rPr>
          <w:rFonts w:ascii="Calibri" w:eastAsia="Calibri" w:hAnsi="Calibri" w:cs="Times New Roman"/>
        </w:rPr>
        <w:t>s</w:t>
      </w:r>
      <w:r w:rsidR="001F1E9A">
        <w:rPr>
          <w:rFonts w:ascii="Calibri" w:eastAsia="Calibri" w:hAnsi="Calibri" w:cs="Times New Roman"/>
        </w:rPr>
        <w:t xml:space="preserve"> per </w:t>
      </w:r>
      <w:r w:rsidRPr="00C92C8B">
        <w:rPr>
          <w:rFonts w:ascii="Calibri" w:eastAsia="Calibri" w:hAnsi="Calibri" w:cs="Times New Roman"/>
        </w:rPr>
        <w:t>year.</w:t>
      </w:r>
    </w:p>
    <w:p w14:paraId="4E1E76BD" w14:textId="0F24C58E" w:rsidR="00C92C8B" w:rsidRPr="00C9271D" w:rsidRDefault="00C92C8B" w:rsidP="006A7B2B">
      <w:pPr>
        <w:spacing w:line="480" w:lineRule="auto"/>
        <w:jc w:val="both"/>
        <w:rPr>
          <w:rFonts w:ascii="Calibri" w:eastAsia="Calibri" w:hAnsi="Calibri" w:cs="Times New Roman"/>
          <w:i/>
        </w:rPr>
      </w:pPr>
      <w:r w:rsidRPr="00C9271D">
        <w:rPr>
          <w:rFonts w:ascii="Calibri" w:eastAsia="Calibri" w:hAnsi="Calibri" w:cs="Times New Roman"/>
          <w:i/>
        </w:rPr>
        <w:t>Sensitivity analysis 2</w:t>
      </w:r>
      <w:r w:rsidR="00821824" w:rsidRPr="00C9271D">
        <w:rPr>
          <w:rFonts w:ascii="Calibri" w:eastAsia="Calibri" w:hAnsi="Calibri" w:cs="Times New Roman"/>
          <w:i/>
        </w:rPr>
        <w:t xml:space="preserve">: Combining </w:t>
      </w:r>
      <w:r w:rsidR="00155D28" w:rsidRPr="00C9271D">
        <w:rPr>
          <w:rFonts w:ascii="Calibri" w:eastAsia="Calibri" w:hAnsi="Calibri" w:cs="Times New Roman"/>
          <w:i/>
        </w:rPr>
        <w:t>drinks</w:t>
      </w:r>
      <w:r w:rsidR="00821824" w:rsidRPr="00C9271D">
        <w:rPr>
          <w:rFonts w:ascii="Calibri" w:eastAsia="Calibri" w:hAnsi="Calibri" w:cs="Times New Roman"/>
          <w:i/>
        </w:rPr>
        <w:t xml:space="preserve"> categories</w:t>
      </w:r>
    </w:p>
    <w:p w14:paraId="41FB3866" w14:textId="1CB76D50" w:rsidR="00733AC3" w:rsidRDefault="00C92C8B" w:rsidP="00980A3F">
      <w:pPr>
        <w:spacing w:line="480" w:lineRule="auto"/>
        <w:jc w:val="both"/>
        <w:rPr>
          <w:rFonts w:ascii="Calibri" w:eastAsia="Calibri" w:hAnsi="Calibri" w:cs="Times New Roman"/>
        </w:rPr>
      </w:pPr>
      <w:r>
        <w:rPr>
          <w:rFonts w:ascii="Calibri" w:eastAsia="Calibri" w:hAnsi="Calibri" w:cs="Times New Roman"/>
        </w:rPr>
        <w:t xml:space="preserve">The SDIL </w:t>
      </w:r>
      <w:r w:rsidR="009C74F4">
        <w:rPr>
          <w:rFonts w:ascii="Calibri" w:eastAsia="Calibri" w:hAnsi="Calibri" w:cs="Times New Roman"/>
        </w:rPr>
        <w:t>does not apply to</w:t>
      </w:r>
      <w:r w:rsidR="003C7138">
        <w:rPr>
          <w:rFonts w:ascii="Calibri" w:eastAsia="Calibri" w:hAnsi="Calibri" w:cs="Times New Roman"/>
        </w:rPr>
        <w:t xml:space="preserve"> </w:t>
      </w:r>
      <w:r w:rsidR="00821824">
        <w:rPr>
          <w:rFonts w:ascii="Calibri" w:eastAsia="Calibri" w:hAnsi="Calibri" w:cs="Times New Roman"/>
        </w:rPr>
        <w:t>products</w:t>
      </w:r>
      <w:r w:rsidR="00705A17">
        <w:rPr>
          <w:rFonts w:ascii="Calibri" w:eastAsia="Calibri" w:hAnsi="Calibri" w:cs="Times New Roman"/>
        </w:rPr>
        <w:t xml:space="preserve"> </w:t>
      </w:r>
      <w:r w:rsidR="009C1DBD">
        <w:rPr>
          <w:rFonts w:ascii="Calibri" w:eastAsia="Calibri" w:hAnsi="Calibri" w:cs="Times New Roman"/>
        </w:rPr>
        <w:t>such as fruit juices and milk</w:t>
      </w:r>
      <w:r w:rsidR="002C7C62">
        <w:rPr>
          <w:rFonts w:ascii="Calibri" w:eastAsia="Calibri" w:hAnsi="Calibri" w:cs="Times New Roman"/>
        </w:rPr>
        <w:t>-</w:t>
      </w:r>
      <w:r w:rsidR="00705A17" w:rsidRPr="00705A17">
        <w:rPr>
          <w:rFonts w:ascii="Calibri" w:eastAsia="Calibri" w:hAnsi="Calibri" w:cs="Times New Roman"/>
        </w:rPr>
        <w:t xml:space="preserve">based drinks </w:t>
      </w:r>
      <w:r w:rsidR="00821824">
        <w:rPr>
          <w:rFonts w:ascii="Calibri" w:eastAsia="Calibri" w:hAnsi="Calibri" w:cs="Times New Roman"/>
        </w:rPr>
        <w:t xml:space="preserve">that may contain </w:t>
      </w:r>
      <w:r w:rsidR="0073453A">
        <w:rPr>
          <w:rFonts w:ascii="Calibri" w:eastAsia="Calibri" w:hAnsi="Calibri" w:cs="Times New Roman"/>
        </w:rPr>
        <w:t>comparable</w:t>
      </w:r>
      <w:r w:rsidR="00821824">
        <w:rPr>
          <w:rFonts w:ascii="Calibri" w:eastAsia="Calibri" w:hAnsi="Calibri" w:cs="Times New Roman"/>
        </w:rPr>
        <w:t xml:space="preserve"> </w:t>
      </w:r>
      <w:r w:rsidR="00C9271D">
        <w:rPr>
          <w:rFonts w:ascii="Calibri" w:eastAsia="Calibri" w:hAnsi="Calibri" w:cs="Times New Roman"/>
        </w:rPr>
        <w:t>amounts</w:t>
      </w:r>
      <w:r w:rsidR="00821824">
        <w:rPr>
          <w:rFonts w:ascii="Calibri" w:eastAsia="Calibri" w:hAnsi="Calibri" w:cs="Times New Roman"/>
        </w:rPr>
        <w:t xml:space="preserve"> of sugar</w:t>
      </w:r>
      <w:r w:rsidR="009C1DBD">
        <w:rPr>
          <w:rFonts w:ascii="Calibri" w:eastAsia="Calibri" w:hAnsi="Calibri" w:cs="Times New Roman"/>
        </w:rPr>
        <w:t xml:space="preserve"> to </w:t>
      </w:r>
      <w:r w:rsidR="0073453A">
        <w:rPr>
          <w:rFonts w:ascii="Calibri" w:eastAsia="Calibri" w:hAnsi="Calibri" w:cs="Times New Roman"/>
        </w:rPr>
        <w:t xml:space="preserve">SDIL </w:t>
      </w:r>
      <w:r w:rsidR="009C1DBD">
        <w:rPr>
          <w:rFonts w:ascii="Calibri" w:eastAsia="Calibri" w:hAnsi="Calibri" w:cs="Times New Roman"/>
        </w:rPr>
        <w:t>liable products</w:t>
      </w:r>
      <w:r>
        <w:rPr>
          <w:rFonts w:ascii="Calibri" w:eastAsia="Calibri" w:hAnsi="Calibri" w:cs="Times New Roman"/>
        </w:rPr>
        <w:t>. T</w:t>
      </w:r>
      <w:r w:rsidR="006A7B2B" w:rsidRPr="006A7B2B">
        <w:rPr>
          <w:rFonts w:ascii="Calibri" w:eastAsia="Calibri" w:hAnsi="Calibri" w:cs="Times New Roman"/>
        </w:rPr>
        <w:t xml:space="preserve">o examine </w:t>
      </w:r>
      <w:r>
        <w:rPr>
          <w:rFonts w:ascii="Calibri" w:eastAsia="Calibri" w:hAnsi="Calibri" w:cs="Times New Roman"/>
        </w:rPr>
        <w:t xml:space="preserve">the extent to which the </w:t>
      </w:r>
      <w:r w:rsidR="00C9271D">
        <w:rPr>
          <w:rFonts w:ascii="Calibri" w:eastAsia="Calibri" w:hAnsi="Calibri" w:cs="Times New Roman"/>
        </w:rPr>
        <w:t xml:space="preserve">SDIL </w:t>
      </w:r>
      <w:r>
        <w:rPr>
          <w:rFonts w:ascii="Calibri" w:eastAsia="Calibri" w:hAnsi="Calibri" w:cs="Times New Roman"/>
        </w:rPr>
        <w:t xml:space="preserve">impacted upon the </w:t>
      </w:r>
      <w:r w:rsidR="00227FCA">
        <w:rPr>
          <w:rFonts w:ascii="Calibri" w:eastAsia="Calibri" w:hAnsi="Calibri" w:cs="Times New Roman"/>
        </w:rPr>
        <w:t>purchase</w:t>
      </w:r>
      <w:r w:rsidR="00E8109C">
        <w:rPr>
          <w:rFonts w:ascii="Calibri" w:eastAsia="Calibri" w:hAnsi="Calibri" w:cs="Times New Roman"/>
        </w:rPr>
        <w:t>d</w:t>
      </w:r>
      <w:r w:rsidR="00227FCA">
        <w:rPr>
          <w:rFonts w:ascii="Calibri" w:eastAsia="Calibri" w:hAnsi="Calibri" w:cs="Times New Roman"/>
        </w:rPr>
        <w:t xml:space="preserve"> </w:t>
      </w:r>
      <w:r>
        <w:rPr>
          <w:rFonts w:ascii="Calibri" w:eastAsia="Calibri" w:hAnsi="Calibri" w:cs="Times New Roman"/>
        </w:rPr>
        <w:t xml:space="preserve">volume and amount of sugar in </w:t>
      </w:r>
      <w:r w:rsidR="009C1DBD">
        <w:rPr>
          <w:rFonts w:ascii="Calibri" w:eastAsia="Calibri" w:hAnsi="Calibri" w:cs="Times New Roman"/>
        </w:rPr>
        <w:t xml:space="preserve">all </w:t>
      </w:r>
      <w:r w:rsidR="009C74F4">
        <w:rPr>
          <w:rFonts w:ascii="Calibri" w:eastAsia="Calibri" w:hAnsi="Calibri" w:cs="Times New Roman"/>
        </w:rPr>
        <w:t xml:space="preserve">soft </w:t>
      </w:r>
      <w:r w:rsidR="009C1DBD">
        <w:rPr>
          <w:rFonts w:ascii="Calibri" w:eastAsia="Calibri" w:hAnsi="Calibri" w:cs="Times New Roman"/>
        </w:rPr>
        <w:t>drinks</w:t>
      </w:r>
      <w:r>
        <w:rPr>
          <w:rFonts w:ascii="Calibri" w:eastAsia="Calibri" w:hAnsi="Calibri" w:cs="Times New Roman"/>
        </w:rPr>
        <w:t xml:space="preserve">, regardless of their SDIL liability, </w:t>
      </w:r>
      <w:r w:rsidR="006A7B2B" w:rsidRPr="006A7B2B">
        <w:rPr>
          <w:rFonts w:ascii="Calibri" w:eastAsia="Calibri" w:hAnsi="Calibri" w:cs="Times New Roman"/>
        </w:rPr>
        <w:t xml:space="preserve">we also examined </w:t>
      </w:r>
      <w:r w:rsidR="0064463E">
        <w:rPr>
          <w:rFonts w:ascii="Calibri" w:eastAsia="Calibri" w:hAnsi="Calibri" w:cs="Times New Roman"/>
        </w:rPr>
        <w:t>purchases of all</w:t>
      </w:r>
      <w:r w:rsidR="006A7B2B" w:rsidRPr="006A7B2B">
        <w:rPr>
          <w:rFonts w:ascii="Calibri" w:eastAsia="Calibri" w:hAnsi="Calibri" w:cs="Times New Roman"/>
        </w:rPr>
        <w:t xml:space="preserve"> </w:t>
      </w:r>
      <w:r w:rsidR="0064463E">
        <w:rPr>
          <w:rFonts w:ascii="Calibri" w:eastAsia="Calibri" w:hAnsi="Calibri" w:cs="Times New Roman"/>
        </w:rPr>
        <w:t>non-alcoholic drinks combined</w:t>
      </w:r>
      <w:r w:rsidR="006A7B2B" w:rsidRPr="006A7B2B">
        <w:rPr>
          <w:rFonts w:ascii="Calibri" w:eastAsia="Calibri" w:hAnsi="Calibri" w:cs="Times New Roman"/>
        </w:rPr>
        <w:t>.</w:t>
      </w:r>
      <w:r>
        <w:rPr>
          <w:rFonts w:ascii="Calibri" w:eastAsia="Calibri" w:hAnsi="Calibri" w:cs="Times New Roman"/>
        </w:rPr>
        <w:t xml:space="preserve"> </w:t>
      </w:r>
      <w:r w:rsidR="003C089E" w:rsidRPr="003C089E">
        <w:rPr>
          <w:rFonts w:ascii="Calibri" w:eastAsia="Calibri" w:hAnsi="Calibri" w:cs="Times New Roman"/>
        </w:rPr>
        <w:t xml:space="preserve">Controlled ITS analysis was carried out as above using </w:t>
      </w:r>
      <w:r w:rsidR="009B4880">
        <w:rPr>
          <w:rFonts w:ascii="Calibri" w:eastAsia="Calibri" w:hAnsi="Calibri" w:cs="Times New Roman"/>
        </w:rPr>
        <w:t xml:space="preserve">all </w:t>
      </w:r>
      <w:r w:rsidR="003C089E">
        <w:rPr>
          <w:rFonts w:ascii="Calibri" w:eastAsia="Calibri" w:hAnsi="Calibri" w:cs="Times New Roman"/>
        </w:rPr>
        <w:t>d</w:t>
      </w:r>
      <w:r w:rsidR="00821824">
        <w:rPr>
          <w:rFonts w:ascii="Calibri" w:eastAsia="Calibri" w:hAnsi="Calibri" w:cs="Times New Roman"/>
        </w:rPr>
        <w:t xml:space="preserve">rinks categorised </w:t>
      </w:r>
      <w:r w:rsidR="0064463E">
        <w:rPr>
          <w:rFonts w:ascii="Calibri" w:eastAsia="Calibri" w:hAnsi="Calibri" w:cs="Times New Roman"/>
        </w:rPr>
        <w:t>using the SDIL tier thresholds</w:t>
      </w:r>
      <w:r w:rsidR="009C1DBD">
        <w:rPr>
          <w:rFonts w:ascii="Calibri" w:eastAsia="Calibri" w:hAnsi="Calibri" w:cs="Times New Roman"/>
        </w:rPr>
        <w:t>; as well as all drinks combined</w:t>
      </w:r>
      <w:r w:rsidR="00821824" w:rsidRPr="00821824">
        <w:rPr>
          <w:rFonts w:ascii="Calibri" w:eastAsia="Calibri" w:hAnsi="Calibri" w:cs="Times New Roman"/>
        </w:rPr>
        <w:t>.</w:t>
      </w:r>
    </w:p>
    <w:p w14:paraId="16476A21" w14:textId="703186E1" w:rsidR="005A129B" w:rsidRDefault="005A129B" w:rsidP="005A129B">
      <w:pPr>
        <w:spacing w:line="480" w:lineRule="auto"/>
        <w:jc w:val="both"/>
        <w:rPr>
          <w:rFonts w:ascii="Calibri" w:eastAsia="Calibri" w:hAnsi="Calibri" w:cs="Times New Roman"/>
          <w:i/>
        </w:rPr>
      </w:pPr>
      <w:r w:rsidRPr="00C9271D">
        <w:rPr>
          <w:rFonts w:ascii="Calibri" w:eastAsia="Calibri" w:hAnsi="Calibri" w:cs="Times New Roman"/>
          <w:i/>
        </w:rPr>
        <w:t xml:space="preserve">Sensitivity analysis </w:t>
      </w:r>
      <w:r>
        <w:rPr>
          <w:rFonts w:ascii="Calibri" w:eastAsia="Calibri" w:hAnsi="Calibri" w:cs="Times New Roman"/>
          <w:i/>
        </w:rPr>
        <w:t>3</w:t>
      </w:r>
      <w:r w:rsidRPr="00C9271D">
        <w:rPr>
          <w:rFonts w:ascii="Calibri" w:eastAsia="Calibri" w:hAnsi="Calibri" w:cs="Times New Roman"/>
          <w:i/>
        </w:rPr>
        <w:t xml:space="preserve">: </w:t>
      </w:r>
      <w:r>
        <w:rPr>
          <w:rFonts w:ascii="Calibri" w:eastAsia="Calibri" w:hAnsi="Calibri" w:cs="Times New Roman"/>
          <w:i/>
        </w:rPr>
        <w:t>Uncontrolled interrupted time series analysis</w:t>
      </w:r>
    </w:p>
    <w:p w14:paraId="14ED570F" w14:textId="174E5FD3" w:rsidR="005A129B" w:rsidRPr="00C57E3C" w:rsidRDefault="00961342" w:rsidP="009E0B77">
      <w:pPr>
        <w:spacing w:line="480" w:lineRule="auto"/>
        <w:jc w:val="both"/>
        <w:rPr>
          <w:rFonts w:ascii="Calibri" w:eastAsia="Calibri" w:hAnsi="Calibri" w:cs="Times New Roman"/>
        </w:rPr>
      </w:pPr>
      <w:r>
        <w:rPr>
          <w:rFonts w:ascii="Calibri" w:eastAsia="Calibri" w:hAnsi="Calibri" w:cs="Times New Roman"/>
        </w:rPr>
        <w:t xml:space="preserve">A priori, we selected </w:t>
      </w:r>
      <w:r w:rsidR="005A129B">
        <w:rPr>
          <w:rFonts w:ascii="Calibri" w:eastAsia="Calibri" w:hAnsi="Calibri" w:cs="Times New Roman"/>
        </w:rPr>
        <w:t xml:space="preserve">toiletries </w:t>
      </w:r>
      <w:r>
        <w:rPr>
          <w:rFonts w:ascii="Calibri" w:eastAsia="Calibri" w:hAnsi="Calibri" w:cs="Times New Roman"/>
        </w:rPr>
        <w:t xml:space="preserve">as </w:t>
      </w:r>
      <w:r w:rsidR="005A129B">
        <w:rPr>
          <w:rFonts w:ascii="Calibri" w:eastAsia="Calibri" w:hAnsi="Calibri" w:cs="Times New Roman"/>
        </w:rPr>
        <w:t xml:space="preserve">a suitable control </w:t>
      </w:r>
      <w:r>
        <w:rPr>
          <w:rFonts w:ascii="Calibri" w:eastAsia="Calibri" w:hAnsi="Calibri" w:cs="Times New Roman"/>
        </w:rPr>
        <w:t xml:space="preserve">category for the reasons described above. </w:t>
      </w:r>
      <w:r w:rsidR="005A129B">
        <w:rPr>
          <w:rFonts w:ascii="Calibri" w:eastAsia="Calibri" w:hAnsi="Calibri" w:cs="Times New Roman"/>
        </w:rPr>
        <w:t>It is possible, however</w:t>
      </w:r>
      <w:r w:rsidR="0087595F">
        <w:rPr>
          <w:rFonts w:ascii="Calibri" w:eastAsia="Calibri" w:hAnsi="Calibri" w:cs="Times New Roman"/>
        </w:rPr>
        <w:t>,</w:t>
      </w:r>
      <w:r w:rsidR="005A129B">
        <w:rPr>
          <w:rFonts w:ascii="Calibri" w:eastAsia="Calibri" w:hAnsi="Calibri" w:cs="Times New Roman"/>
        </w:rPr>
        <w:t xml:space="preserve"> that a more appropriate control exists</w:t>
      </w:r>
      <w:r>
        <w:rPr>
          <w:rFonts w:ascii="Calibri" w:eastAsia="Calibri" w:hAnsi="Calibri" w:cs="Times New Roman"/>
        </w:rPr>
        <w:t xml:space="preserve"> or that </w:t>
      </w:r>
      <w:r w:rsidR="0087595F">
        <w:rPr>
          <w:rFonts w:ascii="Calibri" w:eastAsia="Calibri" w:hAnsi="Calibri" w:cs="Times New Roman"/>
        </w:rPr>
        <w:t>‘</w:t>
      </w:r>
      <w:r>
        <w:rPr>
          <w:rFonts w:ascii="Calibri" w:eastAsia="Calibri" w:hAnsi="Calibri" w:cs="Times New Roman"/>
        </w:rPr>
        <w:t>no category</w:t>
      </w:r>
      <w:r w:rsidR="0087595F">
        <w:rPr>
          <w:rFonts w:ascii="Calibri" w:eastAsia="Calibri" w:hAnsi="Calibri" w:cs="Times New Roman"/>
        </w:rPr>
        <w:t>’</w:t>
      </w:r>
      <w:r>
        <w:rPr>
          <w:rFonts w:ascii="Calibri" w:eastAsia="Calibri" w:hAnsi="Calibri" w:cs="Times New Roman"/>
        </w:rPr>
        <w:t xml:space="preserve"> is an appropriate control</w:t>
      </w:r>
      <w:r w:rsidR="005A129B">
        <w:rPr>
          <w:rFonts w:ascii="Calibri" w:eastAsia="Calibri" w:hAnsi="Calibri" w:cs="Times New Roman"/>
        </w:rPr>
        <w:t xml:space="preserve">. We </w:t>
      </w:r>
      <w:r>
        <w:rPr>
          <w:rFonts w:ascii="Calibri" w:eastAsia="Calibri" w:hAnsi="Calibri" w:cs="Times New Roman"/>
        </w:rPr>
        <w:t>we</w:t>
      </w:r>
      <w:r w:rsidR="005A129B">
        <w:rPr>
          <w:rFonts w:ascii="Calibri" w:eastAsia="Calibri" w:hAnsi="Calibri" w:cs="Times New Roman"/>
        </w:rPr>
        <w:t xml:space="preserve">re not able to examine alternative controls </w:t>
      </w:r>
      <w:r>
        <w:rPr>
          <w:rFonts w:ascii="Calibri" w:eastAsia="Calibri" w:hAnsi="Calibri" w:cs="Times New Roman"/>
        </w:rPr>
        <w:t xml:space="preserve">but </w:t>
      </w:r>
      <w:r w:rsidR="005A129B">
        <w:rPr>
          <w:rFonts w:ascii="Calibri" w:eastAsia="Calibri" w:hAnsi="Calibri" w:cs="Times New Roman"/>
        </w:rPr>
        <w:t xml:space="preserve">we are able to examine the impact of the selected control on the results we present. To this end we </w:t>
      </w:r>
      <w:r w:rsidR="0041551E">
        <w:rPr>
          <w:rFonts w:ascii="Calibri" w:eastAsia="Calibri" w:hAnsi="Calibri" w:cs="Times New Roman"/>
        </w:rPr>
        <w:t>replicated</w:t>
      </w:r>
      <w:r w:rsidR="005A129B">
        <w:rPr>
          <w:rFonts w:ascii="Calibri" w:eastAsia="Calibri" w:hAnsi="Calibri" w:cs="Times New Roman"/>
        </w:rPr>
        <w:t xml:space="preserve"> the </w:t>
      </w:r>
      <w:r w:rsidR="0041551E">
        <w:rPr>
          <w:rFonts w:ascii="Calibri" w:eastAsia="Calibri" w:hAnsi="Calibri" w:cs="Times New Roman"/>
        </w:rPr>
        <w:t xml:space="preserve">main analyses for </w:t>
      </w:r>
      <w:r w:rsidR="005A129B">
        <w:rPr>
          <w:rFonts w:ascii="Calibri" w:eastAsia="Calibri" w:hAnsi="Calibri" w:cs="Times New Roman"/>
        </w:rPr>
        <w:t xml:space="preserve">drink and confectionery categories as described above </w:t>
      </w:r>
      <w:r w:rsidR="0041551E">
        <w:rPr>
          <w:rFonts w:ascii="Calibri" w:eastAsia="Calibri" w:hAnsi="Calibri" w:cs="Times New Roman"/>
        </w:rPr>
        <w:t>with no control</w:t>
      </w:r>
      <w:r w:rsidR="005A129B">
        <w:rPr>
          <w:rFonts w:ascii="Calibri" w:eastAsia="Calibri" w:hAnsi="Calibri" w:cs="Times New Roman"/>
        </w:rPr>
        <w:t>.</w:t>
      </w:r>
    </w:p>
    <w:p w14:paraId="65165FA5" w14:textId="77777777" w:rsidR="00733AC3" w:rsidRPr="00733AC3" w:rsidRDefault="00733AC3" w:rsidP="00980A3F">
      <w:pPr>
        <w:spacing w:line="480" w:lineRule="auto"/>
        <w:contextualSpacing/>
        <w:jc w:val="both"/>
        <w:rPr>
          <w:rFonts w:ascii="Calibri" w:eastAsia="Calibri" w:hAnsi="Calibri" w:cs="Times New Roman"/>
          <w:b/>
          <w:i/>
        </w:rPr>
      </w:pPr>
      <w:r w:rsidRPr="00733AC3">
        <w:rPr>
          <w:rFonts w:ascii="Calibri" w:eastAsia="Calibri" w:hAnsi="Calibri" w:cs="Times New Roman"/>
          <w:b/>
          <w:i/>
        </w:rPr>
        <w:t>Changes to protocol</w:t>
      </w:r>
    </w:p>
    <w:p w14:paraId="1EAF37BF" w14:textId="53EF342F" w:rsidR="00D105A1" w:rsidRPr="008F256B" w:rsidRDefault="0064463E" w:rsidP="008F256B">
      <w:pPr>
        <w:spacing w:line="480" w:lineRule="auto"/>
        <w:jc w:val="both"/>
        <w:rPr>
          <w:rFonts w:ascii="Calibri" w:eastAsia="Calibri" w:hAnsi="Calibri" w:cs="Times New Roman"/>
        </w:rPr>
      </w:pPr>
      <w:r>
        <w:rPr>
          <w:rFonts w:ascii="Calibri" w:eastAsia="Calibri" w:hAnsi="Calibri" w:cs="Times New Roman"/>
        </w:rPr>
        <w:t>A</w:t>
      </w:r>
      <w:r w:rsidR="00D105A1" w:rsidRPr="008F256B">
        <w:rPr>
          <w:rFonts w:ascii="Calibri" w:eastAsia="Calibri" w:hAnsi="Calibri" w:cs="Times New Roman"/>
        </w:rPr>
        <w:t xml:space="preserve"> number of changes to </w:t>
      </w:r>
      <w:r w:rsidR="008244D3">
        <w:rPr>
          <w:rFonts w:ascii="Calibri" w:eastAsia="Calibri" w:hAnsi="Calibri" w:cs="Times New Roman"/>
        </w:rPr>
        <w:t xml:space="preserve">the published </w:t>
      </w:r>
      <w:r w:rsidR="00D105A1" w:rsidRPr="008F256B">
        <w:rPr>
          <w:rFonts w:ascii="Calibri" w:eastAsia="Calibri" w:hAnsi="Calibri" w:cs="Times New Roman"/>
        </w:rPr>
        <w:t xml:space="preserve">protocol were made. </w:t>
      </w:r>
      <w:r w:rsidR="008F256B" w:rsidRPr="008F256B">
        <w:rPr>
          <w:rFonts w:ascii="Calibri" w:eastAsia="Calibri" w:hAnsi="Calibri" w:cs="Times New Roman"/>
        </w:rPr>
        <w:t>First</w:t>
      </w:r>
      <w:r w:rsidR="00D105A1" w:rsidRPr="008F256B">
        <w:rPr>
          <w:rFonts w:ascii="Calibri" w:eastAsia="Calibri" w:hAnsi="Calibri" w:cs="Times New Roman"/>
        </w:rPr>
        <w:t xml:space="preserve">, </w:t>
      </w:r>
      <w:r>
        <w:rPr>
          <w:rFonts w:ascii="Calibri" w:eastAsia="Calibri" w:hAnsi="Calibri" w:cs="Times New Roman"/>
        </w:rPr>
        <w:t xml:space="preserve">rather than use data </w:t>
      </w:r>
      <w:r w:rsidR="00D105A1" w:rsidRPr="008F256B">
        <w:rPr>
          <w:rFonts w:ascii="Calibri" w:eastAsia="Calibri" w:hAnsi="Calibri" w:cs="Times New Roman"/>
        </w:rPr>
        <w:t xml:space="preserve">from two full years </w:t>
      </w:r>
      <w:r w:rsidR="008F256B">
        <w:rPr>
          <w:rFonts w:ascii="Calibri" w:eastAsia="Calibri" w:hAnsi="Calibri" w:cs="Times New Roman"/>
        </w:rPr>
        <w:t>pre-</w:t>
      </w:r>
      <w:r w:rsidR="00D105A1" w:rsidRPr="008F256B">
        <w:rPr>
          <w:rFonts w:ascii="Calibri" w:eastAsia="Calibri" w:hAnsi="Calibri" w:cs="Times New Roman"/>
        </w:rPr>
        <w:t xml:space="preserve"> to two full years </w:t>
      </w:r>
      <w:r w:rsidR="008F256B">
        <w:rPr>
          <w:rFonts w:ascii="Calibri" w:eastAsia="Calibri" w:hAnsi="Calibri" w:cs="Times New Roman"/>
        </w:rPr>
        <w:t>post-</w:t>
      </w:r>
      <w:r w:rsidR="00D105A1" w:rsidRPr="008F256B">
        <w:rPr>
          <w:rFonts w:ascii="Calibri" w:eastAsia="Calibri" w:hAnsi="Calibri" w:cs="Times New Roman"/>
        </w:rPr>
        <w:t xml:space="preserve">announcement, </w:t>
      </w:r>
      <w:r w:rsidR="008F256B" w:rsidRPr="008F256B">
        <w:rPr>
          <w:rFonts w:ascii="Calibri" w:eastAsia="Calibri" w:hAnsi="Calibri" w:cs="Times New Roman"/>
        </w:rPr>
        <w:t xml:space="preserve">we included data </w:t>
      </w:r>
      <w:r>
        <w:rPr>
          <w:rFonts w:ascii="Calibri" w:eastAsia="Calibri" w:hAnsi="Calibri" w:cs="Times New Roman"/>
        </w:rPr>
        <w:t xml:space="preserve">from </w:t>
      </w:r>
      <w:r w:rsidR="008F256B" w:rsidRPr="008F256B">
        <w:rPr>
          <w:rFonts w:ascii="Calibri" w:eastAsia="Calibri" w:hAnsi="Calibri" w:cs="Times New Roman"/>
        </w:rPr>
        <w:t xml:space="preserve">107 weeks pre- </w:t>
      </w:r>
      <w:r>
        <w:rPr>
          <w:rFonts w:ascii="Calibri" w:eastAsia="Calibri" w:hAnsi="Calibri" w:cs="Times New Roman"/>
        </w:rPr>
        <w:t xml:space="preserve">to </w:t>
      </w:r>
      <w:r w:rsidR="008F256B" w:rsidRPr="008F256B">
        <w:rPr>
          <w:rFonts w:ascii="Calibri" w:eastAsia="Calibri" w:hAnsi="Calibri" w:cs="Times New Roman"/>
        </w:rPr>
        <w:t xml:space="preserve">105 weeks </w:t>
      </w:r>
      <w:r w:rsidR="008F256B" w:rsidRPr="008F256B">
        <w:rPr>
          <w:rFonts w:ascii="Calibri" w:eastAsia="Calibri" w:hAnsi="Calibri" w:cs="Times New Roman"/>
        </w:rPr>
        <w:lastRenderedPageBreak/>
        <w:t>post-announcement</w:t>
      </w:r>
      <w:r>
        <w:rPr>
          <w:rFonts w:ascii="Calibri" w:eastAsia="Calibri" w:hAnsi="Calibri" w:cs="Times New Roman"/>
        </w:rPr>
        <w:t xml:space="preserve"> reflecting </w:t>
      </w:r>
      <w:r w:rsidR="008F256B" w:rsidRPr="008F256B">
        <w:rPr>
          <w:rFonts w:ascii="Calibri" w:eastAsia="Calibri" w:hAnsi="Calibri" w:cs="Times New Roman"/>
        </w:rPr>
        <w:t xml:space="preserve">a small amount of additional data made available to us by KWP. Second, </w:t>
      </w:r>
      <w:r>
        <w:rPr>
          <w:rFonts w:ascii="Calibri" w:eastAsia="Calibri" w:hAnsi="Calibri" w:cs="Times New Roman"/>
        </w:rPr>
        <w:t xml:space="preserve">we did not include </w:t>
      </w:r>
      <w:r w:rsidR="008F256B" w:rsidRPr="008F256B">
        <w:rPr>
          <w:rFonts w:ascii="Calibri" w:eastAsia="Calibri" w:hAnsi="Calibri" w:cs="Times New Roman"/>
        </w:rPr>
        <w:t xml:space="preserve">data on out-of-home purchases </w:t>
      </w:r>
      <w:r>
        <w:rPr>
          <w:rFonts w:ascii="Calibri" w:eastAsia="Calibri" w:hAnsi="Calibri" w:cs="Times New Roman"/>
        </w:rPr>
        <w:t>as indicated in the protocol</w:t>
      </w:r>
      <w:r w:rsidR="008F256B">
        <w:rPr>
          <w:rFonts w:ascii="Calibri" w:eastAsia="Calibri" w:hAnsi="Calibri" w:cs="Times New Roman"/>
        </w:rPr>
        <w:t xml:space="preserve">. </w:t>
      </w:r>
      <w:r>
        <w:rPr>
          <w:rFonts w:ascii="Calibri" w:eastAsia="Calibri" w:hAnsi="Calibri" w:cs="Times New Roman"/>
        </w:rPr>
        <w:t xml:space="preserve">Whilst KWP does have a recently established panel capturing out of home purchases, </w:t>
      </w:r>
      <w:r w:rsidR="008F256B">
        <w:rPr>
          <w:rFonts w:ascii="Calibri" w:eastAsia="Calibri" w:hAnsi="Calibri" w:cs="Times New Roman"/>
        </w:rPr>
        <w:t>d</w:t>
      </w:r>
      <w:r w:rsidR="008F256B" w:rsidRPr="008F256B">
        <w:rPr>
          <w:rFonts w:ascii="Calibri" w:eastAsia="Calibri" w:hAnsi="Calibri" w:cs="Times New Roman"/>
        </w:rPr>
        <w:t xml:space="preserve">ata is only available </w:t>
      </w:r>
      <w:r w:rsidR="005A129B">
        <w:rPr>
          <w:rFonts w:ascii="Calibri" w:eastAsia="Calibri" w:hAnsi="Calibri" w:cs="Times New Roman"/>
        </w:rPr>
        <w:t xml:space="preserve">on a subset of households </w:t>
      </w:r>
      <w:r w:rsidR="0041551E">
        <w:rPr>
          <w:rFonts w:ascii="Calibri" w:eastAsia="Calibri" w:hAnsi="Calibri" w:cs="Times New Roman"/>
        </w:rPr>
        <w:t xml:space="preserve">and only </w:t>
      </w:r>
      <w:r w:rsidR="008F256B" w:rsidRPr="008F256B">
        <w:rPr>
          <w:rFonts w:ascii="Calibri" w:eastAsia="Calibri" w:hAnsi="Calibri" w:cs="Times New Roman"/>
        </w:rPr>
        <w:t xml:space="preserve">from </w:t>
      </w:r>
      <w:r w:rsidR="009C74F4">
        <w:rPr>
          <w:rFonts w:ascii="Calibri" w:eastAsia="Calibri" w:hAnsi="Calibri" w:cs="Times New Roman"/>
        </w:rPr>
        <w:t>June</w:t>
      </w:r>
      <w:r w:rsidR="008F256B" w:rsidRPr="008F256B">
        <w:rPr>
          <w:rFonts w:ascii="Calibri" w:eastAsia="Calibri" w:hAnsi="Calibri" w:cs="Times New Roman"/>
        </w:rPr>
        <w:t xml:space="preserve"> 2015 and we did not feel this would provide a robust pre-intervention period. Third, </w:t>
      </w:r>
      <w:r>
        <w:rPr>
          <w:rFonts w:ascii="Calibri" w:eastAsia="Calibri" w:hAnsi="Calibri" w:cs="Times New Roman"/>
        </w:rPr>
        <w:t>we analysed purchasing at the weekly, rather than 4-weekly level reflecting</w:t>
      </w:r>
      <w:r w:rsidR="008F256B">
        <w:rPr>
          <w:rFonts w:ascii="Calibri" w:eastAsia="Calibri" w:hAnsi="Calibri" w:cs="Times New Roman"/>
        </w:rPr>
        <w:t xml:space="preserve"> </w:t>
      </w:r>
      <w:r w:rsidR="008F256B" w:rsidRPr="008F256B">
        <w:rPr>
          <w:rFonts w:ascii="Calibri" w:eastAsia="Calibri" w:hAnsi="Calibri" w:cs="Times New Roman"/>
        </w:rPr>
        <w:t>a</w:t>
      </w:r>
      <w:r w:rsidR="003F15F6">
        <w:rPr>
          <w:rFonts w:ascii="Calibri" w:eastAsia="Calibri" w:hAnsi="Calibri" w:cs="Times New Roman"/>
        </w:rPr>
        <w:t>n advantageous</w:t>
      </w:r>
      <w:r w:rsidR="008F256B" w:rsidRPr="008F256B">
        <w:rPr>
          <w:rFonts w:ascii="Calibri" w:eastAsia="Calibri" w:hAnsi="Calibri" w:cs="Times New Roman"/>
        </w:rPr>
        <w:t xml:space="preserve"> change in the data that KWP </w:t>
      </w:r>
      <w:r w:rsidR="008F256B">
        <w:rPr>
          <w:rFonts w:ascii="Calibri" w:eastAsia="Calibri" w:hAnsi="Calibri" w:cs="Times New Roman"/>
        </w:rPr>
        <w:t xml:space="preserve">made </w:t>
      </w:r>
      <w:r w:rsidR="008F256B" w:rsidRPr="008F256B">
        <w:rPr>
          <w:rFonts w:ascii="Calibri" w:eastAsia="Calibri" w:hAnsi="Calibri" w:cs="Times New Roman"/>
        </w:rPr>
        <w:t xml:space="preserve">available to us. </w:t>
      </w:r>
      <w:r w:rsidR="003F15F6">
        <w:rPr>
          <w:rFonts w:ascii="Calibri" w:eastAsia="Calibri" w:hAnsi="Calibri" w:cs="Times New Roman"/>
        </w:rPr>
        <w:t xml:space="preserve">Further </w:t>
      </w:r>
      <w:r w:rsidR="008244D3">
        <w:rPr>
          <w:rFonts w:ascii="Calibri" w:eastAsia="Calibri" w:hAnsi="Calibri" w:cs="Times New Roman"/>
        </w:rPr>
        <w:t>analyses</w:t>
      </w:r>
      <w:r w:rsidR="00D219C5">
        <w:rPr>
          <w:rFonts w:ascii="Calibri" w:eastAsia="Calibri" w:hAnsi="Calibri" w:cs="Times New Roman"/>
        </w:rPr>
        <w:t xml:space="preserve"> </w:t>
      </w:r>
      <w:r w:rsidR="003F15F6">
        <w:rPr>
          <w:rFonts w:ascii="Calibri" w:eastAsia="Calibri" w:hAnsi="Calibri" w:cs="Times New Roman"/>
        </w:rPr>
        <w:t>specified in the protocol</w:t>
      </w:r>
      <w:r w:rsidR="004F2809">
        <w:rPr>
          <w:rFonts w:ascii="Calibri" w:eastAsia="Calibri" w:hAnsi="Calibri" w:cs="Times New Roman"/>
        </w:rPr>
        <w:t xml:space="preserve"> </w:t>
      </w:r>
      <w:r w:rsidR="004F2809">
        <w:rPr>
          <w:rFonts w:ascii="Calibri" w:eastAsia="Calibri" w:hAnsi="Calibri" w:cs="Times New Roman"/>
        </w:rPr>
        <w:fldChar w:fldCharType="begin"/>
      </w:r>
      <w:r w:rsidR="006C4B25">
        <w:rPr>
          <w:rFonts w:ascii="Calibri" w:eastAsia="Calibri" w:hAnsi="Calibri" w:cs="Times New Roman"/>
        </w:rPr>
        <w:instrText xml:space="preserve"> ADDIN ZOTERO_ITEM CSL_CITATION {"citationID":"I3aOMqke","properties":{"formattedCitation":"[29]","plainCitation":"[29]","noteIndex":0},"citationItems":[{"id":74,"uris":["http://zotero.org/users/1356132/items/CLE8MI27"],"uri":["http://zotero.org/users/1356132/items/CLE8MI27"],"itemData":{"id":74,"type":"webpage","language":"en","note":"DOI: https://doi.org/10.1186/ISRCTN18042742","title":"Evaluation of the health impacts of the UK Treasury Soft Drinks Industry Levy (SDIL)","title-short":"ISRCTN - ISRCTN18042742","URL":"http://www.isrctn.com/ISRCTN18042742","author":[{"family":"White","given":"Martin"}],"accessed":{"date-parts":[["2019",6,25]]},"issued":{"date-parts":[["2017",8,11]]}}}],"schema":"https://github.com/citation-style-language/schema/raw/master/csl-citation.json"} </w:instrText>
      </w:r>
      <w:r w:rsidR="004F2809">
        <w:rPr>
          <w:rFonts w:ascii="Calibri" w:eastAsia="Calibri" w:hAnsi="Calibri" w:cs="Times New Roman"/>
        </w:rPr>
        <w:fldChar w:fldCharType="separate"/>
      </w:r>
      <w:r w:rsidR="006C4B25" w:rsidRPr="006C4B25">
        <w:rPr>
          <w:rFonts w:ascii="Calibri" w:hAnsi="Calibri" w:cs="Calibri"/>
        </w:rPr>
        <w:t>[29]</w:t>
      </w:r>
      <w:r w:rsidR="004F2809">
        <w:rPr>
          <w:rFonts w:ascii="Calibri" w:eastAsia="Calibri" w:hAnsi="Calibri" w:cs="Times New Roman"/>
        </w:rPr>
        <w:fldChar w:fldCharType="end"/>
      </w:r>
      <w:r w:rsidR="003F15F6">
        <w:rPr>
          <w:rFonts w:ascii="Calibri" w:eastAsia="Calibri" w:hAnsi="Calibri" w:cs="Times New Roman"/>
        </w:rPr>
        <w:t xml:space="preserve"> </w:t>
      </w:r>
      <w:r w:rsidR="008F256B" w:rsidRPr="008F256B">
        <w:rPr>
          <w:rFonts w:ascii="Calibri" w:eastAsia="Calibri" w:hAnsi="Calibri" w:cs="Times New Roman"/>
        </w:rPr>
        <w:t xml:space="preserve">will </w:t>
      </w:r>
      <w:r>
        <w:rPr>
          <w:rFonts w:ascii="Calibri" w:eastAsia="Calibri" w:hAnsi="Calibri" w:cs="Times New Roman"/>
        </w:rPr>
        <w:t xml:space="preserve">be </w:t>
      </w:r>
      <w:r w:rsidR="008F256B">
        <w:rPr>
          <w:rFonts w:ascii="Calibri" w:eastAsia="Calibri" w:hAnsi="Calibri" w:cs="Times New Roman"/>
        </w:rPr>
        <w:t>present</w:t>
      </w:r>
      <w:r>
        <w:rPr>
          <w:rFonts w:ascii="Calibri" w:eastAsia="Calibri" w:hAnsi="Calibri" w:cs="Times New Roman"/>
        </w:rPr>
        <w:t>ed</w:t>
      </w:r>
      <w:r w:rsidR="008F256B">
        <w:rPr>
          <w:rFonts w:ascii="Calibri" w:eastAsia="Calibri" w:hAnsi="Calibri" w:cs="Times New Roman"/>
        </w:rPr>
        <w:t xml:space="preserve"> </w:t>
      </w:r>
      <w:r w:rsidR="008F256B" w:rsidRPr="008F256B">
        <w:rPr>
          <w:rFonts w:ascii="Calibri" w:eastAsia="Calibri" w:hAnsi="Calibri" w:cs="Times New Roman"/>
        </w:rPr>
        <w:t xml:space="preserve">in future papers. </w:t>
      </w:r>
    </w:p>
    <w:p w14:paraId="0241DC4E" w14:textId="58A89FC5" w:rsidR="00BC5278" w:rsidRPr="00C9271D" w:rsidRDefault="006D5DC9" w:rsidP="007A32FD">
      <w:pPr>
        <w:keepNext/>
        <w:spacing w:line="480" w:lineRule="auto"/>
        <w:jc w:val="both"/>
        <w:rPr>
          <w:b/>
        </w:rPr>
      </w:pPr>
      <w:r w:rsidRPr="00C9271D">
        <w:rPr>
          <w:b/>
        </w:rPr>
        <w:t>Results</w:t>
      </w:r>
    </w:p>
    <w:p w14:paraId="58064000" w14:textId="1EFBFE14" w:rsidR="00F35104" w:rsidRDefault="008244D3" w:rsidP="00980A3F">
      <w:pPr>
        <w:spacing w:line="480" w:lineRule="auto"/>
        <w:jc w:val="both"/>
      </w:pPr>
      <w:r>
        <w:rPr>
          <w:rFonts w:ascii="Calibri" w:eastAsia="Calibri" w:hAnsi="Calibri" w:cs="Times New Roman"/>
        </w:rPr>
        <w:t>O</w:t>
      </w:r>
      <w:r w:rsidR="00F35104" w:rsidRPr="006A7B2B">
        <w:rPr>
          <w:rFonts w:ascii="Calibri" w:eastAsia="Calibri" w:hAnsi="Calibri" w:cs="Times New Roman"/>
        </w:rPr>
        <w:t>f ~27</w:t>
      </w:r>
      <w:r w:rsidR="00C9271D">
        <w:rPr>
          <w:rFonts w:ascii="Calibri" w:eastAsia="Calibri" w:hAnsi="Calibri" w:cs="Times New Roman"/>
        </w:rPr>
        <w:t xml:space="preserve"> million</w:t>
      </w:r>
      <w:r w:rsidR="00F35104" w:rsidRPr="006A7B2B">
        <w:rPr>
          <w:rFonts w:ascii="Calibri" w:eastAsia="Calibri" w:hAnsi="Calibri" w:cs="Times New Roman"/>
        </w:rPr>
        <w:t xml:space="preserve"> purchases</w:t>
      </w:r>
      <w:r w:rsidR="00F35104">
        <w:rPr>
          <w:rFonts w:ascii="Calibri" w:eastAsia="Calibri" w:hAnsi="Calibri" w:cs="Times New Roman"/>
        </w:rPr>
        <w:t xml:space="preserve"> in the drinks, </w:t>
      </w:r>
      <w:r w:rsidR="0066468E">
        <w:rPr>
          <w:rFonts w:ascii="Calibri" w:eastAsia="Calibri" w:hAnsi="Calibri" w:cs="Times New Roman"/>
        </w:rPr>
        <w:t>confectionery</w:t>
      </w:r>
      <w:r w:rsidR="00F35104">
        <w:rPr>
          <w:rFonts w:ascii="Calibri" w:eastAsia="Calibri" w:hAnsi="Calibri" w:cs="Times New Roman"/>
        </w:rPr>
        <w:t xml:space="preserve"> and toiletries categories</w:t>
      </w:r>
      <w:r w:rsidR="00C9271D">
        <w:rPr>
          <w:rFonts w:ascii="Calibri" w:eastAsia="Calibri" w:hAnsi="Calibri" w:cs="Times New Roman"/>
        </w:rPr>
        <w:t xml:space="preserve"> over 212 weeks</w:t>
      </w:r>
      <w:r w:rsidR="00F35104" w:rsidRPr="006A7B2B">
        <w:rPr>
          <w:rFonts w:ascii="Calibri" w:eastAsia="Calibri" w:hAnsi="Calibri" w:cs="Times New Roman"/>
        </w:rPr>
        <w:t xml:space="preserve">, </w:t>
      </w:r>
      <w:r w:rsidR="0013093E">
        <w:rPr>
          <w:rFonts w:ascii="Calibri" w:eastAsia="Calibri" w:hAnsi="Calibri" w:cs="Times New Roman"/>
        </w:rPr>
        <w:t>7</w:t>
      </w:r>
      <w:r w:rsidR="00F35104" w:rsidRPr="006A7B2B">
        <w:rPr>
          <w:rFonts w:ascii="Calibri" w:eastAsia="Calibri" w:hAnsi="Calibri" w:cs="Times New Roman"/>
        </w:rPr>
        <w:t xml:space="preserve">% </w:t>
      </w:r>
      <w:r w:rsidR="008F256B">
        <w:rPr>
          <w:rFonts w:ascii="Calibri" w:eastAsia="Calibri" w:hAnsi="Calibri" w:cs="Times New Roman"/>
        </w:rPr>
        <w:t xml:space="preserve">were for non-alcoholic drinks with </w:t>
      </w:r>
      <w:r w:rsidR="00F35104">
        <w:rPr>
          <w:rFonts w:ascii="Calibri" w:eastAsia="Calibri" w:hAnsi="Calibri" w:cs="Times New Roman"/>
        </w:rPr>
        <w:t xml:space="preserve">only imputed sugar </w:t>
      </w:r>
      <w:r w:rsidR="00F35104" w:rsidRPr="006A7B2B">
        <w:rPr>
          <w:rFonts w:ascii="Calibri" w:eastAsia="Calibri" w:hAnsi="Calibri" w:cs="Times New Roman"/>
        </w:rPr>
        <w:t>values</w:t>
      </w:r>
      <w:r w:rsidR="00F35104">
        <w:rPr>
          <w:rFonts w:ascii="Calibri" w:eastAsia="Calibri" w:hAnsi="Calibri" w:cs="Times New Roman"/>
        </w:rPr>
        <w:t xml:space="preserve"> and were excluded</w:t>
      </w:r>
      <w:r w:rsidR="00486072">
        <w:rPr>
          <w:rFonts w:ascii="Calibri" w:eastAsia="Calibri" w:hAnsi="Calibri" w:cs="Times New Roman"/>
        </w:rPr>
        <w:t xml:space="preserve"> from the analyses</w:t>
      </w:r>
      <w:r w:rsidR="00F35104" w:rsidRPr="006A7B2B">
        <w:rPr>
          <w:rFonts w:ascii="Calibri" w:eastAsia="Calibri" w:hAnsi="Calibri" w:cs="Times New Roman"/>
        </w:rPr>
        <w:t xml:space="preserve">. A further </w:t>
      </w:r>
      <w:r w:rsidR="0013093E">
        <w:rPr>
          <w:rFonts w:ascii="Calibri" w:eastAsia="Calibri" w:hAnsi="Calibri" w:cs="Times New Roman"/>
        </w:rPr>
        <w:t>0.5</w:t>
      </w:r>
      <w:r w:rsidR="00F35104" w:rsidRPr="006A7B2B">
        <w:rPr>
          <w:rFonts w:ascii="Calibri" w:eastAsia="Calibri" w:hAnsi="Calibri" w:cs="Times New Roman"/>
        </w:rPr>
        <w:t xml:space="preserve">% contained a mix of imputed and </w:t>
      </w:r>
      <w:r w:rsidR="00F35104">
        <w:rPr>
          <w:rFonts w:ascii="Calibri" w:eastAsia="Calibri" w:hAnsi="Calibri" w:cs="Times New Roman"/>
        </w:rPr>
        <w:t xml:space="preserve">observed </w:t>
      </w:r>
      <w:r w:rsidR="00F35104" w:rsidRPr="006A7B2B">
        <w:rPr>
          <w:rFonts w:ascii="Calibri" w:eastAsia="Calibri" w:hAnsi="Calibri" w:cs="Times New Roman"/>
        </w:rPr>
        <w:t>values</w:t>
      </w:r>
      <w:r w:rsidR="00227FCA">
        <w:rPr>
          <w:rFonts w:ascii="Calibri" w:eastAsia="Calibri" w:hAnsi="Calibri" w:cs="Times New Roman"/>
        </w:rPr>
        <w:t xml:space="preserve"> and were retained with last observed values carried forward</w:t>
      </w:r>
      <w:r w:rsidR="00F35104" w:rsidRPr="006A7B2B">
        <w:rPr>
          <w:rFonts w:ascii="Calibri" w:eastAsia="Calibri" w:hAnsi="Calibri" w:cs="Times New Roman"/>
        </w:rPr>
        <w:t xml:space="preserve">. </w:t>
      </w:r>
    </w:p>
    <w:p w14:paraId="65ED3119" w14:textId="38913F68" w:rsidR="00486072" w:rsidRDefault="00486072" w:rsidP="00486072">
      <w:pPr>
        <w:spacing w:line="480" w:lineRule="auto"/>
        <w:jc w:val="both"/>
        <w:rPr>
          <w:rFonts w:ascii="Calibri" w:eastAsia="Calibri" w:hAnsi="Calibri" w:cs="Times New Roman"/>
        </w:rPr>
      </w:pPr>
      <w:r>
        <w:rPr>
          <w:rFonts w:ascii="Calibri" w:eastAsia="Calibri" w:hAnsi="Calibri" w:cs="Times New Roman"/>
        </w:rPr>
        <w:t>A</w:t>
      </w:r>
      <w:r w:rsidR="00D56DE1">
        <w:rPr>
          <w:rFonts w:ascii="Calibri" w:eastAsia="Calibri" w:hAnsi="Calibri" w:cs="Times New Roman"/>
        </w:rPr>
        <w:t>n average of 22</w:t>
      </w:r>
      <w:r w:rsidR="008F256B">
        <w:rPr>
          <w:rFonts w:ascii="Calibri" w:eastAsia="Calibri" w:hAnsi="Calibri" w:cs="Times New Roman"/>
        </w:rPr>
        <w:t>,</w:t>
      </w:r>
      <w:r w:rsidR="00D56DE1">
        <w:rPr>
          <w:rFonts w:ascii="Calibri" w:eastAsia="Calibri" w:hAnsi="Calibri" w:cs="Times New Roman"/>
        </w:rPr>
        <w:t>265</w:t>
      </w:r>
      <w:r w:rsidR="007455C5">
        <w:rPr>
          <w:rFonts w:ascii="Calibri" w:eastAsia="Calibri" w:hAnsi="Calibri" w:cs="Times New Roman"/>
        </w:rPr>
        <w:t xml:space="preserve"> households reported</w:t>
      </w:r>
      <w:r w:rsidR="008F256B" w:rsidRPr="006A7B2B">
        <w:rPr>
          <w:rFonts w:ascii="Calibri" w:eastAsia="Calibri" w:hAnsi="Calibri" w:cs="Times New Roman"/>
        </w:rPr>
        <w:t xml:space="preserve"> purchases</w:t>
      </w:r>
      <w:r w:rsidR="008F256B">
        <w:rPr>
          <w:rFonts w:ascii="Calibri" w:eastAsia="Calibri" w:hAnsi="Calibri" w:cs="Times New Roman"/>
        </w:rPr>
        <w:t xml:space="preserve"> in included categories</w:t>
      </w:r>
      <w:r w:rsidR="008F256B" w:rsidRPr="006A7B2B">
        <w:rPr>
          <w:rFonts w:ascii="Calibri" w:eastAsia="Calibri" w:hAnsi="Calibri" w:cs="Times New Roman"/>
        </w:rPr>
        <w:t xml:space="preserve"> each week</w:t>
      </w:r>
      <w:r>
        <w:rPr>
          <w:rFonts w:ascii="Calibri" w:eastAsia="Calibri" w:hAnsi="Calibri" w:cs="Times New Roman"/>
        </w:rPr>
        <w:t xml:space="preserve">. The characteristics of included </w:t>
      </w:r>
      <w:r w:rsidR="00F5367F" w:rsidRPr="00493DEF">
        <w:rPr>
          <w:rFonts w:ascii="Calibri" w:eastAsia="Calibri" w:hAnsi="Calibri" w:cs="Times New Roman"/>
        </w:rPr>
        <w:t>households</w:t>
      </w:r>
      <w:r w:rsidR="005266B7">
        <w:rPr>
          <w:rFonts w:ascii="Calibri" w:eastAsia="Calibri" w:hAnsi="Calibri" w:cs="Times New Roman"/>
        </w:rPr>
        <w:t>, including household size,</w:t>
      </w:r>
      <w:r w:rsidR="00F5367F" w:rsidRPr="00493DEF">
        <w:rPr>
          <w:rFonts w:ascii="Calibri" w:eastAsia="Calibri" w:hAnsi="Calibri" w:cs="Times New Roman"/>
        </w:rPr>
        <w:t xml:space="preserve"> </w:t>
      </w:r>
      <w:r w:rsidR="00567659" w:rsidRPr="00567659">
        <w:rPr>
          <w:rFonts w:ascii="Calibri" w:eastAsia="Calibri" w:hAnsi="Calibri" w:cs="Times New Roman"/>
        </w:rPr>
        <w:t xml:space="preserve">remained consistent </w:t>
      </w:r>
      <w:r w:rsidR="00CC558A" w:rsidRPr="00493DEF">
        <w:rPr>
          <w:rFonts w:ascii="Calibri" w:eastAsia="Calibri" w:hAnsi="Calibri" w:cs="Times New Roman"/>
        </w:rPr>
        <w:t xml:space="preserve">over the study period. </w:t>
      </w:r>
      <w:r w:rsidR="007455C5">
        <w:rPr>
          <w:rFonts w:ascii="Calibri" w:eastAsia="Calibri" w:hAnsi="Calibri" w:cs="Times New Roman"/>
        </w:rPr>
        <w:t>M</w:t>
      </w:r>
      <w:r w:rsidR="003167F0" w:rsidRPr="00493DEF">
        <w:rPr>
          <w:rFonts w:ascii="Calibri" w:eastAsia="Calibri" w:hAnsi="Calibri" w:cs="Times New Roman"/>
        </w:rPr>
        <w:t xml:space="preserve">ost panel households did not </w:t>
      </w:r>
      <w:r w:rsidR="003167F0" w:rsidRPr="00705A17">
        <w:rPr>
          <w:rFonts w:ascii="Calibri" w:eastAsia="Calibri" w:hAnsi="Calibri" w:cs="Times New Roman"/>
        </w:rPr>
        <w:t>include</w:t>
      </w:r>
      <w:r w:rsidR="003167F0" w:rsidRPr="00493DEF">
        <w:rPr>
          <w:rFonts w:ascii="Calibri" w:eastAsia="Calibri" w:hAnsi="Calibri" w:cs="Times New Roman"/>
        </w:rPr>
        <w:t xml:space="preserve"> children, were in </w:t>
      </w:r>
      <w:r w:rsidR="007B3E37">
        <w:rPr>
          <w:rFonts w:ascii="Calibri" w:eastAsia="Calibri" w:hAnsi="Calibri" w:cs="Times New Roman"/>
        </w:rPr>
        <w:t>managerial occupations (</w:t>
      </w:r>
      <w:r w:rsidR="003167F0" w:rsidRPr="00493DEF">
        <w:rPr>
          <w:rFonts w:ascii="Calibri" w:eastAsia="Calibri" w:hAnsi="Calibri" w:cs="Times New Roman"/>
        </w:rPr>
        <w:t xml:space="preserve">social </w:t>
      </w:r>
      <w:r w:rsidR="007B3E37">
        <w:rPr>
          <w:rFonts w:ascii="Calibri" w:eastAsia="Calibri" w:hAnsi="Calibri" w:cs="Times New Roman"/>
        </w:rPr>
        <w:t>grades</w:t>
      </w:r>
      <w:r w:rsidR="007B3E37" w:rsidRPr="00493DEF">
        <w:rPr>
          <w:rFonts w:ascii="Calibri" w:eastAsia="Calibri" w:hAnsi="Calibri" w:cs="Times New Roman"/>
        </w:rPr>
        <w:t xml:space="preserve"> </w:t>
      </w:r>
      <w:r w:rsidR="003167F0" w:rsidRPr="00493DEF">
        <w:rPr>
          <w:rFonts w:ascii="Calibri" w:eastAsia="Calibri" w:hAnsi="Calibri" w:cs="Times New Roman"/>
        </w:rPr>
        <w:t>AB or C1</w:t>
      </w:r>
      <w:r w:rsidR="007B3E37">
        <w:rPr>
          <w:rFonts w:ascii="Calibri" w:eastAsia="Calibri" w:hAnsi="Calibri" w:cs="Times New Roman"/>
        </w:rPr>
        <w:t>)</w:t>
      </w:r>
      <w:r w:rsidR="003167F0" w:rsidRPr="00493DEF">
        <w:rPr>
          <w:rFonts w:ascii="Calibri" w:eastAsia="Calibri" w:hAnsi="Calibri" w:cs="Times New Roman"/>
        </w:rPr>
        <w:t>, and earned less</w:t>
      </w:r>
      <w:r w:rsidR="00B33764" w:rsidRPr="00493DEF">
        <w:rPr>
          <w:rFonts w:ascii="Calibri" w:eastAsia="Calibri" w:hAnsi="Calibri" w:cs="Times New Roman"/>
        </w:rPr>
        <w:t xml:space="preserve"> than</w:t>
      </w:r>
      <w:r w:rsidR="003167F0" w:rsidRPr="00493DEF">
        <w:rPr>
          <w:rFonts w:ascii="Calibri" w:eastAsia="Calibri" w:hAnsi="Calibri" w:cs="Times New Roman"/>
        </w:rPr>
        <w:t xml:space="preserve"> £40,000 p</w:t>
      </w:r>
      <w:r w:rsidR="00227FCA">
        <w:rPr>
          <w:rFonts w:ascii="Calibri" w:eastAsia="Calibri" w:hAnsi="Calibri" w:cs="Times New Roman"/>
        </w:rPr>
        <w:t xml:space="preserve">er </w:t>
      </w:r>
      <w:r w:rsidR="003167F0" w:rsidRPr="00493DEF">
        <w:rPr>
          <w:rFonts w:ascii="Calibri" w:eastAsia="Calibri" w:hAnsi="Calibri" w:cs="Times New Roman"/>
        </w:rPr>
        <w:t>a</w:t>
      </w:r>
      <w:r w:rsidR="00227FCA">
        <w:rPr>
          <w:rFonts w:ascii="Calibri" w:eastAsia="Calibri" w:hAnsi="Calibri" w:cs="Times New Roman"/>
        </w:rPr>
        <w:t>nnum</w:t>
      </w:r>
      <w:r w:rsidR="003167F0" w:rsidRPr="00493DEF">
        <w:rPr>
          <w:rFonts w:ascii="Calibri" w:eastAsia="Calibri" w:hAnsi="Calibri" w:cs="Times New Roman"/>
        </w:rPr>
        <w:t xml:space="preserve">. Less than a third of </w:t>
      </w:r>
      <w:r w:rsidR="009B4880" w:rsidRPr="00493DEF">
        <w:rPr>
          <w:rFonts w:ascii="Calibri" w:eastAsia="Calibri" w:hAnsi="Calibri" w:cs="Times New Roman"/>
        </w:rPr>
        <w:t xml:space="preserve">chief income earners in included </w:t>
      </w:r>
      <w:r w:rsidR="003167F0" w:rsidRPr="00493DEF">
        <w:rPr>
          <w:rFonts w:ascii="Calibri" w:eastAsia="Calibri" w:hAnsi="Calibri" w:cs="Times New Roman"/>
        </w:rPr>
        <w:t xml:space="preserve">households had a degree-level education. </w:t>
      </w:r>
      <w:r w:rsidR="008461E2" w:rsidRPr="00493DEF">
        <w:rPr>
          <w:rFonts w:ascii="Calibri" w:eastAsia="Calibri" w:hAnsi="Calibri" w:cs="Times New Roman"/>
        </w:rPr>
        <w:t xml:space="preserve">The </w:t>
      </w:r>
      <w:r>
        <w:rPr>
          <w:rFonts w:ascii="Calibri" w:eastAsia="Calibri" w:hAnsi="Calibri" w:cs="Times New Roman"/>
        </w:rPr>
        <w:t xml:space="preserve">characteristics of included households, </w:t>
      </w:r>
      <w:r w:rsidRPr="00C57E3C">
        <w:rPr>
          <w:rFonts w:ascii="Calibri" w:hAnsi="Calibri"/>
        </w:rPr>
        <w:t xml:space="preserve">after weighting, largely reflected </w:t>
      </w:r>
      <w:r w:rsidR="003167F0" w:rsidRPr="00C57E3C">
        <w:rPr>
          <w:rFonts w:ascii="Calibri" w:hAnsi="Calibri"/>
        </w:rPr>
        <w:t xml:space="preserve">UK </w:t>
      </w:r>
      <w:r w:rsidRPr="00C57E3C">
        <w:rPr>
          <w:rFonts w:ascii="Calibri" w:hAnsi="Calibri"/>
        </w:rPr>
        <w:t xml:space="preserve">households </w:t>
      </w:r>
      <w:r w:rsidR="008461E2" w:rsidRPr="00C57E3C">
        <w:rPr>
          <w:rFonts w:ascii="Calibri" w:hAnsi="Calibri"/>
        </w:rPr>
        <w:t>as a whole</w:t>
      </w:r>
      <w:r w:rsidRPr="00C57E3C">
        <w:rPr>
          <w:rFonts w:ascii="Calibri" w:hAnsi="Calibri"/>
        </w:rPr>
        <w:t xml:space="preserve"> in 2014-18 (see </w:t>
      </w:r>
      <w:r w:rsidR="00BF707D">
        <w:rPr>
          <w:rFonts w:ascii="Calibri" w:hAnsi="Calibri"/>
        </w:rPr>
        <w:t>S1 Text</w:t>
      </w:r>
      <w:r w:rsidRPr="00C57E3C">
        <w:rPr>
          <w:rFonts w:ascii="Calibri" w:hAnsi="Calibri"/>
        </w:rPr>
        <w:t>)</w:t>
      </w:r>
      <w:r w:rsidR="00784B22" w:rsidRPr="00C57E3C">
        <w:rPr>
          <w:rFonts w:ascii="Calibri" w:hAnsi="Calibri"/>
        </w:rPr>
        <w:t xml:space="preserve"> </w:t>
      </w:r>
      <w:r w:rsidR="009C702C" w:rsidRPr="00C57E3C">
        <w:rPr>
          <w:rFonts w:ascii="Calibri" w:hAnsi="Calibri"/>
        </w:rPr>
        <w:fldChar w:fldCharType="begin"/>
      </w:r>
      <w:r w:rsidR="006C4B25">
        <w:rPr>
          <w:rFonts w:ascii="Calibri" w:hAnsi="Calibri"/>
        </w:rPr>
        <w:instrText xml:space="preserve"> ADDIN ZOTERO_ITEM CSL_CITATION {"citationID":"wKbUnAf1","properties":{"formattedCitation":"[40]\\uc0\\u8211{}[43]","plainCitation":"[40]–[43]","dontUpdate":true,"noteIndex":0},"citationItems":[{"id":788,"uris":["http://zotero.org/users/1356132/items/A8LTGSFW"],"uri":["http://zotero.org/users/1356132/items/A8LTGSFW"],"itemData":{"id":788,"type":"webpage","title":"Families and households - Office for National Statistics","URL":"https://www.ons.gov.uk/peoplepopulationandcommunity/birthsdeathsandmarriages/families/datasets/familiesandhouseholdsfamiliesandhouseholds","accessed":{"date-parts":[["2019",3,25]]}}},{"id":787,"uris":["http://zotero.org/users/1356132/items/X42CSX5S"],"uri":["http://zotero.org/users/1356132/items/X42CSX5S"],"itemData":{"id":787,"type":"webpage","title":"The effects of taxes and benefits on household income, disposable income estimate: 2018 - Office for National Statistics","URL":"https://www.ons.gov.uk/peoplepopulationandcommunity/personalandhouseholdfinances/incomeandwealth/datasets/householddisposableincomeandinequality","accessed":{"date-parts":[["2019",3,25]]}}},{"id":786,"uris":["http://zotero.org/users/1356132/items/ZI9CYUHK"],"uri":["http://zotero.org/users/1356132/items/ZI9CYUHK"],"itemData":{"id":786,"type":"webpage","abstract":"Reports to inform understanding of qualifications in the population based on the labour force survey.","container-title":"GOV.UK","language":"en","title":"Qualifications in the population","URL":"https://www.gov.uk/government/statistical-data-sets/fe-data-library-qualifications-in-the-population-based-on-the-labour-force-survey","accessed":{"date-parts":[["2019",3,25]]}}},{"id":80,"uris":["http://zotero.org/users/1356132/items/VXEGMMUH"],"uri":["http://zotero.org/users/1356132/items/VXEGMMUH"],"itemData":{"id":80,"type":"webpage","language":"en-US","title":"Social Grade","URL":"http://www.nrs.co.uk/nrs-print/lifestyle-and-classification-data/social-grade/","author":[{"literal":"National Readership Survey"}],"accessed":{"date-parts":[["2019",5,21]]}}}],"schema":"https://github.com/citation-style-language/schema/raw/master/csl-citation.json"} </w:instrText>
      </w:r>
      <w:r w:rsidR="009C702C" w:rsidRPr="00C57E3C">
        <w:rPr>
          <w:rFonts w:ascii="Calibri" w:hAnsi="Calibri"/>
        </w:rPr>
        <w:fldChar w:fldCharType="separate"/>
      </w:r>
      <w:r w:rsidR="00CF0A03" w:rsidRPr="00C57E3C">
        <w:rPr>
          <w:rFonts w:ascii="Calibri" w:hAnsi="Calibri" w:cs="Calibri"/>
          <w:szCs w:val="24"/>
        </w:rPr>
        <w:t>[40–43]</w:t>
      </w:r>
      <w:r w:rsidR="009C702C" w:rsidRPr="00C57E3C">
        <w:rPr>
          <w:rFonts w:ascii="Calibri" w:hAnsi="Calibri"/>
        </w:rPr>
        <w:fldChar w:fldCharType="end"/>
      </w:r>
      <w:r w:rsidR="00784B22">
        <w:rPr>
          <w:rFonts w:ascii="Calibri" w:eastAsia="Calibri" w:hAnsi="Calibri" w:cs="Times New Roman"/>
        </w:rPr>
        <w:t>.</w:t>
      </w:r>
      <w:r w:rsidR="00567659">
        <w:rPr>
          <w:rFonts w:ascii="Calibri" w:eastAsia="Calibri" w:hAnsi="Calibri" w:cs="Times New Roman"/>
        </w:rPr>
        <w:t xml:space="preserve"> </w:t>
      </w:r>
    </w:p>
    <w:p w14:paraId="2927D0B0" w14:textId="2D44B346" w:rsidR="002C7A29" w:rsidRDefault="00567659" w:rsidP="00486072">
      <w:pPr>
        <w:spacing w:line="480" w:lineRule="auto"/>
        <w:jc w:val="both"/>
        <w:rPr>
          <w:rFonts w:ascii="Calibri" w:eastAsia="Calibri" w:hAnsi="Calibri" w:cs="Times New Roman"/>
        </w:rPr>
      </w:pPr>
      <w:r>
        <w:rPr>
          <w:rFonts w:ascii="Calibri" w:eastAsia="Calibri" w:hAnsi="Calibri" w:cs="Times New Roman"/>
        </w:rPr>
        <w:t>Table 1</w:t>
      </w:r>
      <w:r w:rsidR="009718C4" w:rsidRPr="006A7B2B">
        <w:rPr>
          <w:rFonts w:ascii="Calibri" w:eastAsia="Calibri" w:hAnsi="Calibri" w:cs="Times New Roman"/>
        </w:rPr>
        <w:t xml:space="preserve"> </w:t>
      </w:r>
      <w:r w:rsidR="00BC0320">
        <w:rPr>
          <w:rFonts w:ascii="Calibri" w:eastAsia="Calibri" w:hAnsi="Calibri" w:cs="Times New Roman"/>
        </w:rPr>
        <w:t xml:space="preserve">presents the </w:t>
      </w:r>
      <w:r w:rsidR="00486072">
        <w:rPr>
          <w:rFonts w:ascii="Calibri" w:eastAsia="Calibri" w:hAnsi="Calibri" w:cs="Times New Roman"/>
        </w:rPr>
        <w:t>unadjusted</w:t>
      </w:r>
      <w:r w:rsidR="008461E2">
        <w:rPr>
          <w:rFonts w:ascii="Calibri" w:eastAsia="Calibri" w:hAnsi="Calibri" w:cs="Times New Roman"/>
        </w:rPr>
        <w:t xml:space="preserve"> </w:t>
      </w:r>
      <w:r w:rsidR="00A23BFC">
        <w:rPr>
          <w:rFonts w:ascii="Calibri" w:eastAsia="Calibri" w:hAnsi="Calibri" w:cs="Times New Roman"/>
        </w:rPr>
        <w:t xml:space="preserve">mean purchases of </w:t>
      </w:r>
      <w:r w:rsidR="00BC0320">
        <w:rPr>
          <w:rFonts w:ascii="Calibri" w:eastAsia="Calibri" w:hAnsi="Calibri" w:cs="Times New Roman"/>
        </w:rPr>
        <w:t>drinks</w:t>
      </w:r>
      <w:r w:rsidR="00A23BFC">
        <w:rPr>
          <w:rFonts w:ascii="Calibri" w:eastAsia="Calibri" w:hAnsi="Calibri" w:cs="Times New Roman"/>
        </w:rPr>
        <w:t xml:space="preserve"> in each category, confectionary and toiletries</w:t>
      </w:r>
      <w:r w:rsidR="001F1E9A">
        <w:rPr>
          <w:rFonts w:ascii="Calibri" w:eastAsia="Calibri" w:hAnsi="Calibri" w:cs="Times New Roman"/>
        </w:rPr>
        <w:t xml:space="preserve"> per </w:t>
      </w:r>
      <w:r w:rsidR="00A23BFC">
        <w:rPr>
          <w:rFonts w:ascii="Calibri" w:eastAsia="Calibri" w:hAnsi="Calibri" w:cs="Times New Roman"/>
        </w:rPr>
        <w:t>household</w:t>
      </w:r>
      <w:r w:rsidR="001F1E9A">
        <w:rPr>
          <w:rFonts w:ascii="Calibri" w:eastAsia="Calibri" w:hAnsi="Calibri" w:cs="Times New Roman"/>
        </w:rPr>
        <w:t xml:space="preserve"> per </w:t>
      </w:r>
      <w:r w:rsidR="00A23BFC">
        <w:rPr>
          <w:rFonts w:ascii="Calibri" w:eastAsia="Calibri" w:hAnsi="Calibri" w:cs="Times New Roman"/>
        </w:rPr>
        <w:t>week pre- and post-</w:t>
      </w:r>
      <w:r w:rsidR="00BC0320">
        <w:rPr>
          <w:rFonts w:ascii="Calibri" w:eastAsia="Calibri" w:hAnsi="Calibri" w:cs="Times New Roman"/>
        </w:rPr>
        <w:t>announcement. O</w:t>
      </w:r>
      <w:r w:rsidR="009C1672">
        <w:rPr>
          <w:rFonts w:ascii="Calibri" w:eastAsia="Calibri" w:hAnsi="Calibri" w:cs="Times New Roman"/>
        </w:rPr>
        <w:t xml:space="preserve">verall, </w:t>
      </w:r>
      <w:r w:rsidR="009718C4" w:rsidRPr="006A7B2B">
        <w:rPr>
          <w:rFonts w:ascii="Calibri" w:eastAsia="Calibri" w:hAnsi="Calibri" w:cs="Times New Roman"/>
        </w:rPr>
        <w:t xml:space="preserve">mean </w:t>
      </w:r>
      <w:r w:rsidR="00683A7B">
        <w:rPr>
          <w:rFonts w:ascii="Calibri" w:eastAsia="Calibri" w:hAnsi="Calibri" w:cs="Times New Roman"/>
        </w:rPr>
        <w:t>volume</w:t>
      </w:r>
      <w:r w:rsidR="009718C4" w:rsidRPr="006A7B2B">
        <w:rPr>
          <w:rFonts w:ascii="Calibri" w:eastAsia="Calibri" w:hAnsi="Calibri" w:cs="Times New Roman"/>
        </w:rPr>
        <w:t xml:space="preserve"> of </w:t>
      </w:r>
      <w:r w:rsidR="00683A7B" w:rsidRPr="00683A7B">
        <w:rPr>
          <w:rFonts w:ascii="Calibri" w:eastAsia="Calibri" w:hAnsi="Calibri" w:cs="Times New Roman"/>
        </w:rPr>
        <w:t xml:space="preserve">levy liable </w:t>
      </w:r>
      <w:r w:rsidR="009718C4" w:rsidRPr="006A7B2B">
        <w:rPr>
          <w:rFonts w:ascii="Calibri" w:eastAsia="Calibri" w:hAnsi="Calibri" w:cs="Times New Roman"/>
        </w:rPr>
        <w:t xml:space="preserve">drinks </w:t>
      </w:r>
      <w:r w:rsidR="00A23BFC">
        <w:rPr>
          <w:rFonts w:ascii="Calibri" w:eastAsia="Calibri" w:hAnsi="Calibri" w:cs="Times New Roman"/>
        </w:rPr>
        <w:t>purchased</w:t>
      </w:r>
      <w:r w:rsidR="001F1E9A">
        <w:rPr>
          <w:rFonts w:ascii="Calibri" w:eastAsia="Calibri" w:hAnsi="Calibri" w:cs="Times New Roman"/>
        </w:rPr>
        <w:t xml:space="preserve"> per </w:t>
      </w:r>
      <w:r w:rsidR="00A23BFC">
        <w:rPr>
          <w:rFonts w:ascii="Calibri" w:eastAsia="Calibri" w:hAnsi="Calibri" w:cs="Times New Roman"/>
        </w:rPr>
        <w:t>household</w:t>
      </w:r>
      <w:r w:rsidR="001F1E9A">
        <w:rPr>
          <w:rFonts w:ascii="Calibri" w:eastAsia="Calibri" w:hAnsi="Calibri" w:cs="Times New Roman"/>
        </w:rPr>
        <w:t xml:space="preserve"> per </w:t>
      </w:r>
      <w:r w:rsidR="00A23BFC">
        <w:rPr>
          <w:rFonts w:ascii="Calibri" w:eastAsia="Calibri" w:hAnsi="Calibri" w:cs="Times New Roman"/>
        </w:rPr>
        <w:t xml:space="preserve">week was </w:t>
      </w:r>
      <w:r w:rsidR="009718C4" w:rsidRPr="006A7B2B">
        <w:rPr>
          <w:rFonts w:ascii="Calibri" w:eastAsia="Calibri" w:hAnsi="Calibri" w:cs="Times New Roman"/>
        </w:rPr>
        <w:t>2</w:t>
      </w:r>
      <w:r w:rsidR="006A7729">
        <w:rPr>
          <w:rFonts w:ascii="Calibri" w:eastAsia="Calibri" w:hAnsi="Calibri" w:cs="Times New Roman"/>
        </w:rPr>
        <w:t>8</w:t>
      </w:r>
      <w:r w:rsidR="00431ACD">
        <w:rPr>
          <w:rFonts w:ascii="Calibri" w:eastAsia="Calibri" w:hAnsi="Calibri" w:cs="Times New Roman"/>
        </w:rPr>
        <w:t>4</w:t>
      </w:r>
      <w:r w:rsidR="009718C4" w:rsidRPr="006A7B2B">
        <w:rPr>
          <w:rFonts w:ascii="Calibri" w:eastAsia="Calibri" w:hAnsi="Calibri" w:cs="Times New Roman"/>
        </w:rPr>
        <w:t xml:space="preserve">ml </w:t>
      </w:r>
      <w:r w:rsidR="00A23BFC">
        <w:rPr>
          <w:rFonts w:ascii="Calibri" w:eastAsia="Calibri" w:hAnsi="Calibri" w:cs="Times New Roman"/>
        </w:rPr>
        <w:t xml:space="preserve">lower </w:t>
      </w:r>
      <w:r w:rsidR="007455C5">
        <w:rPr>
          <w:rFonts w:ascii="Calibri" w:eastAsia="Calibri" w:hAnsi="Calibri" w:cs="Times New Roman"/>
        </w:rPr>
        <w:t>in the post- versus pre</w:t>
      </w:r>
      <w:r w:rsidR="00A23BFC">
        <w:rPr>
          <w:rFonts w:ascii="Calibri" w:eastAsia="Calibri" w:hAnsi="Calibri" w:cs="Times New Roman"/>
        </w:rPr>
        <w:t>-</w:t>
      </w:r>
      <w:r w:rsidR="009718C4" w:rsidRPr="006A7B2B">
        <w:rPr>
          <w:rFonts w:ascii="Calibri" w:eastAsia="Calibri" w:hAnsi="Calibri" w:cs="Times New Roman"/>
        </w:rPr>
        <w:t xml:space="preserve">announcement </w:t>
      </w:r>
      <w:r w:rsidR="007455C5">
        <w:rPr>
          <w:rFonts w:ascii="Calibri" w:eastAsia="Calibri" w:hAnsi="Calibri" w:cs="Times New Roman"/>
        </w:rPr>
        <w:t xml:space="preserve">period, </w:t>
      </w:r>
      <w:r w:rsidR="009718C4" w:rsidRPr="006A7B2B">
        <w:rPr>
          <w:rFonts w:ascii="Calibri" w:eastAsia="Calibri" w:hAnsi="Calibri" w:cs="Times New Roman"/>
        </w:rPr>
        <w:t xml:space="preserve">with a corresponding </w:t>
      </w:r>
      <w:r w:rsidR="00431ACD">
        <w:rPr>
          <w:rFonts w:ascii="Calibri" w:eastAsia="Calibri" w:hAnsi="Calibri" w:cs="Times New Roman"/>
        </w:rPr>
        <w:t>30.4</w:t>
      </w:r>
      <w:r w:rsidR="009718C4" w:rsidRPr="006A7B2B">
        <w:rPr>
          <w:rFonts w:ascii="Calibri" w:eastAsia="Calibri" w:hAnsi="Calibri" w:cs="Times New Roman"/>
        </w:rPr>
        <w:t>g reduction in the amount of sugar purchased</w:t>
      </w:r>
      <w:r w:rsidR="003F15F6">
        <w:rPr>
          <w:rFonts w:ascii="Calibri" w:eastAsia="Calibri" w:hAnsi="Calibri" w:cs="Times New Roman"/>
        </w:rPr>
        <w:t xml:space="preserve"> per week</w:t>
      </w:r>
      <w:r w:rsidR="009718C4" w:rsidRPr="006A7B2B">
        <w:rPr>
          <w:rFonts w:ascii="Calibri" w:eastAsia="Calibri" w:hAnsi="Calibri" w:cs="Times New Roman"/>
        </w:rPr>
        <w:t>.</w:t>
      </w:r>
      <w:r w:rsidR="003167F0">
        <w:rPr>
          <w:rFonts w:ascii="Calibri" w:eastAsia="Calibri" w:hAnsi="Calibri" w:cs="Times New Roman"/>
        </w:rPr>
        <w:t xml:space="preserve"> This was primarily attributable to a reduction in purchasing of drinks in the </w:t>
      </w:r>
      <w:r w:rsidR="00CA79AB">
        <w:rPr>
          <w:rFonts w:ascii="Calibri" w:eastAsia="Calibri" w:hAnsi="Calibri" w:cs="Times New Roman"/>
        </w:rPr>
        <w:t>high</w:t>
      </w:r>
      <w:r w:rsidR="003F15F6">
        <w:rPr>
          <w:rFonts w:ascii="Calibri" w:eastAsia="Calibri" w:hAnsi="Calibri" w:cs="Times New Roman"/>
        </w:rPr>
        <w:t>er</w:t>
      </w:r>
      <w:r w:rsidR="00CA79AB">
        <w:rPr>
          <w:rFonts w:ascii="Calibri" w:eastAsia="Calibri" w:hAnsi="Calibri" w:cs="Times New Roman"/>
        </w:rPr>
        <w:t xml:space="preserve"> levy tier</w:t>
      </w:r>
      <w:r w:rsidR="003167F0">
        <w:rPr>
          <w:rFonts w:ascii="Calibri" w:eastAsia="Calibri" w:hAnsi="Calibri" w:cs="Times New Roman"/>
        </w:rPr>
        <w:t>.</w:t>
      </w:r>
      <w:r w:rsidR="00F36699">
        <w:rPr>
          <w:rFonts w:ascii="Calibri" w:eastAsia="Calibri" w:hAnsi="Calibri" w:cs="Times New Roman"/>
        </w:rPr>
        <w:t xml:space="preserve"> </w:t>
      </w:r>
    </w:p>
    <w:p w14:paraId="6A60A064" w14:textId="509E89F5" w:rsidR="009718C4" w:rsidRPr="006A7B2B" w:rsidRDefault="00567659" w:rsidP="007A32FD">
      <w:pPr>
        <w:keepNext/>
        <w:keepLines/>
        <w:spacing w:line="480" w:lineRule="auto"/>
        <w:jc w:val="both"/>
        <w:rPr>
          <w:rFonts w:ascii="Calibri" w:eastAsia="Calibri" w:hAnsi="Calibri" w:cs="Times New Roman"/>
        </w:rPr>
      </w:pPr>
      <w:r>
        <w:rPr>
          <w:rFonts w:ascii="Calibri" w:eastAsia="Calibri" w:hAnsi="Calibri" w:cs="Times New Roman"/>
        </w:rPr>
        <w:lastRenderedPageBreak/>
        <w:t>Table 1</w:t>
      </w:r>
      <w:r w:rsidR="009718C4" w:rsidRPr="006A7B2B">
        <w:rPr>
          <w:rFonts w:ascii="Calibri" w:eastAsia="Calibri" w:hAnsi="Calibri" w:cs="Times New Roman"/>
        </w:rPr>
        <w:t xml:space="preserve">. </w:t>
      </w:r>
      <w:r w:rsidR="003C0727">
        <w:rPr>
          <w:rFonts w:ascii="Calibri" w:eastAsia="Calibri" w:hAnsi="Calibri" w:cs="Times New Roman"/>
        </w:rPr>
        <w:t>Unadjusted m</w:t>
      </w:r>
      <w:r w:rsidR="009718C4" w:rsidRPr="006A7B2B">
        <w:rPr>
          <w:rFonts w:ascii="Calibri" w:eastAsia="Calibri" w:hAnsi="Calibri" w:cs="Times New Roman"/>
        </w:rPr>
        <w:t xml:space="preserve">ean (sd) volume of, and amount of sugar in, purchased drinks and </w:t>
      </w:r>
      <w:r w:rsidR="0066468E">
        <w:rPr>
          <w:rFonts w:ascii="Calibri" w:eastAsia="Calibri" w:hAnsi="Calibri" w:cs="Times New Roman"/>
        </w:rPr>
        <w:t>confectionery</w:t>
      </w:r>
      <w:r w:rsidR="009718C4" w:rsidRPr="006A7B2B">
        <w:rPr>
          <w:rFonts w:ascii="Calibri" w:eastAsia="Calibri" w:hAnsi="Calibri" w:cs="Times New Roman"/>
        </w:rPr>
        <w:t xml:space="preserve"> </w:t>
      </w:r>
      <w:r w:rsidR="008F0414">
        <w:rPr>
          <w:rFonts w:ascii="Calibri" w:eastAsia="Calibri" w:hAnsi="Calibri" w:cs="Times New Roman"/>
        </w:rPr>
        <w:t xml:space="preserve">per household per week </w:t>
      </w:r>
      <w:r w:rsidR="00451F7B">
        <w:rPr>
          <w:rFonts w:ascii="Calibri" w:eastAsia="Calibri" w:hAnsi="Calibri" w:cs="Times New Roman"/>
        </w:rPr>
        <w:t xml:space="preserve">pre- and post-announcement of the Soft Drinks Industry Levy, </w:t>
      </w:r>
      <w:r w:rsidR="001E46E0">
        <w:rPr>
          <w:rFonts w:ascii="Calibri" w:eastAsia="Calibri" w:hAnsi="Calibri" w:cs="Times New Roman"/>
        </w:rPr>
        <w:t>March</w:t>
      </w:r>
      <w:r w:rsidR="001E46E0" w:rsidRPr="006A7B2B">
        <w:rPr>
          <w:rFonts w:ascii="Calibri" w:eastAsia="Calibri" w:hAnsi="Calibri" w:cs="Times New Roman"/>
        </w:rPr>
        <w:t xml:space="preserve"> </w:t>
      </w:r>
      <w:r w:rsidR="009718C4" w:rsidRPr="006A7B2B">
        <w:rPr>
          <w:rFonts w:ascii="Calibri" w:eastAsia="Calibri" w:hAnsi="Calibri" w:cs="Times New Roman"/>
        </w:rPr>
        <w:t>2014 to March 2018</w:t>
      </w:r>
    </w:p>
    <w:tbl>
      <w:tblPr>
        <w:tblStyle w:val="tabletemplate"/>
        <w:tblW w:w="9332" w:type="dxa"/>
        <w:tblBorders>
          <w:insideH w:val="none" w:sz="0" w:space="0" w:color="auto"/>
        </w:tblBorders>
        <w:tblLook w:val="0420" w:firstRow="1" w:lastRow="0" w:firstColumn="0" w:lastColumn="0" w:noHBand="0" w:noVBand="1"/>
      </w:tblPr>
      <w:tblGrid>
        <w:gridCol w:w="234"/>
        <w:gridCol w:w="234"/>
        <w:gridCol w:w="2915"/>
        <w:gridCol w:w="1454"/>
        <w:gridCol w:w="1454"/>
        <w:gridCol w:w="1454"/>
        <w:gridCol w:w="1587"/>
      </w:tblGrid>
      <w:tr w:rsidR="00095D1E" w:rsidRPr="00683A7B" w14:paraId="48F1379A" w14:textId="77777777" w:rsidTr="00267EE6">
        <w:trPr>
          <w:cnfStyle w:val="100000000000" w:firstRow="1" w:lastRow="0" w:firstColumn="0" w:lastColumn="0" w:oddVBand="0" w:evenVBand="0" w:oddHBand="0" w:evenHBand="0" w:firstRowFirstColumn="0" w:firstRowLastColumn="0" w:lastRowFirstColumn="0" w:lastRowLastColumn="0"/>
          <w:trHeight w:val="263"/>
          <w:tblHeader/>
        </w:trPr>
        <w:tc>
          <w:tcPr>
            <w:tcW w:w="234" w:type="dxa"/>
            <w:tcBorders>
              <w:top w:val="single" w:sz="8" w:space="0" w:color="auto"/>
              <w:bottom w:val="nil"/>
            </w:tcBorders>
          </w:tcPr>
          <w:p w14:paraId="17F615A4" w14:textId="77777777" w:rsidR="00F50C13" w:rsidRPr="00683A7B" w:rsidRDefault="00F50C13" w:rsidP="007A32FD">
            <w:pPr>
              <w:keepNext/>
              <w:keepLines/>
              <w:rPr>
                <w:rFonts w:ascii="Calibri" w:eastAsia="Calibri" w:hAnsi="Calibri" w:cs="Times New Roman"/>
                <w:sz w:val="20"/>
                <w:szCs w:val="20"/>
                <w:lang w:val="en-GB"/>
              </w:rPr>
            </w:pPr>
          </w:p>
        </w:tc>
        <w:tc>
          <w:tcPr>
            <w:tcW w:w="234" w:type="dxa"/>
            <w:tcBorders>
              <w:top w:val="single" w:sz="8" w:space="0" w:color="auto"/>
              <w:bottom w:val="nil"/>
            </w:tcBorders>
          </w:tcPr>
          <w:p w14:paraId="75D783B0" w14:textId="77777777" w:rsidR="00F50C13" w:rsidRPr="00683A7B" w:rsidRDefault="00F50C13" w:rsidP="007A32FD">
            <w:pPr>
              <w:keepNext/>
              <w:keepLines/>
              <w:jc w:val="center"/>
              <w:rPr>
                <w:rFonts w:ascii="Calibri" w:eastAsia="Calibri" w:hAnsi="Calibri" w:cs="Times New Roman"/>
                <w:sz w:val="20"/>
                <w:szCs w:val="20"/>
              </w:rPr>
            </w:pPr>
          </w:p>
        </w:tc>
        <w:tc>
          <w:tcPr>
            <w:tcW w:w="3229" w:type="dxa"/>
            <w:tcBorders>
              <w:top w:val="single" w:sz="8" w:space="0" w:color="auto"/>
              <w:bottom w:val="nil"/>
            </w:tcBorders>
          </w:tcPr>
          <w:p w14:paraId="258FEC5D" w14:textId="40FE4630" w:rsidR="00F50C13" w:rsidRPr="00683A7B" w:rsidRDefault="00F50C13" w:rsidP="007A32FD">
            <w:pPr>
              <w:keepNext/>
              <w:keepLines/>
              <w:jc w:val="center"/>
              <w:rPr>
                <w:rFonts w:ascii="Calibri" w:eastAsia="Calibri" w:hAnsi="Calibri" w:cs="Times New Roman"/>
                <w:sz w:val="20"/>
                <w:szCs w:val="20"/>
                <w:lang w:val="en-GB"/>
              </w:rPr>
            </w:pPr>
          </w:p>
        </w:tc>
        <w:tc>
          <w:tcPr>
            <w:tcW w:w="2573" w:type="dxa"/>
            <w:gridSpan w:val="2"/>
            <w:tcBorders>
              <w:top w:val="single" w:sz="8" w:space="0" w:color="auto"/>
              <w:bottom w:val="nil"/>
            </w:tcBorders>
          </w:tcPr>
          <w:p w14:paraId="56A8EAFA" w14:textId="1F8DAD06" w:rsidR="00F50C13" w:rsidRPr="00683A7B" w:rsidRDefault="00C9271D" w:rsidP="007A32FD">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Mean (sd) v</w:t>
            </w:r>
            <w:r w:rsidR="00F50C13" w:rsidRPr="00683A7B">
              <w:rPr>
                <w:rFonts w:ascii="Calibri" w:eastAsia="Calibri" w:hAnsi="Calibri" w:cs="Times New Roman"/>
                <w:sz w:val="20"/>
                <w:szCs w:val="20"/>
                <w:lang w:val="en-GB"/>
              </w:rPr>
              <w:t>olume (ml</w:t>
            </w:r>
            <w:r w:rsidR="008041FD">
              <w:rPr>
                <w:rFonts w:ascii="Calibri" w:eastAsia="Calibri" w:hAnsi="Calibri" w:cs="Times New Roman"/>
                <w:sz w:val="20"/>
                <w:szCs w:val="20"/>
                <w:lang w:val="en-GB"/>
              </w:rPr>
              <w:t>/g</w:t>
            </w:r>
            <w:r w:rsidR="00F50C13" w:rsidRPr="00683A7B">
              <w:rPr>
                <w:rFonts w:ascii="Calibri" w:eastAsia="Calibri" w:hAnsi="Calibri" w:cs="Times New Roman"/>
                <w:sz w:val="20"/>
                <w:szCs w:val="20"/>
                <w:lang w:val="en-GB"/>
              </w:rPr>
              <w:t>)</w:t>
            </w:r>
          </w:p>
        </w:tc>
        <w:tc>
          <w:tcPr>
            <w:tcW w:w="3062" w:type="dxa"/>
            <w:gridSpan w:val="2"/>
            <w:tcBorders>
              <w:top w:val="single" w:sz="8" w:space="0" w:color="auto"/>
              <w:bottom w:val="nil"/>
            </w:tcBorders>
          </w:tcPr>
          <w:p w14:paraId="294B4DB7" w14:textId="77025C7B" w:rsidR="00F50C13" w:rsidRPr="00683A7B" w:rsidRDefault="00C9271D" w:rsidP="007A32FD">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Mean (sd) a</w:t>
            </w:r>
            <w:r w:rsidR="00F50C13" w:rsidRPr="00683A7B">
              <w:rPr>
                <w:rFonts w:ascii="Calibri" w:eastAsia="Calibri" w:hAnsi="Calibri" w:cs="Times New Roman"/>
                <w:sz w:val="20"/>
                <w:szCs w:val="20"/>
                <w:lang w:val="en-GB"/>
              </w:rPr>
              <w:t>mount of sugar (g)</w:t>
            </w:r>
          </w:p>
        </w:tc>
      </w:tr>
      <w:tr w:rsidR="00D34778" w:rsidRPr="00683A7B" w14:paraId="07158759" w14:textId="77777777" w:rsidTr="00267EE6">
        <w:trPr>
          <w:trHeight w:val="496"/>
        </w:trPr>
        <w:tc>
          <w:tcPr>
            <w:tcW w:w="3697" w:type="dxa"/>
            <w:gridSpan w:val="3"/>
            <w:tcBorders>
              <w:top w:val="nil"/>
              <w:bottom w:val="nil"/>
            </w:tcBorders>
          </w:tcPr>
          <w:p w14:paraId="3FDB4957" w14:textId="2823ACAB" w:rsidR="00D34778" w:rsidRPr="00683A7B" w:rsidRDefault="00D34778" w:rsidP="007A32FD">
            <w:pPr>
              <w:keepNext/>
              <w:keepLines/>
              <w:jc w:val="left"/>
              <w:rPr>
                <w:rFonts w:ascii="Calibri" w:eastAsia="Calibri" w:hAnsi="Calibri" w:cs="Times New Roman"/>
                <w:sz w:val="20"/>
                <w:szCs w:val="20"/>
                <w:lang w:val="en-GB"/>
              </w:rPr>
            </w:pPr>
            <w:r>
              <w:rPr>
                <w:rFonts w:ascii="Calibri" w:eastAsia="Calibri" w:hAnsi="Calibri" w:cs="Times New Roman"/>
                <w:sz w:val="20"/>
                <w:szCs w:val="20"/>
                <w:lang w:val="en-GB"/>
              </w:rPr>
              <w:t>Category</w:t>
            </w:r>
          </w:p>
        </w:tc>
        <w:tc>
          <w:tcPr>
            <w:tcW w:w="1119" w:type="dxa"/>
            <w:tcBorders>
              <w:top w:val="nil"/>
              <w:bottom w:val="nil"/>
            </w:tcBorders>
          </w:tcPr>
          <w:p w14:paraId="30D83385" w14:textId="1D6B7E5C" w:rsidR="00D34778" w:rsidRPr="00683A7B" w:rsidRDefault="00D34778"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Pre-SDIL announcement</w:t>
            </w:r>
          </w:p>
        </w:tc>
        <w:tc>
          <w:tcPr>
            <w:tcW w:w="1454" w:type="dxa"/>
            <w:tcBorders>
              <w:top w:val="nil"/>
              <w:bottom w:val="nil"/>
            </w:tcBorders>
          </w:tcPr>
          <w:p w14:paraId="713D4350" w14:textId="3034656F" w:rsidR="00D34778" w:rsidRPr="00683A7B" w:rsidRDefault="00D34778"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 xml:space="preserve">Post-SDIL </w:t>
            </w:r>
            <w:r w:rsidR="00C008B7">
              <w:rPr>
                <w:rFonts w:ascii="Calibri" w:eastAsia="Calibri" w:hAnsi="Calibri" w:cs="Times New Roman"/>
                <w:sz w:val="20"/>
                <w:szCs w:val="20"/>
                <w:lang w:val="en-GB"/>
              </w:rPr>
              <w:t>announcement</w:t>
            </w:r>
          </w:p>
        </w:tc>
        <w:tc>
          <w:tcPr>
            <w:tcW w:w="1454" w:type="dxa"/>
            <w:tcBorders>
              <w:top w:val="nil"/>
              <w:bottom w:val="nil"/>
            </w:tcBorders>
          </w:tcPr>
          <w:p w14:paraId="564C57A3" w14:textId="77777777" w:rsidR="00D34778" w:rsidRPr="00683A7B" w:rsidRDefault="00D34778"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Pre-SDIL announcement</w:t>
            </w:r>
          </w:p>
        </w:tc>
        <w:tc>
          <w:tcPr>
            <w:tcW w:w="1608" w:type="dxa"/>
            <w:tcBorders>
              <w:top w:val="nil"/>
              <w:bottom w:val="nil"/>
            </w:tcBorders>
          </w:tcPr>
          <w:p w14:paraId="49CAE08E" w14:textId="77777777" w:rsidR="00D34778" w:rsidRPr="00683A7B" w:rsidRDefault="00D34778"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Post-SDIL announcement</w:t>
            </w:r>
          </w:p>
        </w:tc>
      </w:tr>
      <w:tr w:rsidR="00095D1E" w:rsidRPr="00683A7B" w14:paraId="5963F1FB" w14:textId="77777777" w:rsidTr="00267EE6">
        <w:tblPrEx>
          <w:tblBorders>
            <w:insideH w:val="single" w:sz="8" w:space="0" w:color="auto"/>
          </w:tblBorders>
          <w:tblLook w:val="04A0" w:firstRow="1" w:lastRow="0" w:firstColumn="1" w:lastColumn="0" w:noHBand="0" w:noVBand="1"/>
        </w:tblPrEx>
        <w:trPr>
          <w:trHeight w:val="263"/>
        </w:trPr>
        <w:tc>
          <w:tcPr>
            <w:tcW w:w="3697" w:type="dxa"/>
            <w:gridSpan w:val="3"/>
            <w:tcBorders>
              <w:bottom w:val="single" w:sz="8" w:space="0" w:color="DBE5F1" w:themeColor="accent1" w:themeTint="33"/>
            </w:tcBorders>
          </w:tcPr>
          <w:p w14:paraId="4CA1740E" w14:textId="31980078" w:rsidR="00F50C13" w:rsidRPr="00683A7B" w:rsidRDefault="00C9271D" w:rsidP="007A32FD">
            <w:pPr>
              <w:keepNext/>
              <w:keepLines/>
              <w:jc w:val="left"/>
              <w:rPr>
                <w:rFonts w:ascii="Calibri" w:eastAsia="Calibri" w:hAnsi="Calibri" w:cs="Times New Roman"/>
                <w:sz w:val="20"/>
                <w:szCs w:val="20"/>
                <w:lang w:val="en-GB"/>
              </w:rPr>
            </w:pPr>
            <w:r>
              <w:rPr>
                <w:rFonts w:ascii="Calibri" w:eastAsia="Calibri" w:hAnsi="Calibri" w:cs="Times New Roman"/>
                <w:sz w:val="20"/>
                <w:szCs w:val="20"/>
              </w:rPr>
              <w:t>Liable</w:t>
            </w:r>
            <w:r w:rsidR="00F50C13">
              <w:rPr>
                <w:rFonts w:ascii="Calibri" w:eastAsia="Calibri" w:hAnsi="Calibri" w:cs="Times New Roman"/>
                <w:sz w:val="20"/>
                <w:szCs w:val="20"/>
              </w:rPr>
              <w:t xml:space="preserve"> drinks</w:t>
            </w:r>
          </w:p>
        </w:tc>
        <w:tc>
          <w:tcPr>
            <w:tcW w:w="1119" w:type="dxa"/>
            <w:tcBorders>
              <w:bottom w:val="single" w:sz="8" w:space="0" w:color="DBE5F1" w:themeColor="accent1" w:themeTint="33"/>
            </w:tcBorders>
          </w:tcPr>
          <w:p w14:paraId="7F5251D1" w14:textId="2E08A801" w:rsidR="00F50C13" w:rsidRPr="00683A7B" w:rsidRDefault="00F50C13" w:rsidP="007A32FD">
            <w:pPr>
              <w:keepNext/>
              <w:keepLines/>
              <w:jc w:val="center"/>
              <w:rPr>
                <w:rFonts w:ascii="Calibri" w:eastAsia="Calibri" w:hAnsi="Calibri" w:cs="Times New Roman"/>
                <w:sz w:val="20"/>
                <w:szCs w:val="20"/>
                <w:lang w:val="en-GB"/>
              </w:rPr>
            </w:pPr>
          </w:p>
        </w:tc>
        <w:tc>
          <w:tcPr>
            <w:tcW w:w="1454" w:type="dxa"/>
            <w:tcBorders>
              <w:bottom w:val="single" w:sz="8" w:space="0" w:color="DBE5F1" w:themeColor="accent1" w:themeTint="33"/>
            </w:tcBorders>
          </w:tcPr>
          <w:p w14:paraId="1419AAC0" w14:textId="18506424" w:rsidR="00F50C13" w:rsidRPr="00683A7B" w:rsidRDefault="00F50C13" w:rsidP="007A32FD">
            <w:pPr>
              <w:keepNext/>
              <w:keepLines/>
              <w:jc w:val="center"/>
              <w:rPr>
                <w:rFonts w:ascii="Calibri" w:eastAsia="Calibri" w:hAnsi="Calibri" w:cs="Times New Roman"/>
                <w:sz w:val="20"/>
                <w:szCs w:val="20"/>
                <w:lang w:val="en-GB"/>
              </w:rPr>
            </w:pPr>
          </w:p>
        </w:tc>
        <w:tc>
          <w:tcPr>
            <w:tcW w:w="1454" w:type="dxa"/>
            <w:tcBorders>
              <w:bottom w:val="single" w:sz="8" w:space="0" w:color="DBE5F1" w:themeColor="accent1" w:themeTint="33"/>
            </w:tcBorders>
          </w:tcPr>
          <w:p w14:paraId="37B849EA" w14:textId="7A0D6434" w:rsidR="00F50C13" w:rsidRPr="00683A7B" w:rsidRDefault="00F50C13" w:rsidP="007A32FD">
            <w:pPr>
              <w:keepNext/>
              <w:keepLines/>
              <w:jc w:val="center"/>
              <w:rPr>
                <w:rFonts w:ascii="Calibri" w:eastAsia="Calibri" w:hAnsi="Calibri" w:cs="Times New Roman"/>
                <w:sz w:val="20"/>
                <w:szCs w:val="20"/>
                <w:lang w:val="en-GB"/>
              </w:rPr>
            </w:pPr>
          </w:p>
        </w:tc>
        <w:tc>
          <w:tcPr>
            <w:tcW w:w="1608" w:type="dxa"/>
            <w:tcBorders>
              <w:bottom w:val="single" w:sz="8" w:space="0" w:color="DBE5F1" w:themeColor="accent1" w:themeTint="33"/>
            </w:tcBorders>
          </w:tcPr>
          <w:p w14:paraId="33F85865" w14:textId="26CF36F6" w:rsidR="00F50C13" w:rsidRPr="00683A7B" w:rsidRDefault="00F50C13" w:rsidP="007A32FD">
            <w:pPr>
              <w:keepNext/>
              <w:keepLines/>
              <w:jc w:val="center"/>
              <w:rPr>
                <w:rFonts w:ascii="Calibri" w:eastAsia="Calibri" w:hAnsi="Calibri" w:cs="Times New Roman"/>
                <w:sz w:val="20"/>
                <w:szCs w:val="20"/>
                <w:lang w:val="en-GB"/>
              </w:rPr>
            </w:pPr>
          </w:p>
        </w:tc>
      </w:tr>
      <w:tr w:rsidR="00095D1E" w:rsidRPr="00683A7B" w14:paraId="6C89A2BF" w14:textId="77777777" w:rsidTr="00267EE6">
        <w:trPr>
          <w:trHeight w:val="248"/>
        </w:trPr>
        <w:tc>
          <w:tcPr>
            <w:tcW w:w="234" w:type="dxa"/>
            <w:tcBorders>
              <w:top w:val="single" w:sz="8" w:space="0" w:color="DBE5F1" w:themeColor="accent1" w:themeTint="33"/>
              <w:bottom w:val="single" w:sz="8" w:space="0" w:color="DBE5F1" w:themeColor="accent1" w:themeTint="33"/>
            </w:tcBorders>
          </w:tcPr>
          <w:p w14:paraId="312FBD05" w14:textId="77777777" w:rsidR="00F50C13" w:rsidRPr="00683A7B" w:rsidRDefault="00F50C13" w:rsidP="007A32FD">
            <w:pPr>
              <w:keepNext/>
              <w:keepLines/>
              <w:rPr>
                <w:rFonts w:ascii="Calibri" w:eastAsia="Calibri" w:hAnsi="Calibri" w:cs="Times New Roman"/>
                <w:sz w:val="20"/>
                <w:szCs w:val="20"/>
              </w:rPr>
            </w:pPr>
          </w:p>
        </w:tc>
        <w:tc>
          <w:tcPr>
            <w:tcW w:w="3463" w:type="dxa"/>
            <w:gridSpan w:val="2"/>
            <w:tcBorders>
              <w:top w:val="single" w:sz="8" w:space="0" w:color="DBE5F1" w:themeColor="accent1" w:themeTint="33"/>
              <w:bottom w:val="single" w:sz="8" w:space="0" w:color="DBE5F1" w:themeColor="accent1" w:themeTint="33"/>
            </w:tcBorders>
          </w:tcPr>
          <w:p w14:paraId="61A18C8E" w14:textId="4B25A13B" w:rsidR="00F50C13" w:rsidRDefault="00451F7B" w:rsidP="007A32FD">
            <w:pPr>
              <w:keepNext/>
              <w:keepLines/>
              <w:jc w:val="left"/>
              <w:rPr>
                <w:rFonts w:ascii="Calibri" w:eastAsia="Calibri" w:hAnsi="Calibri" w:cs="Times New Roman"/>
                <w:sz w:val="20"/>
                <w:szCs w:val="20"/>
              </w:rPr>
            </w:pPr>
            <w:r>
              <w:rPr>
                <w:rFonts w:ascii="Calibri" w:eastAsia="Calibri" w:hAnsi="Calibri" w:cs="Times New Roman"/>
                <w:sz w:val="20"/>
                <w:szCs w:val="20"/>
                <w:lang w:val="en-GB"/>
              </w:rPr>
              <w:t>High</w:t>
            </w:r>
            <w:r w:rsidR="003F15F6">
              <w:rPr>
                <w:rFonts w:ascii="Calibri" w:eastAsia="Calibri" w:hAnsi="Calibri" w:cs="Times New Roman"/>
                <w:sz w:val="20"/>
                <w:szCs w:val="20"/>
                <w:lang w:val="en-GB"/>
              </w:rPr>
              <w:t>er</w:t>
            </w:r>
            <w:r>
              <w:rPr>
                <w:rFonts w:ascii="Calibri" w:eastAsia="Calibri" w:hAnsi="Calibri" w:cs="Times New Roman"/>
                <w:sz w:val="20"/>
                <w:szCs w:val="20"/>
                <w:lang w:val="en-GB"/>
              </w:rPr>
              <w:t xml:space="preserve"> tier </w:t>
            </w:r>
            <w:r w:rsidR="00AA172C">
              <w:rPr>
                <w:rFonts w:ascii="Calibri" w:eastAsia="Calibri" w:hAnsi="Calibri" w:cs="Times New Roman"/>
                <w:sz w:val="20"/>
                <w:szCs w:val="20"/>
                <w:lang w:val="en-GB"/>
              </w:rPr>
              <w:t>(</w:t>
            </w:r>
            <w:r>
              <w:rPr>
                <w:rFonts w:ascii="Calibri" w:eastAsia="Calibri" w:hAnsi="Calibri" w:cs="Times New Roman"/>
                <w:sz w:val="20"/>
                <w:szCs w:val="20"/>
                <w:lang w:val="en-GB"/>
              </w:rPr>
              <w:t>≥8g sugar</w:t>
            </w:r>
            <w:r w:rsidR="001F1E9A">
              <w:rPr>
                <w:rFonts w:ascii="Calibri" w:eastAsia="Calibri" w:hAnsi="Calibri" w:cs="Times New Roman"/>
                <w:sz w:val="20"/>
                <w:szCs w:val="20"/>
                <w:lang w:val="en-GB"/>
              </w:rPr>
              <w:t xml:space="preserve"> per </w:t>
            </w:r>
            <w:r w:rsidR="00F50C13" w:rsidRPr="00683A7B">
              <w:rPr>
                <w:rFonts w:ascii="Calibri" w:eastAsia="Calibri" w:hAnsi="Calibri" w:cs="Times New Roman"/>
                <w:sz w:val="20"/>
                <w:szCs w:val="20"/>
                <w:lang w:val="en-GB"/>
              </w:rPr>
              <w:t>100ml</w:t>
            </w:r>
            <w:r w:rsidR="00AA172C">
              <w:rPr>
                <w:rFonts w:ascii="Calibri" w:eastAsia="Calibri" w:hAnsi="Calibri" w:cs="Times New Roman"/>
                <w:sz w:val="20"/>
                <w:szCs w:val="20"/>
                <w:lang w:val="en-GB"/>
              </w:rPr>
              <w:t>)</w:t>
            </w:r>
          </w:p>
        </w:tc>
        <w:tc>
          <w:tcPr>
            <w:tcW w:w="1119" w:type="dxa"/>
            <w:tcBorders>
              <w:top w:val="single" w:sz="8" w:space="0" w:color="DBE5F1" w:themeColor="accent1" w:themeTint="33"/>
              <w:bottom w:val="single" w:sz="8" w:space="0" w:color="DBE5F1" w:themeColor="accent1" w:themeTint="33"/>
            </w:tcBorders>
          </w:tcPr>
          <w:p w14:paraId="0D9A0C44" w14:textId="0F094770" w:rsidR="00F50C13" w:rsidRPr="00683A7B" w:rsidRDefault="00F50C13" w:rsidP="005C78D7">
            <w:pPr>
              <w:keepNext/>
              <w:keepLines/>
              <w:jc w:val="center"/>
              <w:rPr>
                <w:rFonts w:ascii="Calibri" w:eastAsia="Calibri" w:hAnsi="Calibri" w:cs="Times New Roman"/>
                <w:sz w:val="20"/>
                <w:szCs w:val="20"/>
              </w:rPr>
            </w:pPr>
            <w:r w:rsidRPr="00683A7B">
              <w:rPr>
                <w:rFonts w:ascii="Calibri" w:eastAsia="Calibri" w:hAnsi="Calibri" w:cs="Times New Roman"/>
                <w:sz w:val="20"/>
                <w:szCs w:val="20"/>
                <w:lang w:val="en-GB"/>
              </w:rPr>
              <w:t>9</w:t>
            </w:r>
            <w:r w:rsidR="005C78D7">
              <w:rPr>
                <w:rFonts w:ascii="Calibri" w:eastAsia="Calibri" w:hAnsi="Calibri" w:cs="Times New Roman"/>
                <w:sz w:val="20"/>
                <w:szCs w:val="20"/>
                <w:lang w:val="en-GB"/>
              </w:rPr>
              <w:t>13</w:t>
            </w:r>
            <w:r w:rsidRPr="00683A7B">
              <w:rPr>
                <w:rFonts w:ascii="Calibri" w:eastAsia="Calibri" w:hAnsi="Calibri" w:cs="Times New Roman"/>
                <w:sz w:val="20"/>
                <w:szCs w:val="20"/>
                <w:lang w:val="en-GB"/>
              </w:rPr>
              <w:t xml:space="preserve"> (14</w:t>
            </w:r>
            <w:r w:rsidR="005C78D7">
              <w:rPr>
                <w:rFonts w:ascii="Calibri" w:eastAsia="Calibri" w:hAnsi="Calibri" w:cs="Times New Roman"/>
                <w:sz w:val="20"/>
                <w:szCs w:val="20"/>
                <w:lang w:val="en-GB"/>
              </w:rPr>
              <w:t>4</w:t>
            </w:r>
            <w:r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69D536A9" w14:textId="43088672" w:rsidR="00F50C13" w:rsidRPr="00683A7B" w:rsidRDefault="00F50C13" w:rsidP="00EB4B7D">
            <w:pPr>
              <w:keepNext/>
              <w:keepLines/>
              <w:jc w:val="center"/>
              <w:rPr>
                <w:rFonts w:ascii="Calibri" w:eastAsia="Calibri" w:hAnsi="Calibri" w:cs="Times New Roman"/>
                <w:sz w:val="20"/>
                <w:szCs w:val="20"/>
              </w:rPr>
            </w:pPr>
            <w:r w:rsidRPr="00683A7B">
              <w:rPr>
                <w:rFonts w:ascii="Calibri" w:eastAsia="Calibri" w:hAnsi="Calibri" w:cs="Times New Roman"/>
                <w:sz w:val="20"/>
                <w:szCs w:val="20"/>
                <w:lang w:val="en-GB"/>
              </w:rPr>
              <w:t>6</w:t>
            </w:r>
            <w:r w:rsidR="005C78D7">
              <w:rPr>
                <w:rFonts w:ascii="Calibri" w:eastAsia="Calibri" w:hAnsi="Calibri" w:cs="Times New Roman"/>
                <w:sz w:val="20"/>
                <w:szCs w:val="20"/>
                <w:lang w:val="en-GB"/>
              </w:rPr>
              <w:t>52</w:t>
            </w:r>
            <w:r w:rsidRPr="00683A7B">
              <w:rPr>
                <w:rFonts w:ascii="Calibri" w:eastAsia="Calibri" w:hAnsi="Calibri" w:cs="Times New Roman"/>
                <w:sz w:val="20"/>
                <w:szCs w:val="20"/>
                <w:lang w:val="en-GB"/>
              </w:rPr>
              <w:t xml:space="preserve"> (152)</w:t>
            </w:r>
          </w:p>
        </w:tc>
        <w:tc>
          <w:tcPr>
            <w:tcW w:w="1454" w:type="dxa"/>
            <w:tcBorders>
              <w:top w:val="single" w:sz="8" w:space="0" w:color="DBE5F1" w:themeColor="accent1" w:themeTint="33"/>
              <w:bottom w:val="single" w:sz="8" w:space="0" w:color="DBE5F1" w:themeColor="accent1" w:themeTint="33"/>
            </w:tcBorders>
          </w:tcPr>
          <w:p w14:paraId="339EE6CF" w14:textId="735831AA" w:rsidR="00F50C13" w:rsidRPr="00683A7B" w:rsidRDefault="00F50C13">
            <w:pPr>
              <w:keepNext/>
              <w:keepLines/>
              <w:jc w:val="center"/>
              <w:rPr>
                <w:rFonts w:ascii="Calibri" w:eastAsia="Calibri" w:hAnsi="Calibri" w:cs="Times New Roman"/>
                <w:sz w:val="20"/>
                <w:szCs w:val="20"/>
              </w:rPr>
            </w:pPr>
            <w:r w:rsidRPr="00683A7B">
              <w:rPr>
                <w:rFonts w:ascii="Calibri" w:eastAsia="Calibri" w:hAnsi="Calibri" w:cs="Times New Roman"/>
                <w:sz w:val="20"/>
                <w:szCs w:val="20"/>
                <w:lang w:val="en-GB"/>
              </w:rPr>
              <w:t>10</w:t>
            </w:r>
            <w:r w:rsidR="005C78D7">
              <w:rPr>
                <w:rFonts w:ascii="Calibri" w:eastAsia="Calibri" w:hAnsi="Calibri" w:cs="Times New Roman"/>
                <w:sz w:val="20"/>
                <w:szCs w:val="20"/>
                <w:lang w:val="en-GB"/>
              </w:rPr>
              <w:t>1.4</w:t>
            </w:r>
            <w:r w:rsidRPr="00683A7B">
              <w:rPr>
                <w:rFonts w:ascii="Calibri" w:eastAsia="Calibri" w:hAnsi="Calibri" w:cs="Times New Roman"/>
                <w:sz w:val="20"/>
                <w:szCs w:val="20"/>
                <w:lang w:val="en-GB"/>
              </w:rPr>
              <w:t xml:space="preserve"> (15.</w:t>
            </w:r>
            <w:r w:rsidR="005C78D7">
              <w:rPr>
                <w:rFonts w:ascii="Calibri" w:eastAsia="Calibri" w:hAnsi="Calibri" w:cs="Times New Roman"/>
                <w:sz w:val="20"/>
                <w:szCs w:val="20"/>
                <w:lang w:val="en-GB"/>
              </w:rPr>
              <w:t>8</w:t>
            </w:r>
            <w:r w:rsidRPr="00683A7B">
              <w:rPr>
                <w:rFonts w:ascii="Calibri" w:eastAsia="Calibri" w:hAnsi="Calibri" w:cs="Times New Roman"/>
                <w:sz w:val="20"/>
                <w:szCs w:val="20"/>
                <w:lang w:val="en-GB"/>
              </w:rPr>
              <w:t>)</w:t>
            </w:r>
          </w:p>
        </w:tc>
        <w:tc>
          <w:tcPr>
            <w:tcW w:w="1608" w:type="dxa"/>
            <w:tcBorders>
              <w:top w:val="single" w:sz="8" w:space="0" w:color="DBE5F1" w:themeColor="accent1" w:themeTint="33"/>
              <w:bottom w:val="single" w:sz="8" w:space="0" w:color="DBE5F1" w:themeColor="accent1" w:themeTint="33"/>
            </w:tcBorders>
          </w:tcPr>
          <w:p w14:paraId="72095EE0" w14:textId="04854D24" w:rsidR="00F50C13" w:rsidRPr="00683A7B" w:rsidRDefault="00F50C13">
            <w:pPr>
              <w:keepNext/>
              <w:keepLines/>
              <w:jc w:val="center"/>
              <w:rPr>
                <w:rFonts w:ascii="Calibri" w:eastAsia="Calibri" w:hAnsi="Calibri" w:cs="Times New Roman"/>
                <w:sz w:val="20"/>
                <w:szCs w:val="20"/>
              </w:rPr>
            </w:pPr>
            <w:r w:rsidRPr="00683A7B">
              <w:rPr>
                <w:rFonts w:ascii="Calibri" w:eastAsia="Calibri" w:hAnsi="Calibri" w:cs="Times New Roman"/>
                <w:sz w:val="20"/>
                <w:szCs w:val="20"/>
                <w:lang w:val="en-GB"/>
              </w:rPr>
              <w:t>7</w:t>
            </w:r>
            <w:r w:rsidR="005C78D7">
              <w:rPr>
                <w:rFonts w:ascii="Calibri" w:eastAsia="Calibri" w:hAnsi="Calibri" w:cs="Times New Roman"/>
                <w:sz w:val="20"/>
                <w:szCs w:val="20"/>
                <w:lang w:val="en-GB"/>
              </w:rPr>
              <w:t>2</w:t>
            </w:r>
            <w:r w:rsidRPr="00683A7B">
              <w:rPr>
                <w:rFonts w:ascii="Calibri" w:eastAsia="Calibri" w:hAnsi="Calibri" w:cs="Times New Roman"/>
                <w:sz w:val="20"/>
                <w:szCs w:val="20"/>
                <w:lang w:val="en-GB"/>
              </w:rPr>
              <w:t>.</w:t>
            </w:r>
            <w:r w:rsidR="005C78D7">
              <w:rPr>
                <w:rFonts w:ascii="Calibri" w:eastAsia="Calibri" w:hAnsi="Calibri" w:cs="Times New Roman"/>
                <w:sz w:val="20"/>
                <w:szCs w:val="20"/>
                <w:lang w:val="en-GB"/>
              </w:rPr>
              <w:t>4</w:t>
            </w:r>
            <w:r w:rsidRPr="00683A7B">
              <w:rPr>
                <w:rFonts w:ascii="Calibri" w:eastAsia="Calibri" w:hAnsi="Calibri" w:cs="Times New Roman"/>
                <w:sz w:val="20"/>
                <w:szCs w:val="20"/>
                <w:lang w:val="en-GB"/>
              </w:rPr>
              <w:t xml:space="preserve"> (16.6)</w:t>
            </w:r>
          </w:p>
        </w:tc>
      </w:tr>
      <w:tr w:rsidR="00095D1E" w:rsidRPr="00683A7B" w14:paraId="2F2AE447" w14:textId="77777777" w:rsidTr="00267EE6">
        <w:trPr>
          <w:trHeight w:val="248"/>
        </w:trPr>
        <w:tc>
          <w:tcPr>
            <w:tcW w:w="234" w:type="dxa"/>
            <w:tcBorders>
              <w:top w:val="single" w:sz="8" w:space="0" w:color="DBE5F1" w:themeColor="accent1" w:themeTint="33"/>
              <w:bottom w:val="single" w:sz="8" w:space="0" w:color="DBE5F1" w:themeColor="accent1" w:themeTint="33"/>
            </w:tcBorders>
          </w:tcPr>
          <w:p w14:paraId="5488F06D" w14:textId="77777777" w:rsidR="00F50C13" w:rsidRDefault="00F50C13" w:rsidP="007A32FD">
            <w:pPr>
              <w:keepNext/>
              <w:keepLines/>
              <w:rPr>
                <w:rFonts w:ascii="Calibri" w:eastAsia="Calibri" w:hAnsi="Calibri" w:cs="Times New Roman"/>
                <w:sz w:val="20"/>
                <w:szCs w:val="20"/>
              </w:rPr>
            </w:pPr>
          </w:p>
        </w:tc>
        <w:tc>
          <w:tcPr>
            <w:tcW w:w="3463" w:type="dxa"/>
            <w:gridSpan w:val="2"/>
            <w:tcBorders>
              <w:top w:val="single" w:sz="8" w:space="0" w:color="DBE5F1" w:themeColor="accent1" w:themeTint="33"/>
              <w:bottom w:val="single" w:sz="8" w:space="0" w:color="DBE5F1" w:themeColor="accent1" w:themeTint="33"/>
            </w:tcBorders>
          </w:tcPr>
          <w:p w14:paraId="1408D035" w14:textId="0995147B" w:rsidR="00F50C13" w:rsidRPr="00683A7B" w:rsidRDefault="00F50C13" w:rsidP="007A32FD">
            <w:pPr>
              <w:keepNext/>
              <w:keepLines/>
              <w:jc w:val="left"/>
              <w:rPr>
                <w:rFonts w:ascii="Calibri" w:eastAsia="Calibri" w:hAnsi="Calibri" w:cs="Times New Roman"/>
                <w:sz w:val="20"/>
                <w:szCs w:val="20"/>
                <w:lang w:val="en-GB"/>
              </w:rPr>
            </w:pPr>
            <w:r>
              <w:rPr>
                <w:rFonts w:ascii="Calibri" w:eastAsia="Calibri" w:hAnsi="Calibri" w:cs="Times New Roman"/>
                <w:sz w:val="20"/>
                <w:szCs w:val="20"/>
                <w:lang w:val="en-GB"/>
              </w:rPr>
              <w:t>Low</w:t>
            </w:r>
            <w:r w:rsidR="003F15F6">
              <w:rPr>
                <w:rFonts w:ascii="Calibri" w:eastAsia="Calibri" w:hAnsi="Calibri" w:cs="Times New Roman"/>
                <w:sz w:val="20"/>
                <w:szCs w:val="20"/>
                <w:lang w:val="en-GB"/>
              </w:rPr>
              <w:t>er</w:t>
            </w:r>
            <w:r>
              <w:rPr>
                <w:rFonts w:ascii="Calibri" w:eastAsia="Calibri" w:hAnsi="Calibri" w:cs="Times New Roman"/>
                <w:sz w:val="20"/>
                <w:szCs w:val="20"/>
                <w:lang w:val="en-GB"/>
              </w:rPr>
              <w:t xml:space="preserve"> </w:t>
            </w:r>
            <w:r w:rsidRPr="00683A7B">
              <w:rPr>
                <w:rFonts w:ascii="Calibri" w:eastAsia="Calibri" w:hAnsi="Calibri" w:cs="Times New Roman"/>
                <w:sz w:val="20"/>
                <w:szCs w:val="20"/>
                <w:lang w:val="en-GB"/>
              </w:rPr>
              <w:t xml:space="preserve">tier </w:t>
            </w:r>
            <w:r w:rsidR="00AA172C">
              <w:rPr>
                <w:rFonts w:ascii="Calibri" w:eastAsia="Calibri" w:hAnsi="Calibri" w:cs="Times New Roman"/>
                <w:sz w:val="20"/>
                <w:szCs w:val="20"/>
                <w:lang w:val="en-GB"/>
              </w:rPr>
              <w:t>(</w:t>
            </w:r>
            <w:r w:rsidRPr="00683A7B">
              <w:rPr>
                <w:rFonts w:ascii="Calibri" w:eastAsia="Calibri" w:hAnsi="Calibri" w:cs="Times New Roman"/>
                <w:sz w:val="20"/>
                <w:szCs w:val="20"/>
                <w:lang w:val="en-GB"/>
              </w:rPr>
              <w:t xml:space="preserve">≥5g - &lt;8g </w:t>
            </w:r>
            <w:r w:rsidR="00451F7B">
              <w:rPr>
                <w:rFonts w:ascii="Calibri" w:eastAsia="Calibri" w:hAnsi="Calibri" w:cs="Times New Roman"/>
                <w:sz w:val="20"/>
                <w:szCs w:val="20"/>
                <w:lang w:val="en-GB"/>
              </w:rPr>
              <w:t>sugar</w:t>
            </w:r>
            <w:r w:rsidR="001F1E9A">
              <w:rPr>
                <w:rFonts w:ascii="Calibri" w:eastAsia="Calibri" w:hAnsi="Calibri" w:cs="Times New Roman"/>
                <w:sz w:val="20"/>
                <w:szCs w:val="20"/>
                <w:lang w:val="en-GB"/>
              </w:rPr>
              <w:t xml:space="preserve"> per </w:t>
            </w:r>
            <w:r w:rsidRPr="00683A7B">
              <w:rPr>
                <w:rFonts w:ascii="Calibri" w:eastAsia="Calibri" w:hAnsi="Calibri" w:cs="Times New Roman"/>
                <w:sz w:val="20"/>
                <w:szCs w:val="20"/>
                <w:lang w:val="en-GB"/>
              </w:rPr>
              <w:t>100ml</w:t>
            </w:r>
            <w:r w:rsidR="00AA172C">
              <w:rPr>
                <w:rFonts w:ascii="Calibri" w:eastAsia="Calibri" w:hAnsi="Calibri" w:cs="Times New Roman"/>
                <w:sz w:val="20"/>
                <w:szCs w:val="20"/>
                <w:lang w:val="en-GB"/>
              </w:rPr>
              <w:t>)</w:t>
            </w:r>
          </w:p>
        </w:tc>
        <w:tc>
          <w:tcPr>
            <w:tcW w:w="1119" w:type="dxa"/>
            <w:tcBorders>
              <w:top w:val="single" w:sz="8" w:space="0" w:color="DBE5F1" w:themeColor="accent1" w:themeTint="33"/>
              <w:bottom w:val="single" w:sz="8" w:space="0" w:color="DBE5F1" w:themeColor="accent1" w:themeTint="33"/>
            </w:tcBorders>
          </w:tcPr>
          <w:p w14:paraId="44F5E35F" w14:textId="7791FE4D" w:rsidR="00F50C13" w:rsidRPr="00683A7B" w:rsidRDefault="00267EE6" w:rsidP="00267EE6">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1</w:t>
            </w:r>
            <w:r w:rsidR="005C78D7">
              <w:rPr>
                <w:rFonts w:ascii="Calibri" w:eastAsia="Calibri" w:hAnsi="Calibri" w:cs="Times New Roman"/>
                <w:sz w:val="20"/>
                <w:szCs w:val="20"/>
                <w:lang w:val="en-GB"/>
              </w:rPr>
              <w:t>63</w:t>
            </w:r>
            <w:r w:rsidR="00F50C13"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39</w:t>
            </w:r>
            <w:r w:rsidR="00F50C13"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28209B5D" w14:textId="4CB8525D" w:rsidR="00F50C13" w:rsidRPr="00683A7B" w:rsidRDefault="00F50C13" w:rsidP="00267EE6">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1</w:t>
            </w:r>
            <w:r w:rsidR="005C78D7">
              <w:rPr>
                <w:rFonts w:ascii="Calibri" w:eastAsia="Calibri" w:hAnsi="Calibri" w:cs="Times New Roman"/>
                <w:sz w:val="20"/>
                <w:szCs w:val="20"/>
                <w:lang w:val="en-GB"/>
              </w:rPr>
              <w:t>40</w:t>
            </w:r>
            <w:r w:rsidRPr="00683A7B">
              <w:rPr>
                <w:rFonts w:ascii="Calibri" w:eastAsia="Calibri" w:hAnsi="Calibri" w:cs="Times New Roman"/>
                <w:sz w:val="20"/>
                <w:szCs w:val="20"/>
                <w:lang w:val="en-GB"/>
              </w:rPr>
              <w:t xml:space="preserve"> (4</w:t>
            </w:r>
            <w:r w:rsidR="00267EE6">
              <w:rPr>
                <w:rFonts w:ascii="Calibri" w:eastAsia="Calibri" w:hAnsi="Calibri" w:cs="Times New Roman"/>
                <w:sz w:val="20"/>
                <w:szCs w:val="20"/>
                <w:lang w:val="en-GB"/>
              </w:rPr>
              <w:t>2</w:t>
            </w:r>
            <w:r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05F50F30" w14:textId="2893194B" w:rsidR="00F50C13" w:rsidRPr="00683A7B" w:rsidRDefault="00F50C13" w:rsidP="00267EE6">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10.</w:t>
            </w:r>
            <w:r w:rsidR="005C78D7">
              <w:rPr>
                <w:rFonts w:ascii="Calibri" w:eastAsia="Calibri" w:hAnsi="Calibri" w:cs="Times New Roman"/>
                <w:sz w:val="20"/>
                <w:szCs w:val="20"/>
                <w:lang w:val="en-GB"/>
              </w:rPr>
              <w:t>6</w:t>
            </w:r>
            <w:r w:rsidRPr="00683A7B">
              <w:rPr>
                <w:rFonts w:ascii="Calibri" w:eastAsia="Calibri" w:hAnsi="Calibri" w:cs="Times New Roman"/>
                <w:sz w:val="20"/>
                <w:szCs w:val="20"/>
                <w:lang w:val="en-GB"/>
              </w:rPr>
              <w:t xml:space="preserve"> (2.</w:t>
            </w:r>
            <w:r w:rsidR="00267EE6">
              <w:rPr>
                <w:rFonts w:ascii="Calibri" w:eastAsia="Calibri" w:hAnsi="Calibri" w:cs="Times New Roman"/>
                <w:sz w:val="20"/>
                <w:szCs w:val="20"/>
                <w:lang w:val="en-GB"/>
              </w:rPr>
              <w:t>6</w:t>
            </w:r>
            <w:r w:rsidRPr="00683A7B">
              <w:rPr>
                <w:rFonts w:ascii="Calibri" w:eastAsia="Calibri" w:hAnsi="Calibri" w:cs="Times New Roman"/>
                <w:sz w:val="20"/>
                <w:szCs w:val="20"/>
                <w:lang w:val="en-GB"/>
              </w:rPr>
              <w:t>)</w:t>
            </w:r>
          </w:p>
        </w:tc>
        <w:tc>
          <w:tcPr>
            <w:tcW w:w="1608" w:type="dxa"/>
            <w:tcBorders>
              <w:top w:val="single" w:sz="8" w:space="0" w:color="DBE5F1" w:themeColor="accent1" w:themeTint="33"/>
              <w:bottom w:val="single" w:sz="8" w:space="0" w:color="DBE5F1" w:themeColor="accent1" w:themeTint="33"/>
            </w:tcBorders>
          </w:tcPr>
          <w:p w14:paraId="25545418" w14:textId="651B900E" w:rsidR="00F50C13" w:rsidRPr="00683A7B" w:rsidRDefault="00F50C13"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9.</w:t>
            </w:r>
            <w:r w:rsidR="005C78D7">
              <w:rPr>
                <w:rFonts w:ascii="Calibri" w:eastAsia="Calibri" w:hAnsi="Calibri" w:cs="Times New Roman"/>
                <w:sz w:val="20"/>
                <w:szCs w:val="20"/>
                <w:lang w:val="en-GB"/>
              </w:rPr>
              <w:t>2</w:t>
            </w:r>
            <w:r w:rsidRPr="00683A7B">
              <w:rPr>
                <w:rFonts w:ascii="Calibri" w:eastAsia="Calibri" w:hAnsi="Calibri" w:cs="Times New Roman"/>
                <w:sz w:val="20"/>
                <w:szCs w:val="20"/>
                <w:lang w:val="en-GB"/>
              </w:rPr>
              <w:t xml:space="preserve"> (2.7)</w:t>
            </w:r>
          </w:p>
        </w:tc>
      </w:tr>
      <w:tr w:rsidR="00095D1E" w:rsidRPr="00683A7B" w14:paraId="6BDD2685" w14:textId="77777777" w:rsidTr="00267EE6">
        <w:trPr>
          <w:trHeight w:val="242"/>
        </w:trPr>
        <w:tc>
          <w:tcPr>
            <w:tcW w:w="234" w:type="dxa"/>
            <w:tcBorders>
              <w:top w:val="single" w:sz="8" w:space="0" w:color="DBE5F1" w:themeColor="accent1" w:themeTint="33"/>
              <w:bottom w:val="single" w:sz="8" w:space="0" w:color="DBE5F1" w:themeColor="accent1" w:themeTint="33"/>
            </w:tcBorders>
          </w:tcPr>
          <w:p w14:paraId="5FC4C48C" w14:textId="77777777" w:rsidR="00F50C13" w:rsidRDefault="00F50C13" w:rsidP="007A32FD">
            <w:pPr>
              <w:keepNext/>
              <w:keepLines/>
              <w:rPr>
                <w:rFonts w:ascii="Calibri" w:eastAsia="Calibri" w:hAnsi="Calibri" w:cs="Times New Roman"/>
                <w:sz w:val="20"/>
                <w:szCs w:val="20"/>
              </w:rPr>
            </w:pPr>
          </w:p>
        </w:tc>
        <w:tc>
          <w:tcPr>
            <w:tcW w:w="3463" w:type="dxa"/>
            <w:gridSpan w:val="2"/>
            <w:tcBorders>
              <w:top w:val="single" w:sz="8" w:space="0" w:color="DBE5F1" w:themeColor="accent1" w:themeTint="33"/>
              <w:bottom w:val="single" w:sz="8" w:space="0" w:color="DBE5F1" w:themeColor="accent1" w:themeTint="33"/>
            </w:tcBorders>
          </w:tcPr>
          <w:p w14:paraId="710DFDFD" w14:textId="765C2C93" w:rsidR="00F50C13" w:rsidRPr="00683A7B" w:rsidRDefault="00F50C13" w:rsidP="007A32FD">
            <w:pPr>
              <w:keepNext/>
              <w:keepLines/>
              <w:jc w:val="left"/>
              <w:rPr>
                <w:rFonts w:ascii="Calibri" w:eastAsia="Calibri" w:hAnsi="Calibri" w:cs="Times New Roman"/>
                <w:sz w:val="20"/>
                <w:szCs w:val="20"/>
                <w:lang w:val="en-GB"/>
              </w:rPr>
            </w:pPr>
            <w:r w:rsidRPr="00683A7B">
              <w:rPr>
                <w:rFonts w:ascii="Calibri" w:eastAsia="Calibri" w:hAnsi="Calibri" w:cs="Times New Roman"/>
                <w:sz w:val="20"/>
                <w:szCs w:val="20"/>
                <w:lang w:val="en-GB"/>
              </w:rPr>
              <w:t xml:space="preserve">No levy </w:t>
            </w:r>
            <w:r w:rsidR="00AA172C">
              <w:rPr>
                <w:rFonts w:ascii="Calibri" w:eastAsia="Calibri" w:hAnsi="Calibri" w:cs="Times New Roman"/>
                <w:sz w:val="20"/>
                <w:szCs w:val="20"/>
                <w:lang w:val="en-GB"/>
              </w:rPr>
              <w:t>(</w:t>
            </w:r>
            <w:r w:rsidRPr="00683A7B">
              <w:rPr>
                <w:rFonts w:ascii="Calibri" w:eastAsia="Calibri" w:hAnsi="Calibri" w:cs="Times New Roman"/>
                <w:sz w:val="20"/>
                <w:szCs w:val="20"/>
                <w:lang w:val="en-GB"/>
              </w:rPr>
              <w:t xml:space="preserve">&lt;5g </w:t>
            </w:r>
            <w:r w:rsidR="00451F7B">
              <w:rPr>
                <w:rFonts w:ascii="Calibri" w:eastAsia="Calibri" w:hAnsi="Calibri" w:cs="Times New Roman"/>
                <w:sz w:val="20"/>
                <w:szCs w:val="20"/>
                <w:lang w:val="en-GB"/>
              </w:rPr>
              <w:t>sugar</w:t>
            </w:r>
            <w:r w:rsidR="001F1E9A">
              <w:rPr>
                <w:rFonts w:ascii="Calibri" w:eastAsia="Calibri" w:hAnsi="Calibri" w:cs="Times New Roman"/>
                <w:sz w:val="20"/>
                <w:szCs w:val="20"/>
                <w:lang w:val="en-GB"/>
              </w:rPr>
              <w:t xml:space="preserve"> per </w:t>
            </w:r>
            <w:r w:rsidRPr="00683A7B">
              <w:rPr>
                <w:rFonts w:ascii="Calibri" w:eastAsia="Calibri" w:hAnsi="Calibri" w:cs="Times New Roman"/>
                <w:sz w:val="20"/>
                <w:szCs w:val="20"/>
                <w:lang w:val="en-GB"/>
              </w:rPr>
              <w:t>100ml</w:t>
            </w:r>
            <w:r w:rsidR="00AA172C">
              <w:rPr>
                <w:rFonts w:ascii="Calibri" w:eastAsia="Calibri" w:hAnsi="Calibri" w:cs="Times New Roman"/>
                <w:sz w:val="20"/>
                <w:szCs w:val="20"/>
                <w:lang w:val="en-GB"/>
              </w:rPr>
              <w:t>)</w:t>
            </w:r>
          </w:p>
        </w:tc>
        <w:tc>
          <w:tcPr>
            <w:tcW w:w="1119" w:type="dxa"/>
            <w:tcBorders>
              <w:top w:val="single" w:sz="8" w:space="0" w:color="DBE5F1" w:themeColor="accent1" w:themeTint="33"/>
              <w:bottom w:val="single" w:sz="8" w:space="0" w:color="DBE5F1" w:themeColor="accent1" w:themeTint="33"/>
            </w:tcBorders>
          </w:tcPr>
          <w:p w14:paraId="3B2BC8D4" w14:textId="5CBDA6F1" w:rsidR="00F50C13" w:rsidRPr="00683A7B" w:rsidRDefault="00F50C13" w:rsidP="00EB4B7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2</w:t>
            </w:r>
            <w:r w:rsidR="005C78D7">
              <w:rPr>
                <w:rFonts w:ascii="Calibri" w:eastAsia="Calibri" w:hAnsi="Calibri" w:cs="Times New Roman"/>
                <w:sz w:val="20"/>
                <w:szCs w:val="20"/>
                <w:lang w:val="en-GB"/>
              </w:rPr>
              <w:t>461</w:t>
            </w:r>
            <w:r w:rsidRPr="00683A7B">
              <w:rPr>
                <w:rFonts w:ascii="Calibri" w:eastAsia="Calibri" w:hAnsi="Calibri" w:cs="Times New Roman"/>
                <w:sz w:val="20"/>
                <w:szCs w:val="20"/>
                <w:lang w:val="en-GB"/>
              </w:rPr>
              <w:t xml:space="preserve"> (</w:t>
            </w:r>
            <w:r w:rsidR="005C78D7">
              <w:rPr>
                <w:rFonts w:ascii="Calibri" w:eastAsia="Calibri" w:hAnsi="Calibri" w:cs="Times New Roman"/>
                <w:sz w:val="20"/>
                <w:szCs w:val="20"/>
                <w:lang w:val="en-GB"/>
              </w:rPr>
              <w:t>229</w:t>
            </w:r>
            <w:r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19C452EC" w14:textId="6B35921E" w:rsidR="00F50C13"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2520</w:t>
            </w:r>
            <w:r w:rsidR="00F50C13"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293</w:t>
            </w:r>
            <w:r w:rsidR="00F50C13"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1BADDC69" w14:textId="095CC1D8" w:rsidR="00F50C13"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12.1</w:t>
            </w:r>
            <w:r w:rsidR="00F50C13" w:rsidRPr="00683A7B">
              <w:rPr>
                <w:rFonts w:ascii="Calibri" w:eastAsia="Calibri" w:hAnsi="Calibri" w:cs="Times New Roman"/>
                <w:sz w:val="20"/>
                <w:szCs w:val="20"/>
                <w:lang w:val="en-GB"/>
              </w:rPr>
              <w:t xml:space="preserve"> (1.</w:t>
            </w:r>
            <w:r>
              <w:rPr>
                <w:rFonts w:ascii="Calibri" w:eastAsia="Calibri" w:hAnsi="Calibri" w:cs="Times New Roman"/>
                <w:sz w:val="20"/>
                <w:szCs w:val="20"/>
                <w:lang w:val="en-GB"/>
              </w:rPr>
              <w:t>7</w:t>
            </w:r>
            <w:r w:rsidR="00F50C13" w:rsidRPr="00683A7B">
              <w:rPr>
                <w:rFonts w:ascii="Calibri" w:eastAsia="Calibri" w:hAnsi="Calibri" w:cs="Times New Roman"/>
                <w:sz w:val="20"/>
                <w:szCs w:val="20"/>
                <w:lang w:val="en-GB"/>
              </w:rPr>
              <w:t>)</w:t>
            </w:r>
          </w:p>
        </w:tc>
        <w:tc>
          <w:tcPr>
            <w:tcW w:w="1608" w:type="dxa"/>
            <w:tcBorders>
              <w:top w:val="single" w:sz="8" w:space="0" w:color="DBE5F1" w:themeColor="accent1" w:themeTint="33"/>
              <w:bottom w:val="single" w:sz="8" w:space="0" w:color="DBE5F1" w:themeColor="accent1" w:themeTint="33"/>
            </w:tcBorders>
          </w:tcPr>
          <w:p w14:paraId="77ED7637" w14:textId="245CEC7C" w:rsidR="00F50C13"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12.0</w:t>
            </w:r>
            <w:r w:rsidR="00F50C13"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2.5</w:t>
            </w:r>
            <w:r w:rsidR="00F50C13" w:rsidRPr="00683A7B">
              <w:rPr>
                <w:rFonts w:ascii="Calibri" w:eastAsia="Calibri" w:hAnsi="Calibri" w:cs="Times New Roman"/>
                <w:sz w:val="20"/>
                <w:szCs w:val="20"/>
                <w:lang w:val="en-GB"/>
              </w:rPr>
              <w:t>)</w:t>
            </w:r>
          </w:p>
        </w:tc>
      </w:tr>
      <w:tr w:rsidR="00095D1E" w:rsidRPr="00683A7B" w14:paraId="3D43CCEF" w14:textId="77777777" w:rsidTr="00267EE6">
        <w:trPr>
          <w:trHeight w:val="80"/>
        </w:trPr>
        <w:tc>
          <w:tcPr>
            <w:tcW w:w="234" w:type="dxa"/>
            <w:tcBorders>
              <w:top w:val="single" w:sz="8" w:space="0" w:color="DBE5F1" w:themeColor="accent1" w:themeTint="33"/>
              <w:bottom w:val="single" w:sz="8" w:space="0" w:color="DBE5F1" w:themeColor="accent1" w:themeTint="33"/>
            </w:tcBorders>
          </w:tcPr>
          <w:p w14:paraId="468834CF" w14:textId="2CF2290F" w:rsidR="00F50C13" w:rsidRPr="00683A7B" w:rsidRDefault="00F50C13" w:rsidP="007A32FD">
            <w:pPr>
              <w:keepNext/>
              <w:keepLines/>
              <w:jc w:val="left"/>
              <w:rPr>
                <w:rFonts w:ascii="Calibri" w:eastAsia="Calibri" w:hAnsi="Calibri" w:cs="Times New Roman"/>
                <w:sz w:val="20"/>
                <w:szCs w:val="20"/>
                <w:lang w:val="en-GB"/>
              </w:rPr>
            </w:pPr>
          </w:p>
        </w:tc>
        <w:tc>
          <w:tcPr>
            <w:tcW w:w="234" w:type="dxa"/>
            <w:tcBorders>
              <w:top w:val="single" w:sz="8" w:space="0" w:color="DBE5F1" w:themeColor="accent1" w:themeTint="33"/>
              <w:bottom w:val="single" w:sz="8" w:space="0" w:color="DBE5F1" w:themeColor="accent1" w:themeTint="33"/>
            </w:tcBorders>
          </w:tcPr>
          <w:p w14:paraId="2FE1B844" w14:textId="77777777" w:rsidR="00F50C13" w:rsidRPr="00683A7B" w:rsidRDefault="00F50C13" w:rsidP="007A32FD">
            <w:pPr>
              <w:keepNext/>
              <w:keepLines/>
              <w:rPr>
                <w:rFonts w:ascii="Calibri" w:eastAsia="Calibri" w:hAnsi="Calibri" w:cs="Times New Roman"/>
                <w:sz w:val="20"/>
                <w:szCs w:val="20"/>
              </w:rPr>
            </w:pPr>
          </w:p>
        </w:tc>
        <w:tc>
          <w:tcPr>
            <w:tcW w:w="3229" w:type="dxa"/>
            <w:tcBorders>
              <w:top w:val="single" w:sz="8" w:space="0" w:color="DBE5F1" w:themeColor="accent1" w:themeTint="33"/>
              <w:bottom w:val="single" w:sz="8" w:space="0" w:color="DBE5F1" w:themeColor="accent1" w:themeTint="33"/>
            </w:tcBorders>
          </w:tcPr>
          <w:p w14:paraId="4D4993E0" w14:textId="771B95FD" w:rsidR="00F50C13" w:rsidRPr="00683A7B" w:rsidRDefault="00F50C13" w:rsidP="007A32FD">
            <w:pPr>
              <w:keepNext/>
              <w:keepLines/>
              <w:jc w:val="left"/>
              <w:rPr>
                <w:rFonts w:ascii="Calibri" w:eastAsia="Calibri" w:hAnsi="Calibri" w:cs="Times New Roman"/>
                <w:sz w:val="20"/>
                <w:szCs w:val="20"/>
                <w:lang w:val="en-GB"/>
              </w:rPr>
            </w:pPr>
            <w:r w:rsidRPr="00683A7B">
              <w:rPr>
                <w:rFonts w:ascii="Calibri" w:eastAsia="Calibri" w:hAnsi="Calibri" w:cs="Times New Roman"/>
                <w:sz w:val="20"/>
                <w:szCs w:val="20"/>
                <w:lang w:val="en-GB"/>
              </w:rPr>
              <w:t xml:space="preserve">&gt;0g </w:t>
            </w:r>
            <w:r w:rsidR="00451F7B">
              <w:rPr>
                <w:rFonts w:ascii="Calibri" w:eastAsia="Calibri" w:hAnsi="Calibri" w:cs="Times New Roman"/>
                <w:sz w:val="20"/>
                <w:szCs w:val="20"/>
                <w:lang w:val="en-GB"/>
              </w:rPr>
              <w:t>to</w:t>
            </w:r>
            <w:r w:rsidRPr="00683A7B">
              <w:rPr>
                <w:rFonts w:ascii="Calibri" w:eastAsia="Calibri" w:hAnsi="Calibri" w:cs="Times New Roman"/>
                <w:sz w:val="20"/>
                <w:szCs w:val="20"/>
                <w:lang w:val="en-GB"/>
              </w:rPr>
              <w:t xml:space="preserve"> &lt;5g </w:t>
            </w:r>
            <w:r w:rsidR="00451F7B">
              <w:rPr>
                <w:rFonts w:ascii="Calibri" w:eastAsia="Calibri" w:hAnsi="Calibri" w:cs="Times New Roman"/>
                <w:sz w:val="20"/>
                <w:szCs w:val="20"/>
                <w:lang w:val="en-GB"/>
              </w:rPr>
              <w:t>sugar</w:t>
            </w:r>
            <w:r w:rsidR="001F1E9A">
              <w:rPr>
                <w:rFonts w:ascii="Calibri" w:eastAsia="Calibri" w:hAnsi="Calibri" w:cs="Times New Roman"/>
                <w:sz w:val="20"/>
                <w:szCs w:val="20"/>
                <w:lang w:val="en-GB"/>
              </w:rPr>
              <w:t xml:space="preserve"> per </w:t>
            </w:r>
            <w:r w:rsidRPr="00683A7B">
              <w:rPr>
                <w:rFonts w:ascii="Calibri" w:eastAsia="Calibri" w:hAnsi="Calibri" w:cs="Times New Roman"/>
                <w:sz w:val="20"/>
                <w:szCs w:val="20"/>
                <w:lang w:val="en-GB"/>
              </w:rPr>
              <w:t>100ml</w:t>
            </w:r>
          </w:p>
        </w:tc>
        <w:tc>
          <w:tcPr>
            <w:tcW w:w="1119" w:type="dxa"/>
            <w:tcBorders>
              <w:top w:val="single" w:sz="8" w:space="0" w:color="DBE5F1" w:themeColor="accent1" w:themeTint="33"/>
              <w:bottom w:val="single" w:sz="8" w:space="0" w:color="DBE5F1" w:themeColor="accent1" w:themeTint="33"/>
            </w:tcBorders>
          </w:tcPr>
          <w:p w14:paraId="725EC549" w14:textId="30119F06" w:rsidR="00F50C13" w:rsidRPr="00683A7B" w:rsidRDefault="005C78D7" w:rsidP="00EB4B7D">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809</w:t>
            </w:r>
            <w:r w:rsidR="00F50C13"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84</w:t>
            </w:r>
            <w:r w:rsidR="00F50C13"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38C3646D" w14:textId="7BF7698A" w:rsidR="00F50C13"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741</w:t>
            </w:r>
            <w:r w:rsidR="00F50C13"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96</w:t>
            </w:r>
            <w:r w:rsidR="00F50C13"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3AF07A72" w14:textId="5C9FF785" w:rsidR="00F50C13"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12.1</w:t>
            </w:r>
            <w:r w:rsidR="00F50C13" w:rsidRPr="00683A7B">
              <w:rPr>
                <w:rFonts w:ascii="Calibri" w:eastAsia="Calibri" w:hAnsi="Calibri" w:cs="Times New Roman"/>
                <w:sz w:val="20"/>
                <w:szCs w:val="20"/>
                <w:lang w:val="en-GB"/>
              </w:rPr>
              <w:t xml:space="preserve"> (1.</w:t>
            </w:r>
            <w:r>
              <w:rPr>
                <w:rFonts w:ascii="Calibri" w:eastAsia="Calibri" w:hAnsi="Calibri" w:cs="Times New Roman"/>
                <w:sz w:val="20"/>
                <w:szCs w:val="20"/>
                <w:lang w:val="en-GB"/>
              </w:rPr>
              <w:t>7</w:t>
            </w:r>
            <w:r w:rsidR="00F50C13" w:rsidRPr="00683A7B">
              <w:rPr>
                <w:rFonts w:ascii="Calibri" w:eastAsia="Calibri" w:hAnsi="Calibri" w:cs="Times New Roman"/>
                <w:sz w:val="20"/>
                <w:szCs w:val="20"/>
                <w:lang w:val="en-GB"/>
              </w:rPr>
              <w:t>)</w:t>
            </w:r>
          </w:p>
        </w:tc>
        <w:tc>
          <w:tcPr>
            <w:tcW w:w="1608" w:type="dxa"/>
            <w:tcBorders>
              <w:top w:val="single" w:sz="8" w:space="0" w:color="DBE5F1" w:themeColor="accent1" w:themeTint="33"/>
              <w:bottom w:val="single" w:sz="8" w:space="0" w:color="DBE5F1" w:themeColor="accent1" w:themeTint="33"/>
            </w:tcBorders>
          </w:tcPr>
          <w:p w14:paraId="369640E1" w14:textId="465BFB90" w:rsidR="00F50C13"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12.0</w:t>
            </w:r>
            <w:r w:rsidR="00F50C13" w:rsidRPr="00683A7B">
              <w:rPr>
                <w:rFonts w:ascii="Calibri" w:eastAsia="Calibri" w:hAnsi="Calibri" w:cs="Times New Roman"/>
                <w:sz w:val="20"/>
                <w:szCs w:val="20"/>
                <w:lang w:val="en-GB"/>
              </w:rPr>
              <w:t xml:space="preserve"> (2.</w:t>
            </w:r>
            <w:r>
              <w:rPr>
                <w:rFonts w:ascii="Calibri" w:eastAsia="Calibri" w:hAnsi="Calibri" w:cs="Times New Roman"/>
                <w:sz w:val="20"/>
                <w:szCs w:val="20"/>
                <w:lang w:val="en-GB"/>
              </w:rPr>
              <w:t>5</w:t>
            </w:r>
            <w:r w:rsidR="00F50C13" w:rsidRPr="00683A7B">
              <w:rPr>
                <w:rFonts w:ascii="Calibri" w:eastAsia="Calibri" w:hAnsi="Calibri" w:cs="Times New Roman"/>
                <w:sz w:val="20"/>
                <w:szCs w:val="20"/>
                <w:lang w:val="en-GB"/>
              </w:rPr>
              <w:t>)</w:t>
            </w:r>
          </w:p>
        </w:tc>
      </w:tr>
      <w:tr w:rsidR="00095D1E" w:rsidRPr="00683A7B" w14:paraId="47E48653" w14:textId="77777777" w:rsidTr="00267EE6">
        <w:trPr>
          <w:trHeight w:val="248"/>
        </w:trPr>
        <w:tc>
          <w:tcPr>
            <w:tcW w:w="234" w:type="dxa"/>
            <w:tcBorders>
              <w:top w:val="single" w:sz="8" w:space="0" w:color="DBE5F1" w:themeColor="accent1" w:themeTint="33"/>
              <w:bottom w:val="single" w:sz="8" w:space="0" w:color="DBE5F1" w:themeColor="accent1" w:themeTint="33"/>
            </w:tcBorders>
          </w:tcPr>
          <w:p w14:paraId="6D19B474" w14:textId="7871137D" w:rsidR="00F50C13" w:rsidRPr="00683A7B" w:rsidRDefault="00F50C13" w:rsidP="007A32FD">
            <w:pPr>
              <w:keepNext/>
              <w:keepLines/>
              <w:jc w:val="left"/>
              <w:rPr>
                <w:rFonts w:ascii="Calibri" w:eastAsia="Calibri" w:hAnsi="Calibri" w:cs="Times New Roman"/>
                <w:sz w:val="20"/>
                <w:szCs w:val="20"/>
                <w:lang w:val="en-GB"/>
              </w:rPr>
            </w:pPr>
          </w:p>
        </w:tc>
        <w:tc>
          <w:tcPr>
            <w:tcW w:w="234" w:type="dxa"/>
            <w:tcBorders>
              <w:top w:val="single" w:sz="8" w:space="0" w:color="DBE5F1" w:themeColor="accent1" w:themeTint="33"/>
              <w:bottom w:val="single" w:sz="8" w:space="0" w:color="DBE5F1" w:themeColor="accent1" w:themeTint="33"/>
            </w:tcBorders>
          </w:tcPr>
          <w:p w14:paraId="6324BF22" w14:textId="77777777" w:rsidR="00F50C13" w:rsidRPr="00683A7B" w:rsidRDefault="00F50C13" w:rsidP="007A32FD">
            <w:pPr>
              <w:keepNext/>
              <w:keepLines/>
              <w:jc w:val="both"/>
              <w:rPr>
                <w:rFonts w:ascii="Calibri" w:eastAsia="Calibri" w:hAnsi="Calibri" w:cs="Times New Roman"/>
                <w:sz w:val="20"/>
                <w:szCs w:val="20"/>
              </w:rPr>
            </w:pPr>
          </w:p>
        </w:tc>
        <w:tc>
          <w:tcPr>
            <w:tcW w:w="3229" w:type="dxa"/>
            <w:tcBorders>
              <w:top w:val="single" w:sz="8" w:space="0" w:color="DBE5F1" w:themeColor="accent1" w:themeTint="33"/>
              <w:bottom w:val="single" w:sz="8" w:space="0" w:color="DBE5F1" w:themeColor="accent1" w:themeTint="33"/>
            </w:tcBorders>
          </w:tcPr>
          <w:p w14:paraId="0B1F852A" w14:textId="16B057F9" w:rsidR="00F50C13" w:rsidRPr="00683A7B" w:rsidRDefault="00F50C13" w:rsidP="007A32FD">
            <w:pPr>
              <w:keepNext/>
              <w:keepLines/>
              <w:jc w:val="both"/>
              <w:rPr>
                <w:rFonts w:ascii="Calibri" w:eastAsia="Calibri" w:hAnsi="Calibri" w:cs="Times New Roman"/>
                <w:sz w:val="20"/>
                <w:szCs w:val="20"/>
                <w:lang w:val="en-GB"/>
              </w:rPr>
            </w:pPr>
            <w:r w:rsidRPr="00683A7B">
              <w:rPr>
                <w:rFonts w:ascii="Calibri" w:eastAsia="Calibri" w:hAnsi="Calibri" w:cs="Times New Roman"/>
                <w:sz w:val="20"/>
                <w:szCs w:val="20"/>
                <w:lang w:val="en-GB"/>
              </w:rPr>
              <w:t xml:space="preserve">0g </w:t>
            </w:r>
            <w:r w:rsidR="00451F7B">
              <w:rPr>
                <w:rFonts w:ascii="Calibri" w:eastAsia="Calibri" w:hAnsi="Calibri" w:cs="Times New Roman"/>
                <w:sz w:val="20"/>
                <w:szCs w:val="20"/>
                <w:lang w:val="en-GB"/>
              </w:rPr>
              <w:t>sugar</w:t>
            </w:r>
            <w:r w:rsidR="001F1E9A">
              <w:rPr>
                <w:rFonts w:ascii="Calibri" w:eastAsia="Calibri" w:hAnsi="Calibri" w:cs="Times New Roman"/>
                <w:sz w:val="20"/>
                <w:szCs w:val="20"/>
                <w:lang w:val="en-GB"/>
              </w:rPr>
              <w:t xml:space="preserve"> per </w:t>
            </w:r>
            <w:r w:rsidRPr="00683A7B">
              <w:rPr>
                <w:rFonts w:ascii="Calibri" w:eastAsia="Calibri" w:hAnsi="Calibri" w:cs="Times New Roman"/>
                <w:sz w:val="20"/>
                <w:szCs w:val="20"/>
                <w:lang w:val="en-GB"/>
              </w:rPr>
              <w:t>100ml</w:t>
            </w:r>
          </w:p>
        </w:tc>
        <w:tc>
          <w:tcPr>
            <w:tcW w:w="1119" w:type="dxa"/>
            <w:tcBorders>
              <w:top w:val="single" w:sz="8" w:space="0" w:color="DBE5F1" w:themeColor="accent1" w:themeTint="33"/>
              <w:bottom w:val="single" w:sz="8" w:space="0" w:color="DBE5F1" w:themeColor="accent1" w:themeTint="33"/>
            </w:tcBorders>
          </w:tcPr>
          <w:p w14:paraId="0E2CB8DC" w14:textId="448FFBEC" w:rsidR="00F50C13" w:rsidRPr="00683A7B" w:rsidRDefault="005C78D7" w:rsidP="00EB4B7D">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1053</w:t>
            </w:r>
            <w:r w:rsidR="00F50C13" w:rsidRPr="00683A7B">
              <w:rPr>
                <w:rFonts w:ascii="Calibri" w:eastAsia="Calibri" w:hAnsi="Calibri" w:cs="Times New Roman"/>
                <w:sz w:val="20"/>
                <w:szCs w:val="20"/>
                <w:lang w:val="en-GB"/>
              </w:rPr>
              <w:t xml:space="preserve"> (1</w:t>
            </w:r>
            <w:r w:rsidR="00267EE6">
              <w:rPr>
                <w:rFonts w:ascii="Calibri" w:eastAsia="Calibri" w:hAnsi="Calibri" w:cs="Times New Roman"/>
                <w:sz w:val="20"/>
                <w:szCs w:val="20"/>
                <w:lang w:val="en-GB"/>
              </w:rPr>
              <w:t>1</w:t>
            </w:r>
            <w:r>
              <w:rPr>
                <w:rFonts w:ascii="Calibri" w:eastAsia="Calibri" w:hAnsi="Calibri" w:cs="Times New Roman"/>
                <w:sz w:val="20"/>
                <w:szCs w:val="20"/>
                <w:lang w:val="en-GB"/>
              </w:rPr>
              <w:t>4</w:t>
            </w:r>
            <w:r w:rsidR="00F50C13"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64BC86FE" w14:textId="265CB69C" w:rsidR="00F50C13"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1076</w:t>
            </w:r>
            <w:r w:rsidR="00F50C13"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145</w:t>
            </w:r>
            <w:r w:rsidR="00F50C13"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2F93AB85" w14:textId="77777777" w:rsidR="00F50C13" w:rsidRPr="00683A7B" w:rsidRDefault="00F50C13"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0 (0)</w:t>
            </w:r>
          </w:p>
        </w:tc>
        <w:tc>
          <w:tcPr>
            <w:tcW w:w="1608" w:type="dxa"/>
            <w:tcBorders>
              <w:top w:val="single" w:sz="8" w:space="0" w:color="DBE5F1" w:themeColor="accent1" w:themeTint="33"/>
              <w:bottom w:val="single" w:sz="8" w:space="0" w:color="DBE5F1" w:themeColor="accent1" w:themeTint="33"/>
            </w:tcBorders>
          </w:tcPr>
          <w:p w14:paraId="4F27E0B6" w14:textId="77777777" w:rsidR="00F50C13" w:rsidRPr="00683A7B" w:rsidRDefault="00F50C13"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0 (0)</w:t>
            </w:r>
          </w:p>
        </w:tc>
      </w:tr>
      <w:tr w:rsidR="00095D1E" w:rsidRPr="00683A7B" w14:paraId="1EA56246" w14:textId="77777777" w:rsidTr="00267EE6">
        <w:trPr>
          <w:trHeight w:val="263"/>
        </w:trPr>
        <w:tc>
          <w:tcPr>
            <w:tcW w:w="234" w:type="dxa"/>
            <w:tcBorders>
              <w:top w:val="single" w:sz="8" w:space="0" w:color="DBE5F1" w:themeColor="accent1" w:themeTint="33"/>
              <w:bottom w:val="single" w:sz="8" w:space="0" w:color="DBE5F1" w:themeColor="accent1" w:themeTint="33"/>
            </w:tcBorders>
          </w:tcPr>
          <w:p w14:paraId="62633D81" w14:textId="77777777" w:rsidR="00F50C13" w:rsidRPr="00683A7B" w:rsidRDefault="00F50C13" w:rsidP="007A32FD">
            <w:pPr>
              <w:keepNext/>
              <w:keepLines/>
              <w:jc w:val="left"/>
              <w:rPr>
                <w:rFonts w:ascii="Calibri" w:eastAsia="Calibri" w:hAnsi="Calibri" w:cs="Times New Roman"/>
                <w:sz w:val="20"/>
                <w:szCs w:val="20"/>
                <w:lang w:val="en-GB"/>
              </w:rPr>
            </w:pPr>
          </w:p>
        </w:tc>
        <w:tc>
          <w:tcPr>
            <w:tcW w:w="234" w:type="dxa"/>
            <w:tcBorders>
              <w:top w:val="single" w:sz="8" w:space="0" w:color="DBE5F1" w:themeColor="accent1" w:themeTint="33"/>
              <w:bottom w:val="single" w:sz="8" w:space="0" w:color="DBE5F1" w:themeColor="accent1" w:themeTint="33"/>
            </w:tcBorders>
          </w:tcPr>
          <w:p w14:paraId="151FCD67" w14:textId="77777777" w:rsidR="00F50C13" w:rsidRPr="00683A7B" w:rsidRDefault="00F50C13" w:rsidP="007A32FD">
            <w:pPr>
              <w:keepNext/>
              <w:keepLines/>
              <w:rPr>
                <w:rFonts w:ascii="Calibri" w:eastAsia="Calibri" w:hAnsi="Calibri" w:cs="Times New Roman"/>
                <w:sz w:val="20"/>
                <w:szCs w:val="20"/>
              </w:rPr>
            </w:pPr>
          </w:p>
        </w:tc>
        <w:tc>
          <w:tcPr>
            <w:tcW w:w="3229" w:type="dxa"/>
            <w:tcBorders>
              <w:top w:val="single" w:sz="8" w:space="0" w:color="DBE5F1" w:themeColor="accent1" w:themeTint="33"/>
              <w:bottom w:val="single" w:sz="8" w:space="0" w:color="DBE5F1" w:themeColor="accent1" w:themeTint="33"/>
            </w:tcBorders>
          </w:tcPr>
          <w:p w14:paraId="143B5801" w14:textId="13C55A24" w:rsidR="00F50C13" w:rsidRPr="00683A7B" w:rsidRDefault="00F50C13" w:rsidP="007A32FD">
            <w:pPr>
              <w:keepNext/>
              <w:keepLines/>
              <w:jc w:val="left"/>
              <w:rPr>
                <w:rFonts w:ascii="Calibri" w:eastAsia="Calibri" w:hAnsi="Calibri" w:cs="Times New Roman"/>
                <w:sz w:val="20"/>
                <w:szCs w:val="20"/>
                <w:lang w:val="en-GB"/>
              </w:rPr>
            </w:pPr>
            <w:r w:rsidRPr="00683A7B">
              <w:rPr>
                <w:rFonts w:ascii="Calibri" w:eastAsia="Calibri" w:hAnsi="Calibri" w:cs="Times New Roman"/>
                <w:sz w:val="20"/>
                <w:szCs w:val="20"/>
                <w:lang w:val="en-GB"/>
              </w:rPr>
              <w:t>Bottled water</w:t>
            </w:r>
          </w:p>
        </w:tc>
        <w:tc>
          <w:tcPr>
            <w:tcW w:w="1119" w:type="dxa"/>
            <w:tcBorders>
              <w:top w:val="single" w:sz="8" w:space="0" w:color="DBE5F1" w:themeColor="accent1" w:themeTint="33"/>
              <w:bottom w:val="single" w:sz="8" w:space="0" w:color="DBE5F1" w:themeColor="accent1" w:themeTint="33"/>
            </w:tcBorders>
          </w:tcPr>
          <w:p w14:paraId="43ABE58C" w14:textId="6D0D6CEC" w:rsidR="00F50C13" w:rsidRPr="00683A7B" w:rsidRDefault="005C78D7" w:rsidP="00EB4B7D">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599</w:t>
            </w:r>
            <w:r w:rsidR="00F50C13" w:rsidRPr="00683A7B">
              <w:rPr>
                <w:rFonts w:ascii="Calibri" w:eastAsia="Calibri" w:hAnsi="Calibri" w:cs="Times New Roman"/>
                <w:sz w:val="20"/>
                <w:szCs w:val="20"/>
                <w:lang w:val="en-GB"/>
              </w:rPr>
              <w:t xml:space="preserve"> (77)</w:t>
            </w:r>
          </w:p>
        </w:tc>
        <w:tc>
          <w:tcPr>
            <w:tcW w:w="1454" w:type="dxa"/>
            <w:tcBorders>
              <w:top w:val="single" w:sz="8" w:space="0" w:color="DBE5F1" w:themeColor="accent1" w:themeTint="33"/>
              <w:bottom w:val="single" w:sz="8" w:space="0" w:color="DBE5F1" w:themeColor="accent1" w:themeTint="33"/>
            </w:tcBorders>
          </w:tcPr>
          <w:p w14:paraId="3491F4C4" w14:textId="0A53EFB7" w:rsidR="00F50C13" w:rsidRPr="00683A7B" w:rsidRDefault="00F50C13">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70</w:t>
            </w:r>
            <w:r w:rsidR="005C78D7">
              <w:rPr>
                <w:rFonts w:ascii="Calibri" w:eastAsia="Calibri" w:hAnsi="Calibri" w:cs="Times New Roman"/>
                <w:sz w:val="20"/>
                <w:szCs w:val="20"/>
                <w:lang w:val="en-GB"/>
              </w:rPr>
              <w:t>3</w:t>
            </w:r>
            <w:r w:rsidRPr="00683A7B">
              <w:rPr>
                <w:rFonts w:ascii="Calibri" w:eastAsia="Calibri" w:hAnsi="Calibri" w:cs="Times New Roman"/>
                <w:sz w:val="20"/>
                <w:szCs w:val="20"/>
                <w:lang w:val="en-GB"/>
              </w:rPr>
              <w:t xml:space="preserve"> (89)</w:t>
            </w:r>
          </w:p>
        </w:tc>
        <w:tc>
          <w:tcPr>
            <w:tcW w:w="1454" w:type="dxa"/>
            <w:tcBorders>
              <w:top w:val="single" w:sz="8" w:space="0" w:color="DBE5F1" w:themeColor="accent1" w:themeTint="33"/>
              <w:bottom w:val="single" w:sz="8" w:space="0" w:color="DBE5F1" w:themeColor="accent1" w:themeTint="33"/>
            </w:tcBorders>
          </w:tcPr>
          <w:p w14:paraId="5E67D2ED" w14:textId="77777777" w:rsidR="00F50C13" w:rsidRPr="00683A7B" w:rsidRDefault="00F50C13"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0 (0)</w:t>
            </w:r>
          </w:p>
        </w:tc>
        <w:tc>
          <w:tcPr>
            <w:tcW w:w="1608" w:type="dxa"/>
            <w:tcBorders>
              <w:top w:val="single" w:sz="8" w:space="0" w:color="DBE5F1" w:themeColor="accent1" w:themeTint="33"/>
              <w:bottom w:val="single" w:sz="8" w:space="0" w:color="DBE5F1" w:themeColor="accent1" w:themeTint="33"/>
            </w:tcBorders>
          </w:tcPr>
          <w:p w14:paraId="5013B220" w14:textId="77777777" w:rsidR="00F50C13" w:rsidRPr="00683A7B" w:rsidRDefault="00F50C13"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0 (0)</w:t>
            </w:r>
          </w:p>
        </w:tc>
      </w:tr>
      <w:tr w:rsidR="00095D1E" w:rsidRPr="00683A7B" w14:paraId="561BABDA" w14:textId="77777777" w:rsidTr="00267EE6">
        <w:trPr>
          <w:trHeight w:val="248"/>
        </w:trPr>
        <w:tc>
          <w:tcPr>
            <w:tcW w:w="3697" w:type="dxa"/>
            <w:gridSpan w:val="3"/>
            <w:tcBorders>
              <w:top w:val="single" w:sz="8" w:space="0" w:color="DBE5F1" w:themeColor="accent1" w:themeTint="33"/>
              <w:bottom w:val="single" w:sz="8" w:space="0" w:color="DBE5F1" w:themeColor="accent1" w:themeTint="33"/>
            </w:tcBorders>
          </w:tcPr>
          <w:p w14:paraId="588ECD6A" w14:textId="7FD0F202" w:rsidR="00F50C13" w:rsidRPr="00683A7B" w:rsidRDefault="00F50C13" w:rsidP="007A32FD">
            <w:pPr>
              <w:keepNext/>
              <w:keepLines/>
              <w:jc w:val="left"/>
              <w:rPr>
                <w:rFonts w:ascii="Calibri" w:eastAsia="Calibri" w:hAnsi="Calibri" w:cs="Times New Roman"/>
                <w:sz w:val="20"/>
                <w:szCs w:val="20"/>
              </w:rPr>
            </w:pPr>
            <w:r>
              <w:rPr>
                <w:rFonts w:ascii="Calibri" w:eastAsia="Calibri" w:hAnsi="Calibri" w:cs="Times New Roman"/>
                <w:sz w:val="20"/>
                <w:szCs w:val="20"/>
              </w:rPr>
              <w:t>Exempt drinks</w:t>
            </w:r>
          </w:p>
        </w:tc>
        <w:tc>
          <w:tcPr>
            <w:tcW w:w="1119" w:type="dxa"/>
            <w:tcBorders>
              <w:top w:val="single" w:sz="8" w:space="0" w:color="DBE5F1" w:themeColor="accent1" w:themeTint="33"/>
              <w:bottom w:val="single" w:sz="8" w:space="0" w:color="DBE5F1" w:themeColor="accent1" w:themeTint="33"/>
            </w:tcBorders>
          </w:tcPr>
          <w:p w14:paraId="796B3EC9" w14:textId="77777777" w:rsidR="00F50C13" w:rsidRPr="00683A7B" w:rsidRDefault="00F50C13" w:rsidP="007A32FD">
            <w:pPr>
              <w:keepNext/>
              <w:keepLines/>
              <w:jc w:val="center"/>
              <w:rPr>
                <w:rFonts w:ascii="Calibri" w:eastAsia="Calibri" w:hAnsi="Calibri" w:cs="Times New Roman"/>
                <w:sz w:val="20"/>
                <w:szCs w:val="20"/>
              </w:rPr>
            </w:pPr>
          </w:p>
        </w:tc>
        <w:tc>
          <w:tcPr>
            <w:tcW w:w="1454" w:type="dxa"/>
            <w:tcBorders>
              <w:top w:val="single" w:sz="8" w:space="0" w:color="DBE5F1" w:themeColor="accent1" w:themeTint="33"/>
              <w:bottom w:val="single" w:sz="8" w:space="0" w:color="DBE5F1" w:themeColor="accent1" w:themeTint="33"/>
            </w:tcBorders>
          </w:tcPr>
          <w:p w14:paraId="225498B6" w14:textId="77777777" w:rsidR="00F50C13" w:rsidRPr="00683A7B" w:rsidRDefault="00F50C13" w:rsidP="007A32FD">
            <w:pPr>
              <w:keepNext/>
              <w:keepLines/>
              <w:jc w:val="center"/>
              <w:rPr>
                <w:rFonts w:ascii="Calibri" w:eastAsia="Calibri" w:hAnsi="Calibri" w:cs="Times New Roman"/>
                <w:sz w:val="20"/>
                <w:szCs w:val="20"/>
              </w:rPr>
            </w:pPr>
          </w:p>
        </w:tc>
        <w:tc>
          <w:tcPr>
            <w:tcW w:w="1454" w:type="dxa"/>
            <w:tcBorders>
              <w:top w:val="single" w:sz="8" w:space="0" w:color="DBE5F1" w:themeColor="accent1" w:themeTint="33"/>
              <w:bottom w:val="single" w:sz="8" w:space="0" w:color="DBE5F1" w:themeColor="accent1" w:themeTint="33"/>
            </w:tcBorders>
          </w:tcPr>
          <w:p w14:paraId="227342FA" w14:textId="77777777" w:rsidR="00F50C13" w:rsidRPr="00683A7B" w:rsidRDefault="00F50C13" w:rsidP="007A32FD">
            <w:pPr>
              <w:keepNext/>
              <w:keepLines/>
              <w:jc w:val="center"/>
              <w:rPr>
                <w:rFonts w:ascii="Calibri" w:eastAsia="Calibri" w:hAnsi="Calibri" w:cs="Times New Roman"/>
                <w:sz w:val="20"/>
                <w:szCs w:val="20"/>
              </w:rPr>
            </w:pPr>
          </w:p>
        </w:tc>
        <w:tc>
          <w:tcPr>
            <w:tcW w:w="1608" w:type="dxa"/>
            <w:tcBorders>
              <w:top w:val="single" w:sz="8" w:space="0" w:color="DBE5F1" w:themeColor="accent1" w:themeTint="33"/>
              <w:bottom w:val="single" w:sz="8" w:space="0" w:color="DBE5F1" w:themeColor="accent1" w:themeTint="33"/>
            </w:tcBorders>
          </w:tcPr>
          <w:p w14:paraId="3ADD47E3" w14:textId="77777777" w:rsidR="00F50C13" w:rsidRPr="00683A7B" w:rsidRDefault="00F50C13" w:rsidP="007A32FD">
            <w:pPr>
              <w:keepNext/>
              <w:keepLines/>
              <w:jc w:val="center"/>
              <w:rPr>
                <w:rFonts w:ascii="Calibri" w:eastAsia="Calibri" w:hAnsi="Calibri" w:cs="Times New Roman"/>
                <w:sz w:val="20"/>
                <w:szCs w:val="20"/>
              </w:rPr>
            </w:pPr>
          </w:p>
        </w:tc>
      </w:tr>
      <w:tr w:rsidR="00095D1E" w:rsidRPr="00683A7B" w14:paraId="6D47644C" w14:textId="77777777" w:rsidTr="00267EE6">
        <w:trPr>
          <w:trHeight w:val="248"/>
        </w:trPr>
        <w:tc>
          <w:tcPr>
            <w:tcW w:w="234" w:type="dxa"/>
            <w:tcBorders>
              <w:top w:val="single" w:sz="8" w:space="0" w:color="DBE5F1" w:themeColor="accent1" w:themeTint="33"/>
              <w:bottom w:val="single" w:sz="8" w:space="0" w:color="DBE5F1" w:themeColor="accent1" w:themeTint="33"/>
            </w:tcBorders>
          </w:tcPr>
          <w:p w14:paraId="7B723133" w14:textId="77777777" w:rsidR="00F50C13" w:rsidRPr="00683A7B" w:rsidRDefault="00F50C13" w:rsidP="007A32FD">
            <w:pPr>
              <w:keepNext/>
              <w:keepLines/>
              <w:rPr>
                <w:rFonts w:ascii="Calibri" w:eastAsia="Calibri" w:hAnsi="Calibri" w:cs="Times New Roman"/>
                <w:sz w:val="20"/>
                <w:szCs w:val="20"/>
              </w:rPr>
            </w:pPr>
          </w:p>
        </w:tc>
        <w:tc>
          <w:tcPr>
            <w:tcW w:w="3463" w:type="dxa"/>
            <w:gridSpan w:val="2"/>
            <w:tcBorders>
              <w:top w:val="single" w:sz="8" w:space="0" w:color="DBE5F1" w:themeColor="accent1" w:themeTint="33"/>
              <w:bottom w:val="single" w:sz="8" w:space="0" w:color="DBE5F1" w:themeColor="accent1" w:themeTint="33"/>
            </w:tcBorders>
          </w:tcPr>
          <w:p w14:paraId="01DB6CA2" w14:textId="10FF4661" w:rsidR="00F50C13" w:rsidRPr="00683A7B" w:rsidRDefault="00F50C13" w:rsidP="007A32FD">
            <w:pPr>
              <w:keepNext/>
              <w:keepLines/>
              <w:jc w:val="left"/>
              <w:rPr>
                <w:rFonts w:ascii="Calibri" w:eastAsia="Calibri" w:hAnsi="Calibri" w:cs="Times New Roman"/>
                <w:sz w:val="20"/>
                <w:szCs w:val="20"/>
                <w:lang w:val="en-GB"/>
              </w:rPr>
            </w:pPr>
            <w:r w:rsidRPr="00683A7B">
              <w:rPr>
                <w:rFonts w:ascii="Calibri" w:eastAsia="Calibri" w:hAnsi="Calibri" w:cs="Times New Roman"/>
                <w:sz w:val="20"/>
                <w:szCs w:val="20"/>
                <w:lang w:val="en-GB"/>
              </w:rPr>
              <w:t>Alcohol</w:t>
            </w:r>
            <w:r w:rsidR="00C9271D">
              <w:rPr>
                <w:rFonts w:ascii="Calibri" w:eastAsia="Calibri" w:hAnsi="Calibri" w:cs="Times New Roman"/>
                <w:sz w:val="20"/>
                <w:szCs w:val="20"/>
                <w:lang w:val="en-GB"/>
              </w:rPr>
              <w:t>ic drinks</w:t>
            </w:r>
          </w:p>
        </w:tc>
        <w:tc>
          <w:tcPr>
            <w:tcW w:w="1119" w:type="dxa"/>
            <w:tcBorders>
              <w:top w:val="single" w:sz="8" w:space="0" w:color="DBE5F1" w:themeColor="accent1" w:themeTint="33"/>
              <w:bottom w:val="single" w:sz="8" w:space="0" w:color="DBE5F1" w:themeColor="accent1" w:themeTint="33"/>
            </w:tcBorders>
          </w:tcPr>
          <w:p w14:paraId="58E10DF1" w14:textId="236B5E05" w:rsidR="00F50C13" w:rsidRPr="00683A7B" w:rsidRDefault="00267EE6" w:rsidP="00EB4B7D">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19</w:t>
            </w:r>
            <w:r w:rsidR="005C78D7">
              <w:rPr>
                <w:rFonts w:ascii="Calibri" w:eastAsia="Calibri" w:hAnsi="Calibri" w:cs="Times New Roman"/>
                <w:sz w:val="20"/>
                <w:szCs w:val="20"/>
                <w:lang w:val="en-GB"/>
              </w:rPr>
              <w:t>25</w:t>
            </w:r>
            <w:r w:rsidR="00F50C13"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443</w:t>
            </w:r>
            <w:r w:rsidR="00F50C13"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4CE0C49F" w14:textId="48E5DEB0" w:rsidR="00F50C13"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1836</w:t>
            </w:r>
            <w:r w:rsidR="00F50C13" w:rsidRPr="00683A7B">
              <w:rPr>
                <w:rFonts w:ascii="Calibri" w:eastAsia="Calibri" w:hAnsi="Calibri" w:cs="Times New Roman"/>
                <w:sz w:val="20"/>
                <w:szCs w:val="20"/>
                <w:lang w:val="en-GB"/>
              </w:rPr>
              <w:t xml:space="preserve"> (</w:t>
            </w:r>
            <w:r w:rsidR="00267EE6">
              <w:rPr>
                <w:rFonts w:ascii="Calibri" w:eastAsia="Calibri" w:hAnsi="Calibri" w:cs="Times New Roman"/>
                <w:sz w:val="20"/>
                <w:szCs w:val="20"/>
                <w:lang w:val="en-GB"/>
              </w:rPr>
              <w:t>50</w:t>
            </w:r>
            <w:r>
              <w:rPr>
                <w:rFonts w:ascii="Calibri" w:eastAsia="Calibri" w:hAnsi="Calibri" w:cs="Times New Roman"/>
                <w:sz w:val="20"/>
                <w:szCs w:val="20"/>
                <w:lang w:val="en-GB"/>
              </w:rPr>
              <w:t>9</w:t>
            </w:r>
            <w:r w:rsidR="00F50C13"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65E3DB14" w14:textId="77777777" w:rsidR="00F50C13" w:rsidRPr="00683A7B" w:rsidRDefault="00F50C13"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w:t>
            </w:r>
          </w:p>
        </w:tc>
        <w:tc>
          <w:tcPr>
            <w:tcW w:w="1608" w:type="dxa"/>
            <w:tcBorders>
              <w:top w:val="single" w:sz="8" w:space="0" w:color="DBE5F1" w:themeColor="accent1" w:themeTint="33"/>
              <w:bottom w:val="single" w:sz="8" w:space="0" w:color="DBE5F1" w:themeColor="accent1" w:themeTint="33"/>
            </w:tcBorders>
          </w:tcPr>
          <w:p w14:paraId="71588DDE" w14:textId="77777777" w:rsidR="00F50C13" w:rsidRPr="00683A7B" w:rsidRDefault="00F50C13"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w:t>
            </w:r>
          </w:p>
        </w:tc>
      </w:tr>
      <w:tr w:rsidR="00095D1E" w:rsidRPr="00683A7B" w14:paraId="2D1ADB0C" w14:textId="77777777" w:rsidTr="00267EE6">
        <w:trPr>
          <w:trHeight w:val="263"/>
        </w:trPr>
        <w:tc>
          <w:tcPr>
            <w:tcW w:w="234" w:type="dxa"/>
            <w:tcBorders>
              <w:top w:val="single" w:sz="8" w:space="0" w:color="DBE5F1" w:themeColor="accent1" w:themeTint="33"/>
              <w:bottom w:val="single" w:sz="8" w:space="0" w:color="DBE5F1" w:themeColor="accent1" w:themeTint="33"/>
            </w:tcBorders>
          </w:tcPr>
          <w:p w14:paraId="4CA1FB6C" w14:textId="77777777" w:rsidR="00F50C13" w:rsidRPr="00683A7B" w:rsidRDefault="00F50C13" w:rsidP="007A32FD">
            <w:pPr>
              <w:keepNext/>
              <w:keepLines/>
              <w:rPr>
                <w:rFonts w:ascii="Calibri" w:eastAsia="Calibri" w:hAnsi="Calibri" w:cs="Times New Roman"/>
                <w:sz w:val="20"/>
                <w:szCs w:val="20"/>
              </w:rPr>
            </w:pPr>
          </w:p>
        </w:tc>
        <w:tc>
          <w:tcPr>
            <w:tcW w:w="3463" w:type="dxa"/>
            <w:gridSpan w:val="2"/>
            <w:tcBorders>
              <w:top w:val="single" w:sz="8" w:space="0" w:color="DBE5F1" w:themeColor="accent1" w:themeTint="33"/>
              <w:bottom w:val="single" w:sz="8" w:space="0" w:color="DBE5F1" w:themeColor="accent1" w:themeTint="33"/>
            </w:tcBorders>
          </w:tcPr>
          <w:p w14:paraId="7B85B340" w14:textId="41CB5E74" w:rsidR="00F50C13" w:rsidRPr="00683A7B" w:rsidRDefault="00F50C13" w:rsidP="007A32FD">
            <w:pPr>
              <w:keepNext/>
              <w:keepLines/>
              <w:jc w:val="left"/>
              <w:rPr>
                <w:rFonts w:ascii="Calibri" w:eastAsia="Calibri" w:hAnsi="Calibri" w:cs="Times New Roman"/>
                <w:sz w:val="20"/>
                <w:szCs w:val="20"/>
                <w:lang w:val="en-GB"/>
              </w:rPr>
            </w:pPr>
            <w:r w:rsidRPr="00683A7B">
              <w:rPr>
                <w:rFonts w:ascii="Calibri" w:eastAsia="Calibri" w:hAnsi="Calibri" w:cs="Times New Roman"/>
                <w:sz w:val="20"/>
                <w:szCs w:val="20"/>
                <w:lang w:val="en-GB"/>
              </w:rPr>
              <w:t>Milk and milk based drinks</w:t>
            </w:r>
          </w:p>
        </w:tc>
        <w:tc>
          <w:tcPr>
            <w:tcW w:w="1119" w:type="dxa"/>
            <w:tcBorders>
              <w:top w:val="single" w:sz="8" w:space="0" w:color="DBE5F1" w:themeColor="accent1" w:themeTint="33"/>
              <w:bottom w:val="single" w:sz="8" w:space="0" w:color="DBE5F1" w:themeColor="accent1" w:themeTint="33"/>
            </w:tcBorders>
          </w:tcPr>
          <w:p w14:paraId="2EC10224" w14:textId="6403331B" w:rsidR="00F50C13" w:rsidRPr="00683A7B" w:rsidRDefault="00F50C13" w:rsidP="00267EE6">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36</w:t>
            </w:r>
            <w:r w:rsidR="009450E5">
              <w:rPr>
                <w:rFonts w:ascii="Calibri" w:eastAsia="Calibri" w:hAnsi="Calibri" w:cs="Times New Roman"/>
                <w:sz w:val="20"/>
                <w:szCs w:val="20"/>
                <w:lang w:val="en-GB"/>
              </w:rPr>
              <w:t>6</w:t>
            </w:r>
            <w:r w:rsidR="005C78D7">
              <w:rPr>
                <w:rFonts w:ascii="Calibri" w:eastAsia="Calibri" w:hAnsi="Calibri" w:cs="Times New Roman"/>
                <w:sz w:val="20"/>
                <w:szCs w:val="20"/>
                <w:lang w:val="en-GB"/>
              </w:rPr>
              <w:t>2</w:t>
            </w:r>
            <w:r w:rsidRPr="00683A7B">
              <w:rPr>
                <w:rFonts w:ascii="Calibri" w:eastAsia="Calibri" w:hAnsi="Calibri" w:cs="Times New Roman"/>
                <w:sz w:val="20"/>
                <w:szCs w:val="20"/>
                <w:lang w:val="en-GB"/>
              </w:rPr>
              <w:t xml:space="preserve"> (20</w:t>
            </w:r>
            <w:r w:rsidR="00267EE6">
              <w:rPr>
                <w:rFonts w:ascii="Calibri" w:eastAsia="Calibri" w:hAnsi="Calibri" w:cs="Times New Roman"/>
                <w:sz w:val="20"/>
                <w:szCs w:val="20"/>
                <w:lang w:val="en-GB"/>
              </w:rPr>
              <w:t>3</w:t>
            </w:r>
            <w:r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3D7BDF5E" w14:textId="1E8C2118" w:rsidR="00F50C13" w:rsidRPr="00683A7B" w:rsidRDefault="00F50C13" w:rsidP="00EB4B7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3</w:t>
            </w:r>
            <w:r w:rsidR="009450E5">
              <w:rPr>
                <w:rFonts w:ascii="Calibri" w:eastAsia="Calibri" w:hAnsi="Calibri" w:cs="Times New Roman"/>
                <w:sz w:val="20"/>
                <w:szCs w:val="20"/>
                <w:lang w:val="en-GB"/>
              </w:rPr>
              <w:t>41</w:t>
            </w:r>
            <w:r w:rsidR="005C78D7">
              <w:rPr>
                <w:rFonts w:ascii="Calibri" w:eastAsia="Calibri" w:hAnsi="Calibri" w:cs="Times New Roman"/>
                <w:sz w:val="20"/>
                <w:szCs w:val="20"/>
                <w:lang w:val="en-GB"/>
              </w:rPr>
              <w:t>4</w:t>
            </w:r>
            <w:r w:rsidRPr="00683A7B">
              <w:rPr>
                <w:rFonts w:ascii="Calibri" w:eastAsia="Calibri" w:hAnsi="Calibri" w:cs="Times New Roman"/>
                <w:sz w:val="20"/>
                <w:szCs w:val="20"/>
                <w:lang w:val="en-GB"/>
              </w:rPr>
              <w:t xml:space="preserve"> (2</w:t>
            </w:r>
            <w:r w:rsidR="009450E5">
              <w:rPr>
                <w:rFonts w:ascii="Calibri" w:eastAsia="Calibri" w:hAnsi="Calibri" w:cs="Times New Roman"/>
                <w:sz w:val="20"/>
                <w:szCs w:val="20"/>
                <w:lang w:val="en-GB"/>
              </w:rPr>
              <w:t>2</w:t>
            </w:r>
            <w:r w:rsidR="005C78D7">
              <w:rPr>
                <w:rFonts w:ascii="Calibri" w:eastAsia="Calibri" w:hAnsi="Calibri" w:cs="Times New Roman"/>
                <w:sz w:val="20"/>
                <w:szCs w:val="20"/>
                <w:lang w:val="en-GB"/>
              </w:rPr>
              <w:t>4</w:t>
            </w:r>
            <w:r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5434ED24" w14:textId="00CABABC" w:rsidR="00F50C13" w:rsidRPr="00683A7B" w:rsidRDefault="00F50C13">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17</w:t>
            </w:r>
            <w:r w:rsidR="005C78D7">
              <w:rPr>
                <w:rFonts w:ascii="Calibri" w:eastAsia="Calibri" w:hAnsi="Calibri" w:cs="Times New Roman"/>
                <w:sz w:val="20"/>
                <w:szCs w:val="20"/>
                <w:lang w:val="en-GB"/>
              </w:rPr>
              <w:t>8.1</w:t>
            </w:r>
            <w:r w:rsidRPr="00683A7B">
              <w:rPr>
                <w:rFonts w:ascii="Calibri" w:eastAsia="Calibri" w:hAnsi="Calibri" w:cs="Times New Roman"/>
                <w:sz w:val="20"/>
                <w:szCs w:val="20"/>
                <w:lang w:val="en-GB"/>
              </w:rPr>
              <w:t xml:space="preserve"> (</w:t>
            </w:r>
            <w:r w:rsidR="005C78D7">
              <w:rPr>
                <w:rFonts w:ascii="Calibri" w:eastAsia="Calibri" w:hAnsi="Calibri" w:cs="Times New Roman"/>
                <w:sz w:val="20"/>
                <w:szCs w:val="20"/>
                <w:lang w:val="en-GB"/>
              </w:rPr>
              <w:t>9.9</w:t>
            </w:r>
            <w:r w:rsidRPr="00683A7B">
              <w:rPr>
                <w:rFonts w:ascii="Calibri" w:eastAsia="Calibri" w:hAnsi="Calibri" w:cs="Times New Roman"/>
                <w:sz w:val="20"/>
                <w:szCs w:val="20"/>
                <w:lang w:val="en-GB"/>
              </w:rPr>
              <w:t>)</w:t>
            </w:r>
          </w:p>
        </w:tc>
        <w:tc>
          <w:tcPr>
            <w:tcW w:w="1608" w:type="dxa"/>
            <w:tcBorders>
              <w:top w:val="single" w:sz="8" w:space="0" w:color="DBE5F1" w:themeColor="accent1" w:themeTint="33"/>
              <w:bottom w:val="single" w:sz="8" w:space="0" w:color="DBE5F1" w:themeColor="accent1" w:themeTint="33"/>
            </w:tcBorders>
          </w:tcPr>
          <w:p w14:paraId="0D7A6FAC" w14:textId="3E9CDD49" w:rsidR="00F50C13" w:rsidRPr="00683A7B" w:rsidRDefault="00F50C13">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1</w:t>
            </w:r>
            <w:r w:rsidR="009450E5">
              <w:rPr>
                <w:rFonts w:ascii="Calibri" w:eastAsia="Calibri" w:hAnsi="Calibri" w:cs="Times New Roman"/>
                <w:sz w:val="20"/>
                <w:szCs w:val="20"/>
                <w:lang w:val="en-GB"/>
              </w:rPr>
              <w:t>65</w:t>
            </w:r>
            <w:r w:rsidR="005C78D7">
              <w:rPr>
                <w:rFonts w:ascii="Calibri" w:eastAsia="Calibri" w:hAnsi="Calibri" w:cs="Times New Roman"/>
                <w:sz w:val="20"/>
                <w:szCs w:val="20"/>
                <w:lang w:val="en-GB"/>
              </w:rPr>
              <w:t>.7</w:t>
            </w:r>
            <w:r w:rsidRPr="00683A7B">
              <w:rPr>
                <w:rFonts w:ascii="Calibri" w:eastAsia="Calibri" w:hAnsi="Calibri" w:cs="Times New Roman"/>
                <w:sz w:val="20"/>
                <w:szCs w:val="20"/>
                <w:lang w:val="en-GB"/>
              </w:rPr>
              <w:t xml:space="preserve"> (</w:t>
            </w:r>
            <w:r w:rsidR="009450E5">
              <w:rPr>
                <w:rFonts w:ascii="Calibri" w:eastAsia="Calibri" w:hAnsi="Calibri" w:cs="Times New Roman"/>
                <w:sz w:val="20"/>
                <w:szCs w:val="20"/>
                <w:lang w:val="en-GB"/>
              </w:rPr>
              <w:t>11.</w:t>
            </w:r>
            <w:r w:rsidR="005C78D7">
              <w:rPr>
                <w:rFonts w:ascii="Calibri" w:eastAsia="Calibri" w:hAnsi="Calibri" w:cs="Times New Roman"/>
                <w:sz w:val="20"/>
                <w:szCs w:val="20"/>
                <w:lang w:val="en-GB"/>
              </w:rPr>
              <w:t>1</w:t>
            </w:r>
            <w:r w:rsidRPr="00683A7B">
              <w:rPr>
                <w:rFonts w:ascii="Calibri" w:eastAsia="Calibri" w:hAnsi="Calibri" w:cs="Times New Roman"/>
                <w:sz w:val="20"/>
                <w:szCs w:val="20"/>
                <w:lang w:val="en-GB"/>
              </w:rPr>
              <w:t>)</w:t>
            </w:r>
          </w:p>
        </w:tc>
      </w:tr>
      <w:tr w:rsidR="00095D1E" w:rsidRPr="00683A7B" w14:paraId="44505982" w14:textId="77777777" w:rsidTr="00267EE6">
        <w:trPr>
          <w:trHeight w:val="248"/>
        </w:trPr>
        <w:tc>
          <w:tcPr>
            <w:tcW w:w="234" w:type="dxa"/>
            <w:tcBorders>
              <w:top w:val="single" w:sz="8" w:space="0" w:color="DBE5F1" w:themeColor="accent1" w:themeTint="33"/>
              <w:bottom w:val="single" w:sz="8" w:space="0" w:color="DBE5F1" w:themeColor="accent1" w:themeTint="33"/>
            </w:tcBorders>
          </w:tcPr>
          <w:p w14:paraId="4C82CAA6" w14:textId="77777777" w:rsidR="00F50C13" w:rsidRPr="00683A7B" w:rsidRDefault="00F50C13" w:rsidP="007A32FD">
            <w:pPr>
              <w:keepNext/>
              <w:keepLines/>
              <w:rPr>
                <w:rFonts w:ascii="Calibri" w:eastAsia="Calibri" w:hAnsi="Calibri" w:cs="Times New Roman"/>
                <w:sz w:val="20"/>
                <w:szCs w:val="20"/>
              </w:rPr>
            </w:pPr>
          </w:p>
        </w:tc>
        <w:tc>
          <w:tcPr>
            <w:tcW w:w="3463" w:type="dxa"/>
            <w:gridSpan w:val="2"/>
            <w:tcBorders>
              <w:top w:val="single" w:sz="8" w:space="0" w:color="DBE5F1" w:themeColor="accent1" w:themeTint="33"/>
              <w:bottom w:val="single" w:sz="8" w:space="0" w:color="DBE5F1" w:themeColor="accent1" w:themeTint="33"/>
            </w:tcBorders>
          </w:tcPr>
          <w:p w14:paraId="07A1BF23" w14:textId="7348749C" w:rsidR="00F50C13" w:rsidRPr="00683A7B" w:rsidRDefault="00F50C13" w:rsidP="007A32FD">
            <w:pPr>
              <w:keepNext/>
              <w:keepLines/>
              <w:jc w:val="left"/>
              <w:rPr>
                <w:rFonts w:ascii="Calibri" w:eastAsia="Calibri" w:hAnsi="Calibri" w:cs="Times New Roman"/>
                <w:sz w:val="20"/>
                <w:szCs w:val="20"/>
                <w:lang w:val="en-GB"/>
              </w:rPr>
            </w:pPr>
            <w:r w:rsidRPr="00683A7B">
              <w:rPr>
                <w:rFonts w:ascii="Calibri" w:eastAsia="Calibri" w:hAnsi="Calibri" w:cs="Times New Roman"/>
                <w:sz w:val="20"/>
                <w:szCs w:val="20"/>
                <w:lang w:val="en-GB"/>
              </w:rPr>
              <w:t>No added sugar fruit juice</w:t>
            </w:r>
            <w:r w:rsidR="00C9271D">
              <w:rPr>
                <w:rFonts w:ascii="Calibri" w:eastAsia="Calibri" w:hAnsi="Calibri" w:cs="Times New Roman"/>
                <w:sz w:val="20"/>
                <w:szCs w:val="20"/>
                <w:lang w:val="en-GB"/>
              </w:rPr>
              <w:t>s</w:t>
            </w:r>
          </w:p>
        </w:tc>
        <w:tc>
          <w:tcPr>
            <w:tcW w:w="1119" w:type="dxa"/>
            <w:tcBorders>
              <w:top w:val="single" w:sz="8" w:space="0" w:color="DBE5F1" w:themeColor="accent1" w:themeTint="33"/>
              <w:bottom w:val="single" w:sz="8" w:space="0" w:color="DBE5F1" w:themeColor="accent1" w:themeTint="33"/>
            </w:tcBorders>
          </w:tcPr>
          <w:p w14:paraId="3E70DB78" w14:textId="4CB92155" w:rsidR="00F50C13" w:rsidRPr="00683A7B" w:rsidRDefault="005C78D7" w:rsidP="00EB4B7D">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529</w:t>
            </w:r>
            <w:r w:rsidR="00F50C13"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37</w:t>
            </w:r>
            <w:r w:rsidR="00F50C13"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0AA0529A" w14:textId="4AAB341B" w:rsidR="00F50C13"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488</w:t>
            </w:r>
            <w:r w:rsidR="00F50C13"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51</w:t>
            </w:r>
            <w:r w:rsidR="00F50C13"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438DA6C7" w14:textId="15CCD990" w:rsidR="00F50C13"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52.1</w:t>
            </w:r>
            <w:r w:rsidR="00F50C13"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3.8</w:t>
            </w:r>
            <w:r w:rsidR="00F50C13" w:rsidRPr="00683A7B">
              <w:rPr>
                <w:rFonts w:ascii="Calibri" w:eastAsia="Calibri" w:hAnsi="Calibri" w:cs="Times New Roman"/>
                <w:sz w:val="20"/>
                <w:szCs w:val="20"/>
                <w:lang w:val="en-GB"/>
              </w:rPr>
              <w:t>)</w:t>
            </w:r>
          </w:p>
        </w:tc>
        <w:tc>
          <w:tcPr>
            <w:tcW w:w="1608" w:type="dxa"/>
            <w:tcBorders>
              <w:top w:val="single" w:sz="8" w:space="0" w:color="DBE5F1" w:themeColor="accent1" w:themeTint="33"/>
              <w:bottom w:val="single" w:sz="8" w:space="0" w:color="DBE5F1" w:themeColor="accent1" w:themeTint="33"/>
            </w:tcBorders>
          </w:tcPr>
          <w:p w14:paraId="2C43E90D" w14:textId="35A3E3FA" w:rsidR="00F50C13"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47.2</w:t>
            </w:r>
            <w:r w:rsidR="00F50C13"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4.9</w:t>
            </w:r>
            <w:r w:rsidR="00F50C13" w:rsidRPr="00683A7B">
              <w:rPr>
                <w:rFonts w:ascii="Calibri" w:eastAsia="Calibri" w:hAnsi="Calibri" w:cs="Times New Roman"/>
                <w:sz w:val="20"/>
                <w:szCs w:val="20"/>
                <w:lang w:val="en-GB"/>
              </w:rPr>
              <w:t>)</w:t>
            </w:r>
          </w:p>
        </w:tc>
      </w:tr>
      <w:tr w:rsidR="00095D1E" w:rsidRPr="00683A7B" w14:paraId="1EBE2DCE" w14:textId="77777777" w:rsidTr="00267EE6">
        <w:trPr>
          <w:trHeight w:val="248"/>
        </w:trPr>
        <w:tc>
          <w:tcPr>
            <w:tcW w:w="234" w:type="dxa"/>
            <w:tcBorders>
              <w:top w:val="single" w:sz="8" w:space="0" w:color="DBE5F1" w:themeColor="accent1" w:themeTint="33"/>
              <w:bottom w:val="single" w:sz="8" w:space="0" w:color="DBE5F1" w:themeColor="accent1" w:themeTint="33"/>
            </w:tcBorders>
          </w:tcPr>
          <w:p w14:paraId="69E2015A" w14:textId="77777777" w:rsidR="00F50C13" w:rsidRPr="00683A7B" w:rsidRDefault="00F50C13" w:rsidP="007A32FD">
            <w:pPr>
              <w:keepNext/>
              <w:keepLines/>
              <w:rPr>
                <w:rFonts w:ascii="Calibri" w:eastAsia="Calibri" w:hAnsi="Calibri" w:cs="Times New Roman"/>
                <w:sz w:val="20"/>
                <w:szCs w:val="20"/>
              </w:rPr>
            </w:pPr>
          </w:p>
        </w:tc>
        <w:tc>
          <w:tcPr>
            <w:tcW w:w="3463" w:type="dxa"/>
            <w:gridSpan w:val="2"/>
            <w:tcBorders>
              <w:top w:val="single" w:sz="8" w:space="0" w:color="DBE5F1" w:themeColor="accent1" w:themeTint="33"/>
              <w:bottom w:val="single" w:sz="8" w:space="0" w:color="DBE5F1" w:themeColor="accent1" w:themeTint="33"/>
            </w:tcBorders>
          </w:tcPr>
          <w:p w14:paraId="0425235D" w14:textId="4D42A64D" w:rsidR="00F50C13" w:rsidRPr="00683A7B" w:rsidRDefault="00F50C13" w:rsidP="007A32FD">
            <w:pPr>
              <w:keepNext/>
              <w:keepLines/>
              <w:jc w:val="left"/>
              <w:rPr>
                <w:rFonts w:ascii="Calibri" w:eastAsia="Calibri" w:hAnsi="Calibri" w:cs="Times New Roman"/>
                <w:sz w:val="20"/>
                <w:szCs w:val="20"/>
                <w:lang w:val="en-GB"/>
              </w:rPr>
            </w:pPr>
            <w:r w:rsidRPr="00683A7B">
              <w:rPr>
                <w:rFonts w:ascii="Calibri" w:eastAsia="Calibri" w:hAnsi="Calibri" w:cs="Times New Roman"/>
                <w:sz w:val="20"/>
                <w:szCs w:val="20"/>
                <w:lang w:val="en-GB"/>
              </w:rPr>
              <w:t>Drinks sold as powder</w:t>
            </w:r>
            <w:r w:rsidR="00451F7B">
              <w:rPr>
                <w:rFonts w:ascii="Calibri" w:eastAsia="Calibri" w:hAnsi="Calibri" w:cs="Times New Roman"/>
                <w:sz w:val="20"/>
                <w:szCs w:val="20"/>
                <w:lang w:val="en-GB"/>
              </w:rPr>
              <w:t>s</w:t>
            </w:r>
            <w:r w:rsidRPr="00683A7B">
              <w:rPr>
                <w:rFonts w:ascii="Calibri" w:eastAsia="Calibri" w:hAnsi="Calibri" w:cs="Times New Roman"/>
                <w:sz w:val="20"/>
                <w:szCs w:val="20"/>
                <w:vertAlign w:val="superscript"/>
                <w:lang w:val="en-GB"/>
              </w:rPr>
              <w:t xml:space="preserve"> </w:t>
            </w:r>
            <w:r w:rsidRPr="00683A7B">
              <w:rPr>
                <w:rFonts w:ascii="Calibri" w:eastAsia="Calibri" w:hAnsi="Calibri" w:cs="Times New Roman"/>
                <w:sz w:val="20"/>
                <w:szCs w:val="20"/>
                <w:lang w:val="en-GB"/>
              </w:rPr>
              <w:t>(g)</w:t>
            </w:r>
          </w:p>
        </w:tc>
        <w:tc>
          <w:tcPr>
            <w:tcW w:w="1119" w:type="dxa"/>
            <w:tcBorders>
              <w:top w:val="single" w:sz="8" w:space="0" w:color="DBE5F1" w:themeColor="accent1" w:themeTint="33"/>
              <w:bottom w:val="single" w:sz="8" w:space="0" w:color="DBE5F1" w:themeColor="accent1" w:themeTint="33"/>
            </w:tcBorders>
          </w:tcPr>
          <w:p w14:paraId="20FA4009" w14:textId="6DE95DFF" w:rsidR="00F50C13" w:rsidRPr="00683A7B" w:rsidRDefault="00267EE6" w:rsidP="007A32FD">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98</w:t>
            </w:r>
            <w:r w:rsidR="00F50C13" w:rsidRPr="00683A7B">
              <w:rPr>
                <w:rFonts w:ascii="Calibri" w:eastAsia="Calibri" w:hAnsi="Calibri" w:cs="Times New Roman"/>
                <w:sz w:val="20"/>
                <w:szCs w:val="20"/>
                <w:lang w:val="en-GB"/>
              </w:rPr>
              <w:t xml:space="preserve"> (12)</w:t>
            </w:r>
          </w:p>
        </w:tc>
        <w:tc>
          <w:tcPr>
            <w:tcW w:w="1454" w:type="dxa"/>
            <w:tcBorders>
              <w:top w:val="single" w:sz="8" w:space="0" w:color="DBE5F1" w:themeColor="accent1" w:themeTint="33"/>
              <w:bottom w:val="single" w:sz="8" w:space="0" w:color="DBE5F1" w:themeColor="accent1" w:themeTint="33"/>
            </w:tcBorders>
          </w:tcPr>
          <w:p w14:paraId="3B776253" w14:textId="77777777" w:rsidR="00F50C13" w:rsidRPr="00683A7B" w:rsidRDefault="00F50C13"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85 (11)</w:t>
            </w:r>
          </w:p>
        </w:tc>
        <w:tc>
          <w:tcPr>
            <w:tcW w:w="1454" w:type="dxa"/>
            <w:tcBorders>
              <w:top w:val="single" w:sz="8" w:space="0" w:color="DBE5F1" w:themeColor="accent1" w:themeTint="33"/>
              <w:bottom w:val="single" w:sz="8" w:space="0" w:color="DBE5F1" w:themeColor="accent1" w:themeTint="33"/>
            </w:tcBorders>
          </w:tcPr>
          <w:p w14:paraId="6E03E7CF" w14:textId="78F6394A" w:rsidR="00F50C13" w:rsidRPr="00683A7B" w:rsidRDefault="00F50C13" w:rsidP="00267EE6">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2</w:t>
            </w:r>
            <w:r w:rsidR="00267EE6">
              <w:rPr>
                <w:rFonts w:ascii="Calibri" w:eastAsia="Calibri" w:hAnsi="Calibri" w:cs="Times New Roman"/>
                <w:sz w:val="20"/>
                <w:szCs w:val="20"/>
                <w:lang w:val="en-GB"/>
              </w:rPr>
              <w:t>1.2</w:t>
            </w:r>
            <w:r w:rsidRPr="00683A7B">
              <w:rPr>
                <w:rFonts w:ascii="Calibri" w:eastAsia="Calibri" w:hAnsi="Calibri" w:cs="Times New Roman"/>
                <w:sz w:val="20"/>
                <w:szCs w:val="20"/>
                <w:lang w:val="en-GB"/>
              </w:rPr>
              <w:t xml:space="preserve"> (3.</w:t>
            </w:r>
            <w:r w:rsidR="00267EE6">
              <w:rPr>
                <w:rFonts w:ascii="Calibri" w:eastAsia="Calibri" w:hAnsi="Calibri" w:cs="Times New Roman"/>
                <w:sz w:val="20"/>
                <w:szCs w:val="20"/>
                <w:lang w:val="en-GB"/>
              </w:rPr>
              <w:t>4</w:t>
            </w:r>
            <w:r w:rsidRPr="00683A7B">
              <w:rPr>
                <w:rFonts w:ascii="Calibri" w:eastAsia="Calibri" w:hAnsi="Calibri" w:cs="Times New Roman"/>
                <w:sz w:val="20"/>
                <w:szCs w:val="20"/>
                <w:lang w:val="en-GB"/>
              </w:rPr>
              <w:t>)</w:t>
            </w:r>
          </w:p>
        </w:tc>
        <w:tc>
          <w:tcPr>
            <w:tcW w:w="1608" w:type="dxa"/>
            <w:tcBorders>
              <w:top w:val="single" w:sz="8" w:space="0" w:color="DBE5F1" w:themeColor="accent1" w:themeTint="33"/>
              <w:bottom w:val="single" w:sz="8" w:space="0" w:color="DBE5F1" w:themeColor="accent1" w:themeTint="33"/>
            </w:tcBorders>
          </w:tcPr>
          <w:p w14:paraId="26E0F25A" w14:textId="05C1D7D7" w:rsidR="00F50C13" w:rsidRPr="00683A7B" w:rsidRDefault="00F50C13" w:rsidP="00EB4B7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1</w:t>
            </w:r>
            <w:r w:rsidR="005C78D7">
              <w:rPr>
                <w:rFonts w:ascii="Calibri" w:eastAsia="Calibri" w:hAnsi="Calibri" w:cs="Times New Roman"/>
                <w:sz w:val="20"/>
                <w:szCs w:val="20"/>
                <w:lang w:val="en-GB"/>
              </w:rPr>
              <w:t>8.0</w:t>
            </w:r>
            <w:r w:rsidRPr="00683A7B">
              <w:rPr>
                <w:rFonts w:ascii="Calibri" w:eastAsia="Calibri" w:hAnsi="Calibri" w:cs="Times New Roman"/>
                <w:sz w:val="20"/>
                <w:szCs w:val="20"/>
                <w:lang w:val="en-GB"/>
              </w:rPr>
              <w:t xml:space="preserve"> (3.2)</w:t>
            </w:r>
          </w:p>
        </w:tc>
      </w:tr>
      <w:tr w:rsidR="00451F7B" w:rsidRPr="00683A7B" w14:paraId="58BBD0B4" w14:textId="77777777" w:rsidTr="00267EE6">
        <w:trPr>
          <w:trHeight w:val="263"/>
        </w:trPr>
        <w:tc>
          <w:tcPr>
            <w:tcW w:w="3697" w:type="dxa"/>
            <w:gridSpan w:val="3"/>
            <w:tcBorders>
              <w:top w:val="single" w:sz="8" w:space="0" w:color="DBE5F1" w:themeColor="accent1" w:themeTint="33"/>
              <w:bottom w:val="single" w:sz="8" w:space="0" w:color="DBE5F1" w:themeColor="accent1" w:themeTint="33"/>
            </w:tcBorders>
          </w:tcPr>
          <w:p w14:paraId="4960E301" w14:textId="77777777" w:rsidR="00451F7B" w:rsidRPr="00683A7B" w:rsidRDefault="00451F7B" w:rsidP="007A32FD">
            <w:pPr>
              <w:keepNext/>
              <w:keepLines/>
              <w:jc w:val="left"/>
              <w:rPr>
                <w:rFonts w:ascii="Calibri" w:eastAsia="Calibri" w:hAnsi="Calibri" w:cs="Times New Roman"/>
                <w:sz w:val="20"/>
                <w:szCs w:val="20"/>
                <w:lang w:val="en-GB"/>
              </w:rPr>
            </w:pPr>
            <w:r w:rsidRPr="00683A7B">
              <w:rPr>
                <w:rFonts w:ascii="Calibri" w:eastAsia="Calibri" w:hAnsi="Calibri" w:cs="Times New Roman"/>
                <w:sz w:val="20"/>
                <w:szCs w:val="20"/>
                <w:lang w:val="en-GB"/>
              </w:rPr>
              <w:t>Confectionery (g)</w:t>
            </w:r>
          </w:p>
        </w:tc>
        <w:tc>
          <w:tcPr>
            <w:tcW w:w="1119" w:type="dxa"/>
            <w:tcBorders>
              <w:top w:val="single" w:sz="8" w:space="0" w:color="DBE5F1" w:themeColor="accent1" w:themeTint="33"/>
              <w:bottom w:val="single" w:sz="8" w:space="0" w:color="DBE5F1" w:themeColor="accent1" w:themeTint="33"/>
            </w:tcBorders>
          </w:tcPr>
          <w:p w14:paraId="24F16D2A" w14:textId="614927A6" w:rsidR="00451F7B" w:rsidRPr="00683A7B" w:rsidRDefault="005C78D7" w:rsidP="007A32FD">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318</w:t>
            </w:r>
            <w:r w:rsidR="00451F7B" w:rsidRPr="00683A7B">
              <w:rPr>
                <w:rFonts w:ascii="Calibri" w:eastAsia="Calibri" w:hAnsi="Calibri" w:cs="Times New Roman"/>
                <w:sz w:val="20"/>
                <w:szCs w:val="20"/>
                <w:lang w:val="en-GB"/>
              </w:rPr>
              <w:t xml:space="preserve"> (96)</w:t>
            </w:r>
          </w:p>
        </w:tc>
        <w:tc>
          <w:tcPr>
            <w:tcW w:w="1454" w:type="dxa"/>
            <w:tcBorders>
              <w:top w:val="single" w:sz="8" w:space="0" w:color="DBE5F1" w:themeColor="accent1" w:themeTint="33"/>
              <w:bottom w:val="single" w:sz="8" w:space="0" w:color="DBE5F1" w:themeColor="accent1" w:themeTint="33"/>
            </w:tcBorders>
          </w:tcPr>
          <w:p w14:paraId="5CF5A8E4" w14:textId="73B530D9" w:rsidR="00451F7B" w:rsidRPr="00683A7B" w:rsidRDefault="005C78D7" w:rsidP="00EB4B7D">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294</w:t>
            </w:r>
            <w:r w:rsidR="00451F7B" w:rsidRPr="00683A7B">
              <w:rPr>
                <w:rFonts w:ascii="Calibri" w:eastAsia="Calibri" w:hAnsi="Calibri" w:cs="Times New Roman"/>
                <w:sz w:val="20"/>
                <w:szCs w:val="20"/>
                <w:lang w:val="en-GB"/>
              </w:rPr>
              <w:t xml:space="preserve"> (</w:t>
            </w:r>
            <w:r>
              <w:rPr>
                <w:rFonts w:ascii="Calibri" w:eastAsia="Calibri" w:hAnsi="Calibri" w:cs="Times New Roman"/>
                <w:sz w:val="20"/>
                <w:szCs w:val="20"/>
                <w:lang w:val="en-GB"/>
              </w:rPr>
              <w:t>92</w:t>
            </w:r>
            <w:r w:rsidR="00451F7B" w:rsidRPr="00683A7B">
              <w:rPr>
                <w:rFonts w:ascii="Calibri" w:eastAsia="Calibri" w:hAnsi="Calibri" w:cs="Times New Roman"/>
                <w:sz w:val="20"/>
                <w:szCs w:val="20"/>
                <w:lang w:val="en-GB"/>
              </w:rPr>
              <w:t>)</w:t>
            </w:r>
          </w:p>
        </w:tc>
        <w:tc>
          <w:tcPr>
            <w:tcW w:w="1454" w:type="dxa"/>
            <w:tcBorders>
              <w:top w:val="single" w:sz="8" w:space="0" w:color="DBE5F1" w:themeColor="accent1" w:themeTint="33"/>
              <w:bottom w:val="single" w:sz="8" w:space="0" w:color="DBE5F1" w:themeColor="accent1" w:themeTint="33"/>
            </w:tcBorders>
          </w:tcPr>
          <w:p w14:paraId="575D1B5A" w14:textId="77DF2238" w:rsidR="00451F7B" w:rsidRPr="00683A7B" w:rsidRDefault="00451F7B">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1</w:t>
            </w:r>
            <w:r w:rsidR="005C78D7">
              <w:rPr>
                <w:rFonts w:ascii="Calibri" w:eastAsia="Calibri" w:hAnsi="Calibri" w:cs="Times New Roman"/>
                <w:sz w:val="20"/>
                <w:szCs w:val="20"/>
                <w:lang w:val="en-GB"/>
              </w:rPr>
              <w:t>78.9</w:t>
            </w:r>
            <w:r w:rsidRPr="00683A7B">
              <w:rPr>
                <w:rFonts w:ascii="Calibri" w:eastAsia="Calibri" w:hAnsi="Calibri" w:cs="Times New Roman"/>
                <w:sz w:val="20"/>
                <w:szCs w:val="20"/>
                <w:lang w:val="en-GB"/>
              </w:rPr>
              <w:t xml:space="preserve"> (5</w:t>
            </w:r>
            <w:r w:rsidR="005C78D7">
              <w:rPr>
                <w:rFonts w:ascii="Calibri" w:eastAsia="Calibri" w:hAnsi="Calibri" w:cs="Times New Roman"/>
                <w:sz w:val="20"/>
                <w:szCs w:val="20"/>
                <w:lang w:val="en-GB"/>
              </w:rPr>
              <w:t>3.9</w:t>
            </w:r>
            <w:r w:rsidRPr="00683A7B">
              <w:rPr>
                <w:rFonts w:ascii="Calibri" w:eastAsia="Calibri" w:hAnsi="Calibri" w:cs="Times New Roman"/>
                <w:sz w:val="20"/>
                <w:szCs w:val="20"/>
                <w:lang w:val="en-GB"/>
              </w:rPr>
              <w:t>)</w:t>
            </w:r>
          </w:p>
        </w:tc>
        <w:tc>
          <w:tcPr>
            <w:tcW w:w="1608" w:type="dxa"/>
            <w:tcBorders>
              <w:top w:val="single" w:sz="8" w:space="0" w:color="DBE5F1" w:themeColor="accent1" w:themeTint="33"/>
              <w:bottom w:val="single" w:sz="8" w:space="0" w:color="DBE5F1" w:themeColor="accent1" w:themeTint="33"/>
            </w:tcBorders>
          </w:tcPr>
          <w:p w14:paraId="29EF3472" w14:textId="1D4F87E2" w:rsidR="00451F7B" w:rsidRPr="00683A7B" w:rsidRDefault="005C78D7">
            <w:pPr>
              <w:keepNext/>
              <w:keepLines/>
              <w:jc w:val="center"/>
              <w:rPr>
                <w:rFonts w:ascii="Calibri" w:eastAsia="Calibri" w:hAnsi="Calibri" w:cs="Times New Roman"/>
                <w:sz w:val="20"/>
                <w:szCs w:val="20"/>
                <w:lang w:val="en-GB"/>
              </w:rPr>
            </w:pPr>
            <w:r>
              <w:rPr>
                <w:rFonts w:ascii="Calibri" w:eastAsia="Calibri" w:hAnsi="Calibri" w:cs="Times New Roman"/>
                <w:sz w:val="20"/>
                <w:szCs w:val="20"/>
                <w:lang w:val="en-GB"/>
              </w:rPr>
              <w:t>164.7</w:t>
            </w:r>
            <w:r w:rsidR="00451F7B" w:rsidRPr="00683A7B">
              <w:rPr>
                <w:rFonts w:ascii="Calibri" w:eastAsia="Calibri" w:hAnsi="Calibri" w:cs="Times New Roman"/>
                <w:sz w:val="20"/>
                <w:szCs w:val="20"/>
                <w:lang w:val="en-GB"/>
              </w:rPr>
              <w:t xml:space="preserve"> (5</w:t>
            </w:r>
            <w:r>
              <w:rPr>
                <w:rFonts w:ascii="Calibri" w:eastAsia="Calibri" w:hAnsi="Calibri" w:cs="Times New Roman"/>
                <w:sz w:val="20"/>
                <w:szCs w:val="20"/>
                <w:lang w:val="en-GB"/>
              </w:rPr>
              <w:t>1.8</w:t>
            </w:r>
            <w:r w:rsidR="00451F7B" w:rsidRPr="00683A7B">
              <w:rPr>
                <w:rFonts w:ascii="Calibri" w:eastAsia="Calibri" w:hAnsi="Calibri" w:cs="Times New Roman"/>
                <w:sz w:val="20"/>
                <w:szCs w:val="20"/>
                <w:lang w:val="en-GB"/>
              </w:rPr>
              <w:t>)</w:t>
            </w:r>
          </w:p>
        </w:tc>
      </w:tr>
      <w:tr w:rsidR="00451F7B" w:rsidRPr="00683A7B" w14:paraId="60FCCD1B" w14:textId="77777777" w:rsidTr="00267EE6">
        <w:trPr>
          <w:trHeight w:val="248"/>
        </w:trPr>
        <w:tc>
          <w:tcPr>
            <w:tcW w:w="3697" w:type="dxa"/>
            <w:gridSpan w:val="3"/>
            <w:tcBorders>
              <w:top w:val="single" w:sz="8" w:space="0" w:color="DBE5F1" w:themeColor="accent1" w:themeTint="33"/>
              <w:bottom w:val="single" w:sz="8" w:space="0" w:color="auto"/>
            </w:tcBorders>
          </w:tcPr>
          <w:p w14:paraId="316B68B6" w14:textId="0245A60C" w:rsidR="00451F7B" w:rsidRPr="00683A7B" w:rsidRDefault="00451F7B" w:rsidP="007A32FD">
            <w:pPr>
              <w:keepNext/>
              <w:keepLines/>
              <w:jc w:val="left"/>
              <w:rPr>
                <w:rFonts w:ascii="Calibri" w:eastAsia="Calibri" w:hAnsi="Calibri" w:cs="Times New Roman"/>
                <w:sz w:val="20"/>
                <w:szCs w:val="20"/>
                <w:lang w:val="en-GB"/>
              </w:rPr>
            </w:pPr>
            <w:r w:rsidRPr="00683A7B">
              <w:rPr>
                <w:rFonts w:ascii="Calibri" w:eastAsia="Calibri" w:hAnsi="Calibri" w:cs="Times New Roman"/>
                <w:sz w:val="20"/>
                <w:szCs w:val="20"/>
                <w:lang w:val="en-GB"/>
              </w:rPr>
              <w:t>Toiletries</w:t>
            </w:r>
          </w:p>
        </w:tc>
        <w:tc>
          <w:tcPr>
            <w:tcW w:w="1119" w:type="dxa"/>
            <w:tcBorders>
              <w:top w:val="single" w:sz="8" w:space="0" w:color="DBE5F1" w:themeColor="accent1" w:themeTint="33"/>
              <w:bottom w:val="single" w:sz="8" w:space="0" w:color="auto"/>
            </w:tcBorders>
          </w:tcPr>
          <w:p w14:paraId="114DF4C7" w14:textId="1FCA5D56" w:rsidR="00451F7B" w:rsidRPr="00683A7B" w:rsidRDefault="00451F7B"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124 (10)</w:t>
            </w:r>
          </w:p>
        </w:tc>
        <w:tc>
          <w:tcPr>
            <w:tcW w:w="1454" w:type="dxa"/>
            <w:tcBorders>
              <w:top w:val="single" w:sz="8" w:space="0" w:color="DBE5F1" w:themeColor="accent1" w:themeTint="33"/>
              <w:bottom w:val="single" w:sz="8" w:space="0" w:color="auto"/>
            </w:tcBorders>
          </w:tcPr>
          <w:p w14:paraId="76B43395" w14:textId="77777777" w:rsidR="00451F7B" w:rsidRPr="00683A7B" w:rsidRDefault="00451F7B"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118 (10)</w:t>
            </w:r>
          </w:p>
        </w:tc>
        <w:tc>
          <w:tcPr>
            <w:tcW w:w="1454" w:type="dxa"/>
            <w:tcBorders>
              <w:top w:val="single" w:sz="8" w:space="0" w:color="DBE5F1" w:themeColor="accent1" w:themeTint="33"/>
              <w:bottom w:val="single" w:sz="8" w:space="0" w:color="auto"/>
            </w:tcBorders>
          </w:tcPr>
          <w:p w14:paraId="7A2BD6CB" w14:textId="77777777" w:rsidR="00451F7B" w:rsidRPr="00683A7B" w:rsidRDefault="00451F7B"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w:t>
            </w:r>
          </w:p>
        </w:tc>
        <w:tc>
          <w:tcPr>
            <w:tcW w:w="1608" w:type="dxa"/>
            <w:tcBorders>
              <w:top w:val="single" w:sz="8" w:space="0" w:color="DBE5F1" w:themeColor="accent1" w:themeTint="33"/>
              <w:bottom w:val="single" w:sz="8" w:space="0" w:color="auto"/>
            </w:tcBorders>
          </w:tcPr>
          <w:p w14:paraId="7EDC357C" w14:textId="77777777" w:rsidR="00451F7B" w:rsidRPr="00683A7B" w:rsidRDefault="00451F7B" w:rsidP="007A32FD">
            <w:pPr>
              <w:keepNext/>
              <w:keepLines/>
              <w:jc w:val="center"/>
              <w:rPr>
                <w:rFonts w:ascii="Calibri" w:eastAsia="Calibri" w:hAnsi="Calibri" w:cs="Times New Roman"/>
                <w:sz w:val="20"/>
                <w:szCs w:val="20"/>
                <w:lang w:val="en-GB"/>
              </w:rPr>
            </w:pPr>
            <w:r w:rsidRPr="00683A7B">
              <w:rPr>
                <w:rFonts w:ascii="Calibri" w:eastAsia="Calibri" w:hAnsi="Calibri" w:cs="Times New Roman"/>
                <w:sz w:val="20"/>
                <w:szCs w:val="20"/>
                <w:lang w:val="en-GB"/>
              </w:rPr>
              <w:t>-</w:t>
            </w:r>
          </w:p>
        </w:tc>
      </w:tr>
    </w:tbl>
    <w:p w14:paraId="197D0004" w14:textId="7F844980" w:rsidR="00505BF5" w:rsidRDefault="00451F7B" w:rsidP="007A32FD">
      <w:pPr>
        <w:keepNext/>
        <w:keepLines/>
        <w:spacing w:line="480" w:lineRule="auto"/>
        <w:jc w:val="both"/>
      </w:pPr>
      <w:r>
        <w:t>SDIL: soft drinks industry levy</w:t>
      </w:r>
    </w:p>
    <w:p w14:paraId="4B2CCC48" w14:textId="3CB0B166" w:rsidR="00612646" w:rsidRDefault="0034775D" w:rsidP="00980A3F">
      <w:pPr>
        <w:spacing w:line="480" w:lineRule="auto"/>
        <w:jc w:val="both"/>
      </w:pPr>
      <w:r>
        <w:t xml:space="preserve">Summaries of </w:t>
      </w:r>
      <w:r w:rsidR="005E65F6">
        <w:t xml:space="preserve">the </w:t>
      </w:r>
      <w:r w:rsidR="00CA79AB">
        <w:t xml:space="preserve">controlled </w:t>
      </w:r>
      <w:r w:rsidR="005E65F6">
        <w:t xml:space="preserve">ITS </w:t>
      </w:r>
      <w:r>
        <w:t xml:space="preserve">models </w:t>
      </w:r>
      <w:r w:rsidR="005E65F6">
        <w:t xml:space="preserve">are shown in Tables </w:t>
      </w:r>
      <w:r w:rsidR="002D1D49">
        <w:t>2</w:t>
      </w:r>
      <w:r w:rsidR="005E65F6">
        <w:t xml:space="preserve"> and </w:t>
      </w:r>
      <w:r w:rsidR="002D1D49">
        <w:t>3</w:t>
      </w:r>
      <w:r w:rsidR="005E65F6">
        <w:t xml:space="preserve">. These tables document </w:t>
      </w:r>
      <w:r w:rsidR="009A4AC3">
        <w:t xml:space="preserve">level and trend </w:t>
      </w:r>
      <w:r w:rsidR="005E65F6">
        <w:t>c</w:t>
      </w:r>
      <w:r w:rsidR="00022643">
        <w:t>hanges in the volume of, and amount of sugar in</w:t>
      </w:r>
      <w:r w:rsidR="00C9271D">
        <w:t>,</w:t>
      </w:r>
      <w:r w:rsidR="00022643">
        <w:t xml:space="preserve"> purchases per household</w:t>
      </w:r>
      <w:r w:rsidR="007455C5">
        <w:t xml:space="preserve"> per week</w:t>
      </w:r>
      <w:r w:rsidR="00022643">
        <w:t xml:space="preserve">, </w:t>
      </w:r>
      <w:r w:rsidR="009A4AC3">
        <w:t>and</w:t>
      </w:r>
      <w:r w:rsidR="00022643">
        <w:t xml:space="preserve"> </w:t>
      </w:r>
      <w:r w:rsidR="009A4AC3">
        <w:t>absolute</w:t>
      </w:r>
      <w:r w:rsidR="005E65F6">
        <w:t xml:space="preserve"> and relative difference</w:t>
      </w:r>
      <w:r w:rsidR="009A4AC3">
        <w:t>s</w:t>
      </w:r>
      <w:r w:rsidR="005E65F6">
        <w:t xml:space="preserve"> </w:t>
      </w:r>
      <w:r w:rsidR="00022643">
        <w:t>two years post</w:t>
      </w:r>
      <w:r>
        <w:t>-</w:t>
      </w:r>
      <w:r w:rsidR="00022643">
        <w:t>announcement</w:t>
      </w:r>
      <w:r w:rsidR="00C9271D">
        <w:t>,</w:t>
      </w:r>
      <w:r w:rsidR="00022643">
        <w:t xml:space="preserve"> </w:t>
      </w:r>
      <w:r w:rsidR="005E65F6">
        <w:t xml:space="preserve">compared to the </w:t>
      </w:r>
      <w:r w:rsidR="007455C5">
        <w:t>counterfactual</w:t>
      </w:r>
      <w:r w:rsidR="005E65F6">
        <w:t>.</w:t>
      </w:r>
      <w:r w:rsidR="00C9271D">
        <w:t xml:space="preserve"> The level change is the difference between the model estimates and the counterfactual at the first week after the SDIL announcement</w:t>
      </w:r>
      <w:r w:rsidR="00493DEF">
        <w:t xml:space="preserve"> </w:t>
      </w:r>
      <w:r w:rsidR="00600F86">
        <w:t xml:space="preserve">controlling </w:t>
      </w:r>
      <w:r w:rsidR="00493DEF">
        <w:t xml:space="preserve">for the underlying trends in household purchases </w:t>
      </w:r>
      <w:r w:rsidR="00600F86">
        <w:t>through purchases of toiletries</w:t>
      </w:r>
      <w:r w:rsidR="00C9271D">
        <w:t>. The trend change is the mean change in the slope of purchases following the announcement</w:t>
      </w:r>
      <w:r w:rsidR="00813735">
        <w:t>. T</w:t>
      </w:r>
      <w:r w:rsidR="00C9271D">
        <w:t xml:space="preserve">he absolute and relative differences represent the difference between the counterfactual and the model estimates in the final week of the study. </w:t>
      </w:r>
      <w:r w:rsidR="008461E2">
        <w:t>R</w:t>
      </w:r>
      <w:r w:rsidR="003C52F6">
        <w:t xml:space="preserve">esults </w:t>
      </w:r>
      <w:r w:rsidR="005E65F6">
        <w:t xml:space="preserve">are displayed graphically in </w:t>
      </w:r>
      <w:r w:rsidR="00612646">
        <w:t>F</w:t>
      </w:r>
      <w:r>
        <w:t>ig</w:t>
      </w:r>
      <w:r w:rsidR="005F4EE1">
        <w:t xml:space="preserve"> 1</w:t>
      </w:r>
      <w:r w:rsidR="00B039AC">
        <w:t xml:space="preserve"> and</w:t>
      </w:r>
      <w:r w:rsidR="00AC550F">
        <w:t xml:space="preserve"> Fig</w:t>
      </w:r>
      <w:r w:rsidR="00B039AC">
        <w:t xml:space="preserve"> 2</w:t>
      </w:r>
      <w:r>
        <w:t xml:space="preserve"> </w:t>
      </w:r>
      <w:r w:rsidR="00E07EBA">
        <w:t xml:space="preserve">for levy eligible drinks and confectionery </w:t>
      </w:r>
      <w:r>
        <w:t xml:space="preserve">(and </w:t>
      </w:r>
      <w:r w:rsidR="00E07EBA">
        <w:t>in S</w:t>
      </w:r>
      <w:r w:rsidR="00BF707D">
        <w:t>2 Text</w:t>
      </w:r>
      <w:r>
        <w:t xml:space="preserve"> </w:t>
      </w:r>
      <w:r w:rsidR="00E07EBA">
        <w:t>for other drinks categories</w:t>
      </w:r>
      <w:r>
        <w:t>)</w:t>
      </w:r>
      <w:r w:rsidR="005F4EE1">
        <w:t xml:space="preserve">. </w:t>
      </w:r>
      <w:r w:rsidR="00FE3B52">
        <w:t xml:space="preserve">The dashed line (counterfactual) displays a continuation of the </w:t>
      </w:r>
      <w:r w:rsidR="007455C5">
        <w:t xml:space="preserve">observed pre-announcement </w:t>
      </w:r>
      <w:r w:rsidR="00FE3B52">
        <w:t xml:space="preserve">trend </w:t>
      </w:r>
      <w:r w:rsidR="00600F86">
        <w:t xml:space="preserve">controlled </w:t>
      </w:r>
      <w:r w:rsidR="00FE3B52">
        <w:t xml:space="preserve">for changes captured </w:t>
      </w:r>
      <w:r w:rsidR="007455C5">
        <w:t>by</w:t>
      </w:r>
      <w:r w:rsidR="00FE3B52">
        <w:t xml:space="preserve"> </w:t>
      </w:r>
      <w:r w:rsidR="00600F86">
        <w:t>toiletries</w:t>
      </w:r>
      <w:r w:rsidR="00FE3B52">
        <w:t xml:space="preserve">. The impact of the </w:t>
      </w:r>
      <w:r w:rsidR="00C9271D">
        <w:t xml:space="preserve">announcement of the </w:t>
      </w:r>
      <w:r w:rsidR="00FE3B52">
        <w:t>SDIL upon purchasing can be observed by comparing the solid</w:t>
      </w:r>
      <w:r w:rsidR="007455C5">
        <w:t xml:space="preserve"> to the dashed</w:t>
      </w:r>
      <w:r w:rsidR="00B4741D">
        <w:t xml:space="preserve"> lines</w:t>
      </w:r>
      <w:r w:rsidR="00FE3B52">
        <w:t xml:space="preserve">. Each </w:t>
      </w:r>
      <w:r w:rsidR="00813735">
        <w:lastRenderedPageBreak/>
        <w:t>combination of drink</w:t>
      </w:r>
      <w:r>
        <w:t>s</w:t>
      </w:r>
      <w:r w:rsidR="00813735">
        <w:t xml:space="preserve"> </w:t>
      </w:r>
      <w:r>
        <w:t xml:space="preserve">category </w:t>
      </w:r>
      <w:r w:rsidR="00813735">
        <w:t>or confection</w:t>
      </w:r>
      <w:r>
        <w:t xml:space="preserve">ery </w:t>
      </w:r>
      <w:r w:rsidR="005A129B">
        <w:t xml:space="preserve">with </w:t>
      </w:r>
      <w:r w:rsidR="00FE3B52">
        <w:t xml:space="preserve">control was estimated and </w:t>
      </w:r>
      <w:r w:rsidR="00C9271D">
        <w:t>adjusted</w:t>
      </w:r>
      <w:r w:rsidR="00FE3B52">
        <w:t xml:space="preserve"> for autocorrelation distinctly</w:t>
      </w:r>
      <w:r w:rsidR="003F15F6">
        <w:t xml:space="preserve">; </w:t>
      </w:r>
      <w:r w:rsidR="006A7729">
        <w:t>a</w:t>
      </w:r>
      <w:r w:rsidR="00FE3B52">
        <w:t xml:space="preserve">s a result the plotted toiletries estimates </w:t>
      </w:r>
      <w:r w:rsidR="005A129B">
        <w:t xml:space="preserve">may </w:t>
      </w:r>
      <w:r w:rsidR="00813735">
        <w:t>vary between combinations</w:t>
      </w:r>
      <w:r w:rsidR="00FE3B52">
        <w:t xml:space="preserve">.  </w:t>
      </w:r>
    </w:p>
    <w:p w14:paraId="718D223E" w14:textId="5BA7F3EA" w:rsidR="0034775D" w:rsidRDefault="006C645B" w:rsidP="00522709">
      <w:pPr>
        <w:spacing w:line="480" w:lineRule="auto"/>
        <w:jc w:val="both"/>
      </w:pPr>
      <w:r>
        <w:t>In the two years pre-announcement, t</w:t>
      </w:r>
      <w:r w:rsidR="0034775D">
        <w:t xml:space="preserve">here was </w:t>
      </w:r>
      <w:r w:rsidR="00391FC1">
        <w:t xml:space="preserve">a marked decline in household purchasing of drinks in the </w:t>
      </w:r>
      <w:r w:rsidR="00CA79AB">
        <w:t>high</w:t>
      </w:r>
      <w:r w:rsidR="003F15F6">
        <w:t>er</w:t>
      </w:r>
      <w:r w:rsidR="00CA79AB">
        <w:t xml:space="preserve"> levy tier</w:t>
      </w:r>
      <w:r w:rsidR="00391FC1">
        <w:t xml:space="preserve">, </w:t>
      </w:r>
      <w:r w:rsidR="0080049E">
        <w:t xml:space="preserve">with some increase in purchasing of drinks in the </w:t>
      </w:r>
      <w:r w:rsidR="00CA79AB">
        <w:t>low</w:t>
      </w:r>
      <w:r w:rsidR="003F15F6">
        <w:t>er</w:t>
      </w:r>
      <w:r w:rsidR="00CA79AB">
        <w:t xml:space="preserve"> levy tier</w:t>
      </w:r>
      <w:r w:rsidR="0080049E">
        <w:t xml:space="preserve"> and </w:t>
      </w:r>
      <w:r w:rsidR="0066468E">
        <w:t>confectionery</w:t>
      </w:r>
      <w:r w:rsidR="0080049E">
        <w:t xml:space="preserve">. Similar trends were seen in </w:t>
      </w:r>
      <w:r w:rsidR="00C9271D">
        <w:t xml:space="preserve">total </w:t>
      </w:r>
      <w:r w:rsidR="0080049E">
        <w:t xml:space="preserve">sugar </w:t>
      </w:r>
      <w:r w:rsidR="00C9271D">
        <w:t xml:space="preserve">purchased </w:t>
      </w:r>
      <w:r w:rsidR="0080049E">
        <w:t xml:space="preserve">from </w:t>
      </w:r>
      <w:r w:rsidR="00813735">
        <w:t xml:space="preserve">these </w:t>
      </w:r>
      <w:r w:rsidR="0080049E">
        <w:t xml:space="preserve">categories. </w:t>
      </w:r>
    </w:p>
    <w:p w14:paraId="1777D3B8" w14:textId="7FD59E7B" w:rsidR="0034775D" w:rsidRDefault="005E65F6" w:rsidP="00522709">
      <w:pPr>
        <w:spacing w:line="480" w:lineRule="auto"/>
        <w:jc w:val="both"/>
      </w:pPr>
      <w:r>
        <w:t xml:space="preserve">The announcement </w:t>
      </w:r>
      <w:r w:rsidR="00522709">
        <w:t xml:space="preserve">of the SDIL </w:t>
      </w:r>
      <w:r>
        <w:t xml:space="preserve">was associated </w:t>
      </w:r>
      <w:r w:rsidR="003C52F6">
        <w:t xml:space="preserve">with </w:t>
      </w:r>
      <w:r w:rsidR="007455C5">
        <w:t xml:space="preserve">a </w:t>
      </w:r>
      <w:r w:rsidR="0034775D">
        <w:t>significant</w:t>
      </w:r>
      <w:r>
        <w:t xml:space="preserve"> </w:t>
      </w:r>
      <w:r w:rsidR="003C52F6">
        <w:t xml:space="preserve">level </w:t>
      </w:r>
      <w:r>
        <w:t>increase in household weekly purchase volume</w:t>
      </w:r>
      <w:r w:rsidR="00027F9A">
        <w:t xml:space="preserve"> (p-value &lt;0.001)</w:t>
      </w:r>
      <w:r>
        <w:t xml:space="preserve">, and </w:t>
      </w:r>
      <w:r w:rsidR="003C52F6">
        <w:t xml:space="preserve">the amount of </w:t>
      </w:r>
      <w:r>
        <w:t>sugar</w:t>
      </w:r>
      <w:r w:rsidR="00027F9A">
        <w:t xml:space="preserve"> (p-value =0.011)</w:t>
      </w:r>
      <w:r>
        <w:t xml:space="preserve"> from drinks in the </w:t>
      </w:r>
      <w:r w:rsidR="00CA79AB">
        <w:t>high</w:t>
      </w:r>
      <w:r w:rsidR="003F15F6">
        <w:t>er</w:t>
      </w:r>
      <w:r w:rsidR="00CA79AB">
        <w:t xml:space="preserve"> levy tier</w:t>
      </w:r>
      <w:r w:rsidR="00493DEF">
        <w:t>.</w:t>
      </w:r>
      <w:r w:rsidR="00522709">
        <w:t xml:space="preserve"> </w:t>
      </w:r>
      <w:r w:rsidR="00DF4AA7">
        <w:t xml:space="preserve">However, </w:t>
      </w:r>
      <w:r w:rsidR="007455C5">
        <w:t xml:space="preserve">there was no change in </w:t>
      </w:r>
      <w:r w:rsidR="00DF4AA7">
        <w:t xml:space="preserve">trend </w:t>
      </w:r>
      <w:r w:rsidR="00443CC5">
        <w:t>of either outcome</w:t>
      </w:r>
      <w:r w:rsidR="00DF4AA7">
        <w:t xml:space="preserve">. At two years post-announcement there was no difference in volume of, or sugar from, </w:t>
      </w:r>
      <w:r w:rsidR="00443CC5">
        <w:t>drinks in the high</w:t>
      </w:r>
      <w:r w:rsidR="003F15F6">
        <w:t>er</w:t>
      </w:r>
      <w:r w:rsidR="00443CC5">
        <w:t xml:space="preserve"> levy tier purchased per household per week </w:t>
      </w:r>
      <w:r w:rsidR="00DF4AA7">
        <w:t xml:space="preserve">compared to the counterfactual of no announcement. </w:t>
      </w:r>
    </w:p>
    <w:p w14:paraId="24561003" w14:textId="04E9E1C5" w:rsidR="00DF4AA7" w:rsidRDefault="00DF4AA7" w:rsidP="00522709">
      <w:pPr>
        <w:spacing w:line="480" w:lineRule="auto"/>
        <w:jc w:val="both"/>
      </w:pPr>
      <w:r>
        <w:t xml:space="preserve">In contrast, the SDIL announcement </w:t>
      </w:r>
      <w:r w:rsidR="00522709">
        <w:t xml:space="preserve">was associated with </w:t>
      </w:r>
      <w:r w:rsidR="005E65F6">
        <w:t xml:space="preserve">a reversal of the existing </w:t>
      </w:r>
      <w:r w:rsidR="00522709">
        <w:t xml:space="preserve">upward </w:t>
      </w:r>
      <w:r w:rsidR="005E65F6">
        <w:t xml:space="preserve">trend in volume </w:t>
      </w:r>
      <w:r>
        <w:t xml:space="preserve">of, </w:t>
      </w:r>
      <w:r w:rsidR="00522709">
        <w:t xml:space="preserve">and </w:t>
      </w:r>
      <w:r>
        <w:t xml:space="preserve">amount of </w:t>
      </w:r>
      <w:r w:rsidR="00522709">
        <w:t xml:space="preserve">sugar </w:t>
      </w:r>
      <w:r>
        <w:t xml:space="preserve">in, household purchases of </w:t>
      </w:r>
      <w:r w:rsidR="00391FC1">
        <w:t xml:space="preserve">drinks in the </w:t>
      </w:r>
      <w:r w:rsidR="00CA79AB">
        <w:t>low</w:t>
      </w:r>
      <w:r w:rsidR="003F15F6">
        <w:t>er</w:t>
      </w:r>
      <w:r w:rsidR="00CA79AB">
        <w:t xml:space="preserve"> levy tier</w:t>
      </w:r>
      <w:r>
        <w:t xml:space="preserve">. These changes led to a </w:t>
      </w:r>
      <w:r w:rsidR="002D0E88">
        <w:t>-</w:t>
      </w:r>
      <w:r w:rsidRPr="005F4EE1">
        <w:t>5</w:t>
      </w:r>
      <w:r w:rsidR="00431ACD">
        <w:t>3</w:t>
      </w:r>
      <w:r>
        <w:t>.</w:t>
      </w:r>
      <w:r w:rsidR="00292F8D">
        <w:t>0</w:t>
      </w:r>
      <w:r>
        <w:t>%</w:t>
      </w:r>
      <w:r w:rsidRPr="005F4EE1">
        <w:t xml:space="preserve"> (</w:t>
      </w:r>
      <w:r w:rsidRPr="00523737">
        <w:t>95%</w:t>
      </w:r>
      <w:r>
        <w:t xml:space="preserve"> </w:t>
      </w:r>
      <w:r w:rsidRPr="00523737">
        <w:t xml:space="preserve">CI: </w:t>
      </w:r>
      <w:r w:rsidRPr="005F4EE1">
        <w:t>-</w:t>
      </w:r>
      <w:r w:rsidR="00431ACD">
        <w:t>6</w:t>
      </w:r>
      <w:r w:rsidR="00292F8D">
        <w:t>8</w:t>
      </w:r>
      <w:r w:rsidR="00431ACD">
        <w:t>.0</w:t>
      </w:r>
      <w:r>
        <w:t>, -</w:t>
      </w:r>
      <w:r w:rsidR="00431ACD">
        <w:t>38.</w:t>
      </w:r>
      <w:r w:rsidR="00292F8D">
        <w:t>0</w:t>
      </w:r>
      <w:r w:rsidRPr="005F4EE1">
        <w:t>)</w:t>
      </w:r>
      <w:r>
        <w:t xml:space="preserve"> </w:t>
      </w:r>
      <w:r w:rsidR="005A129B">
        <w:t xml:space="preserve">fall </w:t>
      </w:r>
      <w:r>
        <w:t xml:space="preserve">in the volume </w:t>
      </w:r>
      <w:r w:rsidR="006C645B">
        <w:t xml:space="preserve">of, </w:t>
      </w:r>
      <w:r>
        <w:t xml:space="preserve">and a </w:t>
      </w:r>
      <w:r w:rsidR="002D0E88">
        <w:t>-</w:t>
      </w:r>
      <w:r w:rsidRPr="005F4EE1">
        <w:t>5</w:t>
      </w:r>
      <w:r w:rsidR="00431ACD">
        <w:t>3</w:t>
      </w:r>
      <w:r>
        <w:t>.</w:t>
      </w:r>
      <w:r w:rsidR="00292F8D">
        <w:t>1</w:t>
      </w:r>
      <w:r>
        <w:t>%</w:t>
      </w:r>
      <w:r w:rsidRPr="005F4EE1">
        <w:t xml:space="preserve"> (</w:t>
      </w:r>
      <w:r w:rsidRPr="00523737">
        <w:t>95%</w:t>
      </w:r>
      <w:r>
        <w:t xml:space="preserve"> </w:t>
      </w:r>
      <w:r w:rsidRPr="00523737">
        <w:t xml:space="preserve">CI: </w:t>
      </w:r>
      <w:r w:rsidRPr="005F4EE1">
        <w:t>-</w:t>
      </w:r>
      <w:r w:rsidR="00431ACD">
        <w:t>69.</w:t>
      </w:r>
      <w:r w:rsidR="00292F8D">
        <w:t>0</w:t>
      </w:r>
      <w:r w:rsidRPr="005F4EE1">
        <w:t>,</w:t>
      </w:r>
      <w:r>
        <w:t xml:space="preserve"> </w:t>
      </w:r>
      <w:r w:rsidRPr="005F4EE1">
        <w:t>-</w:t>
      </w:r>
      <w:r w:rsidR="00431ACD">
        <w:t>37.</w:t>
      </w:r>
      <w:r w:rsidR="00292F8D">
        <w:t>3)</w:t>
      </w:r>
      <w:r>
        <w:t xml:space="preserve"> </w:t>
      </w:r>
      <w:r w:rsidR="005A129B">
        <w:t>fall</w:t>
      </w:r>
      <w:r>
        <w:t xml:space="preserve"> in the amount of sugar from drinks in</w:t>
      </w:r>
      <w:r w:rsidR="006C645B">
        <w:t>, purchases of</w:t>
      </w:r>
      <w:r>
        <w:t xml:space="preserve"> low</w:t>
      </w:r>
      <w:r w:rsidR="003F15F6">
        <w:t>er</w:t>
      </w:r>
      <w:r>
        <w:t xml:space="preserve"> levy tier </w:t>
      </w:r>
      <w:r w:rsidR="006C645B">
        <w:t>drinks</w:t>
      </w:r>
      <w:r w:rsidR="001F1E9A">
        <w:t xml:space="preserve"> per </w:t>
      </w:r>
      <w:r w:rsidR="006C645B">
        <w:t>household</w:t>
      </w:r>
      <w:r w:rsidR="001F1E9A">
        <w:t xml:space="preserve"> per </w:t>
      </w:r>
      <w:r w:rsidR="006C645B">
        <w:t xml:space="preserve">week </w:t>
      </w:r>
      <w:r>
        <w:t xml:space="preserve">at two years post-announcement (equivalent to a </w:t>
      </w:r>
      <w:r w:rsidR="002D0E88">
        <w:t>-</w:t>
      </w:r>
      <w:r w:rsidR="00431ACD">
        <w:t>9</w:t>
      </w:r>
      <w:r w:rsidR="00292F8D">
        <w:t>6</w:t>
      </w:r>
      <w:r w:rsidR="00431ACD">
        <w:t>.</w:t>
      </w:r>
      <w:r w:rsidR="00292F8D">
        <w:t>1</w:t>
      </w:r>
      <w:r>
        <w:t>ml</w:t>
      </w:r>
      <w:r w:rsidR="006A7729">
        <w:t xml:space="preserve"> </w:t>
      </w:r>
      <w:r w:rsidR="006A7729" w:rsidRPr="006A7729">
        <w:t>(95% CI:</w:t>
      </w:r>
      <w:r w:rsidR="006A7729">
        <w:t xml:space="preserve"> -14</w:t>
      </w:r>
      <w:r w:rsidR="00292F8D">
        <w:t>4.</w:t>
      </w:r>
      <w:r w:rsidR="00431ACD">
        <w:t>2</w:t>
      </w:r>
      <w:r w:rsidR="006A7729">
        <w:t>, -</w:t>
      </w:r>
      <w:r w:rsidR="00431ACD">
        <w:t>4</w:t>
      </w:r>
      <w:r w:rsidR="00292F8D">
        <w:t>8</w:t>
      </w:r>
      <w:r w:rsidR="00431ACD">
        <w:t>.0</w:t>
      </w:r>
      <w:r w:rsidR="006A7729" w:rsidRPr="006A7729">
        <w:t xml:space="preserve">) </w:t>
      </w:r>
      <w:r>
        <w:t xml:space="preserve">reduction in volume and </w:t>
      </w:r>
      <w:r w:rsidR="002D0E88">
        <w:t>-</w:t>
      </w:r>
      <w:r w:rsidR="00431ACD">
        <w:t>6.</w:t>
      </w:r>
      <w:r w:rsidR="00292F8D">
        <w:t>4</w:t>
      </w:r>
      <w:r>
        <w:t xml:space="preserve">g </w:t>
      </w:r>
      <w:r w:rsidR="006A7729" w:rsidRPr="006A7729">
        <w:t>(95% CI:</w:t>
      </w:r>
      <w:r w:rsidR="006A7729">
        <w:t xml:space="preserve"> -</w:t>
      </w:r>
      <w:r w:rsidR="00431ACD">
        <w:t>9.</w:t>
      </w:r>
      <w:r w:rsidR="00292F8D">
        <w:t>8</w:t>
      </w:r>
      <w:r w:rsidR="006A7729">
        <w:t>, -</w:t>
      </w:r>
      <w:r w:rsidR="00431ACD">
        <w:t>3.</w:t>
      </w:r>
      <w:r w:rsidR="00292F8D">
        <w:t>1</w:t>
      </w:r>
      <w:r w:rsidR="006A7729" w:rsidRPr="006A7729">
        <w:t xml:space="preserve">) </w:t>
      </w:r>
      <w:r>
        <w:t>reduction in sugar purchased in these drinks</w:t>
      </w:r>
      <w:r w:rsidR="001F1E9A">
        <w:t xml:space="preserve"> per </w:t>
      </w:r>
      <w:r>
        <w:t>household</w:t>
      </w:r>
      <w:r w:rsidR="001F1E9A">
        <w:t xml:space="preserve"> per </w:t>
      </w:r>
      <w:r>
        <w:t>week).</w:t>
      </w:r>
    </w:p>
    <w:p w14:paraId="7CE7F5C7" w14:textId="4B72B165" w:rsidR="006320CD" w:rsidRDefault="00DF4AA7" w:rsidP="00522709">
      <w:pPr>
        <w:spacing w:line="480" w:lineRule="auto"/>
        <w:jc w:val="both"/>
      </w:pPr>
      <w:r>
        <w:t xml:space="preserve">Whilst the announcement of the SDIL was not associated </w:t>
      </w:r>
      <w:r w:rsidR="00B039AC">
        <w:t xml:space="preserve">with </w:t>
      </w:r>
      <w:r>
        <w:t xml:space="preserve">a level or trend change in volume of household purchases of </w:t>
      </w:r>
      <w:r w:rsidR="00522709">
        <w:t>no</w:t>
      </w:r>
      <w:r w:rsidR="003C52F6">
        <w:t xml:space="preserve"> </w:t>
      </w:r>
      <w:r w:rsidR="00522709">
        <w:t>levy drinks</w:t>
      </w:r>
      <w:r w:rsidR="006C645B">
        <w:t>, there was a reversal of the existing downward</w:t>
      </w:r>
      <w:r>
        <w:t xml:space="preserve"> t</w:t>
      </w:r>
      <w:r w:rsidR="006C645B">
        <w:t>rend in the amount of sugar in household purchases of these drinks</w:t>
      </w:r>
      <w:r w:rsidR="00522709">
        <w:t xml:space="preserve">. </w:t>
      </w:r>
      <w:r w:rsidR="006C645B">
        <w:t xml:space="preserve">At two years post-announcement, these changes led to a </w:t>
      </w:r>
      <w:r w:rsidR="0047158A">
        <w:t>68.8</w:t>
      </w:r>
      <w:r w:rsidR="005F4EE1">
        <w:t>%</w:t>
      </w:r>
      <w:r w:rsidR="005F4EE1" w:rsidRPr="005F4EE1">
        <w:t xml:space="preserve"> (</w:t>
      </w:r>
      <w:r w:rsidR="00523737" w:rsidRPr="00523737">
        <w:t>95%</w:t>
      </w:r>
      <w:r w:rsidR="004B7162">
        <w:t xml:space="preserve"> </w:t>
      </w:r>
      <w:r w:rsidR="00523737" w:rsidRPr="00523737">
        <w:t>CI:</w:t>
      </w:r>
      <w:r w:rsidR="00493DEF">
        <w:t xml:space="preserve"> </w:t>
      </w:r>
      <w:r w:rsidR="0001339B">
        <w:t>1</w:t>
      </w:r>
      <w:r w:rsidR="0047158A">
        <w:t>9</w:t>
      </w:r>
      <w:r w:rsidR="0001339B">
        <w:t>.</w:t>
      </w:r>
      <w:r w:rsidR="0047158A">
        <w:t>1</w:t>
      </w:r>
      <w:r w:rsidR="00493DEF">
        <w:t xml:space="preserve">, </w:t>
      </w:r>
      <w:r w:rsidR="003E27F5">
        <w:t>1</w:t>
      </w:r>
      <w:r w:rsidR="0047158A">
        <w:t>1</w:t>
      </w:r>
      <w:r w:rsidR="0001339B">
        <w:t>8.</w:t>
      </w:r>
      <w:r w:rsidR="0047158A">
        <w:t>6</w:t>
      </w:r>
      <w:r w:rsidR="005F4EE1" w:rsidRPr="005F4EE1">
        <w:t>)</w:t>
      </w:r>
      <w:r w:rsidR="00777D9E">
        <w:t xml:space="preserve"> </w:t>
      </w:r>
      <w:r w:rsidR="006C645B">
        <w:t>increase in the amount of sugar in purchases of no levy drinks</w:t>
      </w:r>
      <w:r w:rsidR="001F1E9A">
        <w:t xml:space="preserve"> per </w:t>
      </w:r>
      <w:r w:rsidR="006C645B">
        <w:t>household</w:t>
      </w:r>
      <w:r w:rsidR="001F1E9A">
        <w:t xml:space="preserve"> per </w:t>
      </w:r>
      <w:r w:rsidR="006C645B">
        <w:t xml:space="preserve">week, but no change in volume purchased (equivalent to a </w:t>
      </w:r>
      <w:r w:rsidR="0001339B">
        <w:t>6.</w:t>
      </w:r>
      <w:r w:rsidR="0047158A">
        <w:t>1</w:t>
      </w:r>
      <w:r w:rsidR="006C645B">
        <w:t xml:space="preserve">g </w:t>
      </w:r>
      <w:r w:rsidR="006A7729" w:rsidRPr="006A7729">
        <w:t>(95% CI:</w:t>
      </w:r>
      <w:r w:rsidR="006A7729">
        <w:t xml:space="preserve"> 3.</w:t>
      </w:r>
      <w:r w:rsidR="0001339B">
        <w:t>9</w:t>
      </w:r>
      <w:r w:rsidR="006A7729">
        <w:t xml:space="preserve">, </w:t>
      </w:r>
      <w:r w:rsidR="0001339B">
        <w:t>8.</w:t>
      </w:r>
      <w:r w:rsidR="0047158A">
        <w:t>2</w:t>
      </w:r>
      <w:r w:rsidR="006A7729" w:rsidRPr="006A7729">
        <w:t xml:space="preserve">) </w:t>
      </w:r>
      <w:r w:rsidR="006C645B">
        <w:t>increase in sugar purchased in these drinks</w:t>
      </w:r>
      <w:r w:rsidR="001F1E9A">
        <w:t xml:space="preserve"> per </w:t>
      </w:r>
      <w:r w:rsidR="006C645B">
        <w:t>household</w:t>
      </w:r>
      <w:r w:rsidR="001F1E9A">
        <w:t xml:space="preserve"> per </w:t>
      </w:r>
      <w:r w:rsidR="006C645B">
        <w:t>week)</w:t>
      </w:r>
      <w:r w:rsidR="00523737">
        <w:t xml:space="preserve">. </w:t>
      </w:r>
      <w:r w:rsidR="006C645B">
        <w:t>This change appeared to be drive</w:t>
      </w:r>
      <w:r w:rsidR="003F15F6">
        <w:t>n</w:t>
      </w:r>
      <w:r w:rsidR="006C645B">
        <w:t xml:space="preserve"> by changes in volume of,</w:t>
      </w:r>
      <w:r w:rsidR="002D1D49">
        <w:t xml:space="preserve"> and</w:t>
      </w:r>
      <w:r w:rsidR="006C645B">
        <w:t xml:space="preserve"> sugar in, purchases of drinks containing</w:t>
      </w:r>
      <w:r w:rsidR="003026DF">
        <w:t xml:space="preserve"> &gt;0g but &lt;5g total sugar</w:t>
      </w:r>
      <w:r w:rsidR="001F1E9A">
        <w:t xml:space="preserve"> per </w:t>
      </w:r>
      <w:r w:rsidR="003026DF">
        <w:t>100ml</w:t>
      </w:r>
      <w:r w:rsidR="00FE2782">
        <w:t xml:space="preserve">, with the difference between the fall in sugar from lower tier drinks and the increase in </w:t>
      </w:r>
      <w:r w:rsidR="00FE2782">
        <w:lastRenderedPageBreak/>
        <w:t xml:space="preserve">sugar in no levy drinks </w:t>
      </w:r>
      <w:r w:rsidR="002126B1">
        <w:t xml:space="preserve">due to </w:t>
      </w:r>
      <w:r w:rsidR="00FE2782">
        <w:t xml:space="preserve">the removal </w:t>
      </w:r>
      <w:r w:rsidR="004D0E28">
        <w:t xml:space="preserve">of </w:t>
      </w:r>
      <w:r w:rsidR="0001339B">
        <w:t xml:space="preserve">some </w:t>
      </w:r>
      <w:r w:rsidR="00FE2782">
        <w:t>sugar by manufacturers</w:t>
      </w:r>
      <w:r w:rsidR="003455DD">
        <w:t xml:space="preserve"> meaning </w:t>
      </w:r>
      <w:r w:rsidR="003E27A1">
        <w:t>drinks</w:t>
      </w:r>
      <w:r w:rsidR="003455DD">
        <w:t xml:space="preserve"> shifted from being liable for the levy to not being liable</w:t>
      </w:r>
      <w:r w:rsidR="00FE2782">
        <w:t>.</w:t>
      </w:r>
    </w:p>
    <w:p w14:paraId="782BFDC4" w14:textId="4A03D132" w:rsidR="006C645B" w:rsidRDefault="006C645B" w:rsidP="00522709">
      <w:pPr>
        <w:spacing w:line="480" w:lineRule="auto"/>
        <w:jc w:val="both"/>
      </w:pPr>
      <w:r>
        <w:t>There was no evidence that the announcement of the SDIL was associated with changes in weight of, or amount of sugar in, confectionery purchased</w:t>
      </w:r>
      <w:r w:rsidR="001F1E9A">
        <w:t xml:space="preserve"> per </w:t>
      </w:r>
      <w:r>
        <w:t>household</w:t>
      </w:r>
      <w:r w:rsidR="001F1E9A">
        <w:t xml:space="preserve"> per </w:t>
      </w:r>
      <w:r>
        <w:t xml:space="preserve">week. The same was true of </w:t>
      </w:r>
      <w:r w:rsidR="003B0164">
        <w:t xml:space="preserve">alcoholic drinks </w:t>
      </w:r>
      <w:r>
        <w:t xml:space="preserve">and most </w:t>
      </w:r>
      <w:r w:rsidR="003026DF">
        <w:t>other exempt drinks</w:t>
      </w:r>
      <w:r w:rsidR="003B0164">
        <w:t xml:space="preserve">. </w:t>
      </w:r>
      <w:r>
        <w:t xml:space="preserve">The only exception was </w:t>
      </w:r>
      <w:r w:rsidR="008F0414">
        <w:t xml:space="preserve">a </w:t>
      </w:r>
      <w:r w:rsidR="002D0E88">
        <w:t>-</w:t>
      </w:r>
      <w:r w:rsidR="0047158A">
        <w:t>8.9</w:t>
      </w:r>
      <w:r w:rsidR="00443CC5">
        <w:t>%</w:t>
      </w:r>
      <w:r w:rsidR="008F0414">
        <w:t xml:space="preserve"> (95% CI: -1</w:t>
      </w:r>
      <w:r w:rsidR="0047158A">
        <w:t>4</w:t>
      </w:r>
      <w:r w:rsidR="008F0414">
        <w:t>.</w:t>
      </w:r>
      <w:r w:rsidR="0047158A">
        <w:t>1</w:t>
      </w:r>
      <w:r w:rsidR="008F0414">
        <w:t xml:space="preserve"> to -</w:t>
      </w:r>
      <w:r w:rsidR="0047158A">
        <w:t>3.6</w:t>
      </w:r>
      <w:r w:rsidR="008F0414">
        <w:t xml:space="preserve">) reduction in the volume of milk-based drinks at two years post-announcement (equivalent to </w:t>
      </w:r>
      <w:r w:rsidR="002D0E88">
        <w:t>-</w:t>
      </w:r>
      <w:r w:rsidR="008F0414">
        <w:t>3</w:t>
      </w:r>
      <w:r w:rsidR="0047158A">
        <w:t>17.5</w:t>
      </w:r>
      <w:r w:rsidR="008F0414">
        <w:t xml:space="preserve">ml </w:t>
      </w:r>
      <w:r w:rsidR="005A5E64" w:rsidRPr="005A5E64">
        <w:t>(95% CI:</w:t>
      </w:r>
      <w:r w:rsidR="005A5E64">
        <w:t xml:space="preserve"> -</w:t>
      </w:r>
      <w:r w:rsidR="0047158A">
        <w:t>521.5</w:t>
      </w:r>
      <w:r w:rsidR="005A5E64">
        <w:t>, -</w:t>
      </w:r>
      <w:r w:rsidR="0047158A">
        <w:t>113.4</w:t>
      </w:r>
      <w:r w:rsidR="005A5E64" w:rsidRPr="005A5E64">
        <w:t xml:space="preserve">) </w:t>
      </w:r>
      <w:r w:rsidR="008F0414">
        <w:t>less</w:t>
      </w:r>
      <w:r w:rsidR="001F1E9A">
        <w:t xml:space="preserve"> per </w:t>
      </w:r>
      <w:r w:rsidR="008F0414">
        <w:t>household</w:t>
      </w:r>
      <w:r w:rsidR="001F1E9A">
        <w:t xml:space="preserve"> per </w:t>
      </w:r>
      <w:r w:rsidR="008F0414">
        <w:t>week).</w:t>
      </w:r>
    </w:p>
    <w:p w14:paraId="2BFAC58C" w14:textId="6F18110D" w:rsidR="00233CB8" w:rsidRDefault="00522709" w:rsidP="00522709">
      <w:pPr>
        <w:spacing w:line="480" w:lineRule="auto"/>
        <w:jc w:val="both"/>
      </w:pPr>
      <w:r>
        <w:t>E</w:t>
      </w:r>
      <w:r w:rsidR="00777D9E">
        <w:t xml:space="preserve">xcluding manufacturers with sales of </w:t>
      </w:r>
      <w:r w:rsidR="008F0414">
        <w:t>&lt;</w:t>
      </w:r>
      <w:r w:rsidR="00443CC5">
        <w:t xml:space="preserve">1M litres </w:t>
      </w:r>
      <w:r w:rsidR="00C9271D">
        <w:t xml:space="preserve">or </w:t>
      </w:r>
      <w:r w:rsidR="008F0414">
        <w:t>&lt;</w:t>
      </w:r>
      <w:r w:rsidR="00443CC5">
        <w:t xml:space="preserve">0.5M litres </w:t>
      </w:r>
      <w:r w:rsidR="003D3709">
        <w:t xml:space="preserve">per year </w:t>
      </w:r>
      <w:r w:rsidR="00777D9E">
        <w:t xml:space="preserve">did not change </w:t>
      </w:r>
      <w:r w:rsidR="00523737">
        <w:t xml:space="preserve">the direction of any of </w:t>
      </w:r>
      <w:r w:rsidR="00777D9E">
        <w:t>these results (</w:t>
      </w:r>
      <w:r w:rsidR="008F0414">
        <w:t>see S</w:t>
      </w:r>
      <w:r w:rsidR="00600AB4">
        <w:t>3 Text</w:t>
      </w:r>
      <w:r w:rsidR="008F0414">
        <w:t>).</w:t>
      </w:r>
      <w:r w:rsidR="000C4F1D">
        <w:t xml:space="preserve"> Similarly, </w:t>
      </w:r>
      <w:r w:rsidR="008F0414">
        <w:t>applying</w:t>
      </w:r>
      <w:r w:rsidR="006B73C9">
        <w:t xml:space="preserve"> the </w:t>
      </w:r>
      <w:r w:rsidR="008F0414">
        <w:t>SDIL thresholds of ≥8g, and &gt;5g to &lt;8g sugar</w:t>
      </w:r>
      <w:r w:rsidR="001F1E9A">
        <w:t xml:space="preserve"> per </w:t>
      </w:r>
      <w:r w:rsidR="00C9271D">
        <w:t xml:space="preserve">100 ml </w:t>
      </w:r>
      <w:r w:rsidR="006B73C9">
        <w:t>to group all drinks</w:t>
      </w:r>
      <w:r w:rsidR="008461E2">
        <w:t xml:space="preserve">, including those exempt from the levy, </w:t>
      </w:r>
      <w:r w:rsidR="000C4F1D">
        <w:t xml:space="preserve">did not alter the results </w:t>
      </w:r>
      <w:r w:rsidR="00C9271D">
        <w:t xml:space="preserve">of </w:t>
      </w:r>
      <w:r w:rsidR="000C4F1D">
        <w:t xml:space="preserve">the main analysis </w:t>
      </w:r>
      <w:r w:rsidR="00491C50">
        <w:t>(</w:t>
      </w:r>
      <w:r w:rsidR="008F0414">
        <w:t xml:space="preserve">see Supplementary </w:t>
      </w:r>
      <w:r w:rsidR="00491C50">
        <w:t xml:space="preserve">Tables </w:t>
      </w:r>
      <w:r w:rsidR="009D138F">
        <w:t>F</w:t>
      </w:r>
      <w:r w:rsidR="00491C50">
        <w:t xml:space="preserve"> and </w:t>
      </w:r>
      <w:r w:rsidR="009D138F">
        <w:t>G</w:t>
      </w:r>
      <w:r w:rsidR="00491C50">
        <w:t>).</w:t>
      </w:r>
      <w:r w:rsidR="00516AE5">
        <w:t xml:space="preserve"> When</w:t>
      </w:r>
      <w:r w:rsidR="003B0164">
        <w:t xml:space="preserve"> drinks </w:t>
      </w:r>
      <w:r w:rsidR="00516AE5">
        <w:t xml:space="preserve">from all of the non-alcoholic drinks </w:t>
      </w:r>
      <w:r w:rsidR="003B0164">
        <w:t>categories were combined there was no evidence of a change in the volume</w:t>
      </w:r>
      <w:r w:rsidR="008F0414">
        <w:t xml:space="preserve"> of,</w:t>
      </w:r>
      <w:r w:rsidR="003B0164">
        <w:t xml:space="preserve"> or amount o</w:t>
      </w:r>
      <w:r w:rsidR="003D3709">
        <w:t>f</w:t>
      </w:r>
      <w:r w:rsidR="003B0164">
        <w:t xml:space="preserve"> sugar in</w:t>
      </w:r>
      <w:r w:rsidR="008F0414">
        <w:t>,</w:t>
      </w:r>
      <w:r w:rsidR="003B0164">
        <w:t xml:space="preserve"> </w:t>
      </w:r>
      <w:r w:rsidR="008F0414">
        <w:t xml:space="preserve">household </w:t>
      </w:r>
      <w:r w:rsidR="003B0164">
        <w:t xml:space="preserve">drinks </w:t>
      </w:r>
      <w:r w:rsidR="008F0414">
        <w:t xml:space="preserve">purchases </w:t>
      </w:r>
      <w:r w:rsidR="001E1B5B">
        <w:t xml:space="preserve">as a result of the </w:t>
      </w:r>
      <w:r w:rsidR="00516AE5">
        <w:t xml:space="preserve">announcement of the </w:t>
      </w:r>
      <w:r w:rsidR="001E1B5B">
        <w:t>levy</w:t>
      </w:r>
      <w:r w:rsidR="00FE2782">
        <w:t xml:space="preserve"> at two years post-announcement </w:t>
      </w:r>
      <w:r w:rsidR="003B0164">
        <w:t>(</w:t>
      </w:r>
      <w:r w:rsidR="008F0414">
        <w:t xml:space="preserve">see </w:t>
      </w:r>
      <w:r w:rsidR="00600AB4">
        <w:t>S4 Text</w:t>
      </w:r>
      <w:r w:rsidR="003B0164">
        <w:t>).</w:t>
      </w:r>
    </w:p>
    <w:p w14:paraId="7434B3F6" w14:textId="33EF9B73" w:rsidR="00A47DBF" w:rsidRDefault="005A129B" w:rsidP="00522709">
      <w:pPr>
        <w:spacing w:line="480" w:lineRule="auto"/>
        <w:jc w:val="both"/>
      </w:pPr>
      <w:r w:rsidRPr="005A129B">
        <w:t xml:space="preserve">Overall, results were similar in both the </w:t>
      </w:r>
      <w:r w:rsidR="0001339B">
        <w:t>models</w:t>
      </w:r>
      <w:r w:rsidRPr="005A129B">
        <w:t xml:space="preserve"> </w:t>
      </w:r>
      <w:r w:rsidR="003E27A1">
        <w:t xml:space="preserve">with and without toiletries acting as a control condition </w:t>
      </w:r>
      <w:r w:rsidRPr="005A129B">
        <w:t>though the effect sizes did change. The trend in purchased volume of powde</w:t>
      </w:r>
      <w:r>
        <w:t xml:space="preserve">red drinks did reach </w:t>
      </w:r>
      <w:r w:rsidR="00027F9A">
        <w:t xml:space="preserve">statistical </w:t>
      </w:r>
      <w:r>
        <w:t>significance</w:t>
      </w:r>
      <w:r w:rsidRPr="005A129B">
        <w:t xml:space="preserve"> in the uncontrolled cases [-0.12 (95% CI -0.23, -0.0002)] and sugar in confectionery did differ significantly following the announcement in the uncontrolled case [-44.4 (95% CI-85.5, -3.3)]. The results of this are presented in </w:t>
      </w:r>
      <w:r w:rsidR="000562E1">
        <w:t>S5 Text</w:t>
      </w:r>
      <w:r w:rsidR="002178DA">
        <w:t xml:space="preserve"> (</w:t>
      </w:r>
      <w:r w:rsidR="000562E1">
        <w:t xml:space="preserve">S6 </w:t>
      </w:r>
      <w:r w:rsidRPr="005A129B">
        <w:t>Table and</w:t>
      </w:r>
      <w:r>
        <w:t xml:space="preserve"> </w:t>
      </w:r>
      <w:r w:rsidR="000562E1">
        <w:t>S7 Table</w:t>
      </w:r>
      <w:r w:rsidR="002178DA">
        <w:t>)</w:t>
      </w:r>
      <w:r w:rsidRPr="005A129B">
        <w:t xml:space="preserve"> which show model coefficients for the level and trend following the announcement of the SDIL together with 95% confidence intervals.</w:t>
      </w:r>
    </w:p>
    <w:p w14:paraId="59AB1F9F" w14:textId="77777777" w:rsidR="00A47DBF" w:rsidRDefault="00A47DBF" w:rsidP="00522709">
      <w:pPr>
        <w:spacing w:line="480" w:lineRule="auto"/>
        <w:jc w:val="both"/>
      </w:pPr>
    </w:p>
    <w:p w14:paraId="2C55A0AF" w14:textId="0A2B67C4" w:rsidR="00A47DBF" w:rsidRDefault="00BC3C66" w:rsidP="00980A3F">
      <w:pPr>
        <w:spacing w:line="480" w:lineRule="auto"/>
        <w:jc w:val="both"/>
      </w:pPr>
      <w:r>
        <w:t xml:space="preserve">Fig 1. </w:t>
      </w:r>
      <w:r w:rsidR="008F0414">
        <w:t xml:space="preserve">Observed and modelled </w:t>
      </w:r>
      <w:r w:rsidR="00E916D3">
        <w:t xml:space="preserve">volume of </w:t>
      </w:r>
      <w:r w:rsidR="008F0414">
        <w:t>drinks liable to the Soft Drinks Industry Levy and weight of confectionery purchased per household per</w:t>
      </w:r>
      <w:r w:rsidR="00E916D3">
        <w:t xml:space="preserve"> week</w:t>
      </w:r>
      <w:r w:rsidR="008F0414">
        <w:t xml:space="preserve">, </w:t>
      </w:r>
      <w:r w:rsidR="001E46E0">
        <w:t>March</w:t>
      </w:r>
      <w:r w:rsidR="001E46E0" w:rsidRPr="00234C81">
        <w:t xml:space="preserve"> </w:t>
      </w:r>
      <w:r w:rsidR="00234C81" w:rsidRPr="00234C81">
        <w:t>2014- March 2018</w:t>
      </w:r>
    </w:p>
    <w:p w14:paraId="551B5301" w14:textId="6C02AAEA" w:rsidR="00483F39" w:rsidRDefault="00483F39" w:rsidP="00980A3F">
      <w:pPr>
        <w:spacing w:line="480" w:lineRule="auto"/>
        <w:jc w:val="both"/>
      </w:pPr>
    </w:p>
    <w:p w14:paraId="247932A6" w14:textId="51DE1342" w:rsidR="00233CB8" w:rsidRDefault="004124E9">
      <w:r>
        <w:t>Notes. Points are observed data, coloured lines are modelled data; the vertical line indicates the point of announcement; Y-axis vary between panels to maximise the resolution of figures; modelled purchases are presented as straight lines, but include all adjustments as described in the methods section; modelled post-announcement counterfactual lines may not be contiguous with modelled pre-announcement lines due to the effects of controlling for toiletries</w:t>
      </w:r>
    </w:p>
    <w:p w14:paraId="6BB3794C" w14:textId="77777777" w:rsidR="00AE001A" w:rsidRDefault="00AE001A"/>
    <w:p w14:paraId="48BE3D01" w14:textId="77777777" w:rsidR="008041FD" w:rsidRDefault="008041FD" w:rsidP="00980A3F">
      <w:pPr>
        <w:spacing w:line="480" w:lineRule="auto"/>
        <w:jc w:val="both"/>
      </w:pPr>
    </w:p>
    <w:p w14:paraId="3D160262" w14:textId="3E388DA4" w:rsidR="00A303CF" w:rsidRDefault="00234C81" w:rsidP="00980A3F">
      <w:pPr>
        <w:spacing w:line="480" w:lineRule="auto"/>
        <w:jc w:val="both"/>
      </w:pPr>
      <w:r w:rsidRPr="00234C81">
        <w:t>Fig</w:t>
      </w:r>
      <w:r w:rsidR="00813735">
        <w:t xml:space="preserve"> </w:t>
      </w:r>
      <w:r>
        <w:t>2</w:t>
      </w:r>
      <w:r w:rsidRPr="00234C81">
        <w:t xml:space="preserve">. </w:t>
      </w:r>
      <w:r w:rsidR="004124E9">
        <w:t>Observed and modelled amount of sugar in drinks liable to the Soft Drinks Industry Levy and confectionery purchased per household per week, March</w:t>
      </w:r>
      <w:r w:rsidR="004124E9" w:rsidRPr="00234C81">
        <w:t xml:space="preserve"> 2014- March 2018</w:t>
      </w:r>
    </w:p>
    <w:p w14:paraId="1ED19590" w14:textId="6916C34B" w:rsidR="00B2676C" w:rsidRDefault="00B2676C" w:rsidP="00980A3F">
      <w:pPr>
        <w:spacing w:line="480" w:lineRule="auto"/>
        <w:jc w:val="both"/>
      </w:pPr>
    </w:p>
    <w:p w14:paraId="5F056AEE" w14:textId="51142C0A" w:rsidR="004124E9" w:rsidRDefault="004124E9" w:rsidP="004124E9">
      <w:r>
        <w:t>Notes. Points are observed data, coloured lines are modelled data; the vertical line indicates the point of announcement; Y-axis vary between panels to maximise the resolution of figures; modelled purchases are presented as straight lines, but include all adjustments as described in the methods section; modelled post-announcement counterfactual lines may not be contiguous with modelled pre-announcement lines due to the effects of controlling for toiletries</w:t>
      </w:r>
    </w:p>
    <w:p w14:paraId="1A921A95" w14:textId="6C186BF2" w:rsidR="00474B72" w:rsidRPr="003E22A0" w:rsidRDefault="00474B72" w:rsidP="00980A3F">
      <w:pPr>
        <w:spacing w:line="480" w:lineRule="auto"/>
        <w:jc w:val="both"/>
        <w:sectPr w:rsidR="00474B72" w:rsidRPr="003E22A0" w:rsidSect="00FE4E2D">
          <w:footerReference w:type="default" r:id="rId12"/>
          <w:pgSz w:w="11906" w:h="16838"/>
          <w:pgMar w:top="1440" w:right="1440" w:bottom="1440" w:left="1440" w:header="708" w:footer="708" w:gutter="0"/>
          <w:lnNumType w:countBy="1" w:restart="continuous"/>
          <w:cols w:space="708"/>
          <w:docGrid w:linePitch="360"/>
        </w:sectPr>
      </w:pPr>
    </w:p>
    <w:p w14:paraId="15AE2E29" w14:textId="0C79016E" w:rsidR="00AA172C" w:rsidRDefault="00567659" w:rsidP="00980A3F">
      <w:pPr>
        <w:spacing w:line="480" w:lineRule="auto"/>
        <w:jc w:val="both"/>
      </w:pPr>
      <w:r>
        <w:lastRenderedPageBreak/>
        <w:t>Table 2</w:t>
      </w:r>
      <w:r w:rsidR="00234C81">
        <w:t xml:space="preserve">. </w:t>
      </w:r>
      <w:r w:rsidR="00AA172C">
        <w:t>Adjusted c</w:t>
      </w:r>
      <w:r w:rsidR="00234C81">
        <w:t>hange in m</w:t>
      </w:r>
      <w:r w:rsidR="00F94F31">
        <w:t>ean v</w:t>
      </w:r>
      <w:r w:rsidR="003F00FD" w:rsidRPr="003F00FD">
        <w:t xml:space="preserve">olume </w:t>
      </w:r>
      <w:r w:rsidR="00AA172C">
        <w:t xml:space="preserve">of drinks and confectionery purchased </w:t>
      </w:r>
      <w:r w:rsidR="00F94F31">
        <w:t>per household</w:t>
      </w:r>
      <w:r w:rsidR="00C9271D">
        <w:t xml:space="preserve"> </w:t>
      </w:r>
      <w:r w:rsidR="00813735">
        <w:t xml:space="preserve">per week </w:t>
      </w:r>
      <w:r w:rsidR="00C9271D">
        <w:t>(95% CI)</w:t>
      </w:r>
      <w:r w:rsidR="00F94F31">
        <w:t xml:space="preserve"> </w:t>
      </w:r>
      <w:r w:rsidR="00234C81">
        <w:t>(</w:t>
      </w:r>
      <w:r w:rsidR="00AA172C">
        <w:t>l</w:t>
      </w:r>
      <w:r w:rsidR="00234C81">
        <w:t xml:space="preserve">evel) and </w:t>
      </w:r>
      <w:r w:rsidR="00AA172C">
        <w:t xml:space="preserve">adjusted </w:t>
      </w:r>
      <w:r w:rsidR="00234C81">
        <w:t xml:space="preserve">change </w:t>
      </w:r>
      <w:r w:rsidR="00F94F31">
        <w:t xml:space="preserve">per week </w:t>
      </w:r>
      <w:r w:rsidR="00AA172C">
        <w:t>(trend) post-announcement</w:t>
      </w:r>
      <w:r w:rsidR="003026DF">
        <w:t xml:space="preserve"> of the Soft Drinks Industry Levy</w:t>
      </w:r>
      <w:r w:rsidR="003E27A1">
        <w:t xml:space="preserve"> including toiletries as a control condition</w:t>
      </w:r>
      <w:r w:rsidR="00AA172C">
        <w:t>, with absolute and relative differences in purchased volume at two-years post-announcement</w:t>
      </w:r>
      <w:r w:rsidR="003E27A1" w:rsidRPr="003E27A1">
        <w:t xml:space="preserve"> </w:t>
      </w:r>
    </w:p>
    <w:tbl>
      <w:tblPr>
        <w:tblStyle w:val="TableGrid14"/>
        <w:tblW w:w="132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2"/>
        <w:gridCol w:w="283"/>
        <w:gridCol w:w="3436"/>
        <w:gridCol w:w="2125"/>
        <w:gridCol w:w="709"/>
        <w:gridCol w:w="2055"/>
        <w:gridCol w:w="2125"/>
        <w:gridCol w:w="2126"/>
      </w:tblGrid>
      <w:tr w:rsidR="00565D8E" w:rsidRPr="009C1672" w14:paraId="25963DBB" w14:textId="77777777" w:rsidTr="00EB4B7D">
        <w:tc>
          <w:tcPr>
            <w:tcW w:w="675" w:type="dxa"/>
            <w:gridSpan w:val="2"/>
            <w:tcBorders>
              <w:top w:val="single" w:sz="8" w:space="0" w:color="auto"/>
            </w:tcBorders>
          </w:tcPr>
          <w:p w14:paraId="0560DE4A" w14:textId="77777777" w:rsidR="00565D8E" w:rsidRPr="009C1672" w:rsidRDefault="00565D8E" w:rsidP="00262775">
            <w:pPr>
              <w:jc w:val="both"/>
              <w:rPr>
                <w:sz w:val="20"/>
                <w:szCs w:val="20"/>
              </w:rPr>
            </w:pPr>
          </w:p>
        </w:tc>
        <w:tc>
          <w:tcPr>
            <w:tcW w:w="3436" w:type="dxa"/>
            <w:tcBorders>
              <w:top w:val="single" w:sz="8" w:space="0" w:color="auto"/>
            </w:tcBorders>
          </w:tcPr>
          <w:p w14:paraId="7ADEBA78" w14:textId="26FE5072" w:rsidR="00565D8E" w:rsidRPr="009C1672" w:rsidRDefault="00565D8E" w:rsidP="00262775">
            <w:pPr>
              <w:spacing w:line="276" w:lineRule="auto"/>
              <w:jc w:val="both"/>
              <w:rPr>
                <w:sz w:val="20"/>
                <w:szCs w:val="20"/>
              </w:rPr>
            </w:pPr>
          </w:p>
        </w:tc>
        <w:tc>
          <w:tcPr>
            <w:tcW w:w="2834" w:type="dxa"/>
            <w:gridSpan w:val="2"/>
            <w:tcBorders>
              <w:top w:val="single" w:sz="8" w:space="0" w:color="auto"/>
            </w:tcBorders>
          </w:tcPr>
          <w:p w14:paraId="4DA486D4" w14:textId="77777777" w:rsidR="00565D8E" w:rsidRPr="009C1672" w:rsidRDefault="00565D8E" w:rsidP="00443CC5">
            <w:pPr>
              <w:spacing w:line="276" w:lineRule="auto"/>
              <w:jc w:val="center"/>
              <w:rPr>
                <w:sz w:val="20"/>
                <w:szCs w:val="20"/>
              </w:rPr>
            </w:pPr>
          </w:p>
        </w:tc>
        <w:tc>
          <w:tcPr>
            <w:tcW w:w="2055" w:type="dxa"/>
            <w:tcBorders>
              <w:top w:val="single" w:sz="8" w:space="0" w:color="auto"/>
            </w:tcBorders>
          </w:tcPr>
          <w:p w14:paraId="3BD548CF" w14:textId="77777777" w:rsidR="00565D8E" w:rsidRPr="009C1672" w:rsidRDefault="00565D8E" w:rsidP="00443CC5">
            <w:pPr>
              <w:spacing w:line="276" w:lineRule="auto"/>
              <w:jc w:val="center"/>
              <w:rPr>
                <w:sz w:val="20"/>
                <w:szCs w:val="20"/>
              </w:rPr>
            </w:pPr>
          </w:p>
        </w:tc>
        <w:tc>
          <w:tcPr>
            <w:tcW w:w="4251" w:type="dxa"/>
            <w:gridSpan w:val="2"/>
            <w:tcBorders>
              <w:top w:val="single" w:sz="8" w:space="0" w:color="auto"/>
              <w:bottom w:val="single" w:sz="8" w:space="0" w:color="DBE5F1" w:themeColor="accent1" w:themeTint="33"/>
            </w:tcBorders>
          </w:tcPr>
          <w:p w14:paraId="00570638" w14:textId="7406F237" w:rsidR="00565D8E" w:rsidRPr="009C1672" w:rsidRDefault="00565D8E" w:rsidP="00443CC5">
            <w:pPr>
              <w:spacing w:line="276" w:lineRule="auto"/>
              <w:jc w:val="center"/>
              <w:rPr>
                <w:sz w:val="20"/>
                <w:szCs w:val="20"/>
              </w:rPr>
            </w:pPr>
            <w:r w:rsidRPr="009C1672">
              <w:rPr>
                <w:sz w:val="20"/>
                <w:szCs w:val="20"/>
              </w:rPr>
              <w:t>Change at 2 ye</w:t>
            </w:r>
            <w:r>
              <w:rPr>
                <w:sz w:val="20"/>
                <w:szCs w:val="20"/>
              </w:rPr>
              <w:t xml:space="preserve">ars </w:t>
            </w:r>
            <w:r w:rsidR="003026DF">
              <w:rPr>
                <w:sz w:val="20"/>
                <w:szCs w:val="20"/>
              </w:rPr>
              <w:t>post-</w:t>
            </w:r>
            <w:r>
              <w:rPr>
                <w:sz w:val="20"/>
                <w:szCs w:val="20"/>
              </w:rPr>
              <w:t>announcement</w:t>
            </w:r>
          </w:p>
        </w:tc>
      </w:tr>
      <w:tr w:rsidR="00813735" w:rsidRPr="009C1672" w14:paraId="1A37CFCB" w14:textId="77777777" w:rsidTr="00EB4B7D">
        <w:tc>
          <w:tcPr>
            <w:tcW w:w="4111" w:type="dxa"/>
            <w:gridSpan w:val="3"/>
            <w:tcBorders>
              <w:bottom w:val="single" w:sz="8" w:space="0" w:color="DBE5F1" w:themeColor="accent1" w:themeTint="33"/>
            </w:tcBorders>
          </w:tcPr>
          <w:p w14:paraId="0FCAE8EF" w14:textId="471C39CC" w:rsidR="00813735" w:rsidRPr="009C1672" w:rsidRDefault="00813735" w:rsidP="00262775">
            <w:pPr>
              <w:spacing w:line="276" w:lineRule="auto"/>
              <w:jc w:val="both"/>
              <w:rPr>
                <w:sz w:val="20"/>
                <w:szCs w:val="20"/>
              </w:rPr>
            </w:pPr>
            <w:r>
              <w:rPr>
                <w:sz w:val="20"/>
                <w:szCs w:val="20"/>
              </w:rPr>
              <w:t>Category</w:t>
            </w:r>
          </w:p>
        </w:tc>
        <w:tc>
          <w:tcPr>
            <w:tcW w:w="2125" w:type="dxa"/>
            <w:tcBorders>
              <w:bottom w:val="single" w:sz="8" w:space="0" w:color="DBE5F1" w:themeColor="accent1" w:themeTint="33"/>
            </w:tcBorders>
          </w:tcPr>
          <w:p w14:paraId="7656CAF3" w14:textId="38C4F8E7" w:rsidR="00813735" w:rsidRPr="009C1672" w:rsidRDefault="00C04BA4" w:rsidP="00443CC5">
            <w:pPr>
              <w:spacing w:line="276" w:lineRule="auto"/>
              <w:jc w:val="center"/>
              <w:rPr>
                <w:sz w:val="20"/>
                <w:szCs w:val="20"/>
              </w:rPr>
            </w:pPr>
            <w:r>
              <w:rPr>
                <w:sz w:val="20"/>
                <w:szCs w:val="20"/>
              </w:rPr>
              <w:t>Level c</w:t>
            </w:r>
            <w:r w:rsidR="00813735" w:rsidRPr="009C1672">
              <w:rPr>
                <w:sz w:val="20"/>
                <w:szCs w:val="20"/>
              </w:rPr>
              <w:t>hange</w:t>
            </w:r>
            <w:r w:rsidR="00A7268E">
              <w:rPr>
                <w:sz w:val="20"/>
                <w:szCs w:val="20"/>
              </w:rPr>
              <w:t xml:space="preserve"> (ml</w:t>
            </w:r>
            <w:r w:rsidR="008041FD">
              <w:rPr>
                <w:sz w:val="20"/>
                <w:szCs w:val="20"/>
              </w:rPr>
              <w:t>/g</w:t>
            </w:r>
            <w:r w:rsidR="00A7268E">
              <w:rPr>
                <w:sz w:val="20"/>
                <w:szCs w:val="20"/>
              </w:rPr>
              <w:t>)</w:t>
            </w:r>
          </w:p>
        </w:tc>
        <w:tc>
          <w:tcPr>
            <w:tcW w:w="2764" w:type="dxa"/>
            <w:gridSpan w:val="2"/>
            <w:tcBorders>
              <w:bottom w:val="single" w:sz="8" w:space="0" w:color="DBE5F1" w:themeColor="accent1" w:themeTint="33"/>
            </w:tcBorders>
          </w:tcPr>
          <w:p w14:paraId="7AB4B9F8" w14:textId="1870C627" w:rsidR="00813735" w:rsidRPr="009C1672" w:rsidRDefault="00C04BA4" w:rsidP="00443CC5">
            <w:pPr>
              <w:spacing w:line="276" w:lineRule="auto"/>
              <w:jc w:val="center"/>
              <w:rPr>
                <w:sz w:val="20"/>
                <w:szCs w:val="20"/>
              </w:rPr>
            </w:pPr>
            <w:r>
              <w:rPr>
                <w:sz w:val="20"/>
                <w:szCs w:val="20"/>
              </w:rPr>
              <w:t>Trend c</w:t>
            </w:r>
            <w:r w:rsidR="00813735" w:rsidRPr="009C1672">
              <w:rPr>
                <w:sz w:val="20"/>
                <w:szCs w:val="20"/>
              </w:rPr>
              <w:t>hange</w:t>
            </w:r>
            <w:r w:rsidR="00A7268E">
              <w:rPr>
                <w:sz w:val="20"/>
                <w:szCs w:val="20"/>
              </w:rPr>
              <w:t xml:space="preserve"> (ml</w:t>
            </w:r>
            <w:r w:rsidR="008041FD">
              <w:rPr>
                <w:sz w:val="20"/>
                <w:szCs w:val="20"/>
              </w:rPr>
              <w:t>/g</w:t>
            </w:r>
            <w:r w:rsidR="001F1E9A">
              <w:rPr>
                <w:sz w:val="20"/>
                <w:szCs w:val="20"/>
              </w:rPr>
              <w:t xml:space="preserve"> per </w:t>
            </w:r>
            <w:r w:rsidR="00A7268E">
              <w:rPr>
                <w:sz w:val="20"/>
                <w:szCs w:val="20"/>
              </w:rPr>
              <w:t>week)</w:t>
            </w:r>
          </w:p>
        </w:tc>
        <w:tc>
          <w:tcPr>
            <w:tcW w:w="2125" w:type="dxa"/>
            <w:tcBorders>
              <w:top w:val="single" w:sz="8" w:space="0" w:color="auto"/>
              <w:bottom w:val="single" w:sz="8" w:space="0" w:color="DBE5F1" w:themeColor="accent1" w:themeTint="33"/>
            </w:tcBorders>
          </w:tcPr>
          <w:p w14:paraId="024F5C4E" w14:textId="02101D47" w:rsidR="00813735" w:rsidRPr="009C1672" w:rsidRDefault="00813735" w:rsidP="00443CC5">
            <w:pPr>
              <w:spacing w:line="276" w:lineRule="auto"/>
              <w:jc w:val="center"/>
              <w:rPr>
                <w:sz w:val="20"/>
                <w:szCs w:val="20"/>
              </w:rPr>
            </w:pPr>
            <w:r w:rsidRPr="009C1672">
              <w:rPr>
                <w:sz w:val="20"/>
                <w:szCs w:val="20"/>
              </w:rPr>
              <w:t>Absolute change</w:t>
            </w:r>
            <w:r w:rsidR="00A7268E">
              <w:rPr>
                <w:sz w:val="20"/>
                <w:szCs w:val="20"/>
              </w:rPr>
              <w:t xml:space="preserve"> (ml</w:t>
            </w:r>
            <w:r w:rsidR="008041FD">
              <w:rPr>
                <w:sz w:val="20"/>
                <w:szCs w:val="20"/>
              </w:rPr>
              <w:t>/g</w:t>
            </w:r>
            <w:r w:rsidR="00A7268E">
              <w:rPr>
                <w:sz w:val="20"/>
                <w:szCs w:val="20"/>
              </w:rPr>
              <w:t>)</w:t>
            </w:r>
          </w:p>
        </w:tc>
        <w:tc>
          <w:tcPr>
            <w:tcW w:w="2126" w:type="dxa"/>
            <w:tcBorders>
              <w:top w:val="single" w:sz="8" w:space="0" w:color="auto"/>
              <w:bottom w:val="single" w:sz="8" w:space="0" w:color="DBE5F1" w:themeColor="accent1" w:themeTint="33"/>
            </w:tcBorders>
          </w:tcPr>
          <w:p w14:paraId="3994BD88" w14:textId="168E1149" w:rsidR="00813735" w:rsidRPr="009C1672" w:rsidRDefault="00813735" w:rsidP="00443CC5">
            <w:pPr>
              <w:spacing w:line="276" w:lineRule="auto"/>
              <w:jc w:val="center"/>
              <w:rPr>
                <w:sz w:val="20"/>
                <w:szCs w:val="20"/>
              </w:rPr>
            </w:pPr>
            <w:r w:rsidRPr="009C1672">
              <w:rPr>
                <w:sz w:val="20"/>
                <w:szCs w:val="20"/>
              </w:rPr>
              <w:t>Relative change</w:t>
            </w:r>
            <w:r>
              <w:rPr>
                <w:sz w:val="20"/>
                <w:szCs w:val="20"/>
              </w:rPr>
              <w:t xml:space="preserve"> (%)</w:t>
            </w:r>
          </w:p>
        </w:tc>
      </w:tr>
      <w:tr w:rsidR="00565D8E" w:rsidRPr="009C1672" w14:paraId="7EF7D481" w14:textId="77777777" w:rsidTr="00EB4B7D">
        <w:tc>
          <w:tcPr>
            <w:tcW w:w="4111" w:type="dxa"/>
            <w:gridSpan w:val="3"/>
            <w:tcBorders>
              <w:top w:val="single" w:sz="8" w:space="0" w:color="auto"/>
              <w:bottom w:val="single" w:sz="8" w:space="0" w:color="DBE5F1" w:themeColor="accent1" w:themeTint="33"/>
            </w:tcBorders>
          </w:tcPr>
          <w:p w14:paraId="6A2B70DE" w14:textId="1859C58B" w:rsidR="00565D8E" w:rsidRPr="009C1672" w:rsidRDefault="00C9271D" w:rsidP="00565D8E">
            <w:pPr>
              <w:spacing w:line="276" w:lineRule="auto"/>
              <w:jc w:val="both"/>
              <w:rPr>
                <w:sz w:val="20"/>
                <w:szCs w:val="20"/>
              </w:rPr>
            </w:pPr>
            <w:r>
              <w:rPr>
                <w:sz w:val="20"/>
                <w:szCs w:val="20"/>
              </w:rPr>
              <w:t>Liable</w:t>
            </w:r>
            <w:r w:rsidR="00AA172C">
              <w:rPr>
                <w:sz w:val="20"/>
                <w:szCs w:val="20"/>
              </w:rPr>
              <w:t xml:space="preserve"> drinks</w:t>
            </w:r>
          </w:p>
        </w:tc>
        <w:tc>
          <w:tcPr>
            <w:tcW w:w="2125" w:type="dxa"/>
            <w:tcBorders>
              <w:top w:val="single" w:sz="8" w:space="0" w:color="auto"/>
              <w:bottom w:val="single" w:sz="8" w:space="0" w:color="DBE5F1" w:themeColor="accent1" w:themeTint="33"/>
            </w:tcBorders>
          </w:tcPr>
          <w:p w14:paraId="1F95D17D" w14:textId="653AE80E" w:rsidR="00565D8E" w:rsidRPr="009C1672" w:rsidRDefault="00565D8E" w:rsidP="00443CC5">
            <w:pPr>
              <w:spacing w:line="276" w:lineRule="auto"/>
              <w:jc w:val="center"/>
              <w:rPr>
                <w:b/>
                <w:sz w:val="20"/>
                <w:szCs w:val="20"/>
              </w:rPr>
            </w:pPr>
          </w:p>
        </w:tc>
        <w:tc>
          <w:tcPr>
            <w:tcW w:w="2764" w:type="dxa"/>
            <w:gridSpan w:val="2"/>
            <w:tcBorders>
              <w:top w:val="single" w:sz="8" w:space="0" w:color="auto"/>
              <w:bottom w:val="single" w:sz="8" w:space="0" w:color="DBE5F1" w:themeColor="accent1" w:themeTint="33"/>
            </w:tcBorders>
          </w:tcPr>
          <w:p w14:paraId="51925DE9" w14:textId="0FA55443" w:rsidR="00565D8E" w:rsidRPr="009C1672" w:rsidRDefault="00565D8E" w:rsidP="00443CC5">
            <w:pPr>
              <w:spacing w:line="276" w:lineRule="auto"/>
              <w:jc w:val="center"/>
              <w:rPr>
                <w:sz w:val="20"/>
                <w:szCs w:val="20"/>
              </w:rPr>
            </w:pPr>
          </w:p>
        </w:tc>
        <w:tc>
          <w:tcPr>
            <w:tcW w:w="2125" w:type="dxa"/>
            <w:tcBorders>
              <w:top w:val="single" w:sz="8" w:space="0" w:color="auto"/>
              <w:bottom w:val="single" w:sz="8" w:space="0" w:color="DBE5F1" w:themeColor="accent1" w:themeTint="33"/>
            </w:tcBorders>
          </w:tcPr>
          <w:p w14:paraId="772981A4" w14:textId="549E451D" w:rsidR="00565D8E" w:rsidRPr="009C1672" w:rsidRDefault="00565D8E" w:rsidP="00443CC5">
            <w:pPr>
              <w:spacing w:line="276" w:lineRule="auto"/>
              <w:jc w:val="center"/>
              <w:rPr>
                <w:sz w:val="20"/>
                <w:szCs w:val="20"/>
              </w:rPr>
            </w:pPr>
          </w:p>
        </w:tc>
        <w:tc>
          <w:tcPr>
            <w:tcW w:w="2126" w:type="dxa"/>
            <w:tcBorders>
              <w:top w:val="single" w:sz="8" w:space="0" w:color="auto"/>
              <w:bottom w:val="single" w:sz="8" w:space="0" w:color="DBE5F1" w:themeColor="accent1" w:themeTint="33"/>
            </w:tcBorders>
          </w:tcPr>
          <w:p w14:paraId="0E5F7428" w14:textId="0DBAFFF9" w:rsidR="00565D8E" w:rsidRPr="009C1672" w:rsidRDefault="00565D8E" w:rsidP="00443CC5">
            <w:pPr>
              <w:spacing w:line="276" w:lineRule="auto"/>
              <w:jc w:val="center"/>
              <w:rPr>
                <w:sz w:val="20"/>
                <w:szCs w:val="20"/>
              </w:rPr>
            </w:pPr>
          </w:p>
        </w:tc>
      </w:tr>
      <w:tr w:rsidR="00AA172C" w:rsidRPr="009C1672" w14:paraId="55FABD3F" w14:textId="77777777" w:rsidTr="00EB4B7D">
        <w:tc>
          <w:tcPr>
            <w:tcW w:w="392" w:type="dxa"/>
            <w:tcBorders>
              <w:top w:val="single" w:sz="8" w:space="0" w:color="DBE5F1" w:themeColor="accent1" w:themeTint="33"/>
              <w:bottom w:val="single" w:sz="8" w:space="0" w:color="DBE5F1" w:themeColor="accent1" w:themeTint="33"/>
            </w:tcBorders>
          </w:tcPr>
          <w:p w14:paraId="6217D1D5" w14:textId="77777777" w:rsidR="00AA172C" w:rsidRPr="009C1672" w:rsidRDefault="00AA172C" w:rsidP="00AA172C">
            <w:pPr>
              <w:jc w:val="both"/>
              <w:rPr>
                <w:sz w:val="20"/>
                <w:szCs w:val="20"/>
              </w:rPr>
            </w:pPr>
          </w:p>
        </w:tc>
        <w:tc>
          <w:tcPr>
            <w:tcW w:w="3719" w:type="dxa"/>
            <w:gridSpan w:val="2"/>
            <w:tcBorders>
              <w:top w:val="single" w:sz="8" w:space="0" w:color="DBE5F1" w:themeColor="accent1" w:themeTint="33"/>
              <w:bottom w:val="single" w:sz="8" w:space="0" w:color="DBE5F1" w:themeColor="accent1" w:themeTint="33"/>
            </w:tcBorders>
          </w:tcPr>
          <w:p w14:paraId="1EBF786D" w14:textId="393B2C91" w:rsidR="00AA172C" w:rsidRPr="009C1672" w:rsidRDefault="00AA172C" w:rsidP="00AA172C">
            <w:pPr>
              <w:jc w:val="both"/>
              <w:rPr>
                <w:sz w:val="20"/>
                <w:szCs w:val="20"/>
              </w:rPr>
            </w:pPr>
            <w:r>
              <w:rPr>
                <w:rFonts w:ascii="Calibri" w:eastAsia="Calibri" w:hAnsi="Calibri" w:cs="Times New Roman"/>
                <w:sz w:val="20"/>
                <w:szCs w:val="20"/>
              </w:rPr>
              <w:t>High</w:t>
            </w:r>
            <w:r w:rsidR="00195182">
              <w:rPr>
                <w:rFonts w:ascii="Calibri" w:eastAsia="Calibri" w:hAnsi="Calibri" w:cs="Times New Roman"/>
                <w:sz w:val="20"/>
                <w:szCs w:val="20"/>
              </w:rPr>
              <w:t>er</w:t>
            </w:r>
            <w:r>
              <w:rPr>
                <w:rFonts w:ascii="Calibri" w:eastAsia="Calibri" w:hAnsi="Calibri" w:cs="Times New Roman"/>
                <w:sz w:val="20"/>
                <w:szCs w:val="20"/>
              </w:rPr>
              <w:t xml:space="preserve"> tier (≥8g sugar</w:t>
            </w:r>
            <w:r w:rsidR="001F1E9A">
              <w:rPr>
                <w:rFonts w:ascii="Calibri" w:eastAsia="Calibri" w:hAnsi="Calibri" w:cs="Times New Roman"/>
                <w:sz w:val="20"/>
                <w:szCs w:val="20"/>
              </w:rPr>
              <w:t xml:space="preserve"> per </w:t>
            </w:r>
            <w:r w:rsidRPr="00683A7B">
              <w:rPr>
                <w:rFonts w:ascii="Calibri" w:eastAsia="Calibri" w:hAnsi="Calibri" w:cs="Times New Roman"/>
                <w:sz w:val="20"/>
                <w:szCs w:val="20"/>
              </w:rPr>
              <w:t>100ml</w:t>
            </w:r>
            <w:r>
              <w:rPr>
                <w:rFonts w:ascii="Calibri" w:eastAsia="Calibri" w:hAnsi="Calibri" w:cs="Times New Roman"/>
                <w:sz w:val="20"/>
                <w:szCs w:val="20"/>
              </w:rPr>
              <w:t>)</w:t>
            </w:r>
          </w:p>
        </w:tc>
        <w:tc>
          <w:tcPr>
            <w:tcW w:w="2125" w:type="dxa"/>
            <w:tcBorders>
              <w:top w:val="single" w:sz="8" w:space="0" w:color="DBE5F1" w:themeColor="accent1" w:themeTint="33"/>
              <w:bottom w:val="single" w:sz="8" w:space="0" w:color="DBE5F1" w:themeColor="accent1" w:themeTint="33"/>
            </w:tcBorders>
          </w:tcPr>
          <w:p w14:paraId="327B9F0D" w14:textId="0C660F4E" w:rsidR="00AA172C" w:rsidRPr="009C1672" w:rsidRDefault="00877B58" w:rsidP="00877B58">
            <w:pPr>
              <w:jc w:val="center"/>
              <w:rPr>
                <w:sz w:val="20"/>
                <w:szCs w:val="20"/>
              </w:rPr>
            </w:pPr>
            <w:r>
              <w:rPr>
                <w:b/>
                <w:sz w:val="20"/>
                <w:szCs w:val="20"/>
              </w:rPr>
              <w:t>60.5</w:t>
            </w:r>
            <w:r w:rsidR="00AA172C" w:rsidRPr="009C1672">
              <w:rPr>
                <w:b/>
                <w:sz w:val="20"/>
                <w:szCs w:val="20"/>
              </w:rPr>
              <w:t xml:space="preserve"> (</w:t>
            </w:r>
            <w:r>
              <w:rPr>
                <w:b/>
                <w:sz w:val="20"/>
                <w:szCs w:val="20"/>
              </w:rPr>
              <w:t>14.5</w:t>
            </w:r>
            <w:r w:rsidR="00AA172C" w:rsidRPr="009C1672">
              <w:rPr>
                <w:b/>
                <w:sz w:val="20"/>
                <w:szCs w:val="20"/>
              </w:rPr>
              <w:t xml:space="preserve">, </w:t>
            </w:r>
            <w:r>
              <w:rPr>
                <w:b/>
                <w:sz w:val="20"/>
                <w:szCs w:val="20"/>
              </w:rPr>
              <w:t>106.5</w:t>
            </w:r>
            <w:r w:rsidR="00AA172C" w:rsidRPr="009C1672">
              <w:rPr>
                <w:b/>
                <w:sz w:val="20"/>
                <w:szCs w:val="20"/>
              </w:rPr>
              <w:t>)</w:t>
            </w:r>
          </w:p>
        </w:tc>
        <w:tc>
          <w:tcPr>
            <w:tcW w:w="2764" w:type="dxa"/>
            <w:gridSpan w:val="2"/>
            <w:tcBorders>
              <w:top w:val="single" w:sz="8" w:space="0" w:color="DBE5F1" w:themeColor="accent1" w:themeTint="33"/>
              <w:bottom w:val="single" w:sz="8" w:space="0" w:color="DBE5F1" w:themeColor="accent1" w:themeTint="33"/>
            </w:tcBorders>
          </w:tcPr>
          <w:p w14:paraId="4B918B11" w14:textId="4265D1CB" w:rsidR="00AA172C" w:rsidRPr="009C1672" w:rsidRDefault="00AA172C" w:rsidP="00877B58">
            <w:pPr>
              <w:jc w:val="center"/>
              <w:rPr>
                <w:b/>
                <w:sz w:val="20"/>
                <w:szCs w:val="20"/>
              </w:rPr>
            </w:pPr>
            <w:r w:rsidRPr="009C1672">
              <w:rPr>
                <w:sz w:val="20"/>
                <w:szCs w:val="20"/>
              </w:rPr>
              <w:t>-0.</w:t>
            </w:r>
            <w:r w:rsidR="00877B58">
              <w:rPr>
                <w:sz w:val="20"/>
                <w:szCs w:val="20"/>
              </w:rPr>
              <w:t>4</w:t>
            </w:r>
            <w:r w:rsidRPr="009C1672">
              <w:rPr>
                <w:sz w:val="20"/>
                <w:szCs w:val="20"/>
              </w:rPr>
              <w:t xml:space="preserve"> (-1.</w:t>
            </w:r>
            <w:r w:rsidR="00CF4544">
              <w:rPr>
                <w:sz w:val="20"/>
                <w:szCs w:val="20"/>
              </w:rPr>
              <w:t>2</w:t>
            </w:r>
            <w:r w:rsidRPr="009C1672">
              <w:rPr>
                <w:sz w:val="20"/>
                <w:szCs w:val="20"/>
              </w:rPr>
              <w:t>, 0.</w:t>
            </w:r>
            <w:r w:rsidR="00CF4544">
              <w:rPr>
                <w:sz w:val="20"/>
                <w:szCs w:val="20"/>
              </w:rPr>
              <w:t>3</w:t>
            </w:r>
            <w:r w:rsidRPr="009C1672">
              <w:rPr>
                <w:sz w:val="20"/>
                <w:szCs w:val="20"/>
              </w:rPr>
              <w:t>)</w:t>
            </w:r>
          </w:p>
        </w:tc>
        <w:tc>
          <w:tcPr>
            <w:tcW w:w="2125" w:type="dxa"/>
            <w:tcBorders>
              <w:top w:val="single" w:sz="8" w:space="0" w:color="DBE5F1" w:themeColor="accent1" w:themeTint="33"/>
              <w:bottom w:val="single" w:sz="8" w:space="0" w:color="DBE5F1" w:themeColor="accent1" w:themeTint="33"/>
            </w:tcBorders>
          </w:tcPr>
          <w:p w14:paraId="2990E0BF" w14:textId="76914208" w:rsidR="00AA172C" w:rsidRPr="009C1672" w:rsidRDefault="00877B58" w:rsidP="00877B58">
            <w:pPr>
              <w:jc w:val="center"/>
              <w:rPr>
                <w:b/>
                <w:sz w:val="20"/>
                <w:szCs w:val="20"/>
              </w:rPr>
            </w:pPr>
            <w:r>
              <w:rPr>
                <w:sz w:val="20"/>
                <w:szCs w:val="20"/>
              </w:rPr>
              <w:t>16.5</w:t>
            </w:r>
            <w:r w:rsidR="00AA172C" w:rsidRPr="009C1672">
              <w:rPr>
                <w:sz w:val="20"/>
                <w:szCs w:val="20"/>
              </w:rPr>
              <w:t xml:space="preserve"> (-</w:t>
            </w:r>
            <w:r>
              <w:rPr>
                <w:sz w:val="20"/>
                <w:szCs w:val="20"/>
              </w:rPr>
              <w:t>72.3</w:t>
            </w:r>
            <w:r w:rsidR="00AA172C" w:rsidRPr="009C1672">
              <w:rPr>
                <w:sz w:val="20"/>
                <w:szCs w:val="20"/>
              </w:rPr>
              <w:t xml:space="preserve">, </w:t>
            </w:r>
            <w:r>
              <w:rPr>
                <w:sz w:val="20"/>
                <w:szCs w:val="20"/>
              </w:rPr>
              <w:t>105.2</w:t>
            </w:r>
            <w:r w:rsidR="00AA172C" w:rsidRPr="009C1672">
              <w:rPr>
                <w:sz w:val="20"/>
                <w:szCs w:val="20"/>
              </w:rPr>
              <w:t>)</w:t>
            </w:r>
          </w:p>
        </w:tc>
        <w:tc>
          <w:tcPr>
            <w:tcW w:w="2126" w:type="dxa"/>
            <w:tcBorders>
              <w:top w:val="single" w:sz="8" w:space="0" w:color="DBE5F1" w:themeColor="accent1" w:themeTint="33"/>
              <w:bottom w:val="single" w:sz="8" w:space="0" w:color="DBE5F1" w:themeColor="accent1" w:themeTint="33"/>
            </w:tcBorders>
          </w:tcPr>
          <w:p w14:paraId="360AC37F" w14:textId="0EDE5C0B" w:rsidR="00AA172C" w:rsidRPr="009C1672" w:rsidRDefault="00877B58" w:rsidP="00877B58">
            <w:pPr>
              <w:jc w:val="center"/>
              <w:rPr>
                <w:b/>
                <w:sz w:val="20"/>
                <w:szCs w:val="20"/>
              </w:rPr>
            </w:pPr>
            <w:r>
              <w:rPr>
                <w:sz w:val="20"/>
                <w:szCs w:val="20"/>
              </w:rPr>
              <w:t>3.5</w:t>
            </w:r>
            <w:r w:rsidR="00AA172C" w:rsidRPr="009C1672">
              <w:rPr>
                <w:sz w:val="20"/>
                <w:szCs w:val="20"/>
              </w:rPr>
              <w:t xml:space="preserve"> (-</w:t>
            </w:r>
            <w:r>
              <w:rPr>
                <w:sz w:val="20"/>
                <w:szCs w:val="20"/>
              </w:rPr>
              <w:t>16.2</w:t>
            </w:r>
            <w:r w:rsidR="00AA172C" w:rsidRPr="009C1672">
              <w:rPr>
                <w:sz w:val="20"/>
                <w:szCs w:val="20"/>
              </w:rPr>
              <w:t xml:space="preserve">, </w:t>
            </w:r>
            <w:r>
              <w:rPr>
                <w:sz w:val="20"/>
                <w:szCs w:val="20"/>
              </w:rPr>
              <w:t>23.3</w:t>
            </w:r>
            <w:r w:rsidR="00AA172C" w:rsidRPr="009C1672">
              <w:rPr>
                <w:sz w:val="20"/>
                <w:szCs w:val="20"/>
              </w:rPr>
              <w:t>)</w:t>
            </w:r>
          </w:p>
        </w:tc>
      </w:tr>
      <w:tr w:rsidR="00AA172C" w:rsidRPr="009C1672" w14:paraId="19538B5B" w14:textId="77777777" w:rsidTr="00EB4B7D">
        <w:tc>
          <w:tcPr>
            <w:tcW w:w="392" w:type="dxa"/>
            <w:tcBorders>
              <w:top w:val="single" w:sz="8" w:space="0" w:color="DBE5F1" w:themeColor="accent1" w:themeTint="33"/>
              <w:bottom w:val="single" w:sz="8" w:space="0" w:color="DBE5F1" w:themeColor="accent1" w:themeTint="33"/>
            </w:tcBorders>
          </w:tcPr>
          <w:p w14:paraId="2CBE702B" w14:textId="77777777" w:rsidR="00AA172C" w:rsidRPr="009C1672" w:rsidRDefault="00AA172C" w:rsidP="00AA172C">
            <w:pPr>
              <w:jc w:val="both"/>
              <w:rPr>
                <w:sz w:val="20"/>
                <w:szCs w:val="20"/>
              </w:rPr>
            </w:pPr>
          </w:p>
        </w:tc>
        <w:tc>
          <w:tcPr>
            <w:tcW w:w="3719" w:type="dxa"/>
            <w:gridSpan w:val="2"/>
            <w:tcBorders>
              <w:top w:val="single" w:sz="8" w:space="0" w:color="DBE5F1" w:themeColor="accent1" w:themeTint="33"/>
              <w:bottom w:val="single" w:sz="8" w:space="0" w:color="DBE5F1" w:themeColor="accent1" w:themeTint="33"/>
            </w:tcBorders>
          </w:tcPr>
          <w:p w14:paraId="04A05EFD" w14:textId="09374D78" w:rsidR="00AA172C" w:rsidRPr="009C1672" w:rsidRDefault="00AA172C" w:rsidP="00AA172C">
            <w:pPr>
              <w:spacing w:line="276" w:lineRule="auto"/>
              <w:jc w:val="both"/>
              <w:rPr>
                <w:sz w:val="20"/>
                <w:szCs w:val="20"/>
              </w:rPr>
            </w:pPr>
            <w:r>
              <w:rPr>
                <w:rFonts w:ascii="Calibri" w:eastAsia="Calibri" w:hAnsi="Calibri" w:cs="Times New Roman"/>
                <w:sz w:val="20"/>
                <w:szCs w:val="20"/>
              </w:rPr>
              <w:t>Low</w:t>
            </w:r>
            <w:r w:rsidR="00195182">
              <w:rPr>
                <w:rFonts w:ascii="Calibri" w:eastAsia="Calibri" w:hAnsi="Calibri" w:cs="Times New Roman"/>
                <w:sz w:val="20"/>
                <w:szCs w:val="20"/>
              </w:rPr>
              <w:t>er</w:t>
            </w:r>
            <w:r>
              <w:rPr>
                <w:rFonts w:ascii="Calibri" w:eastAsia="Calibri" w:hAnsi="Calibri" w:cs="Times New Roman"/>
                <w:sz w:val="20"/>
                <w:szCs w:val="20"/>
              </w:rPr>
              <w:t xml:space="preserve"> </w:t>
            </w:r>
            <w:r w:rsidRPr="00683A7B">
              <w:rPr>
                <w:rFonts w:ascii="Calibri" w:eastAsia="Calibri" w:hAnsi="Calibri" w:cs="Times New Roman"/>
                <w:sz w:val="20"/>
                <w:szCs w:val="20"/>
              </w:rPr>
              <w:t xml:space="preserve">tier </w:t>
            </w:r>
            <w:r>
              <w:rPr>
                <w:rFonts w:ascii="Calibri" w:eastAsia="Calibri" w:hAnsi="Calibri" w:cs="Times New Roman"/>
                <w:sz w:val="20"/>
                <w:szCs w:val="20"/>
              </w:rPr>
              <w:t>(</w:t>
            </w:r>
            <w:r w:rsidRPr="00683A7B">
              <w:rPr>
                <w:rFonts w:ascii="Calibri" w:eastAsia="Calibri" w:hAnsi="Calibri" w:cs="Times New Roman"/>
                <w:sz w:val="20"/>
                <w:szCs w:val="20"/>
              </w:rPr>
              <w:t xml:space="preserve">≥5g - &lt;8g </w:t>
            </w:r>
            <w:r>
              <w:rPr>
                <w:rFonts w:ascii="Calibri" w:eastAsia="Calibri" w:hAnsi="Calibri" w:cs="Times New Roman"/>
                <w:sz w:val="20"/>
                <w:szCs w:val="20"/>
              </w:rPr>
              <w:t>sugar</w:t>
            </w:r>
            <w:r w:rsidR="001F1E9A">
              <w:rPr>
                <w:rFonts w:ascii="Calibri" w:eastAsia="Calibri" w:hAnsi="Calibri" w:cs="Times New Roman"/>
                <w:sz w:val="20"/>
                <w:szCs w:val="20"/>
              </w:rPr>
              <w:t xml:space="preserve"> per </w:t>
            </w:r>
            <w:r w:rsidRPr="00683A7B">
              <w:rPr>
                <w:rFonts w:ascii="Calibri" w:eastAsia="Calibri" w:hAnsi="Calibri" w:cs="Times New Roman"/>
                <w:sz w:val="20"/>
                <w:szCs w:val="20"/>
              </w:rPr>
              <w:t>100ml</w:t>
            </w:r>
            <w:r>
              <w:rPr>
                <w:rFonts w:ascii="Calibri" w:eastAsia="Calibri" w:hAnsi="Calibri" w:cs="Times New Roman"/>
                <w:sz w:val="20"/>
                <w:szCs w:val="20"/>
              </w:rPr>
              <w:t>)</w:t>
            </w:r>
            <w:r>
              <w:t>†</w:t>
            </w:r>
          </w:p>
        </w:tc>
        <w:tc>
          <w:tcPr>
            <w:tcW w:w="2125" w:type="dxa"/>
            <w:tcBorders>
              <w:top w:val="single" w:sz="8" w:space="0" w:color="DBE5F1" w:themeColor="accent1" w:themeTint="33"/>
              <w:bottom w:val="single" w:sz="8" w:space="0" w:color="DBE5F1" w:themeColor="accent1" w:themeTint="33"/>
            </w:tcBorders>
          </w:tcPr>
          <w:p w14:paraId="1768C8A2" w14:textId="23A223B8" w:rsidR="00AA172C" w:rsidRPr="009C1672" w:rsidRDefault="00AA172C" w:rsidP="00877B58">
            <w:pPr>
              <w:spacing w:line="276" w:lineRule="auto"/>
              <w:jc w:val="center"/>
              <w:rPr>
                <w:sz w:val="20"/>
                <w:szCs w:val="20"/>
              </w:rPr>
            </w:pPr>
            <w:r w:rsidRPr="009C1672">
              <w:rPr>
                <w:sz w:val="20"/>
                <w:szCs w:val="20"/>
              </w:rPr>
              <w:t>-1</w:t>
            </w:r>
            <w:r w:rsidR="00877B58">
              <w:rPr>
                <w:sz w:val="20"/>
                <w:szCs w:val="20"/>
              </w:rPr>
              <w:t>7</w:t>
            </w:r>
            <w:r>
              <w:rPr>
                <w:sz w:val="20"/>
                <w:szCs w:val="20"/>
              </w:rPr>
              <w:t>.</w:t>
            </w:r>
            <w:r w:rsidR="00877B58">
              <w:rPr>
                <w:sz w:val="20"/>
                <w:szCs w:val="20"/>
              </w:rPr>
              <w:t>5</w:t>
            </w:r>
            <w:r w:rsidRPr="009C1672">
              <w:rPr>
                <w:sz w:val="20"/>
                <w:szCs w:val="20"/>
              </w:rPr>
              <w:t xml:space="preserve"> (-</w:t>
            </w:r>
            <w:r w:rsidR="00877B58">
              <w:rPr>
                <w:sz w:val="20"/>
                <w:szCs w:val="20"/>
              </w:rPr>
              <w:t>43.0</w:t>
            </w:r>
            <w:r>
              <w:rPr>
                <w:sz w:val="20"/>
                <w:szCs w:val="20"/>
              </w:rPr>
              <w:t xml:space="preserve">, </w:t>
            </w:r>
            <w:r w:rsidR="00877B58">
              <w:rPr>
                <w:sz w:val="20"/>
                <w:szCs w:val="20"/>
              </w:rPr>
              <w:t>8.0</w:t>
            </w:r>
            <w:r w:rsidRPr="009C1672">
              <w:rPr>
                <w:sz w:val="20"/>
                <w:szCs w:val="20"/>
              </w:rPr>
              <w:t>)</w:t>
            </w:r>
          </w:p>
        </w:tc>
        <w:tc>
          <w:tcPr>
            <w:tcW w:w="2764" w:type="dxa"/>
            <w:gridSpan w:val="2"/>
            <w:tcBorders>
              <w:top w:val="single" w:sz="8" w:space="0" w:color="DBE5F1" w:themeColor="accent1" w:themeTint="33"/>
              <w:bottom w:val="single" w:sz="8" w:space="0" w:color="DBE5F1" w:themeColor="accent1" w:themeTint="33"/>
            </w:tcBorders>
          </w:tcPr>
          <w:p w14:paraId="29E5B596" w14:textId="1E4103B1" w:rsidR="00AA172C" w:rsidRPr="009C1672" w:rsidRDefault="00AA172C" w:rsidP="00EB4B7D">
            <w:pPr>
              <w:spacing w:line="276" w:lineRule="auto"/>
              <w:jc w:val="center"/>
              <w:rPr>
                <w:b/>
                <w:sz w:val="20"/>
                <w:szCs w:val="20"/>
              </w:rPr>
            </w:pPr>
            <w:r w:rsidRPr="009C1672">
              <w:rPr>
                <w:b/>
                <w:sz w:val="20"/>
                <w:szCs w:val="20"/>
              </w:rPr>
              <w:t>-0.0</w:t>
            </w:r>
            <w:r w:rsidR="00D43F11">
              <w:rPr>
                <w:b/>
                <w:sz w:val="20"/>
                <w:szCs w:val="20"/>
              </w:rPr>
              <w:t>1</w:t>
            </w:r>
            <w:r w:rsidRPr="009C1672">
              <w:rPr>
                <w:b/>
                <w:sz w:val="20"/>
                <w:szCs w:val="20"/>
              </w:rPr>
              <w:t xml:space="preserve"> (-0.0</w:t>
            </w:r>
            <w:r>
              <w:rPr>
                <w:b/>
                <w:sz w:val="20"/>
                <w:szCs w:val="20"/>
              </w:rPr>
              <w:t>2</w:t>
            </w:r>
            <w:r w:rsidRPr="009C1672">
              <w:rPr>
                <w:b/>
                <w:sz w:val="20"/>
                <w:szCs w:val="20"/>
              </w:rPr>
              <w:t xml:space="preserve"> -0.0</w:t>
            </w:r>
            <w:r w:rsidR="00877B58">
              <w:rPr>
                <w:b/>
                <w:sz w:val="20"/>
                <w:szCs w:val="20"/>
              </w:rPr>
              <w:t>04</w:t>
            </w:r>
            <w:r w:rsidRPr="009C1672">
              <w:rPr>
                <w:b/>
                <w:sz w:val="20"/>
                <w:szCs w:val="20"/>
              </w:rPr>
              <w:t>)</w:t>
            </w:r>
          </w:p>
        </w:tc>
        <w:tc>
          <w:tcPr>
            <w:tcW w:w="2125" w:type="dxa"/>
            <w:tcBorders>
              <w:top w:val="single" w:sz="8" w:space="0" w:color="DBE5F1" w:themeColor="accent1" w:themeTint="33"/>
              <w:bottom w:val="single" w:sz="8" w:space="0" w:color="DBE5F1" w:themeColor="accent1" w:themeTint="33"/>
            </w:tcBorders>
          </w:tcPr>
          <w:p w14:paraId="6C7400F3" w14:textId="3F7C3262" w:rsidR="00AA172C" w:rsidRPr="009C1672" w:rsidRDefault="00AA172C" w:rsidP="004C6841">
            <w:pPr>
              <w:spacing w:line="276" w:lineRule="auto"/>
              <w:jc w:val="center"/>
              <w:rPr>
                <w:b/>
                <w:sz w:val="20"/>
                <w:szCs w:val="20"/>
              </w:rPr>
            </w:pPr>
            <w:r w:rsidRPr="009C1672">
              <w:rPr>
                <w:b/>
                <w:sz w:val="20"/>
                <w:szCs w:val="20"/>
              </w:rPr>
              <w:t>-</w:t>
            </w:r>
            <w:r w:rsidR="00092FE2">
              <w:rPr>
                <w:b/>
                <w:sz w:val="20"/>
                <w:szCs w:val="20"/>
              </w:rPr>
              <w:t>9</w:t>
            </w:r>
            <w:r w:rsidR="00877B58">
              <w:rPr>
                <w:b/>
                <w:sz w:val="20"/>
                <w:szCs w:val="20"/>
              </w:rPr>
              <w:t>6</w:t>
            </w:r>
            <w:r w:rsidR="00292F8D">
              <w:rPr>
                <w:b/>
                <w:sz w:val="20"/>
                <w:szCs w:val="20"/>
              </w:rPr>
              <w:t>.</w:t>
            </w:r>
            <w:r w:rsidR="00877B58">
              <w:rPr>
                <w:b/>
                <w:sz w:val="20"/>
                <w:szCs w:val="20"/>
              </w:rPr>
              <w:t>1</w:t>
            </w:r>
            <w:r w:rsidRPr="009C1672">
              <w:rPr>
                <w:b/>
                <w:sz w:val="20"/>
                <w:szCs w:val="20"/>
              </w:rPr>
              <w:t xml:space="preserve"> (-</w:t>
            </w:r>
            <w:r>
              <w:rPr>
                <w:b/>
                <w:sz w:val="20"/>
                <w:szCs w:val="20"/>
              </w:rPr>
              <w:t>14</w:t>
            </w:r>
            <w:r w:rsidR="00877B58">
              <w:rPr>
                <w:b/>
                <w:sz w:val="20"/>
                <w:szCs w:val="20"/>
              </w:rPr>
              <w:t>4.</w:t>
            </w:r>
            <w:r w:rsidR="00092FE2">
              <w:rPr>
                <w:b/>
                <w:sz w:val="20"/>
                <w:szCs w:val="20"/>
              </w:rPr>
              <w:t>2</w:t>
            </w:r>
            <w:r w:rsidRPr="009C1672">
              <w:rPr>
                <w:b/>
                <w:sz w:val="20"/>
                <w:szCs w:val="20"/>
              </w:rPr>
              <w:t>, -</w:t>
            </w:r>
            <w:r w:rsidR="00092FE2">
              <w:rPr>
                <w:b/>
                <w:sz w:val="20"/>
                <w:szCs w:val="20"/>
              </w:rPr>
              <w:t>4</w:t>
            </w:r>
            <w:r w:rsidR="00877B58">
              <w:rPr>
                <w:b/>
                <w:sz w:val="20"/>
                <w:szCs w:val="20"/>
              </w:rPr>
              <w:t>8</w:t>
            </w:r>
            <w:r w:rsidR="00092FE2">
              <w:rPr>
                <w:b/>
                <w:sz w:val="20"/>
                <w:szCs w:val="20"/>
              </w:rPr>
              <w:t>.0</w:t>
            </w:r>
            <w:r w:rsidRPr="009C1672">
              <w:rPr>
                <w:b/>
                <w:sz w:val="20"/>
                <w:szCs w:val="20"/>
              </w:rPr>
              <w:t>)</w:t>
            </w:r>
          </w:p>
        </w:tc>
        <w:tc>
          <w:tcPr>
            <w:tcW w:w="2126" w:type="dxa"/>
            <w:tcBorders>
              <w:top w:val="single" w:sz="8" w:space="0" w:color="DBE5F1" w:themeColor="accent1" w:themeTint="33"/>
              <w:bottom w:val="single" w:sz="8" w:space="0" w:color="DBE5F1" w:themeColor="accent1" w:themeTint="33"/>
            </w:tcBorders>
          </w:tcPr>
          <w:p w14:paraId="395552BA" w14:textId="14439A21" w:rsidR="00AA172C" w:rsidRPr="009C1672" w:rsidRDefault="00AA172C" w:rsidP="00877B58">
            <w:pPr>
              <w:spacing w:line="276" w:lineRule="auto"/>
              <w:jc w:val="center"/>
              <w:rPr>
                <w:b/>
                <w:sz w:val="20"/>
                <w:szCs w:val="20"/>
              </w:rPr>
            </w:pPr>
            <w:r w:rsidRPr="009C1672">
              <w:rPr>
                <w:b/>
                <w:sz w:val="20"/>
                <w:szCs w:val="20"/>
              </w:rPr>
              <w:t>-</w:t>
            </w:r>
            <w:r>
              <w:rPr>
                <w:b/>
                <w:sz w:val="20"/>
                <w:szCs w:val="20"/>
              </w:rPr>
              <w:t>5</w:t>
            </w:r>
            <w:r w:rsidR="006D1186">
              <w:rPr>
                <w:b/>
                <w:sz w:val="20"/>
                <w:szCs w:val="20"/>
              </w:rPr>
              <w:t>3.</w:t>
            </w:r>
            <w:r w:rsidR="00877B58">
              <w:rPr>
                <w:b/>
                <w:sz w:val="20"/>
                <w:szCs w:val="20"/>
              </w:rPr>
              <w:t>0</w:t>
            </w:r>
            <w:r w:rsidRPr="009C1672">
              <w:rPr>
                <w:b/>
                <w:sz w:val="20"/>
                <w:szCs w:val="20"/>
              </w:rPr>
              <w:t xml:space="preserve"> (-</w:t>
            </w:r>
            <w:r w:rsidR="006D1186">
              <w:rPr>
                <w:b/>
                <w:sz w:val="20"/>
                <w:szCs w:val="20"/>
              </w:rPr>
              <w:t>6</w:t>
            </w:r>
            <w:r w:rsidR="00877B58">
              <w:rPr>
                <w:b/>
                <w:sz w:val="20"/>
                <w:szCs w:val="20"/>
              </w:rPr>
              <w:t>8</w:t>
            </w:r>
            <w:r w:rsidR="006D1186">
              <w:rPr>
                <w:b/>
                <w:sz w:val="20"/>
                <w:szCs w:val="20"/>
              </w:rPr>
              <w:t>.0</w:t>
            </w:r>
            <w:r w:rsidRPr="009C1672">
              <w:rPr>
                <w:b/>
                <w:sz w:val="20"/>
                <w:szCs w:val="20"/>
              </w:rPr>
              <w:t>, -</w:t>
            </w:r>
            <w:r w:rsidR="006D1186">
              <w:rPr>
                <w:b/>
                <w:sz w:val="20"/>
                <w:szCs w:val="20"/>
              </w:rPr>
              <w:t>38.</w:t>
            </w:r>
            <w:r w:rsidR="00877B58">
              <w:rPr>
                <w:b/>
                <w:sz w:val="20"/>
                <w:szCs w:val="20"/>
              </w:rPr>
              <w:t>0</w:t>
            </w:r>
            <w:r w:rsidRPr="009C1672">
              <w:rPr>
                <w:b/>
                <w:sz w:val="20"/>
                <w:szCs w:val="20"/>
              </w:rPr>
              <w:t>)</w:t>
            </w:r>
          </w:p>
        </w:tc>
      </w:tr>
      <w:tr w:rsidR="00AA172C" w:rsidRPr="009C1672" w14:paraId="67E4BDDF" w14:textId="77777777" w:rsidTr="00EB4B7D">
        <w:tc>
          <w:tcPr>
            <w:tcW w:w="392" w:type="dxa"/>
            <w:tcBorders>
              <w:top w:val="single" w:sz="8" w:space="0" w:color="DBE5F1" w:themeColor="accent1" w:themeTint="33"/>
              <w:bottom w:val="single" w:sz="8" w:space="0" w:color="DBE5F1" w:themeColor="accent1" w:themeTint="33"/>
            </w:tcBorders>
          </w:tcPr>
          <w:p w14:paraId="141D61B8" w14:textId="77777777" w:rsidR="00AA172C" w:rsidRPr="009C1672" w:rsidRDefault="00AA172C" w:rsidP="00AA172C">
            <w:pPr>
              <w:jc w:val="both"/>
              <w:rPr>
                <w:sz w:val="20"/>
                <w:szCs w:val="20"/>
              </w:rPr>
            </w:pPr>
          </w:p>
        </w:tc>
        <w:tc>
          <w:tcPr>
            <w:tcW w:w="3719" w:type="dxa"/>
            <w:gridSpan w:val="2"/>
            <w:tcBorders>
              <w:top w:val="single" w:sz="8" w:space="0" w:color="DBE5F1" w:themeColor="accent1" w:themeTint="33"/>
              <w:bottom w:val="single" w:sz="8" w:space="0" w:color="DBE5F1" w:themeColor="accent1" w:themeTint="33"/>
            </w:tcBorders>
          </w:tcPr>
          <w:p w14:paraId="3515D71C" w14:textId="23E47240" w:rsidR="00AA172C" w:rsidRPr="009C1672" w:rsidRDefault="00AA172C" w:rsidP="00AA172C">
            <w:pPr>
              <w:spacing w:line="276" w:lineRule="auto"/>
              <w:jc w:val="both"/>
              <w:rPr>
                <w:sz w:val="20"/>
                <w:szCs w:val="20"/>
              </w:rPr>
            </w:pPr>
            <w:r w:rsidRPr="00683A7B">
              <w:rPr>
                <w:rFonts w:ascii="Calibri" w:eastAsia="Calibri" w:hAnsi="Calibri" w:cs="Times New Roman"/>
                <w:sz w:val="20"/>
                <w:szCs w:val="20"/>
              </w:rPr>
              <w:t xml:space="preserve">No levy </w:t>
            </w:r>
            <w:r>
              <w:rPr>
                <w:rFonts w:ascii="Calibri" w:eastAsia="Calibri" w:hAnsi="Calibri" w:cs="Times New Roman"/>
                <w:sz w:val="20"/>
                <w:szCs w:val="20"/>
              </w:rPr>
              <w:t>(</w:t>
            </w:r>
            <w:r w:rsidRPr="00683A7B">
              <w:rPr>
                <w:rFonts w:ascii="Calibri" w:eastAsia="Calibri" w:hAnsi="Calibri" w:cs="Times New Roman"/>
                <w:sz w:val="20"/>
                <w:szCs w:val="20"/>
              </w:rPr>
              <w:t xml:space="preserve">&lt;5g </w:t>
            </w:r>
            <w:r>
              <w:rPr>
                <w:rFonts w:ascii="Calibri" w:eastAsia="Calibri" w:hAnsi="Calibri" w:cs="Times New Roman"/>
                <w:sz w:val="20"/>
                <w:szCs w:val="20"/>
              </w:rPr>
              <w:t>sugar</w:t>
            </w:r>
            <w:r w:rsidR="001F1E9A">
              <w:rPr>
                <w:rFonts w:ascii="Calibri" w:eastAsia="Calibri" w:hAnsi="Calibri" w:cs="Times New Roman"/>
                <w:sz w:val="20"/>
                <w:szCs w:val="20"/>
              </w:rPr>
              <w:t xml:space="preserve"> per </w:t>
            </w:r>
            <w:r w:rsidRPr="00683A7B">
              <w:rPr>
                <w:rFonts w:ascii="Calibri" w:eastAsia="Calibri" w:hAnsi="Calibri" w:cs="Times New Roman"/>
                <w:sz w:val="20"/>
                <w:szCs w:val="20"/>
              </w:rPr>
              <w:t>100ml</w:t>
            </w:r>
            <w:r>
              <w:rPr>
                <w:rFonts w:ascii="Calibri" w:eastAsia="Calibri" w:hAnsi="Calibri" w:cs="Times New Roman"/>
                <w:sz w:val="20"/>
                <w:szCs w:val="20"/>
              </w:rPr>
              <w:t>)</w:t>
            </w:r>
          </w:p>
        </w:tc>
        <w:tc>
          <w:tcPr>
            <w:tcW w:w="2125" w:type="dxa"/>
            <w:tcBorders>
              <w:top w:val="single" w:sz="8" w:space="0" w:color="DBE5F1" w:themeColor="accent1" w:themeTint="33"/>
              <w:bottom w:val="single" w:sz="8" w:space="0" w:color="DBE5F1" w:themeColor="accent1" w:themeTint="33"/>
            </w:tcBorders>
          </w:tcPr>
          <w:p w14:paraId="21EA17BA" w14:textId="2D2FDDB3" w:rsidR="00AA172C" w:rsidRPr="009C1672" w:rsidRDefault="009A3BB7" w:rsidP="00877B58">
            <w:pPr>
              <w:spacing w:line="276" w:lineRule="auto"/>
              <w:jc w:val="center"/>
              <w:rPr>
                <w:sz w:val="20"/>
                <w:szCs w:val="20"/>
              </w:rPr>
            </w:pPr>
            <w:r>
              <w:rPr>
                <w:sz w:val="20"/>
                <w:szCs w:val="20"/>
              </w:rPr>
              <w:t>-</w:t>
            </w:r>
            <w:r w:rsidR="00877B58">
              <w:rPr>
                <w:sz w:val="20"/>
                <w:szCs w:val="20"/>
              </w:rPr>
              <w:t>11.2</w:t>
            </w:r>
            <w:r w:rsidR="00AA172C" w:rsidRPr="009C1672">
              <w:rPr>
                <w:sz w:val="20"/>
                <w:szCs w:val="20"/>
              </w:rPr>
              <w:t xml:space="preserve"> (-</w:t>
            </w:r>
            <w:r w:rsidR="00D43F11">
              <w:rPr>
                <w:sz w:val="20"/>
                <w:szCs w:val="20"/>
              </w:rPr>
              <w:t>1</w:t>
            </w:r>
            <w:r w:rsidR="00877B58">
              <w:rPr>
                <w:sz w:val="20"/>
                <w:szCs w:val="20"/>
              </w:rPr>
              <w:t>59.3</w:t>
            </w:r>
            <w:r w:rsidR="00AA172C">
              <w:rPr>
                <w:sz w:val="20"/>
                <w:szCs w:val="20"/>
              </w:rPr>
              <w:t xml:space="preserve">, </w:t>
            </w:r>
            <w:r w:rsidR="00877B58">
              <w:rPr>
                <w:sz w:val="20"/>
                <w:szCs w:val="20"/>
              </w:rPr>
              <w:t>137.0</w:t>
            </w:r>
            <w:r w:rsidR="00AA172C" w:rsidRPr="009C1672">
              <w:rPr>
                <w:sz w:val="20"/>
                <w:szCs w:val="20"/>
              </w:rPr>
              <w:t>)</w:t>
            </w:r>
          </w:p>
        </w:tc>
        <w:tc>
          <w:tcPr>
            <w:tcW w:w="2764" w:type="dxa"/>
            <w:gridSpan w:val="2"/>
            <w:tcBorders>
              <w:top w:val="single" w:sz="8" w:space="0" w:color="DBE5F1" w:themeColor="accent1" w:themeTint="33"/>
              <w:bottom w:val="single" w:sz="8" w:space="0" w:color="DBE5F1" w:themeColor="accent1" w:themeTint="33"/>
            </w:tcBorders>
          </w:tcPr>
          <w:p w14:paraId="2C9D0A25" w14:textId="12D0ACCC" w:rsidR="00AA172C" w:rsidRPr="009C1672" w:rsidRDefault="00AA172C" w:rsidP="00877B58">
            <w:pPr>
              <w:spacing w:line="276" w:lineRule="auto"/>
              <w:jc w:val="center"/>
              <w:rPr>
                <w:sz w:val="20"/>
                <w:szCs w:val="20"/>
              </w:rPr>
            </w:pPr>
            <w:r w:rsidRPr="009C1672">
              <w:rPr>
                <w:sz w:val="20"/>
                <w:szCs w:val="20"/>
              </w:rPr>
              <w:t>-</w:t>
            </w:r>
            <w:r w:rsidR="00877B58">
              <w:rPr>
                <w:sz w:val="20"/>
                <w:szCs w:val="20"/>
              </w:rPr>
              <w:t>0.4</w:t>
            </w:r>
            <w:r w:rsidRPr="009C1672">
              <w:rPr>
                <w:sz w:val="20"/>
                <w:szCs w:val="20"/>
              </w:rPr>
              <w:t xml:space="preserve"> (</w:t>
            </w:r>
            <w:r>
              <w:rPr>
                <w:sz w:val="20"/>
                <w:szCs w:val="20"/>
              </w:rPr>
              <w:t>-</w:t>
            </w:r>
            <w:r w:rsidR="00877B58">
              <w:rPr>
                <w:sz w:val="20"/>
                <w:szCs w:val="20"/>
              </w:rPr>
              <w:t>3.0</w:t>
            </w:r>
            <w:r>
              <w:rPr>
                <w:sz w:val="20"/>
                <w:szCs w:val="20"/>
              </w:rPr>
              <w:t>, 2.</w:t>
            </w:r>
            <w:r w:rsidR="00877B58">
              <w:rPr>
                <w:sz w:val="20"/>
                <w:szCs w:val="20"/>
              </w:rPr>
              <w:t>1</w:t>
            </w:r>
            <w:r w:rsidRPr="009C1672">
              <w:rPr>
                <w:sz w:val="20"/>
                <w:szCs w:val="20"/>
              </w:rPr>
              <w:t>)</w:t>
            </w:r>
          </w:p>
        </w:tc>
        <w:tc>
          <w:tcPr>
            <w:tcW w:w="2125" w:type="dxa"/>
            <w:tcBorders>
              <w:top w:val="single" w:sz="8" w:space="0" w:color="DBE5F1" w:themeColor="accent1" w:themeTint="33"/>
              <w:bottom w:val="single" w:sz="8" w:space="0" w:color="DBE5F1" w:themeColor="accent1" w:themeTint="33"/>
            </w:tcBorders>
          </w:tcPr>
          <w:p w14:paraId="1F9B0389" w14:textId="6F516DB9" w:rsidR="00AA172C" w:rsidRPr="009C1672" w:rsidRDefault="00AA172C" w:rsidP="00877B58">
            <w:pPr>
              <w:spacing w:line="276" w:lineRule="auto"/>
              <w:jc w:val="center"/>
              <w:rPr>
                <w:sz w:val="20"/>
                <w:szCs w:val="20"/>
              </w:rPr>
            </w:pPr>
            <w:r w:rsidRPr="009C1672">
              <w:rPr>
                <w:sz w:val="20"/>
                <w:szCs w:val="20"/>
              </w:rPr>
              <w:t>-</w:t>
            </w:r>
            <w:r w:rsidR="00877B58">
              <w:rPr>
                <w:sz w:val="20"/>
                <w:szCs w:val="20"/>
              </w:rPr>
              <w:t>58.3</w:t>
            </w:r>
            <w:r w:rsidRPr="009C1672">
              <w:rPr>
                <w:sz w:val="20"/>
                <w:szCs w:val="20"/>
              </w:rPr>
              <w:t xml:space="preserve"> (-</w:t>
            </w:r>
            <w:r w:rsidR="00877B58">
              <w:rPr>
                <w:sz w:val="20"/>
                <w:szCs w:val="20"/>
              </w:rPr>
              <w:t>362.3</w:t>
            </w:r>
            <w:r w:rsidRPr="009C1672">
              <w:rPr>
                <w:sz w:val="20"/>
                <w:szCs w:val="20"/>
              </w:rPr>
              <w:t>,</w:t>
            </w:r>
            <w:r w:rsidR="00092FE2">
              <w:rPr>
                <w:sz w:val="20"/>
                <w:szCs w:val="20"/>
              </w:rPr>
              <w:t xml:space="preserve"> </w:t>
            </w:r>
            <w:r w:rsidR="00877B58">
              <w:rPr>
                <w:sz w:val="20"/>
                <w:szCs w:val="20"/>
              </w:rPr>
              <w:t>245.7</w:t>
            </w:r>
            <w:r w:rsidRPr="009C1672">
              <w:rPr>
                <w:sz w:val="20"/>
                <w:szCs w:val="20"/>
              </w:rPr>
              <w:t>)</w:t>
            </w:r>
          </w:p>
        </w:tc>
        <w:tc>
          <w:tcPr>
            <w:tcW w:w="2126" w:type="dxa"/>
            <w:tcBorders>
              <w:top w:val="single" w:sz="8" w:space="0" w:color="DBE5F1" w:themeColor="accent1" w:themeTint="33"/>
              <w:bottom w:val="single" w:sz="8" w:space="0" w:color="DBE5F1" w:themeColor="accent1" w:themeTint="33"/>
            </w:tcBorders>
          </w:tcPr>
          <w:p w14:paraId="18E36D4C" w14:textId="6374D35F" w:rsidR="00AA172C" w:rsidRPr="009C1672" w:rsidRDefault="00AA172C" w:rsidP="00877B58">
            <w:pPr>
              <w:spacing w:line="276" w:lineRule="auto"/>
              <w:jc w:val="center"/>
              <w:rPr>
                <w:sz w:val="20"/>
                <w:szCs w:val="20"/>
              </w:rPr>
            </w:pPr>
            <w:r w:rsidRPr="009C1672">
              <w:rPr>
                <w:sz w:val="20"/>
                <w:szCs w:val="20"/>
              </w:rPr>
              <w:t>-</w:t>
            </w:r>
            <w:r w:rsidR="00877B58">
              <w:rPr>
                <w:sz w:val="20"/>
                <w:szCs w:val="20"/>
              </w:rPr>
              <w:t>2.2</w:t>
            </w:r>
            <w:r w:rsidRPr="009C1672">
              <w:rPr>
                <w:sz w:val="20"/>
                <w:szCs w:val="20"/>
              </w:rPr>
              <w:t xml:space="preserve"> (-</w:t>
            </w:r>
            <w:r w:rsidR="00877B58">
              <w:rPr>
                <w:sz w:val="20"/>
                <w:szCs w:val="20"/>
              </w:rPr>
              <w:t>13.7</w:t>
            </w:r>
            <w:r w:rsidRPr="009C1672">
              <w:rPr>
                <w:sz w:val="20"/>
                <w:szCs w:val="20"/>
              </w:rPr>
              <w:t xml:space="preserve">, </w:t>
            </w:r>
            <w:r w:rsidR="00877B58">
              <w:rPr>
                <w:sz w:val="20"/>
                <w:szCs w:val="20"/>
              </w:rPr>
              <w:t>9.2</w:t>
            </w:r>
            <w:r w:rsidRPr="009C1672">
              <w:rPr>
                <w:sz w:val="20"/>
                <w:szCs w:val="20"/>
              </w:rPr>
              <w:t>)</w:t>
            </w:r>
          </w:p>
        </w:tc>
      </w:tr>
      <w:tr w:rsidR="003026DF" w:rsidRPr="009C1672" w14:paraId="3BDAFB9C" w14:textId="77777777" w:rsidTr="00EB4B7D">
        <w:tc>
          <w:tcPr>
            <w:tcW w:w="392" w:type="dxa"/>
            <w:tcBorders>
              <w:top w:val="single" w:sz="8" w:space="0" w:color="DBE5F1" w:themeColor="accent1" w:themeTint="33"/>
              <w:bottom w:val="single" w:sz="8" w:space="0" w:color="DBE5F1" w:themeColor="accent1" w:themeTint="33"/>
            </w:tcBorders>
          </w:tcPr>
          <w:p w14:paraId="2674CF97" w14:textId="77777777" w:rsidR="003026DF" w:rsidRPr="009C1672" w:rsidRDefault="003026DF" w:rsidP="003026DF">
            <w:pPr>
              <w:jc w:val="both"/>
              <w:rPr>
                <w:sz w:val="20"/>
                <w:szCs w:val="20"/>
              </w:rPr>
            </w:pPr>
          </w:p>
        </w:tc>
        <w:tc>
          <w:tcPr>
            <w:tcW w:w="3719" w:type="dxa"/>
            <w:gridSpan w:val="2"/>
            <w:tcBorders>
              <w:top w:val="single" w:sz="8" w:space="0" w:color="DBE5F1" w:themeColor="accent1" w:themeTint="33"/>
              <w:bottom w:val="single" w:sz="8" w:space="0" w:color="DBE5F1" w:themeColor="accent1" w:themeTint="33"/>
            </w:tcBorders>
          </w:tcPr>
          <w:p w14:paraId="6A4C969D" w14:textId="26746D5B" w:rsidR="003026DF" w:rsidRPr="00683A7B" w:rsidRDefault="003026DF" w:rsidP="003026DF">
            <w:pPr>
              <w:ind w:firstLine="351"/>
              <w:jc w:val="both"/>
              <w:rPr>
                <w:rFonts w:ascii="Calibri" w:eastAsia="Calibri" w:hAnsi="Calibri" w:cs="Times New Roman"/>
                <w:sz w:val="20"/>
                <w:szCs w:val="20"/>
              </w:rPr>
            </w:pPr>
            <w:r w:rsidRPr="009C1672">
              <w:rPr>
                <w:sz w:val="20"/>
                <w:szCs w:val="20"/>
              </w:rPr>
              <w:t xml:space="preserve">Drinks </w:t>
            </w:r>
            <w:r>
              <w:rPr>
                <w:sz w:val="20"/>
                <w:szCs w:val="20"/>
              </w:rPr>
              <w:t>with</w:t>
            </w:r>
            <w:r w:rsidRPr="009C1672">
              <w:rPr>
                <w:sz w:val="20"/>
                <w:szCs w:val="20"/>
              </w:rPr>
              <w:t xml:space="preserve"> &gt;0g - &lt;5g  </w:t>
            </w:r>
            <w:r>
              <w:rPr>
                <w:sz w:val="20"/>
                <w:szCs w:val="20"/>
              </w:rPr>
              <w:t>sugar</w:t>
            </w:r>
            <w:r w:rsidR="001F1E9A">
              <w:rPr>
                <w:sz w:val="20"/>
                <w:szCs w:val="20"/>
              </w:rPr>
              <w:t xml:space="preserve"> per </w:t>
            </w:r>
            <w:r w:rsidRPr="009C1672">
              <w:rPr>
                <w:sz w:val="20"/>
                <w:szCs w:val="20"/>
              </w:rPr>
              <w:t>100ml</w:t>
            </w:r>
          </w:p>
        </w:tc>
        <w:tc>
          <w:tcPr>
            <w:tcW w:w="2125" w:type="dxa"/>
            <w:tcBorders>
              <w:top w:val="single" w:sz="8" w:space="0" w:color="DBE5F1" w:themeColor="accent1" w:themeTint="33"/>
              <w:bottom w:val="single" w:sz="8" w:space="0" w:color="DBE5F1" w:themeColor="accent1" w:themeTint="33"/>
            </w:tcBorders>
          </w:tcPr>
          <w:p w14:paraId="173AFF2C" w14:textId="73F23865" w:rsidR="003026DF" w:rsidRDefault="00877B58" w:rsidP="00877B58">
            <w:pPr>
              <w:jc w:val="center"/>
              <w:rPr>
                <w:sz w:val="20"/>
                <w:szCs w:val="20"/>
              </w:rPr>
            </w:pPr>
            <w:r>
              <w:rPr>
                <w:sz w:val="20"/>
                <w:szCs w:val="20"/>
              </w:rPr>
              <w:t>-16.0</w:t>
            </w:r>
            <w:r w:rsidR="003026DF" w:rsidRPr="009C1672">
              <w:rPr>
                <w:sz w:val="20"/>
                <w:szCs w:val="20"/>
              </w:rPr>
              <w:t xml:space="preserve"> (-</w:t>
            </w:r>
            <w:r>
              <w:rPr>
                <w:sz w:val="20"/>
                <w:szCs w:val="20"/>
              </w:rPr>
              <w:t>62.1</w:t>
            </w:r>
            <w:r w:rsidR="003026DF" w:rsidRPr="009C1672">
              <w:rPr>
                <w:sz w:val="20"/>
                <w:szCs w:val="20"/>
              </w:rPr>
              <w:t xml:space="preserve">, </w:t>
            </w:r>
            <w:r>
              <w:rPr>
                <w:sz w:val="20"/>
                <w:szCs w:val="20"/>
              </w:rPr>
              <w:t>30.1</w:t>
            </w:r>
            <w:r w:rsidR="003026DF" w:rsidRPr="009C1672">
              <w:rPr>
                <w:sz w:val="20"/>
                <w:szCs w:val="20"/>
              </w:rPr>
              <w:t>)</w:t>
            </w:r>
          </w:p>
        </w:tc>
        <w:tc>
          <w:tcPr>
            <w:tcW w:w="2764" w:type="dxa"/>
            <w:gridSpan w:val="2"/>
            <w:tcBorders>
              <w:top w:val="single" w:sz="8" w:space="0" w:color="DBE5F1" w:themeColor="accent1" w:themeTint="33"/>
              <w:bottom w:val="single" w:sz="8" w:space="0" w:color="DBE5F1" w:themeColor="accent1" w:themeTint="33"/>
            </w:tcBorders>
          </w:tcPr>
          <w:p w14:paraId="4D5BF14F" w14:textId="7E766395" w:rsidR="003026DF" w:rsidRPr="00EB4B7D" w:rsidRDefault="00D43F11" w:rsidP="004C6841">
            <w:pPr>
              <w:jc w:val="center"/>
              <w:rPr>
                <w:sz w:val="20"/>
                <w:szCs w:val="20"/>
              </w:rPr>
            </w:pPr>
            <w:r w:rsidRPr="00EB4B7D">
              <w:rPr>
                <w:sz w:val="20"/>
                <w:szCs w:val="20"/>
              </w:rPr>
              <w:t>0.</w:t>
            </w:r>
            <w:r w:rsidR="00877B58">
              <w:rPr>
                <w:sz w:val="20"/>
                <w:szCs w:val="20"/>
              </w:rPr>
              <w:t>4</w:t>
            </w:r>
            <w:r w:rsidR="003026DF" w:rsidRPr="00EB4B7D">
              <w:rPr>
                <w:sz w:val="20"/>
                <w:szCs w:val="20"/>
              </w:rPr>
              <w:t xml:space="preserve"> (</w:t>
            </w:r>
            <w:r w:rsidRPr="00EB4B7D">
              <w:rPr>
                <w:sz w:val="20"/>
                <w:szCs w:val="20"/>
              </w:rPr>
              <w:t>-</w:t>
            </w:r>
            <w:r w:rsidR="00877B58">
              <w:rPr>
                <w:sz w:val="20"/>
                <w:szCs w:val="20"/>
              </w:rPr>
              <w:t>0.4</w:t>
            </w:r>
            <w:r w:rsidR="003026DF" w:rsidRPr="00EB4B7D">
              <w:rPr>
                <w:sz w:val="20"/>
                <w:szCs w:val="20"/>
              </w:rPr>
              <w:t>,</w:t>
            </w:r>
            <w:r w:rsidRPr="00EB4B7D">
              <w:rPr>
                <w:sz w:val="20"/>
                <w:szCs w:val="20"/>
              </w:rPr>
              <w:t xml:space="preserve"> 1.</w:t>
            </w:r>
            <w:r w:rsidR="009A3BB7">
              <w:rPr>
                <w:sz w:val="20"/>
                <w:szCs w:val="20"/>
              </w:rPr>
              <w:t>2</w:t>
            </w:r>
            <w:r w:rsidR="003026DF" w:rsidRPr="00EB4B7D">
              <w:rPr>
                <w:sz w:val="20"/>
                <w:szCs w:val="20"/>
              </w:rPr>
              <w:t>)</w:t>
            </w:r>
          </w:p>
        </w:tc>
        <w:tc>
          <w:tcPr>
            <w:tcW w:w="2125" w:type="dxa"/>
            <w:tcBorders>
              <w:top w:val="single" w:sz="8" w:space="0" w:color="DBE5F1" w:themeColor="accent1" w:themeTint="33"/>
              <w:bottom w:val="single" w:sz="8" w:space="0" w:color="DBE5F1" w:themeColor="accent1" w:themeTint="33"/>
            </w:tcBorders>
          </w:tcPr>
          <w:p w14:paraId="5B4531A0" w14:textId="559539F2" w:rsidR="003026DF" w:rsidRPr="00EB4B7D" w:rsidRDefault="00B61CCB" w:rsidP="00D4624F">
            <w:pPr>
              <w:jc w:val="center"/>
              <w:rPr>
                <w:sz w:val="20"/>
                <w:szCs w:val="20"/>
              </w:rPr>
            </w:pPr>
            <w:r>
              <w:rPr>
                <w:sz w:val="20"/>
                <w:szCs w:val="20"/>
              </w:rPr>
              <w:t>26.8</w:t>
            </w:r>
            <w:r w:rsidR="003026DF" w:rsidRPr="00EB4B7D">
              <w:rPr>
                <w:sz w:val="20"/>
                <w:szCs w:val="20"/>
              </w:rPr>
              <w:t xml:space="preserve"> (</w:t>
            </w:r>
            <w:r w:rsidR="00092FE2" w:rsidRPr="00EB4B7D">
              <w:rPr>
                <w:sz w:val="20"/>
                <w:szCs w:val="20"/>
              </w:rPr>
              <w:t>-</w:t>
            </w:r>
            <w:r>
              <w:rPr>
                <w:sz w:val="20"/>
                <w:szCs w:val="20"/>
              </w:rPr>
              <w:t>66.1</w:t>
            </w:r>
            <w:r w:rsidR="003026DF" w:rsidRPr="00EB4B7D">
              <w:rPr>
                <w:sz w:val="20"/>
                <w:szCs w:val="20"/>
              </w:rPr>
              <w:t xml:space="preserve">, </w:t>
            </w:r>
            <w:r w:rsidR="00092FE2" w:rsidRPr="00EB4B7D">
              <w:rPr>
                <w:sz w:val="20"/>
                <w:szCs w:val="20"/>
              </w:rPr>
              <w:t>1</w:t>
            </w:r>
            <w:r w:rsidR="00286652">
              <w:rPr>
                <w:sz w:val="20"/>
                <w:szCs w:val="20"/>
              </w:rPr>
              <w:t>19</w:t>
            </w:r>
            <w:r w:rsidR="00092FE2" w:rsidRPr="00EB4B7D">
              <w:rPr>
                <w:sz w:val="20"/>
                <w:szCs w:val="20"/>
              </w:rPr>
              <w:t>.</w:t>
            </w:r>
            <w:r w:rsidR="00286652">
              <w:rPr>
                <w:sz w:val="20"/>
                <w:szCs w:val="20"/>
              </w:rPr>
              <w:t>6</w:t>
            </w:r>
            <w:r w:rsidR="003026DF" w:rsidRPr="00EB4B7D">
              <w:rPr>
                <w:sz w:val="20"/>
                <w:szCs w:val="20"/>
              </w:rPr>
              <w:t>)</w:t>
            </w:r>
          </w:p>
        </w:tc>
        <w:tc>
          <w:tcPr>
            <w:tcW w:w="2126" w:type="dxa"/>
            <w:tcBorders>
              <w:top w:val="single" w:sz="8" w:space="0" w:color="DBE5F1" w:themeColor="accent1" w:themeTint="33"/>
              <w:bottom w:val="single" w:sz="8" w:space="0" w:color="DBE5F1" w:themeColor="accent1" w:themeTint="33"/>
            </w:tcBorders>
          </w:tcPr>
          <w:p w14:paraId="088D9D5F" w14:textId="62387EAC" w:rsidR="003026DF" w:rsidRPr="009C1672" w:rsidRDefault="00796ED6">
            <w:pPr>
              <w:jc w:val="center"/>
              <w:rPr>
                <w:sz w:val="20"/>
                <w:szCs w:val="20"/>
              </w:rPr>
            </w:pPr>
            <w:r>
              <w:rPr>
                <w:sz w:val="20"/>
                <w:szCs w:val="20"/>
              </w:rPr>
              <w:t>3.8</w:t>
            </w:r>
            <w:r w:rsidR="003026DF" w:rsidRPr="00AE38B4">
              <w:rPr>
                <w:sz w:val="20"/>
                <w:szCs w:val="20"/>
              </w:rPr>
              <w:t xml:space="preserve"> (-</w:t>
            </w:r>
            <w:r>
              <w:rPr>
                <w:sz w:val="20"/>
                <w:szCs w:val="20"/>
              </w:rPr>
              <w:t>9.9</w:t>
            </w:r>
            <w:r w:rsidR="003026DF" w:rsidRPr="00AE38B4">
              <w:rPr>
                <w:sz w:val="20"/>
                <w:szCs w:val="20"/>
              </w:rPr>
              <w:t xml:space="preserve">, </w:t>
            </w:r>
            <w:r>
              <w:rPr>
                <w:sz w:val="20"/>
                <w:szCs w:val="20"/>
              </w:rPr>
              <w:t>17.6</w:t>
            </w:r>
            <w:r w:rsidR="003026DF" w:rsidRPr="00AE38B4">
              <w:rPr>
                <w:sz w:val="20"/>
                <w:szCs w:val="20"/>
              </w:rPr>
              <w:t>)</w:t>
            </w:r>
          </w:p>
        </w:tc>
      </w:tr>
      <w:tr w:rsidR="003026DF" w:rsidRPr="009C1672" w14:paraId="454B5146" w14:textId="77777777" w:rsidTr="00EB4B7D">
        <w:tc>
          <w:tcPr>
            <w:tcW w:w="392" w:type="dxa"/>
            <w:tcBorders>
              <w:top w:val="single" w:sz="8" w:space="0" w:color="DBE5F1" w:themeColor="accent1" w:themeTint="33"/>
              <w:bottom w:val="single" w:sz="8" w:space="0" w:color="DBE5F1" w:themeColor="accent1" w:themeTint="33"/>
            </w:tcBorders>
          </w:tcPr>
          <w:p w14:paraId="191B3D6E" w14:textId="77777777" w:rsidR="003026DF" w:rsidRPr="009C1672" w:rsidRDefault="003026DF" w:rsidP="003026DF">
            <w:pPr>
              <w:jc w:val="both"/>
              <w:rPr>
                <w:sz w:val="20"/>
                <w:szCs w:val="20"/>
              </w:rPr>
            </w:pPr>
          </w:p>
        </w:tc>
        <w:tc>
          <w:tcPr>
            <w:tcW w:w="3719" w:type="dxa"/>
            <w:gridSpan w:val="2"/>
            <w:tcBorders>
              <w:top w:val="single" w:sz="8" w:space="0" w:color="DBE5F1" w:themeColor="accent1" w:themeTint="33"/>
              <w:bottom w:val="single" w:sz="8" w:space="0" w:color="DBE5F1" w:themeColor="accent1" w:themeTint="33"/>
            </w:tcBorders>
          </w:tcPr>
          <w:p w14:paraId="451061F4" w14:textId="726B9B1F" w:rsidR="003026DF" w:rsidRPr="00683A7B" w:rsidRDefault="003026DF" w:rsidP="003026DF">
            <w:pPr>
              <w:ind w:firstLine="351"/>
              <w:jc w:val="both"/>
              <w:rPr>
                <w:rFonts w:ascii="Calibri" w:eastAsia="Calibri" w:hAnsi="Calibri" w:cs="Times New Roman"/>
                <w:sz w:val="20"/>
                <w:szCs w:val="20"/>
              </w:rPr>
            </w:pPr>
            <w:r w:rsidRPr="009C1672">
              <w:rPr>
                <w:sz w:val="20"/>
                <w:szCs w:val="20"/>
              </w:rPr>
              <w:t xml:space="preserve">Drinks </w:t>
            </w:r>
            <w:r>
              <w:rPr>
                <w:sz w:val="20"/>
                <w:szCs w:val="20"/>
              </w:rPr>
              <w:t xml:space="preserve">with </w:t>
            </w:r>
            <w:r w:rsidRPr="009C1672">
              <w:rPr>
                <w:sz w:val="20"/>
                <w:szCs w:val="20"/>
              </w:rPr>
              <w:t xml:space="preserve">0g </w:t>
            </w:r>
            <w:r>
              <w:rPr>
                <w:sz w:val="20"/>
                <w:szCs w:val="20"/>
              </w:rPr>
              <w:t>sugar</w:t>
            </w:r>
            <w:r w:rsidR="001F1E9A">
              <w:rPr>
                <w:sz w:val="20"/>
                <w:szCs w:val="20"/>
              </w:rPr>
              <w:t xml:space="preserve"> per </w:t>
            </w:r>
            <w:r w:rsidRPr="009C1672">
              <w:rPr>
                <w:sz w:val="20"/>
                <w:szCs w:val="20"/>
              </w:rPr>
              <w:t>100ml</w:t>
            </w:r>
          </w:p>
        </w:tc>
        <w:tc>
          <w:tcPr>
            <w:tcW w:w="2125" w:type="dxa"/>
            <w:tcBorders>
              <w:top w:val="single" w:sz="8" w:space="0" w:color="DBE5F1" w:themeColor="accent1" w:themeTint="33"/>
              <w:bottom w:val="single" w:sz="8" w:space="0" w:color="DBE5F1" w:themeColor="accent1" w:themeTint="33"/>
            </w:tcBorders>
          </w:tcPr>
          <w:p w14:paraId="208AA1F0" w14:textId="12F69E3F" w:rsidR="003026DF" w:rsidRDefault="009A3BB7" w:rsidP="004C6841">
            <w:pPr>
              <w:jc w:val="center"/>
              <w:rPr>
                <w:sz w:val="20"/>
                <w:szCs w:val="20"/>
              </w:rPr>
            </w:pPr>
            <w:r>
              <w:rPr>
                <w:sz w:val="20"/>
                <w:szCs w:val="20"/>
              </w:rPr>
              <w:t>-0.7</w:t>
            </w:r>
            <w:r w:rsidR="003026DF" w:rsidRPr="00C9271D">
              <w:rPr>
                <w:sz w:val="20"/>
                <w:szCs w:val="20"/>
              </w:rPr>
              <w:t xml:space="preserve"> (</w:t>
            </w:r>
            <w:r w:rsidR="00D43F11">
              <w:rPr>
                <w:sz w:val="20"/>
                <w:szCs w:val="20"/>
              </w:rPr>
              <w:t>-</w:t>
            </w:r>
            <w:r>
              <w:rPr>
                <w:sz w:val="20"/>
                <w:szCs w:val="20"/>
              </w:rPr>
              <w:t>73.9</w:t>
            </w:r>
            <w:r w:rsidR="003026DF" w:rsidRPr="00C9271D">
              <w:rPr>
                <w:sz w:val="20"/>
                <w:szCs w:val="20"/>
              </w:rPr>
              <w:t xml:space="preserve">, </w:t>
            </w:r>
            <w:r>
              <w:rPr>
                <w:sz w:val="20"/>
                <w:szCs w:val="20"/>
              </w:rPr>
              <w:t>72.6</w:t>
            </w:r>
            <w:r w:rsidR="003026DF" w:rsidRPr="00C9271D">
              <w:rPr>
                <w:sz w:val="20"/>
                <w:szCs w:val="20"/>
              </w:rPr>
              <w:t>)</w:t>
            </w:r>
          </w:p>
        </w:tc>
        <w:tc>
          <w:tcPr>
            <w:tcW w:w="2764" w:type="dxa"/>
            <w:gridSpan w:val="2"/>
            <w:tcBorders>
              <w:top w:val="single" w:sz="8" w:space="0" w:color="DBE5F1" w:themeColor="accent1" w:themeTint="33"/>
              <w:bottom w:val="single" w:sz="8" w:space="0" w:color="DBE5F1" w:themeColor="accent1" w:themeTint="33"/>
            </w:tcBorders>
          </w:tcPr>
          <w:p w14:paraId="017334EE" w14:textId="579B34A7" w:rsidR="003026DF" w:rsidRPr="009C1672" w:rsidRDefault="009A3BB7" w:rsidP="00D4624F">
            <w:pPr>
              <w:jc w:val="center"/>
              <w:rPr>
                <w:sz w:val="20"/>
                <w:szCs w:val="20"/>
              </w:rPr>
            </w:pPr>
            <w:r>
              <w:rPr>
                <w:sz w:val="20"/>
                <w:szCs w:val="20"/>
              </w:rPr>
              <w:t>0.02</w:t>
            </w:r>
            <w:r w:rsidR="003026DF" w:rsidRPr="00AE38B4">
              <w:rPr>
                <w:sz w:val="20"/>
                <w:szCs w:val="20"/>
              </w:rPr>
              <w:t xml:space="preserve"> (-</w:t>
            </w:r>
            <w:r w:rsidR="00D43F11">
              <w:rPr>
                <w:sz w:val="20"/>
                <w:szCs w:val="20"/>
              </w:rPr>
              <w:t>1.</w:t>
            </w:r>
            <w:r>
              <w:rPr>
                <w:sz w:val="20"/>
                <w:szCs w:val="20"/>
              </w:rPr>
              <w:t>4</w:t>
            </w:r>
            <w:r w:rsidR="003026DF" w:rsidRPr="00AE38B4">
              <w:rPr>
                <w:sz w:val="20"/>
                <w:szCs w:val="20"/>
              </w:rPr>
              <w:t>,</w:t>
            </w:r>
            <w:r>
              <w:rPr>
                <w:sz w:val="20"/>
                <w:szCs w:val="20"/>
              </w:rPr>
              <w:t xml:space="preserve"> </w:t>
            </w:r>
            <w:r w:rsidR="00D43F11">
              <w:rPr>
                <w:sz w:val="20"/>
                <w:szCs w:val="20"/>
              </w:rPr>
              <w:t>1.4</w:t>
            </w:r>
            <w:r w:rsidR="003026DF" w:rsidRPr="00AE38B4">
              <w:rPr>
                <w:sz w:val="20"/>
                <w:szCs w:val="20"/>
              </w:rPr>
              <w:t>)</w:t>
            </w:r>
          </w:p>
        </w:tc>
        <w:tc>
          <w:tcPr>
            <w:tcW w:w="2125" w:type="dxa"/>
            <w:tcBorders>
              <w:top w:val="single" w:sz="8" w:space="0" w:color="DBE5F1" w:themeColor="accent1" w:themeTint="33"/>
              <w:bottom w:val="single" w:sz="8" w:space="0" w:color="DBE5F1" w:themeColor="accent1" w:themeTint="33"/>
            </w:tcBorders>
          </w:tcPr>
          <w:p w14:paraId="3BC23F8A" w14:textId="44CD57DB" w:rsidR="003026DF" w:rsidRPr="009C1672" w:rsidRDefault="00286652">
            <w:pPr>
              <w:jc w:val="center"/>
              <w:rPr>
                <w:sz w:val="20"/>
                <w:szCs w:val="20"/>
              </w:rPr>
            </w:pPr>
            <w:r>
              <w:rPr>
                <w:sz w:val="20"/>
                <w:szCs w:val="20"/>
              </w:rPr>
              <w:t>1.0</w:t>
            </w:r>
            <w:r w:rsidR="003026DF" w:rsidRPr="00615B15">
              <w:rPr>
                <w:sz w:val="20"/>
                <w:szCs w:val="20"/>
              </w:rPr>
              <w:t xml:space="preserve"> (-</w:t>
            </w:r>
            <w:r w:rsidR="00092FE2">
              <w:rPr>
                <w:sz w:val="20"/>
                <w:szCs w:val="20"/>
              </w:rPr>
              <w:t>1</w:t>
            </w:r>
            <w:r>
              <w:rPr>
                <w:sz w:val="20"/>
                <w:szCs w:val="20"/>
              </w:rPr>
              <w:t>63.5</w:t>
            </w:r>
            <w:r w:rsidR="003026DF" w:rsidRPr="00615B15">
              <w:rPr>
                <w:sz w:val="20"/>
                <w:szCs w:val="20"/>
              </w:rPr>
              <w:t xml:space="preserve">, </w:t>
            </w:r>
            <w:r w:rsidR="00092FE2">
              <w:rPr>
                <w:sz w:val="20"/>
                <w:szCs w:val="20"/>
              </w:rPr>
              <w:t>1</w:t>
            </w:r>
            <w:r>
              <w:rPr>
                <w:sz w:val="20"/>
                <w:szCs w:val="20"/>
              </w:rPr>
              <w:t>65</w:t>
            </w:r>
            <w:r w:rsidR="00092FE2">
              <w:rPr>
                <w:sz w:val="20"/>
                <w:szCs w:val="20"/>
              </w:rPr>
              <w:t>.</w:t>
            </w:r>
            <w:r>
              <w:rPr>
                <w:sz w:val="20"/>
                <w:szCs w:val="20"/>
              </w:rPr>
              <w:t>5</w:t>
            </w:r>
            <w:r w:rsidR="003026DF" w:rsidRPr="00615B15">
              <w:rPr>
                <w:sz w:val="20"/>
                <w:szCs w:val="20"/>
              </w:rPr>
              <w:t>)</w:t>
            </w:r>
          </w:p>
        </w:tc>
        <w:tc>
          <w:tcPr>
            <w:tcW w:w="2126" w:type="dxa"/>
            <w:tcBorders>
              <w:top w:val="single" w:sz="8" w:space="0" w:color="DBE5F1" w:themeColor="accent1" w:themeTint="33"/>
              <w:bottom w:val="single" w:sz="8" w:space="0" w:color="DBE5F1" w:themeColor="accent1" w:themeTint="33"/>
            </w:tcBorders>
          </w:tcPr>
          <w:p w14:paraId="260C6A00" w14:textId="0DC00FB0" w:rsidR="003026DF" w:rsidRPr="009C1672" w:rsidRDefault="00796ED6">
            <w:pPr>
              <w:jc w:val="center"/>
              <w:rPr>
                <w:sz w:val="20"/>
                <w:szCs w:val="20"/>
              </w:rPr>
            </w:pPr>
            <w:r>
              <w:rPr>
                <w:sz w:val="20"/>
                <w:szCs w:val="20"/>
              </w:rPr>
              <w:t>0.1</w:t>
            </w:r>
            <w:r w:rsidR="003026DF" w:rsidRPr="009C1672">
              <w:rPr>
                <w:sz w:val="20"/>
                <w:szCs w:val="20"/>
              </w:rPr>
              <w:t xml:space="preserve"> (-</w:t>
            </w:r>
            <w:r w:rsidR="006D1186">
              <w:rPr>
                <w:sz w:val="20"/>
                <w:szCs w:val="20"/>
              </w:rPr>
              <w:t>1</w:t>
            </w:r>
            <w:r>
              <w:rPr>
                <w:sz w:val="20"/>
                <w:szCs w:val="20"/>
              </w:rPr>
              <w:t>4.9</w:t>
            </w:r>
            <w:r w:rsidR="003026DF" w:rsidRPr="009C1672">
              <w:rPr>
                <w:sz w:val="20"/>
                <w:szCs w:val="20"/>
              </w:rPr>
              <w:t xml:space="preserve">, </w:t>
            </w:r>
            <w:r>
              <w:rPr>
                <w:sz w:val="20"/>
                <w:szCs w:val="20"/>
              </w:rPr>
              <w:t>15.1</w:t>
            </w:r>
            <w:r w:rsidR="003026DF" w:rsidRPr="009C1672">
              <w:rPr>
                <w:sz w:val="20"/>
                <w:szCs w:val="20"/>
              </w:rPr>
              <w:t>)</w:t>
            </w:r>
          </w:p>
        </w:tc>
      </w:tr>
      <w:tr w:rsidR="003026DF" w:rsidRPr="009C1672" w14:paraId="4D29F1B2" w14:textId="77777777" w:rsidTr="00EB4B7D">
        <w:tc>
          <w:tcPr>
            <w:tcW w:w="392" w:type="dxa"/>
            <w:tcBorders>
              <w:top w:val="single" w:sz="8" w:space="0" w:color="DBE5F1" w:themeColor="accent1" w:themeTint="33"/>
              <w:bottom w:val="single" w:sz="8" w:space="0" w:color="DBE5F1" w:themeColor="accent1" w:themeTint="33"/>
            </w:tcBorders>
          </w:tcPr>
          <w:p w14:paraId="39FF4EF7" w14:textId="77777777" w:rsidR="003026DF" w:rsidRPr="009C1672" w:rsidRDefault="003026DF" w:rsidP="003026DF">
            <w:pPr>
              <w:jc w:val="both"/>
              <w:rPr>
                <w:sz w:val="20"/>
                <w:szCs w:val="20"/>
              </w:rPr>
            </w:pPr>
          </w:p>
        </w:tc>
        <w:tc>
          <w:tcPr>
            <w:tcW w:w="3719" w:type="dxa"/>
            <w:gridSpan w:val="2"/>
            <w:tcBorders>
              <w:top w:val="single" w:sz="8" w:space="0" w:color="DBE5F1" w:themeColor="accent1" w:themeTint="33"/>
              <w:bottom w:val="single" w:sz="8" w:space="0" w:color="DBE5F1" w:themeColor="accent1" w:themeTint="33"/>
            </w:tcBorders>
          </w:tcPr>
          <w:p w14:paraId="12851BD2" w14:textId="16DE2B8E" w:rsidR="003026DF" w:rsidRPr="00683A7B" w:rsidRDefault="003026DF" w:rsidP="003026DF">
            <w:pPr>
              <w:ind w:firstLine="351"/>
              <w:jc w:val="both"/>
              <w:rPr>
                <w:rFonts w:ascii="Calibri" w:eastAsia="Calibri" w:hAnsi="Calibri" w:cs="Times New Roman"/>
                <w:sz w:val="20"/>
                <w:szCs w:val="20"/>
              </w:rPr>
            </w:pPr>
            <w:r w:rsidRPr="009C1672">
              <w:rPr>
                <w:sz w:val="20"/>
                <w:szCs w:val="20"/>
              </w:rPr>
              <w:t>Bottled water</w:t>
            </w:r>
          </w:p>
        </w:tc>
        <w:tc>
          <w:tcPr>
            <w:tcW w:w="2125" w:type="dxa"/>
            <w:tcBorders>
              <w:top w:val="single" w:sz="8" w:space="0" w:color="DBE5F1" w:themeColor="accent1" w:themeTint="33"/>
              <w:bottom w:val="single" w:sz="8" w:space="0" w:color="DBE5F1" w:themeColor="accent1" w:themeTint="33"/>
            </w:tcBorders>
          </w:tcPr>
          <w:p w14:paraId="178902B6" w14:textId="705AE295" w:rsidR="003026DF" w:rsidRDefault="009A3BB7" w:rsidP="00EB4B7D">
            <w:pPr>
              <w:jc w:val="center"/>
              <w:rPr>
                <w:sz w:val="20"/>
                <w:szCs w:val="20"/>
              </w:rPr>
            </w:pPr>
            <w:r>
              <w:rPr>
                <w:sz w:val="20"/>
                <w:szCs w:val="20"/>
              </w:rPr>
              <w:t>13.4</w:t>
            </w:r>
            <w:r w:rsidR="003026DF" w:rsidRPr="00C9271D">
              <w:rPr>
                <w:sz w:val="20"/>
                <w:szCs w:val="20"/>
              </w:rPr>
              <w:t xml:space="preserve"> (-</w:t>
            </w:r>
            <w:r>
              <w:rPr>
                <w:sz w:val="20"/>
                <w:szCs w:val="20"/>
              </w:rPr>
              <w:t>36.9</w:t>
            </w:r>
            <w:r w:rsidR="003026DF">
              <w:rPr>
                <w:sz w:val="20"/>
                <w:szCs w:val="20"/>
              </w:rPr>
              <w:t xml:space="preserve">, </w:t>
            </w:r>
            <w:r>
              <w:rPr>
                <w:sz w:val="20"/>
                <w:szCs w:val="20"/>
              </w:rPr>
              <w:t>63.8</w:t>
            </w:r>
            <w:r w:rsidR="003026DF" w:rsidRPr="00C9271D">
              <w:rPr>
                <w:sz w:val="20"/>
                <w:szCs w:val="20"/>
              </w:rPr>
              <w:t>)</w:t>
            </w:r>
          </w:p>
        </w:tc>
        <w:tc>
          <w:tcPr>
            <w:tcW w:w="2764" w:type="dxa"/>
            <w:gridSpan w:val="2"/>
            <w:tcBorders>
              <w:top w:val="single" w:sz="8" w:space="0" w:color="DBE5F1" w:themeColor="accent1" w:themeTint="33"/>
              <w:bottom w:val="single" w:sz="8" w:space="0" w:color="DBE5F1" w:themeColor="accent1" w:themeTint="33"/>
            </w:tcBorders>
          </w:tcPr>
          <w:p w14:paraId="7E39B52A" w14:textId="7AF762C2" w:rsidR="003026DF" w:rsidRPr="009C1672" w:rsidRDefault="003026DF" w:rsidP="004C6841">
            <w:pPr>
              <w:jc w:val="center"/>
              <w:rPr>
                <w:sz w:val="20"/>
                <w:szCs w:val="20"/>
              </w:rPr>
            </w:pPr>
            <w:r w:rsidRPr="00C9271D">
              <w:rPr>
                <w:sz w:val="20"/>
                <w:szCs w:val="20"/>
              </w:rPr>
              <w:t>-</w:t>
            </w:r>
            <w:r w:rsidR="009A3BB7">
              <w:rPr>
                <w:sz w:val="20"/>
                <w:szCs w:val="20"/>
              </w:rPr>
              <w:t>0</w:t>
            </w:r>
            <w:r w:rsidR="00D43F11">
              <w:rPr>
                <w:sz w:val="20"/>
                <w:szCs w:val="20"/>
              </w:rPr>
              <w:t>.</w:t>
            </w:r>
            <w:r w:rsidR="009A3BB7">
              <w:rPr>
                <w:sz w:val="20"/>
                <w:szCs w:val="20"/>
              </w:rPr>
              <w:t>7</w:t>
            </w:r>
            <w:r w:rsidR="00D43F11">
              <w:rPr>
                <w:sz w:val="20"/>
                <w:szCs w:val="20"/>
              </w:rPr>
              <w:t xml:space="preserve"> </w:t>
            </w:r>
            <w:r w:rsidRPr="00C9271D">
              <w:rPr>
                <w:sz w:val="20"/>
                <w:szCs w:val="20"/>
              </w:rPr>
              <w:t>(-</w:t>
            </w:r>
            <w:r w:rsidR="009A3BB7">
              <w:rPr>
                <w:sz w:val="20"/>
                <w:szCs w:val="20"/>
              </w:rPr>
              <w:t>1.6</w:t>
            </w:r>
            <w:r>
              <w:rPr>
                <w:sz w:val="20"/>
                <w:szCs w:val="20"/>
              </w:rPr>
              <w:t>, 0.</w:t>
            </w:r>
            <w:r w:rsidR="009A3BB7">
              <w:rPr>
                <w:sz w:val="20"/>
                <w:szCs w:val="20"/>
              </w:rPr>
              <w:t>2</w:t>
            </w:r>
            <w:r w:rsidRPr="00C9271D">
              <w:rPr>
                <w:sz w:val="20"/>
                <w:szCs w:val="20"/>
              </w:rPr>
              <w:t>)</w:t>
            </w:r>
          </w:p>
        </w:tc>
        <w:tc>
          <w:tcPr>
            <w:tcW w:w="2125" w:type="dxa"/>
            <w:tcBorders>
              <w:top w:val="single" w:sz="8" w:space="0" w:color="DBE5F1" w:themeColor="accent1" w:themeTint="33"/>
              <w:bottom w:val="single" w:sz="8" w:space="0" w:color="DBE5F1" w:themeColor="accent1" w:themeTint="33"/>
            </w:tcBorders>
          </w:tcPr>
          <w:p w14:paraId="06E7FD2E" w14:textId="673B804A" w:rsidR="003026DF" w:rsidRPr="009C1672" w:rsidRDefault="003026DF" w:rsidP="00D4624F">
            <w:pPr>
              <w:jc w:val="center"/>
              <w:rPr>
                <w:sz w:val="20"/>
                <w:szCs w:val="20"/>
              </w:rPr>
            </w:pPr>
            <w:r w:rsidRPr="009C1672">
              <w:rPr>
                <w:sz w:val="20"/>
                <w:szCs w:val="20"/>
              </w:rPr>
              <w:t>-</w:t>
            </w:r>
            <w:r>
              <w:rPr>
                <w:sz w:val="20"/>
                <w:szCs w:val="20"/>
              </w:rPr>
              <w:t>5</w:t>
            </w:r>
            <w:r w:rsidR="00286652">
              <w:rPr>
                <w:sz w:val="20"/>
                <w:szCs w:val="20"/>
              </w:rPr>
              <w:t>4</w:t>
            </w:r>
            <w:r>
              <w:rPr>
                <w:sz w:val="20"/>
                <w:szCs w:val="20"/>
              </w:rPr>
              <w:t>.</w:t>
            </w:r>
            <w:r w:rsidR="00286652">
              <w:rPr>
                <w:sz w:val="20"/>
                <w:szCs w:val="20"/>
              </w:rPr>
              <w:t>9</w:t>
            </w:r>
            <w:r w:rsidRPr="009C1672">
              <w:rPr>
                <w:sz w:val="20"/>
                <w:szCs w:val="20"/>
              </w:rPr>
              <w:t xml:space="preserve"> (-</w:t>
            </w:r>
            <w:r w:rsidR="00286652">
              <w:rPr>
                <w:sz w:val="20"/>
                <w:szCs w:val="20"/>
              </w:rPr>
              <w:t>160.7</w:t>
            </w:r>
            <w:r w:rsidRPr="009C1672">
              <w:rPr>
                <w:sz w:val="20"/>
                <w:szCs w:val="20"/>
              </w:rPr>
              <w:t xml:space="preserve">, </w:t>
            </w:r>
            <w:r w:rsidR="00286652">
              <w:rPr>
                <w:sz w:val="20"/>
                <w:szCs w:val="20"/>
              </w:rPr>
              <w:t>50.8</w:t>
            </w:r>
            <w:r>
              <w:rPr>
                <w:sz w:val="20"/>
                <w:szCs w:val="20"/>
              </w:rPr>
              <w:t>)</w:t>
            </w:r>
          </w:p>
        </w:tc>
        <w:tc>
          <w:tcPr>
            <w:tcW w:w="2126" w:type="dxa"/>
            <w:tcBorders>
              <w:top w:val="single" w:sz="8" w:space="0" w:color="DBE5F1" w:themeColor="accent1" w:themeTint="33"/>
              <w:bottom w:val="single" w:sz="8" w:space="0" w:color="DBE5F1" w:themeColor="accent1" w:themeTint="33"/>
            </w:tcBorders>
          </w:tcPr>
          <w:p w14:paraId="0CE87700" w14:textId="2A3B085C" w:rsidR="003026DF" w:rsidRPr="009C1672" w:rsidRDefault="003026DF">
            <w:pPr>
              <w:jc w:val="center"/>
              <w:rPr>
                <w:sz w:val="20"/>
                <w:szCs w:val="20"/>
              </w:rPr>
            </w:pPr>
            <w:r w:rsidRPr="009C1672">
              <w:rPr>
                <w:sz w:val="20"/>
                <w:szCs w:val="20"/>
              </w:rPr>
              <w:t>-</w:t>
            </w:r>
            <w:r>
              <w:rPr>
                <w:sz w:val="20"/>
                <w:szCs w:val="20"/>
              </w:rPr>
              <w:t>7.</w:t>
            </w:r>
            <w:r w:rsidR="00796ED6">
              <w:rPr>
                <w:sz w:val="20"/>
                <w:szCs w:val="20"/>
              </w:rPr>
              <w:t>0</w:t>
            </w:r>
            <w:r w:rsidRPr="009C1672">
              <w:rPr>
                <w:sz w:val="20"/>
                <w:szCs w:val="20"/>
              </w:rPr>
              <w:t xml:space="preserve"> (-</w:t>
            </w:r>
            <w:r w:rsidR="00796ED6">
              <w:rPr>
                <w:sz w:val="20"/>
                <w:szCs w:val="20"/>
              </w:rPr>
              <w:t>19.6</w:t>
            </w:r>
            <w:r w:rsidRPr="009C1672">
              <w:rPr>
                <w:sz w:val="20"/>
                <w:szCs w:val="20"/>
              </w:rPr>
              <w:t xml:space="preserve">, </w:t>
            </w:r>
            <w:r w:rsidR="00796ED6">
              <w:rPr>
                <w:sz w:val="20"/>
                <w:szCs w:val="20"/>
              </w:rPr>
              <w:t>5.6</w:t>
            </w:r>
            <w:r w:rsidRPr="009C1672">
              <w:rPr>
                <w:sz w:val="20"/>
                <w:szCs w:val="20"/>
              </w:rPr>
              <w:t>)</w:t>
            </w:r>
          </w:p>
        </w:tc>
      </w:tr>
      <w:tr w:rsidR="003026DF" w:rsidRPr="009C1672" w14:paraId="017E3E4D" w14:textId="77777777" w:rsidTr="00EB4B7D">
        <w:tc>
          <w:tcPr>
            <w:tcW w:w="4111" w:type="dxa"/>
            <w:gridSpan w:val="3"/>
            <w:tcBorders>
              <w:top w:val="single" w:sz="8" w:space="0" w:color="DBE5F1" w:themeColor="accent1" w:themeTint="33"/>
              <w:bottom w:val="single" w:sz="8" w:space="0" w:color="DBE5F1" w:themeColor="accent1" w:themeTint="33"/>
            </w:tcBorders>
          </w:tcPr>
          <w:p w14:paraId="7AFC8190" w14:textId="5E2A1BA7" w:rsidR="003026DF" w:rsidRPr="00683A7B" w:rsidRDefault="003026DF" w:rsidP="003026DF">
            <w:pPr>
              <w:jc w:val="both"/>
              <w:rPr>
                <w:rFonts w:ascii="Calibri" w:eastAsia="Calibri" w:hAnsi="Calibri" w:cs="Times New Roman"/>
                <w:sz w:val="20"/>
                <w:szCs w:val="20"/>
              </w:rPr>
            </w:pPr>
            <w:r>
              <w:rPr>
                <w:sz w:val="20"/>
                <w:szCs w:val="20"/>
              </w:rPr>
              <w:t>Exempt drinks</w:t>
            </w:r>
          </w:p>
        </w:tc>
        <w:tc>
          <w:tcPr>
            <w:tcW w:w="2125" w:type="dxa"/>
            <w:tcBorders>
              <w:top w:val="single" w:sz="8" w:space="0" w:color="DBE5F1" w:themeColor="accent1" w:themeTint="33"/>
              <w:bottom w:val="single" w:sz="8" w:space="0" w:color="DBE5F1" w:themeColor="accent1" w:themeTint="33"/>
            </w:tcBorders>
          </w:tcPr>
          <w:p w14:paraId="4403636E" w14:textId="77777777" w:rsidR="003026DF" w:rsidRDefault="003026DF" w:rsidP="00443CC5">
            <w:pPr>
              <w:jc w:val="center"/>
              <w:rPr>
                <w:sz w:val="20"/>
                <w:szCs w:val="20"/>
              </w:rPr>
            </w:pPr>
          </w:p>
        </w:tc>
        <w:tc>
          <w:tcPr>
            <w:tcW w:w="2764" w:type="dxa"/>
            <w:gridSpan w:val="2"/>
            <w:tcBorders>
              <w:top w:val="single" w:sz="8" w:space="0" w:color="DBE5F1" w:themeColor="accent1" w:themeTint="33"/>
              <w:bottom w:val="single" w:sz="8" w:space="0" w:color="DBE5F1" w:themeColor="accent1" w:themeTint="33"/>
            </w:tcBorders>
          </w:tcPr>
          <w:p w14:paraId="510A3F03" w14:textId="77777777" w:rsidR="003026DF" w:rsidRPr="009C1672" w:rsidRDefault="003026DF" w:rsidP="00443CC5">
            <w:pPr>
              <w:jc w:val="center"/>
              <w:rPr>
                <w:sz w:val="20"/>
                <w:szCs w:val="20"/>
              </w:rPr>
            </w:pPr>
          </w:p>
        </w:tc>
        <w:tc>
          <w:tcPr>
            <w:tcW w:w="2125" w:type="dxa"/>
            <w:tcBorders>
              <w:top w:val="single" w:sz="8" w:space="0" w:color="DBE5F1" w:themeColor="accent1" w:themeTint="33"/>
              <w:bottom w:val="single" w:sz="8" w:space="0" w:color="DBE5F1" w:themeColor="accent1" w:themeTint="33"/>
            </w:tcBorders>
          </w:tcPr>
          <w:p w14:paraId="11203DF2" w14:textId="77777777" w:rsidR="003026DF" w:rsidRPr="009C1672" w:rsidRDefault="003026DF" w:rsidP="00443CC5">
            <w:pPr>
              <w:jc w:val="center"/>
              <w:rPr>
                <w:sz w:val="20"/>
                <w:szCs w:val="20"/>
              </w:rPr>
            </w:pPr>
          </w:p>
        </w:tc>
        <w:tc>
          <w:tcPr>
            <w:tcW w:w="2126" w:type="dxa"/>
            <w:tcBorders>
              <w:top w:val="single" w:sz="8" w:space="0" w:color="DBE5F1" w:themeColor="accent1" w:themeTint="33"/>
              <w:bottom w:val="single" w:sz="8" w:space="0" w:color="DBE5F1" w:themeColor="accent1" w:themeTint="33"/>
            </w:tcBorders>
          </w:tcPr>
          <w:p w14:paraId="1CF516F4" w14:textId="77777777" w:rsidR="003026DF" w:rsidRPr="009C1672" w:rsidRDefault="003026DF" w:rsidP="00443CC5">
            <w:pPr>
              <w:jc w:val="center"/>
              <w:rPr>
                <w:sz w:val="20"/>
                <w:szCs w:val="20"/>
              </w:rPr>
            </w:pPr>
          </w:p>
        </w:tc>
      </w:tr>
      <w:tr w:rsidR="003026DF" w:rsidRPr="009C1672" w14:paraId="1ABDF1F1" w14:textId="77777777" w:rsidTr="00EB4B7D">
        <w:tc>
          <w:tcPr>
            <w:tcW w:w="4111" w:type="dxa"/>
            <w:gridSpan w:val="3"/>
            <w:tcBorders>
              <w:top w:val="single" w:sz="8" w:space="0" w:color="DBE5F1" w:themeColor="accent1" w:themeTint="33"/>
              <w:bottom w:val="single" w:sz="8" w:space="0" w:color="DBE5F1" w:themeColor="accent1" w:themeTint="33"/>
            </w:tcBorders>
          </w:tcPr>
          <w:p w14:paraId="1BF6F890" w14:textId="34C47992" w:rsidR="003026DF" w:rsidRDefault="003026DF" w:rsidP="003026DF">
            <w:pPr>
              <w:ind w:firstLine="318"/>
              <w:jc w:val="both"/>
              <w:rPr>
                <w:sz w:val="20"/>
                <w:szCs w:val="20"/>
              </w:rPr>
            </w:pPr>
            <w:r w:rsidRPr="00683A7B">
              <w:rPr>
                <w:rFonts w:ascii="Calibri" w:eastAsia="Calibri" w:hAnsi="Calibri" w:cs="Times New Roman"/>
                <w:sz w:val="20"/>
                <w:szCs w:val="20"/>
              </w:rPr>
              <w:t>Alcohol</w:t>
            </w:r>
            <w:r>
              <w:rPr>
                <w:rFonts w:ascii="Calibri" w:eastAsia="Calibri" w:hAnsi="Calibri" w:cs="Times New Roman"/>
                <w:sz w:val="20"/>
                <w:szCs w:val="20"/>
              </w:rPr>
              <w:t>ic drinks</w:t>
            </w:r>
          </w:p>
        </w:tc>
        <w:tc>
          <w:tcPr>
            <w:tcW w:w="2125" w:type="dxa"/>
            <w:tcBorders>
              <w:top w:val="single" w:sz="8" w:space="0" w:color="DBE5F1" w:themeColor="accent1" w:themeTint="33"/>
              <w:bottom w:val="single" w:sz="8" w:space="0" w:color="DBE5F1" w:themeColor="accent1" w:themeTint="33"/>
            </w:tcBorders>
          </w:tcPr>
          <w:p w14:paraId="6CAA6867" w14:textId="7FD3D04C" w:rsidR="003026DF" w:rsidRDefault="009A3BB7" w:rsidP="004C6841">
            <w:pPr>
              <w:jc w:val="center"/>
              <w:rPr>
                <w:sz w:val="20"/>
                <w:szCs w:val="20"/>
              </w:rPr>
            </w:pPr>
            <w:r>
              <w:rPr>
                <w:sz w:val="20"/>
                <w:szCs w:val="20"/>
              </w:rPr>
              <w:t>-12.4</w:t>
            </w:r>
            <w:r w:rsidR="003026DF" w:rsidRPr="009C1672">
              <w:rPr>
                <w:sz w:val="20"/>
                <w:szCs w:val="20"/>
              </w:rPr>
              <w:t xml:space="preserve"> (-</w:t>
            </w:r>
            <w:r w:rsidR="00A40E37">
              <w:rPr>
                <w:sz w:val="20"/>
                <w:szCs w:val="20"/>
              </w:rPr>
              <w:t>1</w:t>
            </w:r>
            <w:r>
              <w:rPr>
                <w:sz w:val="20"/>
                <w:szCs w:val="20"/>
              </w:rPr>
              <w:t>47.3</w:t>
            </w:r>
            <w:r w:rsidR="003026DF" w:rsidRPr="009C1672">
              <w:rPr>
                <w:sz w:val="20"/>
                <w:szCs w:val="20"/>
              </w:rPr>
              <w:t xml:space="preserve">, </w:t>
            </w:r>
            <w:r w:rsidR="00A40E37">
              <w:rPr>
                <w:sz w:val="20"/>
                <w:szCs w:val="20"/>
              </w:rPr>
              <w:t>1</w:t>
            </w:r>
            <w:r>
              <w:rPr>
                <w:sz w:val="20"/>
                <w:szCs w:val="20"/>
              </w:rPr>
              <w:t>22.4</w:t>
            </w:r>
            <w:r w:rsidR="003026DF" w:rsidRPr="009C1672">
              <w:rPr>
                <w:sz w:val="20"/>
                <w:szCs w:val="20"/>
              </w:rPr>
              <w:t>)</w:t>
            </w:r>
          </w:p>
        </w:tc>
        <w:tc>
          <w:tcPr>
            <w:tcW w:w="2764" w:type="dxa"/>
            <w:gridSpan w:val="2"/>
            <w:tcBorders>
              <w:top w:val="single" w:sz="8" w:space="0" w:color="DBE5F1" w:themeColor="accent1" w:themeTint="33"/>
              <w:bottom w:val="single" w:sz="8" w:space="0" w:color="DBE5F1" w:themeColor="accent1" w:themeTint="33"/>
            </w:tcBorders>
          </w:tcPr>
          <w:p w14:paraId="60742B2E" w14:textId="06E877AA" w:rsidR="003026DF" w:rsidRPr="009C1672" w:rsidRDefault="003026DF" w:rsidP="00D4624F">
            <w:pPr>
              <w:jc w:val="center"/>
              <w:rPr>
                <w:sz w:val="20"/>
                <w:szCs w:val="20"/>
              </w:rPr>
            </w:pPr>
            <w:r w:rsidRPr="009C1672">
              <w:rPr>
                <w:sz w:val="20"/>
                <w:szCs w:val="20"/>
              </w:rPr>
              <w:t>-</w:t>
            </w:r>
            <w:r w:rsidR="009A3BB7">
              <w:rPr>
                <w:sz w:val="20"/>
                <w:szCs w:val="20"/>
              </w:rPr>
              <w:t>0.8</w:t>
            </w:r>
            <w:r w:rsidRPr="009C1672">
              <w:rPr>
                <w:sz w:val="20"/>
                <w:szCs w:val="20"/>
              </w:rPr>
              <w:t xml:space="preserve"> (-</w:t>
            </w:r>
            <w:r w:rsidR="009A3BB7">
              <w:rPr>
                <w:sz w:val="20"/>
                <w:szCs w:val="20"/>
              </w:rPr>
              <w:t>2.9</w:t>
            </w:r>
            <w:r w:rsidRPr="009C1672">
              <w:rPr>
                <w:sz w:val="20"/>
                <w:szCs w:val="20"/>
              </w:rPr>
              <w:t xml:space="preserve">, </w:t>
            </w:r>
            <w:r w:rsidR="00A40E37">
              <w:rPr>
                <w:sz w:val="20"/>
                <w:szCs w:val="20"/>
              </w:rPr>
              <w:t>1.3</w:t>
            </w:r>
            <w:r w:rsidRPr="009C1672">
              <w:rPr>
                <w:sz w:val="20"/>
                <w:szCs w:val="20"/>
              </w:rPr>
              <w:t>)</w:t>
            </w:r>
          </w:p>
        </w:tc>
        <w:tc>
          <w:tcPr>
            <w:tcW w:w="2125" w:type="dxa"/>
            <w:tcBorders>
              <w:top w:val="single" w:sz="8" w:space="0" w:color="DBE5F1" w:themeColor="accent1" w:themeTint="33"/>
              <w:bottom w:val="single" w:sz="8" w:space="0" w:color="DBE5F1" w:themeColor="accent1" w:themeTint="33"/>
            </w:tcBorders>
          </w:tcPr>
          <w:p w14:paraId="63A975FA" w14:textId="2701D97B" w:rsidR="003026DF" w:rsidRPr="009C1672" w:rsidRDefault="003026DF">
            <w:pPr>
              <w:jc w:val="center"/>
              <w:rPr>
                <w:sz w:val="20"/>
                <w:szCs w:val="20"/>
              </w:rPr>
            </w:pPr>
            <w:r w:rsidRPr="009C1672">
              <w:rPr>
                <w:sz w:val="20"/>
                <w:szCs w:val="20"/>
              </w:rPr>
              <w:t>-</w:t>
            </w:r>
            <w:r w:rsidR="00286652">
              <w:rPr>
                <w:sz w:val="20"/>
                <w:szCs w:val="20"/>
              </w:rPr>
              <w:t>99.0</w:t>
            </w:r>
            <w:r w:rsidRPr="009C1672">
              <w:rPr>
                <w:sz w:val="20"/>
                <w:szCs w:val="20"/>
              </w:rPr>
              <w:t xml:space="preserve"> (-</w:t>
            </w:r>
            <w:r w:rsidR="00286652">
              <w:rPr>
                <w:sz w:val="20"/>
                <w:szCs w:val="20"/>
              </w:rPr>
              <w:t>356.6</w:t>
            </w:r>
            <w:r w:rsidRPr="009C1672">
              <w:rPr>
                <w:sz w:val="20"/>
                <w:szCs w:val="20"/>
              </w:rPr>
              <w:t xml:space="preserve">, </w:t>
            </w:r>
            <w:r w:rsidR="00286652">
              <w:rPr>
                <w:sz w:val="20"/>
                <w:szCs w:val="20"/>
              </w:rPr>
              <w:t>158.5</w:t>
            </w:r>
            <w:r w:rsidRPr="009C1672">
              <w:rPr>
                <w:sz w:val="20"/>
                <w:szCs w:val="20"/>
              </w:rPr>
              <w:t>)</w:t>
            </w:r>
          </w:p>
        </w:tc>
        <w:tc>
          <w:tcPr>
            <w:tcW w:w="2126" w:type="dxa"/>
            <w:tcBorders>
              <w:top w:val="single" w:sz="8" w:space="0" w:color="DBE5F1" w:themeColor="accent1" w:themeTint="33"/>
              <w:bottom w:val="single" w:sz="8" w:space="0" w:color="DBE5F1" w:themeColor="accent1" w:themeTint="33"/>
            </w:tcBorders>
          </w:tcPr>
          <w:p w14:paraId="771FD1BB" w14:textId="259EB8DD" w:rsidR="003026DF" w:rsidRPr="009C1672" w:rsidRDefault="003026DF" w:rsidP="00EB4B7D">
            <w:pPr>
              <w:jc w:val="center"/>
              <w:rPr>
                <w:sz w:val="20"/>
                <w:szCs w:val="20"/>
              </w:rPr>
            </w:pPr>
            <w:r w:rsidRPr="009C1672">
              <w:rPr>
                <w:sz w:val="20"/>
                <w:szCs w:val="20"/>
              </w:rPr>
              <w:t>-</w:t>
            </w:r>
            <w:r w:rsidR="00796ED6">
              <w:rPr>
                <w:sz w:val="20"/>
                <w:szCs w:val="20"/>
              </w:rPr>
              <w:t>5.3</w:t>
            </w:r>
            <w:r w:rsidRPr="009C1672">
              <w:rPr>
                <w:sz w:val="20"/>
                <w:szCs w:val="20"/>
              </w:rPr>
              <w:t xml:space="preserve"> (-</w:t>
            </w:r>
            <w:r w:rsidR="00A40E37">
              <w:rPr>
                <w:sz w:val="20"/>
                <w:szCs w:val="20"/>
              </w:rPr>
              <w:t>18.</w:t>
            </w:r>
            <w:r w:rsidR="00796ED6">
              <w:rPr>
                <w:sz w:val="20"/>
                <w:szCs w:val="20"/>
              </w:rPr>
              <w:t>5</w:t>
            </w:r>
            <w:r w:rsidRPr="009C1672">
              <w:rPr>
                <w:sz w:val="20"/>
                <w:szCs w:val="20"/>
              </w:rPr>
              <w:t xml:space="preserve">, </w:t>
            </w:r>
            <w:r w:rsidR="00796ED6">
              <w:rPr>
                <w:sz w:val="20"/>
                <w:szCs w:val="20"/>
              </w:rPr>
              <w:t>7.8</w:t>
            </w:r>
            <w:r w:rsidRPr="009C1672">
              <w:rPr>
                <w:sz w:val="20"/>
                <w:szCs w:val="20"/>
              </w:rPr>
              <w:t>)</w:t>
            </w:r>
          </w:p>
        </w:tc>
      </w:tr>
      <w:tr w:rsidR="003026DF" w:rsidRPr="009C1672" w14:paraId="5F1CB1AA" w14:textId="77777777" w:rsidTr="00EB4B7D">
        <w:tc>
          <w:tcPr>
            <w:tcW w:w="4111" w:type="dxa"/>
            <w:gridSpan w:val="3"/>
            <w:tcBorders>
              <w:top w:val="single" w:sz="8" w:space="0" w:color="DBE5F1" w:themeColor="accent1" w:themeTint="33"/>
              <w:bottom w:val="single" w:sz="8" w:space="0" w:color="DBE5F1" w:themeColor="accent1" w:themeTint="33"/>
            </w:tcBorders>
          </w:tcPr>
          <w:p w14:paraId="671E3DAF" w14:textId="7078A47D" w:rsidR="003026DF" w:rsidRDefault="003026DF" w:rsidP="003026DF">
            <w:pPr>
              <w:ind w:firstLine="318"/>
              <w:jc w:val="both"/>
              <w:rPr>
                <w:sz w:val="20"/>
                <w:szCs w:val="20"/>
              </w:rPr>
            </w:pPr>
            <w:r w:rsidRPr="00683A7B">
              <w:rPr>
                <w:rFonts w:ascii="Calibri" w:eastAsia="Calibri" w:hAnsi="Calibri" w:cs="Times New Roman"/>
                <w:sz w:val="20"/>
                <w:szCs w:val="20"/>
              </w:rPr>
              <w:t>Milk and milk based drinks</w:t>
            </w:r>
          </w:p>
        </w:tc>
        <w:tc>
          <w:tcPr>
            <w:tcW w:w="2125" w:type="dxa"/>
            <w:tcBorders>
              <w:top w:val="single" w:sz="8" w:space="0" w:color="DBE5F1" w:themeColor="accent1" w:themeTint="33"/>
              <w:bottom w:val="single" w:sz="8" w:space="0" w:color="DBE5F1" w:themeColor="accent1" w:themeTint="33"/>
            </w:tcBorders>
          </w:tcPr>
          <w:p w14:paraId="0E314B54" w14:textId="7D99A7AB" w:rsidR="003026DF" w:rsidRPr="004C6841" w:rsidRDefault="009A3BB7" w:rsidP="004C6841">
            <w:pPr>
              <w:jc w:val="center"/>
              <w:rPr>
                <w:sz w:val="20"/>
                <w:szCs w:val="20"/>
              </w:rPr>
            </w:pPr>
            <w:r w:rsidRPr="00AE6F97">
              <w:rPr>
                <w:sz w:val="20"/>
                <w:szCs w:val="20"/>
              </w:rPr>
              <w:t>-59.8</w:t>
            </w:r>
            <w:r w:rsidR="003026DF" w:rsidRPr="00AE6F97">
              <w:rPr>
                <w:sz w:val="20"/>
                <w:szCs w:val="20"/>
              </w:rPr>
              <w:t xml:space="preserve"> (-</w:t>
            </w:r>
            <w:r w:rsidRPr="00AE6F97">
              <w:rPr>
                <w:sz w:val="20"/>
                <w:szCs w:val="20"/>
              </w:rPr>
              <w:t>160.7</w:t>
            </w:r>
            <w:r w:rsidR="003026DF" w:rsidRPr="00AE6F97">
              <w:rPr>
                <w:sz w:val="20"/>
                <w:szCs w:val="20"/>
              </w:rPr>
              <w:t xml:space="preserve">, </w:t>
            </w:r>
            <w:r w:rsidRPr="00AE6F97">
              <w:rPr>
                <w:sz w:val="20"/>
                <w:szCs w:val="20"/>
              </w:rPr>
              <w:t>41.1</w:t>
            </w:r>
            <w:r w:rsidR="003026DF" w:rsidRPr="00AE6F97">
              <w:rPr>
                <w:sz w:val="20"/>
                <w:szCs w:val="20"/>
              </w:rPr>
              <w:t>)</w:t>
            </w:r>
          </w:p>
        </w:tc>
        <w:tc>
          <w:tcPr>
            <w:tcW w:w="2764" w:type="dxa"/>
            <w:gridSpan w:val="2"/>
            <w:tcBorders>
              <w:top w:val="single" w:sz="8" w:space="0" w:color="DBE5F1" w:themeColor="accent1" w:themeTint="33"/>
              <w:bottom w:val="single" w:sz="8" w:space="0" w:color="DBE5F1" w:themeColor="accent1" w:themeTint="33"/>
            </w:tcBorders>
          </w:tcPr>
          <w:p w14:paraId="14238672" w14:textId="5A4F26CB" w:rsidR="003026DF" w:rsidRPr="00AE6F97" w:rsidRDefault="003026DF" w:rsidP="004C6841">
            <w:pPr>
              <w:jc w:val="center"/>
              <w:rPr>
                <w:b/>
                <w:sz w:val="20"/>
                <w:szCs w:val="20"/>
              </w:rPr>
            </w:pPr>
            <w:r w:rsidRPr="00AE6F97">
              <w:rPr>
                <w:b/>
                <w:sz w:val="20"/>
                <w:szCs w:val="20"/>
              </w:rPr>
              <w:t>-</w:t>
            </w:r>
            <w:r w:rsidR="009A3BB7" w:rsidRPr="00AE6F97">
              <w:rPr>
                <w:b/>
                <w:sz w:val="20"/>
                <w:szCs w:val="20"/>
              </w:rPr>
              <w:t>2</w:t>
            </w:r>
            <w:r w:rsidRPr="00AE6F97">
              <w:rPr>
                <w:b/>
                <w:sz w:val="20"/>
                <w:szCs w:val="20"/>
              </w:rPr>
              <w:t>.</w:t>
            </w:r>
            <w:r w:rsidR="009A3BB7" w:rsidRPr="00AE6F97">
              <w:rPr>
                <w:b/>
                <w:sz w:val="20"/>
                <w:szCs w:val="20"/>
              </w:rPr>
              <w:t>5</w:t>
            </w:r>
            <w:r w:rsidRPr="00AE6F97">
              <w:rPr>
                <w:b/>
                <w:sz w:val="20"/>
                <w:szCs w:val="20"/>
              </w:rPr>
              <w:t xml:space="preserve"> (-4.2, </w:t>
            </w:r>
            <w:r w:rsidR="009A3BB7" w:rsidRPr="00AE6F97">
              <w:rPr>
                <w:b/>
                <w:sz w:val="20"/>
                <w:szCs w:val="20"/>
              </w:rPr>
              <w:t>-</w:t>
            </w:r>
            <w:r w:rsidRPr="00AE6F97">
              <w:rPr>
                <w:b/>
                <w:sz w:val="20"/>
                <w:szCs w:val="20"/>
              </w:rPr>
              <w:t>0.7)</w:t>
            </w:r>
          </w:p>
        </w:tc>
        <w:tc>
          <w:tcPr>
            <w:tcW w:w="2125" w:type="dxa"/>
            <w:tcBorders>
              <w:top w:val="single" w:sz="8" w:space="0" w:color="DBE5F1" w:themeColor="accent1" w:themeTint="33"/>
              <w:bottom w:val="single" w:sz="8" w:space="0" w:color="DBE5F1" w:themeColor="accent1" w:themeTint="33"/>
            </w:tcBorders>
          </w:tcPr>
          <w:p w14:paraId="31E98E58" w14:textId="2C702092" w:rsidR="003026DF" w:rsidRPr="009C1672" w:rsidRDefault="003026DF" w:rsidP="00D4624F">
            <w:pPr>
              <w:jc w:val="center"/>
              <w:rPr>
                <w:sz w:val="20"/>
                <w:szCs w:val="20"/>
              </w:rPr>
            </w:pPr>
            <w:r w:rsidRPr="00C9271D">
              <w:rPr>
                <w:b/>
                <w:sz w:val="20"/>
                <w:szCs w:val="20"/>
              </w:rPr>
              <w:t>-3</w:t>
            </w:r>
            <w:r w:rsidR="00286652">
              <w:rPr>
                <w:b/>
                <w:sz w:val="20"/>
                <w:szCs w:val="20"/>
              </w:rPr>
              <w:t>17.5</w:t>
            </w:r>
            <w:r w:rsidRPr="00C9271D">
              <w:rPr>
                <w:b/>
                <w:sz w:val="20"/>
                <w:szCs w:val="20"/>
              </w:rPr>
              <w:t xml:space="preserve"> (-</w:t>
            </w:r>
            <w:r w:rsidR="00286652">
              <w:rPr>
                <w:b/>
                <w:sz w:val="20"/>
                <w:szCs w:val="20"/>
              </w:rPr>
              <w:t>521.5</w:t>
            </w:r>
            <w:r w:rsidRPr="00C9271D">
              <w:rPr>
                <w:b/>
                <w:sz w:val="20"/>
                <w:szCs w:val="20"/>
              </w:rPr>
              <w:t>, -</w:t>
            </w:r>
            <w:r w:rsidR="00286652">
              <w:rPr>
                <w:b/>
                <w:sz w:val="20"/>
                <w:szCs w:val="20"/>
              </w:rPr>
              <w:t>113.4</w:t>
            </w:r>
            <w:r w:rsidRPr="00C9271D">
              <w:rPr>
                <w:b/>
                <w:sz w:val="20"/>
                <w:szCs w:val="20"/>
              </w:rPr>
              <w:t>)</w:t>
            </w:r>
          </w:p>
        </w:tc>
        <w:tc>
          <w:tcPr>
            <w:tcW w:w="2126" w:type="dxa"/>
            <w:tcBorders>
              <w:top w:val="single" w:sz="8" w:space="0" w:color="DBE5F1" w:themeColor="accent1" w:themeTint="33"/>
              <w:bottom w:val="single" w:sz="8" w:space="0" w:color="DBE5F1" w:themeColor="accent1" w:themeTint="33"/>
            </w:tcBorders>
          </w:tcPr>
          <w:p w14:paraId="68069205" w14:textId="419BD615" w:rsidR="003026DF" w:rsidRPr="009C1672" w:rsidRDefault="003026DF">
            <w:pPr>
              <w:jc w:val="center"/>
              <w:rPr>
                <w:sz w:val="20"/>
                <w:szCs w:val="20"/>
              </w:rPr>
            </w:pPr>
            <w:r w:rsidRPr="009C1672">
              <w:rPr>
                <w:b/>
                <w:sz w:val="20"/>
                <w:szCs w:val="20"/>
              </w:rPr>
              <w:t>-</w:t>
            </w:r>
            <w:r w:rsidR="00796ED6">
              <w:rPr>
                <w:b/>
                <w:sz w:val="20"/>
                <w:szCs w:val="20"/>
              </w:rPr>
              <w:t>8.9</w:t>
            </w:r>
            <w:r w:rsidRPr="009C1672">
              <w:rPr>
                <w:b/>
                <w:sz w:val="20"/>
                <w:szCs w:val="20"/>
              </w:rPr>
              <w:t xml:space="preserve"> (-</w:t>
            </w:r>
            <w:r>
              <w:rPr>
                <w:b/>
                <w:sz w:val="20"/>
                <w:szCs w:val="20"/>
              </w:rPr>
              <w:t>1</w:t>
            </w:r>
            <w:r w:rsidR="00796ED6">
              <w:rPr>
                <w:b/>
                <w:sz w:val="20"/>
                <w:szCs w:val="20"/>
              </w:rPr>
              <w:t>4.1</w:t>
            </w:r>
            <w:r w:rsidRPr="009C1672">
              <w:rPr>
                <w:b/>
                <w:sz w:val="20"/>
                <w:szCs w:val="20"/>
              </w:rPr>
              <w:t>, -</w:t>
            </w:r>
            <w:r w:rsidR="00796ED6">
              <w:rPr>
                <w:b/>
                <w:sz w:val="20"/>
                <w:szCs w:val="20"/>
              </w:rPr>
              <w:t>3.6</w:t>
            </w:r>
            <w:r w:rsidRPr="009C1672">
              <w:rPr>
                <w:b/>
                <w:sz w:val="20"/>
                <w:szCs w:val="20"/>
              </w:rPr>
              <w:t>)</w:t>
            </w:r>
          </w:p>
        </w:tc>
      </w:tr>
      <w:tr w:rsidR="003026DF" w:rsidRPr="009C1672" w14:paraId="33BE3DCD" w14:textId="77777777" w:rsidTr="00EB4B7D">
        <w:tc>
          <w:tcPr>
            <w:tcW w:w="4111" w:type="dxa"/>
            <w:gridSpan w:val="3"/>
            <w:tcBorders>
              <w:top w:val="single" w:sz="8" w:space="0" w:color="DBE5F1" w:themeColor="accent1" w:themeTint="33"/>
              <w:bottom w:val="single" w:sz="8" w:space="0" w:color="DBE5F1" w:themeColor="accent1" w:themeTint="33"/>
            </w:tcBorders>
          </w:tcPr>
          <w:p w14:paraId="61A71E7B" w14:textId="5F4B3011" w:rsidR="003026DF" w:rsidRDefault="003026DF" w:rsidP="003026DF">
            <w:pPr>
              <w:ind w:firstLine="318"/>
              <w:jc w:val="both"/>
              <w:rPr>
                <w:sz w:val="20"/>
                <w:szCs w:val="20"/>
              </w:rPr>
            </w:pPr>
            <w:r w:rsidRPr="00683A7B">
              <w:rPr>
                <w:rFonts w:ascii="Calibri" w:eastAsia="Calibri" w:hAnsi="Calibri" w:cs="Times New Roman"/>
                <w:sz w:val="20"/>
                <w:szCs w:val="20"/>
              </w:rPr>
              <w:t>No added sugar fruit juice</w:t>
            </w:r>
            <w:r>
              <w:rPr>
                <w:rFonts w:ascii="Calibri" w:eastAsia="Calibri" w:hAnsi="Calibri" w:cs="Times New Roman"/>
                <w:sz w:val="20"/>
                <w:szCs w:val="20"/>
              </w:rPr>
              <w:t>s</w:t>
            </w:r>
          </w:p>
        </w:tc>
        <w:tc>
          <w:tcPr>
            <w:tcW w:w="2125" w:type="dxa"/>
            <w:tcBorders>
              <w:top w:val="single" w:sz="8" w:space="0" w:color="DBE5F1" w:themeColor="accent1" w:themeTint="33"/>
              <w:bottom w:val="single" w:sz="8" w:space="0" w:color="DBE5F1" w:themeColor="accent1" w:themeTint="33"/>
            </w:tcBorders>
          </w:tcPr>
          <w:p w14:paraId="63494CB8" w14:textId="3CD602DC" w:rsidR="003026DF" w:rsidRDefault="00D43F11" w:rsidP="004C6841">
            <w:pPr>
              <w:jc w:val="center"/>
              <w:rPr>
                <w:sz w:val="20"/>
                <w:szCs w:val="20"/>
              </w:rPr>
            </w:pPr>
            <w:r>
              <w:rPr>
                <w:sz w:val="20"/>
                <w:szCs w:val="20"/>
              </w:rPr>
              <w:t>6.</w:t>
            </w:r>
            <w:r w:rsidR="009A3BB7">
              <w:rPr>
                <w:sz w:val="20"/>
                <w:szCs w:val="20"/>
              </w:rPr>
              <w:t>3</w:t>
            </w:r>
            <w:r w:rsidR="003026DF" w:rsidRPr="009C1672">
              <w:rPr>
                <w:sz w:val="20"/>
                <w:szCs w:val="20"/>
              </w:rPr>
              <w:t xml:space="preserve"> (-</w:t>
            </w:r>
            <w:r>
              <w:rPr>
                <w:sz w:val="20"/>
                <w:szCs w:val="20"/>
              </w:rPr>
              <w:t>1</w:t>
            </w:r>
            <w:r w:rsidR="003026DF">
              <w:rPr>
                <w:sz w:val="20"/>
                <w:szCs w:val="20"/>
              </w:rPr>
              <w:t>7.</w:t>
            </w:r>
            <w:r w:rsidR="009A3BB7">
              <w:rPr>
                <w:sz w:val="20"/>
                <w:szCs w:val="20"/>
              </w:rPr>
              <w:t>8</w:t>
            </w:r>
            <w:r w:rsidR="003026DF" w:rsidRPr="009C1672">
              <w:rPr>
                <w:sz w:val="20"/>
                <w:szCs w:val="20"/>
              </w:rPr>
              <w:t xml:space="preserve">, </w:t>
            </w:r>
            <w:r>
              <w:rPr>
                <w:sz w:val="20"/>
                <w:szCs w:val="20"/>
              </w:rPr>
              <w:t>3</w:t>
            </w:r>
            <w:r w:rsidR="009A3BB7">
              <w:rPr>
                <w:sz w:val="20"/>
                <w:szCs w:val="20"/>
              </w:rPr>
              <w:t>4</w:t>
            </w:r>
            <w:r>
              <w:rPr>
                <w:sz w:val="20"/>
                <w:szCs w:val="20"/>
              </w:rPr>
              <w:t>.0</w:t>
            </w:r>
            <w:r w:rsidR="003026DF" w:rsidRPr="009C1672">
              <w:rPr>
                <w:sz w:val="20"/>
                <w:szCs w:val="20"/>
              </w:rPr>
              <w:t>)</w:t>
            </w:r>
          </w:p>
        </w:tc>
        <w:tc>
          <w:tcPr>
            <w:tcW w:w="2764" w:type="dxa"/>
            <w:gridSpan w:val="2"/>
            <w:tcBorders>
              <w:top w:val="single" w:sz="8" w:space="0" w:color="DBE5F1" w:themeColor="accent1" w:themeTint="33"/>
              <w:bottom w:val="single" w:sz="8" w:space="0" w:color="DBE5F1" w:themeColor="accent1" w:themeTint="33"/>
            </w:tcBorders>
          </w:tcPr>
          <w:p w14:paraId="0E11083D" w14:textId="78C90937" w:rsidR="003026DF" w:rsidRPr="009C1672" w:rsidRDefault="003026DF" w:rsidP="00443CC5">
            <w:pPr>
              <w:jc w:val="center"/>
              <w:rPr>
                <w:sz w:val="20"/>
                <w:szCs w:val="20"/>
              </w:rPr>
            </w:pPr>
            <w:r w:rsidRPr="009C1672">
              <w:rPr>
                <w:b/>
                <w:sz w:val="20"/>
                <w:szCs w:val="20"/>
              </w:rPr>
              <w:t>0.</w:t>
            </w:r>
            <w:r>
              <w:rPr>
                <w:b/>
                <w:sz w:val="20"/>
                <w:szCs w:val="20"/>
              </w:rPr>
              <w:t>0</w:t>
            </w:r>
            <w:r w:rsidR="00D43F11">
              <w:rPr>
                <w:b/>
                <w:sz w:val="20"/>
                <w:szCs w:val="20"/>
              </w:rPr>
              <w:t>1</w:t>
            </w:r>
            <w:r w:rsidRPr="009C1672">
              <w:rPr>
                <w:b/>
                <w:sz w:val="20"/>
                <w:szCs w:val="20"/>
              </w:rPr>
              <w:t xml:space="preserve"> (0.01, 0.0</w:t>
            </w:r>
            <w:r w:rsidR="00D43F11">
              <w:rPr>
                <w:b/>
                <w:sz w:val="20"/>
                <w:szCs w:val="20"/>
              </w:rPr>
              <w:t>2</w:t>
            </w:r>
            <w:r w:rsidRPr="009C1672">
              <w:rPr>
                <w:b/>
                <w:sz w:val="20"/>
                <w:szCs w:val="20"/>
              </w:rPr>
              <w:t>)</w:t>
            </w:r>
          </w:p>
        </w:tc>
        <w:tc>
          <w:tcPr>
            <w:tcW w:w="2125" w:type="dxa"/>
            <w:tcBorders>
              <w:top w:val="single" w:sz="8" w:space="0" w:color="DBE5F1" w:themeColor="accent1" w:themeTint="33"/>
              <w:bottom w:val="single" w:sz="8" w:space="0" w:color="DBE5F1" w:themeColor="accent1" w:themeTint="33"/>
            </w:tcBorders>
          </w:tcPr>
          <w:p w14:paraId="3E75B406" w14:textId="7FA3A8C0" w:rsidR="003026DF" w:rsidRPr="009C1672" w:rsidRDefault="003026DF" w:rsidP="004C6841">
            <w:pPr>
              <w:jc w:val="center"/>
              <w:rPr>
                <w:sz w:val="20"/>
                <w:szCs w:val="20"/>
              </w:rPr>
            </w:pPr>
            <w:r w:rsidRPr="009C1672">
              <w:rPr>
                <w:sz w:val="20"/>
                <w:szCs w:val="20"/>
              </w:rPr>
              <w:t>1</w:t>
            </w:r>
            <w:r w:rsidR="00286652">
              <w:rPr>
                <w:sz w:val="20"/>
                <w:szCs w:val="20"/>
              </w:rPr>
              <w:t>4.8</w:t>
            </w:r>
            <w:r w:rsidRPr="009C1672">
              <w:rPr>
                <w:sz w:val="20"/>
                <w:szCs w:val="20"/>
              </w:rPr>
              <w:t xml:space="preserve"> (-</w:t>
            </w:r>
            <w:r w:rsidR="00092FE2">
              <w:rPr>
                <w:sz w:val="20"/>
                <w:szCs w:val="20"/>
              </w:rPr>
              <w:t>27.</w:t>
            </w:r>
            <w:r w:rsidR="00286652">
              <w:rPr>
                <w:sz w:val="20"/>
                <w:szCs w:val="20"/>
              </w:rPr>
              <w:t>6</w:t>
            </w:r>
            <w:r w:rsidRPr="009C1672">
              <w:rPr>
                <w:sz w:val="20"/>
                <w:szCs w:val="20"/>
              </w:rPr>
              <w:t xml:space="preserve">, </w:t>
            </w:r>
            <w:r w:rsidR="00092FE2">
              <w:rPr>
                <w:sz w:val="20"/>
                <w:szCs w:val="20"/>
              </w:rPr>
              <w:t>5</w:t>
            </w:r>
            <w:r w:rsidR="00286652">
              <w:rPr>
                <w:sz w:val="20"/>
                <w:szCs w:val="20"/>
              </w:rPr>
              <w:t>7.3</w:t>
            </w:r>
            <w:r w:rsidRPr="009C1672">
              <w:rPr>
                <w:sz w:val="20"/>
                <w:szCs w:val="20"/>
              </w:rPr>
              <w:t>)</w:t>
            </w:r>
          </w:p>
        </w:tc>
        <w:tc>
          <w:tcPr>
            <w:tcW w:w="2126" w:type="dxa"/>
            <w:tcBorders>
              <w:top w:val="single" w:sz="8" w:space="0" w:color="DBE5F1" w:themeColor="accent1" w:themeTint="33"/>
              <w:bottom w:val="single" w:sz="8" w:space="0" w:color="DBE5F1" w:themeColor="accent1" w:themeTint="33"/>
            </w:tcBorders>
          </w:tcPr>
          <w:p w14:paraId="448815EF" w14:textId="6302A40C" w:rsidR="003026DF" w:rsidRPr="009C1672" w:rsidRDefault="006D1186" w:rsidP="00EB4B7D">
            <w:pPr>
              <w:jc w:val="center"/>
              <w:rPr>
                <w:sz w:val="20"/>
                <w:szCs w:val="20"/>
              </w:rPr>
            </w:pPr>
            <w:r>
              <w:rPr>
                <w:sz w:val="20"/>
                <w:szCs w:val="20"/>
              </w:rPr>
              <w:t>3.</w:t>
            </w:r>
            <w:r w:rsidR="00796ED6">
              <w:rPr>
                <w:sz w:val="20"/>
                <w:szCs w:val="20"/>
              </w:rPr>
              <w:t>0</w:t>
            </w:r>
            <w:r w:rsidR="003026DF" w:rsidRPr="009C1672">
              <w:rPr>
                <w:sz w:val="20"/>
                <w:szCs w:val="20"/>
              </w:rPr>
              <w:t xml:space="preserve"> (-</w:t>
            </w:r>
            <w:r>
              <w:rPr>
                <w:sz w:val="20"/>
                <w:szCs w:val="20"/>
              </w:rPr>
              <w:t>5.</w:t>
            </w:r>
            <w:r w:rsidR="00796ED6">
              <w:rPr>
                <w:sz w:val="20"/>
                <w:szCs w:val="20"/>
              </w:rPr>
              <w:t>9</w:t>
            </w:r>
            <w:r w:rsidR="003026DF" w:rsidRPr="009C1672">
              <w:rPr>
                <w:sz w:val="20"/>
                <w:szCs w:val="20"/>
              </w:rPr>
              <w:t xml:space="preserve">, </w:t>
            </w:r>
            <w:r w:rsidR="003026DF">
              <w:rPr>
                <w:sz w:val="20"/>
                <w:szCs w:val="20"/>
              </w:rPr>
              <w:t>1</w:t>
            </w:r>
            <w:r>
              <w:rPr>
                <w:sz w:val="20"/>
                <w:szCs w:val="20"/>
              </w:rPr>
              <w:t>2.</w:t>
            </w:r>
            <w:r w:rsidR="00796ED6">
              <w:rPr>
                <w:sz w:val="20"/>
                <w:szCs w:val="20"/>
              </w:rPr>
              <w:t>0</w:t>
            </w:r>
            <w:r w:rsidR="003026DF" w:rsidRPr="009C1672">
              <w:rPr>
                <w:sz w:val="20"/>
                <w:szCs w:val="20"/>
              </w:rPr>
              <w:t>)</w:t>
            </w:r>
          </w:p>
        </w:tc>
      </w:tr>
      <w:tr w:rsidR="003026DF" w:rsidRPr="009C1672" w14:paraId="47B15D60" w14:textId="77777777" w:rsidTr="00EB4B7D">
        <w:tc>
          <w:tcPr>
            <w:tcW w:w="4111" w:type="dxa"/>
            <w:gridSpan w:val="3"/>
            <w:tcBorders>
              <w:top w:val="single" w:sz="8" w:space="0" w:color="DBE5F1" w:themeColor="accent1" w:themeTint="33"/>
              <w:bottom w:val="single" w:sz="8" w:space="0" w:color="DBE5F1" w:themeColor="accent1" w:themeTint="33"/>
            </w:tcBorders>
          </w:tcPr>
          <w:p w14:paraId="6060D92E" w14:textId="627FE24D" w:rsidR="003026DF" w:rsidRDefault="003026DF" w:rsidP="003026DF">
            <w:pPr>
              <w:ind w:firstLine="318"/>
              <w:jc w:val="both"/>
              <w:rPr>
                <w:sz w:val="20"/>
                <w:szCs w:val="20"/>
              </w:rPr>
            </w:pPr>
            <w:r w:rsidRPr="00683A7B">
              <w:rPr>
                <w:rFonts w:ascii="Calibri" w:eastAsia="Calibri" w:hAnsi="Calibri" w:cs="Times New Roman"/>
                <w:sz w:val="20"/>
                <w:szCs w:val="20"/>
              </w:rPr>
              <w:t>Drinks sold as a powder</w:t>
            </w:r>
            <w:r w:rsidRPr="00683A7B">
              <w:rPr>
                <w:rFonts w:ascii="Calibri" w:eastAsia="Calibri" w:hAnsi="Calibri" w:cs="Times New Roman"/>
                <w:sz w:val="20"/>
                <w:szCs w:val="20"/>
                <w:vertAlign w:val="superscript"/>
              </w:rPr>
              <w:t xml:space="preserve"> </w:t>
            </w:r>
            <w:r w:rsidRPr="00683A7B">
              <w:rPr>
                <w:rFonts w:ascii="Calibri" w:eastAsia="Calibri" w:hAnsi="Calibri" w:cs="Times New Roman"/>
                <w:sz w:val="20"/>
                <w:szCs w:val="20"/>
              </w:rPr>
              <w:t>(g)</w:t>
            </w:r>
          </w:p>
        </w:tc>
        <w:tc>
          <w:tcPr>
            <w:tcW w:w="2125" w:type="dxa"/>
            <w:tcBorders>
              <w:top w:val="single" w:sz="8" w:space="0" w:color="DBE5F1" w:themeColor="accent1" w:themeTint="33"/>
              <w:bottom w:val="single" w:sz="8" w:space="0" w:color="DBE5F1" w:themeColor="accent1" w:themeTint="33"/>
            </w:tcBorders>
          </w:tcPr>
          <w:p w14:paraId="7E78B08B" w14:textId="0CA15337" w:rsidR="003026DF" w:rsidRDefault="003026DF" w:rsidP="004C6841">
            <w:pPr>
              <w:jc w:val="center"/>
              <w:rPr>
                <w:sz w:val="20"/>
                <w:szCs w:val="20"/>
              </w:rPr>
            </w:pPr>
            <w:r>
              <w:rPr>
                <w:sz w:val="20"/>
                <w:szCs w:val="20"/>
              </w:rPr>
              <w:t>-</w:t>
            </w:r>
            <w:r w:rsidR="009A3BB7">
              <w:rPr>
                <w:sz w:val="20"/>
                <w:szCs w:val="20"/>
              </w:rPr>
              <w:t>1.7</w:t>
            </w:r>
            <w:r w:rsidRPr="009C1672">
              <w:rPr>
                <w:sz w:val="20"/>
                <w:szCs w:val="20"/>
              </w:rPr>
              <w:t xml:space="preserve"> (-</w:t>
            </w:r>
            <w:r w:rsidR="009A3BB7">
              <w:rPr>
                <w:sz w:val="20"/>
                <w:szCs w:val="20"/>
              </w:rPr>
              <w:t>11.2</w:t>
            </w:r>
            <w:r w:rsidRPr="009C1672">
              <w:rPr>
                <w:sz w:val="20"/>
                <w:szCs w:val="20"/>
              </w:rPr>
              <w:t xml:space="preserve">, </w:t>
            </w:r>
            <w:r w:rsidR="009A3BB7">
              <w:rPr>
                <w:sz w:val="20"/>
                <w:szCs w:val="20"/>
              </w:rPr>
              <w:t>7.8</w:t>
            </w:r>
            <w:r w:rsidRPr="009C1672">
              <w:rPr>
                <w:sz w:val="20"/>
                <w:szCs w:val="20"/>
              </w:rPr>
              <w:t>)</w:t>
            </w:r>
          </w:p>
        </w:tc>
        <w:tc>
          <w:tcPr>
            <w:tcW w:w="2764" w:type="dxa"/>
            <w:gridSpan w:val="2"/>
            <w:tcBorders>
              <w:top w:val="single" w:sz="8" w:space="0" w:color="DBE5F1" w:themeColor="accent1" w:themeTint="33"/>
              <w:bottom w:val="single" w:sz="8" w:space="0" w:color="DBE5F1" w:themeColor="accent1" w:themeTint="33"/>
            </w:tcBorders>
          </w:tcPr>
          <w:p w14:paraId="7719C7D8" w14:textId="005427F7" w:rsidR="003026DF" w:rsidRPr="009C1672" w:rsidRDefault="00D43F11" w:rsidP="00443CC5">
            <w:pPr>
              <w:jc w:val="center"/>
              <w:rPr>
                <w:sz w:val="20"/>
                <w:szCs w:val="20"/>
              </w:rPr>
            </w:pPr>
            <w:r>
              <w:rPr>
                <w:sz w:val="20"/>
                <w:szCs w:val="20"/>
              </w:rPr>
              <w:t>-</w:t>
            </w:r>
            <w:r w:rsidR="003026DF" w:rsidRPr="009C1672">
              <w:rPr>
                <w:sz w:val="20"/>
                <w:szCs w:val="20"/>
              </w:rPr>
              <w:t>0.0</w:t>
            </w:r>
            <w:r w:rsidR="009A3BB7">
              <w:rPr>
                <w:sz w:val="20"/>
                <w:szCs w:val="20"/>
              </w:rPr>
              <w:t>5</w:t>
            </w:r>
            <w:r w:rsidR="003026DF" w:rsidRPr="009C1672">
              <w:rPr>
                <w:sz w:val="20"/>
                <w:szCs w:val="20"/>
              </w:rPr>
              <w:t xml:space="preserve"> (-0.2, 0.</w:t>
            </w:r>
            <w:r w:rsidR="009A3BB7">
              <w:rPr>
                <w:sz w:val="20"/>
                <w:szCs w:val="20"/>
              </w:rPr>
              <w:t>1</w:t>
            </w:r>
            <w:r w:rsidR="003026DF" w:rsidRPr="009C1672">
              <w:rPr>
                <w:sz w:val="20"/>
                <w:szCs w:val="20"/>
              </w:rPr>
              <w:t>)</w:t>
            </w:r>
          </w:p>
        </w:tc>
        <w:tc>
          <w:tcPr>
            <w:tcW w:w="2125" w:type="dxa"/>
            <w:tcBorders>
              <w:top w:val="single" w:sz="8" w:space="0" w:color="DBE5F1" w:themeColor="accent1" w:themeTint="33"/>
              <w:bottom w:val="single" w:sz="8" w:space="0" w:color="DBE5F1" w:themeColor="accent1" w:themeTint="33"/>
            </w:tcBorders>
          </w:tcPr>
          <w:p w14:paraId="33149358" w14:textId="2AA3DDC2" w:rsidR="003026DF" w:rsidRPr="009C1672" w:rsidRDefault="003026DF" w:rsidP="004C6841">
            <w:pPr>
              <w:jc w:val="center"/>
              <w:rPr>
                <w:sz w:val="20"/>
                <w:szCs w:val="20"/>
              </w:rPr>
            </w:pPr>
            <w:r w:rsidRPr="009C1672">
              <w:rPr>
                <w:sz w:val="20"/>
                <w:szCs w:val="20"/>
              </w:rPr>
              <w:t>-</w:t>
            </w:r>
            <w:r w:rsidR="00286652">
              <w:rPr>
                <w:sz w:val="20"/>
                <w:szCs w:val="20"/>
              </w:rPr>
              <w:t>6.6</w:t>
            </w:r>
            <w:r w:rsidRPr="009C1672">
              <w:rPr>
                <w:sz w:val="20"/>
                <w:szCs w:val="20"/>
              </w:rPr>
              <w:t xml:space="preserve"> (-</w:t>
            </w:r>
            <w:r w:rsidR="00286652">
              <w:rPr>
                <w:sz w:val="20"/>
                <w:szCs w:val="20"/>
              </w:rPr>
              <w:t>25.4</w:t>
            </w:r>
            <w:r w:rsidRPr="009C1672">
              <w:rPr>
                <w:sz w:val="20"/>
                <w:szCs w:val="20"/>
              </w:rPr>
              <w:t xml:space="preserve">, </w:t>
            </w:r>
            <w:r w:rsidR="00286652">
              <w:rPr>
                <w:sz w:val="20"/>
                <w:szCs w:val="20"/>
              </w:rPr>
              <w:t>12.2</w:t>
            </w:r>
            <w:r w:rsidRPr="009C1672">
              <w:rPr>
                <w:sz w:val="20"/>
                <w:szCs w:val="20"/>
              </w:rPr>
              <w:t>)</w:t>
            </w:r>
          </w:p>
        </w:tc>
        <w:tc>
          <w:tcPr>
            <w:tcW w:w="2126" w:type="dxa"/>
            <w:tcBorders>
              <w:top w:val="single" w:sz="8" w:space="0" w:color="DBE5F1" w:themeColor="accent1" w:themeTint="33"/>
              <w:bottom w:val="single" w:sz="8" w:space="0" w:color="DBE5F1" w:themeColor="accent1" w:themeTint="33"/>
            </w:tcBorders>
          </w:tcPr>
          <w:p w14:paraId="376563C5" w14:textId="50F70566" w:rsidR="003026DF" w:rsidRPr="009C1672" w:rsidRDefault="003026DF" w:rsidP="00D4624F">
            <w:pPr>
              <w:jc w:val="center"/>
              <w:rPr>
                <w:sz w:val="20"/>
                <w:szCs w:val="20"/>
              </w:rPr>
            </w:pPr>
            <w:r w:rsidRPr="009C1672">
              <w:rPr>
                <w:sz w:val="20"/>
                <w:szCs w:val="20"/>
              </w:rPr>
              <w:t>-</w:t>
            </w:r>
            <w:r w:rsidR="00796ED6">
              <w:rPr>
                <w:sz w:val="20"/>
                <w:szCs w:val="20"/>
              </w:rPr>
              <w:t>7.8</w:t>
            </w:r>
            <w:r w:rsidRPr="009C1672">
              <w:rPr>
                <w:sz w:val="20"/>
                <w:szCs w:val="20"/>
              </w:rPr>
              <w:t xml:space="preserve"> (-</w:t>
            </w:r>
            <w:r w:rsidR="00796ED6">
              <w:rPr>
                <w:sz w:val="20"/>
                <w:szCs w:val="20"/>
              </w:rPr>
              <w:t>28.5</w:t>
            </w:r>
            <w:r w:rsidR="006D1186">
              <w:rPr>
                <w:sz w:val="20"/>
                <w:szCs w:val="20"/>
              </w:rPr>
              <w:t>,</w:t>
            </w:r>
            <w:r w:rsidRPr="009C1672">
              <w:rPr>
                <w:sz w:val="20"/>
                <w:szCs w:val="20"/>
              </w:rPr>
              <w:t xml:space="preserve"> </w:t>
            </w:r>
            <w:r w:rsidR="00796ED6">
              <w:rPr>
                <w:sz w:val="20"/>
                <w:szCs w:val="20"/>
              </w:rPr>
              <w:t>12.9</w:t>
            </w:r>
            <w:r w:rsidRPr="009C1672">
              <w:rPr>
                <w:sz w:val="20"/>
                <w:szCs w:val="20"/>
              </w:rPr>
              <w:t>)</w:t>
            </w:r>
          </w:p>
        </w:tc>
      </w:tr>
      <w:tr w:rsidR="003026DF" w:rsidRPr="009C1672" w14:paraId="1A9236D1" w14:textId="77777777" w:rsidTr="00EB4B7D">
        <w:trPr>
          <w:trHeight w:val="60"/>
        </w:trPr>
        <w:tc>
          <w:tcPr>
            <w:tcW w:w="4111" w:type="dxa"/>
            <w:gridSpan w:val="3"/>
            <w:tcBorders>
              <w:top w:val="single" w:sz="8" w:space="0" w:color="DBE5F1" w:themeColor="accent1" w:themeTint="33"/>
              <w:bottom w:val="single" w:sz="8" w:space="0" w:color="auto"/>
            </w:tcBorders>
          </w:tcPr>
          <w:p w14:paraId="4D54F5DE" w14:textId="12F8A8DE" w:rsidR="003026DF" w:rsidRPr="009C1672" w:rsidRDefault="003026DF" w:rsidP="003026DF">
            <w:pPr>
              <w:spacing w:line="276" w:lineRule="auto"/>
              <w:jc w:val="both"/>
              <w:rPr>
                <w:sz w:val="20"/>
                <w:szCs w:val="20"/>
              </w:rPr>
            </w:pPr>
            <w:r w:rsidRPr="009C1672">
              <w:rPr>
                <w:sz w:val="20"/>
                <w:szCs w:val="20"/>
              </w:rPr>
              <w:t>Confectionery (g)</w:t>
            </w:r>
          </w:p>
        </w:tc>
        <w:tc>
          <w:tcPr>
            <w:tcW w:w="2125" w:type="dxa"/>
            <w:tcBorders>
              <w:top w:val="single" w:sz="8" w:space="0" w:color="DBE5F1" w:themeColor="accent1" w:themeTint="33"/>
              <w:bottom w:val="single" w:sz="8" w:space="0" w:color="auto"/>
            </w:tcBorders>
            <w:shd w:val="clear" w:color="auto" w:fill="auto"/>
          </w:tcPr>
          <w:p w14:paraId="4F692807" w14:textId="405F5AA1" w:rsidR="003026DF" w:rsidRPr="009C1672" w:rsidRDefault="003026DF" w:rsidP="004C6841">
            <w:pPr>
              <w:spacing w:line="276" w:lineRule="auto"/>
              <w:jc w:val="center"/>
              <w:rPr>
                <w:sz w:val="20"/>
                <w:szCs w:val="20"/>
              </w:rPr>
            </w:pPr>
            <w:r w:rsidRPr="009C1672">
              <w:rPr>
                <w:sz w:val="20"/>
                <w:szCs w:val="20"/>
              </w:rPr>
              <w:t>-</w:t>
            </w:r>
            <w:r w:rsidR="009A3BB7">
              <w:rPr>
                <w:sz w:val="20"/>
                <w:szCs w:val="20"/>
              </w:rPr>
              <w:t>43.8</w:t>
            </w:r>
            <w:r w:rsidRPr="009C1672">
              <w:rPr>
                <w:sz w:val="20"/>
                <w:szCs w:val="20"/>
              </w:rPr>
              <w:t xml:space="preserve"> (-</w:t>
            </w:r>
            <w:r w:rsidR="009A3BB7">
              <w:rPr>
                <w:sz w:val="20"/>
                <w:szCs w:val="20"/>
              </w:rPr>
              <w:t>125.5</w:t>
            </w:r>
            <w:r w:rsidRPr="009C1672">
              <w:rPr>
                <w:sz w:val="20"/>
                <w:szCs w:val="20"/>
              </w:rPr>
              <w:t xml:space="preserve">, </w:t>
            </w:r>
            <w:r w:rsidR="00C93EC9">
              <w:rPr>
                <w:sz w:val="20"/>
                <w:szCs w:val="20"/>
              </w:rPr>
              <w:t>3</w:t>
            </w:r>
            <w:r w:rsidR="009A3BB7">
              <w:rPr>
                <w:sz w:val="20"/>
                <w:szCs w:val="20"/>
              </w:rPr>
              <w:t>7.9</w:t>
            </w:r>
            <w:r w:rsidRPr="009C1672">
              <w:rPr>
                <w:sz w:val="20"/>
                <w:szCs w:val="20"/>
              </w:rPr>
              <w:t>)</w:t>
            </w:r>
          </w:p>
        </w:tc>
        <w:tc>
          <w:tcPr>
            <w:tcW w:w="2764" w:type="dxa"/>
            <w:gridSpan w:val="2"/>
            <w:tcBorders>
              <w:top w:val="single" w:sz="8" w:space="0" w:color="DBE5F1" w:themeColor="accent1" w:themeTint="33"/>
              <w:bottom w:val="single" w:sz="8" w:space="0" w:color="auto"/>
            </w:tcBorders>
            <w:shd w:val="clear" w:color="auto" w:fill="auto"/>
          </w:tcPr>
          <w:p w14:paraId="10318158" w14:textId="0AFF63AC" w:rsidR="003026DF" w:rsidRPr="009C1672" w:rsidRDefault="009A3BB7" w:rsidP="00D4624F">
            <w:pPr>
              <w:spacing w:line="276" w:lineRule="auto"/>
              <w:jc w:val="center"/>
              <w:rPr>
                <w:sz w:val="20"/>
                <w:szCs w:val="20"/>
              </w:rPr>
            </w:pPr>
            <w:r>
              <w:rPr>
                <w:sz w:val="20"/>
                <w:szCs w:val="20"/>
              </w:rPr>
              <w:t>-</w:t>
            </w:r>
            <w:r w:rsidR="00D43F11">
              <w:rPr>
                <w:sz w:val="20"/>
                <w:szCs w:val="20"/>
              </w:rPr>
              <w:t>0.0</w:t>
            </w:r>
            <w:r>
              <w:rPr>
                <w:sz w:val="20"/>
                <w:szCs w:val="20"/>
              </w:rPr>
              <w:t>5</w:t>
            </w:r>
            <w:r w:rsidR="003026DF" w:rsidRPr="009C1672">
              <w:rPr>
                <w:sz w:val="20"/>
                <w:szCs w:val="20"/>
              </w:rPr>
              <w:t xml:space="preserve"> (-</w:t>
            </w:r>
            <w:r w:rsidR="00C93EC9">
              <w:rPr>
                <w:sz w:val="20"/>
                <w:szCs w:val="20"/>
              </w:rPr>
              <w:t>1.6</w:t>
            </w:r>
            <w:r w:rsidR="003026DF" w:rsidRPr="009C1672">
              <w:rPr>
                <w:sz w:val="20"/>
                <w:szCs w:val="20"/>
              </w:rPr>
              <w:t xml:space="preserve">, </w:t>
            </w:r>
            <w:r w:rsidR="00C93EC9">
              <w:rPr>
                <w:sz w:val="20"/>
                <w:szCs w:val="20"/>
              </w:rPr>
              <w:t>1.</w:t>
            </w:r>
            <w:r>
              <w:rPr>
                <w:sz w:val="20"/>
                <w:szCs w:val="20"/>
              </w:rPr>
              <w:t>5</w:t>
            </w:r>
            <w:r w:rsidR="003026DF" w:rsidRPr="009C1672">
              <w:rPr>
                <w:sz w:val="20"/>
                <w:szCs w:val="20"/>
              </w:rPr>
              <w:t>)</w:t>
            </w:r>
          </w:p>
        </w:tc>
        <w:tc>
          <w:tcPr>
            <w:tcW w:w="2125" w:type="dxa"/>
            <w:tcBorders>
              <w:top w:val="single" w:sz="8" w:space="0" w:color="DBE5F1" w:themeColor="accent1" w:themeTint="33"/>
              <w:bottom w:val="single" w:sz="8" w:space="0" w:color="auto"/>
            </w:tcBorders>
            <w:shd w:val="clear" w:color="auto" w:fill="auto"/>
          </w:tcPr>
          <w:p w14:paraId="563BB68E" w14:textId="3FCFEC6C" w:rsidR="003026DF" w:rsidRPr="009C1672" w:rsidRDefault="003026DF">
            <w:pPr>
              <w:spacing w:line="276" w:lineRule="auto"/>
              <w:jc w:val="center"/>
              <w:rPr>
                <w:sz w:val="20"/>
                <w:szCs w:val="20"/>
              </w:rPr>
            </w:pPr>
            <w:r w:rsidRPr="009C1672">
              <w:rPr>
                <w:sz w:val="20"/>
                <w:szCs w:val="20"/>
              </w:rPr>
              <w:t>-</w:t>
            </w:r>
            <w:r w:rsidR="00286652">
              <w:rPr>
                <w:sz w:val="20"/>
                <w:szCs w:val="20"/>
              </w:rPr>
              <w:t>48.5</w:t>
            </w:r>
            <w:r w:rsidRPr="009C1672">
              <w:rPr>
                <w:sz w:val="20"/>
                <w:szCs w:val="20"/>
              </w:rPr>
              <w:t xml:space="preserve"> (-</w:t>
            </w:r>
            <w:r w:rsidR="00286652">
              <w:rPr>
                <w:sz w:val="20"/>
                <w:szCs w:val="20"/>
              </w:rPr>
              <w:t>230.5</w:t>
            </w:r>
            <w:r w:rsidRPr="009C1672">
              <w:rPr>
                <w:sz w:val="20"/>
                <w:szCs w:val="20"/>
              </w:rPr>
              <w:t xml:space="preserve">, </w:t>
            </w:r>
            <w:r w:rsidR="00286652">
              <w:rPr>
                <w:sz w:val="20"/>
                <w:szCs w:val="20"/>
              </w:rPr>
              <w:t>133.5</w:t>
            </w:r>
            <w:r w:rsidRPr="009C1672">
              <w:rPr>
                <w:sz w:val="20"/>
                <w:szCs w:val="20"/>
              </w:rPr>
              <w:t>)</w:t>
            </w:r>
          </w:p>
        </w:tc>
        <w:tc>
          <w:tcPr>
            <w:tcW w:w="2126" w:type="dxa"/>
            <w:tcBorders>
              <w:top w:val="single" w:sz="8" w:space="0" w:color="DBE5F1" w:themeColor="accent1" w:themeTint="33"/>
              <w:bottom w:val="single" w:sz="8" w:space="0" w:color="auto"/>
            </w:tcBorders>
            <w:shd w:val="clear" w:color="auto" w:fill="auto"/>
          </w:tcPr>
          <w:p w14:paraId="4BD73828" w14:textId="26D9BC75" w:rsidR="003026DF" w:rsidRPr="009C1672" w:rsidRDefault="003026DF">
            <w:pPr>
              <w:spacing w:line="276" w:lineRule="auto"/>
              <w:jc w:val="center"/>
              <w:rPr>
                <w:sz w:val="20"/>
                <w:szCs w:val="20"/>
              </w:rPr>
            </w:pPr>
            <w:r>
              <w:rPr>
                <w:sz w:val="20"/>
                <w:szCs w:val="20"/>
              </w:rPr>
              <w:t>-</w:t>
            </w:r>
            <w:r w:rsidR="00C93EC9">
              <w:rPr>
                <w:sz w:val="20"/>
                <w:szCs w:val="20"/>
              </w:rPr>
              <w:t>1</w:t>
            </w:r>
            <w:r w:rsidR="00796ED6">
              <w:rPr>
                <w:sz w:val="20"/>
                <w:szCs w:val="20"/>
              </w:rPr>
              <w:t>3.8</w:t>
            </w:r>
            <w:r w:rsidRPr="009C1672">
              <w:rPr>
                <w:sz w:val="20"/>
                <w:szCs w:val="20"/>
              </w:rPr>
              <w:t xml:space="preserve"> (-</w:t>
            </w:r>
            <w:r w:rsidR="00796ED6">
              <w:rPr>
                <w:sz w:val="20"/>
                <w:szCs w:val="20"/>
              </w:rPr>
              <w:t>59.0</w:t>
            </w:r>
            <w:r>
              <w:rPr>
                <w:sz w:val="20"/>
                <w:szCs w:val="20"/>
              </w:rPr>
              <w:t xml:space="preserve">, </w:t>
            </w:r>
            <w:r w:rsidR="00C93EC9">
              <w:rPr>
                <w:sz w:val="20"/>
                <w:szCs w:val="20"/>
              </w:rPr>
              <w:t>3</w:t>
            </w:r>
            <w:r w:rsidR="00796ED6">
              <w:rPr>
                <w:sz w:val="20"/>
                <w:szCs w:val="20"/>
              </w:rPr>
              <w:t>1.4</w:t>
            </w:r>
            <w:r w:rsidRPr="009C1672">
              <w:rPr>
                <w:sz w:val="20"/>
                <w:szCs w:val="20"/>
              </w:rPr>
              <w:t>)</w:t>
            </w:r>
          </w:p>
        </w:tc>
      </w:tr>
    </w:tbl>
    <w:p w14:paraId="4367E2B2" w14:textId="30B228D9" w:rsidR="003026DF" w:rsidRDefault="005F5279" w:rsidP="00753988">
      <w:pPr>
        <w:spacing w:after="0" w:line="240" w:lineRule="auto"/>
        <w:jc w:val="both"/>
      </w:pPr>
      <w:r>
        <w:t>†Trend</w:t>
      </w:r>
      <w:r w:rsidRPr="005F5279">
        <w:rPr>
          <w:vertAlign w:val="superscript"/>
        </w:rPr>
        <w:t>2</w:t>
      </w:r>
      <w:r w:rsidR="00753988">
        <w:t xml:space="preserve"> indicates the volume change multiplied by weeks since the announcement squared; es</w:t>
      </w:r>
      <w:r w:rsidR="003026DF">
        <w:t>timates statistically significant at the p&lt;0.05 level are highlighted in bold</w:t>
      </w:r>
      <w:r w:rsidR="003026DF">
        <w:br w:type="page"/>
      </w:r>
    </w:p>
    <w:p w14:paraId="256B48C3" w14:textId="348D3BDD" w:rsidR="003F00FD" w:rsidRPr="003F00FD" w:rsidRDefault="00567659" w:rsidP="00980A3F">
      <w:pPr>
        <w:spacing w:line="480" w:lineRule="auto"/>
        <w:jc w:val="both"/>
      </w:pPr>
      <w:r>
        <w:lastRenderedPageBreak/>
        <w:t>Table 3</w:t>
      </w:r>
      <w:r w:rsidR="00234C81">
        <w:t xml:space="preserve">. </w:t>
      </w:r>
      <w:r w:rsidR="00AA172C">
        <w:t>Adjusted change in mean sugar in drinks and confectionery purchased per household per week (95% CI) (level) and adjusted change per week (trend) post-announcement</w:t>
      </w:r>
      <w:r w:rsidR="003026DF">
        <w:t xml:space="preserve"> of the Soft Drinks Industry Levy</w:t>
      </w:r>
      <w:r w:rsidR="003E27A1">
        <w:t xml:space="preserve"> including toiletries as a control condition</w:t>
      </w:r>
      <w:r w:rsidR="00AA172C">
        <w:t>, with absolute and relative differences in purchased volume at two-years post-announcement</w:t>
      </w:r>
    </w:p>
    <w:tbl>
      <w:tblPr>
        <w:tblStyle w:val="TableGrid1"/>
        <w:tblW w:w="13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4"/>
        <w:gridCol w:w="3827"/>
        <w:gridCol w:w="1764"/>
        <w:gridCol w:w="2444"/>
        <w:gridCol w:w="2409"/>
        <w:gridCol w:w="2161"/>
      </w:tblGrid>
      <w:tr w:rsidR="0016606A" w:rsidRPr="009C1672" w14:paraId="2B15C2DA" w14:textId="77777777" w:rsidTr="006A7729">
        <w:tc>
          <w:tcPr>
            <w:tcW w:w="534" w:type="dxa"/>
            <w:tcBorders>
              <w:top w:val="single" w:sz="8" w:space="0" w:color="auto"/>
            </w:tcBorders>
          </w:tcPr>
          <w:p w14:paraId="4F831A1D" w14:textId="77777777" w:rsidR="0016606A" w:rsidRPr="009C1672" w:rsidRDefault="0016606A" w:rsidP="00810CD4">
            <w:pPr>
              <w:jc w:val="both"/>
              <w:rPr>
                <w:sz w:val="20"/>
                <w:szCs w:val="20"/>
              </w:rPr>
            </w:pPr>
          </w:p>
        </w:tc>
        <w:tc>
          <w:tcPr>
            <w:tcW w:w="3827" w:type="dxa"/>
            <w:tcBorders>
              <w:top w:val="single" w:sz="8" w:space="0" w:color="auto"/>
            </w:tcBorders>
          </w:tcPr>
          <w:p w14:paraId="1FD3397B" w14:textId="59D15A53" w:rsidR="0016606A" w:rsidRPr="009C1672" w:rsidRDefault="0016606A" w:rsidP="00810CD4">
            <w:pPr>
              <w:jc w:val="both"/>
              <w:rPr>
                <w:sz w:val="20"/>
                <w:szCs w:val="20"/>
              </w:rPr>
            </w:pPr>
          </w:p>
        </w:tc>
        <w:tc>
          <w:tcPr>
            <w:tcW w:w="1764" w:type="dxa"/>
            <w:tcBorders>
              <w:top w:val="single" w:sz="8" w:space="0" w:color="auto"/>
            </w:tcBorders>
          </w:tcPr>
          <w:p w14:paraId="0550F8F5" w14:textId="77777777" w:rsidR="0016606A" w:rsidRPr="009C1672" w:rsidRDefault="0016606A" w:rsidP="009D640E">
            <w:pPr>
              <w:jc w:val="center"/>
              <w:rPr>
                <w:sz w:val="20"/>
                <w:szCs w:val="20"/>
              </w:rPr>
            </w:pPr>
          </w:p>
        </w:tc>
        <w:tc>
          <w:tcPr>
            <w:tcW w:w="2444" w:type="dxa"/>
            <w:tcBorders>
              <w:top w:val="single" w:sz="8" w:space="0" w:color="auto"/>
            </w:tcBorders>
          </w:tcPr>
          <w:p w14:paraId="0E6B773E" w14:textId="77777777" w:rsidR="0016606A" w:rsidRPr="009C1672" w:rsidRDefault="0016606A" w:rsidP="009D640E">
            <w:pPr>
              <w:jc w:val="center"/>
              <w:rPr>
                <w:sz w:val="20"/>
                <w:szCs w:val="20"/>
              </w:rPr>
            </w:pPr>
          </w:p>
        </w:tc>
        <w:tc>
          <w:tcPr>
            <w:tcW w:w="4570" w:type="dxa"/>
            <w:gridSpan w:val="2"/>
            <w:tcBorders>
              <w:top w:val="single" w:sz="8" w:space="0" w:color="auto"/>
              <w:bottom w:val="single" w:sz="8" w:space="0" w:color="auto"/>
            </w:tcBorders>
          </w:tcPr>
          <w:p w14:paraId="4BCA4DC1" w14:textId="4F782B9A" w:rsidR="0016606A" w:rsidRPr="009C1672" w:rsidRDefault="0016606A" w:rsidP="003026DF">
            <w:pPr>
              <w:jc w:val="center"/>
              <w:rPr>
                <w:sz w:val="20"/>
                <w:szCs w:val="20"/>
              </w:rPr>
            </w:pPr>
            <w:r w:rsidRPr="009C1672">
              <w:rPr>
                <w:sz w:val="20"/>
                <w:szCs w:val="20"/>
              </w:rPr>
              <w:t xml:space="preserve">Change at 2 years after the </w:t>
            </w:r>
            <w:r w:rsidR="003026DF">
              <w:rPr>
                <w:sz w:val="20"/>
                <w:szCs w:val="20"/>
              </w:rPr>
              <w:t>post-</w:t>
            </w:r>
            <w:r w:rsidRPr="009C1672">
              <w:rPr>
                <w:sz w:val="20"/>
                <w:szCs w:val="20"/>
              </w:rPr>
              <w:t>announcement</w:t>
            </w:r>
          </w:p>
        </w:tc>
      </w:tr>
      <w:tr w:rsidR="00D34778" w:rsidRPr="009C1672" w14:paraId="3460464F" w14:textId="77777777" w:rsidTr="006A7729">
        <w:tc>
          <w:tcPr>
            <w:tcW w:w="4361" w:type="dxa"/>
            <w:gridSpan w:val="2"/>
            <w:tcBorders>
              <w:bottom w:val="single" w:sz="8" w:space="0" w:color="auto"/>
            </w:tcBorders>
          </w:tcPr>
          <w:p w14:paraId="7CE0E196" w14:textId="6E6886BA" w:rsidR="00D34778" w:rsidRPr="009C1672" w:rsidRDefault="00D34778" w:rsidP="00810CD4">
            <w:pPr>
              <w:jc w:val="both"/>
              <w:rPr>
                <w:sz w:val="20"/>
                <w:szCs w:val="20"/>
              </w:rPr>
            </w:pPr>
            <w:r>
              <w:rPr>
                <w:sz w:val="20"/>
                <w:szCs w:val="20"/>
              </w:rPr>
              <w:t>Category</w:t>
            </w:r>
          </w:p>
        </w:tc>
        <w:tc>
          <w:tcPr>
            <w:tcW w:w="1764" w:type="dxa"/>
            <w:tcBorders>
              <w:bottom w:val="single" w:sz="8" w:space="0" w:color="auto"/>
            </w:tcBorders>
          </w:tcPr>
          <w:p w14:paraId="5A3B20C4" w14:textId="63E11863" w:rsidR="00D34778" w:rsidRPr="009C1672" w:rsidRDefault="00C04BA4" w:rsidP="009D640E">
            <w:pPr>
              <w:jc w:val="center"/>
              <w:rPr>
                <w:sz w:val="20"/>
                <w:szCs w:val="20"/>
              </w:rPr>
            </w:pPr>
            <w:r>
              <w:rPr>
                <w:sz w:val="20"/>
                <w:szCs w:val="20"/>
              </w:rPr>
              <w:t>Level c</w:t>
            </w:r>
            <w:r w:rsidR="00D34778" w:rsidRPr="009C1672">
              <w:rPr>
                <w:sz w:val="20"/>
                <w:szCs w:val="20"/>
              </w:rPr>
              <w:t>hange</w:t>
            </w:r>
            <w:r w:rsidR="00A7268E">
              <w:rPr>
                <w:sz w:val="20"/>
                <w:szCs w:val="20"/>
              </w:rPr>
              <w:t xml:space="preserve"> (g)</w:t>
            </w:r>
          </w:p>
        </w:tc>
        <w:tc>
          <w:tcPr>
            <w:tcW w:w="2444" w:type="dxa"/>
            <w:tcBorders>
              <w:bottom w:val="single" w:sz="8" w:space="0" w:color="auto"/>
            </w:tcBorders>
          </w:tcPr>
          <w:p w14:paraId="2964E0FC" w14:textId="63392DCB" w:rsidR="00D34778" w:rsidRPr="009C1672" w:rsidRDefault="00D34778" w:rsidP="00C04BA4">
            <w:pPr>
              <w:jc w:val="center"/>
              <w:rPr>
                <w:sz w:val="20"/>
                <w:szCs w:val="20"/>
              </w:rPr>
            </w:pPr>
            <w:r w:rsidRPr="009C1672">
              <w:rPr>
                <w:sz w:val="20"/>
                <w:szCs w:val="20"/>
              </w:rPr>
              <w:t xml:space="preserve">Trend </w:t>
            </w:r>
            <w:r w:rsidR="00C04BA4">
              <w:rPr>
                <w:sz w:val="20"/>
                <w:szCs w:val="20"/>
              </w:rPr>
              <w:t>c</w:t>
            </w:r>
            <w:r w:rsidRPr="009C1672">
              <w:rPr>
                <w:sz w:val="20"/>
                <w:szCs w:val="20"/>
              </w:rPr>
              <w:t>hange</w:t>
            </w:r>
            <w:r w:rsidR="00A7268E">
              <w:rPr>
                <w:sz w:val="20"/>
                <w:szCs w:val="20"/>
              </w:rPr>
              <w:t xml:space="preserve"> (g</w:t>
            </w:r>
            <w:r w:rsidR="001F1E9A">
              <w:rPr>
                <w:sz w:val="20"/>
                <w:szCs w:val="20"/>
              </w:rPr>
              <w:t xml:space="preserve"> per </w:t>
            </w:r>
            <w:r w:rsidR="00A7268E">
              <w:rPr>
                <w:sz w:val="20"/>
                <w:szCs w:val="20"/>
              </w:rPr>
              <w:t>week)</w:t>
            </w:r>
          </w:p>
        </w:tc>
        <w:tc>
          <w:tcPr>
            <w:tcW w:w="2409" w:type="dxa"/>
            <w:tcBorders>
              <w:bottom w:val="single" w:sz="8" w:space="0" w:color="auto"/>
            </w:tcBorders>
          </w:tcPr>
          <w:p w14:paraId="1E17FEF6" w14:textId="60DC0A68" w:rsidR="00D34778" w:rsidRPr="009C1672" w:rsidRDefault="00D34778" w:rsidP="009D640E">
            <w:pPr>
              <w:jc w:val="center"/>
              <w:rPr>
                <w:sz w:val="20"/>
                <w:szCs w:val="20"/>
              </w:rPr>
            </w:pPr>
            <w:r w:rsidRPr="009C1672">
              <w:rPr>
                <w:sz w:val="20"/>
                <w:szCs w:val="20"/>
              </w:rPr>
              <w:t>Absolute change</w:t>
            </w:r>
            <w:r w:rsidR="00A7268E">
              <w:rPr>
                <w:sz w:val="20"/>
                <w:szCs w:val="20"/>
              </w:rPr>
              <w:t xml:space="preserve"> (g)</w:t>
            </w:r>
          </w:p>
        </w:tc>
        <w:tc>
          <w:tcPr>
            <w:tcW w:w="2161" w:type="dxa"/>
            <w:tcBorders>
              <w:bottom w:val="single" w:sz="8" w:space="0" w:color="auto"/>
            </w:tcBorders>
          </w:tcPr>
          <w:p w14:paraId="199CEDEC" w14:textId="63537B8F" w:rsidR="00D34778" w:rsidRPr="009C1672" w:rsidRDefault="00D34778" w:rsidP="009D640E">
            <w:pPr>
              <w:jc w:val="center"/>
              <w:rPr>
                <w:sz w:val="20"/>
                <w:szCs w:val="20"/>
              </w:rPr>
            </w:pPr>
            <w:r w:rsidRPr="009C1672">
              <w:rPr>
                <w:sz w:val="20"/>
                <w:szCs w:val="20"/>
              </w:rPr>
              <w:t>Relative change</w:t>
            </w:r>
            <w:r>
              <w:rPr>
                <w:sz w:val="20"/>
                <w:szCs w:val="20"/>
              </w:rPr>
              <w:t xml:space="preserve"> (%)</w:t>
            </w:r>
          </w:p>
        </w:tc>
      </w:tr>
      <w:tr w:rsidR="0016606A" w:rsidRPr="009C1672" w14:paraId="2CF68171" w14:textId="77777777" w:rsidTr="006A7729">
        <w:tc>
          <w:tcPr>
            <w:tcW w:w="4361" w:type="dxa"/>
            <w:gridSpan w:val="2"/>
            <w:tcBorders>
              <w:top w:val="single" w:sz="8" w:space="0" w:color="auto"/>
              <w:bottom w:val="single" w:sz="8" w:space="0" w:color="DBE5F1" w:themeColor="accent1" w:themeTint="33"/>
            </w:tcBorders>
          </w:tcPr>
          <w:p w14:paraId="6C761ACA" w14:textId="3EC8AAB6" w:rsidR="0016606A" w:rsidRPr="009C1672" w:rsidRDefault="00C9271D" w:rsidP="00810CD4">
            <w:pPr>
              <w:jc w:val="both"/>
              <w:rPr>
                <w:sz w:val="20"/>
                <w:szCs w:val="20"/>
              </w:rPr>
            </w:pPr>
            <w:r>
              <w:rPr>
                <w:sz w:val="20"/>
                <w:szCs w:val="20"/>
              </w:rPr>
              <w:t>Liable</w:t>
            </w:r>
            <w:r w:rsidR="00AA172C">
              <w:rPr>
                <w:sz w:val="20"/>
                <w:szCs w:val="20"/>
              </w:rPr>
              <w:t xml:space="preserve"> drinks</w:t>
            </w:r>
          </w:p>
        </w:tc>
        <w:tc>
          <w:tcPr>
            <w:tcW w:w="1764" w:type="dxa"/>
            <w:tcBorders>
              <w:top w:val="single" w:sz="8" w:space="0" w:color="auto"/>
              <w:bottom w:val="single" w:sz="8" w:space="0" w:color="DBE5F1" w:themeColor="accent1" w:themeTint="33"/>
            </w:tcBorders>
          </w:tcPr>
          <w:p w14:paraId="09EEAC46" w14:textId="7DBBD53D" w:rsidR="0016606A" w:rsidRPr="009C1672" w:rsidRDefault="0016606A" w:rsidP="007777A7">
            <w:pPr>
              <w:jc w:val="center"/>
              <w:rPr>
                <w:b/>
                <w:sz w:val="20"/>
                <w:szCs w:val="20"/>
              </w:rPr>
            </w:pPr>
          </w:p>
        </w:tc>
        <w:tc>
          <w:tcPr>
            <w:tcW w:w="2444" w:type="dxa"/>
            <w:tcBorders>
              <w:top w:val="single" w:sz="8" w:space="0" w:color="auto"/>
              <w:bottom w:val="single" w:sz="8" w:space="0" w:color="DBE5F1" w:themeColor="accent1" w:themeTint="33"/>
            </w:tcBorders>
          </w:tcPr>
          <w:p w14:paraId="2453BAB2" w14:textId="752B1EEE" w:rsidR="0016606A" w:rsidRPr="009C1672" w:rsidRDefault="0016606A" w:rsidP="00E119C2">
            <w:pPr>
              <w:jc w:val="center"/>
              <w:rPr>
                <w:sz w:val="20"/>
                <w:szCs w:val="20"/>
              </w:rPr>
            </w:pPr>
          </w:p>
        </w:tc>
        <w:tc>
          <w:tcPr>
            <w:tcW w:w="2409" w:type="dxa"/>
            <w:tcBorders>
              <w:top w:val="single" w:sz="8" w:space="0" w:color="auto"/>
              <w:bottom w:val="single" w:sz="8" w:space="0" w:color="DBE5F1" w:themeColor="accent1" w:themeTint="33"/>
            </w:tcBorders>
          </w:tcPr>
          <w:p w14:paraId="3B2DFA28" w14:textId="124E78B0" w:rsidR="0016606A" w:rsidRPr="009C1672" w:rsidRDefault="0016606A" w:rsidP="00BD3F9C">
            <w:pPr>
              <w:jc w:val="center"/>
              <w:rPr>
                <w:sz w:val="20"/>
                <w:szCs w:val="20"/>
              </w:rPr>
            </w:pPr>
          </w:p>
        </w:tc>
        <w:tc>
          <w:tcPr>
            <w:tcW w:w="2161" w:type="dxa"/>
            <w:tcBorders>
              <w:top w:val="single" w:sz="8" w:space="0" w:color="auto"/>
              <w:bottom w:val="single" w:sz="8" w:space="0" w:color="DBE5F1" w:themeColor="accent1" w:themeTint="33"/>
            </w:tcBorders>
          </w:tcPr>
          <w:p w14:paraId="6DE2B2E9" w14:textId="6778C4E3" w:rsidR="0016606A" w:rsidRPr="009C1672" w:rsidRDefault="0016606A" w:rsidP="009F5BF6">
            <w:pPr>
              <w:jc w:val="center"/>
              <w:rPr>
                <w:sz w:val="20"/>
                <w:szCs w:val="20"/>
              </w:rPr>
            </w:pPr>
          </w:p>
        </w:tc>
      </w:tr>
      <w:tr w:rsidR="00AA172C" w:rsidRPr="009C1672" w14:paraId="3C4CA6D4" w14:textId="77777777" w:rsidTr="006A7729">
        <w:tc>
          <w:tcPr>
            <w:tcW w:w="534" w:type="dxa"/>
            <w:tcBorders>
              <w:top w:val="single" w:sz="8" w:space="0" w:color="DBE5F1" w:themeColor="accent1" w:themeTint="33"/>
              <w:bottom w:val="single" w:sz="8" w:space="0" w:color="DBE5F1" w:themeColor="accent1" w:themeTint="33"/>
            </w:tcBorders>
          </w:tcPr>
          <w:p w14:paraId="79341DCE" w14:textId="77777777" w:rsidR="00AA172C" w:rsidRPr="009C1672" w:rsidRDefault="00AA172C" w:rsidP="00AA172C">
            <w:pPr>
              <w:jc w:val="both"/>
              <w:rPr>
                <w:sz w:val="20"/>
                <w:szCs w:val="20"/>
              </w:rPr>
            </w:pPr>
          </w:p>
        </w:tc>
        <w:tc>
          <w:tcPr>
            <w:tcW w:w="3827" w:type="dxa"/>
            <w:tcBorders>
              <w:top w:val="single" w:sz="8" w:space="0" w:color="DBE5F1" w:themeColor="accent1" w:themeTint="33"/>
              <w:bottom w:val="single" w:sz="8" w:space="0" w:color="DBE5F1" w:themeColor="accent1" w:themeTint="33"/>
            </w:tcBorders>
          </w:tcPr>
          <w:p w14:paraId="7409FC11" w14:textId="1AB5B44C" w:rsidR="00AA172C" w:rsidRPr="009C1672" w:rsidRDefault="00AA172C" w:rsidP="00AA172C">
            <w:pPr>
              <w:jc w:val="both"/>
              <w:rPr>
                <w:sz w:val="20"/>
                <w:szCs w:val="20"/>
              </w:rPr>
            </w:pPr>
            <w:r>
              <w:rPr>
                <w:rFonts w:ascii="Calibri" w:eastAsia="Calibri" w:hAnsi="Calibri" w:cs="Times New Roman"/>
                <w:sz w:val="20"/>
                <w:szCs w:val="20"/>
              </w:rPr>
              <w:t>High</w:t>
            </w:r>
            <w:r w:rsidR="00195182">
              <w:rPr>
                <w:rFonts w:ascii="Calibri" w:eastAsia="Calibri" w:hAnsi="Calibri" w:cs="Times New Roman"/>
                <w:sz w:val="20"/>
                <w:szCs w:val="20"/>
              </w:rPr>
              <w:t>er</w:t>
            </w:r>
            <w:r>
              <w:rPr>
                <w:rFonts w:ascii="Calibri" w:eastAsia="Calibri" w:hAnsi="Calibri" w:cs="Times New Roman"/>
                <w:sz w:val="20"/>
                <w:szCs w:val="20"/>
              </w:rPr>
              <w:t xml:space="preserve"> tier (≥8g sugar</w:t>
            </w:r>
            <w:r w:rsidR="001F1E9A">
              <w:rPr>
                <w:rFonts w:ascii="Calibri" w:eastAsia="Calibri" w:hAnsi="Calibri" w:cs="Times New Roman"/>
                <w:sz w:val="20"/>
                <w:szCs w:val="20"/>
              </w:rPr>
              <w:t xml:space="preserve"> per </w:t>
            </w:r>
            <w:r w:rsidRPr="00683A7B">
              <w:rPr>
                <w:rFonts w:ascii="Calibri" w:eastAsia="Calibri" w:hAnsi="Calibri" w:cs="Times New Roman"/>
                <w:sz w:val="20"/>
                <w:szCs w:val="20"/>
              </w:rPr>
              <w:t>100ml</w:t>
            </w:r>
            <w:r>
              <w:rPr>
                <w:rFonts w:ascii="Calibri" w:eastAsia="Calibri" w:hAnsi="Calibri" w:cs="Times New Roman"/>
                <w:sz w:val="20"/>
                <w:szCs w:val="20"/>
              </w:rPr>
              <w:t>)</w:t>
            </w:r>
          </w:p>
        </w:tc>
        <w:tc>
          <w:tcPr>
            <w:tcW w:w="1764" w:type="dxa"/>
            <w:tcBorders>
              <w:top w:val="single" w:sz="8" w:space="0" w:color="DBE5F1" w:themeColor="accent1" w:themeTint="33"/>
              <w:bottom w:val="single" w:sz="8" w:space="0" w:color="DBE5F1" w:themeColor="accent1" w:themeTint="33"/>
            </w:tcBorders>
          </w:tcPr>
          <w:p w14:paraId="3E181DD9" w14:textId="09CA62A5" w:rsidR="00AA172C" w:rsidRPr="009C1672" w:rsidRDefault="007E33D9" w:rsidP="004C6841">
            <w:pPr>
              <w:jc w:val="center"/>
              <w:rPr>
                <w:sz w:val="20"/>
                <w:szCs w:val="20"/>
              </w:rPr>
            </w:pPr>
            <w:r>
              <w:rPr>
                <w:b/>
                <w:sz w:val="20"/>
                <w:szCs w:val="20"/>
              </w:rPr>
              <w:t>9.2</w:t>
            </w:r>
            <w:r w:rsidR="00AA172C" w:rsidRPr="009C1672">
              <w:rPr>
                <w:b/>
                <w:sz w:val="20"/>
                <w:szCs w:val="20"/>
              </w:rPr>
              <w:t xml:space="preserve"> (</w:t>
            </w:r>
            <w:r>
              <w:rPr>
                <w:b/>
                <w:sz w:val="20"/>
                <w:szCs w:val="20"/>
              </w:rPr>
              <w:t>2.</w:t>
            </w:r>
            <w:r w:rsidR="006D1186">
              <w:rPr>
                <w:b/>
                <w:sz w:val="20"/>
                <w:szCs w:val="20"/>
              </w:rPr>
              <w:t>1</w:t>
            </w:r>
            <w:r w:rsidR="00AA172C" w:rsidRPr="009C1672">
              <w:rPr>
                <w:b/>
                <w:sz w:val="20"/>
                <w:szCs w:val="20"/>
              </w:rPr>
              <w:t>,</w:t>
            </w:r>
            <w:r w:rsidR="00AA172C">
              <w:rPr>
                <w:b/>
                <w:sz w:val="20"/>
                <w:szCs w:val="20"/>
              </w:rPr>
              <w:t xml:space="preserve"> 1</w:t>
            </w:r>
            <w:r>
              <w:rPr>
                <w:b/>
                <w:sz w:val="20"/>
                <w:szCs w:val="20"/>
              </w:rPr>
              <w:t>6.3</w:t>
            </w:r>
            <w:r w:rsidR="00AA172C" w:rsidRPr="009C1672">
              <w:rPr>
                <w:b/>
                <w:sz w:val="20"/>
                <w:szCs w:val="20"/>
              </w:rPr>
              <w:t>)</w:t>
            </w:r>
          </w:p>
        </w:tc>
        <w:tc>
          <w:tcPr>
            <w:tcW w:w="2444" w:type="dxa"/>
            <w:tcBorders>
              <w:top w:val="single" w:sz="8" w:space="0" w:color="DBE5F1" w:themeColor="accent1" w:themeTint="33"/>
              <w:bottom w:val="single" w:sz="8" w:space="0" w:color="DBE5F1" w:themeColor="accent1" w:themeTint="33"/>
            </w:tcBorders>
          </w:tcPr>
          <w:p w14:paraId="3E3DE978" w14:textId="53C501BB" w:rsidR="00AA172C" w:rsidRPr="009C1672" w:rsidRDefault="00AA172C" w:rsidP="00EB4B7D">
            <w:pPr>
              <w:jc w:val="center"/>
              <w:rPr>
                <w:b/>
                <w:sz w:val="20"/>
                <w:szCs w:val="20"/>
              </w:rPr>
            </w:pPr>
            <w:r w:rsidRPr="009C1672">
              <w:rPr>
                <w:sz w:val="20"/>
                <w:szCs w:val="20"/>
              </w:rPr>
              <w:t>0</w:t>
            </w:r>
            <w:r>
              <w:rPr>
                <w:sz w:val="20"/>
                <w:szCs w:val="20"/>
              </w:rPr>
              <w:t>.0</w:t>
            </w:r>
            <w:r w:rsidR="006D1186">
              <w:rPr>
                <w:sz w:val="20"/>
                <w:szCs w:val="20"/>
              </w:rPr>
              <w:t>1</w:t>
            </w:r>
            <w:r w:rsidRPr="009C1672">
              <w:rPr>
                <w:sz w:val="20"/>
                <w:szCs w:val="20"/>
              </w:rPr>
              <w:t xml:space="preserve"> (-0.1,</w:t>
            </w:r>
            <w:r>
              <w:rPr>
                <w:sz w:val="20"/>
                <w:szCs w:val="20"/>
              </w:rPr>
              <w:t xml:space="preserve"> </w:t>
            </w:r>
            <w:r w:rsidRPr="009C1672">
              <w:rPr>
                <w:sz w:val="20"/>
                <w:szCs w:val="20"/>
              </w:rPr>
              <w:t>0.1)</w:t>
            </w:r>
          </w:p>
        </w:tc>
        <w:tc>
          <w:tcPr>
            <w:tcW w:w="2409" w:type="dxa"/>
            <w:tcBorders>
              <w:top w:val="single" w:sz="8" w:space="0" w:color="DBE5F1" w:themeColor="accent1" w:themeTint="33"/>
              <w:bottom w:val="single" w:sz="8" w:space="0" w:color="DBE5F1" w:themeColor="accent1" w:themeTint="33"/>
            </w:tcBorders>
          </w:tcPr>
          <w:p w14:paraId="6832800D" w14:textId="3928E26D" w:rsidR="00AA172C" w:rsidRPr="009C1672" w:rsidRDefault="00AA172C" w:rsidP="00EB4B7D">
            <w:pPr>
              <w:jc w:val="center"/>
              <w:rPr>
                <w:b/>
                <w:sz w:val="20"/>
                <w:szCs w:val="20"/>
              </w:rPr>
            </w:pPr>
            <w:r>
              <w:rPr>
                <w:sz w:val="20"/>
                <w:szCs w:val="20"/>
              </w:rPr>
              <w:t>1</w:t>
            </w:r>
            <w:r w:rsidR="00B13BC9">
              <w:rPr>
                <w:sz w:val="20"/>
                <w:szCs w:val="20"/>
              </w:rPr>
              <w:t>0.5</w:t>
            </w:r>
            <w:r w:rsidRPr="009C1672">
              <w:rPr>
                <w:sz w:val="20"/>
                <w:szCs w:val="20"/>
              </w:rPr>
              <w:t xml:space="preserve"> (-</w:t>
            </w:r>
            <w:r w:rsidR="00B13BC9">
              <w:rPr>
                <w:sz w:val="20"/>
                <w:szCs w:val="20"/>
              </w:rPr>
              <w:t>3.1</w:t>
            </w:r>
            <w:r w:rsidRPr="009C1672">
              <w:rPr>
                <w:sz w:val="20"/>
                <w:szCs w:val="20"/>
              </w:rPr>
              <w:t>,</w:t>
            </w:r>
            <w:r>
              <w:rPr>
                <w:sz w:val="20"/>
                <w:szCs w:val="20"/>
              </w:rPr>
              <w:t xml:space="preserve"> 2</w:t>
            </w:r>
            <w:r w:rsidR="00B13BC9">
              <w:rPr>
                <w:sz w:val="20"/>
                <w:szCs w:val="20"/>
              </w:rPr>
              <w:t>4.2</w:t>
            </w:r>
            <w:r w:rsidRPr="009C1672">
              <w:rPr>
                <w:sz w:val="20"/>
                <w:szCs w:val="20"/>
              </w:rPr>
              <w:t>)</w:t>
            </w:r>
          </w:p>
        </w:tc>
        <w:tc>
          <w:tcPr>
            <w:tcW w:w="2161" w:type="dxa"/>
            <w:tcBorders>
              <w:top w:val="single" w:sz="8" w:space="0" w:color="DBE5F1" w:themeColor="accent1" w:themeTint="33"/>
              <w:bottom w:val="single" w:sz="8" w:space="0" w:color="DBE5F1" w:themeColor="accent1" w:themeTint="33"/>
            </w:tcBorders>
          </w:tcPr>
          <w:p w14:paraId="74675C4B" w14:textId="0FBD6FFD" w:rsidR="00AA172C" w:rsidRPr="009C1672" w:rsidRDefault="00AA172C" w:rsidP="004C6841">
            <w:pPr>
              <w:jc w:val="center"/>
              <w:rPr>
                <w:b/>
                <w:sz w:val="20"/>
                <w:szCs w:val="20"/>
              </w:rPr>
            </w:pPr>
            <w:r>
              <w:rPr>
                <w:sz w:val="20"/>
                <w:szCs w:val="20"/>
              </w:rPr>
              <w:t>2</w:t>
            </w:r>
            <w:r w:rsidR="001C2CDC">
              <w:rPr>
                <w:sz w:val="20"/>
                <w:szCs w:val="20"/>
              </w:rPr>
              <w:t>4.6</w:t>
            </w:r>
            <w:r w:rsidRPr="009C1672">
              <w:rPr>
                <w:sz w:val="20"/>
                <w:szCs w:val="20"/>
              </w:rPr>
              <w:t xml:space="preserve"> (-</w:t>
            </w:r>
            <w:r w:rsidR="001C2CDC">
              <w:rPr>
                <w:sz w:val="20"/>
                <w:szCs w:val="20"/>
              </w:rPr>
              <w:t>14.</w:t>
            </w:r>
            <w:r w:rsidR="006D1186">
              <w:rPr>
                <w:sz w:val="20"/>
                <w:szCs w:val="20"/>
              </w:rPr>
              <w:t>8</w:t>
            </w:r>
            <w:r w:rsidRPr="009C1672">
              <w:rPr>
                <w:sz w:val="20"/>
                <w:szCs w:val="20"/>
              </w:rPr>
              <w:t xml:space="preserve">, </w:t>
            </w:r>
            <w:r w:rsidR="001C2CDC">
              <w:rPr>
                <w:sz w:val="20"/>
                <w:szCs w:val="20"/>
              </w:rPr>
              <w:t>64.0</w:t>
            </w:r>
            <w:r w:rsidRPr="009C1672">
              <w:rPr>
                <w:sz w:val="20"/>
                <w:szCs w:val="20"/>
              </w:rPr>
              <w:t>)</w:t>
            </w:r>
          </w:p>
        </w:tc>
      </w:tr>
      <w:tr w:rsidR="00AA172C" w:rsidRPr="009C1672" w14:paraId="2396796F" w14:textId="77777777" w:rsidTr="006A7729">
        <w:tc>
          <w:tcPr>
            <w:tcW w:w="534" w:type="dxa"/>
            <w:tcBorders>
              <w:top w:val="single" w:sz="8" w:space="0" w:color="DBE5F1" w:themeColor="accent1" w:themeTint="33"/>
              <w:bottom w:val="single" w:sz="8" w:space="0" w:color="DBE5F1" w:themeColor="accent1" w:themeTint="33"/>
            </w:tcBorders>
          </w:tcPr>
          <w:p w14:paraId="43B3F612" w14:textId="77777777" w:rsidR="00AA172C" w:rsidRPr="009C1672" w:rsidRDefault="00AA172C" w:rsidP="00AA172C">
            <w:pPr>
              <w:jc w:val="both"/>
              <w:rPr>
                <w:sz w:val="20"/>
                <w:szCs w:val="20"/>
              </w:rPr>
            </w:pPr>
          </w:p>
        </w:tc>
        <w:tc>
          <w:tcPr>
            <w:tcW w:w="3827" w:type="dxa"/>
            <w:tcBorders>
              <w:top w:val="single" w:sz="8" w:space="0" w:color="DBE5F1" w:themeColor="accent1" w:themeTint="33"/>
              <w:bottom w:val="single" w:sz="8" w:space="0" w:color="DBE5F1" w:themeColor="accent1" w:themeTint="33"/>
            </w:tcBorders>
          </w:tcPr>
          <w:p w14:paraId="07D09C01" w14:textId="7097EEDC" w:rsidR="00AA172C" w:rsidRPr="009C1672" w:rsidRDefault="00AA172C" w:rsidP="00AA172C">
            <w:pPr>
              <w:jc w:val="both"/>
              <w:rPr>
                <w:sz w:val="20"/>
                <w:szCs w:val="20"/>
              </w:rPr>
            </w:pPr>
            <w:r>
              <w:rPr>
                <w:rFonts w:ascii="Calibri" w:eastAsia="Calibri" w:hAnsi="Calibri" w:cs="Times New Roman"/>
                <w:sz w:val="20"/>
                <w:szCs w:val="20"/>
              </w:rPr>
              <w:t>Low</w:t>
            </w:r>
            <w:r w:rsidR="00195182">
              <w:rPr>
                <w:rFonts w:ascii="Calibri" w:eastAsia="Calibri" w:hAnsi="Calibri" w:cs="Times New Roman"/>
                <w:sz w:val="20"/>
                <w:szCs w:val="20"/>
              </w:rPr>
              <w:t>er</w:t>
            </w:r>
            <w:r>
              <w:rPr>
                <w:rFonts w:ascii="Calibri" w:eastAsia="Calibri" w:hAnsi="Calibri" w:cs="Times New Roman"/>
                <w:sz w:val="20"/>
                <w:szCs w:val="20"/>
              </w:rPr>
              <w:t xml:space="preserve"> </w:t>
            </w:r>
            <w:r w:rsidRPr="00683A7B">
              <w:rPr>
                <w:rFonts w:ascii="Calibri" w:eastAsia="Calibri" w:hAnsi="Calibri" w:cs="Times New Roman"/>
                <w:sz w:val="20"/>
                <w:szCs w:val="20"/>
              </w:rPr>
              <w:t xml:space="preserve">tier </w:t>
            </w:r>
            <w:r>
              <w:rPr>
                <w:rFonts w:ascii="Calibri" w:eastAsia="Calibri" w:hAnsi="Calibri" w:cs="Times New Roman"/>
                <w:sz w:val="20"/>
                <w:szCs w:val="20"/>
              </w:rPr>
              <w:t>(</w:t>
            </w:r>
            <w:r w:rsidRPr="00683A7B">
              <w:rPr>
                <w:rFonts w:ascii="Calibri" w:eastAsia="Calibri" w:hAnsi="Calibri" w:cs="Times New Roman"/>
                <w:sz w:val="20"/>
                <w:szCs w:val="20"/>
              </w:rPr>
              <w:t xml:space="preserve">≥5g - &lt;8g </w:t>
            </w:r>
            <w:r>
              <w:rPr>
                <w:rFonts w:ascii="Calibri" w:eastAsia="Calibri" w:hAnsi="Calibri" w:cs="Times New Roman"/>
                <w:sz w:val="20"/>
                <w:szCs w:val="20"/>
              </w:rPr>
              <w:t>sugar</w:t>
            </w:r>
            <w:r w:rsidR="001F1E9A">
              <w:rPr>
                <w:rFonts w:ascii="Calibri" w:eastAsia="Calibri" w:hAnsi="Calibri" w:cs="Times New Roman"/>
                <w:sz w:val="20"/>
                <w:szCs w:val="20"/>
              </w:rPr>
              <w:t xml:space="preserve"> per </w:t>
            </w:r>
            <w:r w:rsidRPr="00683A7B">
              <w:rPr>
                <w:rFonts w:ascii="Calibri" w:eastAsia="Calibri" w:hAnsi="Calibri" w:cs="Times New Roman"/>
                <w:sz w:val="20"/>
                <w:szCs w:val="20"/>
              </w:rPr>
              <w:t>100ml</w:t>
            </w:r>
            <w:r>
              <w:rPr>
                <w:rFonts w:ascii="Calibri" w:eastAsia="Calibri" w:hAnsi="Calibri" w:cs="Times New Roman"/>
                <w:sz w:val="20"/>
                <w:szCs w:val="20"/>
              </w:rPr>
              <w:t>)</w:t>
            </w:r>
            <w:r>
              <w:t>†</w:t>
            </w:r>
          </w:p>
        </w:tc>
        <w:tc>
          <w:tcPr>
            <w:tcW w:w="1764" w:type="dxa"/>
            <w:tcBorders>
              <w:top w:val="single" w:sz="8" w:space="0" w:color="DBE5F1" w:themeColor="accent1" w:themeTint="33"/>
              <w:bottom w:val="single" w:sz="8" w:space="0" w:color="DBE5F1" w:themeColor="accent1" w:themeTint="33"/>
            </w:tcBorders>
          </w:tcPr>
          <w:p w14:paraId="68FD7E92" w14:textId="42FA1687" w:rsidR="00AA172C" w:rsidRPr="009C1672" w:rsidRDefault="00AA172C" w:rsidP="004C6841">
            <w:pPr>
              <w:jc w:val="center"/>
              <w:rPr>
                <w:sz w:val="20"/>
                <w:szCs w:val="20"/>
              </w:rPr>
            </w:pPr>
            <w:r w:rsidRPr="009C1672">
              <w:rPr>
                <w:sz w:val="20"/>
                <w:szCs w:val="20"/>
              </w:rPr>
              <w:t>-</w:t>
            </w:r>
            <w:r w:rsidR="007E33D9">
              <w:rPr>
                <w:sz w:val="20"/>
                <w:szCs w:val="20"/>
              </w:rPr>
              <w:t>1</w:t>
            </w:r>
            <w:r>
              <w:rPr>
                <w:sz w:val="20"/>
                <w:szCs w:val="20"/>
              </w:rPr>
              <w:t>.</w:t>
            </w:r>
            <w:r w:rsidR="007E33D9">
              <w:rPr>
                <w:sz w:val="20"/>
                <w:szCs w:val="20"/>
              </w:rPr>
              <w:t>1</w:t>
            </w:r>
            <w:r w:rsidRPr="009C1672">
              <w:rPr>
                <w:sz w:val="20"/>
                <w:szCs w:val="20"/>
              </w:rPr>
              <w:t xml:space="preserve"> (-</w:t>
            </w:r>
            <w:r>
              <w:rPr>
                <w:sz w:val="20"/>
                <w:szCs w:val="20"/>
              </w:rPr>
              <w:t>2.</w:t>
            </w:r>
            <w:r w:rsidR="007E33D9">
              <w:rPr>
                <w:sz w:val="20"/>
                <w:szCs w:val="20"/>
              </w:rPr>
              <w:t>9</w:t>
            </w:r>
            <w:r w:rsidRPr="009C1672">
              <w:rPr>
                <w:sz w:val="20"/>
                <w:szCs w:val="20"/>
              </w:rPr>
              <w:t xml:space="preserve">, </w:t>
            </w:r>
            <w:r w:rsidR="006D1186">
              <w:rPr>
                <w:sz w:val="20"/>
                <w:szCs w:val="20"/>
              </w:rPr>
              <w:t>0.</w:t>
            </w:r>
            <w:r w:rsidR="007E33D9">
              <w:rPr>
                <w:sz w:val="20"/>
                <w:szCs w:val="20"/>
              </w:rPr>
              <w:t>6</w:t>
            </w:r>
            <w:r w:rsidRPr="009C1672">
              <w:rPr>
                <w:sz w:val="20"/>
                <w:szCs w:val="20"/>
              </w:rPr>
              <w:t>)</w:t>
            </w:r>
          </w:p>
        </w:tc>
        <w:tc>
          <w:tcPr>
            <w:tcW w:w="2444" w:type="dxa"/>
            <w:tcBorders>
              <w:top w:val="single" w:sz="8" w:space="0" w:color="DBE5F1" w:themeColor="accent1" w:themeTint="33"/>
              <w:bottom w:val="single" w:sz="8" w:space="0" w:color="DBE5F1" w:themeColor="accent1" w:themeTint="33"/>
            </w:tcBorders>
          </w:tcPr>
          <w:p w14:paraId="5FED8752" w14:textId="0F3F2338" w:rsidR="00AA172C" w:rsidRPr="009C1672" w:rsidRDefault="00AA172C" w:rsidP="00D4624F">
            <w:pPr>
              <w:jc w:val="center"/>
              <w:rPr>
                <w:b/>
                <w:sz w:val="20"/>
                <w:szCs w:val="20"/>
              </w:rPr>
            </w:pPr>
            <w:r w:rsidRPr="009C1672">
              <w:rPr>
                <w:b/>
                <w:sz w:val="20"/>
                <w:szCs w:val="20"/>
              </w:rPr>
              <w:t>-0.00</w:t>
            </w:r>
            <w:r>
              <w:rPr>
                <w:b/>
                <w:sz w:val="20"/>
                <w:szCs w:val="20"/>
              </w:rPr>
              <w:t>1</w:t>
            </w:r>
            <w:r w:rsidRPr="009C1672">
              <w:rPr>
                <w:b/>
                <w:sz w:val="20"/>
                <w:szCs w:val="20"/>
              </w:rPr>
              <w:t xml:space="preserve"> (-0.</w:t>
            </w:r>
            <w:r>
              <w:rPr>
                <w:b/>
                <w:sz w:val="20"/>
                <w:szCs w:val="20"/>
              </w:rPr>
              <w:t>0</w:t>
            </w:r>
            <w:r w:rsidRPr="009C1672">
              <w:rPr>
                <w:b/>
                <w:sz w:val="20"/>
                <w:szCs w:val="20"/>
              </w:rPr>
              <w:t>01, -0.0</w:t>
            </w:r>
            <w:r>
              <w:rPr>
                <w:b/>
                <w:sz w:val="20"/>
                <w:szCs w:val="20"/>
              </w:rPr>
              <w:t>0</w:t>
            </w:r>
            <w:r w:rsidRPr="009C1672">
              <w:rPr>
                <w:b/>
                <w:sz w:val="20"/>
                <w:szCs w:val="20"/>
              </w:rPr>
              <w:t>0</w:t>
            </w:r>
            <w:r w:rsidR="001C2CDC">
              <w:rPr>
                <w:b/>
                <w:sz w:val="20"/>
                <w:szCs w:val="20"/>
              </w:rPr>
              <w:t>2</w:t>
            </w:r>
            <w:r w:rsidRPr="009C1672">
              <w:rPr>
                <w:b/>
                <w:sz w:val="20"/>
                <w:szCs w:val="20"/>
              </w:rPr>
              <w:t>)</w:t>
            </w:r>
          </w:p>
        </w:tc>
        <w:tc>
          <w:tcPr>
            <w:tcW w:w="2409" w:type="dxa"/>
            <w:tcBorders>
              <w:top w:val="single" w:sz="8" w:space="0" w:color="DBE5F1" w:themeColor="accent1" w:themeTint="33"/>
              <w:bottom w:val="single" w:sz="8" w:space="0" w:color="DBE5F1" w:themeColor="accent1" w:themeTint="33"/>
            </w:tcBorders>
          </w:tcPr>
          <w:p w14:paraId="366D3E4A" w14:textId="15A30DA6" w:rsidR="00AA172C" w:rsidRPr="009C1672" w:rsidRDefault="00AA172C">
            <w:pPr>
              <w:jc w:val="center"/>
              <w:rPr>
                <w:b/>
                <w:sz w:val="20"/>
                <w:szCs w:val="20"/>
              </w:rPr>
            </w:pPr>
            <w:r w:rsidRPr="009C1672">
              <w:rPr>
                <w:b/>
                <w:sz w:val="20"/>
                <w:szCs w:val="20"/>
              </w:rPr>
              <w:t>-</w:t>
            </w:r>
            <w:r>
              <w:rPr>
                <w:b/>
                <w:sz w:val="20"/>
                <w:szCs w:val="20"/>
              </w:rPr>
              <w:t>6.</w:t>
            </w:r>
            <w:r w:rsidR="00B13BC9">
              <w:rPr>
                <w:b/>
                <w:sz w:val="20"/>
                <w:szCs w:val="20"/>
              </w:rPr>
              <w:t xml:space="preserve">4 </w:t>
            </w:r>
            <w:r w:rsidRPr="009C1672">
              <w:rPr>
                <w:b/>
                <w:sz w:val="20"/>
                <w:szCs w:val="20"/>
              </w:rPr>
              <w:t>(-</w:t>
            </w:r>
            <w:r w:rsidR="006D1186">
              <w:rPr>
                <w:b/>
                <w:sz w:val="20"/>
                <w:szCs w:val="20"/>
              </w:rPr>
              <w:t>9.</w:t>
            </w:r>
            <w:r w:rsidR="00B13BC9">
              <w:rPr>
                <w:b/>
                <w:sz w:val="20"/>
                <w:szCs w:val="20"/>
              </w:rPr>
              <w:t>8</w:t>
            </w:r>
            <w:r w:rsidRPr="009C1672">
              <w:rPr>
                <w:b/>
                <w:sz w:val="20"/>
                <w:szCs w:val="20"/>
              </w:rPr>
              <w:t>,</w:t>
            </w:r>
            <w:r>
              <w:rPr>
                <w:b/>
                <w:sz w:val="20"/>
                <w:szCs w:val="20"/>
              </w:rPr>
              <w:t xml:space="preserve"> -3.</w:t>
            </w:r>
            <w:r w:rsidR="00B13BC9">
              <w:rPr>
                <w:b/>
                <w:sz w:val="20"/>
                <w:szCs w:val="20"/>
              </w:rPr>
              <w:t>1</w:t>
            </w:r>
            <w:r w:rsidRPr="009C1672">
              <w:rPr>
                <w:b/>
                <w:sz w:val="20"/>
                <w:szCs w:val="20"/>
              </w:rPr>
              <w:t>)</w:t>
            </w:r>
          </w:p>
        </w:tc>
        <w:tc>
          <w:tcPr>
            <w:tcW w:w="2161" w:type="dxa"/>
            <w:tcBorders>
              <w:top w:val="single" w:sz="8" w:space="0" w:color="DBE5F1" w:themeColor="accent1" w:themeTint="33"/>
              <w:bottom w:val="single" w:sz="8" w:space="0" w:color="DBE5F1" w:themeColor="accent1" w:themeTint="33"/>
            </w:tcBorders>
          </w:tcPr>
          <w:p w14:paraId="17FB6D22" w14:textId="1F49B92F" w:rsidR="00AA172C" w:rsidRPr="009C1672" w:rsidRDefault="00AA172C">
            <w:pPr>
              <w:jc w:val="center"/>
              <w:rPr>
                <w:b/>
                <w:sz w:val="20"/>
                <w:szCs w:val="20"/>
              </w:rPr>
            </w:pPr>
            <w:r w:rsidRPr="009C1672">
              <w:rPr>
                <w:b/>
                <w:sz w:val="20"/>
                <w:szCs w:val="20"/>
              </w:rPr>
              <w:t>-5</w:t>
            </w:r>
            <w:r w:rsidR="006D1186">
              <w:rPr>
                <w:b/>
                <w:sz w:val="20"/>
                <w:szCs w:val="20"/>
              </w:rPr>
              <w:t>3.</w:t>
            </w:r>
            <w:r w:rsidR="001C2CDC">
              <w:rPr>
                <w:b/>
                <w:sz w:val="20"/>
                <w:szCs w:val="20"/>
              </w:rPr>
              <w:t>1</w:t>
            </w:r>
            <w:r w:rsidRPr="009C1672">
              <w:rPr>
                <w:b/>
                <w:sz w:val="20"/>
                <w:szCs w:val="20"/>
              </w:rPr>
              <w:t xml:space="preserve"> (-</w:t>
            </w:r>
            <w:r w:rsidR="006D1186">
              <w:rPr>
                <w:b/>
                <w:sz w:val="20"/>
                <w:szCs w:val="20"/>
              </w:rPr>
              <w:t>69</w:t>
            </w:r>
            <w:r w:rsidR="001C2CDC">
              <w:rPr>
                <w:b/>
                <w:sz w:val="20"/>
                <w:szCs w:val="20"/>
              </w:rPr>
              <w:t>.0</w:t>
            </w:r>
            <w:r w:rsidRPr="009C1672">
              <w:rPr>
                <w:b/>
                <w:sz w:val="20"/>
                <w:szCs w:val="20"/>
              </w:rPr>
              <w:t>,</w:t>
            </w:r>
            <w:r>
              <w:rPr>
                <w:b/>
                <w:sz w:val="20"/>
                <w:szCs w:val="20"/>
              </w:rPr>
              <w:t xml:space="preserve"> </w:t>
            </w:r>
            <w:r w:rsidRPr="009C1672">
              <w:rPr>
                <w:b/>
                <w:sz w:val="20"/>
                <w:szCs w:val="20"/>
              </w:rPr>
              <w:t>-</w:t>
            </w:r>
            <w:r w:rsidR="006D1186">
              <w:rPr>
                <w:b/>
                <w:sz w:val="20"/>
                <w:szCs w:val="20"/>
              </w:rPr>
              <w:t>37.</w:t>
            </w:r>
            <w:r w:rsidR="001C2CDC">
              <w:rPr>
                <w:b/>
                <w:sz w:val="20"/>
                <w:szCs w:val="20"/>
              </w:rPr>
              <w:t>3</w:t>
            </w:r>
            <w:r w:rsidRPr="009C1672">
              <w:rPr>
                <w:b/>
                <w:sz w:val="20"/>
                <w:szCs w:val="20"/>
              </w:rPr>
              <w:t>)</w:t>
            </w:r>
          </w:p>
        </w:tc>
      </w:tr>
      <w:tr w:rsidR="00AA172C" w:rsidRPr="009C1672" w14:paraId="60DD8B6C" w14:textId="77777777" w:rsidTr="006A7729">
        <w:tc>
          <w:tcPr>
            <w:tcW w:w="534" w:type="dxa"/>
            <w:tcBorders>
              <w:top w:val="single" w:sz="8" w:space="0" w:color="DBE5F1" w:themeColor="accent1" w:themeTint="33"/>
              <w:bottom w:val="single" w:sz="8" w:space="0" w:color="DBE5F1" w:themeColor="accent1" w:themeTint="33"/>
            </w:tcBorders>
          </w:tcPr>
          <w:p w14:paraId="4F30E8DD" w14:textId="77777777" w:rsidR="00AA172C" w:rsidRPr="009C1672" w:rsidRDefault="00AA172C" w:rsidP="00AA172C">
            <w:pPr>
              <w:jc w:val="both"/>
              <w:rPr>
                <w:sz w:val="20"/>
                <w:szCs w:val="20"/>
              </w:rPr>
            </w:pPr>
          </w:p>
        </w:tc>
        <w:tc>
          <w:tcPr>
            <w:tcW w:w="3827" w:type="dxa"/>
            <w:tcBorders>
              <w:top w:val="single" w:sz="8" w:space="0" w:color="DBE5F1" w:themeColor="accent1" w:themeTint="33"/>
              <w:bottom w:val="single" w:sz="8" w:space="0" w:color="DBE5F1" w:themeColor="accent1" w:themeTint="33"/>
            </w:tcBorders>
          </w:tcPr>
          <w:p w14:paraId="5EBD671F" w14:textId="3FB2BE3A" w:rsidR="00AA172C" w:rsidRPr="009C1672" w:rsidRDefault="00AA172C" w:rsidP="00AA172C">
            <w:pPr>
              <w:jc w:val="both"/>
              <w:rPr>
                <w:sz w:val="20"/>
                <w:szCs w:val="20"/>
              </w:rPr>
            </w:pPr>
            <w:r w:rsidRPr="00683A7B">
              <w:rPr>
                <w:rFonts w:ascii="Calibri" w:eastAsia="Calibri" w:hAnsi="Calibri" w:cs="Times New Roman"/>
                <w:sz w:val="20"/>
                <w:szCs w:val="20"/>
              </w:rPr>
              <w:t xml:space="preserve">No levy </w:t>
            </w:r>
            <w:r>
              <w:rPr>
                <w:rFonts w:ascii="Calibri" w:eastAsia="Calibri" w:hAnsi="Calibri" w:cs="Times New Roman"/>
                <w:sz w:val="20"/>
                <w:szCs w:val="20"/>
              </w:rPr>
              <w:t>(</w:t>
            </w:r>
            <w:r w:rsidRPr="00683A7B">
              <w:rPr>
                <w:rFonts w:ascii="Calibri" w:eastAsia="Calibri" w:hAnsi="Calibri" w:cs="Times New Roman"/>
                <w:sz w:val="20"/>
                <w:szCs w:val="20"/>
              </w:rPr>
              <w:t xml:space="preserve">&lt;5g </w:t>
            </w:r>
            <w:r>
              <w:rPr>
                <w:rFonts w:ascii="Calibri" w:eastAsia="Calibri" w:hAnsi="Calibri" w:cs="Times New Roman"/>
                <w:sz w:val="20"/>
                <w:szCs w:val="20"/>
              </w:rPr>
              <w:t>sugar</w:t>
            </w:r>
            <w:r w:rsidR="001F1E9A">
              <w:rPr>
                <w:rFonts w:ascii="Calibri" w:eastAsia="Calibri" w:hAnsi="Calibri" w:cs="Times New Roman"/>
                <w:sz w:val="20"/>
                <w:szCs w:val="20"/>
              </w:rPr>
              <w:t xml:space="preserve"> per </w:t>
            </w:r>
            <w:r w:rsidRPr="00683A7B">
              <w:rPr>
                <w:rFonts w:ascii="Calibri" w:eastAsia="Calibri" w:hAnsi="Calibri" w:cs="Times New Roman"/>
                <w:sz w:val="20"/>
                <w:szCs w:val="20"/>
              </w:rPr>
              <w:t>100ml</w:t>
            </w:r>
            <w:r>
              <w:rPr>
                <w:rFonts w:ascii="Calibri" w:eastAsia="Calibri" w:hAnsi="Calibri" w:cs="Times New Roman"/>
                <w:sz w:val="20"/>
                <w:szCs w:val="20"/>
              </w:rPr>
              <w:t>)</w:t>
            </w:r>
            <w:r>
              <w:t>†</w:t>
            </w:r>
          </w:p>
        </w:tc>
        <w:tc>
          <w:tcPr>
            <w:tcW w:w="1764" w:type="dxa"/>
            <w:tcBorders>
              <w:top w:val="single" w:sz="8" w:space="0" w:color="DBE5F1" w:themeColor="accent1" w:themeTint="33"/>
              <w:bottom w:val="single" w:sz="8" w:space="0" w:color="DBE5F1" w:themeColor="accent1" w:themeTint="33"/>
            </w:tcBorders>
          </w:tcPr>
          <w:p w14:paraId="2329FB43" w14:textId="6782DCAA" w:rsidR="00AA172C" w:rsidRPr="009C1672" w:rsidRDefault="007E33D9" w:rsidP="00EB4B7D">
            <w:pPr>
              <w:jc w:val="center"/>
              <w:rPr>
                <w:sz w:val="20"/>
                <w:szCs w:val="20"/>
              </w:rPr>
            </w:pPr>
            <w:r>
              <w:rPr>
                <w:sz w:val="20"/>
                <w:szCs w:val="20"/>
              </w:rPr>
              <w:t>-</w:t>
            </w:r>
            <w:r w:rsidR="00AA172C">
              <w:rPr>
                <w:sz w:val="20"/>
                <w:szCs w:val="20"/>
              </w:rPr>
              <w:t>0.</w:t>
            </w:r>
            <w:r w:rsidR="006D1186">
              <w:rPr>
                <w:sz w:val="20"/>
                <w:szCs w:val="20"/>
              </w:rPr>
              <w:t>3</w:t>
            </w:r>
            <w:r w:rsidR="00AA172C" w:rsidRPr="009C1672">
              <w:rPr>
                <w:sz w:val="20"/>
                <w:szCs w:val="20"/>
              </w:rPr>
              <w:t xml:space="preserve"> (-1</w:t>
            </w:r>
            <w:r w:rsidR="006D1186">
              <w:rPr>
                <w:sz w:val="20"/>
                <w:szCs w:val="20"/>
              </w:rPr>
              <w:t>.</w:t>
            </w:r>
            <w:r>
              <w:rPr>
                <w:sz w:val="20"/>
                <w:szCs w:val="20"/>
              </w:rPr>
              <w:t>5</w:t>
            </w:r>
            <w:r w:rsidR="00AA172C" w:rsidRPr="009C1672">
              <w:rPr>
                <w:sz w:val="20"/>
                <w:szCs w:val="20"/>
              </w:rPr>
              <w:t>,</w:t>
            </w:r>
            <w:r w:rsidR="00AA172C">
              <w:rPr>
                <w:sz w:val="20"/>
                <w:szCs w:val="20"/>
              </w:rPr>
              <w:t xml:space="preserve"> </w:t>
            </w:r>
            <w:r>
              <w:rPr>
                <w:sz w:val="20"/>
                <w:szCs w:val="20"/>
              </w:rPr>
              <w:t>0.9</w:t>
            </w:r>
            <w:r w:rsidR="00AA172C" w:rsidRPr="009C1672">
              <w:rPr>
                <w:sz w:val="20"/>
                <w:szCs w:val="20"/>
              </w:rPr>
              <w:t>)</w:t>
            </w:r>
          </w:p>
        </w:tc>
        <w:tc>
          <w:tcPr>
            <w:tcW w:w="2444" w:type="dxa"/>
            <w:tcBorders>
              <w:top w:val="single" w:sz="8" w:space="0" w:color="DBE5F1" w:themeColor="accent1" w:themeTint="33"/>
              <w:bottom w:val="single" w:sz="8" w:space="0" w:color="DBE5F1" w:themeColor="accent1" w:themeTint="33"/>
            </w:tcBorders>
          </w:tcPr>
          <w:p w14:paraId="1C98FB81" w14:textId="30580135" w:rsidR="00AA172C" w:rsidRPr="00AE6F97" w:rsidRDefault="006D1186" w:rsidP="00AE6F97">
            <w:pPr>
              <w:jc w:val="center"/>
              <w:rPr>
                <w:b/>
                <w:sz w:val="20"/>
                <w:szCs w:val="20"/>
              </w:rPr>
            </w:pPr>
            <w:r w:rsidRPr="00AE6F97">
              <w:rPr>
                <w:b/>
                <w:sz w:val="20"/>
                <w:szCs w:val="20"/>
              </w:rPr>
              <w:t>0.000</w:t>
            </w:r>
            <w:r w:rsidR="006962B0" w:rsidRPr="00AE6F97">
              <w:rPr>
                <w:b/>
                <w:sz w:val="20"/>
                <w:szCs w:val="20"/>
              </w:rPr>
              <w:t>5</w:t>
            </w:r>
            <w:r w:rsidRPr="00AE6F97">
              <w:rPr>
                <w:b/>
                <w:sz w:val="20"/>
                <w:szCs w:val="20"/>
              </w:rPr>
              <w:t xml:space="preserve"> (</w:t>
            </w:r>
            <w:r w:rsidR="006962B0" w:rsidRPr="00AE6F97">
              <w:rPr>
                <w:b/>
                <w:sz w:val="20"/>
                <w:szCs w:val="20"/>
              </w:rPr>
              <w:t xml:space="preserve"> 0.0002</w:t>
            </w:r>
            <w:r w:rsidR="006962B0" w:rsidRPr="00AE6F97">
              <w:rPr>
                <w:b/>
                <w:sz w:val="20"/>
                <w:szCs w:val="20"/>
              </w:rPr>
              <w:tab/>
              <w:t>0.00</w:t>
            </w:r>
            <w:r w:rsidR="00B13BC9" w:rsidRPr="00AE6F97">
              <w:rPr>
                <w:b/>
                <w:sz w:val="20"/>
                <w:szCs w:val="20"/>
              </w:rPr>
              <w:t>1</w:t>
            </w:r>
            <w:r w:rsidRPr="00AE6F97">
              <w:rPr>
                <w:b/>
                <w:sz w:val="20"/>
                <w:szCs w:val="20"/>
              </w:rPr>
              <w:t>)</w:t>
            </w:r>
          </w:p>
        </w:tc>
        <w:tc>
          <w:tcPr>
            <w:tcW w:w="2409" w:type="dxa"/>
            <w:tcBorders>
              <w:top w:val="single" w:sz="8" w:space="0" w:color="DBE5F1" w:themeColor="accent1" w:themeTint="33"/>
              <w:bottom w:val="single" w:sz="8" w:space="0" w:color="DBE5F1" w:themeColor="accent1" w:themeTint="33"/>
            </w:tcBorders>
          </w:tcPr>
          <w:p w14:paraId="33F54640" w14:textId="304903EC" w:rsidR="00AA172C" w:rsidRPr="009C1672" w:rsidRDefault="006D1186" w:rsidP="00D4624F">
            <w:pPr>
              <w:jc w:val="center"/>
              <w:rPr>
                <w:b/>
                <w:sz w:val="20"/>
                <w:szCs w:val="20"/>
              </w:rPr>
            </w:pPr>
            <w:r>
              <w:rPr>
                <w:b/>
                <w:sz w:val="20"/>
                <w:szCs w:val="20"/>
              </w:rPr>
              <w:t>6.</w:t>
            </w:r>
            <w:r w:rsidR="006962B0">
              <w:rPr>
                <w:b/>
                <w:sz w:val="20"/>
                <w:szCs w:val="20"/>
              </w:rPr>
              <w:t>1</w:t>
            </w:r>
            <w:r w:rsidR="00AA172C" w:rsidRPr="009C1672">
              <w:rPr>
                <w:b/>
                <w:sz w:val="20"/>
                <w:szCs w:val="20"/>
              </w:rPr>
              <w:t xml:space="preserve"> (</w:t>
            </w:r>
            <w:r w:rsidR="00AA172C">
              <w:rPr>
                <w:b/>
                <w:sz w:val="20"/>
                <w:szCs w:val="20"/>
              </w:rPr>
              <w:t>3.</w:t>
            </w:r>
            <w:r>
              <w:rPr>
                <w:b/>
                <w:sz w:val="20"/>
                <w:szCs w:val="20"/>
              </w:rPr>
              <w:t>9</w:t>
            </w:r>
            <w:r w:rsidR="00AA172C" w:rsidRPr="009C1672">
              <w:rPr>
                <w:b/>
                <w:sz w:val="20"/>
                <w:szCs w:val="20"/>
              </w:rPr>
              <w:t xml:space="preserve">, </w:t>
            </w:r>
            <w:r>
              <w:rPr>
                <w:b/>
                <w:sz w:val="20"/>
                <w:szCs w:val="20"/>
              </w:rPr>
              <w:t>8.</w:t>
            </w:r>
            <w:r w:rsidR="006962B0">
              <w:rPr>
                <w:b/>
                <w:sz w:val="20"/>
                <w:szCs w:val="20"/>
              </w:rPr>
              <w:t>2</w:t>
            </w:r>
            <w:r w:rsidR="00AA172C" w:rsidRPr="009C1672">
              <w:rPr>
                <w:b/>
                <w:sz w:val="20"/>
                <w:szCs w:val="20"/>
              </w:rPr>
              <w:t>)</w:t>
            </w:r>
          </w:p>
        </w:tc>
        <w:tc>
          <w:tcPr>
            <w:tcW w:w="2161" w:type="dxa"/>
            <w:tcBorders>
              <w:top w:val="single" w:sz="8" w:space="0" w:color="DBE5F1" w:themeColor="accent1" w:themeTint="33"/>
              <w:bottom w:val="single" w:sz="8" w:space="0" w:color="DBE5F1" w:themeColor="accent1" w:themeTint="33"/>
            </w:tcBorders>
          </w:tcPr>
          <w:p w14:paraId="6394DC8A" w14:textId="43186153" w:rsidR="00AA172C" w:rsidRPr="009C1672" w:rsidRDefault="006962B0">
            <w:pPr>
              <w:jc w:val="center"/>
              <w:rPr>
                <w:b/>
                <w:sz w:val="20"/>
                <w:szCs w:val="20"/>
              </w:rPr>
            </w:pPr>
            <w:r>
              <w:rPr>
                <w:b/>
                <w:sz w:val="20"/>
                <w:szCs w:val="20"/>
              </w:rPr>
              <w:t>68.8</w:t>
            </w:r>
            <w:r w:rsidR="00AA172C" w:rsidRPr="009C1672">
              <w:rPr>
                <w:b/>
                <w:sz w:val="20"/>
                <w:szCs w:val="20"/>
              </w:rPr>
              <w:t xml:space="preserve"> (</w:t>
            </w:r>
            <w:r w:rsidR="006D1186">
              <w:rPr>
                <w:b/>
                <w:sz w:val="20"/>
                <w:szCs w:val="20"/>
              </w:rPr>
              <w:t>1</w:t>
            </w:r>
            <w:r>
              <w:rPr>
                <w:b/>
                <w:sz w:val="20"/>
                <w:szCs w:val="20"/>
              </w:rPr>
              <w:t>9.1</w:t>
            </w:r>
            <w:r w:rsidR="00AA172C" w:rsidRPr="009C1672">
              <w:rPr>
                <w:b/>
                <w:sz w:val="20"/>
                <w:szCs w:val="20"/>
              </w:rPr>
              <w:t>,</w:t>
            </w:r>
            <w:r w:rsidR="00AA172C">
              <w:rPr>
                <w:b/>
                <w:sz w:val="20"/>
                <w:szCs w:val="20"/>
              </w:rPr>
              <w:t xml:space="preserve"> </w:t>
            </w:r>
            <w:r>
              <w:rPr>
                <w:b/>
                <w:sz w:val="20"/>
                <w:szCs w:val="20"/>
              </w:rPr>
              <w:t>118.6</w:t>
            </w:r>
            <w:r w:rsidR="00AA172C" w:rsidRPr="009C1672">
              <w:rPr>
                <w:b/>
                <w:sz w:val="20"/>
                <w:szCs w:val="20"/>
              </w:rPr>
              <w:t>)</w:t>
            </w:r>
          </w:p>
        </w:tc>
      </w:tr>
      <w:tr w:rsidR="003026DF" w:rsidRPr="009C1672" w14:paraId="09D0C0D8" w14:textId="77777777" w:rsidTr="006A7729">
        <w:tc>
          <w:tcPr>
            <w:tcW w:w="534" w:type="dxa"/>
            <w:tcBorders>
              <w:top w:val="single" w:sz="8" w:space="0" w:color="DBE5F1" w:themeColor="accent1" w:themeTint="33"/>
              <w:bottom w:val="single" w:sz="8" w:space="0" w:color="DBE5F1" w:themeColor="accent1" w:themeTint="33"/>
            </w:tcBorders>
          </w:tcPr>
          <w:p w14:paraId="0BD7F454" w14:textId="77777777" w:rsidR="003026DF" w:rsidRPr="009C1672" w:rsidRDefault="003026DF" w:rsidP="003026DF">
            <w:pPr>
              <w:jc w:val="both"/>
              <w:rPr>
                <w:sz w:val="20"/>
                <w:szCs w:val="20"/>
              </w:rPr>
            </w:pPr>
          </w:p>
        </w:tc>
        <w:tc>
          <w:tcPr>
            <w:tcW w:w="3827" w:type="dxa"/>
            <w:tcBorders>
              <w:top w:val="single" w:sz="8" w:space="0" w:color="DBE5F1" w:themeColor="accent1" w:themeTint="33"/>
              <w:bottom w:val="single" w:sz="8" w:space="0" w:color="DBE5F1" w:themeColor="accent1" w:themeTint="33"/>
            </w:tcBorders>
          </w:tcPr>
          <w:p w14:paraId="76C4E6F2" w14:textId="5CD791F3" w:rsidR="003026DF" w:rsidRPr="00683A7B" w:rsidRDefault="003026DF" w:rsidP="003026DF">
            <w:pPr>
              <w:ind w:firstLine="351"/>
              <w:jc w:val="both"/>
              <w:rPr>
                <w:rFonts w:ascii="Calibri" w:eastAsia="Calibri" w:hAnsi="Calibri" w:cs="Times New Roman"/>
                <w:sz w:val="20"/>
                <w:szCs w:val="20"/>
              </w:rPr>
            </w:pPr>
            <w:r w:rsidRPr="009C1672">
              <w:rPr>
                <w:sz w:val="20"/>
                <w:szCs w:val="20"/>
              </w:rPr>
              <w:t xml:space="preserve">Drinks </w:t>
            </w:r>
            <w:r>
              <w:rPr>
                <w:sz w:val="20"/>
                <w:szCs w:val="20"/>
              </w:rPr>
              <w:t>with</w:t>
            </w:r>
            <w:r w:rsidRPr="009C1672">
              <w:rPr>
                <w:sz w:val="20"/>
                <w:szCs w:val="20"/>
              </w:rPr>
              <w:t xml:space="preserve"> &gt;0g - &lt;5g  </w:t>
            </w:r>
            <w:r>
              <w:rPr>
                <w:sz w:val="20"/>
                <w:szCs w:val="20"/>
              </w:rPr>
              <w:t>sugar</w:t>
            </w:r>
            <w:r w:rsidR="001F1E9A">
              <w:rPr>
                <w:sz w:val="20"/>
                <w:szCs w:val="20"/>
              </w:rPr>
              <w:t xml:space="preserve"> per </w:t>
            </w:r>
            <w:r w:rsidRPr="009C1672">
              <w:rPr>
                <w:sz w:val="20"/>
                <w:szCs w:val="20"/>
              </w:rPr>
              <w:t>100ml</w:t>
            </w:r>
            <w:r w:rsidRPr="0027301D">
              <w:rPr>
                <w:sz w:val="20"/>
                <w:szCs w:val="20"/>
                <w:vertAlign w:val="superscript"/>
              </w:rPr>
              <w:t>†</w:t>
            </w:r>
          </w:p>
        </w:tc>
        <w:tc>
          <w:tcPr>
            <w:tcW w:w="1764" w:type="dxa"/>
            <w:tcBorders>
              <w:top w:val="single" w:sz="8" w:space="0" w:color="DBE5F1" w:themeColor="accent1" w:themeTint="33"/>
              <w:bottom w:val="single" w:sz="8" w:space="0" w:color="DBE5F1" w:themeColor="accent1" w:themeTint="33"/>
            </w:tcBorders>
          </w:tcPr>
          <w:p w14:paraId="7ADCC719" w14:textId="7F301B7B" w:rsidR="003026DF" w:rsidRPr="009C1672" w:rsidRDefault="006962B0" w:rsidP="004C6841">
            <w:pPr>
              <w:jc w:val="center"/>
              <w:rPr>
                <w:sz w:val="20"/>
                <w:szCs w:val="20"/>
              </w:rPr>
            </w:pPr>
            <w:r>
              <w:rPr>
                <w:sz w:val="20"/>
                <w:szCs w:val="20"/>
              </w:rPr>
              <w:t>-</w:t>
            </w:r>
            <w:r w:rsidR="006D1186">
              <w:rPr>
                <w:sz w:val="20"/>
                <w:szCs w:val="20"/>
              </w:rPr>
              <w:t>0.</w:t>
            </w:r>
            <w:r>
              <w:rPr>
                <w:sz w:val="20"/>
                <w:szCs w:val="20"/>
              </w:rPr>
              <w:t>4</w:t>
            </w:r>
            <w:r w:rsidR="003026DF" w:rsidRPr="009C1672">
              <w:rPr>
                <w:sz w:val="20"/>
                <w:szCs w:val="20"/>
              </w:rPr>
              <w:t xml:space="preserve"> (-1.</w:t>
            </w:r>
            <w:r>
              <w:rPr>
                <w:sz w:val="20"/>
                <w:szCs w:val="20"/>
              </w:rPr>
              <w:t>6</w:t>
            </w:r>
            <w:r w:rsidR="003026DF" w:rsidRPr="009C1672">
              <w:rPr>
                <w:sz w:val="20"/>
                <w:szCs w:val="20"/>
              </w:rPr>
              <w:t>,</w:t>
            </w:r>
            <w:r w:rsidR="003026DF">
              <w:rPr>
                <w:sz w:val="20"/>
                <w:szCs w:val="20"/>
              </w:rPr>
              <w:t xml:space="preserve"> </w:t>
            </w:r>
            <w:r>
              <w:rPr>
                <w:sz w:val="20"/>
                <w:szCs w:val="20"/>
              </w:rPr>
              <w:t>0.9</w:t>
            </w:r>
            <w:r w:rsidR="003026DF" w:rsidRPr="009C1672">
              <w:rPr>
                <w:sz w:val="20"/>
                <w:szCs w:val="20"/>
              </w:rPr>
              <w:t>)</w:t>
            </w:r>
          </w:p>
        </w:tc>
        <w:tc>
          <w:tcPr>
            <w:tcW w:w="2444" w:type="dxa"/>
            <w:tcBorders>
              <w:top w:val="single" w:sz="8" w:space="0" w:color="DBE5F1" w:themeColor="accent1" w:themeTint="33"/>
              <w:bottom w:val="single" w:sz="8" w:space="0" w:color="DBE5F1" w:themeColor="accent1" w:themeTint="33"/>
            </w:tcBorders>
          </w:tcPr>
          <w:p w14:paraId="02CF0D96" w14:textId="739B2B3A" w:rsidR="003026DF" w:rsidRPr="009C1672" w:rsidRDefault="003026DF" w:rsidP="00EB4B7D">
            <w:pPr>
              <w:jc w:val="center"/>
              <w:rPr>
                <w:b/>
                <w:sz w:val="20"/>
                <w:szCs w:val="20"/>
              </w:rPr>
            </w:pPr>
            <w:r w:rsidRPr="009C1672">
              <w:rPr>
                <w:b/>
                <w:sz w:val="20"/>
                <w:szCs w:val="20"/>
              </w:rPr>
              <w:t>0.000</w:t>
            </w:r>
            <w:r w:rsidR="00B13BC9">
              <w:rPr>
                <w:b/>
                <w:sz w:val="20"/>
                <w:szCs w:val="20"/>
              </w:rPr>
              <w:t>5</w:t>
            </w:r>
            <w:r w:rsidRPr="009C1672">
              <w:rPr>
                <w:b/>
                <w:sz w:val="20"/>
                <w:szCs w:val="20"/>
              </w:rPr>
              <w:t xml:space="preserve"> (0.00</w:t>
            </w:r>
            <w:r>
              <w:rPr>
                <w:b/>
                <w:sz w:val="20"/>
                <w:szCs w:val="20"/>
              </w:rPr>
              <w:t>0</w:t>
            </w:r>
            <w:r w:rsidR="006D1186">
              <w:rPr>
                <w:b/>
                <w:sz w:val="20"/>
                <w:szCs w:val="20"/>
              </w:rPr>
              <w:t>1</w:t>
            </w:r>
            <w:r w:rsidRPr="009C1672">
              <w:rPr>
                <w:b/>
                <w:sz w:val="20"/>
                <w:szCs w:val="20"/>
              </w:rPr>
              <w:t>, 0.00</w:t>
            </w:r>
            <w:r w:rsidR="006D1186">
              <w:rPr>
                <w:b/>
                <w:sz w:val="20"/>
                <w:szCs w:val="20"/>
              </w:rPr>
              <w:t>1</w:t>
            </w:r>
            <w:r w:rsidRPr="009C1672">
              <w:rPr>
                <w:b/>
                <w:sz w:val="20"/>
                <w:szCs w:val="20"/>
              </w:rPr>
              <w:t>)</w:t>
            </w:r>
          </w:p>
        </w:tc>
        <w:tc>
          <w:tcPr>
            <w:tcW w:w="2409" w:type="dxa"/>
            <w:tcBorders>
              <w:top w:val="single" w:sz="8" w:space="0" w:color="DBE5F1" w:themeColor="accent1" w:themeTint="33"/>
              <w:bottom w:val="single" w:sz="8" w:space="0" w:color="DBE5F1" w:themeColor="accent1" w:themeTint="33"/>
            </w:tcBorders>
          </w:tcPr>
          <w:p w14:paraId="5C48DE93" w14:textId="2DFD7A33" w:rsidR="003026DF" w:rsidRDefault="006D1186" w:rsidP="004C6841">
            <w:pPr>
              <w:jc w:val="center"/>
              <w:rPr>
                <w:b/>
                <w:sz w:val="20"/>
                <w:szCs w:val="20"/>
              </w:rPr>
            </w:pPr>
            <w:r>
              <w:rPr>
                <w:b/>
                <w:sz w:val="20"/>
                <w:szCs w:val="20"/>
              </w:rPr>
              <w:t>6.</w:t>
            </w:r>
            <w:r w:rsidR="00B13BC9">
              <w:rPr>
                <w:b/>
                <w:sz w:val="20"/>
                <w:szCs w:val="20"/>
              </w:rPr>
              <w:t>0</w:t>
            </w:r>
            <w:r w:rsidR="003026DF" w:rsidRPr="009C1672">
              <w:rPr>
                <w:b/>
                <w:sz w:val="20"/>
                <w:szCs w:val="20"/>
              </w:rPr>
              <w:t xml:space="preserve"> (</w:t>
            </w:r>
            <w:r w:rsidR="00B13BC9">
              <w:rPr>
                <w:b/>
                <w:sz w:val="20"/>
                <w:szCs w:val="20"/>
              </w:rPr>
              <w:t>3.8</w:t>
            </w:r>
            <w:r w:rsidR="003026DF" w:rsidRPr="009C1672">
              <w:rPr>
                <w:b/>
                <w:sz w:val="20"/>
                <w:szCs w:val="20"/>
              </w:rPr>
              <w:t xml:space="preserve">, </w:t>
            </w:r>
            <w:r>
              <w:rPr>
                <w:b/>
                <w:sz w:val="20"/>
                <w:szCs w:val="20"/>
              </w:rPr>
              <w:t>8.</w:t>
            </w:r>
            <w:r w:rsidR="00B13BC9">
              <w:rPr>
                <w:b/>
                <w:sz w:val="20"/>
                <w:szCs w:val="20"/>
              </w:rPr>
              <w:t>1</w:t>
            </w:r>
            <w:r w:rsidR="003026DF" w:rsidRPr="009C1672">
              <w:rPr>
                <w:b/>
                <w:sz w:val="20"/>
                <w:szCs w:val="20"/>
              </w:rPr>
              <w:t>)</w:t>
            </w:r>
          </w:p>
        </w:tc>
        <w:tc>
          <w:tcPr>
            <w:tcW w:w="2161" w:type="dxa"/>
            <w:tcBorders>
              <w:top w:val="single" w:sz="8" w:space="0" w:color="DBE5F1" w:themeColor="accent1" w:themeTint="33"/>
              <w:bottom w:val="single" w:sz="8" w:space="0" w:color="DBE5F1" w:themeColor="accent1" w:themeTint="33"/>
            </w:tcBorders>
          </w:tcPr>
          <w:p w14:paraId="728F9840" w14:textId="4695DF64" w:rsidR="003026DF" w:rsidRDefault="006962B0" w:rsidP="00EB4B7D">
            <w:pPr>
              <w:jc w:val="center"/>
              <w:rPr>
                <w:b/>
                <w:sz w:val="20"/>
                <w:szCs w:val="20"/>
              </w:rPr>
            </w:pPr>
            <w:r>
              <w:rPr>
                <w:b/>
                <w:sz w:val="20"/>
                <w:szCs w:val="20"/>
              </w:rPr>
              <w:t>66.8</w:t>
            </w:r>
            <w:r w:rsidR="003026DF" w:rsidRPr="009C1672">
              <w:rPr>
                <w:b/>
                <w:sz w:val="20"/>
                <w:szCs w:val="20"/>
              </w:rPr>
              <w:t xml:space="preserve"> (</w:t>
            </w:r>
            <w:r>
              <w:rPr>
                <w:b/>
                <w:sz w:val="20"/>
                <w:szCs w:val="20"/>
              </w:rPr>
              <w:t>18.9</w:t>
            </w:r>
            <w:r w:rsidR="003026DF" w:rsidRPr="009C1672">
              <w:rPr>
                <w:b/>
                <w:sz w:val="20"/>
                <w:szCs w:val="20"/>
              </w:rPr>
              <w:t>,</w:t>
            </w:r>
            <w:r w:rsidR="003026DF">
              <w:rPr>
                <w:b/>
                <w:sz w:val="20"/>
                <w:szCs w:val="20"/>
              </w:rPr>
              <w:t xml:space="preserve"> </w:t>
            </w:r>
            <w:r w:rsidR="006D1186">
              <w:rPr>
                <w:b/>
                <w:sz w:val="20"/>
                <w:szCs w:val="20"/>
              </w:rPr>
              <w:t>1</w:t>
            </w:r>
            <w:r>
              <w:rPr>
                <w:b/>
                <w:sz w:val="20"/>
                <w:szCs w:val="20"/>
              </w:rPr>
              <w:t>14.6</w:t>
            </w:r>
            <w:r w:rsidR="003026DF" w:rsidRPr="009C1672">
              <w:rPr>
                <w:b/>
                <w:sz w:val="20"/>
                <w:szCs w:val="20"/>
              </w:rPr>
              <w:t>)</w:t>
            </w:r>
          </w:p>
        </w:tc>
      </w:tr>
      <w:tr w:rsidR="003026DF" w:rsidRPr="009C1672" w14:paraId="6BBC4606" w14:textId="77777777" w:rsidTr="006A7729">
        <w:tc>
          <w:tcPr>
            <w:tcW w:w="4361" w:type="dxa"/>
            <w:gridSpan w:val="2"/>
            <w:tcBorders>
              <w:top w:val="single" w:sz="8" w:space="0" w:color="DBE5F1" w:themeColor="accent1" w:themeTint="33"/>
              <w:bottom w:val="single" w:sz="8" w:space="0" w:color="DBE5F1" w:themeColor="accent1" w:themeTint="33"/>
            </w:tcBorders>
          </w:tcPr>
          <w:p w14:paraId="66DDC933" w14:textId="4E188FFA" w:rsidR="003026DF" w:rsidRPr="00683A7B" w:rsidRDefault="003026DF" w:rsidP="003026DF">
            <w:pPr>
              <w:jc w:val="both"/>
              <w:rPr>
                <w:rFonts w:ascii="Calibri" w:eastAsia="Calibri" w:hAnsi="Calibri" w:cs="Times New Roman"/>
                <w:sz w:val="20"/>
                <w:szCs w:val="20"/>
              </w:rPr>
            </w:pPr>
            <w:r>
              <w:rPr>
                <w:sz w:val="20"/>
                <w:szCs w:val="20"/>
              </w:rPr>
              <w:t>Exempt drinks</w:t>
            </w:r>
          </w:p>
        </w:tc>
        <w:tc>
          <w:tcPr>
            <w:tcW w:w="1764" w:type="dxa"/>
            <w:tcBorders>
              <w:top w:val="single" w:sz="8" w:space="0" w:color="DBE5F1" w:themeColor="accent1" w:themeTint="33"/>
              <w:bottom w:val="single" w:sz="8" w:space="0" w:color="DBE5F1" w:themeColor="accent1" w:themeTint="33"/>
            </w:tcBorders>
          </w:tcPr>
          <w:p w14:paraId="657CA2FC" w14:textId="77777777" w:rsidR="003026DF" w:rsidRPr="009C1672" w:rsidRDefault="003026DF" w:rsidP="003026DF">
            <w:pPr>
              <w:jc w:val="center"/>
              <w:rPr>
                <w:sz w:val="20"/>
                <w:szCs w:val="20"/>
              </w:rPr>
            </w:pPr>
          </w:p>
        </w:tc>
        <w:tc>
          <w:tcPr>
            <w:tcW w:w="2444" w:type="dxa"/>
            <w:tcBorders>
              <w:top w:val="single" w:sz="8" w:space="0" w:color="DBE5F1" w:themeColor="accent1" w:themeTint="33"/>
              <w:bottom w:val="single" w:sz="8" w:space="0" w:color="DBE5F1" w:themeColor="accent1" w:themeTint="33"/>
            </w:tcBorders>
          </w:tcPr>
          <w:p w14:paraId="7985883E" w14:textId="77777777" w:rsidR="003026DF" w:rsidRPr="009C1672" w:rsidRDefault="003026DF" w:rsidP="003026DF">
            <w:pPr>
              <w:jc w:val="center"/>
              <w:rPr>
                <w:b/>
                <w:sz w:val="20"/>
                <w:szCs w:val="20"/>
              </w:rPr>
            </w:pPr>
          </w:p>
        </w:tc>
        <w:tc>
          <w:tcPr>
            <w:tcW w:w="2409" w:type="dxa"/>
            <w:tcBorders>
              <w:top w:val="single" w:sz="8" w:space="0" w:color="DBE5F1" w:themeColor="accent1" w:themeTint="33"/>
              <w:bottom w:val="single" w:sz="8" w:space="0" w:color="DBE5F1" w:themeColor="accent1" w:themeTint="33"/>
            </w:tcBorders>
          </w:tcPr>
          <w:p w14:paraId="12C8A58B" w14:textId="77777777" w:rsidR="003026DF" w:rsidRDefault="003026DF" w:rsidP="003026DF">
            <w:pPr>
              <w:jc w:val="center"/>
              <w:rPr>
                <w:b/>
                <w:sz w:val="20"/>
                <w:szCs w:val="20"/>
              </w:rPr>
            </w:pPr>
          </w:p>
        </w:tc>
        <w:tc>
          <w:tcPr>
            <w:tcW w:w="2161" w:type="dxa"/>
            <w:tcBorders>
              <w:top w:val="single" w:sz="8" w:space="0" w:color="DBE5F1" w:themeColor="accent1" w:themeTint="33"/>
              <w:bottom w:val="single" w:sz="8" w:space="0" w:color="DBE5F1" w:themeColor="accent1" w:themeTint="33"/>
            </w:tcBorders>
          </w:tcPr>
          <w:p w14:paraId="36837214" w14:textId="77777777" w:rsidR="003026DF" w:rsidRDefault="003026DF" w:rsidP="003026DF">
            <w:pPr>
              <w:jc w:val="center"/>
              <w:rPr>
                <w:b/>
                <w:sz w:val="20"/>
                <w:szCs w:val="20"/>
              </w:rPr>
            </w:pPr>
          </w:p>
        </w:tc>
      </w:tr>
      <w:tr w:rsidR="00443CC5" w:rsidRPr="009C1672" w14:paraId="2B7CB628" w14:textId="77777777" w:rsidTr="006A7729">
        <w:tc>
          <w:tcPr>
            <w:tcW w:w="534" w:type="dxa"/>
            <w:tcBorders>
              <w:top w:val="single" w:sz="8" w:space="0" w:color="DBE5F1" w:themeColor="accent1" w:themeTint="33"/>
              <w:bottom w:val="single" w:sz="8" w:space="0" w:color="DBE5F1" w:themeColor="accent1" w:themeTint="33"/>
            </w:tcBorders>
          </w:tcPr>
          <w:p w14:paraId="1E67B12C" w14:textId="747E430E" w:rsidR="00443CC5" w:rsidRPr="009C1672" w:rsidRDefault="00443CC5" w:rsidP="00443CC5">
            <w:pPr>
              <w:jc w:val="both"/>
              <w:rPr>
                <w:sz w:val="20"/>
                <w:szCs w:val="20"/>
              </w:rPr>
            </w:pPr>
          </w:p>
        </w:tc>
        <w:tc>
          <w:tcPr>
            <w:tcW w:w="3827" w:type="dxa"/>
            <w:tcBorders>
              <w:top w:val="single" w:sz="8" w:space="0" w:color="DBE5F1" w:themeColor="accent1" w:themeTint="33"/>
              <w:bottom w:val="single" w:sz="8" w:space="0" w:color="DBE5F1" w:themeColor="accent1" w:themeTint="33"/>
            </w:tcBorders>
          </w:tcPr>
          <w:p w14:paraId="0B04A55A" w14:textId="5460C787" w:rsidR="00443CC5" w:rsidRPr="00683A7B" w:rsidRDefault="00443CC5" w:rsidP="00443CC5">
            <w:pPr>
              <w:jc w:val="both"/>
              <w:rPr>
                <w:rFonts w:ascii="Calibri" w:eastAsia="Calibri" w:hAnsi="Calibri" w:cs="Times New Roman"/>
                <w:sz w:val="20"/>
                <w:szCs w:val="20"/>
              </w:rPr>
            </w:pPr>
            <w:r w:rsidRPr="00683A7B">
              <w:rPr>
                <w:rFonts w:ascii="Calibri" w:eastAsia="Calibri" w:hAnsi="Calibri" w:cs="Times New Roman"/>
                <w:sz w:val="20"/>
                <w:szCs w:val="20"/>
              </w:rPr>
              <w:t>Milk and milk based drinks</w:t>
            </w:r>
            <w:r w:rsidR="00B06D9A" w:rsidRPr="0027301D">
              <w:rPr>
                <w:sz w:val="20"/>
                <w:szCs w:val="20"/>
                <w:vertAlign w:val="superscript"/>
              </w:rPr>
              <w:t>†</w:t>
            </w:r>
          </w:p>
        </w:tc>
        <w:tc>
          <w:tcPr>
            <w:tcW w:w="1764" w:type="dxa"/>
            <w:tcBorders>
              <w:top w:val="single" w:sz="8" w:space="0" w:color="DBE5F1" w:themeColor="accent1" w:themeTint="33"/>
              <w:bottom w:val="single" w:sz="8" w:space="0" w:color="DBE5F1" w:themeColor="accent1" w:themeTint="33"/>
            </w:tcBorders>
          </w:tcPr>
          <w:p w14:paraId="4C48224B" w14:textId="3C7E9783" w:rsidR="00443CC5" w:rsidRPr="009C1672" w:rsidRDefault="00443CC5" w:rsidP="004C6841">
            <w:pPr>
              <w:jc w:val="center"/>
              <w:rPr>
                <w:sz w:val="20"/>
                <w:szCs w:val="20"/>
              </w:rPr>
            </w:pPr>
            <w:r w:rsidRPr="0025382B">
              <w:rPr>
                <w:sz w:val="20"/>
                <w:szCs w:val="20"/>
              </w:rPr>
              <w:t>-</w:t>
            </w:r>
            <w:r w:rsidR="006962B0">
              <w:rPr>
                <w:sz w:val="20"/>
                <w:szCs w:val="20"/>
              </w:rPr>
              <w:t>0.9</w:t>
            </w:r>
            <w:r w:rsidRPr="0025382B">
              <w:rPr>
                <w:sz w:val="20"/>
                <w:szCs w:val="20"/>
              </w:rPr>
              <w:t xml:space="preserve"> (-</w:t>
            </w:r>
            <w:r w:rsidR="006962B0">
              <w:rPr>
                <w:sz w:val="20"/>
                <w:szCs w:val="20"/>
              </w:rPr>
              <w:t>9.4</w:t>
            </w:r>
            <w:r w:rsidRPr="0025382B">
              <w:rPr>
                <w:sz w:val="20"/>
                <w:szCs w:val="20"/>
              </w:rPr>
              <w:t xml:space="preserve">, </w:t>
            </w:r>
            <w:r w:rsidR="006962B0">
              <w:rPr>
                <w:sz w:val="20"/>
                <w:szCs w:val="20"/>
              </w:rPr>
              <w:t>7.6</w:t>
            </w:r>
            <w:r w:rsidRPr="0025382B">
              <w:rPr>
                <w:sz w:val="20"/>
                <w:szCs w:val="20"/>
              </w:rPr>
              <w:t>)</w:t>
            </w:r>
          </w:p>
        </w:tc>
        <w:tc>
          <w:tcPr>
            <w:tcW w:w="2444" w:type="dxa"/>
            <w:tcBorders>
              <w:top w:val="single" w:sz="8" w:space="0" w:color="DBE5F1" w:themeColor="accent1" w:themeTint="33"/>
              <w:bottom w:val="single" w:sz="8" w:space="0" w:color="DBE5F1" w:themeColor="accent1" w:themeTint="33"/>
            </w:tcBorders>
          </w:tcPr>
          <w:p w14:paraId="065884B8" w14:textId="13327B2B" w:rsidR="00443CC5" w:rsidRPr="009C1672" w:rsidRDefault="00443CC5" w:rsidP="00D4624F">
            <w:pPr>
              <w:jc w:val="center"/>
              <w:rPr>
                <w:b/>
                <w:sz w:val="20"/>
                <w:szCs w:val="20"/>
              </w:rPr>
            </w:pPr>
            <w:r w:rsidRPr="00C9271D">
              <w:rPr>
                <w:sz w:val="20"/>
                <w:szCs w:val="20"/>
              </w:rPr>
              <w:t>-0.00</w:t>
            </w:r>
            <w:r w:rsidR="00B13BC9">
              <w:rPr>
                <w:sz w:val="20"/>
                <w:szCs w:val="20"/>
              </w:rPr>
              <w:t>2</w:t>
            </w:r>
            <w:r w:rsidRPr="00C9271D">
              <w:rPr>
                <w:sz w:val="20"/>
                <w:szCs w:val="20"/>
              </w:rPr>
              <w:t xml:space="preserve"> (-0.00</w:t>
            </w:r>
            <w:r>
              <w:rPr>
                <w:sz w:val="20"/>
                <w:szCs w:val="20"/>
              </w:rPr>
              <w:t>4</w:t>
            </w:r>
            <w:r w:rsidRPr="00C9271D">
              <w:rPr>
                <w:sz w:val="20"/>
                <w:szCs w:val="20"/>
              </w:rPr>
              <w:t>, 0.00</w:t>
            </w:r>
            <w:r w:rsidR="00B13BC9">
              <w:rPr>
                <w:sz w:val="20"/>
                <w:szCs w:val="20"/>
              </w:rPr>
              <w:t>1</w:t>
            </w:r>
            <w:r w:rsidRPr="00C9271D">
              <w:rPr>
                <w:sz w:val="20"/>
                <w:szCs w:val="20"/>
              </w:rPr>
              <w:t>)</w:t>
            </w:r>
          </w:p>
        </w:tc>
        <w:tc>
          <w:tcPr>
            <w:tcW w:w="2409" w:type="dxa"/>
            <w:tcBorders>
              <w:top w:val="single" w:sz="8" w:space="0" w:color="DBE5F1" w:themeColor="accent1" w:themeTint="33"/>
              <w:bottom w:val="single" w:sz="8" w:space="0" w:color="DBE5F1" w:themeColor="accent1" w:themeTint="33"/>
            </w:tcBorders>
          </w:tcPr>
          <w:p w14:paraId="0CE848C9" w14:textId="3D7AB810" w:rsidR="00443CC5" w:rsidRDefault="00443CC5">
            <w:pPr>
              <w:jc w:val="center"/>
              <w:rPr>
                <w:b/>
                <w:sz w:val="20"/>
                <w:szCs w:val="20"/>
              </w:rPr>
            </w:pPr>
            <w:r w:rsidRPr="0025382B">
              <w:rPr>
                <w:sz w:val="20"/>
                <w:szCs w:val="20"/>
              </w:rPr>
              <w:t>-</w:t>
            </w:r>
            <w:r w:rsidR="00B13BC9">
              <w:rPr>
                <w:sz w:val="20"/>
                <w:szCs w:val="20"/>
              </w:rPr>
              <w:t>7.5</w:t>
            </w:r>
            <w:r w:rsidRPr="0025382B">
              <w:rPr>
                <w:sz w:val="20"/>
                <w:szCs w:val="20"/>
              </w:rPr>
              <w:t xml:space="preserve"> (-</w:t>
            </w:r>
            <w:r w:rsidR="00B13BC9">
              <w:rPr>
                <w:sz w:val="20"/>
                <w:szCs w:val="20"/>
              </w:rPr>
              <w:t>23.4</w:t>
            </w:r>
            <w:r w:rsidRPr="0025382B">
              <w:rPr>
                <w:sz w:val="20"/>
                <w:szCs w:val="20"/>
              </w:rPr>
              <w:t xml:space="preserve">, </w:t>
            </w:r>
            <w:r w:rsidR="00B13BC9">
              <w:rPr>
                <w:sz w:val="20"/>
                <w:szCs w:val="20"/>
              </w:rPr>
              <w:t>8.3</w:t>
            </w:r>
            <w:r w:rsidRPr="0025382B">
              <w:rPr>
                <w:sz w:val="20"/>
                <w:szCs w:val="20"/>
              </w:rPr>
              <w:t>)</w:t>
            </w:r>
          </w:p>
        </w:tc>
        <w:tc>
          <w:tcPr>
            <w:tcW w:w="2161" w:type="dxa"/>
            <w:tcBorders>
              <w:top w:val="single" w:sz="8" w:space="0" w:color="DBE5F1" w:themeColor="accent1" w:themeTint="33"/>
              <w:bottom w:val="single" w:sz="8" w:space="0" w:color="DBE5F1" w:themeColor="accent1" w:themeTint="33"/>
            </w:tcBorders>
          </w:tcPr>
          <w:p w14:paraId="463CF480" w14:textId="2B42D05C" w:rsidR="00443CC5" w:rsidRDefault="00443CC5">
            <w:pPr>
              <w:jc w:val="center"/>
              <w:rPr>
                <w:b/>
                <w:sz w:val="20"/>
                <w:szCs w:val="20"/>
              </w:rPr>
            </w:pPr>
            <w:r w:rsidRPr="0025382B">
              <w:rPr>
                <w:sz w:val="20"/>
                <w:szCs w:val="20"/>
              </w:rPr>
              <w:t>-</w:t>
            </w:r>
            <w:r w:rsidR="006962B0">
              <w:rPr>
                <w:sz w:val="20"/>
                <w:szCs w:val="20"/>
              </w:rPr>
              <w:t>4.7</w:t>
            </w:r>
            <w:r w:rsidRPr="0025382B">
              <w:rPr>
                <w:sz w:val="20"/>
                <w:szCs w:val="20"/>
              </w:rPr>
              <w:t xml:space="preserve"> (-</w:t>
            </w:r>
            <w:r>
              <w:rPr>
                <w:sz w:val="20"/>
                <w:szCs w:val="20"/>
              </w:rPr>
              <w:t>1</w:t>
            </w:r>
            <w:r w:rsidR="006962B0">
              <w:rPr>
                <w:sz w:val="20"/>
                <w:szCs w:val="20"/>
              </w:rPr>
              <w:t>3.6</w:t>
            </w:r>
            <w:r>
              <w:rPr>
                <w:sz w:val="20"/>
                <w:szCs w:val="20"/>
              </w:rPr>
              <w:t xml:space="preserve">, </w:t>
            </w:r>
            <w:r w:rsidR="006962B0">
              <w:rPr>
                <w:sz w:val="20"/>
                <w:szCs w:val="20"/>
              </w:rPr>
              <w:t>4.3</w:t>
            </w:r>
            <w:r w:rsidRPr="0025382B">
              <w:rPr>
                <w:sz w:val="20"/>
                <w:szCs w:val="20"/>
              </w:rPr>
              <w:t>)</w:t>
            </w:r>
          </w:p>
        </w:tc>
      </w:tr>
      <w:tr w:rsidR="00443CC5" w:rsidRPr="009C1672" w14:paraId="7D39D63C" w14:textId="77777777" w:rsidTr="006A7729">
        <w:tc>
          <w:tcPr>
            <w:tcW w:w="534" w:type="dxa"/>
            <w:tcBorders>
              <w:top w:val="single" w:sz="8" w:space="0" w:color="DBE5F1" w:themeColor="accent1" w:themeTint="33"/>
              <w:bottom w:val="single" w:sz="8" w:space="0" w:color="DBE5F1" w:themeColor="accent1" w:themeTint="33"/>
            </w:tcBorders>
          </w:tcPr>
          <w:p w14:paraId="464261E7" w14:textId="2ADF54B7" w:rsidR="00443CC5" w:rsidRPr="009C1672" w:rsidRDefault="00443CC5" w:rsidP="00443CC5">
            <w:pPr>
              <w:jc w:val="both"/>
              <w:rPr>
                <w:sz w:val="20"/>
                <w:szCs w:val="20"/>
              </w:rPr>
            </w:pPr>
          </w:p>
        </w:tc>
        <w:tc>
          <w:tcPr>
            <w:tcW w:w="3827" w:type="dxa"/>
            <w:tcBorders>
              <w:top w:val="single" w:sz="8" w:space="0" w:color="DBE5F1" w:themeColor="accent1" w:themeTint="33"/>
              <w:bottom w:val="single" w:sz="8" w:space="0" w:color="DBE5F1" w:themeColor="accent1" w:themeTint="33"/>
            </w:tcBorders>
          </w:tcPr>
          <w:p w14:paraId="7BB2B1E8" w14:textId="657765ED" w:rsidR="00443CC5" w:rsidRPr="00683A7B" w:rsidRDefault="00443CC5" w:rsidP="00443CC5">
            <w:pPr>
              <w:jc w:val="both"/>
              <w:rPr>
                <w:rFonts w:ascii="Calibri" w:eastAsia="Calibri" w:hAnsi="Calibri" w:cs="Times New Roman"/>
                <w:sz w:val="20"/>
                <w:szCs w:val="20"/>
              </w:rPr>
            </w:pPr>
            <w:r w:rsidRPr="00683A7B">
              <w:rPr>
                <w:rFonts w:ascii="Calibri" w:eastAsia="Calibri" w:hAnsi="Calibri" w:cs="Times New Roman"/>
                <w:sz w:val="20"/>
                <w:szCs w:val="20"/>
              </w:rPr>
              <w:t>No added sugar fruit juice</w:t>
            </w:r>
            <w:r>
              <w:rPr>
                <w:rFonts w:ascii="Calibri" w:eastAsia="Calibri" w:hAnsi="Calibri" w:cs="Times New Roman"/>
                <w:sz w:val="20"/>
                <w:szCs w:val="20"/>
              </w:rPr>
              <w:t>s</w:t>
            </w:r>
          </w:p>
        </w:tc>
        <w:tc>
          <w:tcPr>
            <w:tcW w:w="1764" w:type="dxa"/>
            <w:tcBorders>
              <w:top w:val="single" w:sz="8" w:space="0" w:color="DBE5F1" w:themeColor="accent1" w:themeTint="33"/>
              <w:bottom w:val="single" w:sz="8" w:space="0" w:color="DBE5F1" w:themeColor="accent1" w:themeTint="33"/>
            </w:tcBorders>
          </w:tcPr>
          <w:p w14:paraId="11600D11" w14:textId="0AB69052" w:rsidR="00443CC5" w:rsidRPr="009C1672" w:rsidRDefault="00443CC5" w:rsidP="004C6841">
            <w:pPr>
              <w:jc w:val="center"/>
              <w:rPr>
                <w:sz w:val="20"/>
                <w:szCs w:val="20"/>
              </w:rPr>
            </w:pPr>
            <w:r w:rsidRPr="0025382B">
              <w:rPr>
                <w:sz w:val="20"/>
                <w:szCs w:val="20"/>
              </w:rPr>
              <w:t>-</w:t>
            </w:r>
            <w:r w:rsidR="006D1186">
              <w:rPr>
                <w:sz w:val="20"/>
                <w:szCs w:val="20"/>
              </w:rPr>
              <w:t>1.</w:t>
            </w:r>
            <w:r w:rsidR="006962B0">
              <w:rPr>
                <w:sz w:val="20"/>
                <w:szCs w:val="20"/>
              </w:rPr>
              <w:t>5</w:t>
            </w:r>
            <w:r w:rsidRPr="0025382B">
              <w:rPr>
                <w:sz w:val="20"/>
                <w:szCs w:val="20"/>
              </w:rPr>
              <w:t xml:space="preserve"> (-</w:t>
            </w:r>
            <w:r w:rsidR="006D1186">
              <w:rPr>
                <w:sz w:val="20"/>
                <w:szCs w:val="20"/>
              </w:rPr>
              <w:t>4.</w:t>
            </w:r>
            <w:r w:rsidR="006962B0">
              <w:rPr>
                <w:sz w:val="20"/>
                <w:szCs w:val="20"/>
              </w:rPr>
              <w:t>3</w:t>
            </w:r>
            <w:r w:rsidRPr="0025382B">
              <w:rPr>
                <w:sz w:val="20"/>
                <w:szCs w:val="20"/>
              </w:rPr>
              <w:t xml:space="preserve">, </w:t>
            </w:r>
            <w:r>
              <w:rPr>
                <w:sz w:val="20"/>
                <w:szCs w:val="20"/>
              </w:rPr>
              <w:t>1.</w:t>
            </w:r>
            <w:r w:rsidR="006962B0">
              <w:rPr>
                <w:sz w:val="20"/>
                <w:szCs w:val="20"/>
              </w:rPr>
              <w:t>3</w:t>
            </w:r>
            <w:r w:rsidRPr="0025382B">
              <w:rPr>
                <w:sz w:val="20"/>
                <w:szCs w:val="20"/>
              </w:rPr>
              <w:t>)</w:t>
            </w:r>
          </w:p>
        </w:tc>
        <w:tc>
          <w:tcPr>
            <w:tcW w:w="2444" w:type="dxa"/>
            <w:tcBorders>
              <w:top w:val="single" w:sz="8" w:space="0" w:color="DBE5F1" w:themeColor="accent1" w:themeTint="33"/>
              <w:bottom w:val="single" w:sz="8" w:space="0" w:color="DBE5F1" w:themeColor="accent1" w:themeTint="33"/>
            </w:tcBorders>
          </w:tcPr>
          <w:p w14:paraId="2CE1FB5A" w14:textId="40C50E8F" w:rsidR="00443CC5" w:rsidRPr="009C1672" w:rsidRDefault="00443CC5" w:rsidP="00EB4B7D">
            <w:pPr>
              <w:jc w:val="center"/>
              <w:rPr>
                <w:b/>
                <w:sz w:val="20"/>
                <w:szCs w:val="20"/>
              </w:rPr>
            </w:pPr>
            <w:r w:rsidRPr="00C9271D">
              <w:rPr>
                <w:sz w:val="20"/>
                <w:szCs w:val="20"/>
              </w:rPr>
              <w:t>0.0</w:t>
            </w:r>
            <w:r w:rsidR="006D1186">
              <w:rPr>
                <w:sz w:val="20"/>
                <w:szCs w:val="20"/>
              </w:rPr>
              <w:t>4</w:t>
            </w:r>
            <w:r w:rsidRPr="00C9271D">
              <w:rPr>
                <w:sz w:val="20"/>
                <w:szCs w:val="20"/>
              </w:rPr>
              <w:t xml:space="preserve"> (-0.0</w:t>
            </w:r>
            <w:r>
              <w:rPr>
                <w:sz w:val="20"/>
                <w:szCs w:val="20"/>
              </w:rPr>
              <w:t>1</w:t>
            </w:r>
            <w:r w:rsidRPr="00C9271D">
              <w:rPr>
                <w:sz w:val="20"/>
                <w:szCs w:val="20"/>
              </w:rPr>
              <w:t>, 0.</w:t>
            </w:r>
            <w:r w:rsidR="006D1186">
              <w:rPr>
                <w:sz w:val="20"/>
                <w:szCs w:val="20"/>
              </w:rPr>
              <w:t>1</w:t>
            </w:r>
            <w:r w:rsidRPr="00C9271D">
              <w:rPr>
                <w:sz w:val="20"/>
                <w:szCs w:val="20"/>
              </w:rPr>
              <w:t>)</w:t>
            </w:r>
          </w:p>
        </w:tc>
        <w:tc>
          <w:tcPr>
            <w:tcW w:w="2409" w:type="dxa"/>
            <w:tcBorders>
              <w:top w:val="single" w:sz="8" w:space="0" w:color="DBE5F1" w:themeColor="accent1" w:themeTint="33"/>
              <w:bottom w:val="single" w:sz="8" w:space="0" w:color="DBE5F1" w:themeColor="accent1" w:themeTint="33"/>
            </w:tcBorders>
          </w:tcPr>
          <w:p w14:paraId="74746BAE" w14:textId="4B7C8E92" w:rsidR="00443CC5" w:rsidRDefault="006D1186" w:rsidP="004C6841">
            <w:pPr>
              <w:jc w:val="center"/>
              <w:rPr>
                <w:b/>
                <w:sz w:val="20"/>
                <w:szCs w:val="20"/>
              </w:rPr>
            </w:pPr>
            <w:r>
              <w:rPr>
                <w:sz w:val="20"/>
                <w:szCs w:val="20"/>
              </w:rPr>
              <w:t>2.</w:t>
            </w:r>
            <w:r w:rsidR="00B13BC9">
              <w:rPr>
                <w:sz w:val="20"/>
                <w:szCs w:val="20"/>
              </w:rPr>
              <w:t>2</w:t>
            </w:r>
            <w:r w:rsidR="00443CC5" w:rsidRPr="0025382B">
              <w:rPr>
                <w:sz w:val="20"/>
                <w:szCs w:val="20"/>
              </w:rPr>
              <w:t xml:space="preserve"> (-</w:t>
            </w:r>
            <w:r>
              <w:rPr>
                <w:sz w:val="20"/>
                <w:szCs w:val="20"/>
              </w:rPr>
              <w:t>3.</w:t>
            </w:r>
            <w:r w:rsidR="001C2CDC">
              <w:rPr>
                <w:sz w:val="20"/>
                <w:szCs w:val="20"/>
              </w:rPr>
              <w:t>5</w:t>
            </w:r>
            <w:r w:rsidR="00443CC5" w:rsidRPr="0025382B">
              <w:rPr>
                <w:sz w:val="20"/>
                <w:szCs w:val="20"/>
              </w:rPr>
              <w:t xml:space="preserve">, </w:t>
            </w:r>
            <w:r>
              <w:rPr>
                <w:sz w:val="20"/>
                <w:szCs w:val="20"/>
              </w:rPr>
              <w:t>7.9</w:t>
            </w:r>
            <w:r w:rsidR="00443CC5" w:rsidRPr="0025382B">
              <w:rPr>
                <w:sz w:val="20"/>
                <w:szCs w:val="20"/>
              </w:rPr>
              <w:t>)</w:t>
            </w:r>
          </w:p>
        </w:tc>
        <w:tc>
          <w:tcPr>
            <w:tcW w:w="2161" w:type="dxa"/>
            <w:tcBorders>
              <w:top w:val="single" w:sz="8" w:space="0" w:color="DBE5F1" w:themeColor="accent1" w:themeTint="33"/>
              <w:bottom w:val="single" w:sz="8" w:space="0" w:color="DBE5F1" w:themeColor="accent1" w:themeTint="33"/>
            </w:tcBorders>
          </w:tcPr>
          <w:p w14:paraId="3153F70F" w14:textId="4C11E200" w:rsidR="00443CC5" w:rsidRDefault="006D1186" w:rsidP="00EB4B7D">
            <w:pPr>
              <w:jc w:val="center"/>
              <w:rPr>
                <w:b/>
                <w:sz w:val="20"/>
                <w:szCs w:val="20"/>
              </w:rPr>
            </w:pPr>
            <w:r>
              <w:rPr>
                <w:sz w:val="20"/>
                <w:szCs w:val="20"/>
              </w:rPr>
              <w:t>4.</w:t>
            </w:r>
            <w:r w:rsidR="006962B0">
              <w:rPr>
                <w:sz w:val="20"/>
                <w:szCs w:val="20"/>
              </w:rPr>
              <w:t>9</w:t>
            </w:r>
            <w:r w:rsidR="00443CC5" w:rsidRPr="0025382B">
              <w:rPr>
                <w:sz w:val="20"/>
                <w:szCs w:val="20"/>
              </w:rPr>
              <w:t xml:space="preserve"> (-</w:t>
            </w:r>
            <w:r>
              <w:rPr>
                <w:sz w:val="20"/>
                <w:szCs w:val="20"/>
              </w:rPr>
              <w:t>8.</w:t>
            </w:r>
            <w:r w:rsidR="006962B0">
              <w:rPr>
                <w:sz w:val="20"/>
                <w:szCs w:val="20"/>
              </w:rPr>
              <w:t>6</w:t>
            </w:r>
            <w:r w:rsidR="00443CC5" w:rsidRPr="0025382B">
              <w:rPr>
                <w:sz w:val="20"/>
                <w:szCs w:val="20"/>
              </w:rPr>
              <w:t xml:space="preserve">, </w:t>
            </w:r>
            <w:r>
              <w:rPr>
                <w:sz w:val="20"/>
                <w:szCs w:val="20"/>
              </w:rPr>
              <w:t>18.4</w:t>
            </w:r>
            <w:r w:rsidR="00443CC5" w:rsidRPr="0025382B">
              <w:rPr>
                <w:sz w:val="20"/>
                <w:szCs w:val="20"/>
              </w:rPr>
              <w:t>)</w:t>
            </w:r>
          </w:p>
        </w:tc>
      </w:tr>
      <w:tr w:rsidR="00443CC5" w:rsidRPr="009C1672" w14:paraId="745D5A28" w14:textId="77777777" w:rsidTr="006A7729">
        <w:tc>
          <w:tcPr>
            <w:tcW w:w="534" w:type="dxa"/>
            <w:tcBorders>
              <w:top w:val="single" w:sz="8" w:space="0" w:color="DBE5F1" w:themeColor="accent1" w:themeTint="33"/>
              <w:bottom w:val="single" w:sz="8" w:space="0" w:color="DBE5F1" w:themeColor="accent1" w:themeTint="33"/>
            </w:tcBorders>
          </w:tcPr>
          <w:p w14:paraId="58C3E16A" w14:textId="7E8326BA" w:rsidR="00443CC5" w:rsidRPr="009C1672" w:rsidRDefault="00443CC5" w:rsidP="00443CC5">
            <w:pPr>
              <w:jc w:val="both"/>
              <w:rPr>
                <w:sz w:val="20"/>
                <w:szCs w:val="20"/>
              </w:rPr>
            </w:pPr>
          </w:p>
        </w:tc>
        <w:tc>
          <w:tcPr>
            <w:tcW w:w="3827" w:type="dxa"/>
            <w:tcBorders>
              <w:top w:val="single" w:sz="8" w:space="0" w:color="DBE5F1" w:themeColor="accent1" w:themeTint="33"/>
              <w:bottom w:val="single" w:sz="8" w:space="0" w:color="DBE5F1" w:themeColor="accent1" w:themeTint="33"/>
            </w:tcBorders>
          </w:tcPr>
          <w:p w14:paraId="6DAB74D9" w14:textId="1FCCE184" w:rsidR="00443CC5" w:rsidRPr="00683A7B" w:rsidRDefault="00443CC5" w:rsidP="00443CC5">
            <w:pPr>
              <w:jc w:val="both"/>
              <w:rPr>
                <w:rFonts w:ascii="Calibri" w:eastAsia="Calibri" w:hAnsi="Calibri" w:cs="Times New Roman"/>
                <w:sz w:val="20"/>
                <w:szCs w:val="20"/>
              </w:rPr>
            </w:pPr>
            <w:r w:rsidRPr="00683A7B">
              <w:rPr>
                <w:rFonts w:ascii="Calibri" w:eastAsia="Calibri" w:hAnsi="Calibri" w:cs="Times New Roman"/>
                <w:sz w:val="20"/>
                <w:szCs w:val="20"/>
              </w:rPr>
              <w:t>Drinks sold as a powder</w:t>
            </w:r>
            <w:r w:rsidRPr="00683A7B">
              <w:rPr>
                <w:rFonts w:ascii="Calibri" w:eastAsia="Calibri" w:hAnsi="Calibri" w:cs="Times New Roman"/>
                <w:sz w:val="20"/>
                <w:szCs w:val="20"/>
                <w:vertAlign w:val="superscript"/>
              </w:rPr>
              <w:t xml:space="preserve"> </w:t>
            </w:r>
            <w:r w:rsidRPr="00683A7B">
              <w:rPr>
                <w:rFonts w:ascii="Calibri" w:eastAsia="Calibri" w:hAnsi="Calibri" w:cs="Times New Roman"/>
                <w:sz w:val="20"/>
                <w:szCs w:val="20"/>
              </w:rPr>
              <w:t>(g)</w:t>
            </w:r>
          </w:p>
        </w:tc>
        <w:tc>
          <w:tcPr>
            <w:tcW w:w="1764" w:type="dxa"/>
            <w:tcBorders>
              <w:top w:val="single" w:sz="8" w:space="0" w:color="DBE5F1" w:themeColor="accent1" w:themeTint="33"/>
              <w:bottom w:val="single" w:sz="8" w:space="0" w:color="DBE5F1" w:themeColor="accent1" w:themeTint="33"/>
            </w:tcBorders>
          </w:tcPr>
          <w:p w14:paraId="65AEA4C3" w14:textId="66144CB2" w:rsidR="00443CC5" w:rsidRPr="009C1672" w:rsidRDefault="00443CC5" w:rsidP="004C6841">
            <w:pPr>
              <w:jc w:val="center"/>
              <w:rPr>
                <w:sz w:val="20"/>
                <w:szCs w:val="20"/>
              </w:rPr>
            </w:pPr>
            <w:r w:rsidRPr="0025382B">
              <w:rPr>
                <w:sz w:val="20"/>
                <w:szCs w:val="20"/>
              </w:rPr>
              <w:t>-</w:t>
            </w:r>
            <w:r w:rsidR="006962B0">
              <w:rPr>
                <w:sz w:val="20"/>
                <w:szCs w:val="20"/>
              </w:rPr>
              <w:t>0.8</w:t>
            </w:r>
            <w:r w:rsidRPr="0025382B">
              <w:rPr>
                <w:sz w:val="20"/>
                <w:szCs w:val="20"/>
              </w:rPr>
              <w:t xml:space="preserve"> (-</w:t>
            </w:r>
            <w:r w:rsidR="006962B0">
              <w:rPr>
                <w:sz w:val="20"/>
                <w:szCs w:val="20"/>
              </w:rPr>
              <w:t>3.3</w:t>
            </w:r>
            <w:r w:rsidRPr="0025382B">
              <w:rPr>
                <w:sz w:val="20"/>
                <w:szCs w:val="20"/>
              </w:rPr>
              <w:t xml:space="preserve">, </w:t>
            </w:r>
            <w:r>
              <w:rPr>
                <w:sz w:val="20"/>
                <w:szCs w:val="20"/>
              </w:rPr>
              <w:t>1.8</w:t>
            </w:r>
            <w:r w:rsidRPr="0025382B">
              <w:rPr>
                <w:sz w:val="20"/>
                <w:szCs w:val="20"/>
              </w:rPr>
              <w:t>)</w:t>
            </w:r>
          </w:p>
        </w:tc>
        <w:tc>
          <w:tcPr>
            <w:tcW w:w="2444" w:type="dxa"/>
            <w:tcBorders>
              <w:top w:val="single" w:sz="8" w:space="0" w:color="DBE5F1" w:themeColor="accent1" w:themeTint="33"/>
              <w:bottom w:val="single" w:sz="8" w:space="0" w:color="DBE5F1" w:themeColor="accent1" w:themeTint="33"/>
            </w:tcBorders>
          </w:tcPr>
          <w:p w14:paraId="77F3B776" w14:textId="2C855F5F" w:rsidR="00443CC5" w:rsidRPr="009C1672" w:rsidRDefault="00443CC5" w:rsidP="00D4624F">
            <w:pPr>
              <w:jc w:val="center"/>
              <w:rPr>
                <w:b/>
                <w:sz w:val="20"/>
                <w:szCs w:val="20"/>
              </w:rPr>
            </w:pPr>
            <w:r w:rsidRPr="00612646">
              <w:rPr>
                <w:sz w:val="20"/>
                <w:szCs w:val="20"/>
              </w:rPr>
              <w:t>0.0</w:t>
            </w:r>
            <w:r w:rsidR="006962B0">
              <w:rPr>
                <w:sz w:val="20"/>
                <w:szCs w:val="20"/>
              </w:rPr>
              <w:t>03</w:t>
            </w:r>
            <w:r w:rsidRPr="00612646">
              <w:rPr>
                <w:sz w:val="20"/>
                <w:szCs w:val="20"/>
              </w:rPr>
              <w:t xml:space="preserve"> (-0.</w:t>
            </w:r>
            <w:r w:rsidR="006962B0">
              <w:rPr>
                <w:sz w:val="20"/>
                <w:szCs w:val="20"/>
              </w:rPr>
              <w:t>04</w:t>
            </w:r>
            <w:r w:rsidRPr="00612646">
              <w:rPr>
                <w:sz w:val="20"/>
                <w:szCs w:val="20"/>
              </w:rPr>
              <w:t>, 0.</w:t>
            </w:r>
            <w:r w:rsidR="006D1186">
              <w:rPr>
                <w:sz w:val="20"/>
                <w:szCs w:val="20"/>
              </w:rPr>
              <w:t>1</w:t>
            </w:r>
            <w:r w:rsidRPr="00612646">
              <w:rPr>
                <w:sz w:val="20"/>
                <w:szCs w:val="20"/>
              </w:rPr>
              <w:t>)</w:t>
            </w:r>
          </w:p>
        </w:tc>
        <w:tc>
          <w:tcPr>
            <w:tcW w:w="2409" w:type="dxa"/>
            <w:tcBorders>
              <w:top w:val="single" w:sz="8" w:space="0" w:color="DBE5F1" w:themeColor="accent1" w:themeTint="33"/>
              <w:bottom w:val="single" w:sz="8" w:space="0" w:color="DBE5F1" w:themeColor="accent1" w:themeTint="33"/>
            </w:tcBorders>
          </w:tcPr>
          <w:p w14:paraId="5BD215EA" w14:textId="2798F356" w:rsidR="00443CC5" w:rsidRDefault="00B13BC9" w:rsidP="00443CC5">
            <w:pPr>
              <w:jc w:val="center"/>
              <w:rPr>
                <w:b/>
                <w:sz w:val="20"/>
                <w:szCs w:val="20"/>
              </w:rPr>
            </w:pPr>
            <w:r>
              <w:rPr>
                <w:sz w:val="20"/>
                <w:szCs w:val="20"/>
              </w:rPr>
              <w:t>-</w:t>
            </w:r>
            <w:r w:rsidR="00443CC5">
              <w:rPr>
                <w:sz w:val="20"/>
                <w:szCs w:val="20"/>
              </w:rPr>
              <w:t>0</w:t>
            </w:r>
            <w:r w:rsidR="00443CC5" w:rsidRPr="0025382B">
              <w:rPr>
                <w:sz w:val="20"/>
                <w:szCs w:val="20"/>
              </w:rPr>
              <w:t>.</w:t>
            </w:r>
            <w:r>
              <w:rPr>
                <w:sz w:val="20"/>
                <w:szCs w:val="20"/>
              </w:rPr>
              <w:t>5</w:t>
            </w:r>
            <w:r w:rsidR="00443CC5" w:rsidRPr="0025382B">
              <w:rPr>
                <w:sz w:val="20"/>
                <w:szCs w:val="20"/>
              </w:rPr>
              <w:t xml:space="preserve"> (-</w:t>
            </w:r>
            <w:r>
              <w:rPr>
                <w:sz w:val="20"/>
                <w:szCs w:val="20"/>
              </w:rPr>
              <w:t>6.0</w:t>
            </w:r>
            <w:r w:rsidR="00443CC5" w:rsidRPr="0025382B">
              <w:rPr>
                <w:sz w:val="20"/>
                <w:szCs w:val="20"/>
              </w:rPr>
              <w:t xml:space="preserve">, </w:t>
            </w:r>
            <w:r>
              <w:rPr>
                <w:sz w:val="20"/>
                <w:szCs w:val="20"/>
              </w:rPr>
              <w:t>5.1</w:t>
            </w:r>
            <w:r w:rsidR="00443CC5" w:rsidRPr="0025382B">
              <w:rPr>
                <w:sz w:val="20"/>
                <w:szCs w:val="20"/>
              </w:rPr>
              <w:t>)</w:t>
            </w:r>
          </w:p>
        </w:tc>
        <w:tc>
          <w:tcPr>
            <w:tcW w:w="2161" w:type="dxa"/>
            <w:tcBorders>
              <w:top w:val="single" w:sz="8" w:space="0" w:color="DBE5F1" w:themeColor="accent1" w:themeTint="33"/>
              <w:bottom w:val="single" w:sz="8" w:space="0" w:color="DBE5F1" w:themeColor="accent1" w:themeTint="33"/>
            </w:tcBorders>
          </w:tcPr>
          <w:p w14:paraId="259F8927" w14:textId="418963BC" w:rsidR="00443CC5" w:rsidRDefault="006D1186" w:rsidP="004C6841">
            <w:pPr>
              <w:jc w:val="center"/>
              <w:rPr>
                <w:b/>
                <w:sz w:val="20"/>
                <w:szCs w:val="20"/>
              </w:rPr>
            </w:pPr>
            <w:r>
              <w:rPr>
                <w:sz w:val="20"/>
                <w:szCs w:val="20"/>
              </w:rPr>
              <w:t xml:space="preserve"> </w:t>
            </w:r>
            <w:r w:rsidR="001C2CDC">
              <w:rPr>
                <w:sz w:val="20"/>
                <w:szCs w:val="20"/>
              </w:rPr>
              <w:t>-2.6</w:t>
            </w:r>
            <w:r w:rsidR="00443CC5" w:rsidRPr="0025382B">
              <w:rPr>
                <w:sz w:val="20"/>
                <w:szCs w:val="20"/>
              </w:rPr>
              <w:t xml:space="preserve"> (-</w:t>
            </w:r>
            <w:r w:rsidR="001C2CDC">
              <w:rPr>
                <w:sz w:val="20"/>
                <w:szCs w:val="20"/>
              </w:rPr>
              <w:t>33.9</w:t>
            </w:r>
            <w:r w:rsidR="00443CC5" w:rsidRPr="0025382B">
              <w:rPr>
                <w:sz w:val="20"/>
                <w:szCs w:val="20"/>
              </w:rPr>
              <w:t>,</w:t>
            </w:r>
            <w:r w:rsidR="001C2CDC">
              <w:rPr>
                <w:sz w:val="20"/>
                <w:szCs w:val="20"/>
              </w:rPr>
              <w:t xml:space="preserve"> 28.6</w:t>
            </w:r>
            <w:r w:rsidR="00443CC5" w:rsidRPr="0025382B">
              <w:rPr>
                <w:sz w:val="20"/>
                <w:szCs w:val="20"/>
              </w:rPr>
              <w:t>)</w:t>
            </w:r>
          </w:p>
        </w:tc>
      </w:tr>
      <w:tr w:rsidR="00443CC5" w:rsidRPr="009C1672" w14:paraId="38699BE8" w14:textId="77777777" w:rsidTr="006A7729">
        <w:tc>
          <w:tcPr>
            <w:tcW w:w="4361" w:type="dxa"/>
            <w:gridSpan w:val="2"/>
            <w:tcBorders>
              <w:top w:val="single" w:sz="8" w:space="0" w:color="DBE5F1" w:themeColor="accent1" w:themeTint="33"/>
              <w:bottom w:val="single" w:sz="8" w:space="0" w:color="auto"/>
            </w:tcBorders>
          </w:tcPr>
          <w:p w14:paraId="2E3AA0A7" w14:textId="5BC61515" w:rsidR="00443CC5" w:rsidRPr="009C1672" w:rsidRDefault="00443CC5" w:rsidP="00443CC5">
            <w:pPr>
              <w:jc w:val="both"/>
              <w:rPr>
                <w:sz w:val="20"/>
                <w:szCs w:val="20"/>
              </w:rPr>
            </w:pPr>
            <w:r w:rsidRPr="009C1672">
              <w:rPr>
                <w:sz w:val="20"/>
                <w:szCs w:val="20"/>
              </w:rPr>
              <w:t>Confectionery</w:t>
            </w:r>
          </w:p>
        </w:tc>
        <w:tc>
          <w:tcPr>
            <w:tcW w:w="1764" w:type="dxa"/>
            <w:tcBorders>
              <w:top w:val="single" w:sz="8" w:space="0" w:color="DBE5F1" w:themeColor="accent1" w:themeTint="33"/>
              <w:bottom w:val="single" w:sz="8" w:space="0" w:color="auto"/>
            </w:tcBorders>
          </w:tcPr>
          <w:p w14:paraId="1A31E828" w14:textId="70375E4E" w:rsidR="00443CC5" w:rsidRPr="00C9271D" w:rsidRDefault="00443CC5" w:rsidP="004C6841">
            <w:pPr>
              <w:tabs>
                <w:tab w:val="left" w:pos="255"/>
                <w:tab w:val="center" w:pos="1026"/>
              </w:tabs>
              <w:jc w:val="center"/>
              <w:rPr>
                <w:sz w:val="20"/>
                <w:szCs w:val="20"/>
              </w:rPr>
            </w:pPr>
            <w:r w:rsidRPr="00C9271D">
              <w:rPr>
                <w:sz w:val="20"/>
                <w:szCs w:val="20"/>
              </w:rPr>
              <w:t>-</w:t>
            </w:r>
            <w:r w:rsidR="006962B0">
              <w:rPr>
                <w:sz w:val="20"/>
                <w:szCs w:val="20"/>
              </w:rPr>
              <w:t>26.1</w:t>
            </w:r>
            <w:r w:rsidRPr="00C9271D">
              <w:rPr>
                <w:sz w:val="20"/>
                <w:szCs w:val="20"/>
              </w:rPr>
              <w:t xml:space="preserve"> (-</w:t>
            </w:r>
            <w:r w:rsidR="006962B0">
              <w:rPr>
                <w:sz w:val="20"/>
                <w:szCs w:val="20"/>
              </w:rPr>
              <w:t>73.1</w:t>
            </w:r>
            <w:r w:rsidRPr="00C9271D">
              <w:rPr>
                <w:sz w:val="20"/>
                <w:szCs w:val="20"/>
              </w:rPr>
              <w:t xml:space="preserve">, </w:t>
            </w:r>
            <w:r w:rsidR="006962B0">
              <w:rPr>
                <w:sz w:val="20"/>
                <w:szCs w:val="20"/>
              </w:rPr>
              <w:t>21.0</w:t>
            </w:r>
            <w:r w:rsidRPr="00C9271D">
              <w:rPr>
                <w:sz w:val="20"/>
                <w:szCs w:val="20"/>
              </w:rPr>
              <w:t>)</w:t>
            </w:r>
          </w:p>
        </w:tc>
        <w:tc>
          <w:tcPr>
            <w:tcW w:w="2444" w:type="dxa"/>
            <w:tcBorders>
              <w:top w:val="single" w:sz="8" w:space="0" w:color="DBE5F1" w:themeColor="accent1" w:themeTint="33"/>
              <w:bottom w:val="single" w:sz="8" w:space="0" w:color="auto"/>
            </w:tcBorders>
          </w:tcPr>
          <w:p w14:paraId="07A416EF" w14:textId="3AEA3FF3" w:rsidR="00443CC5" w:rsidRPr="009C1672" w:rsidRDefault="006962B0" w:rsidP="00D4624F">
            <w:pPr>
              <w:jc w:val="center"/>
              <w:rPr>
                <w:sz w:val="20"/>
                <w:szCs w:val="20"/>
              </w:rPr>
            </w:pPr>
            <w:r>
              <w:rPr>
                <w:sz w:val="20"/>
                <w:szCs w:val="20"/>
              </w:rPr>
              <w:t>-</w:t>
            </w:r>
            <w:r w:rsidR="00443CC5" w:rsidRPr="009C1672">
              <w:rPr>
                <w:sz w:val="20"/>
                <w:szCs w:val="20"/>
              </w:rPr>
              <w:t>0.0</w:t>
            </w:r>
            <w:r>
              <w:rPr>
                <w:sz w:val="20"/>
                <w:szCs w:val="20"/>
              </w:rPr>
              <w:t>1</w:t>
            </w:r>
            <w:r w:rsidR="00443CC5" w:rsidRPr="009C1672">
              <w:rPr>
                <w:sz w:val="20"/>
                <w:szCs w:val="20"/>
              </w:rPr>
              <w:t xml:space="preserve"> (-</w:t>
            </w:r>
            <w:r w:rsidR="00937B84">
              <w:rPr>
                <w:sz w:val="20"/>
                <w:szCs w:val="20"/>
              </w:rPr>
              <w:t>1.0</w:t>
            </w:r>
            <w:r w:rsidR="00443CC5" w:rsidRPr="009C1672">
              <w:rPr>
                <w:sz w:val="20"/>
                <w:szCs w:val="20"/>
              </w:rPr>
              <w:t>,</w:t>
            </w:r>
            <w:r w:rsidR="00443CC5">
              <w:rPr>
                <w:sz w:val="20"/>
                <w:szCs w:val="20"/>
              </w:rPr>
              <w:t xml:space="preserve"> 1</w:t>
            </w:r>
            <w:r w:rsidR="00937B84">
              <w:rPr>
                <w:sz w:val="20"/>
                <w:szCs w:val="20"/>
              </w:rPr>
              <w:t>.</w:t>
            </w:r>
            <w:r>
              <w:rPr>
                <w:sz w:val="20"/>
                <w:szCs w:val="20"/>
              </w:rPr>
              <w:t>0</w:t>
            </w:r>
            <w:r w:rsidR="00443CC5" w:rsidRPr="009C1672">
              <w:rPr>
                <w:sz w:val="20"/>
                <w:szCs w:val="20"/>
              </w:rPr>
              <w:t>)</w:t>
            </w:r>
          </w:p>
        </w:tc>
        <w:tc>
          <w:tcPr>
            <w:tcW w:w="2409" w:type="dxa"/>
            <w:tcBorders>
              <w:top w:val="single" w:sz="8" w:space="0" w:color="DBE5F1" w:themeColor="accent1" w:themeTint="33"/>
              <w:bottom w:val="single" w:sz="8" w:space="0" w:color="auto"/>
            </w:tcBorders>
          </w:tcPr>
          <w:p w14:paraId="3D107E7B" w14:textId="4BE0DB69" w:rsidR="00443CC5" w:rsidRPr="009C1672" w:rsidRDefault="00443CC5">
            <w:pPr>
              <w:jc w:val="center"/>
              <w:rPr>
                <w:sz w:val="20"/>
                <w:szCs w:val="20"/>
              </w:rPr>
            </w:pPr>
            <w:r w:rsidRPr="009C1672">
              <w:rPr>
                <w:sz w:val="20"/>
                <w:szCs w:val="20"/>
              </w:rPr>
              <w:t>-</w:t>
            </w:r>
            <w:r>
              <w:rPr>
                <w:sz w:val="20"/>
                <w:szCs w:val="20"/>
              </w:rPr>
              <w:t>2</w:t>
            </w:r>
            <w:r w:rsidR="00937B84">
              <w:rPr>
                <w:sz w:val="20"/>
                <w:szCs w:val="20"/>
              </w:rPr>
              <w:t>6.</w:t>
            </w:r>
            <w:r w:rsidR="00B13BC9">
              <w:rPr>
                <w:sz w:val="20"/>
                <w:szCs w:val="20"/>
              </w:rPr>
              <w:t>8</w:t>
            </w:r>
            <w:r w:rsidRPr="009C1672">
              <w:rPr>
                <w:sz w:val="20"/>
                <w:szCs w:val="20"/>
              </w:rPr>
              <w:t xml:space="preserve"> (-</w:t>
            </w:r>
            <w:r>
              <w:rPr>
                <w:sz w:val="20"/>
                <w:szCs w:val="20"/>
              </w:rPr>
              <w:t>14</w:t>
            </w:r>
            <w:r w:rsidR="00B13BC9">
              <w:rPr>
                <w:sz w:val="20"/>
                <w:szCs w:val="20"/>
              </w:rPr>
              <w:t>0.9</w:t>
            </w:r>
            <w:r w:rsidRPr="009C1672">
              <w:rPr>
                <w:sz w:val="20"/>
                <w:szCs w:val="20"/>
              </w:rPr>
              <w:t>,</w:t>
            </w:r>
            <w:r>
              <w:rPr>
                <w:sz w:val="20"/>
                <w:szCs w:val="20"/>
              </w:rPr>
              <w:t xml:space="preserve"> </w:t>
            </w:r>
            <w:r w:rsidRPr="009C1672">
              <w:rPr>
                <w:sz w:val="20"/>
                <w:szCs w:val="20"/>
              </w:rPr>
              <w:t xml:space="preserve"> </w:t>
            </w:r>
            <w:r w:rsidR="00B13BC9">
              <w:rPr>
                <w:sz w:val="20"/>
                <w:szCs w:val="20"/>
              </w:rPr>
              <w:t>87.4</w:t>
            </w:r>
            <w:r w:rsidRPr="009C1672">
              <w:rPr>
                <w:sz w:val="20"/>
                <w:szCs w:val="20"/>
              </w:rPr>
              <w:t>)</w:t>
            </w:r>
          </w:p>
        </w:tc>
        <w:tc>
          <w:tcPr>
            <w:tcW w:w="2161" w:type="dxa"/>
            <w:tcBorders>
              <w:top w:val="single" w:sz="8" w:space="0" w:color="DBE5F1" w:themeColor="accent1" w:themeTint="33"/>
              <w:bottom w:val="single" w:sz="8" w:space="0" w:color="auto"/>
            </w:tcBorders>
          </w:tcPr>
          <w:p w14:paraId="3CD0FC3E" w14:textId="1C0CAC57" w:rsidR="00443CC5" w:rsidRPr="009C1672" w:rsidRDefault="00443CC5">
            <w:pPr>
              <w:jc w:val="center"/>
              <w:rPr>
                <w:sz w:val="20"/>
                <w:szCs w:val="20"/>
              </w:rPr>
            </w:pPr>
            <w:r w:rsidRPr="009C1672">
              <w:rPr>
                <w:sz w:val="20"/>
                <w:szCs w:val="20"/>
              </w:rPr>
              <w:t>-</w:t>
            </w:r>
            <w:r w:rsidR="00937B84">
              <w:rPr>
                <w:sz w:val="20"/>
                <w:szCs w:val="20"/>
              </w:rPr>
              <w:t>13.</w:t>
            </w:r>
            <w:r w:rsidR="001C2CDC">
              <w:rPr>
                <w:sz w:val="20"/>
                <w:szCs w:val="20"/>
              </w:rPr>
              <w:t>6</w:t>
            </w:r>
            <w:r w:rsidRPr="009C1672">
              <w:rPr>
                <w:sz w:val="20"/>
                <w:szCs w:val="20"/>
              </w:rPr>
              <w:t xml:space="preserve"> (-</w:t>
            </w:r>
            <w:r w:rsidR="00937B84">
              <w:rPr>
                <w:sz w:val="20"/>
                <w:szCs w:val="20"/>
              </w:rPr>
              <w:t>6</w:t>
            </w:r>
            <w:r w:rsidR="001C2CDC">
              <w:rPr>
                <w:sz w:val="20"/>
                <w:szCs w:val="20"/>
              </w:rPr>
              <w:t>2</w:t>
            </w:r>
            <w:r w:rsidR="00937B84">
              <w:rPr>
                <w:sz w:val="20"/>
                <w:szCs w:val="20"/>
              </w:rPr>
              <w:t>.</w:t>
            </w:r>
            <w:r w:rsidR="001C2CDC">
              <w:rPr>
                <w:sz w:val="20"/>
                <w:szCs w:val="20"/>
              </w:rPr>
              <w:t>6</w:t>
            </w:r>
            <w:r w:rsidRPr="009C1672">
              <w:rPr>
                <w:sz w:val="20"/>
                <w:szCs w:val="20"/>
              </w:rPr>
              <w:t xml:space="preserve">, </w:t>
            </w:r>
            <w:r w:rsidR="00937B84">
              <w:rPr>
                <w:sz w:val="20"/>
                <w:szCs w:val="20"/>
              </w:rPr>
              <w:t>3</w:t>
            </w:r>
            <w:r w:rsidR="001C2CDC">
              <w:rPr>
                <w:sz w:val="20"/>
                <w:szCs w:val="20"/>
              </w:rPr>
              <w:t>5</w:t>
            </w:r>
            <w:r w:rsidR="00937B84">
              <w:rPr>
                <w:sz w:val="20"/>
                <w:szCs w:val="20"/>
              </w:rPr>
              <w:t>.</w:t>
            </w:r>
            <w:r w:rsidR="001C2CDC">
              <w:rPr>
                <w:sz w:val="20"/>
                <w:szCs w:val="20"/>
              </w:rPr>
              <w:t>4</w:t>
            </w:r>
            <w:r w:rsidRPr="009C1672">
              <w:rPr>
                <w:sz w:val="20"/>
                <w:szCs w:val="20"/>
              </w:rPr>
              <w:t>)</w:t>
            </w:r>
          </w:p>
        </w:tc>
      </w:tr>
    </w:tbl>
    <w:p w14:paraId="2A9BCD5C" w14:textId="61427E6B" w:rsidR="008E3101" w:rsidRDefault="00753988" w:rsidP="003026DF">
      <w:pPr>
        <w:sectPr w:rsidR="008E3101" w:rsidSect="00826983">
          <w:pgSz w:w="16838" w:h="11906" w:orient="landscape"/>
          <w:pgMar w:top="1440" w:right="1440" w:bottom="1440" w:left="1440" w:header="709" w:footer="709" w:gutter="0"/>
          <w:lnNumType w:countBy="1" w:restart="continuous"/>
          <w:cols w:space="708"/>
          <w:docGrid w:linePitch="360"/>
        </w:sectPr>
      </w:pPr>
      <w:r w:rsidRPr="00753988">
        <w:t xml:space="preserve">†Trend2  indicates the volume change multiplied by weeks since the announcement squared; estimates statistically significant at the p&lt;0.05 level are highlighted in bold </w:t>
      </w:r>
      <w:r w:rsidR="003026DF">
        <w:t>drinks with 0g sugar</w:t>
      </w:r>
      <w:r w:rsidR="001F1E9A">
        <w:t xml:space="preserve"> per </w:t>
      </w:r>
      <w:r w:rsidR="003026DF">
        <w:t>100ml and bottled water are excluded as they contain no sugar; alcoholic drinks are excluded as no information on sugar content was available</w:t>
      </w:r>
    </w:p>
    <w:p w14:paraId="756AABCA" w14:textId="3BC56125" w:rsidR="00DB5ECE" w:rsidRPr="009450E5" w:rsidRDefault="00DB5ECE" w:rsidP="00DB5ECE">
      <w:pPr>
        <w:spacing w:line="480" w:lineRule="auto"/>
        <w:jc w:val="both"/>
        <w:rPr>
          <w:b/>
        </w:rPr>
      </w:pPr>
      <w:r w:rsidRPr="009450E5">
        <w:rPr>
          <w:b/>
        </w:rPr>
        <w:lastRenderedPageBreak/>
        <w:t>Discussion</w:t>
      </w:r>
    </w:p>
    <w:p w14:paraId="152D09F7" w14:textId="6AD32645" w:rsidR="00A0132D" w:rsidRPr="009450E5" w:rsidRDefault="00DB5ECE" w:rsidP="00DB5ECE">
      <w:pPr>
        <w:spacing w:line="480" w:lineRule="auto"/>
        <w:jc w:val="both"/>
        <w:rPr>
          <w:b/>
          <w:i/>
        </w:rPr>
      </w:pPr>
      <w:r w:rsidRPr="009450E5">
        <w:rPr>
          <w:b/>
          <w:i/>
        </w:rPr>
        <w:t>Summary of findings</w:t>
      </w:r>
    </w:p>
    <w:p w14:paraId="5DE6598B" w14:textId="2EA283F2" w:rsidR="00D86D18" w:rsidRDefault="001F1E9A" w:rsidP="001F1E9A">
      <w:pPr>
        <w:spacing w:after="240" w:line="480" w:lineRule="auto"/>
        <w:jc w:val="both"/>
      </w:pPr>
      <w:r>
        <w:t xml:space="preserve">We theorised </w:t>
      </w:r>
      <w:r w:rsidR="00195182">
        <w:t xml:space="preserve">that </w:t>
      </w:r>
      <w:r w:rsidR="00887B28">
        <w:t xml:space="preserve">the </w:t>
      </w:r>
      <w:r>
        <w:t xml:space="preserve">announcement </w:t>
      </w:r>
      <w:r w:rsidR="00443CC5">
        <w:t xml:space="preserve">of the SDIL </w:t>
      </w:r>
      <w:r w:rsidR="00195182">
        <w:t>might lead to anticipatory changes, both by industry (as intended by government) and by consumers (</w:t>
      </w:r>
      <w:r w:rsidR="00887B28">
        <w:t xml:space="preserve">via changes in consumer </w:t>
      </w:r>
      <w:r w:rsidR="0092493A">
        <w:t xml:space="preserve">awareness, </w:t>
      </w:r>
      <w:r w:rsidR="00887B28">
        <w:t xml:space="preserve">attitudes </w:t>
      </w:r>
      <w:r w:rsidR="00195182">
        <w:t xml:space="preserve">or </w:t>
      </w:r>
      <w:r w:rsidR="00887B28">
        <w:t>beliefs</w:t>
      </w:r>
      <w:r w:rsidR="00195182">
        <w:t>)</w:t>
      </w:r>
      <w:r>
        <w:t>.</w:t>
      </w:r>
      <w:r w:rsidR="00E44982">
        <w:t xml:space="preserve"> </w:t>
      </w:r>
      <w:r w:rsidR="002432E3">
        <w:t>T</w:t>
      </w:r>
      <w:r w:rsidR="00887B28">
        <w:t xml:space="preserve">wo years after the announcement, </w:t>
      </w:r>
      <w:r w:rsidR="00443CC5">
        <w:t xml:space="preserve">immediately </w:t>
      </w:r>
      <w:r w:rsidR="00887B28">
        <w:t>prior to implementation</w:t>
      </w:r>
      <w:r w:rsidR="008041FD">
        <w:t xml:space="preserve"> </w:t>
      </w:r>
      <w:r w:rsidR="003C5B8E">
        <w:t xml:space="preserve">of the SDIL </w:t>
      </w:r>
      <w:r w:rsidR="008041FD">
        <w:t>when all drinks were combined</w:t>
      </w:r>
      <w:r w:rsidR="00D86D18">
        <w:t>, irrespective of levy eligibility or sugar content,</w:t>
      </w:r>
      <w:r w:rsidR="008041FD">
        <w:t xml:space="preserve"> we found no </w:t>
      </w:r>
      <w:r w:rsidR="00DB1AD8">
        <w:t xml:space="preserve">statistically </w:t>
      </w:r>
      <w:r w:rsidR="008041FD">
        <w:t>significant change in the volume of</w:t>
      </w:r>
      <w:r w:rsidR="00490B07">
        <w:t xml:space="preserve"> (p-value = 0.07)</w:t>
      </w:r>
      <w:r w:rsidR="008041FD">
        <w:t>, or amount sugar in</w:t>
      </w:r>
      <w:r w:rsidR="00490B07">
        <w:t xml:space="preserve"> (p-value = 0.6)</w:t>
      </w:r>
      <w:r w:rsidR="008041FD">
        <w:t xml:space="preserve">, purchased drinks indicating that additional action (including implementation of the SDIL) will be required to achieve a positive public health impact. </w:t>
      </w:r>
    </w:p>
    <w:p w14:paraId="0957B5ED" w14:textId="755E0819" w:rsidR="00C532A5" w:rsidRPr="00C57E3C" w:rsidRDefault="008041FD" w:rsidP="001F1E9A">
      <w:pPr>
        <w:spacing w:after="240" w:line="480" w:lineRule="auto"/>
        <w:jc w:val="both"/>
        <w:rPr>
          <w:color w:val="000000" w:themeColor="text1"/>
        </w:rPr>
      </w:pPr>
      <w:r>
        <w:t>W</w:t>
      </w:r>
      <w:r w:rsidR="00D86D18">
        <w:t>hen we disaggregate levy-eligible drinks by category, w</w:t>
      </w:r>
      <w:r w:rsidR="0080049E">
        <w:t xml:space="preserve">e found </w:t>
      </w:r>
      <w:r w:rsidR="00887B28">
        <w:t xml:space="preserve">no evidence of a change in volume of, or the amount of sugar, in household purchases of </w:t>
      </w:r>
      <w:r w:rsidR="005F28C2">
        <w:t>high</w:t>
      </w:r>
      <w:r w:rsidR="0092493A">
        <w:t>er</w:t>
      </w:r>
      <w:r w:rsidR="005F28C2">
        <w:t xml:space="preserve"> levy tier drinks </w:t>
      </w:r>
      <w:r w:rsidR="00887B28">
        <w:t xml:space="preserve">compared to the counterfactual. </w:t>
      </w:r>
      <w:r w:rsidR="005F28C2">
        <w:t>T</w:t>
      </w:r>
      <w:r w:rsidR="00887B28">
        <w:t xml:space="preserve">his was against a backdrop of a substantial downward trend in purchasing of </w:t>
      </w:r>
      <w:r w:rsidR="005F28C2">
        <w:t xml:space="preserve">these </w:t>
      </w:r>
      <w:r w:rsidR="00887B28">
        <w:t xml:space="preserve">drinks. Alongside, we found </w:t>
      </w:r>
      <w:r w:rsidR="0080049E">
        <w:t xml:space="preserve">evidence of </w:t>
      </w:r>
      <w:r w:rsidR="00A707EF" w:rsidRPr="00C9271D">
        <w:t>a</w:t>
      </w:r>
      <w:r w:rsidR="00A707EF" w:rsidRPr="00C9271D">
        <w:rPr>
          <w:b/>
          <w:bCs/>
        </w:rPr>
        <w:t xml:space="preserve"> </w:t>
      </w:r>
      <w:r w:rsidR="004A64FB">
        <w:t>5</w:t>
      </w:r>
      <w:r w:rsidR="001B0331">
        <w:t>4</w:t>
      </w:r>
      <w:r w:rsidR="004A64FB">
        <w:t xml:space="preserve">% </w:t>
      </w:r>
      <w:r w:rsidR="00371C65">
        <w:t xml:space="preserve">decrease in </w:t>
      </w:r>
      <w:r w:rsidR="006F12A9">
        <w:t xml:space="preserve">both </w:t>
      </w:r>
      <w:r w:rsidR="00371C65">
        <w:t>the volume</w:t>
      </w:r>
      <w:r w:rsidR="00C9271D">
        <w:t xml:space="preserve"> of,</w:t>
      </w:r>
      <w:r w:rsidR="00642E26">
        <w:t xml:space="preserve"> and the amount of sugar in</w:t>
      </w:r>
      <w:r w:rsidR="0080049E">
        <w:t>,</w:t>
      </w:r>
      <w:r w:rsidR="00371C65">
        <w:t xml:space="preserve"> </w:t>
      </w:r>
      <w:r w:rsidR="00887B28">
        <w:t xml:space="preserve">household purchases of </w:t>
      </w:r>
      <w:r w:rsidR="00CA79AB">
        <w:t>low</w:t>
      </w:r>
      <w:r w:rsidR="0092493A">
        <w:t>er</w:t>
      </w:r>
      <w:r w:rsidR="00CA79AB">
        <w:t xml:space="preserve"> levy tier</w:t>
      </w:r>
      <w:r w:rsidR="00F428F9">
        <w:t xml:space="preserve"> </w:t>
      </w:r>
      <w:r w:rsidR="00371C65">
        <w:t>drinks</w:t>
      </w:r>
      <w:r w:rsidR="005F28C2">
        <w:t xml:space="preserve"> (</w:t>
      </w:r>
      <w:r w:rsidR="004A64FB">
        <w:t xml:space="preserve">equivalent to a reduction of </w:t>
      </w:r>
      <w:r w:rsidR="001B0331">
        <w:t>95</w:t>
      </w:r>
      <w:r w:rsidR="004A64FB">
        <w:t xml:space="preserve">ml and </w:t>
      </w:r>
      <w:r w:rsidR="001B0331">
        <w:t>6</w:t>
      </w:r>
      <w:r w:rsidR="004A64FB">
        <w:t>g of sugar in these drinks per household per week)</w:t>
      </w:r>
      <w:r w:rsidR="00F428F9">
        <w:t xml:space="preserve">. </w:t>
      </w:r>
      <w:r w:rsidR="00887B28">
        <w:t>T</w:t>
      </w:r>
      <w:r w:rsidR="00C9271D">
        <w:t xml:space="preserve">here was no </w:t>
      </w:r>
      <w:r w:rsidR="00887B28">
        <w:t xml:space="preserve">evidence of </w:t>
      </w:r>
      <w:r w:rsidR="00203F34">
        <w:t xml:space="preserve">a </w:t>
      </w:r>
      <w:r w:rsidR="00C9271D">
        <w:t xml:space="preserve">change in </w:t>
      </w:r>
      <w:r w:rsidR="00203F34">
        <w:t xml:space="preserve">the </w:t>
      </w:r>
      <w:r w:rsidR="00887B28">
        <w:t xml:space="preserve">volume of household </w:t>
      </w:r>
      <w:r w:rsidR="00C9271D">
        <w:t xml:space="preserve">purchases of </w:t>
      </w:r>
      <w:r w:rsidR="00371C65">
        <w:t>no levy drinks</w:t>
      </w:r>
      <w:r w:rsidR="005F28C2">
        <w:t xml:space="preserve"> with &lt;5g sugar per 100ml</w:t>
      </w:r>
      <w:r w:rsidR="00887B28">
        <w:t xml:space="preserve">. However, </w:t>
      </w:r>
      <w:r w:rsidR="00D86D18">
        <w:t xml:space="preserve">the reduction in sugar purchased from lower levy tier drinks was offset by </w:t>
      </w:r>
      <w:r w:rsidR="00371C65">
        <w:t>a</w:t>
      </w:r>
      <w:r w:rsidR="004A64FB">
        <w:t xml:space="preserve"> </w:t>
      </w:r>
      <w:r w:rsidR="001B0331">
        <w:t>7</w:t>
      </w:r>
      <w:r w:rsidR="00C95540">
        <w:t>8</w:t>
      </w:r>
      <w:r w:rsidR="004A64FB">
        <w:t>%</w:t>
      </w:r>
      <w:r w:rsidR="00371C65">
        <w:t xml:space="preserve"> increase in the amount of sugar </w:t>
      </w:r>
      <w:r w:rsidR="0080049E">
        <w:t xml:space="preserve">purchased </w:t>
      </w:r>
      <w:r w:rsidR="00887B28">
        <w:t>in</w:t>
      </w:r>
      <w:r w:rsidR="005F28C2">
        <w:t xml:space="preserve"> </w:t>
      </w:r>
      <w:r w:rsidR="00D86D18">
        <w:t xml:space="preserve">no levy tier </w:t>
      </w:r>
      <w:r w:rsidR="00371C65">
        <w:t xml:space="preserve">drinks </w:t>
      </w:r>
      <w:r w:rsidR="003B74A3">
        <w:t xml:space="preserve">(equivalent to an increase of </w:t>
      </w:r>
      <w:r w:rsidR="00C95540">
        <w:t>6</w:t>
      </w:r>
      <w:r w:rsidR="003B74A3">
        <w:t xml:space="preserve">g </w:t>
      </w:r>
      <w:r w:rsidR="003B0164">
        <w:t xml:space="preserve">of sugar </w:t>
      </w:r>
      <w:r w:rsidR="003B74A3">
        <w:t>in these drinks per household per week)</w:t>
      </w:r>
      <w:r w:rsidR="00371C65">
        <w:t xml:space="preserve">. </w:t>
      </w:r>
      <w:r w:rsidR="004A64FB">
        <w:t>We fo</w:t>
      </w:r>
      <w:r w:rsidR="003B74A3">
        <w:t xml:space="preserve">und no changes in purchasing of </w:t>
      </w:r>
      <w:r w:rsidR="002432E3">
        <w:t xml:space="preserve">confectionery </w:t>
      </w:r>
      <w:r w:rsidR="004A64FB">
        <w:t xml:space="preserve">or </w:t>
      </w:r>
      <w:r w:rsidR="002432E3">
        <w:t>alcohol</w:t>
      </w:r>
      <w:r w:rsidR="00C9271D">
        <w:t>ic drinks</w:t>
      </w:r>
      <w:r w:rsidR="00595598">
        <w:t xml:space="preserve"> </w:t>
      </w:r>
      <w:r w:rsidR="003B74A3">
        <w:t>associated with the announcement compared to the counterfactual</w:t>
      </w:r>
      <w:r w:rsidR="00FD03F5">
        <w:t xml:space="preserve"> scenario</w:t>
      </w:r>
      <w:r w:rsidR="003B74A3">
        <w:t xml:space="preserve">, </w:t>
      </w:r>
      <w:r w:rsidR="003D3709">
        <w:t xml:space="preserve">suggesting </w:t>
      </w:r>
      <w:r w:rsidR="004A64FB">
        <w:t xml:space="preserve">that </w:t>
      </w:r>
      <w:r w:rsidR="003B0164">
        <w:t xml:space="preserve">substitution to </w:t>
      </w:r>
      <w:r w:rsidR="004A64FB">
        <w:t xml:space="preserve">these categories </w:t>
      </w:r>
      <w:r w:rsidR="00C9271D">
        <w:t xml:space="preserve">did </w:t>
      </w:r>
      <w:r w:rsidR="004A64FB">
        <w:t>not occur</w:t>
      </w:r>
      <w:r w:rsidR="002432E3">
        <w:t xml:space="preserve">. </w:t>
      </w:r>
      <w:r w:rsidR="003D2EEC">
        <w:t xml:space="preserve">These results are consistent with </w:t>
      </w:r>
      <w:r w:rsidR="0092493A">
        <w:t xml:space="preserve">either or </w:t>
      </w:r>
      <w:r w:rsidR="003D2EEC">
        <w:t>both reformulation or introduction of new products</w:t>
      </w:r>
      <w:r w:rsidR="0092493A">
        <w:t>,</w:t>
      </w:r>
      <w:r w:rsidR="003D2EEC">
        <w:t xml:space="preserve"> as well as consumer changes in purchasing.</w:t>
      </w:r>
      <w:r w:rsidR="0042333F">
        <w:t xml:space="preserve"> </w:t>
      </w:r>
      <w:r w:rsidR="00CF0A03" w:rsidRPr="00C57E3C">
        <w:rPr>
          <w:color w:val="000000" w:themeColor="text1"/>
        </w:rPr>
        <w:t xml:space="preserve">These findings help inform political discussions about rescinding sugar taxes (which has happened in, for example, Catalonia, Denmark and Cook County, Illinois, and is not therefore merely a theoretical concern). It should also help countries implementing similar taxes to understand the timeline they might expect for effects to occur </w:t>
      </w:r>
      <w:r w:rsidR="00CF0A03" w:rsidRPr="00C57E3C">
        <w:rPr>
          <w:color w:val="000000" w:themeColor="text1"/>
        </w:rPr>
        <w:lastRenderedPageBreak/>
        <w:t>(and hence when evaluations should take place and when any impact on health outcomes may be observed).</w:t>
      </w:r>
    </w:p>
    <w:p w14:paraId="2DA46995" w14:textId="141C7602" w:rsidR="00403EDF" w:rsidRPr="00403EDF" w:rsidRDefault="00403EDF" w:rsidP="001F1E9A">
      <w:pPr>
        <w:spacing w:after="240" w:line="480" w:lineRule="auto"/>
        <w:jc w:val="both"/>
        <w:rPr>
          <w:b/>
          <w:i/>
        </w:rPr>
      </w:pPr>
      <w:r w:rsidRPr="00403EDF">
        <w:rPr>
          <w:b/>
          <w:i/>
        </w:rPr>
        <w:t>Comparison of findings to previous research</w:t>
      </w:r>
    </w:p>
    <w:p w14:paraId="22AF8053" w14:textId="5A27EFB4" w:rsidR="003C5B8E" w:rsidRDefault="001E47A0" w:rsidP="001F1E9A">
      <w:pPr>
        <w:spacing w:after="240" w:line="480" w:lineRule="auto"/>
        <w:jc w:val="both"/>
        <w:rPr>
          <w:rFonts w:ascii="Calibri" w:hAnsi="Calibri"/>
        </w:rPr>
      </w:pPr>
      <w:r>
        <w:t>Few previous studies ha</w:t>
      </w:r>
      <w:r w:rsidR="00C04BA4">
        <w:t>ve</w:t>
      </w:r>
      <w:r>
        <w:t xml:space="preserve"> specifically explored the effects of t</w:t>
      </w:r>
      <w:r w:rsidR="002B712D">
        <w:t>he announcement of an SSB tax</w:t>
      </w:r>
      <w:r>
        <w:t xml:space="preserve">. </w:t>
      </w:r>
      <w:r w:rsidR="00EB27CD">
        <w:t>I</w:t>
      </w:r>
      <w:r>
        <w:t xml:space="preserve">n </w:t>
      </w:r>
      <w:r w:rsidR="00EB27CD">
        <w:t>2014</w:t>
      </w:r>
      <w:r w:rsidR="00973E27">
        <w:t>,</w:t>
      </w:r>
      <w:r w:rsidR="00EB27CD">
        <w:t xml:space="preserve"> </w:t>
      </w:r>
      <w:r>
        <w:t xml:space="preserve">Chile </w:t>
      </w:r>
      <w:r w:rsidR="00EB27CD">
        <w:t>changed the taxing structure of SSBs</w:t>
      </w:r>
      <w:r w:rsidR="00973E27">
        <w:t xml:space="preserve">. A previous </w:t>
      </w:r>
      <w:r w:rsidR="00EB27CD">
        <w:t xml:space="preserve">13% </w:t>
      </w:r>
      <w:r w:rsidR="00EB27CD" w:rsidRPr="00427392">
        <w:rPr>
          <w:i/>
        </w:rPr>
        <w:t>ad valorem</w:t>
      </w:r>
      <w:r w:rsidR="00EB27CD">
        <w:t xml:space="preserve"> tax </w:t>
      </w:r>
      <w:r w:rsidR="00973E27">
        <w:t xml:space="preserve">was reduced </w:t>
      </w:r>
      <w:r w:rsidR="00EB27CD">
        <w:t>to 10% on drinks with &lt;6.25</w:t>
      </w:r>
      <w:r w:rsidR="00973E27">
        <w:t>g sugar per 100ml and increased</w:t>
      </w:r>
      <w:r w:rsidR="00EB27CD">
        <w:t xml:space="preserve"> to 18% for drinks with ≥6.25g sugar per 100ml. </w:t>
      </w:r>
      <w:r w:rsidR="00203F34">
        <w:t>Drinks with no sugar, colouring or flavouring</w:t>
      </w:r>
      <w:r w:rsidR="00973E27">
        <w:t xml:space="preserve"> remained untaxed. </w:t>
      </w:r>
      <w:r w:rsidR="00EB27CD">
        <w:t>In line with the current findings, announcement of the tax six months prior to implementation was associated with a</w:t>
      </w:r>
      <w:r w:rsidR="0092493A">
        <w:t>n anticipatory</w:t>
      </w:r>
      <w:r w:rsidR="00EB27CD">
        <w:t xml:space="preserve"> decline in purchasing of drinks in the low, but not high</w:t>
      </w:r>
      <w:r w:rsidR="00973E27">
        <w:t>,</w:t>
      </w:r>
      <w:r w:rsidR="00EB27CD">
        <w:t xml:space="preserve"> tax </w:t>
      </w:r>
      <w:r w:rsidR="0042333F">
        <w:t>group</w:t>
      </w:r>
      <w:r w:rsidR="004F2809">
        <w:t xml:space="preserve"> </w:t>
      </w:r>
      <w:r w:rsidR="004F2809" w:rsidRPr="004F2809">
        <w:rPr>
          <w:rFonts w:ascii="Calibri" w:hAnsi="Calibri"/>
        </w:rPr>
        <w:t>[27</w:t>
      </w:r>
      <w:r w:rsidR="005E32B2" w:rsidRPr="004F2809">
        <w:rPr>
          <w:rFonts w:ascii="Calibri" w:hAnsi="Calibri"/>
        </w:rPr>
        <w:t>,</w:t>
      </w:r>
      <w:r w:rsidR="004F2809" w:rsidRPr="004F2809">
        <w:rPr>
          <w:rFonts w:ascii="Calibri" w:hAnsi="Calibri"/>
        </w:rPr>
        <w:t>40]</w:t>
      </w:r>
      <w:r w:rsidR="00784B22">
        <w:rPr>
          <w:rFonts w:ascii="Calibri" w:hAnsi="Calibri"/>
        </w:rPr>
        <w:t>.</w:t>
      </w:r>
      <w:r w:rsidR="00973E27">
        <w:rPr>
          <w:rFonts w:ascii="Calibri" w:hAnsi="Calibri"/>
        </w:rPr>
        <w:t xml:space="preserve"> </w:t>
      </w:r>
    </w:p>
    <w:p w14:paraId="67663B18" w14:textId="16182590" w:rsidR="00F27D55" w:rsidRDefault="003C5B8E" w:rsidP="001F1E9A">
      <w:pPr>
        <w:spacing w:after="240" w:line="480" w:lineRule="auto"/>
        <w:jc w:val="both"/>
        <w:rPr>
          <w:rFonts w:ascii="Calibri" w:hAnsi="Calibri"/>
        </w:rPr>
      </w:pPr>
      <w:r>
        <w:rPr>
          <w:rFonts w:ascii="Calibri" w:hAnsi="Calibri"/>
        </w:rPr>
        <w:t>A recent ITS of drinks</w:t>
      </w:r>
      <w:r w:rsidR="00CF0A03">
        <w:rPr>
          <w:rFonts w:ascii="Calibri" w:hAnsi="Calibri"/>
        </w:rPr>
        <w:t xml:space="preserve"> available in supermarkets</w:t>
      </w:r>
      <w:r>
        <w:rPr>
          <w:rFonts w:ascii="Calibri" w:hAnsi="Calibri"/>
        </w:rPr>
        <w:t xml:space="preserve">, rather than drinks purchased, in the UK found </w:t>
      </w:r>
      <w:r w:rsidR="008041FD">
        <w:rPr>
          <w:rFonts w:ascii="Calibri" w:hAnsi="Calibri"/>
        </w:rPr>
        <w:t xml:space="preserve">that the announcement of the SDIL </w:t>
      </w:r>
      <w:r>
        <w:rPr>
          <w:rFonts w:ascii="Calibri" w:hAnsi="Calibri"/>
        </w:rPr>
        <w:t xml:space="preserve">was associated with a 20% drop in </w:t>
      </w:r>
      <w:r w:rsidR="008041FD">
        <w:rPr>
          <w:rFonts w:ascii="Calibri" w:hAnsi="Calibri"/>
        </w:rPr>
        <w:t xml:space="preserve">the proportion of </w:t>
      </w:r>
      <w:r>
        <w:rPr>
          <w:rFonts w:ascii="Calibri" w:hAnsi="Calibri"/>
        </w:rPr>
        <w:t xml:space="preserve">levy eligible </w:t>
      </w:r>
      <w:r w:rsidR="008041FD">
        <w:rPr>
          <w:rFonts w:ascii="Calibri" w:hAnsi="Calibri"/>
        </w:rPr>
        <w:t xml:space="preserve">drinks containing greater than 5g of sugar per 100ml </w:t>
      </w:r>
      <w:r>
        <w:rPr>
          <w:rFonts w:ascii="Calibri" w:hAnsi="Calibri"/>
        </w:rPr>
        <w:t xml:space="preserve">(the minimum sugar threshold for the lower levy tier) </w:t>
      </w:r>
      <w:r w:rsidR="008041FD">
        <w:rPr>
          <w:rFonts w:ascii="Calibri" w:hAnsi="Calibri"/>
        </w:rPr>
        <w:fldChar w:fldCharType="begin"/>
      </w:r>
      <w:r w:rsidR="006C4B25">
        <w:rPr>
          <w:rFonts w:ascii="Calibri" w:hAnsi="Calibri"/>
        </w:rPr>
        <w:instrText xml:space="preserve"> ADDIN ZOTERO_ITEM CSL_CITATION {"citationID":"ezowm1Kq","properties":{"formattedCitation":"[26]","plainCitation":"[26]","noteIndex":0},"citationItems":[{"id":26,"uris":["http://zotero.org/users/1356132/items/F6JVCCIB"],"uri":["http://zotero.org/users/1356132/items/F6JVCCIB"],"itemData":{"id":26,"type":"article-journal","abstract":"Background Dietary sugar, especially in liquid form, increases risk of dental caries, adiposity, and type 2 diabetes. The United Kingdom Soft Drinks Industry Levy (SDIL) was announced in March 2016 and implemented in April 2018 and charges manufacturers and importers at £0.24 per litre for drinks with over 8 g sugar per 100 mL (high levy category), £0.18 per litre for drinks with 5 to 8 g sugar per 100 mL (low levy category), and no charge for drinks with less than 5 g sugar per 100 mL (no levy category). Fruit juices and milk-based drinks are exempt. We measured the impact of the SDIL on price, product size, number of soft drinks on the marketplace, and the proportion of drinks over the lower levy threshold of 5 g sugar per 100 mL. Methods and findings We analysed data on a total of 209,637 observations of soft drinks over 85 time points between September 2015 and February 2019, collected from the websites of the leading supermarkets in the UK. The data set was structured as a repeat cross-sectional study. We used controlled interrupted time series to assess the impact of the SDIL on changes in level and slope for the 4 outcome variables. Equivalent models were run for potentially levy-eligible drink categories (‘intervention’ drinks) and levy-exempt fruit juices and milk-based drinks (‘control’ drinks). Observed results were compared with counterfactual scenarios based on extrapolation of pre-SDIL trends. We found that in February 2019, the proportion of intervention drinks over the lower levy sugar threshold had fallen by 33.8 percentage points (95% CI: 33.3–34.4, p &lt; 0.001). The price of intervention drinks in the high levy category had risen by £0.075 (£0.037–0.115, p &lt; 0.001) per litre—a 31% pass through rate—whilst prices of intervention drinks in the low levy category and no levy category had fallen and risen by smaller amounts, respectively. Whilst the product size of branded high levy and low levy drinks barely changed after implementation of the SDIL (−7 mL [−23 to 11 mL] and 16 mL [6–27ml], respectively), there were large changes to product size of own-brand drinks with an increase of 172 mL (133–214 mL) for high levy drinks and a decrease of 141 mL (111–170 mL) for low levy drinks. The number of available drinks that were in the high levy category when the SDIL was announced was reduced by 3 (−6 to 12) by the implementation of the SDIL. Equivalent models for control drinks provided little evidence of impact of the SDIL. These results are not sales weighted, so do not give an account of how sugar consumption from drinks may have changed over the time period. Conclusions The results suggest that the SDIL incentivised many manufacturers to reduce sugar in soft drinks. Some of the cost of the levy to manufacturers and importers was passed on to consumers as higher prices but not always on targeted drinks. These changes could reduce population exposure to liquid sugars and associated health risks.","container-title":"PLOS Medicine","DOI":"10.1371/journal.pmed.1003025","ISSN":"1549-1676","issue":"2","journalAbbreviation":"PLOS Medicine","language":"en","page":"e1003025","source":"PLoS Journals","title":"Impact of the announcement and implementation of the UK Soft Drinks Industry Levy on sugar content, price, product size and number of available soft drinks in the UK, 2015-19: A controlled interrupted time series analysis","title-short":"Impact of the announcement and implementation of the UK Soft Drinks Industry Levy on sugar content, price, product size and number of available soft drinks in the UK, 2015-19","volume":"17","author":[{"family":"Scarborough","given":"Peter"},{"family":"Adhikari","given":"Vyas"},{"family":"Harrington","given":"Richard A."},{"family":"Elhussein","given":"Ahmed"},{"family":"Briggs","given":"Adam"},{"family":"Rayner","given":"Mike"},{"family":"Adams","given":"Jean"},{"family":"Cummins","given":"Steven"},{"family":"Penney","given":"Tarra"},{"family":"White","given":"Martin"}],"issued":{"date-parts":[["2020",2,11]]}}}],"schema":"https://github.com/citation-style-language/schema/raw/master/csl-citation.json"} </w:instrText>
      </w:r>
      <w:r w:rsidR="008041FD">
        <w:rPr>
          <w:rFonts w:ascii="Calibri" w:hAnsi="Calibri"/>
        </w:rPr>
        <w:fldChar w:fldCharType="separate"/>
      </w:r>
      <w:r w:rsidR="006C4B25" w:rsidRPr="006C4B25">
        <w:rPr>
          <w:rFonts w:ascii="Calibri" w:hAnsi="Calibri" w:cs="Calibri"/>
        </w:rPr>
        <w:t>[26]</w:t>
      </w:r>
      <w:r w:rsidR="008041FD">
        <w:rPr>
          <w:rFonts w:ascii="Calibri" w:hAnsi="Calibri"/>
        </w:rPr>
        <w:fldChar w:fldCharType="end"/>
      </w:r>
      <w:r w:rsidR="008041FD">
        <w:rPr>
          <w:rFonts w:ascii="Calibri" w:hAnsi="Calibri"/>
        </w:rPr>
        <w:t xml:space="preserve">. </w:t>
      </w:r>
      <w:r w:rsidR="00CF0A03">
        <w:rPr>
          <w:rFonts w:ascii="Calibri" w:hAnsi="Calibri"/>
        </w:rPr>
        <w:t>Scarborough et al</w:t>
      </w:r>
      <w:r w:rsidR="00490B07">
        <w:rPr>
          <w:rFonts w:ascii="Calibri" w:hAnsi="Calibri"/>
        </w:rPr>
        <w:t>.</w:t>
      </w:r>
      <w:r w:rsidR="00CF0A03">
        <w:rPr>
          <w:rFonts w:ascii="Calibri" w:hAnsi="Calibri"/>
        </w:rPr>
        <w:t xml:space="preserve"> also found evidence of ‘strategic reformulation’ with a new peak in the distribution of sugar content in drinks just below 5g per 100ml that was not previously evidenced. </w:t>
      </w:r>
      <w:r>
        <w:rPr>
          <w:rFonts w:ascii="Calibri" w:hAnsi="Calibri"/>
        </w:rPr>
        <w:t xml:space="preserve">This </w:t>
      </w:r>
      <w:r w:rsidR="00CF0A03">
        <w:rPr>
          <w:rFonts w:ascii="Calibri" w:hAnsi="Calibri"/>
        </w:rPr>
        <w:t>is consistent with</w:t>
      </w:r>
      <w:r>
        <w:rPr>
          <w:rFonts w:ascii="Calibri" w:hAnsi="Calibri"/>
        </w:rPr>
        <w:t xml:space="preserve"> our finding of reductions in purchasing of lower levy tier drinks and increases in the sugar in, but not volume of, no levy tier drinks.</w:t>
      </w:r>
    </w:p>
    <w:p w14:paraId="1D140649" w14:textId="38DBBEF9" w:rsidR="003C5B8E" w:rsidRDefault="003C5B8E" w:rsidP="003C5B8E">
      <w:pPr>
        <w:spacing w:line="480" w:lineRule="auto"/>
        <w:jc w:val="both"/>
      </w:pPr>
      <w:r>
        <w:rPr>
          <w:rFonts w:ascii="Calibri" w:hAnsi="Calibri"/>
        </w:rPr>
        <w:t>Similar to our unadjusted analysis</w:t>
      </w:r>
      <w:r w:rsidR="00427392">
        <w:rPr>
          <w:rFonts w:ascii="Calibri" w:hAnsi="Calibri"/>
        </w:rPr>
        <w:t xml:space="preserve"> (Table 1)</w:t>
      </w:r>
      <w:r>
        <w:rPr>
          <w:rFonts w:ascii="Calibri" w:hAnsi="Calibri"/>
        </w:rPr>
        <w:t xml:space="preserve">, a simple before-after analysis found that </w:t>
      </w:r>
      <w:r>
        <w:t xml:space="preserve">sales of levy eligible soft drinks fell by 50% from 2015-18, leading to an overall reduction in the amount of sugar in purchased soft drinks of 30% </w:t>
      </w:r>
      <w:r>
        <w:fldChar w:fldCharType="begin"/>
      </w:r>
      <w:r w:rsidR="006C4B25">
        <w:instrText xml:space="preserve"> ADDIN ZOTERO_ITEM CSL_CITATION {"citationID":"ZnkVweQf","properties":{"formattedCitation":"[27]","plainCitation":"[27]","noteIndex":0},"citationItems":[{"id":25,"uris":["http://zotero.org/users/1356132/items/LJZZDTR4"],"uri":["http://zotero.org/users/1356132/items/LJZZDTR4"],"itemData":{"id":25,"type":"article-journal","abstract":"The consumption of free sugars in the UK is more than double the guideline intake for adults and close to triple for children, with soft drinks representing a significant proportion. The aim of this study was to assess how individual soft drink companies and consumers have responded to calls to reduce sugar consumption, including the soft drink industry levy (SDIL), between 2015 and 2018.","container-title":"BMC Medicine","DOI":"10.1186/s12916-019-1477-4","ISSN":"1741-7015","issue":"1","journalAbbreviation":"BMC Med","language":"en","page":"20","source":"Springer Link","title":"Reductions in sugar sales from soft drinks in the UK from 2015 to 2018","volume":"18","author":[{"family":"Bandy","given":"L. K."},{"family":"Scarborough","given":"P."},{"family":"Harrington","given":"R. A."},{"family":"Rayner","given":"M."},{"family":"Jebb","given":"S. A."}],"issued":{"date-parts":[["2020",1,13]]}}}],"schema":"https://github.com/citation-style-language/schema/raw/master/csl-citation.json"} </w:instrText>
      </w:r>
      <w:r>
        <w:fldChar w:fldCharType="separate"/>
      </w:r>
      <w:r w:rsidR="006C4B25" w:rsidRPr="006C4B25">
        <w:rPr>
          <w:rFonts w:ascii="Calibri" w:hAnsi="Calibri" w:cs="Calibri"/>
        </w:rPr>
        <w:t>[27]</w:t>
      </w:r>
      <w:r>
        <w:fldChar w:fldCharType="end"/>
      </w:r>
      <w:r>
        <w:t xml:space="preserve">. </w:t>
      </w:r>
    </w:p>
    <w:p w14:paraId="20A378BC" w14:textId="3369A856" w:rsidR="008041FD" w:rsidRDefault="00F27D55" w:rsidP="001F1E9A">
      <w:pPr>
        <w:spacing w:after="240" w:line="480" w:lineRule="auto"/>
        <w:jc w:val="both"/>
      </w:pPr>
      <w:r>
        <w:t>The 201</w:t>
      </w:r>
      <w:r w:rsidR="00973E27">
        <w:t>8</w:t>
      </w:r>
      <w:r>
        <w:t xml:space="preserve"> annual report of the British Soft Drinks Association describes annual sales from 2012-17 of drinks in a range of categories</w:t>
      </w:r>
      <w:r w:rsidR="00973E27">
        <w:t xml:space="preserve"> </w:t>
      </w:r>
      <w:r w:rsidR="00D67FAA">
        <w:fldChar w:fldCharType="begin"/>
      </w:r>
      <w:r w:rsidR="006C4B25">
        <w:instrText xml:space="preserve"> ADDIN ZOTERO_ITEM CSL_CITATION {"citationID":"LWhk8ZhF","properties":{"formattedCitation":"[44]","plainCitation":"[44]","noteIndex":0},"citationItems":[{"id":70,"uris":["http://zotero.org/users/1356132/items/KAS6VI77"],"uri":["http://zotero.org/users/1356132/items/KAS6VI77"],"itemData":{"id":70,"type":"report","title":"2018 Annual Report","URL":"https://www.google.co.uk/search?hl=en&amp;q=British_Soft_Drinks_Association_BSDA_Annual_Report_2018","author":[{"literal":"British Soft Drinks Association"}],"accessed":{"date-parts":[["2019",7,2]]},"issued":{"date-parts":[["2019"]]}}}],"schema":"https://github.com/citation-style-language/schema/raw/master/csl-citation.json"} </w:instrText>
      </w:r>
      <w:r w:rsidR="00D67FAA">
        <w:fldChar w:fldCharType="separate"/>
      </w:r>
      <w:r w:rsidR="006C4B25" w:rsidRPr="006C4B25">
        <w:rPr>
          <w:rFonts w:ascii="Calibri" w:hAnsi="Calibri" w:cs="Calibri"/>
        </w:rPr>
        <w:t>[44]</w:t>
      </w:r>
      <w:r w:rsidR="00D67FAA">
        <w:fldChar w:fldCharType="end"/>
      </w:r>
      <w:r w:rsidR="00D67FAA">
        <w:t xml:space="preserve"> </w:t>
      </w:r>
      <w:r w:rsidR="00973E27">
        <w:t>(data source not specified)</w:t>
      </w:r>
      <w:r>
        <w:t xml:space="preserve">. According to these figures, mean annual sales of bottled water increased by 16% between 2014-15 and 2016-17 whilst </w:t>
      </w:r>
      <w:r w:rsidR="0042333F">
        <w:t xml:space="preserve">those </w:t>
      </w:r>
      <w:r>
        <w:t xml:space="preserve">of no added sugar fruit juice decreased by 6%. </w:t>
      </w:r>
      <w:r w:rsidR="0042333F">
        <w:t xml:space="preserve">Comparable figures from our unadjusted analyses (Table 1) are </w:t>
      </w:r>
      <w:r w:rsidR="00973E27">
        <w:t>17% and 7%.</w:t>
      </w:r>
      <w:r w:rsidR="0042333F">
        <w:t xml:space="preserve"> The report does not provide annual sales </w:t>
      </w:r>
      <w:r w:rsidR="00490B07">
        <w:t>for</w:t>
      </w:r>
      <w:r w:rsidR="0042333F">
        <w:t xml:space="preserve"> </w:t>
      </w:r>
      <w:r w:rsidR="00490B07">
        <w:t xml:space="preserve">the </w:t>
      </w:r>
      <w:r w:rsidR="0042333F">
        <w:t>other categories used here.</w:t>
      </w:r>
      <w:r w:rsidR="008041FD">
        <w:t xml:space="preserve"> </w:t>
      </w:r>
    </w:p>
    <w:p w14:paraId="4987D25F" w14:textId="72D14EC4" w:rsidR="00F52E26" w:rsidRDefault="00F52E26" w:rsidP="001F1E9A">
      <w:pPr>
        <w:spacing w:after="240" w:line="480" w:lineRule="auto"/>
        <w:jc w:val="both"/>
      </w:pPr>
      <w:r w:rsidRPr="00F52E26">
        <w:lastRenderedPageBreak/>
        <w:t xml:space="preserve">Data in a report by Public Health England exploring effects of </w:t>
      </w:r>
      <w:r w:rsidR="00DF11DB">
        <w:t xml:space="preserve">their sugar reduction strategy </w:t>
      </w:r>
      <w:r w:rsidRPr="00F52E26">
        <w:t xml:space="preserve"> on purchases in 2015 (before announcement</w:t>
      </w:r>
      <w:r w:rsidR="00DF11DB">
        <w:t xml:space="preserve"> of the SDIL</w:t>
      </w:r>
      <w:r w:rsidRPr="00F52E26">
        <w:t>) and 2017 (after announcement but before implementation) report a decrease in sales of higher and lower levy tier drinks, but an incre</w:t>
      </w:r>
      <w:r w:rsidR="00466793">
        <w:t>ase in sales of no levy drinks</w:t>
      </w:r>
      <w:r w:rsidR="00784B22">
        <w:t xml:space="preserve"> </w:t>
      </w:r>
      <w:r w:rsidR="00466793">
        <w:fldChar w:fldCharType="begin"/>
      </w:r>
      <w:r w:rsidR="006C4B25">
        <w:instrText xml:space="preserve"> ADDIN ZOTERO_ITEM CSL_CITATION {"citationID":"gNRlFIF4","properties":{"formattedCitation":"[45]","plainCitation":"[45]","noteIndex":0},"citationItems":[{"id":64,"uris":["http://zotero.org/users/1356132/items/4PP9RMIF"],"uri":["http://zotero.org/users/1356132/items/4PP9RMIF"],"itemData":{"id":64,"type":"report","abstract":"A detailed report assessing progress in the first year of the sugar reduction programme, principally for the food industry and public health bodies.","language":"en","title":"Sugar reduction: report on first year progress","title-short":"Sugar reduction","URL":"https://www.gov.uk/government/publications/sugar-reduction-report-on-first-year-progress","author":[{"literal":"Public Health England"}],"accessed":{"date-parts":[["2019",8,14]]},"issued":{"date-parts":[["2018",5,23]]}}}],"schema":"https://github.com/citation-style-language/schema/raw/master/csl-citation.json"} </w:instrText>
      </w:r>
      <w:r w:rsidR="00466793">
        <w:fldChar w:fldCharType="separate"/>
      </w:r>
      <w:r w:rsidR="006C4B25" w:rsidRPr="006C4B25">
        <w:rPr>
          <w:rFonts w:ascii="Calibri" w:hAnsi="Calibri" w:cs="Calibri"/>
        </w:rPr>
        <w:t>[45]</w:t>
      </w:r>
      <w:r w:rsidR="00466793">
        <w:fldChar w:fldCharType="end"/>
      </w:r>
      <w:r w:rsidR="00784B22">
        <w:t>.</w:t>
      </w:r>
      <w:r w:rsidR="00466793">
        <w:t xml:space="preserve"> </w:t>
      </w:r>
      <w:r w:rsidRPr="00F52E26">
        <w:t xml:space="preserve"> We find the same direction of effect in our unadjusted analyses (Table 1).</w:t>
      </w:r>
    </w:p>
    <w:p w14:paraId="596DBF0A" w14:textId="4A950DA0" w:rsidR="00F428F9" w:rsidRPr="00C9271D" w:rsidRDefault="00F428F9" w:rsidP="003C2F94">
      <w:pPr>
        <w:spacing w:after="240" w:line="480" w:lineRule="auto"/>
        <w:jc w:val="both"/>
        <w:rPr>
          <w:b/>
          <w:i/>
        </w:rPr>
      </w:pPr>
      <w:r w:rsidRPr="00C9271D">
        <w:rPr>
          <w:b/>
          <w:i/>
        </w:rPr>
        <w:t>Interpretation of findings</w:t>
      </w:r>
    </w:p>
    <w:p w14:paraId="1A15D13A" w14:textId="452AAD6B" w:rsidR="00403EDF" w:rsidRDefault="003B74A3" w:rsidP="009E0B77">
      <w:pPr>
        <w:spacing w:after="240" w:line="480" w:lineRule="auto"/>
        <w:jc w:val="both"/>
      </w:pPr>
      <w:r>
        <w:t xml:space="preserve">We found that the announcement of the SDIL was associated with a marked reduction in the volume </w:t>
      </w:r>
      <w:r w:rsidR="005F28C2">
        <w:t>of</w:t>
      </w:r>
      <w:r w:rsidR="002C1808">
        <w:t xml:space="preserve"> (p-value &lt;0.001)</w:t>
      </w:r>
      <w:r w:rsidR="005F28C2">
        <w:t xml:space="preserve">, </w:t>
      </w:r>
      <w:r>
        <w:t xml:space="preserve">and sugar </w:t>
      </w:r>
      <w:r w:rsidR="005F28C2">
        <w:t>in</w:t>
      </w:r>
      <w:r w:rsidR="002C1808">
        <w:t xml:space="preserve"> (p-value &lt;0.001)</w:t>
      </w:r>
      <w:r w:rsidR="005F28C2">
        <w:t xml:space="preserve">, </w:t>
      </w:r>
      <w:r>
        <w:t xml:space="preserve">drinks </w:t>
      </w:r>
      <w:r w:rsidR="00E424E2">
        <w:t xml:space="preserve">purchased </w:t>
      </w:r>
      <w:r>
        <w:t xml:space="preserve">in the </w:t>
      </w:r>
      <w:r w:rsidR="00CA79AB">
        <w:t>low</w:t>
      </w:r>
      <w:r w:rsidR="008C2B20">
        <w:t>er</w:t>
      </w:r>
      <w:r w:rsidR="00CA79AB">
        <w:t xml:space="preserve"> levy tier</w:t>
      </w:r>
      <w:r>
        <w:t>, which accelerated as the date of levy implementation approached.</w:t>
      </w:r>
      <w:r w:rsidR="001E46E0">
        <w:t xml:space="preserve"> A</w:t>
      </w:r>
      <w:r w:rsidR="005F28C2">
        <w:t>longside</w:t>
      </w:r>
      <w:r w:rsidR="005C4C5B">
        <w:t>,</w:t>
      </w:r>
      <w:r w:rsidR="001E46E0">
        <w:t xml:space="preserve"> </w:t>
      </w:r>
      <w:r w:rsidR="005F28C2">
        <w:t xml:space="preserve">we saw an increase </w:t>
      </w:r>
      <w:r w:rsidR="001E46E0">
        <w:t xml:space="preserve">in the amount of sugar </w:t>
      </w:r>
      <w:r w:rsidR="005F28C2">
        <w:t>purchased in no levy drinks</w:t>
      </w:r>
      <w:r w:rsidR="002C1808">
        <w:t xml:space="preserve"> (p-value &lt;0.001)</w:t>
      </w:r>
      <w:r w:rsidR="005F28C2">
        <w:t xml:space="preserve">, which </w:t>
      </w:r>
      <w:r w:rsidR="000E571C">
        <w:t xml:space="preserve">also </w:t>
      </w:r>
      <w:r w:rsidR="005F28C2">
        <w:t>accelerated as the date of levy implementation approached</w:t>
      </w:r>
      <w:r w:rsidR="00D45494">
        <w:t>.</w:t>
      </w:r>
      <w:r w:rsidR="005F28C2">
        <w:t xml:space="preserve"> </w:t>
      </w:r>
      <w:r w:rsidR="00DC5F26">
        <w:t xml:space="preserve">We hypothesise that </w:t>
      </w:r>
      <w:r w:rsidR="00D45494">
        <w:t>these results reflect</w:t>
      </w:r>
      <w:r w:rsidR="00DC5F26">
        <w:t xml:space="preserve"> </w:t>
      </w:r>
      <w:r w:rsidR="008041FD">
        <w:t xml:space="preserve">reformulation of </w:t>
      </w:r>
      <w:r w:rsidR="00A57894">
        <w:t xml:space="preserve">many </w:t>
      </w:r>
      <w:r w:rsidR="008041FD">
        <w:t xml:space="preserve">drinks to </w:t>
      </w:r>
      <w:r w:rsidR="00A57894">
        <w:t>just below</w:t>
      </w:r>
      <w:r w:rsidR="008041FD">
        <w:t xml:space="preserve"> the maximum sugar content for </w:t>
      </w:r>
      <w:r w:rsidR="00A57894">
        <w:t xml:space="preserve">the no levy tier </w:t>
      </w:r>
      <w:r w:rsidR="008041FD">
        <w:t>(&lt;5g of sugar per 100ml)</w:t>
      </w:r>
      <w:r w:rsidR="00A57894">
        <w:t xml:space="preserve"> and that this </w:t>
      </w:r>
      <w:r w:rsidR="008041FD">
        <w:t xml:space="preserve">led to an overall increase in the average sugar content of </w:t>
      </w:r>
      <w:r w:rsidR="00A57894">
        <w:t xml:space="preserve">drinks in </w:t>
      </w:r>
      <w:r w:rsidR="008041FD">
        <w:t xml:space="preserve">this category. </w:t>
      </w:r>
      <w:r w:rsidR="00A57894">
        <w:t>P</w:t>
      </w:r>
      <w:r w:rsidR="008041FD">
        <w:t>rior to the levy announcement, this category was largely populated with zero sugar drinks</w:t>
      </w:r>
      <w:r w:rsidR="00A57894">
        <w:t xml:space="preserve">, but after implementation a substantial new group of drinks </w:t>
      </w:r>
      <w:r w:rsidR="008041FD">
        <w:t xml:space="preserve">with between 4.5g and 4.9g of sugar </w:t>
      </w:r>
      <w:r w:rsidR="00A57894">
        <w:t>was seen</w:t>
      </w:r>
      <w:r w:rsidR="00914930">
        <w:t xml:space="preserve"> </w:t>
      </w:r>
      <w:r w:rsidR="00914930">
        <w:fldChar w:fldCharType="begin"/>
      </w:r>
      <w:r w:rsidR="006C4B25">
        <w:instrText xml:space="preserve"> ADDIN ZOTERO_ITEM CSL_CITATION {"citationID":"ap6aRKOk","properties":{"formattedCitation":"[26]","plainCitation":"[26]","noteIndex":0},"citationItems":[{"id":26,"uris":["http://zotero.org/users/1356132/items/F6JVCCIB"],"uri":["http://zotero.org/users/1356132/items/F6JVCCIB"],"itemData":{"id":26,"type":"article-journal","abstract":"Background Dietary sugar, especially in liquid form, increases risk of dental caries, adiposity, and type 2 diabetes. The United Kingdom Soft Drinks Industry Levy (SDIL) was announced in March 2016 and implemented in April 2018 and charges manufacturers and importers at £0.24 per litre for drinks with over 8 g sugar per 100 mL (high levy category), £0.18 per litre for drinks with 5 to 8 g sugar per 100 mL (low levy category), and no charge for drinks with less than 5 g sugar per 100 mL (no levy category). Fruit juices and milk-based drinks are exempt. We measured the impact of the SDIL on price, product size, number of soft drinks on the marketplace, and the proportion of drinks over the lower levy threshold of 5 g sugar per 100 mL. Methods and findings We analysed data on a total of 209,637 observations of soft drinks over 85 time points between September 2015 and February 2019, collected from the websites of the leading supermarkets in the UK. The data set was structured as a repeat cross-sectional study. We used controlled interrupted time series to assess the impact of the SDIL on changes in level and slope for the 4 outcome variables. Equivalent models were run for potentially levy-eligible drink categories (‘intervention’ drinks) and levy-exempt fruit juices and milk-based drinks (‘control’ drinks). Observed results were compared with counterfactual scenarios based on extrapolation of pre-SDIL trends. We found that in February 2019, the proportion of intervention drinks over the lower levy sugar threshold had fallen by 33.8 percentage points (95% CI: 33.3–34.4, p &lt; 0.001). The price of intervention drinks in the high levy category had risen by £0.075 (£0.037–0.115, p &lt; 0.001) per litre—a 31% pass through rate—whilst prices of intervention drinks in the low levy category and no levy category had fallen and risen by smaller amounts, respectively. Whilst the product size of branded high levy and low levy drinks barely changed after implementation of the SDIL (−7 mL [−23 to 11 mL] and 16 mL [6–27ml], respectively), there were large changes to product size of own-brand drinks with an increase of 172 mL (133–214 mL) for high levy drinks and a decrease of 141 mL (111–170 mL) for low levy drinks. The number of available drinks that were in the high levy category when the SDIL was announced was reduced by 3 (−6 to 12) by the implementation of the SDIL. Equivalent models for control drinks provided little evidence of impact of the SDIL. These results are not sales weighted, so do not give an account of how sugar consumption from drinks may have changed over the time period. Conclusions The results suggest that the SDIL incentivised many manufacturers to reduce sugar in soft drinks. Some of the cost of the levy to manufacturers and importers was passed on to consumers as higher prices but not always on targeted drinks. These changes could reduce population exposure to liquid sugars and associated health risks.","container-title":"PLOS Medicine","DOI":"10.1371/journal.pmed.1003025","ISSN":"1549-1676","issue":"2","journalAbbreviation":"PLOS Medicine","language":"en","page":"e1003025","source":"PLoS Journals","title":"Impact of the announcement and implementation of the UK Soft Drinks Industry Levy on sugar content, price, product size and number of available soft drinks in the UK, 2015-19: A controlled interrupted time series analysis","title-short":"Impact of the announcement and implementation of the UK Soft Drinks Industry Levy on sugar content, price, product size and number of available soft drinks in the UK, 2015-19","volume":"17","author":[{"family":"Scarborough","given":"Peter"},{"family":"Adhikari","given":"Vyas"},{"family":"Harrington","given":"Richard A."},{"family":"Elhussein","given":"Ahmed"},{"family":"Briggs","given":"Adam"},{"family":"Rayner","given":"Mike"},{"family":"Adams","given":"Jean"},{"family":"Cummins","given":"Steven"},{"family":"Penney","given":"Tarra"},{"family":"White","given":"Martin"}],"issued":{"date-parts":[["2020",2,11]]}}}],"schema":"https://github.com/citation-style-language/schema/raw/master/csl-citation.json"} </w:instrText>
      </w:r>
      <w:r w:rsidR="00914930">
        <w:fldChar w:fldCharType="separate"/>
      </w:r>
      <w:r w:rsidR="006C4B25" w:rsidRPr="006C4B25">
        <w:rPr>
          <w:rFonts w:ascii="Calibri" w:hAnsi="Calibri" w:cs="Calibri"/>
        </w:rPr>
        <w:t>[26]</w:t>
      </w:r>
      <w:r w:rsidR="00914930">
        <w:fldChar w:fldCharType="end"/>
      </w:r>
      <w:r w:rsidR="008041FD">
        <w:t xml:space="preserve">. </w:t>
      </w:r>
    </w:p>
    <w:p w14:paraId="3ED53787" w14:textId="62B6E269" w:rsidR="00BB0CA4" w:rsidRDefault="00BB0CA4" w:rsidP="003C2F94">
      <w:pPr>
        <w:spacing w:after="240" w:line="480" w:lineRule="auto"/>
        <w:jc w:val="both"/>
      </w:pPr>
      <w:r>
        <w:t xml:space="preserve">We are not able to disentangle potential mechanisms of the changes in household purchasing associated with announcement of the SDIL reported here. Alongside reformulation, media coverage of the announcement </w:t>
      </w:r>
      <w:r w:rsidR="00927FFB">
        <w:t>and adaptive behaviours by industry</w:t>
      </w:r>
      <w:r w:rsidR="00AF3DAE">
        <w:t>,</w:t>
      </w:r>
      <w:r w:rsidR="00927FFB">
        <w:t xml:space="preserve"> such as changes in </w:t>
      </w:r>
      <w:r w:rsidR="00AF3DAE">
        <w:t xml:space="preserve">marketing strategies, </w:t>
      </w:r>
      <w:r>
        <w:t>may have had a</w:t>
      </w:r>
      <w:r w:rsidR="005415CF">
        <w:t xml:space="preserve">n </w:t>
      </w:r>
      <w:r>
        <w:t xml:space="preserve">impact on purchasing </w:t>
      </w:r>
      <w:r w:rsidR="00CA508E">
        <w:t xml:space="preserve">by </w:t>
      </w:r>
      <w:r>
        <w:t xml:space="preserve">heightening awareness of </w:t>
      </w:r>
      <w:r w:rsidR="003C5B8E">
        <w:t>the health harms</w:t>
      </w:r>
      <w:r w:rsidR="00914930">
        <w:t xml:space="preserve"> of</w:t>
      </w:r>
      <w:r w:rsidR="003C5B8E">
        <w:t xml:space="preserve"> </w:t>
      </w:r>
      <w:r>
        <w:t xml:space="preserve">SSBs. For example, </w:t>
      </w:r>
      <w:r w:rsidR="00DF11DB">
        <w:t xml:space="preserve">in another study, </w:t>
      </w:r>
      <w:r w:rsidR="00CA508E">
        <w:t xml:space="preserve">Mexicans </w:t>
      </w:r>
      <w:r>
        <w:t>who were aware of the</w:t>
      </w:r>
      <w:r w:rsidR="003C5B8E">
        <w:t>ir</w:t>
      </w:r>
      <w:r>
        <w:t xml:space="preserve"> SSB tax were more likely to report a recent decrease in consumption</w:t>
      </w:r>
      <w:r w:rsidR="00784B22">
        <w:t xml:space="preserve"> </w:t>
      </w:r>
      <w:r w:rsidR="004C7FAB">
        <w:fldChar w:fldCharType="begin"/>
      </w:r>
      <w:r w:rsidR="006C4B25">
        <w:instrText xml:space="preserve"> ADDIN ZOTERO_ITEM CSL_CITATION {"citationID":"wGgYXzGb","properties":{"formattedCitation":"[20]","plainCitation":"[20]","noteIndex":0},"citationItems":[{"id":76,"uris":["http://zotero.org/users/1356132/items/8E2H2CXH"],"uri":["http://zotero.org/users/1356132/items/8E2H2CXH"],"itemData":{"id":76,"type":"article-journal","abstract":"Objective To evaluate the potential signaling effect of the Mexican tax on sugar-sweetened beverages (SSBs) by analyzing the association between awareness of and opinions about its effectiveness with current consumption of taxed SSBs and with a self-reported change in consumption of SSBs since the implementation of the tax. We also examined the association between psychosocial and environmental determinants of SSB consumption with current consumption of taxed SSBs and with a reported change in consumption of SSBs. Methods Cross-sectional analyses of survey and food-frequency questionnaire data from the Mexican National Health and Nutrition Survey 2016. Participants were Mexican adults (20–59 years, N = 6,650). Logistic regression was used to evaluate the probability of a person reporting a decrease in SSB consumption, given their awareness of the tax, opinion about its effectiveness, psychosocial (SSB health-related beliefs, self-efficacy, and liking of SSBs) and environmental (availability of potable water) determinants. Multiple linear regression analysis was utilized to examine the association between the aforementioned factors and current consumption of taxed SSBs. Results Compared with adults not aware, adults who were aware of the SSB tax were more likely (OR = 1.30) to report a decrease in SSB consumption (p = .012). In urban areas, adults aware of the tax drank a significantly lower amount of taxed SSBs (-15.7%; p = .023) than those not aware. Self-efficacy and liking of SSBs were significantly associated with a reported decrease in consumption and with current consumption (p &lt; .001), while health beliefs and availability of potable water were not significantly associated with either reported change in SSB consumption or current consumption of taxed SSBs. Conclusions Implementation of an SSB tax accompanied by highly visible campaigns may further influence the impact of taxes on SSBs consumption. Future public health and nutrition education campaigns designed to increase knowledge and enhance motivation should be complemented by programs to assist individuals develop self-efficacy and self-regulation skills.","container-title":"PLOS ONE","DOI":"10.1371/journal.pone.0199337","ISSN":"1932-6203","issue":"8","journalAbbreviation":"PLOS ONE","language":"en","page":"e0199337","source":"PLoS Journals","title":"Does the Mexican sugar-sweetened beverage tax have a signaling effect? ENSANUT 2016","title-short":"Does the Mexican sugar-sweetened beverage tax have a signaling effect?","volume":"13","author":[{"family":"Álvarez-Sánchez","given":"Cristina"},{"family":"Contento","given":"Isobel"},{"family":"Jiménez-Aguilar","given":"Alejandra"},{"family":"Koch","given":"Pamela"},{"family":"Gray","given":"Heewon Lee"},{"family":"Guerra","given":"Laura A."},{"family":"Rivera-Dommarco","given":"Juan"},{"family":"Uribe-Carvajal","given":"Rebeca"},{"family":"Shamah-Levy","given":"Teresa"}],"issued":{"date-parts":[["2018",8,22]]}}}],"schema":"https://github.com/citation-style-language/schema/raw/master/csl-citation.json"} </w:instrText>
      </w:r>
      <w:r w:rsidR="004C7FAB">
        <w:fldChar w:fldCharType="separate"/>
      </w:r>
      <w:r w:rsidR="006C4B25" w:rsidRPr="006C4B25">
        <w:rPr>
          <w:rFonts w:ascii="Calibri" w:hAnsi="Calibri" w:cs="Calibri"/>
        </w:rPr>
        <w:t>[20]</w:t>
      </w:r>
      <w:r w:rsidR="004C7FAB">
        <w:fldChar w:fldCharType="end"/>
      </w:r>
      <w:r w:rsidR="00784B22">
        <w:t>.</w:t>
      </w:r>
      <w:r w:rsidR="004C7FAB">
        <w:t xml:space="preserve"> </w:t>
      </w:r>
      <w:r>
        <w:t xml:space="preserve">Whilst we found a small increase in household purchasing of drinks in </w:t>
      </w:r>
      <w:r w:rsidR="0042333F">
        <w:t xml:space="preserve">the </w:t>
      </w:r>
      <w:r>
        <w:t>high levy tier immediately following the announcement of the SDIL, this did not result in a significant change in the purchased volume</w:t>
      </w:r>
      <w:r w:rsidR="005415CF">
        <w:t xml:space="preserve"> of</w:t>
      </w:r>
      <w:r>
        <w:t>, or amount of sugar purchased</w:t>
      </w:r>
      <w:r w:rsidR="005415CF">
        <w:t xml:space="preserve"> in</w:t>
      </w:r>
      <w:r>
        <w:t>, high</w:t>
      </w:r>
      <w:r w:rsidR="008C2B20">
        <w:t>er</w:t>
      </w:r>
      <w:r>
        <w:t xml:space="preserve"> levy tier drinks at two years </w:t>
      </w:r>
      <w:r w:rsidR="005415CF">
        <w:t>post-</w:t>
      </w:r>
      <w:r>
        <w:t>announcement</w:t>
      </w:r>
      <w:r w:rsidR="005415CF">
        <w:t>. It is possible that the</w:t>
      </w:r>
      <w:r>
        <w:t xml:space="preserve"> small increase </w:t>
      </w:r>
      <w:r w:rsidR="0042333F">
        <w:t xml:space="preserve">immediately following the </w:t>
      </w:r>
      <w:r>
        <w:t xml:space="preserve">announcement reflected </w:t>
      </w:r>
      <w:r w:rsidR="0042333F">
        <w:t xml:space="preserve">stockpiling </w:t>
      </w:r>
      <w:r w:rsidR="00F96DCD">
        <w:fldChar w:fldCharType="begin"/>
      </w:r>
      <w:r w:rsidR="006C4B25">
        <w:instrText xml:space="preserve"> ADDIN ZOTERO_ITEM CSL_CITATION {"citationID":"RhGhS7jJ","properties":{"formattedCitation":"[46]","plainCitation":"[46]","noteIndex":0},"citationItems":[{"id":59,"uris":["http://zotero.org/users/1356132/items/5HM3B9AV"],"uri":["http://zotero.org/users/1356132/items/5HM3B9AV"],"itemData":{"id":59,"type":"webpage","abstract":"Angry fans have started a petition as AG Barr prepares to halve the sugar content ahead of the \"sugar tax\".","language":"en-GB","title":"Irn Bru panic as fans stockpile drink","URL":"https://www.bbc.com/news/uk-scotland-glasgow-west-42565363","accessed":{"date-parts":[["2019",7,2]]},"issued":{"date-parts":[["2018",1,4]]}}}],"schema":"https://github.com/citation-style-language/schema/raw/master/csl-citation.json"} </w:instrText>
      </w:r>
      <w:r w:rsidR="00F96DCD">
        <w:fldChar w:fldCharType="separate"/>
      </w:r>
      <w:r w:rsidR="006C4B25" w:rsidRPr="006C4B25">
        <w:rPr>
          <w:rFonts w:ascii="Calibri" w:hAnsi="Calibri" w:cs="Calibri"/>
        </w:rPr>
        <w:t>[46]</w:t>
      </w:r>
      <w:r w:rsidR="00F96DCD">
        <w:fldChar w:fldCharType="end"/>
      </w:r>
      <w:r w:rsidR="00F96DCD">
        <w:t xml:space="preserve"> </w:t>
      </w:r>
      <w:r w:rsidR="0042333F">
        <w:t xml:space="preserve">in anticipation of price or </w:t>
      </w:r>
      <w:r w:rsidR="005415CF">
        <w:t>recipe changes</w:t>
      </w:r>
      <w:r>
        <w:t xml:space="preserve">. </w:t>
      </w:r>
    </w:p>
    <w:p w14:paraId="4DC576A9" w14:textId="375CB370" w:rsidR="00B9778F" w:rsidRDefault="00E166FC" w:rsidP="003C2F94">
      <w:pPr>
        <w:spacing w:after="240" w:line="480" w:lineRule="auto"/>
        <w:jc w:val="both"/>
      </w:pPr>
      <w:r>
        <w:lastRenderedPageBreak/>
        <w:t>Despite no overall change in purchasing of drinks in the high</w:t>
      </w:r>
      <w:r w:rsidR="008C2B20">
        <w:t>er</w:t>
      </w:r>
      <w:r>
        <w:t xml:space="preserve"> levy tier associated with the announcement of the SDIL, there was a marked existing downward trend in purchasing of these drinks, with </w:t>
      </w:r>
      <w:r w:rsidR="000937E3">
        <w:t>purchase</w:t>
      </w:r>
      <w:r w:rsidR="001E46E0">
        <w:t>d volume</w:t>
      </w:r>
      <w:r w:rsidR="000937E3">
        <w:t xml:space="preserve"> </w:t>
      </w:r>
      <w:r>
        <w:t>declining</w:t>
      </w:r>
      <w:r w:rsidR="000937E3">
        <w:t xml:space="preserve"> by </w:t>
      </w:r>
      <w:r w:rsidR="00C9271D">
        <w:t>29</w:t>
      </w:r>
      <w:r w:rsidR="000937E3">
        <w:t xml:space="preserve">% </w:t>
      </w:r>
      <w:r w:rsidR="001E46E0">
        <w:t>during the study period</w:t>
      </w:r>
      <w:r w:rsidR="000937E3">
        <w:t xml:space="preserve">. </w:t>
      </w:r>
      <w:r>
        <w:t>The high</w:t>
      </w:r>
      <w:r w:rsidR="008C2B20">
        <w:t>er</w:t>
      </w:r>
      <w:r>
        <w:t xml:space="preserve"> levy tier category is dominated by market leading cola drinks, </w:t>
      </w:r>
      <w:r w:rsidR="00B4741D">
        <w:t xml:space="preserve">many </w:t>
      </w:r>
      <w:r>
        <w:t xml:space="preserve">of which have </w:t>
      </w:r>
      <w:r w:rsidR="00333219">
        <w:t xml:space="preserve">been reported as unlikely </w:t>
      </w:r>
      <w:r>
        <w:t>to reformulate</w:t>
      </w:r>
      <w:r w:rsidR="00784B22">
        <w:t xml:space="preserve"> </w:t>
      </w:r>
      <w:r w:rsidR="00F96DCD">
        <w:fldChar w:fldCharType="begin"/>
      </w:r>
      <w:r w:rsidR="006C4B25">
        <w:instrText xml:space="preserve"> ADDIN ZOTERO_ITEM CSL_CITATION {"citationID":"cUcy24zk","properties":{"formattedCitation":"[47]","plainCitation":"[47]","noteIndex":0},"citationItems":[{"id":69,"uris":["http://zotero.org/users/1356132/items/VLL5XRSS"],"uri":["http://zotero.org/users/1356132/items/VLL5XRSS"],"itemData":{"id":69,"type":"article-newspaper","abstract":"Soft drink manufacturer refuses to alter recipe, as rivals face backlash over reduced sugar Irn-Bru in Scotland","container-title":"The Guardian","ISSN":"0261-3077","language":"en-GB","section":"Society","source":"www.theguardian.com","title":"Coca-Cola to sell smaller bottles at higher prices in response to sugar tax","URL":"https://www.theguardian.com/society/2018/jan/05/coca-cola-to-sell-smaller-bottles-at-higher-prices-in-response-to-sugar-tax","author":[{"family":"Wood","given":"Zoe"}],"accessed":{"date-parts":[["2019",7,2]]},"issued":{"date-parts":[["2018",1,5]]}}}],"schema":"https://github.com/citation-style-language/schema/raw/master/csl-citation.json"} </w:instrText>
      </w:r>
      <w:r w:rsidR="00F96DCD">
        <w:fldChar w:fldCharType="separate"/>
      </w:r>
      <w:r w:rsidR="006C4B25" w:rsidRPr="006C4B25">
        <w:rPr>
          <w:rFonts w:ascii="Calibri" w:hAnsi="Calibri" w:cs="Calibri"/>
        </w:rPr>
        <w:t>[47]</w:t>
      </w:r>
      <w:r w:rsidR="00F96DCD">
        <w:fldChar w:fldCharType="end"/>
      </w:r>
      <w:r w:rsidR="00784B22">
        <w:t>.</w:t>
      </w:r>
      <w:r>
        <w:t xml:space="preserve"> </w:t>
      </w:r>
      <w:r w:rsidR="00C364CF">
        <w:t>C</w:t>
      </w:r>
      <w:r>
        <w:t xml:space="preserve">onsumers of these products tend to have strong brand loyalty and are more likely to consume </w:t>
      </w:r>
      <w:r w:rsidR="008C2B20">
        <w:t>large volumes</w:t>
      </w:r>
      <w:r w:rsidR="00784B22">
        <w:t xml:space="preserve"> </w:t>
      </w:r>
      <w:r>
        <w:fldChar w:fldCharType="begin"/>
      </w:r>
      <w:r w:rsidR="006C4B25">
        <w:instrText xml:space="preserve"> ADDIN ZOTERO_ITEM CSL_CITATION {"citationID":"yRGBi9HF","properties":{"formattedCitation":"[48]","plainCitation":"[48]","noteIndex":0},"citationItems":[{"id":790,"uris":["http://zotero.org/users/1356132/items/6YCY9QUE"],"uri":["http://zotero.org/users/1356132/items/6YCY9QUE"],"itemData":{"id":790,"type":"article-journal","abstract":"Purpose This study aims to question the conventional wisdom that brands compete for customers, especially in mature industries such as soft drinks. Rather than engaging in price wars or promotion wars, brands coexist in the markets by focusing on their own brand loyal customers. Design/methodology/approach Consumer panel data of carbonated beverages are examined using Markov chains to measure switching between two brands: Coke and Pepsi. Switching rates are conducted for all Coke households (n = 10,474) and Pepsi households (n = 7,227). This is further examined with respect to heavy half (upper median) consumers of each brand who make up approximately 86 per cent of volume purchases. Findings Households that made a majority of their purchase volume in either Coke or Pepsi products stayed with their preferred brands in subsequent quarters: 85 to 97 per cent of households. These findings are validated at all levels of the brand architecture (family brands, product brands and modified brands), even though bo...","archive_location":"world","container-title":"European Journal of Marketing","DOI":"10.1108/EJM-07-2018-0489","language":"en","source":"www.emeraldinsight.com","title":"Do brands compete or coexist? How persistence of brand loyalty segments the market","title-short":"Do brands compete or coexist?","URL":"https://www.emeraldinsight.com/doi/abs/10.1108/EJM-07-2018-0489","accessed":{"date-parts":[["2019",3,25]]},"issued":{"date-parts":[["2018",10,25]]}}}],"schema":"https://github.com/citation-style-language/schema/raw/master/csl-citation.json"} </w:instrText>
      </w:r>
      <w:r>
        <w:fldChar w:fldCharType="separate"/>
      </w:r>
      <w:r w:rsidR="006C4B25" w:rsidRPr="006C4B25">
        <w:rPr>
          <w:rFonts w:ascii="Calibri" w:hAnsi="Calibri" w:cs="Calibri"/>
        </w:rPr>
        <w:t>[48]</w:t>
      </w:r>
      <w:r>
        <w:fldChar w:fldCharType="end"/>
      </w:r>
      <w:r w:rsidR="00784B22">
        <w:t>.</w:t>
      </w:r>
      <w:r>
        <w:t xml:space="preserve"> </w:t>
      </w:r>
      <w:r w:rsidR="00C364CF">
        <w:t xml:space="preserve">Any reformulation of drinks in this category may have been limited to products with small market shares. </w:t>
      </w:r>
      <w:r>
        <w:t xml:space="preserve">It is </w:t>
      </w:r>
      <w:r w:rsidR="00790611">
        <w:t xml:space="preserve">also </w:t>
      </w:r>
      <w:r>
        <w:t xml:space="preserve">possible that </w:t>
      </w:r>
      <w:r w:rsidR="00790611">
        <w:t xml:space="preserve">the </w:t>
      </w:r>
      <w:r>
        <w:t xml:space="preserve">large existing </w:t>
      </w:r>
      <w:r w:rsidR="00790611">
        <w:t xml:space="preserve">downward </w:t>
      </w:r>
      <w:r>
        <w:t xml:space="preserve">trend </w:t>
      </w:r>
      <w:r w:rsidR="00790611">
        <w:t xml:space="preserve">in purchasing </w:t>
      </w:r>
      <w:r>
        <w:t xml:space="preserve">represents the fastest that the market and consumers are able to change, with no additional impacts feasible from the announcement of the SDIL. </w:t>
      </w:r>
    </w:p>
    <w:p w14:paraId="4058B82F" w14:textId="3C92AD21" w:rsidR="005C4C5B" w:rsidRDefault="00266BE7" w:rsidP="003C2F94">
      <w:pPr>
        <w:spacing w:after="240" w:line="480" w:lineRule="auto"/>
        <w:jc w:val="both"/>
      </w:pPr>
      <w:r>
        <w:t>P</w:t>
      </w:r>
      <w:r w:rsidR="009A39DB">
        <w:t>otentia</w:t>
      </w:r>
      <w:r w:rsidR="0043376A">
        <w:t>l</w:t>
      </w:r>
      <w:r w:rsidR="009A39DB">
        <w:t xml:space="preserve"> unintended consequences of the SDIL include substitutions to other </w:t>
      </w:r>
      <w:r w:rsidR="0042333F">
        <w:t xml:space="preserve">less healthful </w:t>
      </w:r>
      <w:r w:rsidR="009A39DB">
        <w:t xml:space="preserve">categories such as </w:t>
      </w:r>
      <w:r w:rsidR="0066468E">
        <w:t>confectionery</w:t>
      </w:r>
      <w:r w:rsidR="009A39DB">
        <w:t xml:space="preserve"> and alcohol</w:t>
      </w:r>
      <w:r w:rsidR="00C9271D">
        <w:t>ic drinks</w:t>
      </w:r>
      <w:r w:rsidR="009A39DB">
        <w:t>.</w:t>
      </w:r>
      <w:r w:rsidR="008041FD">
        <w:t xml:space="preserve"> </w:t>
      </w:r>
      <w:r w:rsidR="00E6636B">
        <w:t>We</w:t>
      </w:r>
      <w:r w:rsidR="008041FD">
        <w:t xml:space="preserve"> had initially hypothesised that households would maintain sugar levels by switching from SSBs to confectionery </w:t>
      </w:r>
      <w:r w:rsidR="008041FD">
        <w:fldChar w:fldCharType="begin"/>
      </w:r>
      <w:r w:rsidR="006C4B25">
        <w:instrText xml:space="preserve"> ADDIN ZOTERO_ITEM CSL_CITATION {"citationID":"qW99Fio9","properties":{"formattedCitation":"[34], [35], [49]","plainCitation":"[34], [35], [49]","dontUpdate":true,"noteIndex":0},"citationItems":[{"id":24,"uris":["http://zotero.org/users/1356132/items/IMV8IVWL"],"uri":["http://zotero.org/users/1356132/items/IMV8IVWL"],"itemData":{"id":24,"type":"webpage","abstract":"The number of overweight children and adults has grown sharply since 1980. The explanation is usually partly based on the increased availability of sodas and fast foods that have many calories. Also emphasized is the growing number of leisure hours spent at sedentary activities, such as watching television and using computers and cell phones. To combat obesity, an article in the April 30, 2009 New England Journal of Medicine by Brownell and Frieden argues for a tax on sugared beverages. I agree with Posner that this is a bad idea. From the data presented by the authors of that article,...","container-title":"The Becker-Posner Blog","title":"A Tax on Sodas? Becker","title-short":"A Tax on Sodas?","URL":"https://www.becker-posner-blog.com/2009/05/a-tax-on-sodas-becker.html","accessed":{"date-parts":[["2020",3,5]]}}},{"id":23,"uris":["http://zotero.org/users/1356132/items/AD2VPCB8"],"uri":["http://zotero.org/users/1356132/items/AD2VPCB8"],"itemData":{"id":23,"type":"webpage","abstract":"Articles in the New England Journal of Medicine on April 30, and in the New York Times on May 19, discuss a proposal now before Congress to impose a tax on sugar-sweetened sodas in order to reduce obesity. Taxes are ordinarily intended to raise revenue, but some taxes, such as taxes on alcohol and tobacco--and on carbon emissions, should such a tax ever be passed--are designed not to raise revenue but to alter behavior, and the more they succeed in altering behavior the less revenue they generate. Sugar-sweetened sodas are high in calories, are drunk in great quantity, and because...","container-title":"The Becker-Posner Blog","title":"A Soda or Calorie Tax to Reduce Obesity--Posner","URL":"https://www.becker-posner-blog.com/2009/05/a-soda-or-calorie-tax-to-reduce-obesity--posner.html","accessed":{"date-parts":[["2020",3,5]]}}},{"id":18,"uris":["http://zotero.org/users/1356132/items/K7CPNG99"],"uri":["http://zotero.org/users/1356132/items/K7CPNG99"],"itemData":{"id":18,"type":"article-journal","abstract":"Objectives Taxing sugar-sweetened beverages (SSBs) is now advocated, and implemented, in many countries as a measure to reduce the purchase and consumption of sugar to tackle obesity. To date, there has been little consideration of the potential impact that such a measure could have if extended to other sweet foods, such as confectionery, cakes and biscuits that contribute more sugar to the diet than SSBs. The objective of this study is to compare changes in the demand for sweet snacks and SSBs arising from potential price increases.\nSetting Secondary data on household itemised purchases of all foods and beverages from 2012 to 2013.\nParticipants Representative sample of 32 249 households in Great Britain.\nPrimary and secondary outcome measures Change in food and beverage purchases due to changes in their own price and the price of other foods or beverages measured as price elasticity of demand for the full sample and by income groups.\nResults Chocolate and confectionery, cakes and biscuits have similar price sensitivity as SSBs, across all income groups. Unlike the case of SSBs, price increases in these categories are also likely to prompt reductions in the purchase of other sweet snacks and SSBs, which magnify the overall impact. The effects of price increases are greatest in the low-income group.\nConclusions Policies that lead to increases in the price of chocolate and confectionery, cakes and biscuits may lead to additional and greater health gains than similar increases in the price of SSBs through direct reductions in the purchases of these foods and possible positive multiplier effects that reduce demand for other products. Although some uncertainty remains, the associations found in this analysis are sufficiently robust to suggest that policies—and research—concerning the use of fiscal measures should consider a broader range of products than is currently the case.","container-title":"BMJ Open","DOI":"10.1136/bmjopen-2017-019788","ISSN":"2044-6055, 2044-6055","issue":"4","language":"en","note":"PMID: 29700100","page":"e019788","source":"bmjopen.bmj.com","title":"Are sweet snacks more sensitive to price increases than sugar-sweetened beverages: analysis of British food purchase data","title-short":"Are sweet snacks more sensitive to price increases than sugar-sweetened beverages","volume":"8","author":[{"family":"Smith","given":"Richard D."},{"family":"Cornelsen","given":"Laura"},{"family":"Quirmbach","given":"Diana"},{"family":"Jebb","given":"Susan A."},{"family":"Marteau","given":"Theresa M."}],"issued":{"date-parts":[["2018",4,1]]}}}],"schema":"https://github.com/citation-style-language/schema/raw/master/csl-citation.json"} </w:instrText>
      </w:r>
      <w:r w:rsidR="008041FD">
        <w:fldChar w:fldCharType="separate"/>
      </w:r>
      <w:r w:rsidR="00CF0A03">
        <w:rPr>
          <w:rFonts w:ascii="Calibri" w:hAnsi="Calibri" w:cs="Calibri"/>
        </w:rPr>
        <w:t>[34,</w:t>
      </w:r>
      <w:r w:rsidR="00CF0A03" w:rsidRPr="00CF0A03">
        <w:rPr>
          <w:rFonts w:ascii="Calibri" w:hAnsi="Calibri" w:cs="Calibri"/>
        </w:rPr>
        <w:t>35,</w:t>
      </w:r>
      <w:r w:rsidR="00CF0A03" w:rsidRPr="00C57E3C">
        <w:rPr>
          <w:rFonts w:ascii="Calibri" w:hAnsi="Calibri" w:cs="Calibri"/>
        </w:rPr>
        <w:t>49]</w:t>
      </w:r>
      <w:r w:rsidR="008041FD">
        <w:fldChar w:fldCharType="end"/>
      </w:r>
      <w:r w:rsidR="00B4741D">
        <w:t>.</w:t>
      </w:r>
      <w:r w:rsidR="008041FD">
        <w:t xml:space="preserve"> </w:t>
      </w:r>
      <w:r w:rsidR="00B4741D">
        <w:t>H</w:t>
      </w:r>
      <w:r w:rsidR="008041FD">
        <w:t>owever</w:t>
      </w:r>
      <w:r w:rsidR="00B4741D">
        <w:t>,</w:t>
      </w:r>
      <w:r w:rsidR="008041FD">
        <w:t xml:space="preserve"> </w:t>
      </w:r>
      <w:r w:rsidR="003C5B8E">
        <w:t xml:space="preserve">we did not find evidence of this with </w:t>
      </w:r>
      <w:r w:rsidR="008041FD">
        <w:t xml:space="preserve">a small though not significant reduction in </w:t>
      </w:r>
      <w:r w:rsidR="00845E5C">
        <w:t>weight of</w:t>
      </w:r>
      <w:r w:rsidR="004C0C20">
        <w:t xml:space="preserve"> (p-value = 0.6)</w:t>
      </w:r>
      <w:r w:rsidR="00845E5C">
        <w:t>, and sugar in</w:t>
      </w:r>
      <w:r w:rsidR="004C0C20">
        <w:t xml:space="preserve"> (p-value = 0.7)</w:t>
      </w:r>
      <w:r w:rsidR="00845E5C">
        <w:t xml:space="preserve">, household purchases of </w:t>
      </w:r>
      <w:r w:rsidR="008041FD">
        <w:t xml:space="preserve">confectionery observed. </w:t>
      </w:r>
      <w:r w:rsidR="00845E5C">
        <w:t xml:space="preserve">We also found no evidence </w:t>
      </w:r>
      <w:r w:rsidR="009A39DB">
        <w:t xml:space="preserve">that the SDIL announcement was associated with changes in purchases of </w:t>
      </w:r>
      <w:r w:rsidR="00845E5C">
        <w:t xml:space="preserve">alcohol </w:t>
      </w:r>
      <w:r w:rsidR="009A39DB">
        <w:t xml:space="preserve">compared to the counterfactual </w:t>
      </w:r>
      <w:r w:rsidR="00C9271D">
        <w:t>scenario</w:t>
      </w:r>
      <w:r w:rsidR="004C0C20">
        <w:t xml:space="preserve"> (p-value = 0.7)</w:t>
      </w:r>
      <w:r w:rsidR="009A39DB">
        <w:t>.</w:t>
      </w:r>
      <w:r w:rsidR="00790611">
        <w:t xml:space="preserve"> </w:t>
      </w:r>
      <w:r w:rsidR="00845E5C">
        <w:t xml:space="preserve">Changes in purchasing of confectionery and alcohol </w:t>
      </w:r>
      <w:r w:rsidR="00790611">
        <w:t xml:space="preserve">may still </w:t>
      </w:r>
      <w:r w:rsidR="0042333F">
        <w:t xml:space="preserve">follow </w:t>
      </w:r>
      <w:r w:rsidR="00845E5C">
        <w:t xml:space="preserve">SDIL </w:t>
      </w:r>
      <w:r w:rsidR="00790611">
        <w:t xml:space="preserve">implementation and this should </w:t>
      </w:r>
      <w:r w:rsidR="000B29EC">
        <w:t xml:space="preserve">be </w:t>
      </w:r>
      <w:r w:rsidR="00790611">
        <w:t xml:space="preserve">monitored. </w:t>
      </w:r>
    </w:p>
    <w:p w14:paraId="404D9E9E" w14:textId="7510F967" w:rsidR="00DB5ECE" w:rsidRPr="00C9271D" w:rsidRDefault="00DB5ECE" w:rsidP="003C2F94">
      <w:pPr>
        <w:spacing w:after="240" w:line="480" w:lineRule="auto"/>
        <w:jc w:val="both"/>
        <w:rPr>
          <w:b/>
          <w:i/>
        </w:rPr>
      </w:pPr>
      <w:r w:rsidRPr="00C9271D">
        <w:rPr>
          <w:b/>
          <w:i/>
        </w:rPr>
        <w:t>Strengths and weaknesses of methods</w:t>
      </w:r>
    </w:p>
    <w:p w14:paraId="4D6A5804" w14:textId="122BF988" w:rsidR="00790611" w:rsidRDefault="00DF6D3C" w:rsidP="003C2F94">
      <w:pPr>
        <w:spacing w:after="240" w:line="480" w:lineRule="auto"/>
        <w:jc w:val="both"/>
      </w:pPr>
      <w:r>
        <w:t xml:space="preserve">This work was carried out using </w:t>
      </w:r>
      <w:r w:rsidR="00AC2022">
        <w:t xml:space="preserve">nationally representative </w:t>
      </w:r>
      <w:r>
        <w:t xml:space="preserve">household </w:t>
      </w:r>
      <w:r w:rsidR="00AC2022">
        <w:t xml:space="preserve">panel </w:t>
      </w:r>
      <w:r w:rsidR="00790611">
        <w:t>purchase data</w:t>
      </w:r>
      <w:r w:rsidR="00AC2022">
        <w:t xml:space="preserve">. </w:t>
      </w:r>
      <w:r w:rsidR="009A39DB">
        <w:t xml:space="preserve">However, </w:t>
      </w:r>
      <w:r w:rsidR="00790611">
        <w:t xml:space="preserve">the </w:t>
      </w:r>
      <w:r w:rsidR="009A39DB">
        <w:t xml:space="preserve">KWP </w:t>
      </w:r>
      <w:r w:rsidR="00790611">
        <w:t xml:space="preserve">data used </w:t>
      </w:r>
      <w:r w:rsidR="009A39DB">
        <w:t xml:space="preserve">only </w:t>
      </w:r>
      <w:r w:rsidR="00790611">
        <w:t>captures purchases brought home. Whilst KWP has recently establishe</w:t>
      </w:r>
      <w:r w:rsidR="00CA508E">
        <w:t>d a smaller ‘out of home’ panel</w:t>
      </w:r>
      <w:r w:rsidR="00790611">
        <w:t>, data</w:t>
      </w:r>
      <w:r w:rsidR="000E571C">
        <w:t xml:space="preserve"> are not available prior to June</w:t>
      </w:r>
      <w:r w:rsidR="00790611">
        <w:t xml:space="preserve"> 2015</w:t>
      </w:r>
      <w:r w:rsidR="00777CDC">
        <w:t xml:space="preserve"> and are only available from a smaller sub-panel</w:t>
      </w:r>
      <w:r w:rsidR="00790611">
        <w:t xml:space="preserve">. It is possible that out of home </w:t>
      </w:r>
      <w:r w:rsidR="00BD163B">
        <w:t>purchase</w:t>
      </w:r>
      <w:r w:rsidR="004D0E28">
        <w:t>r</w:t>
      </w:r>
      <w:r w:rsidR="00BD163B">
        <w:t xml:space="preserve">s </w:t>
      </w:r>
      <w:r w:rsidR="00790611">
        <w:t xml:space="preserve">responded differently to the announcement of the SDIL to those brought </w:t>
      </w:r>
      <w:r w:rsidR="000E571C">
        <w:t xml:space="preserve">in to the </w:t>
      </w:r>
      <w:r w:rsidR="00790611">
        <w:t>home. However, the unadjusted changes in bottled water and no added fruit juice reported here compare favourably to sim</w:t>
      </w:r>
      <w:r w:rsidR="00CA508E">
        <w:t>ilar data on the full UK market</w:t>
      </w:r>
      <w:r w:rsidR="00790611">
        <w:t xml:space="preserve">, indicating that our results may be generalizable to all purchasing. </w:t>
      </w:r>
    </w:p>
    <w:p w14:paraId="6199357E" w14:textId="536E4258" w:rsidR="00752E5D" w:rsidRDefault="00333219" w:rsidP="00C57E3C">
      <w:pPr>
        <w:spacing w:line="480" w:lineRule="auto"/>
        <w:jc w:val="both"/>
      </w:pPr>
      <w:r>
        <w:lastRenderedPageBreak/>
        <w:t>H</w:t>
      </w:r>
      <w:r w:rsidR="00E55575">
        <w:t>ousehold p</w:t>
      </w:r>
      <w:r w:rsidR="00AC2022">
        <w:t xml:space="preserve">urchases do not </w:t>
      </w:r>
      <w:r w:rsidR="009A39DB">
        <w:t xml:space="preserve">necessarily </w:t>
      </w:r>
      <w:r w:rsidR="00AC2022">
        <w:t xml:space="preserve">equate to </w:t>
      </w:r>
      <w:r w:rsidR="00E55575">
        <w:t xml:space="preserve">individual </w:t>
      </w:r>
      <w:r w:rsidR="00A44D8C">
        <w:t xml:space="preserve">consumption </w:t>
      </w:r>
      <w:r>
        <w:t>as</w:t>
      </w:r>
      <w:r w:rsidR="009A39DB">
        <w:t xml:space="preserve"> drinks purchased may be wasted</w:t>
      </w:r>
      <w:r w:rsidR="00E55575">
        <w:t xml:space="preserve"> or shared unevenly </w:t>
      </w:r>
      <w:r>
        <w:t xml:space="preserve">within </w:t>
      </w:r>
      <w:r w:rsidR="00E55575">
        <w:t>household</w:t>
      </w:r>
      <w:r>
        <w:t>s</w:t>
      </w:r>
      <w:r w:rsidR="009A39DB">
        <w:t xml:space="preserve">. </w:t>
      </w:r>
      <w:r w:rsidR="00C9271D">
        <w:t xml:space="preserve">Nevertheless </w:t>
      </w:r>
      <w:r w:rsidR="009A39DB">
        <w:t xml:space="preserve">purchases </w:t>
      </w:r>
      <w:r w:rsidR="00C9271D">
        <w:t>brought into the home</w:t>
      </w:r>
      <w:r w:rsidR="002D5EB1">
        <w:t xml:space="preserve"> as captured by KWP</w:t>
      </w:r>
      <w:r w:rsidR="00C9271D">
        <w:t xml:space="preserve"> </w:t>
      </w:r>
      <w:r>
        <w:t xml:space="preserve">appear to </w:t>
      </w:r>
      <w:r w:rsidR="00A44D8C">
        <w:t>provide a reasonably accurate estimate</w:t>
      </w:r>
      <w:r w:rsidR="009A39DB">
        <w:t xml:space="preserve"> of consumption</w:t>
      </w:r>
      <w:r w:rsidR="00784B22">
        <w:t xml:space="preserve"> </w:t>
      </w:r>
      <w:r w:rsidR="00C9271D">
        <w:fldChar w:fldCharType="begin"/>
      </w:r>
      <w:r w:rsidR="006C4B25">
        <w:instrText xml:space="preserve"> ADDIN ZOTERO_ITEM CSL_CITATION {"citationID":"CkHjDi0l","properties":{"formattedCitation":"[50]","plainCitation":"[50]","noteIndex":0},"citationItems":[{"id":785,"uris":["http://zotero.org/users/1356132/items/DGMPNQYW"],"uri":["http://zotero.org/users/1356132/items/DGMPNQYW"],"itemData":{"id":785,"type":"article-journal","abstract":"Background\nFood purchasing is considered a key mediator between the food environment and eating behavior, and food purchasing patterns are increasingly measured in epidemiologic and intervention studies. However, the extent to which food purchases actually reflect individuals’ dietary intake has not been rigorously tested. This study examined cross-sectional agreement between estimates of diet quality and nutrient densities derived from objectively documented household food purchases and those derived from interviewer-administered 24-h diet recalls. A secondary aim was to identify moderator variables associated with attenuated agreement between purchases and dietary intake.\n\nMethods\nPrimary household food shoppers (N = 196) collected and annotated receipts for all household food and beverage purchases (16,356 total) over 14 days. Research staff visited participants’ homes four times to photograph the packaging and nutrition labels of each purchased item. Three or four multiple-pass 24-h diet recalls were performed within the same 14-d period. Nutrient densities and Healthy Eating Index-2010 (HEI-2010) scores were calculated from both food purchase and diet recall data.\n\nResults\nHEI-2010 scores derived from food purchases (median = 60.9, interquartile range 49.1–71.7) showed moderate agreement (ρc = .57, p &lt; .0001) and minimal bias (-2.0) with HEI-2010 scores from 24-h recalls (median = 60.1, interquartile range 50.8–73.9). The degree of observed bias was unrelated to the number of food/beverage purchases reported or participant characteristics such as social desirability, household income, household size, and body mass. Concordance for individual nutrient densities from food purchases and 24-h diet recalls varied widely from ρc = .10 to .61, with the strongest associations observed for fiber (ρc = .61), whole fruit (ρc = .48), and vegetables (ρc = .39).\n\nConclusions\nObjectively documented household food purchases yield an unbiased and reasonably accurate estimate of overall diet quality as measured through 24-h diet recalls, but are generally less useful for characterizing dietary intake of specific nutrients. Thus, some degree of caution is warranted when interpreting food purchase data as a reflection of diet in epidemiological and clinical research. Future work should examine agreement between food purchases and nutritional biomarkers.\n\nTrial registration\nClinicalTrials.gov, NCT02073643. Retrospectively registered.","container-title":"The International Journal of Behavioral Nutrition and Physical Activity","DOI":"10.1186/s12966-017-0502-2","ISSN":"1479-5868","journalAbbreviation":"Int J Behav Nutr Phys Act","note":"PMID: 28399887\nPMCID: PMC5387266","source":"PubMed Central","title":"To what extent do food purchases reflect shoppers’ diet quality and nutrient intake?","URL":"https://www.ncbi.nlm.nih.gov/pmc/articles/PMC5387266/","volume":"14","author":[{"family":"Appelhans","given":"Bradley M."},{"family":"French","given":"Simone A."},{"family":"Tangney","given":"Christy C."},{"family":"Powell","given":"Lisa M."},{"family":"Wang","given":"Yamin"}],"accessed":{"date-parts":[["2019",3,26]]},"issued":{"date-parts":[["2017",4,11]]}}}],"schema":"https://github.com/citation-style-language/schema/raw/master/csl-citation.json"} </w:instrText>
      </w:r>
      <w:r w:rsidR="00C9271D">
        <w:fldChar w:fldCharType="separate"/>
      </w:r>
      <w:r w:rsidR="006C4B25" w:rsidRPr="006C4B25">
        <w:rPr>
          <w:rFonts w:ascii="Calibri" w:hAnsi="Calibri" w:cs="Calibri"/>
        </w:rPr>
        <w:t>[50]</w:t>
      </w:r>
      <w:r w:rsidR="00C9271D">
        <w:fldChar w:fldCharType="end"/>
      </w:r>
      <w:r w:rsidR="00784B22">
        <w:t>.</w:t>
      </w:r>
      <w:r w:rsidR="00AD2443">
        <w:t xml:space="preserve"> </w:t>
      </w:r>
      <w:r w:rsidR="00777CDC">
        <w:rPr>
          <w:rFonts w:ascii="Calibri" w:eastAsia="Calibri" w:hAnsi="Calibri" w:cs="Times New Roman"/>
        </w:rPr>
        <w:t xml:space="preserve">An alternative approach would have been longitudinal analyses of individual household data. However, </w:t>
      </w:r>
      <w:r w:rsidR="00914930">
        <w:rPr>
          <w:rFonts w:ascii="Calibri" w:eastAsia="Calibri" w:hAnsi="Calibri" w:cs="Times New Roman"/>
        </w:rPr>
        <w:t>KWP is</w:t>
      </w:r>
      <w:r w:rsidR="00777CDC">
        <w:rPr>
          <w:rFonts w:ascii="Calibri" w:eastAsia="Calibri" w:hAnsi="Calibri" w:cs="Times New Roman"/>
        </w:rPr>
        <w:t xml:space="preserve"> a consistently shifting panel of households who join and leave</w:t>
      </w:r>
      <w:r w:rsidR="00E6636B">
        <w:rPr>
          <w:rFonts w:ascii="Calibri" w:eastAsia="Calibri" w:hAnsi="Calibri" w:cs="Times New Roman"/>
        </w:rPr>
        <w:t>, or</w:t>
      </w:r>
      <w:r w:rsidR="00777CDC">
        <w:rPr>
          <w:rFonts w:ascii="Calibri" w:eastAsia="Calibri" w:hAnsi="Calibri" w:cs="Times New Roman"/>
        </w:rPr>
        <w:t xml:space="preserve"> are temporarily dropped due to poor quality data. Further, due to data cost, we only have data on the categories here - drinks, toiletries and confectionery. Thus, whe</w:t>
      </w:r>
      <w:r w:rsidR="00273974">
        <w:rPr>
          <w:rFonts w:ascii="Calibri" w:eastAsia="Calibri" w:hAnsi="Calibri" w:cs="Times New Roman"/>
        </w:rPr>
        <w:t>re a</w:t>
      </w:r>
      <w:r w:rsidR="00777CDC">
        <w:rPr>
          <w:rFonts w:ascii="Calibri" w:eastAsia="Calibri" w:hAnsi="Calibri" w:cs="Times New Roman"/>
        </w:rPr>
        <w:t xml:space="preserve"> household recorded purchases of drinks in earlier but not later </w:t>
      </w:r>
      <w:r w:rsidR="00273974">
        <w:rPr>
          <w:rFonts w:ascii="Calibri" w:eastAsia="Calibri" w:hAnsi="Calibri" w:cs="Times New Roman"/>
        </w:rPr>
        <w:t>weeks</w:t>
      </w:r>
      <w:r w:rsidR="00777CDC">
        <w:rPr>
          <w:rFonts w:ascii="Calibri" w:eastAsia="Calibri" w:hAnsi="Calibri" w:cs="Times New Roman"/>
        </w:rPr>
        <w:t xml:space="preserve">, we were unable to distinguish between the household having withdrawn from the panel, stopped purchasing soft drinks, or being </w:t>
      </w:r>
      <w:r w:rsidR="00273974">
        <w:rPr>
          <w:rFonts w:ascii="Calibri" w:eastAsia="Calibri" w:hAnsi="Calibri" w:cs="Times New Roman"/>
        </w:rPr>
        <w:t xml:space="preserve">excluded </w:t>
      </w:r>
      <w:r w:rsidR="00777CDC">
        <w:rPr>
          <w:rFonts w:ascii="Calibri" w:eastAsia="Calibri" w:hAnsi="Calibri" w:cs="Times New Roman"/>
        </w:rPr>
        <w:t xml:space="preserve">due to poor data quality, precluding an analysis at the individual household level. </w:t>
      </w:r>
    </w:p>
    <w:p w14:paraId="08A1A648" w14:textId="2A859C3F" w:rsidR="00AD2443" w:rsidRDefault="00E55575" w:rsidP="00AD2443">
      <w:pPr>
        <w:spacing w:after="240" w:line="480" w:lineRule="auto"/>
        <w:jc w:val="both"/>
      </w:pPr>
      <w:r>
        <w:t xml:space="preserve">We </w:t>
      </w:r>
      <w:r w:rsidR="002B712D">
        <w:t>used</w:t>
      </w:r>
      <w:r>
        <w:t xml:space="preserve"> KWP data on sugar content of purchased drinks. Nutritional data on existing products is checked by KWP every six months. This may lead to </w:t>
      </w:r>
      <w:r w:rsidR="00120221">
        <w:t xml:space="preserve">a lag between reformulation and changes in KWP </w:t>
      </w:r>
      <w:r>
        <w:t xml:space="preserve">data making it possible that we have underestimated changes in purchasing </w:t>
      </w:r>
      <w:r w:rsidR="00777CDC">
        <w:t xml:space="preserve">of sugar </w:t>
      </w:r>
      <w:r>
        <w:t xml:space="preserve">associated with reformulation. </w:t>
      </w:r>
      <w:r w:rsidR="00762EBB">
        <w:t xml:space="preserve">However, </w:t>
      </w:r>
      <w:r>
        <w:t xml:space="preserve">our validity checks of KWP sugar content data found </w:t>
      </w:r>
      <w:r w:rsidR="00120221">
        <w:t xml:space="preserve">no indication </w:t>
      </w:r>
      <w:r w:rsidR="00C97AC5">
        <w:t xml:space="preserve">of </w:t>
      </w:r>
      <w:r>
        <w:t xml:space="preserve">systematic differences </w:t>
      </w:r>
      <w:r w:rsidR="00C97AC5">
        <w:t xml:space="preserve">between </w:t>
      </w:r>
      <w:r w:rsidR="00120221">
        <w:t xml:space="preserve">KWP </w:t>
      </w:r>
      <w:r>
        <w:t xml:space="preserve">sugar content </w:t>
      </w:r>
      <w:r w:rsidR="00120221">
        <w:t xml:space="preserve">data </w:t>
      </w:r>
      <w:r w:rsidR="00C97AC5">
        <w:t xml:space="preserve">and </w:t>
      </w:r>
      <w:r>
        <w:t xml:space="preserve">contemporaneous </w:t>
      </w:r>
      <w:r w:rsidR="00C97AC5">
        <w:t xml:space="preserve">values listed on supermarket websites </w:t>
      </w:r>
      <w:r w:rsidR="00120221">
        <w:t>(</w:t>
      </w:r>
      <w:r w:rsidR="007976ED">
        <w:t>S6 Text)</w:t>
      </w:r>
      <w:r w:rsidR="00120221">
        <w:t>.</w:t>
      </w:r>
    </w:p>
    <w:p w14:paraId="634F7743" w14:textId="62C7E172" w:rsidR="004C6841" w:rsidRDefault="00C364CF" w:rsidP="003C2F94">
      <w:pPr>
        <w:spacing w:after="240" w:line="480" w:lineRule="auto"/>
        <w:jc w:val="both"/>
      </w:pPr>
      <w:r>
        <w:t xml:space="preserve">Attribution of </w:t>
      </w:r>
      <w:r w:rsidR="00333219">
        <w:t xml:space="preserve">effects </w:t>
      </w:r>
      <w:r>
        <w:t xml:space="preserve">in an </w:t>
      </w:r>
      <w:r w:rsidR="00CA79AB">
        <w:t>ITS</w:t>
      </w:r>
      <w:r w:rsidR="00AC2022">
        <w:t xml:space="preserve"> </w:t>
      </w:r>
      <w:r>
        <w:t xml:space="preserve">analysis </w:t>
      </w:r>
      <w:r w:rsidR="00E55575">
        <w:t xml:space="preserve">is vulnerable to other interventions </w:t>
      </w:r>
      <w:r w:rsidR="00CA508E">
        <w:t xml:space="preserve">with the potential to impact on the outcomes of interest </w:t>
      </w:r>
      <w:r w:rsidR="00E55575">
        <w:t xml:space="preserve">occurring </w:t>
      </w:r>
      <w:r>
        <w:t>at, or near, the same time</w:t>
      </w:r>
      <w:r w:rsidR="00E55575">
        <w:t xml:space="preserve">. </w:t>
      </w:r>
      <w:r w:rsidR="00455A2E">
        <w:t>T</w:t>
      </w:r>
      <w:r w:rsidR="002E7158">
        <w:t xml:space="preserve">he announcement </w:t>
      </w:r>
      <w:r w:rsidR="00E55575">
        <w:t xml:space="preserve">of the SDIL </w:t>
      </w:r>
      <w:r w:rsidR="002E7158">
        <w:t xml:space="preserve">was part of </w:t>
      </w:r>
      <w:r w:rsidR="00455A2E">
        <w:t xml:space="preserve">the </w:t>
      </w:r>
      <w:r w:rsidR="00E55575">
        <w:t xml:space="preserve">UK </w:t>
      </w:r>
      <w:r w:rsidR="00762EBB">
        <w:t xml:space="preserve">Chancellor’s </w:t>
      </w:r>
      <w:r w:rsidR="00455A2E">
        <w:t xml:space="preserve">2016 </w:t>
      </w:r>
      <w:r w:rsidR="002E7158">
        <w:t>budget speech</w:t>
      </w:r>
      <w:r w:rsidR="002B712D">
        <w:t xml:space="preserve">. This </w:t>
      </w:r>
      <w:r w:rsidR="00455A2E">
        <w:t xml:space="preserve">contained other announcements that </w:t>
      </w:r>
      <w:r w:rsidR="00E55575">
        <w:t xml:space="preserve">may have </w:t>
      </w:r>
      <w:r w:rsidR="00455A2E">
        <w:t>impacted on household purchases.</w:t>
      </w:r>
      <w:r w:rsidR="00C666F2">
        <w:t xml:space="preserve"> </w:t>
      </w:r>
      <w:r>
        <w:t>The inclusion of a control category (toiletries) attempted to take any underlying changes in household purchasing into account.</w:t>
      </w:r>
      <w:r w:rsidR="004C6841">
        <w:t xml:space="preserve"> However, toiletries were selected </w:t>
      </w:r>
      <w:r w:rsidR="00D4624F">
        <w:t>before the data were purchased</w:t>
      </w:r>
      <w:r w:rsidR="004C6841">
        <w:t xml:space="preserve"> thus they may be subject to trends that lessen (or magnify) the effects reported here, and a more appropriate group of products </w:t>
      </w:r>
      <w:r w:rsidR="00346117">
        <w:t xml:space="preserve">to function as a control </w:t>
      </w:r>
      <w:r w:rsidR="004C6841">
        <w:t>may exist.</w:t>
      </w:r>
    </w:p>
    <w:p w14:paraId="7129F3CE" w14:textId="2920B3F9" w:rsidR="002B712D" w:rsidRDefault="004C6841" w:rsidP="003C2F94">
      <w:pPr>
        <w:spacing w:after="240" w:line="480" w:lineRule="auto"/>
        <w:jc w:val="both"/>
      </w:pPr>
      <w:r>
        <w:t>T</w:t>
      </w:r>
      <w:r w:rsidR="00C666F2">
        <w:t xml:space="preserve">he SDIL can be seen as </w:t>
      </w:r>
      <w:r w:rsidR="00C666F2" w:rsidRPr="00C666F2">
        <w:t xml:space="preserve">part of a wider dialogue surrounding sugar and SSB </w:t>
      </w:r>
      <w:r w:rsidR="00626B22" w:rsidRPr="00C666F2">
        <w:t>consumption</w:t>
      </w:r>
      <w:r w:rsidR="002B712D">
        <w:t xml:space="preserve"> in the UK</w:t>
      </w:r>
      <w:r w:rsidR="00626B22" w:rsidRPr="00C666F2">
        <w:t xml:space="preserve"> that</w:t>
      </w:r>
      <w:r w:rsidR="00C666F2" w:rsidRPr="00C666F2">
        <w:t xml:space="preserve"> includes the </w:t>
      </w:r>
      <w:r w:rsidR="008C2B20">
        <w:t xml:space="preserve">Scientific Advisory Committee on Nutrition’s </w:t>
      </w:r>
      <w:r w:rsidR="00380E59">
        <w:t xml:space="preserve">report on carbohydrates and health, </w:t>
      </w:r>
      <w:r w:rsidR="00380E59">
        <w:lastRenderedPageBreak/>
        <w:t xml:space="preserve">the </w:t>
      </w:r>
      <w:r w:rsidR="00C666F2" w:rsidRPr="00C666F2">
        <w:t xml:space="preserve">government’s ongoing childhood obesity plan </w:t>
      </w:r>
      <w:r w:rsidR="002B712D">
        <w:t xml:space="preserve">(with chapters 1 and 2 published in 2016 and 2018 respectively) </w:t>
      </w:r>
      <w:r w:rsidR="00C666F2" w:rsidRPr="00C666F2">
        <w:t>and sugar and calorie reduction strategies</w:t>
      </w:r>
      <w:r w:rsidR="002B712D">
        <w:t xml:space="preserve"> (published in 2017 and 2018 respectively)</w:t>
      </w:r>
      <w:r w:rsidR="00784B22" w:rsidRPr="00C666F2" w:rsidDel="00784B22">
        <w:t xml:space="preserve"> </w:t>
      </w:r>
      <w:r w:rsidR="00784B22">
        <w:t xml:space="preserve"> </w:t>
      </w:r>
      <w:r w:rsidR="00C666F2">
        <w:fldChar w:fldCharType="begin"/>
      </w:r>
      <w:r w:rsidR="006C4B25">
        <w:instrText xml:space="preserve"> ADDIN ZOTERO_ITEM CSL_CITATION {"citationID":"GWCSdEKj","properties":{"formattedCitation":"[4], [51]\\uc0\\u8211{}[54]","plainCitation":"[4], [51]–[54]","dontUpdate":true,"noteIndex":0},"citationItems":[{"id":833,"uris":["http://zotero.org/users/1356132/items/Q6WS59RH"],"uri":["http://zotero.org/users/1356132/items/Q6WS59RH"],"itemData":{"id":833,"type":"article-journal","container-title":"Sugar reduction: the evidence for action.","source":"Google Scholar","title":"Sugar reduction: the evidence for action.","title-short":"Sugar reduction","author":[{"family":"Tedstone","given":"A."},{"family":"Targett","given":"V."},{"family":"Allen","given":"R."}],"issued":{"date-parts":[["2015"]]}}},{"id":774,"uris":["http://zotero.org/users/1356132/items/3D5DXE47"],"uri":["http://zotero.org/users/1356132/items/3D5DXE47"],"itemData":{"id":774,"type":"article-journal","container-title":"London: Public Health England","title":"Sugar reduction responding to the challenge","author":[{"family":"Tedstone","given":"A."},{"family":"Anderson","given":"S."},{"family":"Allen","given":"R."}],"issued":{"date-parts":[["2014"]]}}},{"id":77,"uris":["http://zotero.org/users/1356132/items/58PBGWD2"],"uri":["http://zotero.org/users/1356132/items/58PBGWD2"],"itemData":{"id":77,"type":"webpage","abstract":"Evidence on children’s calorie consumption and details of the calorie reduction programme, principally for the food industry and public health bodies.","container-title":"GOV.UK","language":"en","title":"Calorie reduction: the scope and ambition for action","title-short":"Calorie reduction","URL":"https://www.gov.uk/government/publications/calorie-reduction-the-scope-and-ambition-for-action","accessed":{"date-parts":[["2019",6,13]]}}},{"id":79,"uris":["http://zotero.org/users/1356132/items/57WZUUSY"],"uri":["http://zotero.org/users/1356132/items/57WZUUSY"],"itemData":{"id":79,"type":"webpage","container-title":"GOV.UK","language":"en","title":"Childhood obesity: a plan for action","title-short":"Childhood obesity","URL":"https://www.gov.uk/government/publications/childhood-obesity-a-plan-for-action/childhood-obesity-a-plan-for-action","accessed":{"date-parts":[["2019",6,13]]}}},{"id":65,"uris":["http://zotero.org/users/1356132/items/S76NH2I3"],"uri":["http://zotero.org/users/1356132/items/S76NH2I3"],"itemData":{"id":65,"type":"report","abstract":"The Scientific Advisory Committee on Nutrition recommendations on carbohydrates, including sugars and fibre","language":"en","publisher":"TSO","title":"Carbohydrates and Health Report","URL":"https://www.gov.uk/government/publications/sacn-carbohydrates-and-health-report","author":[{"literal":"Scientific Advisory Committee on Nutrition"}],"accessed":{"date-parts":[["2019",7,2]]},"issued":{"date-parts":[["2015"]]}}}],"schema":"https://github.com/citation-style-language/schema/raw/master/csl-citation.json"} </w:instrText>
      </w:r>
      <w:r w:rsidR="00C666F2">
        <w:fldChar w:fldCharType="separate"/>
      </w:r>
      <w:r w:rsidR="00CF0A03" w:rsidRPr="00C57E3C">
        <w:rPr>
          <w:rFonts w:ascii="Calibri" w:hAnsi="Calibri" w:cs="Calibri"/>
          <w:szCs w:val="24"/>
        </w:rPr>
        <w:t>[4</w:t>
      </w:r>
      <w:r w:rsidR="005E32B2" w:rsidRPr="00CF0B66">
        <w:rPr>
          <w:rFonts w:ascii="Calibri" w:hAnsi="Calibri" w:cs="Calibri"/>
          <w:szCs w:val="24"/>
        </w:rPr>
        <w:t>,</w:t>
      </w:r>
      <w:r w:rsidR="00CF0A03" w:rsidRPr="00C57E3C">
        <w:rPr>
          <w:rFonts w:ascii="Calibri" w:hAnsi="Calibri" w:cs="Calibri"/>
          <w:szCs w:val="24"/>
        </w:rPr>
        <w:t>51–54]</w:t>
      </w:r>
      <w:r w:rsidR="00C666F2">
        <w:fldChar w:fldCharType="end"/>
      </w:r>
      <w:r w:rsidR="00784B22">
        <w:t>.</w:t>
      </w:r>
      <w:r w:rsidR="00C666F2">
        <w:t xml:space="preserve"> </w:t>
      </w:r>
      <w:r w:rsidR="00333219">
        <w:t>Publication of all of</w:t>
      </w:r>
      <w:r w:rsidR="00C364CF">
        <w:t xml:space="preserve"> these</w:t>
      </w:r>
      <w:r w:rsidR="00DA4A9A">
        <w:t xml:space="preserve">, in addition to television documentaries such as “Jamie’s Sugar Rush” </w:t>
      </w:r>
      <w:r w:rsidR="00DA4A9A">
        <w:fldChar w:fldCharType="begin"/>
      </w:r>
      <w:r w:rsidR="006C4B25">
        <w:instrText xml:space="preserve"> ADDIN ZOTERO_ITEM CSL_CITATION {"citationID":"X9TWUGmu","properties":{"formattedCitation":"[55]","plainCitation":"[55]","noteIndex":0},"citationItems":[{"id":55,"uris":["http://zotero.org/users/1356132/items/3VZQBPET"],"uri":["http://zotero.org/users/1356132/items/3VZQBPET"],"itemData":{"id":55,"type":"webpage","abstract":"Directed by Vicki Cooper.  With Tim Holmes, Jamie Oliver.","language":"EN","note":"IMDb ID: tt4966912","title":"Jamie's Sugar Rush","URL":"http://www.imdb.com/title/tt4966912/","author":[{"literal":"Vicki Cooper"}],"accessed":{"date-parts":[["2019",8,30]]},"issued":{"date-parts":[["2015",9,3]]}}}],"schema":"https://github.com/citation-style-language/schema/raw/master/csl-citation.json"} </w:instrText>
      </w:r>
      <w:r w:rsidR="00DA4A9A">
        <w:fldChar w:fldCharType="separate"/>
      </w:r>
      <w:r w:rsidR="006C4B25" w:rsidRPr="006C4B25">
        <w:rPr>
          <w:rFonts w:ascii="Calibri" w:hAnsi="Calibri" w:cs="Calibri"/>
        </w:rPr>
        <w:t>[55]</w:t>
      </w:r>
      <w:r w:rsidR="00DA4A9A">
        <w:fldChar w:fldCharType="end"/>
      </w:r>
      <w:r w:rsidR="00DA4A9A">
        <w:t xml:space="preserve"> and “That Sugar Film” </w:t>
      </w:r>
      <w:r w:rsidR="00DA4A9A">
        <w:fldChar w:fldCharType="begin"/>
      </w:r>
      <w:r w:rsidR="006C4B25">
        <w:instrText xml:space="preserve"> ADDIN ZOTERO_ITEM CSL_CITATION {"citationID":"V7wTKAmW","properties":{"formattedCitation":"[56]","plainCitation":"[56]","noteIndex":0},"citationItems":[{"id":56,"uris":["http://zotero.org/users/1356132/items/P2IUSJTB"],"uri":["http://zotero.org/users/1356132/items/P2IUSJTB"],"itemData":{"id":56,"type":"webpage","abstract":"Directed by Damon Gameau.  With Damon Gameau, Hugh Jackman, Milla Bakaitis, Richard Davies. Damon Gameau embarks on an experiment to document the effects of a high sugar diet on a healthy body.","note":"IMDb ID: tt3892434","title":"That Sugar Film","URL":"http://www.imdb.com/title/tt3892434/","author":[{"literal":"Damon Gameau"}],"accessed":{"date-parts":[["2019",8,30]]},"issued":{"date-parts":[["2015",7,31]]}}}],"schema":"https://github.com/citation-style-language/schema/raw/master/csl-citation.json"} </w:instrText>
      </w:r>
      <w:r w:rsidR="00DA4A9A">
        <w:fldChar w:fldCharType="separate"/>
      </w:r>
      <w:r w:rsidR="006C4B25" w:rsidRPr="006C4B25">
        <w:rPr>
          <w:rFonts w:ascii="Calibri" w:hAnsi="Calibri" w:cs="Calibri"/>
        </w:rPr>
        <w:t>[56]</w:t>
      </w:r>
      <w:r w:rsidR="00DA4A9A">
        <w:fldChar w:fldCharType="end"/>
      </w:r>
      <w:r w:rsidR="00DA4A9A">
        <w:t xml:space="preserve">, </w:t>
      </w:r>
      <w:r w:rsidR="00C364CF">
        <w:t xml:space="preserve"> may have played some part in the changes report</w:t>
      </w:r>
      <w:r w:rsidR="00333219">
        <w:t>ed</w:t>
      </w:r>
      <w:r w:rsidR="00C364CF">
        <w:t xml:space="preserve"> here. </w:t>
      </w:r>
    </w:p>
    <w:p w14:paraId="7595F55B" w14:textId="6FCCAE4D" w:rsidR="00777CDC" w:rsidRDefault="00777CDC" w:rsidP="00777CDC">
      <w:pPr>
        <w:spacing w:after="240" w:line="480" w:lineRule="auto"/>
        <w:jc w:val="both"/>
      </w:pPr>
      <w:r w:rsidRPr="00961342">
        <w:t>We took a hypothesis-drive</w:t>
      </w:r>
      <w:r w:rsidR="0087595F">
        <w:t>n</w:t>
      </w:r>
      <w:r w:rsidRPr="00961342">
        <w:t xml:space="preserve"> approach to focus our analysis on the point of announcement of the SDIL. A data-driven search for other inflexion points may have revealed different patterns, but we</w:t>
      </w:r>
      <w:r>
        <w:t xml:space="preserve"> felt this would have been conceptually confusing and potentially difficult to interpret. Future work could explore this further. </w:t>
      </w:r>
    </w:p>
    <w:p w14:paraId="583FDAE7" w14:textId="1A7D0BE2" w:rsidR="001116DF" w:rsidRDefault="00CA508E" w:rsidP="003C2F94">
      <w:pPr>
        <w:spacing w:after="240" w:line="480" w:lineRule="auto"/>
        <w:jc w:val="both"/>
      </w:pPr>
      <w:r>
        <w:t xml:space="preserve">Panel data can be limited by changes in panel </w:t>
      </w:r>
      <w:r w:rsidR="0043376A">
        <w:t xml:space="preserve">composition </w:t>
      </w:r>
      <w:r w:rsidR="00333219">
        <w:t>over time</w:t>
      </w:r>
      <w:r w:rsidR="00C364CF">
        <w:t xml:space="preserve">. However, the </w:t>
      </w:r>
      <w:r w:rsidR="0043376A" w:rsidRPr="0043376A">
        <w:t xml:space="preserve">demographic characteristics </w:t>
      </w:r>
      <w:r w:rsidR="00762EBB">
        <w:t>of the</w:t>
      </w:r>
      <w:r>
        <w:t xml:space="preserve"> KWP</w:t>
      </w:r>
      <w:r w:rsidR="00762EBB">
        <w:t xml:space="preserve"> panel </w:t>
      </w:r>
      <w:r w:rsidR="0043376A" w:rsidRPr="0043376A">
        <w:t xml:space="preserve">remained </w:t>
      </w:r>
      <w:r w:rsidR="00C364CF">
        <w:t xml:space="preserve">similar over </w:t>
      </w:r>
      <w:r w:rsidR="0043376A" w:rsidRPr="0043376A">
        <w:t xml:space="preserve">the study period. </w:t>
      </w:r>
      <w:r w:rsidR="00C364CF">
        <w:t xml:space="preserve">Furthermore, proprietary weightings provided by KWP </w:t>
      </w:r>
      <w:r>
        <w:t xml:space="preserve">and used throughout </w:t>
      </w:r>
      <w:r w:rsidR="00333219">
        <w:t xml:space="preserve">account for </w:t>
      </w:r>
      <w:r w:rsidR="00C364CF">
        <w:t xml:space="preserve">non-consumers </w:t>
      </w:r>
      <w:r>
        <w:t>and adjust for variations in panel composition</w:t>
      </w:r>
      <w:r w:rsidR="00C364CF">
        <w:t>.</w:t>
      </w:r>
      <w:r w:rsidR="008041FD">
        <w:t xml:space="preserve"> </w:t>
      </w:r>
      <w:r w:rsidR="00333219">
        <w:t xml:space="preserve">Resource constraints limited us from studying impacts across all food and drinks categories. </w:t>
      </w:r>
      <w:r w:rsidR="00C364CF">
        <w:t>Our analyses focus</w:t>
      </w:r>
      <w:r w:rsidR="00333219">
        <w:t xml:space="preserve"> on the impact of the SDIL announcement on purchasing</w:t>
      </w:r>
      <w:r w:rsidR="00C364CF">
        <w:t xml:space="preserve">. </w:t>
      </w:r>
      <w:r w:rsidR="0043376A">
        <w:t xml:space="preserve">Further </w:t>
      </w:r>
      <w:r w:rsidR="00F41006">
        <w:t>work</w:t>
      </w:r>
      <w:r w:rsidR="0043376A">
        <w:t xml:space="preserve"> will be required to determine the impact of implementation on purchases</w:t>
      </w:r>
      <w:r w:rsidR="002F6E9A">
        <w:t xml:space="preserve"> and</w:t>
      </w:r>
      <w:r w:rsidR="00333219">
        <w:t xml:space="preserve"> relevant health outcomes</w:t>
      </w:r>
      <w:r w:rsidR="0043376A">
        <w:t>.</w:t>
      </w:r>
      <w:r w:rsidR="00957EF7">
        <w:t xml:space="preserve"> </w:t>
      </w:r>
    </w:p>
    <w:p w14:paraId="3323D670" w14:textId="77777777" w:rsidR="00D24810" w:rsidRPr="00D24810" w:rsidRDefault="00D24810" w:rsidP="00D24810">
      <w:pPr>
        <w:spacing w:after="240" w:line="480" w:lineRule="auto"/>
        <w:jc w:val="both"/>
        <w:rPr>
          <w:b/>
          <w:i/>
        </w:rPr>
      </w:pPr>
      <w:r w:rsidRPr="00D24810">
        <w:rPr>
          <w:b/>
          <w:i/>
        </w:rPr>
        <w:t>Implications of findings</w:t>
      </w:r>
    </w:p>
    <w:p w14:paraId="5BC9C135" w14:textId="368FA30C" w:rsidR="00D24810" w:rsidRDefault="00D24810" w:rsidP="00D24810">
      <w:pPr>
        <w:spacing w:after="240" w:line="480" w:lineRule="auto"/>
        <w:jc w:val="both"/>
      </w:pPr>
      <w:r>
        <w:t xml:space="preserve">Our findings indicate that the announcement of the SDIL was associated with changes in purchasing of soft drinks in a number of categories that may be the result of product reformulation, changes in consumer awareness, attitudes </w:t>
      </w:r>
      <w:r w:rsidR="008041FD">
        <w:t>and</w:t>
      </w:r>
      <w:r>
        <w:t xml:space="preserve"> beliefs, or</w:t>
      </w:r>
      <w:r w:rsidR="008041FD">
        <w:t xml:space="preserve"> a combination of</w:t>
      </w:r>
      <w:r>
        <w:t xml:space="preserve"> both. Overall, however, we found no change in total volume of, or sugar in, household purchases of all soft drinks combined, indicating that further action </w:t>
      </w:r>
      <w:r w:rsidR="00BD46C9">
        <w:t xml:space="preserve">will be </w:t>
      </w:r>
      <w:r>
        <w:t xml:space="preserve">required </w:t>
      </w:r>
      <w:r w:rsidR="00BD46C9">
        <w:t xml:space="preserve">beyond the announcement of the levy </w:t>
      </w:r>
      <w:r>
        <w:t xml:space="preserve">to achieve </w:t>
      </w:r>
      <w:r w:rsidR="00BD46C9">
        <w:t xml:space="preserve">a positive </w:t>
      </w:r>
      <w:r>
        <w:t>public health impact</w:t>
      </w:r>
      <w:r w:rsidR="00BD46C9">
        <w:t xml:space="preserve"> </w:t>
      </w:r>
      <w:r w:rsidR="00957EF7">
        <w:t xml:space="preserve">- </w:t>
      </w:r>
      <w:r w:rsidR="00BD46C9">
        <w:t>including the levy’s actual</w:t>
      </w:r>
      <w:r w:rsidR="00B72611">
        <w:t xml:space="preserve"> implementation</w:t>
      </w:r>
      <w:r>
        <w:t xml:space="preserve">. </w:t>
      </w:r>
      <w:r w:rsidR="008041FD">
        <w:t>T</w:t>
      </w:r>
      <w:r>
        <w:t>he announcement of an SSB tax is not an isolated intervention that can likely be replicated in other contexts</w:t>
      </w:r>
      <w:r w:rsidR="003A2E47">
        <w:t xml:space="preserve"> </w:t>
      </w:r>
      <w:r w:rsidR="003A2E47" w:rsidRPr="003A2E47">
        <w:t xml:space="preserve">as the reaction to the announcement occurs on the assumption that the tax will be implemented. Therefore the </w:t>
      </w:r>
      <w:r w:rsidR="003A2E47" w:rsidRPr="003A2E47">
        <w:lastRenderedPageBreak/>
        <w:t>announcement of a</w:t>
      </w:r>
      <w:r w:rsidR="00BD163B">
        <w:t>n</w:t>
      </w:r>
      <w:r w:rsidR="003A2E47" w:rsidRPr="003A2E47">
        <w:t xml:space="preserve"> SSB tax</w:t>
      </w:r>
      <w:r w:rsidR="008041FD">
        <w:t xml:space="preserve"> on its own</w:t>
      </w:r>
      <w:r w:rsidR="003A2E47" w:rsidRPr="003A2E47">
        <w:t>, whilst making it clear that it would not be implemented, is unlikely to produce the same findings as those reported here.</w:t>
      </w:r>
      <w:r>
        <w:t xml:space="preserve"> Nevertheless, in line with recent developments in the public health literature</w:t>
      </w:r>
      <w:r w:rsidR="00784B22">
        <w:t xml:space="preserve"> </w:t>
      </w:r>
      <w:r>
        <w:t>[25]</w:t>
      </w:r>
      <w:r w:rsidR="00784B22">
        <w:t>,</w:t>
      </w:r>
      <w:r>
        <w:t xml:space="preserve"> </w:t>
      </w:r>
      <w:r w:rsidR="008041FD">
        <w:t>by</w:t>
      </w:r>
      <w:r>
        <w:t xml:space="preserve"> theorising the SDIL as a series of events in a complex system, </w:t>
      </w:r>
      <w:r w:rsidR="00F415B1">
        <w:t xml:space="preserve">with </w:t>
      </w:r>
      <w:r>
        <w:t>the announcement as a</w:t>
      </w:r>
      <w:r w:rsidR="00F415B1">
        <w:t xml:space="preserve"> key</w:t>
      </w:r>
      <w:r>
        <w:t xml:space="preserve"> early event leading to changes in anticipation of implementation, our findings help to build a complete picture of the impacts of the SDIL, when these occurred and via what mechanisms.</w:t>
      </w:r>
    </w:p>
    <w:p w14:paraId="7B5DDBE6" w14:textId="11C83524" w:rsidR="00DB5ECE" w:rsidRPr="00ED3A9C" w:rsidRDefault="00DB5ECE" w:rsidP="002F6E9A">
      <w:pPr>
        <w:keepNext/>
        <w:spacing w:after="240" w:line="480" w:lineRule="auto"/>
        <w:jc w:val="both"/>
        <w:rPr>
          <w:b/>
        </w:rPr>
      </w:pPr>
      <w:r w:rsidRPr="00ED3A9C">
        <w:rPr>
          <w:b/>
        </w:rPr>
        <w:t>Conclusions</w:t>
      </w:r>
    </w:p>
    <w:p w14:paraId="7A4CAAD8" w14:textId="44A5BDC5" w:rsidR="00004BF8" w:rsidRDefault="00540C1E" w:rsidP="003C2F94">
      <w:pPr>
        <w:spacing w:after="240" w:line="480" w:lineRule="auto"/>
        <w:jc w:val="both"/>
      </w:pPr>
      <w:r>
        <w:t xml:space="preserve">The announcement of </w:t>
      </w:r>
      <w:r w:rsidR="000B3132">
        <w:t xml:space="preserve">the UK SDIL was associated with </w:t>
      </w:r>
      <w:r w:rsidR="003E6C19">
        <w:t>a</w:t>
      </w:r>
      <w:r w:rsidR="00E6636B">
        <w:t xml:space="preserve"> 9</w:t>
      </w:r>
      <w:r w:rsidR="00FE48DD">
        <w:t>6</w:t>
      </w:r>
      <w:r w:rsidR="00E6636B">
        <w:t>.</w:t>
      </w:r>
      <w:r w:rsidR="00FE48DD">
        <w:t>1</w:t>
      </w:r>
      <w:r w:rsidR="00E6636B">
        <w:t>ml</w:t>
      </w:r>
      <w:r w:rsidR="00E6636B" w:rsidRPr="003E6C19">
        <w:t xml:space="preserve"> </w:t>
      </w:r>
      <w:r w:rsidR="00E6636B">
        <w:t xml:space="preserve">decrease in the volume of household purchases of lower levy tier drinks containing ≥5-&lt;8g sugar per 100ml </w:t>
      </w:r>
      <w:r w:rsidR="000C6133">
        <w:t xml:space="preserve">per week </w:t>
      </w:r>
      <w:r w:rsidR="00E6636B">
        <w:t>compared to the counterfactual estimated from pre-announcement trends</w:t>
      </w:r>
      <w:r w:rsidR="007741F6">
        <w:t xml:space="preserve">, </w:t>
      </w:r>
      <w:r w:rsidR="00E6636B">
        <w:t xml:space="preserve">equating to </w:t>
      </w:r>
      <w:r w:rsidR="000C6133">
        <w:t>6.</w:t>
      </w:r>
      <w:r w:rsidR="00FE48DD">
        <w:t>4</w:t>
      </w:r>
      <w:r w:rsidR="000C6133">
        <w:t xml:space="preserve">g less sugar per household per week. </w:t>
      </w:r>
      <w:r w:rsidR="000B3132">
        <w:t xml:space="preserve">No change in </w:t>
      </w:r>
      <w:r w:rsidR="001C2C98">
        <w:t xml:space="preserve">the </w:t>
      </w:r>
      <w:r w:rsidR="000B3132">
        <w:t xml:space="preserve">substantial </w:t>
      </w:r>
      <w:r w:rsidR="00D34778">
        <w:t xml:space="preserve">existing </w:t>
      </w:r>
      <w:r w:rsidR="000B3132">
        <w:t xml:space="preserve">downward trends in volume of, and amount of sugar in, </w:t>
      </w:r>
      <w:r w:rsidR="00CA79AB">
        <w:t>high</w:t>
      </w:r>
      <w:r w:rsidR="00FB175D">
        <w:t>er</w:t>
      </w:r>
      <w:r w:rsidR="00CA79AB">
        <w:t xml:space="preserve"> levy tier</w:t>
      </w:r>
      <w:r w:rsidR="000B3132">
        <w:t xml:space="preserve"> drinks with &gt;8g sugar per 100ml were seen.</w:t>
      </w:r>
      <w:r w:rsidR="00F41006">
        <w:t xml:space="preserve"> However, a</w:t>
      </w:r>
      <w:r w:rsidR="003E6C19">
        <w:t xml:space="preserve"> </w:t>
      </w:r>
      <w:r w:rsidR="00C95540">
        <w:t>6.</w:t>
      </w:r>
      <w:r w:rsidR="00FE48DD">
        <w:t>1</w:t>
      </w:r>
      <w:r w:rsidR="000C6133">
        <w:t>g</w:t>
      </w:r>
      <w:r w:rsidR="00F41006">
        <w:t xml:space="preserve"> increase in sugar purchased from drinks in the no levy </w:t>
      </w:r>
      <w:r w:rsidR="00777CDC">
        <w:t xml:space="preserve">tier </w:t>
      </w:r>
      <w:r w:rsidR="00F41006">
        <w:t>was seen that was isolated to the sub-category of drinks with &gt;0g but &lt;5g sugar per 100ml.</w:t>
      </w:r>
      <w:r w:rsidR="000B3132">
        <w:t xml:space="preserve"> </w:t>
      </w:r>
      <w:r w:rsidR="00F41006">
        <w:t>T</w:t>
      </w:r>
      <w:r w:rsidR="000B3132">
        <w:t xml:space="preserve">here </w:t>
      </w:r>
      <w:r w:rsidR="00F41006">
        <w:t xml:space="preserve">was no </w:t>
      </w:r>
      <w:r w:rsidR="000B3132">
        <w:t xml:space="preserve">evidence of substitution to </w:t>
      </w:r>
      <w:r w:rsidR="007741F6">
        <w:t>alcohol</w:t>
      </w:r>
      <w:r w:rsidR="00C9271D">
        <w:t>ic drinks</w:t>
      </w:r>
      <w:r w:rsidR="007741F6">
        <w:t xml:space="preserve"> or </w:t>
      </w:r>
      <w:r w:rsidR="0066468E">
        <w:t>confectionery</w:t>
      </w:r>
      <w:r w:rsidR="007741F6">
        <w:t>.</w:t>
      </w:r>
      <w:r w:rsidR="000B3132">
        <w:t xml:space="preserve"> </w:t>
      </w:r>
      <w:r w:rsidR="00F41006">
        <w:t>These findings may reflect reformulation of drinks from the low levy to no levy tier with removal of some, but not all</w:t>
      </w:r>
      <w:r w:rsidR="008B2F13">
        <w:t>,</w:t>
      </w:r>
      <w:r w:rsidR="00F41006">
        <w:t xml:space="preserve"> sugar alongside changes in consumer attitudes and beliefs. Any reformulation of drinks in the high</w:t>
      </w:r>
      <w:r w:rsidR="00FB175D">
        <w:t>er</w:t>
      </w:r>
      <w:r w:rsidR="00F41006">
        <w:t xml:space="preserve"> levy tier may have been limited to drinks with small market shares. Overall there was no change in total volume of, or sugar in, household purchases of all soft drinks combined indicating that further action, including implementation of the SDIL, </w:t>
      </w:r>
      <w:r w:rsidR="00F415B1">
        <w:t>will be</w:t>
      </w:r>
      <w:r w:rsidR="00F41006">
        <w:t xml:space="preserve"> required to achieve public health impact. </w:t>
      </w:r>
      <w:r w:rsidR="000B3132">
        <w:t>Future wo</w:t>
      </w:r>
      <w:r w:rsidR="002F6E9A">
        <w:t xml:space="preserve">rk should determine the impacts </w:t>
      </w:r>
      <w:r w:rsidR="000B3132">
        <w:t xml:space="preserve">of the implementation of the SDIL.  </w:t>
      </w:r>
    </w:p>
    <w:p w14:paraId="4EBB6F01" w14:textId="6739663D" w:rsidR="00821203" w:rsidRDefault="00821203" w:rsidP="003C2F94">
      <w:pPr>
        <w:spacing w:after="240" w:line="480" w:lineRule="auto"/>
        <w:jc w:val="both"/>
      </w:pPr>
    </w:p>
    <w:p w14:paraId="3A84E081" w14:textId="2D021F12" w:rsidR="00F41006" w:rsidRDefault="00F41006" w:rsidP="0058685B">
      <w:r w:rsidRPr="002F6E9A">
        <w:br w:type="page"/>
      </w:r>
    </w:p>
    <w:p w14:paraId="231D404F" w14:textId="5FFBE680" w:rsidR="00361D5A" w:rsidRPr="00F41006" w:rsidRDefault="00361D5A" w:rsidP="00441C91">
      <w:pPr>
        <w:spacing w:line="360" w:lineRule="auto"/>
        <w:jc w:val="both"/>
        <w:rPr>
          <w:b/>
        </w:rPr>
      </w:pPr>
      <w:r w:rsidRPr="00F41006">
        <w:rPr>
          <w:b/>
        </w:rPr>
        <w:lastRenderedPageBreak/>
        <w:t>References</w:t>
      </w:r>
    </w:p>
    <w:p w14:paraId="0C507E85" w14:textId="77777777" w:rsidR="006C4B25" w:rsidRDefault="006C4B25" w:rsidP="006C4B25">
      <w:pPr>
        <w:pStyle w:val="Bibliography"/>
      </w:pPr>
      <w:r>
        <w:fldChar w:fldCharType="begin"/>
      </w:r>
      <w:r>
        <w:instrText xml:space="preserve"> ADDIN ZOTERO_BIBL {"uncited":[],"omitted":[],"custom":[]} CSL_BIBLIOGRAPHY </w:instrText>
      </w:r>
      <w:r>
        <w:fldChar w:fldCharType="separate"/>
      </w:r>
      <w:r>
        <w:t>[1]</w:t>
      </w:r>
      <w:r>
        <w:tab/>
        <w:t>Moynihan PJ, Kelly SAM. Effect on Caries of Restricting Sugars Intake: Systematic Review to Inform WHO Guidelines. J Dent Res 2014;93:8–18. https://doi.org/10.1177/0022034513508954.</w:t>
      </w:r>
    </w:p>
    <w:p w14:paraId="07126446" w14:textId="77777777" w:rsidR="006C4B25" w:rsidRDefault="006C4B25" w:rsidP="006C4B25">
      <w:pPr>
        <w:pStyle w:val="Bibliography"/>
      </w:pPr>
      <w:r>
        <w:t>[2]</w:t>
      </w:r>
      <w:r>
        <w:tab/>
        <w:t>Imamura F, O’Connor L, Ye Z, Mursu J, Hayashino Y, Bhupathiraju SN, et al. Consumption of sugar sweetened beverages, artificially sweetened beverages, and fruit juice and incidence of type 2 diabetes: systematic review, meta-analysis, and estimation of population attributable fraction. Br J Sports Med 2016;50:496–504. https://doi.org/10.1136/bjsports-2016-h3576rep.</w:t>
      </w:r>
    </w:p>
    <w:p w14:paraId="679D8E7F" w14:textId="77777777" w:rsidR="006C4B25" w:rsidRDefault="006C4B25" w:rsidP="006C4B25">
      <w:pPr>
        <w:pStyle w:val="Bibliography"/>
      </w:pPr>
      <w:r>
        <w:t>[3]</w:t>
      </w:r>
      <w:r>
        <w:tab/>
        <w:t>Xi B, Huang Y, Reilly KH, Li S, Zheng R, Barrio-Lopez MT, et al. Sugar-sweetened beverages and risk of hypertension and CVD: a dose–response meta-analysis. Br J Nutr 2015;113:709–17. https://doi.org/10.1017/S0007114514004383.</w:t>
      </w:r>
    </w:p>
    <w:p w14:paraId="22707967" w14:textId="77777777" w:rsidR="006C4B25" w:rsidRDefault="006C4B25" w:rsidP="006C4B25">
      <w:pPr>
        <w:pStyle w:val="Bibliography"/>
      </w:pPr>
      <w:r>
        <w:t>[4]</w:t>
      </w:r>
      <w:r>
        <w:tab/>
        <w:t>Tedstone A, Targett V, Allen R. Sugar reduction: the evidence for action. Sugar Reduct Evid Action 2015.</w:t>
      </w:r>
    </w:p>
    <w:p w14:paraId="4FEE2109" w14:textId="77777777" w:rsidR="006C4B25" w:rsidRDefault="006C4B25" w:rsidP="006C4B25">
      <w:pPr>
        <w:pStyle w:val="Bibliography"/>
      </w:pPr>
      <w:r>
        <w:t>[5]</w:t>
      </w:r>
      <w:r>
        <w:tab/>
        <w:t>Morgan E, Dent M. The economic burden of obesity. Natl Obes Obs 2010:1–13.</w:t>
      </w:r>
    </w:p>
    <w:p w14:paraId="7D762E15" w14:textId="77777777" w:rsidR="006C4B25" w:rsidRDefault="006C4B25" w:rsidP="006C4B25">
      <w:pPr>
        <w:pStyle w:val="Bibliography"/>
      </w:pPr>
      <w:r>
        <w:t>[6]</w:t>
      </w:r>
      <w:r>
        <w:tab/>
        <w:t>World Health Organization. Consideration of the evidence on childhood obesity for the Commission on Ending Childhood Obesity: report of the ad hoc working group on science and evidence for ending childhood obesity, Geneva, Switzerland 2016.</w:t>
      </w:r>
    </w:p>
    <w:p w14:paraId="39D2D756" w14:textId="77777777" w:rsidR="006C4B25" w:rsidRDefault="006C4B25" w:rsidP="006C4B25">
      <w:pPr>
        <w:pStyle w:val="Bibliography"/>
      </w:pPr>
      <w:r>
        <w:t>[7]</w:t>
      </w:r>
      <w:r>
        <w:tab/>
        <w:t>World Health Organisation. Tackling NCDs: “Best Buys” and Other Recommended Interventions for the Prevention and Control of Noncommunicable Diseases. 2017.</w:t>
      </w:r>
    </w:p>
    <w:p w14:paraId="689BD3E2" w14:textId="77777777" w:rsidR="006C4B25" w:rsidRDefault="006C4B25" w:rsidP="006C4B25">
      <w:pPr>
        <w:pStyle w:val="Bibliography"/>
      </w:pPr>
      <w:r>
        <w:t>[8]</w:t>
      </w:r>
      <w:r>
        <w:tab/>
        <w:t>Dharmasena S, Capps O. Intended and unintended consequences of a proposed national tax on sugar-sweetened beverages to combat the U.S. obesity problem. Health Econ 2012;21:669–94. https://doi.org/10.1002/hec.1738.</w:t>
      </w:r>
    </w:p>
    <w:p w14:paraId="3D1C768B" w14:textId="77777777" w:rsidR="006C4B25" w:rsidRDefault="006C4B25" w:rsidP="006C4B25">
      <w:pPr>
        <w:pStyle w:val="Bibliography"/>
      </w:pPr>
      <w:r>
        <w:t>[9]</w:t>
      </w:r>
      <w:r>
        <w:tab/>
        <w:t>Falbe J, Rojas N, Grummon AH, Madsen KA. Higher Retail Prices of Sugar-Sweetened Beverages 3 Months After Implementation of an Excise Tax in Berkeley, California. Am J Public Health 2015;105:2194–201. https://doi.org/10.2105/AJPH.2015.302881.</w:t>
      </w:r>
    </w:p>
    <w:p w14:paraId="07FC8C7D" w14:textId="77777777" w:rsidR="006C4B25" w:rsidRDefault="006C4B25" w:rsidP="006C4B25">
      <w:pPr>
        <w:pStyle w:val="Bibliography"/>
      </w:pPr>
      <w:r>
        <w:t>[10]</w:t>
      </w:r>
      <w:r>
        <w:tab/>
        <w:t>Falbe J, Thompson HR, Becker CM, Rojas N, McCulloch CE, Madsen KA. Impact of the Berkeley Excise Tax on Sugar-Sweetened Beverage Consumption. Am J Public Health 2016;106:1865–71. https://doi.org/10.2105/AJPH.2016.303362.</w:t>
      </w:r>
    </w:p>
    <w:p w14:paraId="7EA650A7" w14:textId="77777777" w:rsidR="006C4B25" w:rsidRDefault="006C4B25" w:rsidP="006C4B25">
      <w:pPr>
        <w:pStyle w:val="Bibliography"/>
      </w:pPr>
      <w:r>
        <w:t>[11]</w:t>
      </w:r>
      <w:r>
        <w:tab/>
        <w:t>Batis C, Rivera JA, Popkin BM, Taillie LS. First-Year Evaluation of Mexico’s Tax on Nonessential Energy-Dense Foods: An Observational Study. PLoS Med 2016;13. https://doi.org/10.1371/journal.pmed.1002057.</w:t>
      </w:r>
    </w:p>
    <w:p w14:paraId="4D710E2E" w14:textId="77777777" w:rsidR="006C4B25" w:rsidRDefault="006C4B25" w:rsidP="006C4B25">
      <w:pPr>
        <w:pStyle w:val="Bibliography"/>
      </w:pPr>
      <w:r>
        <w:t>[12]</w:t>
      </w:r>
      <w:r>
        <w:tab/>
        <w:t>Colchero MA, Rivera-Dommarco J, Popkin BM, Ng SW. In Mexico, Evidence Of Sustained Consumer Response Two Years After Implementing A Sugar-Sweetened Beverage Tax. Health Aff (Millwood) 2017;36:564–71. https://doi.org/10.1377/hlthaff.2016.1231.</w:t>
      </w:r>
    </w:p>
    <w:p w14:paraId="0539C9C4" w14:textId="77777777" w:rsidR="006C4B25" w:rsidRDefault="006C4B25" w:rsidP="006C4B25">
      <w:pPr>
        <w:pStyle w:val="Bibliography"/>
      </w:pPr>
      <w:r>
        <w:t>[13]</w:t>
      </w:r>
      <w:r>
        <w:tab/>
        <w:t>Code général des impôts - Article 1613 ter. vol. 1613 ter. n.d.</w:t>
      </w:r>
    </w:p>
    <w:p w14:paraId="14FE0985" w14:textId="77777777" w:rsidR="006C4B25" w:rsidRDefault="006C4B25" w:rsidP="006C4B25">
      <w:pPr>
        <w:pStyle w:val="Bibliography"/>
      </w:pPr>
      <w:r>
        <w:t>[14]</w:t>
      </w:r>
      <w:r>
        <w:tab/>
        <w:t>World Health Organisation. Taking action on childhood obesity report. WHO n.d. http://www.who.int/end-childhood-obesity/publications/taking-action-childhood-obesity-report/en/ (accessed April 17, 2019).</w:t>
      </w:r>
    </w:p>
    <w:p w14:paraId="70BFF853" w14:textId="77777777" w:rsidR="006C4B25" w:rsidRDefault="006C4B25" w:rsidP="006C4B25">
      <w:pPr>
        <w:pStyle w:val="Bibliography"/>
      </w:pPr>
      <w:r>
        <w:t>[15]</w:t>
      </w:r>
      <w:r>
        <w:tab/>
        <w:t>Silver LD, Ng SW, Ryan-Ibarra S, Taillie LS, Induni M, Miles DR, et al. Changes in prices, sales, consumer spending, and beverage consumption one year after a tax on sugar-sweetened beverages in Berkeley, California, US: A before-and-after study. PLOS Med 2017;14:e1002283. https://doi.org/10.1371/journal.pmed.1002283.</w:t>
      </w:r>
    </w:p>
    <w:p w14:paraId="0FA66D29" w14:textId="77777777" w:rsidR="006C4B25" w:rsidRDefault="006C4B25" w:rsidP="006C4B25">
      <w:pPr>
        <w:pStyle w:val="Bibliography"/>
      </w:pPr>
      <w:r>
        <w:t>[16]</w:t>
      </w:r>
      <w:r>
        <w:tab/>
        <w:t>Colchero MA, Popkin BM, Rivera JA, Ng SW. Beverage purchases from stores in Mexico under the excise tax on sugar sweetened beverages: observational study. BMJ 2016;352:h6704. https://doi.org/10.1136/bmj.h6704.</w:t>
      </w:r>
    </w:p>
    <w:p w14:paraId="7EB66BAC" w14:textId="77777777" w:rsidR="006C4B25" w:rsidRDefault="006C4B25" w:rsidP="006C4B25">
      <w:pPr>
        <w:pStyle w:val="Bibliography"/>
      </w:pPr>
      <w:r>
        <w:t>[17]</w:t>
      </w:r>
      <w:r>
        <w:tab/>
        <w:t>Teng AM, Jones AC, Mizdrak A, Signal L, Genç M, Wilson N. Impact of sugar-sweetened beverage taxes on purchases and dietary intake: Systematic review and meta-analysis. Obes Rev 2019;20:1187–204. https://doi.org/10.1111/obr.12868.</w:t>
      </w:r>
    </w:p>
    <w:p w14:paraId="374DA503" w14:textId="77777777" w:rsidR="006C4B25" w:rsidRDefault="006C4B25" w:rsidP="006C4B25">
      <w:pPr>
        <w:pStyle w:val="Bibliography"/>
      </w:pPr>
      <w:r>
        <w:lastRenderedPageBreak/>
        <w:t>[18]</w:t>
      </w:r>
      <w:r>
        <w:tab/>
        <w:t>Alvarado M, Kostova D, Suhrcke M, Hambleton I, Hassell T, Samuels TA, et al. Trends in beverage prices following the introduction of a tax on sugar-sweetened beverages in Barbados. Prev Med 2017;105:S23–5. https://doi.org/10.1016/j.ypmed.2017.07.013.</w:t>
      </w:r>
    </w:p>
    <w:p w14:paraId="38C043ED" w14:textId="77777777" w:rsidR="006C4B25" w:rsidRDefault="006C4B25" w:rsidP="006C4B25">
      <w:pPr>
        <w:pStyle w:val="Bibliography"/>
      </w:pPr>
      <w:r>
        <w:t>[19]</w:t>
      </w:r>
      <w:r>
        <w:tab/>
        <w:t>Cawley J, Willage B, Frisvold D. Pass-Through of a Tax on Sugar-Sweetened Beverages at the Philadelphia International Airport. JAMA 2018;319:305–6. https://doi.org/10.1001/jama.2017.16903.</w:t>
      </w:r>
    </w:p>
    <w:p w14:paraId="42FA9AC9" w14:textId="77777777" w:rsidR="006C4B25" w:rsidRDefault="006C4B25" w:rsidP="006C4B25">
      <w:pPr>
        <w:pStyle w:val="Bibliography"/>
      </w:pPr>
      <w:r>
        <w:t>[20]</w:t>
      </w:r>
      <w:r>
        <w:tab/>
        <w:t>Álvarez-Sánchez C, Contento I, Jiménez-Aguilar A, Koch P, Gray HL, Guerra LA, et al. Does the Mexican sugar-sweetened beverage tax have a signaling effect? ENSANUT 2016. PLOS ONE 2018;13:e0199337. https://doi.org/10.1371/journal.pone.0199337.</w:t>
      </w:r>
    </w:p>
    <w:p w14:paraId="2310F9FF" w14:textId="77777777" w:rsidR="006C4B25" w:rsidRDefault="006C4B25" w:rsidP="006C4B25">
      <w:pPr>
        <w:pStyle w:val="Bibliography"/>
      </w:pPr>
      <w:r>
        <w:t>[21]</w:t>
      </w:r>
      <w:r>
        <w:tab/>
        <w:t>HM Revenue &amp; Customs. Soft Drinks Industry Levy. GOVUK n.d. https://www.gov.uk/government/publications/soft-drinks-industry-levy/soft-drinks-industry-levy (accessed January 14, 2019).</w:t>
      </w:r>
    </w:p>
    <w:p w14:paraId="5D537178" w14:textId="77777777" w:rsidR="006C4B25" w:rsidRDefault="006C4B25" w:rsidP="006C4B25">
      <w:pPr>
        <w:pStyle w:val="Bibliography"/>
      </w:pPr>
      <w:r>
        <w:t>[22]</w:t>
      </w:r>
      <w:r>
        <w:tab/>
        <w:t>HM Revenue &amp; Customs. Check if your drink is liable for the Soft Drinks Industry Levy. GOVUK n.d. https://www.gov.uk/guidance/check-if-your-drink-is-liable-for-the-soft-drinks-industry-levy (accessed September 18, 2018).</w:t>
      </w:r>
    </w:p>
    <w:p w14:paraId="6534ED85" w14:textId="77777777" w:rsidR="006C4B25" w:rsidRDefault="006C4B25" w:rsidP="006C4B25">
      <w:pPr>
        <w:pStyle w:val="Bibliography"/>
      </w:pPr>
      <w:r>
        <w:t>[23]</w:t>
      </w:r>
      <w:r>
        <w:tab/>
        <w:t>An Roinn Airgeadais Department of Finance. Sugar-Sweetened Drinks Tax Public Consulation. 2016.</w:t>
      </w:r>
    </w:p>
    <w:p w14:paraId="3A88FADB" w14:textId="77777777" w:rsidR="006C4B25" w:rsidRDefault="006C4B25" w:rsidP="006C4B25">
      <w:pPr>
        <w:pStyle w:val="Bibliography"/>
      </w:pPr>
      <w:r>
        <w:t>[24]</w:t>
      </w:r>
      <w:r>
        <w:tab/>
        <w:t>Economics Tax Analysis Chief Directorate. Taxation of sugar sweetened beverages. 2016.</w:t>
      </w:r>
    </w:p>
    <w:p w14:paraId="340C80D8" w14:textId="77777777" w:rsidR="006C4B25" w:rsidRDefault="006C4B25" w:rsidP="006C4B25">
      <w:pPr>
        <w:pStyle w:val="Bibliography"/>
      </w:pPr>
      <w:r>
        <w:t>[25]</w:t>
      </w:r>
      <w:r>
        <w:tab/>
        <w:t>Buckton CH, Patterson C, Hyseni L, Katikireddi SV, Lloyd-Williams F, Elliott-Green A, et al. The palatability of sugar-sweetened beverage taxation: A content analysis of newspaper coverage of the UK sugar debate. PloS One 2018;13:e0207576. https://doi.org/10.1371/journal.pone.0207576.</w:t>
      </w:r>
    </w:p>
    <w:p w14:paraId="5EB7BDC7" w14:textId="77777777" w:rsidR="006C4B25" w:rsidRDefault="006C4B25" w:rsidP="006C4B25">
      <w:pPr>
        <w:pStyle w:val="Bibliography"/>
      </w:pPr>
      <w:r>
        <w:t>[26]</w:t>
      </w:r>
      <w:r>
        <w:tab/>
        <w:t>Scarborough P, Adhikari V, Harrington RA, Elhussein A, Briggs A, Rayner M, et al. Impact of the announcement and implementation of the UK Soft Drinks Industry Levy on sugar content, price, product size and number of available soft drinks in the UK, 2015-19: A controlled interrupted time series analysis. PLOS Med 2020;17:e1003025. https://doi.org/10.1371/journal.pmed.1003025.</w:t>
      </w:r>
    </w:p>
    <w:p w14:paraId="49F856EE" w14:textId="77777777" w:rsidR="006C4B25" w:rsidRDefault="006C4B25" w:rsidP="006C4B25">
      <w:pPr>
        <w:pStyle w:val="Bibliography"/>
      </w:pPr>
      <w:r>
        <w:t>[27]</w:t>
      </w:r>
      <w:r>
        <w:tab/>
        <w:t>Bandy LK, Scarborough P, Harrington RA, Rayner M, Jebb SA. Reductions in sugar sales from soft drinks in the UK from 2015 to 2018. BMC Med 2020;18:20. https://doi.org/10.1186/s12916-019-1477-4.</w:t>
      </w:r>
    </w:p>
    <w:p w14:paraId="572BC7EB" w14:textId="77777777" w:rsidR="006C4B25" w:rsidRDefault="006C4B25" w:rsidP="006C4B25">
      <w:pPr>
        <w:pStyle w:val="Bibliography"/>
      </w:pPr>
      <w:r>
        <w:t>[28]</w:t>
      </w:r>
      <w:r>
        <w:tab/>
        <w:t>Rutter H, Savona N, Glonti K, Bibby J, Cummins S, Finegood DT, et al. The need for a complex systems model of evidence for public health. Lancet Lond Engl 2017;390:2602–4. https://doi.org/10.1016/S0140-6736(17)31267-9.</w:t>
      </w:r>
    </w:p>
    <w:p w14:paraId="45A16BF2" w14:textId="77777777" w:rsidR="006C4B25" w:rsidRDefault="006C4B25" w:rsidP="006C4B25">
      <w:pPr>
        <w:pStyle w:val="Bibliography"/>
      </w:pPr>
      <w:r>
        <w:t>[29]</w:t>
      </w:r>
      <w:r>
        <w:tab/>
        <w:t>White M. Evaluation of the health impacts of the UK Treasury Soft Drinks Industry Levy (SDIL) 2017. https://doi.org/10.1186/ISRCTN18042742.</w:t>
      </w:r>
    </w:p>
    <w:p w14:paraId="5CB6FA21" w14:textId="77777777" w:rsidR="006C4B25" w:rsidRDefault="006C4B25" w:rsidP="006C4B25">
      <w:pPr>
        <w:pStyle w:val="Bibliography"/>
      </w:pPr>
      <w:r>
        <w:t>[30]</w:t>
      </w:r>
      <w:r>
        <w:tab/>
        <w:t>Penney TL. ISRCTN18042742: Evaluation of the health impacts of the UK Treasury Soft Drinks Industry Levy (SDIL) 2017. https://doi.org/10.1186/ISRCTN18042742.</w:t>
      </w:r>
    </w:p>
    <w:p w14:paraId="72A6AE4F" w14:textId="77777777" w:rsidR="006C4B25" w:rsidRDefault="006C4B25" w:rsidP="006C4B25">
      <w:pPr>
        <w:pStyle w:val="Bibliography"/>
      </w:pPr>
      <w:r>
        <w:t>[31]</w:t>
      </w:r>
      <w:r>
        <w:tab/>
        <w:t>Bernal JL, Cummins S, Gasparrini A. Interrupted time series regression for the evaluation of public health interventions: a tutorial. Int J Epidemiol 2017;46:348–55. https://doi.org/10.1093/ije/dyw098.</w:t>
      </w:r>
    </w:p>
    <w:p w14:paraId="7F7A033B" w14:textId="77777777" w:rsidR="006C4B25" w:rsidRDefault="006C4B25" w:rsidP="006C4B25">
      <w:pPr>
        <w:pStyle w:val="Bibliography"/>
      </w:pPr>
      <w:r>
        <w:t>[32]</w:t>
      </w:r>
      <w:r>
        <w:tab/>
        <w:t>Penfold RB, Zhang F. Use of Interrupted Time Series Analysis in Evaluating Health Care Quality Improvements. Acad Pediatr 2013;13:S38–44. https://doi.org/10.1016/j.acap.2013.08.002.</w:t>
      </w:r>
    </w:p>
    <w:p w14:paraId="06DAFC6D" w14:textId="77777777" w:rsidR="006C4B25" w:rsidRDefault="006C4B25" w:rsidP="006C4B25">
      <w:pPr>
        <w:pStyle w:val="Bibliography"/>
      </w:pPr>
      <w:r>
        <w:t>[33]</w:t>
      </w:r>
      <w:r>
        <w:tab/>
        <w:t>Lopez Bernal J, Cummins S, Gasparrini A. The use of controls in interrupted time series studies of public health interventions. Int J Epidemiol 2018;47:2082–2093.</w:t>
      </w:r>
    </w:p>
    <w:p w14:paraId="1A129D2B" w14:textId="77777777" w:rsidR="006C4B25" w:rsidRDefault="006C4B25" w:rsidP="006C4B25">
      <w:pPr>
        <w:pStyle w:val="Bibliography"/>
      </w:pPr>
      <w:r>
        <w:t>[34]</w:t>
      </w:r>
      <w:r>
        <w:tab/>
        <w:t>A Tax on Sodas? Becker. Becker-Posner Blog n.d. https://www.becker-posner-blog.com/2009/05/a-tax-on-sodas-becker.html (accessed March 5, 2020).</w:t>
      </w:r>
    </w:p>
    <w:p w14:paraId="57243D9B" w14:textId="77777777" w:rsidR="006C4B25" w:rsidRDefault="006C4B25" w:rsidP="006C4B25">
      <w:pPr>
        <w:pStyle w:val="Bibliography"/>
      </w:pPr>
      <w:r>
        <w:t>[35]</w:t>
      </w:r>
      <w:r>
        <w:tab/>
        <w:t>A Soda or Calorie Tax to Reduce Obesity--Posner. Becker-Posner Blog n.d. https://www.becker-posner-blog.com/2009/05/a-soda-or-calorie-tax-to-reduce-obesity--posner.html (accessed March 5, 2020).</w:t>
      </w:r>
    </w:p>
    <w:p w14:paraId="245C4BFC" w14:textId="77777777" w:rsidR="006C4B25" w:rsidRDefault="006C4B25" w:rsidP="006C4B25">
      <w:pPr>
        <w:pStyle w:val="Bibliography"/>
      </w:pPr>
      <w:r>
        <w:lastRenderedPageBreak/>
        <w:t>[36]</w:t>
      </w:r>
      <w:r>
        <w:tab/>
        <w:t>Smith K, Griffith R, O’Connell M. Measuring the quality of people’s diets: a comparison of intake and purchase data. Econometrics and IO of food and nutrition; Toulouse School of Economics 2012. n.d.</w:t>
      </w:r>
    </w:p>
    <w:p w14:paraId="03DBD2E0" w14:textId="77777777" w:rsidR="006C4B25" w:rsidRDefault="006C4B25" w:rsidP="006C4B25">
      <w:pPr>
        <w:pStyle w:val="Bibliography"/>
      </w:pPr>
      <w:r>
        <w:t>[37]</w:t>
      </w:r>
      <w:r>
        <w:tab/>
        <w:t>Linden A. Conducting Interrupted Time-series Analysis for Single- and Multiple-group Comparisons. Stata J 2015;15:480–500. https://doi.org/10.1177/1536867X1501500208.</w:t>
      </w:r>
    </w:p>
    <w:p w14:paraId="23358410" w14:textId="77777777" w:rsidR="006C4B25" w:rsidRDefault="006C4B25" w:rsidP="006C4B25">
      <w:pPr>
        <w:pStyle w:val="Bibliography"/>
      </w:pPr>
      <w:r>
        <w:t>[38]</w:t>
      </w:r>
      <w:r>
        <w:tab/>
        <w:t>UK and regional series. Met Off n.d. https://www.metoffice.gov.uk/climate/uk/summaries/datasets (accessed December 6, 2018).</w:t>
      </w:r>
    </w:p>
    <w:p w14:paraId="5718257D" w14:textId="77777777" w:rsidR="006C4B25" w:rsidRDefault="006C4B25" w:rsidP="006C4B25">
      <w:pPr>
        <w:pStyle w:val="Bibliography"/>
      </w:pPr>
      <w:r>
        <w:t>[39]</w:t>
      </w:r>
      <w:r>
        <w:tab/>
        <w:t>Zhang F, Wagner AK, Soumerai SB, Ross-Degnan D. Methods for estimating confidence intervals in interrupted time series analyses of health interventions. J Clin Epidemiol 2009;62:143–8. https://doi.org/10.1016/j.jclinepi.2008.08.007.</w:t>
      </w:r>
    </w:p>
    <w:p w14:paraId="546317C8" w14:textId="77777777" w:rsidR="006C4B25" w:rsidRDefault="006C4B25" w:rsidP="006C4B25">
      <w:pPr>
        <w:pStyle w:val="Bibliography"/>
      </w:pPr>
      <w:r>
        <w:t>[40]</w:t>
      </w:r>
      <w:r>
        <w:tab/>
        <w:t>Families and households - Office for National Statistics n.d. https://www.ons.gov.uk/peoplepopulationandcommunity/birthsdeathsandmarriages/families/datasets/familiesandhouseholdsfamiliesandhouseholds (accessed March 25, 2019).</w:t>
      </w:r>
    </w:p>
    <w:p w14:paraId="789438A8" w14:textId="77777777" w:rsidR="006C4B25" w:rsidRDefault="006C4B25" w:rsidP="006C4B25">
      <w:pPr>
        <w:pStyle w:val="Bibliography"/>
      </w:pPr>
      <w:r>
        <w:t>[41]</w:t>
      </w:r>
      <w:r>
        <w:tab/>
        <w:t>The effects of taxes and benefits on household income, disposable income estimate: 2018 - Office for National Statistics n.d. https://www.ons.gov.uk/peoplepopulationandcommunity/personalandhouseholdfinances/incomeandwealth/datasets/householddisposableincomeandinequality (accessed March 25, 2019).</w:t>
      </w:r>
    </w:p>
    <w:p w14:paraId="694E7F89" w14:textId="77777777" w:rsidR="006C4B25" w:rsidRDefault="006C4B25" w:rsidP="006C4B25">
      <w:pPr>
        <w:pStyle w:val="Bibliography"/>
      </w:pPr>
      <w:r>
        <w:t>[42]</w:t>
      </w:r>
      <w:r>
        <w:tab/>
        <w:t>Qualifications in the population. GOVUK n.d. https://www.gov.uk/government/statistical-data-sets/fe-data-library-qualifications-in-the-population-based-on-the-labour-force-survey (accessed March 25, 2019).</w:t>
      </w:r>
    </w:p>
    <w:p w14:paraId="037FAA60" w14:textId="77777777" w:rsidR="006C4B25" w:rsidRDefault="006C4B25" w:rsidP="006C4B25">
      <w:pPr>
        <w:pStyle w:val="Bibliography"/>
      </w:pPr>
      <w:r>
        <w:t>[43]</w:t>
      </w:r>
      <w:r>
        <w:tab/>
        <w:t>National Readership Survey. Social Grade n.d. http://www.nrs.co.uk/nrs-print/lifestyle-and-classification-data/social-grade/ (accessed May 21, 2019).</w:t>
      </w:r>
    </w:p>
    <w:p w14:paraId="53B7E52A" w14:textId="77777777" w:rsidR="006C4B25" w:rsidRDefault="006C4B25" w:rsidP="006C4B25">
      <w:pPr>
        <w:pStyle w:val="Bibliography"/>
      </w:pPr>
      <w:r>
        <w:t>[44]</w:t>
      </w:r>
      <w:r>
        <w:tab/>
        <w:t>British Soft Drinks Association. 2018 Annual Report. 2019.</w:t>
      </w:r>
    </w:p>
    <w:p w14:paraId="50DF5040" w14:textId="77777777" w:rsidR="006C4B25" w:rsidRDefault="006C4B25" w:rsidP="006C4B25">
      <w:pPr>
        <w:pStyle w:val="Bibliography"/>
      </w:pPr>
      <w:r>
        <w:t>[45]</w:t>
      </w:r>
      <w:r>
        <w:tab/>
        <w:t>Public Health England. Sugar reduction: report on first year progress. 2018.</w:t>
      </w:r>
    </w:p>
    <w:p w14:paraId="221698D8" w14:textId="77777777" w:rsidR="006C4B25" w:rsidRDefault="006C4B25" w:rsidP="006C4B25">
      <w:pPr>
        <w:pStyle w:val="Bibliography"/>
      </w:pPr>
      <w:r>
        <w:t>[46]</w:t>
      </w:r>
      <w:r>
        <w:tab/>
        <w:t>Irn Bru panic as fans stockpile drink 2018. https://www.bbc.com/news/uk-scotland-glasgow-west-42565363 (accessed July 2, 2019).</w:t>
      </w:r>
    </w:p>
    <w:p w14:paraId="57F25808" w14:textId="77777777" w:rsidR="006C4B25" w:rsidRDefault="006C4B25" w:rsidP="006C4B25">
      <w:pPr>
        <w:pStyle w:val="Bibliography"/>
      </w:pPr>
      <w:r>
        <w:t>[47]</w:t>
      </w:r>
      <w:r>
        <w:tab/>
        <w:t>Wood Z. Coca-Cola to sell smaller bottles at higher prices in response to sugar tax. The Guardian 2018.</w:t>
      </w:r>
    </w:p>
    <w:p w14:paraId="07280247" w14:textId="77777777" w:rsidR="006C4B25" w:rsidRDefault="006C4B25" w:rsidP="006C4B25">
      <w:pPr>
        <w:pStyle w:val="Bibliography"/>
      </w:pPr>
      <w:r>
        <w:t>[48]</w:t>
      </w:r>
      <w:r>
        <w:tab/>
        <w:t>Do brands compete or coexist? How persistence of brand loyalty segments the market. Eur J Mark 2018. https://doi.org/10.1108/EJM-07-2018-0489.</w:t>
      </w:r>
    </w:p>
    <w:p w14:paraId="24EC0954" w14:textId="77777777" w:rsidR="006C4B25" w:rsidRDefault="006C4B25" w:rsidP="006C4B25">
      <w:pPr>
        <w:pStyle w:val="Bibliography"/>
      </w:pPr>
      <w:r>
        <w:t>[49]</w:t>
      </w:r>
      <w:r>
        <w:tab/>
        <w:t>Smith RD, Cornelsen L, Quirmbach D, Jebb SA, Marteau TM. Are sweet snacks more sensitive to price increases than sugar-sweetened beverages: analysis of British food purchase data. BMJ Open 2018;8:e019788. https://doi.org/10.1136/bmjopen-2017-019788.</w:t>
      </w:r>
    </w:p>
    <w:p w14:paraId="0E2EA373" w14:textId="77777777" w:rsidR="006C4B25" w:rsidRDefault="006C4B25" w:rsidP="006C4B25">
      <w:pPr>
        <w:pStyle w:val="Bibliography"/>
      </w:pPr>
      <w:r>
        <w:t>[50]</w:t>
      </w:r>
      <w:r>
        <w:tab/>
        <w:t>Appelhans BM, French SA, Tangney CC, Powell LM, Wang Y. To what extent do food purchases reflect shoppers’ diet quality and nutrient intake? Int J Behav Nutr Phys Act 2017;14. https://doi.org/10.1186/s12966-017-0502-2.</w:t>
      </w:r>
    </w:p>
    <w:p w14:paraId="2E4134A4" w14:textId="77777777" w:rsidR="006C4B25" w:rsidRDefault="006C4B25" w:rsidP="006C4B25">
      <w:pPr>
        <w:pStyle w:val="Bibliography"/>
      </w:pPr>
      <w:r>
        <w:t>[51]</w:t>
      </w:r>
      <w:r>
        <w:tab/>
        <w:t>Tedstone A, Anderson S, Allen R. Sugar reduction responding to the challenge. Lond Public Health Engl 2014.</w:t>
      </w:r>
    </w:p>
    <w:p w14:paraId="168D4475" w14:textId="77777777" w:rsidR="006C4B25" w:rsidRDefault="006C4B25" w:rsidP="006C4B25">
      <w:pPr>
        <w:pStyle w:val="Bibliography"/>
      </w:pPr>
      <w:r>
        <w:t>[52]</w:t>
      </w:r>
      <w:r>
        <w:tab/>
        <w:t>Calorie reduction: the scope and ambition for action. GOVUK n.d. https://www.gov.uk/government/publications/calorie-reduction-the-scope-and-ambition-for-action (accessed June 13, 2019).</w:t>
      </w:r>
    </w:p>
    <w:p w14:paraId="4487FDEB" w14:textId="77777777" w:rsidR="006C4B25" w:rsidRDefault="006C4B25" w:rsidP="006C4B25">
      <w:pPr>
        <w:pStyle w:val="Bibliography"/>
      </w:pPr>
      <w:r>
        <w:t>[53]</w:t>
      </w:r>
      <w:r>
        <w:tab/>
        <w:t>Childhood obesity: a plan for action. GOVUK n.d. https://www.gov.uk/government/publications/childhood-obesity-a-plan-for-action/childhood-obesity-a-plan-for-action (accessed June 13, 2019).</w:t>
      </w:r>
    </w:p>
    <w:p w14:paraId="3024E9CD" w14:textId="77777777" w:rsidR="006C4B25" w:rsidRDefault="006C4B25" w:rsidP="006C4B25">
      <w:pPr>
        <w:pStyle w:val="Bibliography"/>
      </w:pPr>
      <w:r>
        <w:t>[54]</w:t>
      </w:r>
      <w:r>
        <w:tab/>
        <w:t>Scientific Advisory Committee on Nutrition. Carbohydrates and Health Report. TSO; 2015.</w:t>
      </w:r>
    </w:p>
    <w:p w14:paraId="132A379D" w14:textId="77777777" w:rsidR="006C4B25" w:rsidRDefault="006C4B25" w:rsidP="006C4B25">
      <w:pPr>
        <w:pStyle w:val="Bibliography"/>
      </w:pPr>
      <w:r>
        <w:t>[55]</w:t>
      </w:r>
      <w:r>
        <w:tab/>
        <w:t>Vicki Cooper. Jamie’s Sugar Rush 2015. http://www.imdb.com/title/tt4966912/ (accessed August 30, 2019).</w:t>
      </w:r>
    </w:p>
    <w:p w14:paraId="55A44937" w14:textId="77777777" w:rsidR="006C4B25" w:rsidRDefault="006C4B25" w:rsidP="006C4B25">
      <w:pPr>
        <w:pStyle w:val="Bibliography"/>
      </w:pPr>
      <w:r>
        <w:t>[56]</w:t>
      </w:r>
      <w:r>
        <w:tab/>
        <w:t>Damon Gameau. That Sugar Film 2015. http://www.imdb.com/title/tt3892434/ (accessed August 30, 2019).</w:t>
      </w:r>
    </w:p>
    <w:p w14:paraId="5EE109A2" w14:textId="3E05E3F9" w:rsidR="005F07F1" w:rsidRDefault="006C4B25" w:rsidP="00AE6F97">
      <w:pPr>
        <w:tabs>
          <w:tab w:val="left" w:pos="384"/>
        </w:tabs>
        <w:spacing w:after="0" w:line="240" w:lineRule="auto"/>
        <w:ind w:left="384" w:hanging="384"/>
      </w:pPr>
      <w:r>
        <w:fldChar w:fldCharType="end"/>
      </w:r>
    </w:p>
    <w:p w14:paraId="0F14D1EA" w14:textId="77777777" w:rsidR="0021081B" w:rsidRDefault="0021081B" w:rsidP="0021081B">
      <w:pPr>
        <w:tabs>
          <w:tab w:val="left" w:pos="384"/>
        </w:tabs>
        <w:spacing w:after="0" w:line="240" w:lineRule="auto"/>
        <w:ind w:left="384" w:hanging="384"/>
      </w:pPr>
      <w:r>
        <w:lastRenderedPageBreak/>
        <w:t>List of legends</w:t>
      </w:r>
    </w:p>
    <w:p w14:paraId="2CC5C2DE" w14:textId="77777777" w:rsidR="0021081B" w:rsidRDefault="0021081B" w:rsidP="0021081B">
      <w:pPr>
        <w:tabs>
          <w:tab w:val="left" w:pos="384"/>
        </w:tabs>
        <w:spacing w:after="0" w:line="240" w:lineRule="auto"/>
        <w:ind w:left="384" w:hanging="384"/>
      </w:pPr>
    </w:p>
    <w:p w14:paraId="39D195B7" w14:textId="604B4794" w:rsidR="0021081B" w:rsidRDefault="0021081B" w:rsidP="0021081B">
      <w:pPr>
        <w:tabs>
          <w:tab w:val="left" w:pos="384"/>
        </w:tabs>
        <w:spacing w:after="0" w:line="240" w:lineRule="auto"/>
        <w:ind w:left="384" w:hanging="384"/>
      </w:pPr>
      <w:r>
        <w:t xml:space="preserve">S1 Checklist. </w:t>
      </w:r>
    </w:p>
    <w:p w14:paraId="386969DE" w14:textId="77777777" w:rsidR="0021081B" w:rsidRDefault="0021081B" w:rsidP="0021081B">
      <w:pPr>
        <w:tabs>
          <w:tab w:val="left" w:pos="384"/>
        </w:tabs>
        <w:spacing w:after="0" w:line="240" w:lineRule="auto"/>
        <w:ind w:left="384" w:hanging="384"/>
      </w:pPr>
      <w:r>
        <w:t>STROBE checklist of item that should be included in reports of cohort studies. (STROBE: Strengthening the Reporting of Observational Studies in Epidemiology)</w:t>
      </w:r>
    </w:p>
    <w:p w14:paraId="3F0F4210" w14:textId="77777777" w:rsidR="0021081B" w:rsidRDefault="0021081B" w:rsidP="0021081B">
      <w:pPr>
        <w:tabs>
          <w:tab w:val="left" w:pos="384"/>
        </w:tabs>
        <w:spacing w:after="0" w:line="240" w:lineRule="auto"/>
        <w:ind w:left="384" w:hanging="384"/>
      </w:pPr>
    </w:p>
    <w:p w14:paraId="4766468A" w14:textId="4BC223FF" w:rsidR="0021081B" w:rsidRDefault="0021081B" w:rsidP="0021081B">
      <w:pPr>
        <w:tabs>
          <w:tab w:val="left" w:pos="384"/>
        </w:tabs>
        <w:spacing w:after="0" w:line="240" w:lineRule="auto"/>
        <w:ind w:left="384" w:hanging="384"/>
      </w:pPr>
      <w:r>
        <w:t>S1 Text</w:t>
      </w:r>
    </w:p>
    <w:p w14:paraId="39ACF719" w14:textId="77777777" w:rsidR="0021081B" w:rsidRDefault="0021081B" w:rsidP="0021081B">
      <w:pPr>
        <w:spacing w:after="0" w:line="240" w:lineRule="auto"/>
        <w:jc w:val="both"/>
        <w:rPr>
          <w:rFonts w:ascii="Calibri" w:eastAsia="Calibri" w:hAnsi="Calibri" w:cs="Times New Roman"/>
        </w:rPr>
      </w:pPr>
      <w:r>
        <w:rPr>
          <w:rFonts w:ascii="Calibri" w:eastAsia="Calibri" w:hAnsi="Calibri" w:cs="Times New Roman"/>
        </w:rPr>
        <w:t>Demographic characteristics of Kantar Worldpanel households from March 2014 – March 2018 (weighted)</w:t>
      </w:r>
    </w:p>
    <w:p w14:paraId="3B904131" w14:textId="77777777" w:rsidR="0021081B" w:rsidRDefault="0021081B" w:rsidP="0021081B">
      <w:pPr>
        <w:spacing w:after="0" w:line="240" w:lineRule="auto"/>
        <w:jc w:val="both"/>
        <w:rPr>
          <w:rFonts w:ascii="Calibri" w:eastAsia="Calibri" w:hAnsi="Calibri" w:cs="Times New Roman"/>
        </w:rPr>
      </w:pPr>
    </w:p>
    <w:p w14:paraId="2821B6BD" w14:textId="41C9A917" w:rsidR="0021081B" w:rsidRDefault="0021081B" w:rsidP="0021081B">
      <w:pPr>
        <w:tabs>
          <w:tab w:val="left" w:pos="384"/>
        </w:tabs>
        <w:spacing w:after="0" w:line="240" w:lineRule="auto"/>
        <w:ind w:left="384" w:hanging="384"/>
      </w:pPr>
      <w:r>
        <w:t>S1 Fig Observed and modelled volume of drinks liable to the Soft Drinks Industry Levy and weight of confectionery purchased per household per week, March 2014- March 2018</w:t>
      </w:r>
    </w:p>
    <w:p w14:paraId="306C4482" w14:textId="77777777" w:rsidR="0021081B" w:rsidRDefault="0021081B" w:rsidP="0021081B">
      <w:pPr>
        <w:tabs>
          <w:tab w:val="left" w:pos="384"/>
        </w:tabs>
        <w:spacing w:after="0" w:line="240" w:lineRule="auto"/>
        <w:ind w:left="384" w:hanging="384"/>
      </w:pPr>
    </w:p>
    <w:p w14:paraId="448CEC85" w14:textId="77777777" w:rsidR="0021081B" w:rsidRDefault="0021081B" w:rsidP="0021081B">
      <w:pPr>
        <w:tabs>
          <w:tab w:val="left" w:pos="384"/>
        </w:tabs>
        <w:spacing w:after="0" w:line="240" w:lineRule="auto"/>
        <w:ind w:left="384" w:hanging="384"/>
      </w:pPr>
      <w:r>
        <w:t>Notes. Points are observed data, coloured lines are modelled data; the vertical line indicates the point of announcement; Y-axis vary between panels to maximise the resolution of figures; modelled purchases are presented as straight lines, but include all adjustments as described in the methods section; modelled post-announcement counterfactual lines may not be contiguous with modelled pre-announcement lines due to the effects of controlling for toiletries</w:t>
      </w:r>
    </w:p>
    <w:p w14:paraId="6D5A741E" w14:textId="77777777" w:rsidR="0021081B" w:rsidRDefault="0021081B" w:rsidP="0021081B">
      <w:pPr>
        <w:tabs>
          <w:tab w:val="left" w:pos="384"/>
        </w:tabs>
        <w:spacing w:after="0" w:line="240" w:lineRule="auto"/>
        <w:ind w:left="384" w:hanging="384"/>
      </w:pPr>
    </w:p>
    <w:p w14:paraId="42259FE1" w14:textId="4CFE6F3E" w:rsidR="0021081B" w:rsidRDefault="0021081B" w:rsidP="0021081B">
      <w:pPr>
        <w:tabs>
          <w:tab w:val="left" w:pos="384"/>
        </w:tabs>
        <w:spacing w:after="0" w:line="240" w:lineRule="auto"/>
        <w:ind w:left="384" w:hanging="384"/>
      </w:pPr>
      <w:r>
        <w:t>S2 Fig Observed and modelled amount of sugar in drinks liable to the Soft Drinks Industry Levy and confectionery purchased per household per week, March</w:t>
      </w:r>
      <w:r w:rsidRPr="00234C81">
        <w:t xml:space="preserve"> 2014- March 2018</w:t>
      </w:r>
    </w:p>
    <w:p w14:paraId="387353AE" w14:textId="77777777" w:rsidR="0021081B" w:rsidRDefault="0021081B" w:rsidP="0021081B">
      <w:pPr>
        <w:tabs>
          <w:tab w:val="left" w:pos="384"/>
        </w:tabs>
        <w:spacing w:after="0" w:line="240" w:lineRule="auto"/>
        <w:ind w:left="384" w:hanging="384"/>
      </w:pPr>
    </w:p>
    <w:p w14:paraId="3B5E04FD" w14:textId="77777777" w:rsidR="0021081B" w:rsidRDefault="0021081B" w:rsidP="0021081B">
      <w:pPr>
        <w:tabs>
          <w:tab w:val="left" w:pos="384"/>
        </w:tabs>
        <w:spacing w:after="0" w:line="240" w:lineRule="auto"/>
        <w:ind w:left="384" w:hanging="384"/>
      </w:pPr>
      <w:r>
        <w:t>Notes. Points are observed data, coloured lines are modelled data; the vertical line indicates the point of announcement; Y-axis vary between panels to maximise the resolution of figures; modelled purchases are presented as straight lines, but include all adjustments as described in the methods section; modelled post-announcement counterfactual lines may not be contiguous with modelled pre-announcement lines due to the effects of controlling for toiletries</w:t>
      </w:r>
    </w:p>
    <w:p w14:paraId="20F24264" w14:textId="77777777" w:rsidR="0021081B" w:rsidRDefault="0021081B" w:rsidP="0021081B">
      <w:pPr>
        <w:tabs>
          <w:tab w:val="left" w:pos="384"/>
        </w:tabs>
        <w:spacing w:after="0" w:line="240" w:lineRule="auto"/>
        <w:ind w:left="384" w:hanging="384"/>
      </w:pPr>
    </w:p>
    <w:p w14:paraId="08E9C010" w14:textId="2EED3753" w:rsidR="0021081B" w:rsidRDefault="0021081B" w:rsidP="0021081B">
      <w:pPr>
        <w:tabs>
          <w:tab w:val="left" w:pos="384"/>
        </w:tabs>
        <w:spacing w:after="0" w:line="240" w:lineRule="auto"/>
        <w:ind w:left="384" w:hanging="384"/>
      </w:pPr>
      <w:r>
        <w:t xml:space="preserve">S2 Text </w:t>
      </w:r>
    </w:p>
    <w:p w14:paraId="0A79CF1A" w14:textId="77777777" w:rsidR="0021081B" w:rsidRPr="00922290" w:rsidRDefault="0021081B" w:rsidP="0021081B">
      <w:pPr>
        <w:tabs>
          <w:tab w:val="left" w:pos="384"/>
        </w:tabs>
        <w:spacing w:after="0" w:line="240" w:lineRule="auto"/>
        <w:ind w:left="384" w:hanging="384"/>
        <w:rPr>
          <w:i/>
        </w:rPr>
      </w:pPr>
      <w:r w:rsidRPr="00922290">
        <w:rPr>
          <w:i/>
        </w:rPr>
        <w:t>Additional drinks categories</w:t>
      </w:r>
    </w:p>
    <w:p w14:paraId="7E0ACF24" w14:textId="77777777" w:rsidR="0021081B" w:rsidRDefault="0021081B" w:rsidP="0021081B">
      <w:pPr>
        <w:tabs>
          <w:tab w:val="left" w:pos="384"/>
        </w:tabs>
        <w:spacing w:after="0" w:line="240" w:lineRule="auto"/>
        <w:ind w:left="384" w:hanging="384"/>
      </w:pPr>
    </w:p>
    <w:p w14:paraId="7FB988D7" w14:textId="3108F67F" w:rsidR="0021081B" w:rsidRDefault="0021081B" w:rsidP="0021081B">
      <w:pPr>
        <w:tabs>
          <w:tab w:val="left" w:pos="384"/>
        </w:tabs>
        <w:spacing w:after="0" w:line="240" w:lineRule="auto"/>
        <w:ind w:left="384" w:hanging="384"/>
      </w:pPr>
      <w:r>
        <w:t>S3 Text</w:t>
      </w:r>
    </w:p>
    <w:p w14:paraId="0BC3AE8C" w14:textId="77777777" w:rsidR="0021081B" w:rsidRPr="00922290" w:rsidRDefault="0021081B" w:rsidP="0021081B">
      <w:pPr>
        <w:tabs>
          <w:tab w:val="left" w:pos="384"/>
        </w:tabs>
        <w:spacing w:after="0" w:line="240" w:lineRule="auto"/>
        <w:ind w:left="384" w:hanging="384"/>
        <w:rPr>
          <w:i/>
        </w:rPr>
      </w:pPr>
      <w:r w:rsidRPr="00922290">
        <w:rPr>
          <w:i/>
        </w:rPr>
        <w:t>Sensitivity analysis 1: Exemptions for small manufacturers and producers</w:t>
      </w:r>
    </w:p>
    <w:p w14:paraId="6D0BEFDF" w14:textId="77777777" w:rsidR="0021081B" w:rsidRDefault="0021081B" w:rsidP="0021081B">
      <w:pPr>
        <w:tabs>
          <w:tab w:val="left" w:pos="384"/>
        </w:tabs>
        <w:spacing w:after="0" w:line="240" w:lineRule="auto"/>
      </w:pPr>
    </w:p>
    <w:p w14:paraId="7DFE34FF" w14:textId="1C34C1A5" w:rsidR="0021081B" w:rsidRDefault="0021081B" w:rsidP="0021081B">
      <w:pPr>
        <w:tabs>
          <w:tab w:val="left" w:pos="384"/>
        </w:tabs>
        <w:spacing w:after="0" w:line="240" w:lineRule="auto"/>
        <w:ind w:left="384" w:hanging="384"/>
      </w:pPr>
      <w:r>
        <w:t>S4 Text</w:t>
      </w:r>
    </w:p>
    <w:p w14:paraId="1C440590" w14:textId="77777777" w:rsidR="0021081B" w:rsidRPr="00922290" w:rsidRDefault="0021081B" w:rsidP="0021081B">
      <w:pPr>
        <w:spacing w:after="0" w:line="240" w:lineRule="auto"/>
        <w:jc w:val="both"/>
        <w:rPr>
          <w:i/>
        </w:rPr>
      </w:pPr>
      <w:r w:rsidRPr="00922290">
        <w:rPr>
          <w:i/>
        </w:rPr>
        <w:t>Sensitivity analysis 2: Combining drinks categories</w:t>
      </w:r>
    </w:p>
    <w:p w14:paraId="78962094" w14:textId="77777777" w:rsidR="0021081B" w:rsidRDefault="0021081B" w:rsidP="0021081B">
      <w:pPr>
        <w:spacing w:after="0" w:line="240" w:lineRule="auto"/>
        <w:jc w:val="both"/>
        <w:rPr>
          <w:b/>
          <w:i/>
        </w:rPr>
      </w:pPr>
    </w:p>
    <w:p w14:paraId="326CC19B" w14:textId="108C5066" w:rsidR="0021081B" w:rsidRDefault="0021081B" w:rsidP="0021081B">
      <w:pPr>
        <w:spacing w:after="0" w:line="240" w:lineRule="auto"/>
        <w:jc w:val="both"/>
      </w:pPr>
      <w:r>
        <w:t>S5 Text</w:t>
      </w:r>
    </w:p>
    <w:p w14:paraId="114C2A42" w14:textId="77777777" w:rsidR="0021081B" w:rsidRPr="00922290" w:rsidRDefault="0021081B" w:rsidP="0021081B">
      <w:pPr>
        <w:spacing w:after="0" w:line="240" w:lineRule="auto"/>
        <w:jc w:val="both"/>
      </w:pPr>
      <w:r w:rsidRPr="00922290">
        <w:rPr>
          <w:i/>
        </w:rPr>
        <w:t>Sensitivity analysis 3: Uncontrolled interrupted time series analysis</w:t>
      </w:r>
      <w:bookmarkStart w:id="0" w:name="_GoBack"/>
      <w:bookmarkEnd w:id="0"/>
    </w:p>
    <w:p w14:paraId="31FDDC60" w14:textId="77777777" w:rsidR="0021081B" w:rsidRDefault="0021081B" w:rsidP="0021081B">
      <w:pPr>
        <w:tabs>
          <w:tab w:val="left" w:pos="384"/>
        </w:tabs>
        <w:spacing w:after="0" w:line="240" w:lineRule="auto"/>
        <w:ind w:left="384" w:hanging="384"/>
      </w:pPr>
    </w:p>
    <w:p w14:paraId="72FC23C4" w14:textId="6D24C0F7" w:rsidR="0021081B" w:rsidRDefault="0021081B" w:rsidP="0021081B">
      <w:pPr>
        <w:tabs>
          <w:tab w:val="left" w:pos="384"/>
        </w:tabs>
        <w:spacing w:after="0" w:line="240" w:lineRule="auto"/>
        <w:ind w:left="384" w:hanging="384"/>
      </w:pPr>
      <w:r>
        <w:t>S6 Text</w:t>
      </w:r>
    </w:p>
    <w:p w14:paraId="4DF50EB0" w14:textId="77777777" w:rsidR="0021081B" w:rsidRPr="00922290" w:rsidRDefault="0021081B" w:rsidP="0021081B">
      <w:pPr>
        <w:spacing w:after="0" w:line="240" w:lineRule="auto"/>
        <w:jc w:val="both"/>
        <w:rPr>
          <w:i/>
        </w:rPr>
      </w:pPr>
      <w:r w:rsidRPr="00922290">
        <w:rPr>
          <w:i/>
        </w:rPr>
        <w:t>Validity checks of data on sugar content of drinks</w:t>
      </w:r>
    </w:p>
    <w:p w14:paraId="4D4152C6" w14:textId="77777777" w:rsidR="0021081B" w:rsidRDefault="0021081B" w:rsidP="0021081B">
      <w:pPr>
        <w:tabs>
          <w:tab w:val="left" w:pos="384"/>
        </w:tabs>
        <w:spacing w:after="0" w:line="240" w:lineRule="auto"/>
        <w:ind w:left="384" w:hanging="384"/>
      </w:pPr>
    </w:p>
    <w:p w14:paraId="5E1151CA" w14:textId="6B62857E" w:rsidR="0021081B" w:rsidRDefault="0021081B" w:rsidP="0021081B">
      <w:pPr>
        <w:tabs>
          <w:tab w:val="left" w:pos="384"/>
        </w:tabs>
        <w:spacing w:after="0" w:line="240" w:lineRule="auto"/>
        <w:ind w:left="384" w:hanging="384"/>
      </w:pPr>
      <w:r>
        <w:t>S3 Fig Agreement between nutritional information reported by KWP and that collected from archived and current supermarket and manufacturer data collected by Archive.org</w:t>
      </w:r>
    </w:p>
    <w:p w14:paraId="164C7491" w14:textId="3E0D4F7F" w:rsidR="0021081B" w:rsidRDefault="0021081B" w:rsidP="00AE6F97">
      <w:pPr>
        <w:tabs>
          <w:tab w:val="left" w:pos="384"/>
        </w:tabs>
        <w:spacing w:after="0" w:line="240" w:lineRule="auto"/>
        <w:rPr>
          <w:b/>
        </w:rPr>
      </w:pPr>
    </w:p>
    <w:p w14:paraId="1FAF99D9" w14:textId="58FC668E" w:rsidR="00BF2D5F" w:rsidRPr="00E20B70" w:rsidRDefault="00BF2D5F" w:rsidP="00AE6F97">
      <w:pPr>
        <w:tabs>
          <w:tab w:val="left" w:pos="384"/>
        </w:tabs>
        <w:spacing w:after="0" w:line="240" w:lineRule="auto"/>
        <w:rPr>
          <w:b/>
        </w:rPr>
      </w:pPr>
      <w:r w:rsidRPr="00E20B70">
        <w:rPr>
          <w:b/>
        </w:rPr>
        <w:t>Acknowledgements</w:t>
      </w:r>
    </w:p>
    <w:p w14:paraId="65BBE361" w14:textId="77777777" w:rsidR="00BF2D5F" w:rsidRPr="00E20B70" w:rsidRDefault="00BF2D5F" w:rsidP="00AE6F97">
      <w:pPr>
        <w:tabs>
          <w:tab w:val="left" w:pos="384"/>
        </w:tabs>
        <w:spacing w:after="0" w:line="240" w:lineRule="auto"/>
      </w:pPr>
    </w:p>
    <w:p w14:paraId="65F72B60" w14:textId="4735604A" w:rsidR="00BF2D5F" w:rsidRPr="00E20B70" w:rsidRDefault="00BF2D5F" w:rsidP="00AE6F97">
      <w:pPr>
        <w:tabs>
          <w:tab w:val="left" w:pos="384"/>
        </w:tabs>
        <w:spacing w:after="0" w:line="240" w:lineRule="auto"/>
      </w:pPr>
      <w:r w:rsidRPr="00E20B70">
        <w:t>The views expressed are those of the authors and not necessarily those of the National Health Service, the NIHR, or the Department of Health and Social Care, UK. The funders had no role in study design, data collection and analysis, decision to publish, or preparation of the manuscript.</w:t>
      </w:r>
    </w:p>
    <w:sectPr w:rsidR="00BF2D5F" w:rsidRPr="00E20B70" w:rsidSect="009450E5">
      <w:type w:val="continuous"/>
      <w:pgSz w:w="11906" w:h="16838"/>
      <w:pgMar w:top="1440" w:right="1440" w:bottom="1440" w:left="1440" w:header="709" w:footer="709" w:gutter="0"/>
      <w:lnNumType w:countBy="1" w:restart="continuous"/>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33BCD0B" w16cid:durableId="221A5B90"/>
  <w16cid:commentId w16cid:paraId="216352C3" w16cid:durableId="221A310D"/>
  <w16cid:commentId w16cid:paraId="735236CE" w16cid:durableId="221A280F"/>
  <w16cid:commentId w16cid:paraId="50A83C98" w16cid:durableId="221A5D0E"/>
  <w16cid:commentId w16cid:paraId="5952EF24" w16cid:durableId="221A2810"/>
  <w16cid:commentId w16cid:paraId="269E2F3C" w16cid:durableId="221A5FD5"/>
  <w16cid:commentId w16cid:paraId="44C4D5E7" w16cid:durableId="221A6173"/>
  <w16cid:commentId w16cid:paraId="1DC2D3A2" w16cid:durableId="221A2811"/>
  <w16cid:commentId w16cid:paraId="6CE38B33" w16cid:durableId="221A58B0"/>
  <w16cid:commentId w16cid:paraId="4D39768F" w16cid:durableId="221A3219"/>
  <w16cid:commentId w16cid:paraId="057B46DE" w16cid:durableId="221A668E"/>
  <w16cid:commentId w16cid:paraId="12484981" w16cid:durableId="221A63AA"/>
  <w16cid:commentId w16cid:paraId="14090F78" w16cid:durableId="221A6732"/>
  <w16cid:commentId w16cid:paraId="08A97A54" w16cid:durableId="221A67D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7076D9" w14:textId="77777777" w:rsidR="000F05A4" w:rsidRDefault="000F05A4" w:rsidP="00361D5A">
      <w:pPr>
        <w:spacing w:after="0" w:line="240" w:lineRule="auto"/>
      </w:pPr>
      <w:r>
        <w:separator/>
      </w:r>
    </w:p>
  </w:endnote>
  <w:endnote w:type="continuationSeparator" w:id="0">
    <w:p w14:paraId="5B08D842" w14:textId="77777777" w:rsidR="000F05A4" w:rsidRDefault="000F05A4" w:rsidP="00361D5A">
      <w:pPr>
        <w:spacing w:after="0" w:line="240" w:lineRule="auto"/>
      </w:pPr>
      <w:r>
        <w:continuationSeparator/>
      </w:r>
    </w:p>
  </w:endnote>
  <w:endnote w:type="continuationNotice" w:id="1">
    <w:p w14:paraId="7C875D5A" w14:textId="77777777" w:rsidR="000F05A4" w:rsidRDefault="000F05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468408"/>
      <w:docPartObj>
        <w:docPartGallery w:val="Page Numbers (Bottom of Page)"/>
        <w:docPartUnique/>
      </w:docPartObj>
    </w:sdtPr>
    <w:sdtEndPr>
      <w:rPr>
        <w:noProof/>
      </w:rPr>
    </w:sdtEndPr>
    <w:sdtContent>
      <w:p w14:paraId="504C7CB2" w14:textId="384FEE9E" w:rsidR="00BF707D" w:rsidRDefault="00BF707D">
        <w:pPr>
          <w:pStyle w:val="Footer"/>
          <w:jc w:val="center"/>
        </w:pPr>
        <w:r>
          <w:fldChar w:fldCharType="begin"/>
        </w:r>
        <w:r>
          <w:instrText xml:space="preserve"> PAGE   \* MERGEFORMAT </w:instrText>
        </w:r>
        <w:r>
          <w:fldChar w:fldCharType="separate"/>
        </w:r>
        <w:r w:rsidR="00E20B70">
          <w:rPr>
            <w:noProof/>
          </w:rPr>
          <w:t>29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3767F3" w14:textId="77777777" w:rsidR="000F05A4" w:rsidRDefault="000F05A4" w:rsidP="00361D5A">
      <w:pPr>
        <w:spacing w:after="0" w:line="240" w:lineRule="auto"/>
      </w:pPr>
      <w:r>
        <w:separator/>
      </w:r>
    </w:p>
  </w:footnote>
  <w:footnote w:type="continuationSeparator" w:id="0">
    <w:p w14:paraId="4494FD62" w14:textId="77777777" w:rsidR="000F05A4" w:rsidRDefault="000F05A4" w:rsidP="00361D5A">
      <w:pPr>
        <w:spacing w:after="0" w:line="240" w:lineRule="auto"/>
      </w:pPr>
      <w:r>
        <w:continuationSeparator/>
      </w:r>
    </w:p>
  </w:footnote>
  <w:footnote w:type="continuationNotice" w:id="1">
    <w:p w14:paraId="22F384D9" w14:textId="77777777" w:rsidR="000F05A4" w:rsidRDefault="000F05A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3623F"/>
    <w:multiLevelType w:val="hybridMultilevel"/>
    <w:tmpl w:val="557E1C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312A71"/>
    <w:multiLevelType w:val="hybridMultilevel"/>
    <w:tmpl w:val="FD22A3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803D04"/>
    <w:multiLevelType w:val="hybridMultilevel"/>
    <w:tmpl w:val="D8446B9E"/>
    <w:lvl w:ilvl="0" w:tplc="1ECA8A66">
      <w:start w:val="6"/>
      <w:numFmt w:val="bullet"/>
      <w:lvlText w:val="-"/>
      <w:lvlJc w:val="left"/>
      <w:pPr>
        <w:ind w:left="405" w:hanging="360"/>
      </w:pPr>
      <w:rPr>
        <w:rFonts w:ascii="Calibri" w:eastAsiaTheme="minorHAnsi" w:hAnsi="Calibri" w:cstheme="minorBid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3" w15:restartNumberingAfterBreak="0">
    <w:nsid w:val="226A080E"/>
    <w:multiLevelType w:val="hybridMultilevel"/>
    <w:tmpl w:val="5E3A526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5853D8"/>
    <w:multiLevelType w:val="hybridMultilevel"/>
    <w:tmpl w:val="B3A67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F61CC4"/>
    <w:multiLevelType w:val="hybridMultilevel"/>
    <w:tmpl w:val="9198F83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D35650E"/>
    <w:multiLevelType w:val="hybridMultilevel"/>
    <w:tmpl w:val="F10E69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37176F5"/>
    <w:multiLevelType w:val="hybridMultilevel"/>
    <w:tmpl w:val="E0FA51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BB669C"/>
    <w:multiLevelType w:val="hybridMultilevel"/>
    <w:tmpl w:val="2A460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951E14"/>
    <w:multiLevelType w:val="hybridMultilevel"/>
    <w:tmpl w:val="2828F5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5BD370D6"/>
    <w:multiLevelType w:val="hybridMultilevel"/>
    <w:tmpl w:val="7EF88E56"/>
    <w:lvl w:ilvl="0" w:tplc="3800C3AE">
      <w:start w:val="28"/>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22618C4"/>
    <w:multiLevelType w:val="hybridMultilevel"/>
    <w:tmpl w:val="B2A625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4B187E"/>
    <w:multiLevelType w:val="hybridMultilevel"/>
    <w:tmpl w:val="AAFE5E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550686"/>
    <w:multiLevelType w:val="hybridMultilevel"/>
    <w:tmpl w:val="E7AE7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560B87"/>
    <w:multiLevelType w:val="hybridMultilevel"/>
    <w:tmpl w:val="570489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9D718F"/>
    <w:multiLevelType w:val="hybridMultilevel"/>
    <w:tmpl w:val="B28C31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11"/>
  </w:num>
  <w:num w:numId="4">
    <w:abstractNumId w:val="14"/>
  </w:num>
  <w:num w:numId="5">
    <w:abstractNumId w:val="3"/>
  </w:num>
  <w:num w:numId="6">
    <w:abstractNumId w:val="2"/>
  </w:num>
  <w:num w:numId="7">
    <w:abstractNumId w:val="4"/>
  </w:num>
  <w:num w:numId="8">
    <w:abstractNumId w:val="15"/>
  </w:num>
  <w:num w:numId="9">
    <w:abstractNumId w:val="7"/>
  </w:num>
  <w:num w:numId="10">
    <w:abstractNumId w:val="8"/>
  </w:num>
  <w:num w:numId="11">
    <w:abstractNumId w:val="9"/>
  </w:num>
  <w:num w:numId="12">
    <w:abstractNumId w:val="5"/>
  </w:num>
  <w:num w:numId="13">
    <w:abstractNumId w:val="13"/>
  </w:num>
  <w:num w:numId="14">
    <w:abstractNumId w:val="1"/>
  </w:num>
  <w:num w:numId="15">
    <w:abstractNumId w:val="6"/>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ctiveWritingStyle w:appName="MSWord" w:lang="fr-FR" w:vendorID="64" w:dllVersion="6" w:nlCheck="1" w:checkStyle="0"/>
  <w:activeWritingStyle w:appName="MSWord" w:lang="en-GB"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en-US" w:vendorID="64" w:dllVersion="6" w:nlCheck="1" w:checkStyle="1"/>
  <w:activeWritingStyle w:appName="MSWord" w:lang="en-GB" w:vendorID="64" w:dllVersion="131078" w:nlCheck="1" w:checkStyle="1"/>
  <w:activeWritingStyle w:appName="MSWord" w:lang="fr-FR" w:vendorID="64" w:dllVersion="131078" w:nlCheck="1" w:checkStyle="0"/>
  <w:activeWritingStyle w:appName="MSWord" w:lang="en-US" w:vendorID="64" w:dllVersion="131078" w:nlCheck="1" w:checkStyle="1"/>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F32"/>
    <w:rsid w:val="00001393"/>
    <w:rsid w:val="00001814"/>
    <w:rsid w:val="00004BF8"/>
    <w:rsid w:val="00005865"/>
    <w:rsid w:val="000105DD"/>
    <w:rsid w:val="00010BA9"/>
    <w:rsid w:val="00012EFF"/>
    <w:rsid w:val="00012F86"/>
    <w:rsid w:val="0001339B"/>
    <w:rsid w:val="00022643"/>
    <w:rsid w:val="000235F0"/>
    <w:rsid w:val="0002767D"/>
    <w:rsid w:val="00027F9A"/>
    <w:rsid w:val="00030445"/>
    <w:rsid w:val="000331B5"/>
    <w:rsid w:val="00041B54"/>
    <w:rsid w:val="000446A1"/>
    <w:rsid w:val="000457A4"/>
    <w:rsid w:val="00045FB7"/>
    <w:rsid w:val="00047F6E"/>
    <w:rsid w:val="00051197"/>
    <w:rsid w:val="00053BC6"/>
    <w:rsid w:val="000562E1"/>
    <w:rsid w:val="00057592"/>
    <w:rsid w:val="00057609"/>
    <w:rsid w:val="00062AE0"/>
    <w:rsid w:val="00064205"/>
    <w:rsid w:val="00070086"/>
    <w:rsid w:val="00070571"/>
    <w:rsid w:val="000708AD"/>
    <w:rsid w:val="00070C9E"/>
    <w:rsid w:val="0007498A"/>
    <w:rsid w:val="00075E12"/>
    <w:rsid w:val="00080D7C"/>
    <w:rsid w:val="00084396"/>
    <w:rsid w:val="00085E11"/>
    <w:rsid w:val="00086876"/>
    <w:rsid w:val="00092FE2"/>
    <w:rsid w:val="000937E3"/>
    <w:rsid w:val="00095A45"/>
    <w:rsid w:val="00095D1E"/>
    <w:rsid w:val="00096019"/>
    <w:rsid w:val="000A118F"/>
    <w:rsid w:val="000A3033"/>
    <w:rsid w:val="000A30DD"/>
    <w:rsid w:val="000A363C"/>
    <w:rsid w:val="000A749B"/>
    <w:rsid w:val="000A7DDD"/>
    <w:rsid w:val="000B0519"/>
    <w:rsid w:val="000B29EC"/>
    <w:rsid w:val="000B3132"/>
    <w:rsid w:val="000B3483"/>
    <w:rsid w:val="000B4D84"/>
    <w:rsid w:val="000B7713"/>
    <w:rsid w:val="000C1AC1"/>
    <w:rsid w:val="000C2855"/>
    <w:rsid w:val="000C4C01"/>
    <w:rsid w:val="000C4F1D"/>
    <w:rsid w:val="000C6133"/>
    <w:rsid w:val="000C7CC9"/>
    <w:rsid w:val="000C7EDB"/>
    <w:rsid w:val="000D0FE4"/>
    <w:rsid w:val="000D1641"/>
    <w:rsid w:val="000D4C16"/>
    <w:rsid w:val="000D5384"/>
    <w:rsid w:val="000D74B1"/>
    <w:rsid w:val="000E180F"/>
    <w:rsid w:val="000E462A"/>
    <w:rsid w:val="000E571C"/>
    <w:rsid w:val="000F05A4"/>
    <w:rsid w:val="000F09AC"/>
    <w:rsid w:val="000F0BCD"/>
    <w:rsid w:val="000F1C49"/>
    <w:rsid w:val="000F1E85"/>
    <w:rsid w:val="000F3428"/>
    <w:rsid w:val="000F4804"/>
    <w:rsid w:val="000F67B3"/>
    <w:rsid w:val="000F6E7E"/>
    <w:rsid w:val="00103ECD"/>
    <w:rsid w:val="001045B1"/>
    <w:rsid w:val="001060A1"/>
    <w:rsid w:val="00106F48"/>
    <w:rsid w:val="00107868"/>
    <w:rsid w:val="001116DF"/>
    <w:rsid w:val="001130CE"/>
    <w:rsid w:val="00113664"/>
    <w:rsid w:val="00116C5E"/>
    <w:rsid w:val="00120221"/>
    <w:rsid w:val="00121501"/>
    <w:rsid w:val="00121BB4"/>
    <w:rsid w:val="0013093E"/>
    <w:rsid w:val="00130DA6"/>
    <w:rsid w:val="00133D14"/>
    <w:rsid w:val="00136151"/>
    <w:rsid w:val="001409B1"/>
    <w:rsid w:val="00140ABE"/>
    <w:rsid w:val="00141159"/>
    <w:rsid w:val="001423FA"/>
    <w:rsid w:val="00146F1A"/>
    <w:rsid w:val="00147E42"/>
    <w:rsid w:val="001535F0"/>
    <w:rsid w:val="00155D28"/>
    <w:rsid w:val="0015717F"/>
    <w:rsid w:val="00160BB5"/>
    <w:rsid w:val="00161334"/>
    <w:rsid w:val="00162A2E"/>
    <w:rsid w:val="00166027"/>
    <w:rsid w:val="0016606A"/>
    <w:rsid w:val="00167476"/>
    <w:rsid w:val="00167DA4"/>
    <w:rsid w:val="00173E5B"/>
    <w:rsid w:val="00176F63"/>
    <w:rsid w:val="00177005"/>
    <w:rsid w:val="00180882"/>
    <w:rsid w:val="001812C3"/>
    <w:rsid w:val="00182B7E"/>
    <w:rsid w:val="00185CA1"/>
    <w:rsid w:val="001866BF"/>
    <w:rsid w:val="00187B43"/>
    <w:rsid w:val="0019020A"/>
    <w:rsid w:val="00191534"/>
    <w:rsid w:val="00191DC1"/>
    <w:rsid w:val="00192F9F"/>
    <w:rsid w:val="00194978"/>
    <w:rsid w:val="00195182"/>
    <w:rsid w:val="00197374"/>
    <w:rsid w:val="001A29FE"/>
    <w:rsid w:val="001A37CD"/>
    <w:rsid w:val="001A650B"/>
    <w:rsid w:val="001A785D"/>
    <w:rsid w:val="001B0331"/>
    <w:rsid w:val="001B273C"/>
    <w:rsid w:val="001B544E"/>
    <w:rsid w:val="001B5B0F"/>
    <w:rsid w:val="001B5E88"/>
    <w:rsid w:val="001B78E1"/>
    <w:rsid w:val="001C1B15"/>
    <w:rsid w:val="001C27E3"/>
    <w:rsid w:val="001C2C98"/>
    <w:rsid w:val="001C2CDC"/>
    <w:rsid w:val="001C3424"/>
    <w:rsid w:val="001C5983"/>
    <w:rsid w:val="001C7C80"/>
    <w:rsid w:val="001D0685"/>
    <w:rsid w:val="001D16D5"/>
    <w:rsid w:val="001E10FE"/>
    <w:rsid w:val="001E1B5B"/>
    <w:rsid w:val="001E3E44"/>
    <w:rsid w:val="001E3E7E"/>
    <w:rsid w:val="001E46E0"/>
    <w:rsid w:val="001E47A0"/>
    <w:rsid w:val="001E4879"/>
    <w:rsid w:val="001E6DBD"/>
    <w:rsid w:val="001F022D"/>
    <w:rsid w:val="001F1E9A"/>
    <w:rsid w:val="001F56BC"/>
    <w:rsid w:val="001F7268"/>
    <w:rsid w:val="00201DCA"/>
    <w:rsid w:val="00203F34"/>
    <w:rsid w:val="00207BA0"/>
    <w:rsid w:val="0021081B"/>
    <w:rsid w:val="00211EF5"/>
    <w:rsid w:val="002126B1"/>
    <w:rsid w:val="00213A6F"/>
    <w:rsid w:val="002173A8"/>
    <w:rsid w:val="002178DA"/>
    <w:rsid w:val="00225146"/>
    <w:rsid w:val="00225530"/>
    <w:rsid w:val="002259EB"/>
    <w:rsid w:val="00225B40"/>
    <w:rsid w:val="00227FCA"/>
    <w:rsid w:val="00231240"/>
    <w:rsid w:val="0023198A"/>
    <w:rsid w:val="002339F9"/>
    <w:rsid w:val="00233CB8"/>
    <w:rsid w:val="00234C81"/>
    <w:rsid w:val="002351E3"/>
    <w:rsid w:val="002432E3"/>
    <w:rsid w:val="00245400"/>
    <w:rsid w:val="0024549E"/>
    <w:rsid w:val="00252533"/>
    <w:rsid w:val="0025382B"/>
    <w:rsid w:val="00253BE5"/>
    <w:rsid w:val="002540A9"/>
    <w:rsid w:val="00257FFE"/>
    <w:rsid w:val="002603D5"/>
    <w:rsid w:val="00261BDE"/>
    <w:rsid w:val="00262775"/>
    <w:rsid w:val="00262D96"/>
    <w:rsid w:val="00262E7A"/>
    <w:rsid w:val="00266A38"/>
    <w:rsid w:val="00266BE7"/>
    <w:rsid w:val="00267BC8"/>
    <w:rsid w:val="00267EE6"/>
    <w:rsid w:val="00270FF1"/>
    <w:rsid w:val="00271116"/>
    <w:rsid w:val="0027301D"/>
    <w:rsid w:val="002731A5"/>
    <w:rsid w:val="00273974"/>
    <w:rsid w:val="00275BAF"/>
    <w:rsid w:val="002766B4"/>
    <w:rsid w:val="00276E57"/>
    <w:rsid w:val="00282D87"/>
    <w:rsid w:val="00286652"/>
    <w:rsid w:val="00286CE9"/>
    <w:rsid w:val="002870F7"/>
    <w:rsid w:val="0029266C"/>
    <w:rsid w:val="00292A10"/>
    <w:rsid w:val="00292F8D"/>
    <w:rsid w:val="0029592F"/>
    <w:rsid w:val="00295EEB"/>
    <w:rsid w:val="002A12E2"/>
    <w:rsid w:val="002A6A00"/>
    <w:rsid w:val="002B05BC"/>
    <w:rsid w:val="002B18C8"/>
    <w:rsid w:val="002B1F58"/>
    <w:rsid w:val="002B2123"/>
    <w:rsid w:val="002B4CE8"/>
    <w:rsid w:val="002B712D"/>
    <w:rsid w:val="002C1808"/>
    <w:rsid w:val="002C2799"/>
    <w:rsid w:val="002C3C84"/>
    <w:rsid w:val="002C3CE1"/>
    <w:rsid w:val="002C3F37"/>
    <w:rsid w:val="002C72FD"/>
    <w:rsid w:val="002C7A29"/>
    <w:rsid w:val="002C7C62"/>
    <w:rsid w:val="002D0E88"/>
    <w:rsid w:val="002D1D49"/>
    <w:rsid w:val="002D2381"/>
    <w:rsid w:val="002D4373"/>
    <w:rsid w:val="002D52A9"/>
    <w:rsid w:val="002D5EB1"/>
    <w:rsid w:val="002D672B"/>
    <w:rsid w:val="002D6964"/>
    <w:rsid w:val="002E24E3"/>
    <w:rsid w:val="002E2998"/>
    <w:rsid w:val="002E36E9"/>
    <w:rsid w:val="002E3C4F"/>
    <w:rsid w:val="002E7158"/>
    <w:rsid w:val="002F129B"/>
    <w:rsid w:val="002F2F95"/>
    <w:rsid w:val="002F3A7B"/>
    <w:rsid w:val="002F479D"/>
    <w:rsid w:val="002F6766"/>
    <w:rsid w:val="002F6E9A"/>
    <w:rsid w:val="00300095"/>
    <w:rsid w:val="003026DF"/>
    <w:rsid w:val="00303C37"/>
    <w:rsid w:val="00303D53"/>
    <w:rsid w:val="0030517B"/>
    <w:rsid w:val="0031219C"/>
    <w:rsid w:val="0031635B"/>
    <w:rsid w:val="003167F0"/>
    <w:rsid w:val="00316D23"/>
    <w:rsid w:val="003237A7"/>
    <w:rsid w:val="00324AE7"/>
    <w:rsid w:val="00325D75"/>
    <w:rsid w:val="0032739D"/>
    <w:rsid w:val="003306AD"/>
    <w:rsid w:val="00332AE0"/>
    <w:rsid w:val="00333219"/>
    <w:rsid w:val="003356EA"/>
    <w:rsid w:val="00340C80"/>
    <w:rsid w:val="00342017"/>
    <w:rsid w:val="003455DD"/>
    <w:rsid w:val="003457B5"/>
    <w:rsid w:val="00346117"/>
    <w:rsid w:val="0034775D"/>
    <w:rsid w:val="00353570"/>
    <w:rsid w:val="0035777B"/>
    <w:rsid w:val="003616AB"/>
    <w:rsid w:val="00361D5A"/>
    <w:rsid w:val="003701EF"/>
    <w:rsid w:val="00371A4D"/>
    <w:rsid w:val="00371C65"/>
    <w:rsid w:val="00374618"/>
    <w:rsid w:val="00380E59"/>
    <w:rsid w:val="00383D16"/>
    <w:rsid w:val="0038423C"/>
    <w:rsid w:val="003858CA"/>
    <w:rsid w:val="00385FA4"/>
    <w:rsid w:val="00391F34"/>
    <w:rsid w:val="00391FC1"/>
    <w:rsid w:val="0039397E"/>
    <w:rsid w:val="0039726B"/>
    <w:rsid w:val="003A2E47"/>
    <w:rsid w:val="003A42B3"/>
    <w:rsid w:val="003B0164"/>
    <w:rsid w:val="003B2922"/>
    <w:rsid w:val="003B3F49"/>
    <w:rsid w:val="003B52A7"/>
    <w:rsid w:val="003B5CEB"/>
    <w:rsid w:val="003B74A3"/>
    <w:rsid w:val="003C0727"/>
    <w:rsid w:val="003C089E"/>
    <w:rsid w:val="003C2F94"/>
    <w:rsid w:val="003C30C5"/>
    <w:rsid w:val="003C52F6"/>
    <w:rsid w:val="003C5B8E"/>
    <w:rsid w:val="003C7138"/>
    <w:rsid w:val="003D2EEC"/>
    <w:rsid w:val="003D3709"/>
    <w:rsid w:val="003D399E"/>
    <w:rsid w:val="003E22A0"/>
    <w:rsid w:val="003E27A1"/>
    <w:rsid w:val="003E27F5"/>
    <w:rsid w:val="003E4F8B"/>
    <w:rsid w:val="003E6C19"/>
    <w:rsid w:val="003E74A7"/>
    <w:rsid w:val="003F00FD"/>
    <w:rsid w:val="003F15F6"/>
    <w:rsid w:val="003F35BC"/>
    <w:rsid w:val="003F4826"/>
    <w:rsid w:val="003F56BD"/>
    <w:rsid w:val="00401BC9"/>
    <w:rsid w:val="00401C0B"/>
    <w:rsid w:val="00403EDF"/>
    <w:rsid w:val="00404F77"/>
    <w:rsid w:val="00412088"/>
    <w:rsid w:val="004124E9"/>
    <w:rsid w:val="00414C19"/>
    <w:rsid w:val="0041551E"/>
    <w:rsid w:val="00415E74"/>
    <w:rsid w:val="00420995"/>
    <w:rsid w:val="00422B9E"/>
    <w:rsid w:val="0042333F"/>
    <w:rsid w:val="00424DDA"/>
    <w:rsid w:val="00426026"/>
    <w:rsid w:val="0042705E"/>
    <w:rsid w:val="00427392"/>
    <w:rsid w:val="004304A0"/>
    <w:rsid w:val="004315A4"/>
    <w:rsid w:val="00431ACD"/>
    <w:rsid w:val="00432040"/>
    <w:rsid w:val="004329A8"/>
    <w:rsid w:val="0043376A"/>
    <w:rsid w:val="00435607"/>
    <w:rsid w:val="00437FA5"/>
    <w:rsid w:val="004412D1"/>
    <w:rsid w:val="00441C91"/>
    <w:rsid w:val="00441F6E"/>
    <w:rsid w:val="00442455"/>
    <w:rsid w:val="00442D04"/>
    <w:rsid w:val="00443CC5"/>
    <w:rsid w:val="00451F7B"/>
    <w:rsid w:val="004549D1"/>
    <w:rsid w:val="00454A49"/>
    <w:rsid w:val="004557EE"/>
    <w:rsid w:val="00455A27"/>
    <w:rsid w:val="00455A2E"/>
    <w:rsid w:val="00456D2A"/>
    <w:rsid w:val="0046297C"/>
    <w:rsid w:val="00464AB9"/>
    <w:rsid w:val="00465509"/>
    <w:rsid w:val="00466793"/>
    <w:rsid w:val="004668C7"/>
    <w:rsid w:val="0047158A"/>
    <w:rsid w:val="00474B72"/>
    <w:rsid w:val="004758A7"/>
    <w:rsid w:val="00475A1C"/>
    <w:rsid w:val="004802B2"/>
    <w:rsid w:val="004806FD"/>
    <w:rsid w:val="00481A17"/>
    <w:rsid w:val="00481EB5"/>
    <w:rsid w:val="0048304E"/>
    <w:rsid w:val="00483F39"/>
    <w:rsid w:val="0048438D"/>
    <w:rsid w:val="00485003"/>
    <w:rsid w:val="00485303"/>
    <w:rsid w:val="00486072"/>
    <w:rsid w:val="00490B07"/>
    <w:rsid w:val="00491C50"/>
    <w:rsid w:val="00493DEF"/>
    <w:rsid w:val="00494DAA"/>
    <w:rsid w:val="00496932"/>
    <w:rsid w:val="004969AD"/>
    <w:rsid w:val="0049713E"/>
    <w:rsid w:val="004976B1"/>
    <w:rsid w:val="004979AD"/>
    <w:rsid w:val="004979B4"/>
    <w:rsid w:val="004A64FB"/>
    <w:rsid w:val="004A6643"/>
    <w:rsid w:val="004B1773"/>
    <w:rsid w:val="004B3ACE"/>
    <w:rsid w:val="004B5075"/>
    <w:rsid w:val="004B5E67"/>
    <w:rsid w:val="004B6554"/>
    <w:rsid w:val="004B7162"/>
    <w:rsid w:val="004C0C20"/>
    <w:rsid w:val="004C6841"/>
    <w:rsid w:val="004C6BE0"/>
    <w:rsid w:val="004C7CB4"/>
    <w:rsid w:val="004C7FAB"/>
    <w:rsid w:val="004D0E28"/>
    <w:rsid w:val="004D5A88"/>
    <w:rsid w:val="004D6758"/>
    <w:rsid w:val="004D70BF"/>
    <w:rsid w:val="004E28BB"/>
    <w:rsid w:val="004E5173"/>
    <w:rsid w:val="004E6D92"/>
    <w:rsid w:val="004E77A1"/>
    <w:rsid w:val="004F1AA0"/>
    <w:rsid w:val="004F2809"/>
    <w:rsid w:val="0050027B"/>
    <w:rsid w:val="00500C34"/>
    <w:rsid w:val="00501FEF"/>
    <w:rsid w:val="005024E4"/>
    <w:rsid w:val="00502A29"/>
    <w:rsid w:val="00504803"/>
    <w:rsid w:val="00505BF5"/>
    <w:rsid w:val="0050648D"/>
    <w:rsid w:val="005078A4"/>
    <w:rsid w:val="00510014"/>
    <w:rsid w:val="00512C86"/>
    <w:rsid w:val="00513381"/>
    <w:rsid w:val="00513AAA"/>
    <w:rsid w:val="0051440B"/>
    <w:rsid w:val="005148B8"/>
    <w:rsid w:val="0051513D"/>
    <w:rsid w:val="00516AE5"/>
    <w:rsid w:val="00516E8D"/>
    <w:rsid w:val="00516FC0"/>
    <w:rsid w:val="00517A68"/>
    <w:rsid w:val="00520CA1"/>
    <w:rsid w:val="00520DD1"/>
    <w:rsid w:val="00522709"/>
    <w:rsid w:val="00523737"/>
    <w:rsid w:val="00524330"/>
    <w:rsid w:val="0052515A"/>
    <w:rsid w:val="005266B7"/>
    <w:rsid w:val="00527F02"/>
    <w:rsid w:val="00533C45"/>
    <w:rsid w:val="00537784"/>
    <w:rsid w:val="00540945"/>
    <w:rsid w:val="00540C1E"/>
    <w:rsid w:val="005412C3"/>
    <w:rsid w:val="005415CF"/>
    <w:rsid w:val="00542A0F"/>
    <w:rsid w:val="005442AE"/>
    <w:rsid w:val="005457FE"/>
    <w:rsid w:val="0054791A"/>
    <w:rsid w:val="00551234"/>
    <w:rsid w:val="00551811"/>
    <w:rsid w:val="005520FF"/>
    <w:rsid w:val="0055421A"/>
    <w:rsid w:val="00557B0B"/>
    <w:rsid w:val="00565D8E"/>
    <w:rsid w:val="00567659"/>
    <w:rsid w:val="00575B0A"/>
    <w:rsid w:val="00582CEF"/>
    <w:rsid w:val="0058685B"/>
    <w:rsid w:val="00590383"/>
    <w:rsid w:val="005907BE"/>
    <w:rsid w:val="00591110"/>
    <w:rsid w:val="005923A6"/>
    <w:rsid w:val="00593498"/>
    <w:rsid w:val="00595598"/>
    <w:rsid w:val="00597149"/>
    <w:rsid w:val="005A129B"/>
    <w:rsid w:val="005A250C"/>
    <w:rsid w:val="005A282D"/>
    <w:rsid w:val="005A5D42"/>
    <w:rsid w:val="005A5E64"/>
    <w:rsid w:val="005A70CC"/>
    <w:rsid w:val="005B025D"/>
    <w:rsid w:val="005B0F40"/>
    <w:rsid w:val="005B26DD"/>
    <w:rsid w:val="005B416B"/>
    <w:rsid w:val="005B6070"/>
    <w:rsid w:val="005B6845"/>
    <w:rsid w:val="005C01C2"/>
    <w:rsid w:val="005C1B19"/>
    <w:rsid w:val="005C1F20"/>
    <w:rsid w:val="005C4C5B"/>
    <w:rsid w:val="005C5792"/>
    <w:rsid w:val="005C78D7"/>
    <w:rsid w:val="005C7914"/>
    <w:rsid w:val="005D2669"/>
    <w:rsid w:val="005D307F"/>
    <w:rsid w:val="005D5152"/>
    <w:rsid w:val="005D60AE"/>
    <w:rsid w:val="005D6AE6"/>
    <w:rsid w:val="005D77A7"/>
    <w:rsid w:val="005D7A99"/>
    <w:rsid w:val="005E32B2"/>
    <w:rsid w:val="005E4254"/>
    <w:rsid w:val="005E65F6"/>
    <w:rsid w:val="005F07F1"/>
    <w:rsid w:val="005F0C7C"/>
    <w:rsid w:val="005F1CE0"/>
    <w:rsid w:val="005F224F"/>
    <w:rsid w:val="005F28C2"/>
    <w:rsid w:val="005F31ED"/>
    <w:rsid w:val="005F4EE1"/>
    <w:rsid w:val="005F5279"/>
    <w:rsid w:val="005F52A7"/>
    <w:rsid w:val="005F531D"/>
    <w:rsid w:val="005F6D09"/>
    <w:rsid w:val="005F711A"/>
    <w:rsid w:val="00600AB4"/>
    <w:rsid w:val="00600E1D"/>
    <w:rsid w:val="00600F86"/>
    <w:rsid w:val="00601290"/>
    <w:rsid w:val="0060406D"/>
    <w:rsid w:val="006049D5"/>
    <w:rsid w:val="0060739C"/>
    <w:rsid w:val="00610A73"/>
    <w:rsid w:val="00610F63"/>
    <w:rsid w:val="00612646"/>
    <w:rsid w:val="00613AAD"/>
    <w:rsid w:val="00615B15"/>
    <w:rsid w:val="00615B57"/>
    <w:rsid w:val="00616459"/>
    <w:rsid w:val="006172A3"/>
    <w:rsid w:val="00621EE8"/>
    <w:rsid w:val="006220F4"/>
    <w:rsid w:val="00622AA1"/>
    <w:rsid w:val="006269A7"/>
    <w:rsid w:val="00626B22"/>
    <w:rsid w:val="006320CD"/>
    <w:rsid w:val="00633EAE"/>
    <w:rsid w:val="00640806"/>
    <w:rsid w:val="00642E26"/>
    <w:rsid w:val="0064463E"/>
    <w:rsid w:val="00647A0B"/>
    <w:rsid w:val="0065760F"/>
    <w:rsid w:val="006633F2"/>
    <w:rsid w:val="006636AC"/>
    <w:rsid w:val="0066378B"/>
    <w:rsid w:val="0066468E"/>
    <w:rsid w:val="00670C3E"/>
    <w:rsid w:val="00670F4D"/>
    <w:rsid w:val="00673758"/>
    <w:rsid w:val="00674D75"/>
    <w:rsid w:val="00675AA5"/>
    <w:rsid w:val="00681F74"/>
    <w:rsid w:val="00683A7B"/>
    <w:rsid w:val="006846EA"/>
    <w:rsid w:val="0068580D"/>
    <w:rsid w:val="00690631"/>
    <w:rsid w:val="006909A2"/>
    <w:rsid w:val="006948DF"/>
    <w:rsid w:val="00694C21"/>
    <w:rsid w:val="00695E37"/>
    <w:rsid w:val="00695EBF"/>
    <w:rsid w:val="006962B0"/>
    <w:rsid w:val="006978A0"/>
    <w:rsid w:val="00697B31"/>
    <w:rsid w:val="006A7729"/>
    <w:rsid w:val="006A7B2B"/>
    <w:rsid w:val="006B2225"/>
    <w:rsid w:val="006B5E3E"/>
    <w:rsid w:val="006B73C9"/>
    <w:rsid w:val="006B771C"/>
    <w:rsid w:val="006C24F3"/>
    <w:rsid w:val="006C2738"/>
    <w:rsid w:val="006C2D68"/>
    <w:rsid w:val="006C4B25"/>
    <w:rsid w:val="006C645B"/>
    <w:rsid w:val="006D0946"/>
    <w:rsid w:val="006D1186"/>
    <w:rsid w:val="006D2F29"/>
    <w:rsid w:val="006D5DC9"/>
    <w:rsid w:val="006E0382"/>
    <w:rsid w:val="006E1F49"/>
    <w:rsid w:val="006E6C1D"/>
    <w:rsid w:val="006E7DFA"/>
    <w:rsid w:val="006F12A9"/>
    <w:rsid w:val="006F3D68"/>
    <w:rsid w:val="006F49EB"/>
    <w:rsid w:val="006F524C"/>
    <w:rsid w:val="006F5857"/>
    <w:rsid w:val="006F7401"/>
    <w:rsid w:val="006F781E"/>
    <w:rsid w:val="00702D91"/>
    <w:rsid w:val="007034C8"/>
    <w:rsid w:val="00705A17"/>
    <w:rsid w:val="00712BE6"/>
    <w:rsid w:val="007131B9"/>
    <w:rsid w:val="007135BE"/>
    <w:rsid w:val="00713DB6"/>
    <w:rsid w:val="007150FB"/>
    <w:rsid w:val="00717E3F"/>
    <w:rsid w:val="007217B8"/>
    <w:rsid w:val="007218C5"/>
    <w:rsid w:val="00721B73"/>
    <w:rsid w:val="00723C71"/>
    <w:rsid w:val="0072764C"/>
    <w:rsid w:val="0073021A"/>
    <w:rsid w:val="0073177B"/>
    <w:rsid w:val="00733494"/>
    <w:rsid w:val="00733AC3"/>
    <w:rsid w:val="0073453A"/>
    <w:rsid w:val="00735812"/>
    <w:rsid w:val="007412D1"/>
    <w:rsid w:val="00741838"/>
    <w:rsid w:val="007455C5"/>
    <w:rsid w:val="0074611C"/>
    <w:rsid w:val="00746611"/>
    <w:rsid w:val="007466DC"/>
    <w:rsid w:val="007470AB"/>
    <w:rsid w:val="00752E5D"/>
    <w:rsid w:val="00753988"/>
    <w:rsid w:val="00753B1C"/>
    <w:rsid w:val="00756C65"/>
    <w:rsid w:val="00756D75"/>
    <w:rsid w:val="007605E9"/>
    <w:rsid w:val="00761451"/>
    <w:rsid w:val="00762EBB"/>
    <w:rsid w:val="00763405"/>
    <w:rsid w:val="00765666"/>
    <w:rsid w:val="00765925"/>
    <w:rsid w:val="007700B1"/>
    <w:rsid w:val="00770AB0"/>
    <w:rsid w:val="007714A5"/>
    <w:rsid w:val="007741F6"/>
    <w:rsid w:val="007750AB"/>
    <w:rsid w:val="007777A7"/>
    <w:rsid w:val="00777CDC"/>
    <w:rsid w:val="00777D9E"/>
    <w:rsid w:val="00781993"/>
    <w:rsid w:val="00782E68"/>
    <w:rsid w:val="00784B22"/>
    <w:rsid w:val="00786206"/>
    <w:rsid w:val="00790366"/>
    <w:rsid w:val="00790611"/>
    <w:rsid w:val="0079140C"/>
    <w:rsid w:val="00793C79"/>
    <w:rsid w:val="00796A06"/>
    <w:rsid w:val="00796ED6"/>
    <w:rsid w:val="007976ED"/>
    <w:rsid w:val="007A0B76"/>
    <w:rsid w:val="007A0CBF"/>
    <w:rsid w:val="007A32FD"/>
    <w:rsid w:val="007B0505"/>
    <w:rsid w:val="007B225D"/>
    <w:rsid w:val="007B3657"/>
    <w:rsid w:val="007B3E37"/>
    <w:rsid w:val="007B6D77"/>
    <w:rsid w:val="007C5201"/>
    <w:rsid w:val="007C563E"/>
    <w:rsid w:val="007D0FFE"/>
    <w:rsid w:val="007D47D6"/>
    <w:rsid w:val="007D65D2"/>
    <w:rsid w:val="007E0A9F"/>
    <w:rsid w:val="007E33D9"/>
    <w:rsid w:val="007E3FA5"/>
    <w:rsid w:val="007E679C"/>
    <w:rsid w:val="007E7C0B"/>
    <w:rsid w:val="007E7E06"/>
    <w:rsid w:val="007F354A"/>
    <w:rsid w:val="0080049E"/>
    <w:rsid w:val="008007CE"/>
    <w:rsid w:val="00801344"/>
    <w:rsid w:val="0080196D"/>
    <w:rsid w:val="008041FD"/>
    <w:rsid w:val="00810CD4"/>
    <w:rsid w:val="00811D69"/>
    <w:rsid w:val="008125A3"/>
    <w:rsid w:val="00813735"/>
    <w:rsid w:val="00814DBB"/>
    <w:rsid w:val="008152F5"/>
    <w:rsid w:val="00821203"/>
    <w:rsid w:val="00821824"/>
    <w:rsid w:val="008244D3"/>
    <w:rsid w:val="00825CED"/>
    <w:rsid w:val="00826983"/>
    <w:rsid w:val="008273CD"/>
    <w:rsid w:val="008310B6"/>
    <w:rsid w:val="008321D4"/>
    <w:rsid w:val="00834230"/>
    <w:rsid w:val="0084008E"/>
    <w:rsid w:val="008404FD"/>
    <w:rsid w:val="008405E9"/>
    <w:rsid w:val="00840E84"/>
    <w:rsid w:val="00844BDF"/>
    <w:rsid w:val="00845547"/>
    <w:rsid w:val="00845E5C"/>
    <w:rsid w:val="008461E2"/>
    <w:rsid w:val="008465BA"/>
    <w:rsid w:val="008509E3"/>
    <w:rsid w:val="008509F5"/>
    <w:rsid w:val="00850B18"/>
    <w:rsid w:val="00855BAC"/>
    <w:rsid w:val="008574C8"/>
    <w:rsid w:val="00857C3D"/>
    <w:rsid w:val="00867736"/>
    <w:rsid w:val="008711CB"/>
    <w:rsid w:val="008719FB"/>
    <w:rsid w:val="008725F1"/>
    <w:rsid w:val="008748C9"/>
    <w:rsid w:val="0087595F"/>
    <w:rsid w:val="00875AC9"/>
    <w:rsid w:val="00875F02"/>
    <w:rsid w:val="0087629A"/>
    <w:rsid w:val="00876C2B"/>
    <w:rsid w:val="00876DC1"/>
    <w:rsid w:val="00877765"/>
    <w:rsid w:val="008777C8"/>
    <w:rsid w:val="00877B58"/>
    <w:rsid w:val="00882671"/>
    <w:rsid w:val="008826CE"/>
    <w:rsid w:val="0088403A"/>
    <w:rsid w:val="0088536B"/>
    <w:rsid w:val="00887B28"/>
    <w:rsid w:val="00887BE8"/>
    <w:rsid w:val="00894DBB"/>
    <w:rsid w:val="00895EC8"/>
    <w:rsid w:val="008A1C0F"/>
    <w:rsid w:val="008A2175"/>
    <w:rsid w:val="008A4F57"/>
    <w:rsid w:val="008A5B3E"/>
    <w:rsid w:val="008B1B6D"/>
    <w:rsid w:val="008B2F13"/>
    <w:rsid w:val="008B4F2E"/>
    <w:rsid w:val="008B52B8"/>
    <w:rsid w:val="008B66CD"/>
    <w:rsid w:val="008C2B20"/>
    <w:rsid w:val="008C37FC"/>
    <w:rsid w:val="008C42EB"/>
    <w:rsid w:val="008C4C00"/>
    <w:rsid w:val="008C5CB2"/>
    <w:rsid w:val="008C5E22"/>
    <w:rsid w:val="008D108E"/>
    <w:rsid w:val="008D4C20"/>
    <w:rsid w:val="008E3101"/>
    <w:rsid w:val="008F035F"/>
    <w:rsid w:val="008F0414"/>
    <w:rsid w:val="008F256B"/>
    <w:rsid w:val="008F290E"/>
    <w:rsid w:val="008F4617"/>
    <w:rsid w:val="008F63E4"/>
    <w:rsid w:val="008F6787"/>
    <w:rsid w:val="008F6850"/>
    <w:rsid w:val="008F7456"/>
    <w:rsid w:val="00901EDE"/>
    <w:rsid w:val="0090320E"/>
    <w:rsid w:val="0091214B"/>
    <w:rsid w:val="00914930"/>
    <w:rsid w:val="00916312"/>
    <w:rsid w:val="00917950"/>
    <w:rsid w:val="0092493A"/>
    <w:rsid w:val="00925005"/>
    <w:rsid w:val="00925433"/>
    <w:rsid w:val="009261CD"/>
    <w:rsid w:val="009268A6"/>
    <w:rsid w:val="00926F24"/>
    <w:rsid w:val="00927FFB"/>
    <w:rsid w:val="00931025"/>
    <w:rsid w:val="00933F06"/>
    <w:rsid w:val="00935C55"/>
    <w:rsid w:val="00937A11"/>
    <w:rsid w:val="00937B84"/>
    <w:rsid w:val="0094435B"/>
    <w:rsid w:val="009450E5"/>
    <w:rsid w:val="009461A9"/>
    <w:rsid w:val="0095083A"/>
    <w:rsid w:val="00957EF7"/>
    <w:rsid w:val="009605D5"/>
    <w:rsid w:val="00961342"/>
    <w:rsid w:val="009641B6"/>
    <w:rsid w:val="009708AE"/>
    <w:rsid w:val="00970992"/>
    <w:rsid w:val="009718C4"/>
    <w:rsid w:val="00973101"/>
    <w:rsid w:val="00973E27"/>
    <w:rsid w:val="00974A87"/>
    <w:rsid w:val="00976323"/>
    <w:rsid w:val="009777B0"/>
    <w:rsid w:val="00980A3F"/>
    <w:rsid w:val="00983A12"/>
    <w:rsid w:val="00985767"/>
    <w:rsid w:val="00985BB1"/>
    <w:rsid w:val="00986396"/>
    <w:rsid w:val="00986D0C"/>
    <w:rsid w:val="00990845"/>
    <w:rsid w:val="00994A2F"/>
    <w:rsid w:val="00994B41"/>
    <w:rsid w:val="0099594C"/>
    <w:rsid w:val="00996B91"/>
    <w:rsid w:val="009A39DB"/>
    <w:rsid w:val="009A3BB7"/>
    <w:rsid w:val="009A4AC3"/>
    <w:rsid w:val="009A7164"/>
    <w:rsid w:val="009A7A35"/>
    <w:rsid w:val="009B0419"/>
    <w:rsid w:val="009B12BA"/>
    <w:rsid w:val="009B4880"/>
    <w:rsid w:val="009B48C0"/>
    <w:rsid w:val="009B4FE2"/>
    <w:rsid w:val="009B5170"/>
    <w:rsid w:val="009B62CF"/>
    <w:rsid w:val="009C1672"/>
    <w:rsid w:val="009C1DBD"/>
    <w:rsid w:val="009C35AC"/>
    <w:rsid w:val="009C3F45"/>
    <w:rsid w:val="009C571D"/>
    <w:rsid w:val="009C5CF8"/>
    <w:rsid w:val="009C702C"/>
    <w:rsid w:val="009C74F4"/>
    <w:rsid w:val="009C7A4D"/>
    <w:rsid w:val="009D138F"/>
    <w:rsid w:val="009D1648"/>
    <w:rsid w:val="009D3ADD"/>
    <w:rsid w:val="009D5C04"/>
    <w:rsid w:val="009D640E"/>
    <w:rsid w:val="009D6AF0"/>
    <w:rsid w:val="009E0B77"/>
    <w:rsid w:val="009E14A8"/>
    <w:rsid w:val="009E3414"/>
    <w:rsid w:val="009E46EA"/>
    <w:rsid w:val="009E7790"/>
    <w:rsid w:val="009F5BF6"/>
    <w:rsid w:val="00A001D5"/>
    <w:rsid w:val="00A0132D"/>
    <w:rsid w:val="00A064AB"/>
    <w:rsid w:val="00A068A9"/>
    <w:rsid w:val="00A13C48"/>
    <w:rsid w:val="00A16595"/>
    <w:rsid w:val="00A175FF"/>
    <w:rsid w:val="00A20B97"/>
    <w:rsid w:val="00A23BFC"/>
    <w:rsid w:val="00A25AC4"/>
    <w:rsid w:val="00A303CF"/>
    <w:rsid w:val="00A318E9"/>
    <w:rsid w:val="00A33082"/>
    <w:rsid w:val="00A36E62"/>
    <w:rsid w:val="00A402BC"/>
    <w:rsid w:val="00A40E37"/>
    <w:rsid w:val="00A41AC0"/>
    <w:rsid w:val="00A42B3D"/>
    <w:rsid w:val="00A44D8C"/>
    <w:rsid w:val="00A452FE"/>
    <w:rsid w:val="00A473D7"/>
    <w:rsid w:val="00A47DBF"/>
    <w:rsid w:val="00A50393"/>
    <w:rsid w:val="00A538BD"/>
    <w:rsid w:val="00A5493B"/>
    <w:rsid w:val="00A55C97"/>
    <w:rsid w:val="00A55DEA"/>
    <w:rsid w:val="00A57894"/>
    <w:rsid w:val="00A707EF"/>
    <w:rsid w:val="00A71565"/>
    <w:rsid w:val="00A7268E"/>
    <w:rsid w:val="00A75843"/>
    <w:rsid w:val="00A75C51"/>
    <w:rsid w:val="00A7738A"/>
    <w:rsid w:val="00A80A2C"/>
    <w:rsid w:val="00A82127"/>
    <w:rsid w:val="00A82461"/>
    <w:rsid w:val="00A86226"/>
    <w:rsid w:val="00A902DB"/>
    <w:rsid w:val="00A92202"/>
    <w:rsid w:val="00A93D48"/>
    <w:rsid w:val="00A95001"/>
    <w:rsid w:val="00AA172C"/>
    <w:rsid w:val="00AA2F32"/>
    <w:rsid w:val="00AA461B"/>
    <w:rsid w:val="00AA6C65"/>
    <w:rsid w:val="00AB433A"/>
    <w:rsid w:val="00AB52F5"/>
    <w:rsid w:val="00AC171C"/>
    <w:rsid w:val="00AC2022"/>
    <w:rsid w:val="00AC34B3"/>
    <w:rsid w:val="00AC550F"/>
    <w:rsid w:val="00AC7C75"/>
    <w:rsid w:val="00AD00F2"/>
    <w:rsid w:val="00AD2443"/>
    <w:rsid w:val="00AD28F1"/>
    <w:rsid w:val="00AD2FC0"/>
    <w:rsid w:val="00AD474D"/>
    <w:rsid w:val="00AD4C9A"/>
    <w:rsid w:val="00AE001A"/>
    <w:rsid w:val="00AE38B4"/>
    <w:rsid w:val="00AE4352"/>
    <w:rsid w:val="00AE5488"/>
    <w:rsid w:val="00AE6F97"/>
    <w:rsid w:val="00AE7EFD"/>
    <w:rsid w:val="00AF1A22"/>
    <w:rsid w:val="00AF1ED0"/>
    <w:rsid w:val="00AF3DAE"/>
    <w:rsid w:val="00B006F3"/>
    <w:rsid w:val="00B01F0F"/>
    <w:rsid w:val="00B02F05"/>
    <w:rsid w:val="00B039AC"/>
    <w:rsid w:val="00B06D9A"/>
    <w:rsid w:val="00B07A1C"/>
    <w:rsid w:val="00B13BC9"/>
    <w:rsid w:val="00B15F3C"/>
    <w:rsid w:val="00B23FCA"/>
    <w:rsid w:val="00B2665C"/>
    <w:rsid w:val="00B2676C"/>
    <w:rsid w:val="00B30184"/>
    <w:rsid w:val="00B30DC2"/>
    <w:rsid w:val="00B32B11"/>
    <w:rsid w:val="00B33764"/>
    <w:rsid w:val="00B344D4"/>
    <w:rsid w:val="00B3613B"/>
    <w:rsid w:val="00B4222E"/>
    <w:rsid w:val="00B427DE"/>
    <w:rsid w:val="00B432E4"/>
    <w:rsid w:val="00B4611F"/>
    <w:rsid w:val="00B4741D"/>
    <w:rsid w:val="00B511CD"/>
    <w:rsid w:val="00B522F3"/>
    <w:rsid w:val="00B52655"/>
    <w:rsid w:val="00B52A4E"/>
    <w:rsid w:val="00B5685E"/>
    <w:rsid w:val="00B5776E"/>
    <w:rsid w:val="00B615F8"/>
    <w:rsid w:val="00B617C7"/>
    <w:rsid w:val="00B61A28"/>
    <w:rsid w:val="00B61CCB"/>
    <w:rsid w:val="00B62363"/>
    <w:rsid w:val="00B63223"/>
    <w:rsid w:val="00B63523"/>
    <w:rsid w:val="00B64AA0"/>
    <w:rsid w:val="00B65A84"/>
    <w:rsid w:val="00B663F8"/>
    <w:rsid w:val="00B72611"/>
    <w:rsid w:val="00B72ABF"/>
    <w:rsid w:val="00B73E4B"/>
    <w:rsid w:val="00B74AD0"/>
    <w:rsid w:val="00B756A3"/>
    <w:rsid w:val="00B818AB"/>
    <w:rsid w:val="00B81DD5"/>
    <w:rsid w:val="00B85869"/>
    <w:rsid w:val="00B927E1"/>
    <w:rsid w:val="00B929F1"/>
    <w:rsid w:val="00B9401C"/>
    <w:rsid w:val="00B96229"/>
    <w:rsid w:val="00B9778F"/>
    <w:rsid w:val="00BA4B44"/>
    <w:rsid w:val="00BA5B97"/>
    <w:rsid w:val="00BA6730"/>
    <w:rsid w:val="00BB0CA4"/>
    <w:rsid w:val="00BC0320"/>
    <w:rsid w:val="00BC2A98"/>
    <w:rsid w:val="00BC3C66"/>
    <w:rsid w:val="00BC3E64"/>
    <w:rsid w:val="00BC4D3D"/>
    <w:rsid w:val="00BC5278"/>
    <w:rsid w:val="00BC6168"/>
    <w:rsid w:val="00BD0F7C"/>
    <w:rsid w:val="00BD163B"/>
    <w:rsid w:val="00BD3F9C"/>
    <w:rsid w:val="00BD46C9"/>
    <w:rsid w:val="00BE4AB0"/>
    <w:rsid w:val="00BF1C75"/>
    <w:rsid w:val="00BF2D5F"/>
    <w:rsid w:val="00BF2F6C"/>
    <w:rsid w:val="00BF3789"/>
    <w:rsid w:val="00BF707D"/>
    <w:rsid w:val="00C008B7"/>
    <w:rsid w:val="00C0101D"/>
    <w:rsid w:val="00C01C5D"/>
    <w:rsid w:val="00C02A8B"/>
    <w:rsid w:val="00C04BA4"/>
    <w:rsid w:val="00C04FCD"/>
    <w:rsid w:val="00C059D1"/>
    <w:rsid w:val="00C06D12"/>
    <w:rsid w:val="00C10114"/>
    <w:rsid w:val="00C10A24"/>
    <w:rsid w:val="00C11ED5"/>
    <w:rsid w:val="00C30A34"/>
    <w:rsid w:val="00C32850"/>
    <w:rsid w:val="00C328A1"/>
    <w:rsid w:val="00C364CF"/>
    <w:rsid w:val="00C36C08"/>
    <w:rsid w:val="00C40F75"/>
    <w:rsid w:val="00C46C6F"/>
    <w:rsid w:val="00C47328"/>
    <w:rsid w:val="00C5282F"/>
    <w:rsid w:val="00C532A5"/>
    <w:rsid w:val="00C54C85"/>
    <w:rsid w:val="00C56564"/>
    <w:rsid w:val="00C57A11"/>
    <w:rsid w:val="00C57E3C"/>
    <w:rsid w:val="00C61450"/>
    <w:rsid w:val="00C644CC"/>
    <w:rsid w:val="00C66542"/>
    <w:rsid w:val="00C665BB"/>
    <w:rsid w:val="00C666F2"/>
    <w:rsid w:val="00C66932"/>
    <w:rsid w:val="00C73F01"/>
    <w:rsid w:val="00C76532"/>
    <w:rsid w:val="00C819E4"/>
    <w:rsid w:val="00C85F42"/>
    <w:rsid w:val="00C86EA7"/>
    <w:rsid w:val="00C90662"/>
    <w:rsid w:val="00C92052"/>
    <w:rsid w:val="00C9271D"/>
    <w:rsid w:val="00C92C8B"/>
    <w:rsid w:val="00C93EC9"/>
    <w:rsid w:val="00C9426E"/>
    <w:rsid w:val="00C95190"/>
    <w:rsid w:val="00C9529D"/>
    <w:rsid w:val="00C95540"/>
    <w:rsid w:val="00C97460"/>
    <w:rsid w:val="00C97AC5"/>
    <w:rsid w:val="00CA1241"/>
    <w:rsid w:val="00CA2212"/>
    <w:rsid w:val="00CA23FA"/>
    <w:rsid w:val="00CA2A17"/>
    <w:rsid w:val="00CA3349"/>
    <w:rsid w:val="00CA3F69"/>
    <w:rsid w:val="00CA508E"/>
    <w:rsid w:val="00CA5885"/>
    <w:rsid w:val="00CA70BB"/>
    <w:rsid w:val="00CA79AB"/>
    <w:rsid w:val="00CB2EE3"/>
    <w:rsid w:val="00CB47C2"/>
    <w:rsid w:val="00CB4A8E"/>
    <w:rsid w:val="00CB4E74"/>
    <w:rsid w:val="00CB5E68"/>
    <w:rsid w:val="00CB5FB2"/>
    <w:rsid w:val="00CC1905"/>
    <w:rsid w:val="00CC1AAF"/>
    <w:rsid w:val="00CC2BB3"/>
    <w:rsid w:val="00CC511E"/>
    <w:rsid w:val="00CC558A"/>
    <w:rsid w:val="00CD5BCB"/>
    <w:rsid w:val="00CE0CE9"/>
    <w:rsid w:val="00CE2E04"/>
    <w:rsid w:val="00CE5F36"/>
    <w:rsid w:val="00CF0A03"/>
    <w:rsid w:val="00CF0B66"/>
    <w:rsid w:val="00CF145E"/>
    <w:rsid w:val="00CF2497"/>
    <w:rsid w:val="00CF3581"/>
    <w:rsid w:val="00CF4544"/>
    <w:rsid w:val="00CF4FEB"/>
    <w:rsid w:val="00D02C48"/>
    <w:rsid w:val="00D02D0E"/>
    <w:rsid w:val="00D04374"/>
    <w:rsid w:val="00D105A1"/>
    <w:rsid w:val="00D11046"/>
    <w:rsid w:val="00D16E0F"/>
    <w:rsid w:val="00D20724"/>
    <w:rsid w:val="00D219C5"/>
    <w:rsid w:val="00D21D41"/>
    <w:rsid w:val="00D240ED"/>
    <w:rsid w:val="00D24810"/>
    <w:rsid w:val="00D3088D"/>
    <w:rsid w:val="00D3092C"/>
    <w:rsid w:val="00D34778"/>
    <w:rsid w:val="00D438EE"/>
    <w:rsid w:val="00D43F11"/>
    <w:rsid w:val="00D43F57"/>
    <w:rsid w:val="00D44311"/>
    <w:rsid w:val="00D45494"/>
    <w:rsid w:val="00D4624F"/>
    <w:rsid w:val="00D46E69"/>
    <w:rsid w:val="00D50C5F"/>
    <w:rsid w:val="00D51975"/>
    <w:rsid w:val="00D51A49"/>
    <w:rsid w:val="00D5222B"/>
    <w:rsid w:val="00D528EA"/>
    <w:rsid w:val="00D56DE1"/>
    <w:rsid w:val="00D56FFD"/>
    <w:rsid w:val="00D62225"/>
    <w:rsid w:val="00D64A75"/>
    <w:rsid w:val="00D66253"/>
    <w:rsid w:val="00D66FBF"/>
    <w:rsid w:val="00D67FAA"/>
    <w:rsid w:val="00D73FBE"/>
    <w:rsid w:val="00D75B7D"/>
    <w:rsid w:val="00D83CEA"/>
    <w:rsid w:val="00D86D18"/>
    <w:rsid w:val="00D92002"/>
    <w:rsid w:val="00D94780"/>
    <w:rsid w:val="00D94799"/>
    <w:rsid w:val="00D94F63"/>
    <w:rsid w:val="00DA2833"/>
    <w:rsid w:val="00DA4A9A"/>
    <w:rsid w:val="00DA56A8"/>
    <w:rsid w:val="00DA635F"/>
    <w:rsid w:val="00DA7E61"/>
    <w:rsid w:val="00DB1AD8"/>
    <w:rsid w:val="00DB22C0"/>
    <w:rsid w:val="00DB335D"/>
    <w:rsid w:val="00DB3CA8"/>
    <w:rsid w:val="00DB5070"/>
    <w:rsid w:val="00DB513D"/>
    <w:rsid w:val="00DB5678"/>
    <w:rsid w:val="00DB5ECE"/>
    <w:rsid w:val="00DB5F33"/>
    <w:rsid w:val="00DB6A2B"/>
    <w:rsid w:val="00DB7A3D"/>
    <w:rsid w:val="00DB7A63"/>
    <w:rsid w:val="00DB7E82"/>
    <w:rsid w:val="00DC10AA"/>
    <w:rsid w:val="00DC5571"/>
    <w:rsid w:val="00DC5F26"/>
    <w:rsid w:val="00DC753C"/>
    <w:rsid w:val="00DD070D"/>
    <w:rsid w:val="00DD3054"/>
    <w:rsid w:val="00DD4202"/>
    <w:rsid w:val="00DD7168"/>
    <w:rsid w:val="00DD75BF"/>
    <w:rsid w:val="00DE1C91"/>
    <w:rsid w:val="00DF11DB"/>
    <w:rsid w:val="00DF1C0B"/>
    <w:rsid w:val="00DF1C9F"/>
    <w:rsid w:val="00DF218F"/>
    <w:rsid w:val="00DF4AA7"/>
    <w:rsid w:val="00DF6232"/>
    <w:rsid w:val="00DF6D3C"/>
    <w:rsid w:val="00E00593"/>
    <w:rsid w:val="00E05174"/>
    <w:rsid w:val="00E0579A"/>
    <w:rsid w:val="00E07EBA"/>
    <w:rsid w:val="00E111A5"/>
    <w:rsid w:val="00E119C2"/>
    <w:rsid w:val="00E11FEC"/>
    <w:rsid w:val="00E151EF"/>
    <w:rsid w:val="00E15317"/>
    <w:rsid w:val="00E1606C"/>
    <w:rsid w:val="00E160D9"/>
    <w:rsid w:val="00E166FC"/>
    <w:rsid w:val="00E20B70"/>
    <w:rsid w:val="00E222B0"/>
    <w:rsid w:val="00E26DC2"/>
    <w:rsid w:val="00E26EE3"/>
    <w:rsid w:val="00E305FB"/>
    <w:rsid w:val="00E31134"/>
    <w:rsid w:val="00E317E1"/>
    <w:rsid w:val="00E32B6F"/>
    <w:rsid w:val="00E37A05"/>
    <w:rsid w:val="00E40BD2"/>
    <w:rsid w:val="00E424E2"/>
    <w:rsid w:val="00E44982"/>
    <w:rsid w:val="00E46D4F"/>
    <w:rsid w:val="00E47100"/>
    <w:rsid w:val="00E47238"/>
    <w:rsid w:val="00E53731"/>
    <w:rsid w:val="00E54992"/>
    <w:rsid w:val="00E55575"/>
    <w:rsid w:val="00E6125D"/>
    <w:rsid w:val="00E613FF"/>
    <w:rsid w:val="00E6469C"/>
    <w:rsid w:val="00E6523A"/>
    <w:rsid w:val="00E652A9"/>
    <w:rsid w:val="00E655E7"/>
    <w:rsid w:val="00E65FB6"/>
    <w:rsid w:val="00E6636B"/>
    <w:rsid w:val="00E70CF9"/>
    <w:rsid w:val="00E74FE8"/>
    <w:rsid w:val="00E756B5"/>
    <w:rsid w:val="00E75AA3"/>
    <w:rsid w:val="00E75BE0"/>
    <w:rsid w:val="00E8109C"/>
    <w:rsid w:val="00E829D1"/>
    <w:rsid w:val="00E83C16"/>
    <w:rsid w:val="00E86779"/>
    <w:rsid w:val="00E86E03"/>
    <w:rsid w:val="00E916D3"/>
    <w:rsid w:val="00E936EA"/>
    <w:rsid w:val="00E9499B"/>
    <w:rsid w:val="00EA1128"/>
    <w:rsid w:val="00EA56E7"/>
    <w:rsid w:val="00EA6BBA"/>
    <w:rsid w:val="00EA6C95"/>
    <w:rsid w:val="00EA7719"/>
    <w:rsid w:val="00EB056E"/>
    <w:rsid w:val="00EB06F6"/>
    <w:rsid w:val="00EB27CD"/>
    <w:rsid w:val="00EB2E88"/>
    <w:rsid w:val="00EB3A3C"/>
    <w:rsid w:val="00EB4B7D"/>
    <w:rsid w:val="00EB50BE"/>
    <w:rsid w:val="00EB627F"/>
    <w:rsid w:val="00EB6940"/>
    <w:rsid w:val="00EC51C1"/>
    <w:rsid w:val="00EC5439"/>
    <w:rsid w:val="00ED18CB"/>
    <w:rsid w:val="00ED37CC"/>
    <w:rsid w:val="00ED38F9"/>
    <w:rsid w:val="00ED3A9C"/>
    <w:rsid w:val="00ED790E"/>
    <w:rsid w:val="00EE17CC"/>
    <w:rsid w:val="00EE3133"/>
    <w:rsid w:val="00EE46ED"/>
    <w:rsid w:val="00EF68FD"/>
    <w:rsid w:val="00F01895"/>
    <w:rsid w:val="00F045E4"/>
    <w:rsid w:val="00F06428"/>
    <w:rsid w:val="00F136E1"/>
    <w:rsid w:val="00F138D9"/>
    <w:rsid w:val="00F22829"/>
    <w:rsid w:val="00F229CC"/>
    <w:rsid w:val="00F22A2E"/>
    <w:rsid w:val="00F2372C"/>
    <w:rsid w:val="00F25813"/>
    <w:rsid w:val="00F25982"/>
    <w:rsid w:val="00F25F46"/>
    <w:rsid w:val="00F27D55"/>
    <w:rsid w:val="00F301FB"/>
    <w:rsid w:val="00F308F1"/>
    <w:rsid w:val="00F322F1"/>
    <w:rsid w:val="00F33025"/>
    <w:rsid w:val="00F3354B"/>
    <w:rsid w:val="00F34827"/>
    <w:rsid w:val="00F35104"/>
    <w:rsid w:val="00F36699"/>
    <w:rsid w:val="00F40100"/>
    <w:rsid w:val="00F41006"/>
    <w:rsid w:val="00F415B1"/>
    <w:rsid w:val="00F428F9"/>
    <w:rsid w:val="00F431E3"/>
    <w:rsid w:val="00F43722"/>
    <w:rsid w:val="00F47AA7"/>
    <w:rsid w:val="00F505B9"/>
    <w:rsid w:val="00F50C13"/>
    <w:rsid w:val="00F52E26"/>
    <w:rsid w:val="00F5367F"/>
    <w:rsid w:val="00F541D3"/>
    <w:rsid w:val="00F61A2A"/>
    <w:rsid w:val="00F646E5"/>
    <w:rsid w:val="00F652C5"/>
    <w:rsid w:val="00F673C8"/>
    <w:rsid w:val="00F72235"/>
    <w:rsid w:val="00F75C0C"/>
    <w:rsid w:val="00F76E3A"/>
    <w:rsid w:val="00F81B60"/>
    <w:rsid w:val="00F8341F"/>
    <w:rsid w:val="00F836DD"/>
    <w:rsid w:val="00F84AC2"/>
    <w:rsid w:val="00F86EFC"/>
    <w:rsid w:val="00F87863"/>
    <w:rsid w:val="00F92136"/>
    <w:rsid w:val="00F93E72"/>
    <w:rsid w:val="00F94F31"/>
    <w:rsid w:val="00F960AC"/>
    <w:rsid w:val="00F96DCD"/>
    <w:rsid w:val="00FA0FBC"/>
    <w:rsid w:val="00FA29B7"/>
    <w:rsid w:val="00FA36E6"/>
    <w:rsid w:val="00FA6233"/>
    <w:rsid w:val="00FA62D0"/>
    <w:rsid w:val="00FB10D5"/>
    <w:rsid w:val="00FB175D"/>
    <w:rsid w:val="00FB3558"/>
    <w:rsid w:val="00FB38AC"/>
    <w:rsid w:val="00FB523C"/>
    <w:rsid w:val="00FB60B4"/>
    <w:rsid w:val="00FC6F4F"/>
    <w:rsid w:val="00FC7A8C"/>
    <w:rsid w:val="00FD03F5"/>
    <w:rsid w:val="00FD3614"/>
    <w:rsid w:val="00FD4A08"/>
    <w:rsid w:val="00FD5E43"/>
    <w:rsid w:val="00FE2782"/>
    <w:rsid w:val="00FE34F0"/>
    <w:rsid w:val="00FE3B52"/>
    <w:rsid w:val="00FE460B"/>
    <w:rsid w:val="00FE48DD"/>
    <w:rsid w:val="00FE4E2D"/>
    <w:rsid w:val="00FE5DA4"/>
    <w:rsid w:val="00FF04C2"/>
    <w:rsid w:val="00FF21EC"/>
    <w:rsid w:val="00FF3534"/>
    <w:rsid w:val="00FF4E18"/>
    <w:rsid w:val="00FF4EE6"/>
    <w:rsid w:val="5017F3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4E8D65"/>
  <w15:docId w15:val="{4DAA2425-3952-4815-A49C-D67987A66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138F"/>
  </w:style>
  <w:style w:type="paragraph" w:styleId="Heading1">
    <w:name w:val="heading 1"/>
    <w:basedOn w:val="Normal"/>
    <w:next w:val="Normal"/>
    <w:link w:val="Heading1Char"/>
    <w:uiPriority w:val="9"/>
    <w:qFormat/>
    <w:rsid w:val="00AA461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A2F32"/>
    <w:pPr>
      <w:ind w:left="720"/>
      <w:contextualSpacing/>
    </w:pPr>
  </w:style>
  <w:style w:type="paragraph" w:styleId="Bibliography">
    <w:name w:val="Bibliography"/>
    <w:basedOn w:val="Normal"/>
    <w:next w:val="Normal"/>
    <w:uiPriority w:val="37"/>
    <w:unhideWhenUsed/>
    <w:rsid w:val="00412088"/>
    <w:pPr>
      <w:tabs>
        <w:tab w:val="left" w:pos="504"/>
      </w:tabs>
      <w:spacing w:after="0" w:line="240" w:lineRule="auto"/>
      <w:ind w:left="504" w:hanging="504"/>
    </w:pPr>
  </w:style>
  <w:style w:type="paragraph" w:styleId="FootnoteText">
    <w:name w:val="footnote text"/>
    <w:basedOn w:val="Normal"/>
    <w:link w:val="FootnoteTextChar"/>
    <w:uiPriority w:val="99"/>
    <w:semiHidden/>
    <w:unhideWhenUsed/>
    <w:rsid w:val="00361D5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61D5A"/>
    <w:rPr>
      <w:sz w:val="20"/>
      <w:szCs w:val="20"/>
    </w:rPr>
  </w:style>
  <w:style w:type="character" w:styleId="FootnoteReference">
    <w:name w:val="footnote reference"/>
    <w:basedOn w:val="DefaultParagraphFont"/>
    <w:uiPriority w:val="99"/>
    <w:semiHidden/>
    <w:unhideWhenUsed/>
    <w:rsid w:val="00361D5A"/>
    <w:rPr>
      <w:vertAlign w:val="superscript"/>
    </w:rPr>
  </w:style>
  <w:style w:type="table" w:styleId="TableGrid">
    <w:name w:val="Table Grid"/>
    <w:basedOn w:val="TableNormal"/>
    <w:uiPriority w:val="59"/>
    <w:rsid w:val="00D207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3F00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B4F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4F2E"/>
    <w:rPr>
      <w:rFonts w:ascii="Tahoma" w:hAnsi="Tahoma" w:cs="Tahoma"/>
      <w:sz w:val="16"/>
      <w:szCs w:val="16"/>
    </w:rPr>
  </w:style>
  <w:style w:type="character" w:styleId="CommentReference">
    <w:name w:val="annotation reference"/>
    <w:basedOn w:val="DefaultParagraphFont"/>
    <w:uiPriority w:val="99"/>
    <w:semiHidden/>
    <w:unhideWhenUsed/>
    <w:rsid w:val="00DB6A2B"/>
    <w:rPr>
      <w:sz w:val="16"/>
      <w:szCs w:val="16"/>
    </w:rPr>
  </w:style>
  <w:style w:type="paragraph" w:styleId="CommentText">
    <w:name w:val="annotation text"/>
    <w:basedOn w:val="Normal"/>
    <w:link w:val="CommentTextChar"/>
    <w:uiPriority w:val="99"/>
    <w:unhideWhenUsed/>
    <w:rsid w:val="00DB6A2B"/>
    <w:pPr>
      <w:spacing w:line="240" w:lineRule="auto"/>
    </w:pPr>
    <w:rPr>
      <w:sz w:val="20"/>
      <w:szCs w:val="20"/>
    </w:rPr>
  </w:style>
  <w:style w:type="character" w:customStyle="1" w:styleId="CommentTextChar">
    <w:name w:val="Comment Text Char"/>
    <w:basedOn w:val="DefaultParagraphFont"/>
    <w:link w:val="CommentText"/>
    <w:uiPriority w:val="99"/>
    <w:rsid w:val="00DB6A2B"/>
    <w:rPr>
      <w:sz w:val="20"/>
      <w:szCs w:val="20"/>
    </w:rPr>
  </w:style>
  <w:style w:type="paragraph" w:styleId="CommentSubject">
    <w:name w:val="annotation subject"/>
    <w:basedOn w:val="CommentText"/>
    <w:next w:val="CommentText"/>
    <w:link w:val="CommentSubjectChar"/>
    <w:uiPriority w:val="99"/>
    <w:semiHidden/>
    <w:unhideWhenUsed/>
    <w:rsid w:val="00DB6A2B"/>
    <w:rPr>
      <w:b/>
      <w:bCs/>
    </w:rPr>
  </w:style>
  <w:style w:type="character" w:customStyle="1" w:styleId="CommentSubjectChar">
    <w:name w:val="Comment Subject Char"/>
    <w:basedOn w:val="CommentTextChar"/>
    <w:link w:val="CommentSubject"/>
    <w:uiPriority w:val="99"/>
    <w:semiHidden/>
    <w:rsid w:val="00DB6A2B"/>
    <w:rPr>
      <w:b/>
      <w:bCs/>
      <w:sz w:val="20"/>
      <w:szCs w:val="20"/>
    </w:rPr>
  </w:style>
  <w:style w:type="character" w:styleId="PlaceholderText">
    <w:name w:val="Placeholder Text"/>
    <w:basedOn w:val="DefaultParagraphFont"/>
    <w:uiPriority w:val="99"/>
    <w:semiHidden/>
    <w:rsid w:val="00CC1905"/>
    <w:rPr>
      <w:color w:val="808080"/>
    </w:rPr>
  </w:style>
  <w:style w:type="table" w:customStyle="1" w:styleId="TableGrid11">
    <w:name w:val="Table Grid11"/>
    <w:basedOn w:val="TableNormal"/>
    <w:next w:val="TableGrid"/>
    <w:uiPriority w:val="59"/>
    <w:rsid w:val="00D83C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980A3F"/>
  </w:style>
  <w:style w:type="paragraph" w:styleId="Revision">
    <w:name w:val="Revision"/>
    <w:hidden/>
    <w:uiPriority w:val="99"/>
    <w:semiHidden/>
    <w:rsid w:val="005F5279"/>
    <w:pPr>
      <w:spacing w:after="0" w:line="240" w:lineRule="auto"/>
    </w:pPr>
  </w:style>
  <w:style w:type="table" w:customStyle="1" w:styleId="TableGrid12">
    <w:name w:val="Table Grid12"/>
    <w:basedOn w:val="TableNormal"/>
    <w:next w:val="TableGrid"/>
    <w:uiPriority w:val="59"/>
    <w:rsid w:val="00505B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6E1F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emplate">
    <w:name w:val="table_template"/>
    <w:basedOn w:val="TableNormal"/>
    <w:uiPriority w:val="59"/>
    <w:rsid w:val="006A7B2B"/>
    <w:pPr>
      <w:spacing w:after="0" w:line="240" w:lineRule="auto"/>
      <w:jc w:val="right"/>
    </w:pPr>
    <w:rPr>
      <w:rFonts w:eastAsia="MS Mincho"/>
      <w:sz w:val="24"/>
      <w:szCs w:val="24"/>
      <w:lang w:val="fr-FR" w:eastAsia="fr-FR"/>
    </w:rPr>
    <w:tblPr>
      <w:jc w:val="center"/>
      <w:tblBorders>
        <w:top w:val="single" w:sz="8" w:space="0" w:color="auto"/>
        <w:bottom w:val="single" w:sz="8" w:space="0" w:color="auto"/>
        <w:insideH w:val="single" w:sz="8" w:space="0" w:color="auto"/>
      </w:tblBorders>
    </w:tblPr>
    <w:trPr>
      <w:jc w:val="center"/>
    </w:trPr>
    <w:tblStylePr w:type="firstRow">
      <w:rPr>
        <w:b/>
      </w:rPr>
      <w:tblPr/>
      <w:tcPr>
        <w:tcBorders>
          <w:top w:val="nil"/>
          <w:left w:val="nil"/>
          <w:bottom w:val="single" w:sz="18" w:space="0" w:color="auto"/>
          <w:right w:val="nil"/>
          <w:insideH w:val="nil"/>
          <w:insideV w:val="nil"/>
          <w:tl2br w:val="nil"/>
          <w:tr2bl w:val="nil"/>
        </w:tcBorders>
      </w:tcPr>
    </w:tblStylePr>
  </w:style>
  <w:style w:type="paragraph" w:styleId="Header">
    <w:name w:val="header"/>
    <w:basedOn w:val="Normal"/>
    <w:link w:val="HeaderChar"/>
    <w:uiPriority w:val="99"/>
    <w:unhideWhenUsed/>
    <w:rsid w:val="001915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1534"/>
  </w:style>
  <w:style w:type="paragraph" w:styleId="Footer">
    <w:name w:val="footer"/>
    <w:basedOn w:val="Normal"/>
    <w:link w:val="FooterChar"/>
    <w:uiPriority w:val="99"/>
    <w:unhideWhenUsed/>
    <w:rsid w:val="001915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1534"/>
  </w:style>
  <w:style w:type="character" w:styleId="Hyperlink">
    <w:name w:val="Hyperlink"/>
    <w:basedOn w:val="DefaultParagraphFont"/>
    <w:uiPriority w:val="99"/>
    <w:unhideWhenUsed/>
    <w:rsid w:val="00C40F75"/>
    <w:rPr>
      <w:color w:val="0000FF" w:themeColor="hyperlink"/>
      <w:u w:val="single"/>
    </w:rPr>
  </w:style>
  <w:style w:type="table" w:customStyle="1" w:styleId="TableGrid14">
    <w:name w:val="Table Grid14"/>
    <w:basedOn w:val="TableNormal"/>
    <w:next w:val="TableGrid"/>
    <w:uiPriority w:val="59"/>
    <w:rsid w:val="002627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12BE6"/>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32739D"/>
    <w:rPr>
      <w:color w:val="800080" w:themeColor="followedHyperlink"/>
      <w:u w:val="single"/>
    </w:rPr>
  </w:style>
  <w:style w:type="paragraph" w:styleId="Caption">
    <w:name w:val="caption"/>
    <w:basedOn w:val="Normal"/>
    <w:next w:val="Normal"/>
    <w:uiPriority w:val="35"/>
    <w:unhideWhenUsed/>
    <w:qFormat/>
    <w:rsid w:val="003B5CEB"/>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AA461B"/>
    <w:rPr>
      <w:rFonts w:asciiTheme="majorHAnsi" w:eastAsiaTheme="majorEastAsia" w:hAnsiTheme="majorHAnsi" w:cstheme="majorBidi"/>
      <w:b/>
      <w:bCs/>
      <w:color w:val="365F91" w:themeColor="accent1" w:themeShade="BF"/>
      <w:sz w:val="28"/>
      <w:szCs w:val="28"/>
    </w:rPr>
  </w:style>
  <w:style w:type="character" w:customStyle="1" w:styleId="institution">
    <w:name w:val="institution"/>
    <w:basedOn w:val="DefaultParagraphFont"/>
    <w:rsid w:val="008826CE"/>
  </w:style>
  <w:style w:type="character" w:customStyle="1" w:styleId="addr-line">
    <w:name w:val="addr-line"/>
    <w:basedOn w:val="DefaultParagraphFont"/>
    <w:rsid w:val="008826CE"/>
  </w:style>
  <w:style w:type="character" w:customStyle="1" w:styleId="UnresolvedMention1">
    <w:name w:val="Unresolved Mention1"/>
    <w:basedOn w:val="DefaultParagraphFont"/>
    <w:uiPriority w:val="99"/>
    <w:semiHidden/>
    <w:unhideWhenUsed/>
    <w:rsid w:val="00DA63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849995">
      <w:bodyDiv w:val="1"/>
      <w:marLeft w:val="0"/>
      <w:marRight w:val="0"/>
      <w:marTop w:val="0"/>
      <w:marBottom w:val="0"/>
      <w:divBdr>
        <w:top w:val="none" w:sz="0" w:space="0" w:color="auto"/>
        <w:left w:val="none" w:sz="0" w:space="0" w:color="auto"/>
        <w:bottom w:val="none" w:sz="0" w:space="0" w:color="auto"/>
        <w:right w:val="none" w:sz="0" w:space="0" w:color="auto"/>
      </w:divBdr>
    </w:div>
    <w:div w:id="182788508">
      <w:bodyDiv w:val="1"/>
      <w:marLeft w:val="0"/>
      <w:marRight w:val="0"/>
      <w:marTop w:val="0"/>
      <w:marBottom w:val="0"/>
      <w:divBdr>
        <w:top w:val="none" w:sz="0" w:space="0" w:color="auto"/>
        <w:left w:val="none" w:sz="0" w:space="0" w:color="auto"/>
        <w:bottom w:val="none" w:sz="0" w:space="0" w:color="auto"/>
        <w:right w:val="none" w:sz="0" w:space="0" w:color="auto"/>
      </w:divBdr>
    </w:div>
    <w:div w:id="351150495">
      <w:bodyDiv w:val="1"/>
      <w:marLeft w:val="0"/>
      <w:marRight w:val="0"/>
      <w:marTop w:val="0"/>
      <w:marBottom w:val="0"/>
      <w:divBdr>
        <w:top w:val="none" w:sz="0" w:space="0" w:color="auto"/>
        <w:left w:val="none" w:sz="0" w:space="0" w:color="auto"/>
        <w:bottom w:val="none" w:sz="0" w:space="0" w:color="auto"/>
        <w:right w:val="none" w:sz="0" w:space="0" w:color="auto"/>
      </w:divBdr>
    </w:div>
    <w:div w:id="587692130">
      <w:bodyDiv w:val="1"/>
      <w:marLeft w:val="0"/>
      <w:marRight w:val="0"/>
      <w:marTop w:val="0"/>
      <w:marBottom w:val="0"/>
      <w:divBdr>
        <w:top w:val="none" w:sz="0" w:space="0" w:color="auto"/>
        <w:left w:val="none" w:sz="0" w:space="0" w:color="auto"/>
        <w:bottom w:val="none" w:sz="0" w:space="0" w:color="auto"/>
        <w:right w:val="none" w:sz="0" w:space="0" w:color="auto"/>
      </w:divBdr>
    </w:div>
    <w:div w:id="615059748">
      <w:bodyDiv w:val="1"/>
      <w:marLeft w:val="0"/>
      <w:marRight w:val="0"/>
      <w:marTop w:val="0"/>
      <w:marBottom w:val="0"/>
      <w:divBdr>
        <w:top w:val="none" w:sz="0" w:space="0" w:color="auto"/>
        <w:left w:val="none" w:sz="0" w:space="0" w:color="auto"/>
        <w:bottom w:val="none" w:sz="0" w:space="0" w:color="auto"/>
        <w:right w:val="none" w:sz="0" w:space="0" w:color="auto"/>
      </w:divBdr>
      <w:divsChild>
        <w:div w:id="2005162395">
          <w:marLeft w:val="0"/>
          <w:marRight w:val="0"/>
          <w:marTop w:val="0"/>
          <w:marBottom w:val="0"/>
          <w:divBdr>
            <w:top w:val="none" w:sz="0" w:space="0" w:color="auto"/>
            <w:left w:val="none" w:sz="0" w:space="0" w:color="auto"/>
            <w:bottom w:val="none" w:sz="0" w:space="0" w:color="auto"/>
            <w:right w:val="none" w:sz="0" w:space="0" w:color="auto"/>
          </w:divBdr>
        </w:div>
      </w:divsChild>
    </w:div>
    <w:div w:id="807089553">
      <w:bodyDiv w:val="1"/>
      <w:marLeft w:val="0"/>
      <w:marRight w:val="0"/>
      <w:marTop w:val="0"/>
      <w:marBottom w:val="0"/>
      <w:divBdr>
        <w:top w:val="none" w:sz="0" w:space="0" w:color="auto"/>
        <w:left w:val="none" w:sz="0" w:space="0" w:color="auto"/>
        <w:bottom w:val="none" w:sz="0" w:space="0" w:color="auto"/>
        <w:right w:val="none" w:sz="0" w:space="0" w:color="auto"/>
      </w:divBdr>
    </w:div>
    <w:div w:id="850994717">
      <w:bodyDiv w:val="1"/>
      <w:marLeft w:val="0"/>
      <w:marRight w:val="0"/>
      <w:marTop w:val="0"/>
      <w:marBottom w:val="0"/>
      <w:divBdr>
        <w:top w:val="none" w:sz="0" w:space="0" w:color="auto"/>
        <w:left w:val="none" w:sz="0" w:space="0" w:color="auto"/>
        <w:bottom w:val="none" w:sz="0" w:space="0" w:color="auto"/>
        <w:right w:val="none" w:sz="0" w:space="0" w:color="auto"/>
      </w:divBdr>
    </w:div>
    <w:div w:id="1032341409">
      <w:bodyDiv w:val="1"/>
      <w:marLeft w:val="0"/>
      <w:marRight w:val="0"/>
      <w:marTop w:val="0"/>
      <w:marBottom w:val="0"/>
      <w:divBdr>
        <w:top w:val="none" w:sz="0" w:space="0" w:color="auto"/>
        <w:left w:val="none" w:sz="0" w:space="0" w:color="auto"/>
        <w:bottom w:val="none" w:sz="0" w:space="0" w:color="auto"/>
        <w:right w:val="none" w:sz="0" w:space="0" w:color="auto"/>
      </w:divBdr>
    </w:div>
    <w:div w:id="1159152343">
      <w:bodyDiv w:val="1"/>
      <w:marLeft w:val="0"/>
      <w:marRight w:val="0"/>
      <w:marTop w:val="0"/>
      <w:marBottom w:val="0"/>
      <w:divBdr>
        <w:top w:val="none" w:sz="0" w:space="0" w:color="auto"/>
        <w:left w:val="none" w:sz="0" w:space="0" w:color="auto"/>
        <w:bottom w:val="none" w:sz="0" w:space="0" w:color="auto"/>
        <w:right w:val="none" w:sz="0" w:space="0" w:color="auto"/>
      </w:divBdr>
    </w:div>
    <w:div w:id="1303927692">
      <w:bodyDiv w:val="1"/>
      <w:marLeft w:val="0"/>
      <w:marRight w:val="0"/>
      <w:marTop w:val="0"/>
      <w:marBottom w:val="0"/>
      <w:divBdr>
        <w:top w:val="none" w:sz="0" w:space="0" w:color="auto"/>
        <w:left w:val="none" w:sz="0" w:space="0" w:color="auto"/>
        <w:bottom w:val="none" w:sz="0" w:space="0" w:color="auto"/>
        <w:right w:val="none" w:sz="0" w:space="0" w:color="auto"/>
      </w:divBdr>
    </w:div>
    <w:div w:id="1357120222">
      <w:bodyDiv w:val="1"/>
      <w:marLeft w:val="0"/>
      <w:marRight w:val="0"/>
      <w:marTop w:val="0"/>
      <w:marBottom w:val="0"/>
      <w:divBdr>
        <w:top w:val="none" w:sz="0" w:space="0" w:color="auto"/>
        <w:left w:val="none" w:sz="0" w:space="0" w:color="auto"/>
        <w:bottom w:val="none" w:sz="0" w:space="0" w:color="auto"/>
        <w:right w:val="none" w:sz="0" w:space="0" w:color="auto"/>
      </w:divBdr>
    </w:div>
    <w:div w:id="1521510142">
      <w:bodyDiv w:val="1"/>
      <w:marLeft w:val="0"/>
      <w:marRight w:val="0"/>
      <w:marTop w:val="0"/>
      <w:marBottom w:val="0"/>
      <w:divBdr>
        <w:top w:val="none" w:sz="0" w:space="0" w:color="auto"/>
        <w:left w:val="none" w:sz="0" w:space="0" w:color="auto"/>
        <w:bottom w:val="none" w:sz="0" w:space="0" w:color="auto"/>
        <w:right w:val="none" w:sz="0" w:space="0" w:color="auto"/>
      </w:divBdr>
      <w:divsChild>
        <w:div w:id="815224443">
          <w:marLeft w:val="480"/>
          <w:marRight w:val="0"/>
          <w:marTop w:val="0"/>
          <w:marBottom w:val="0"/>
          <w:divBdr>
            <w:top w:val="none" w:sz="0" w:space="0" w:color="auto"/>
            <w:left w:val="none" w:sz="0" w:space="0" w:color="auto"/>
            <w:bottom w:val="none" w:sz="0" w:space="0" w:color="auto"/>
            <w:right w:val="none" w:sz="0" w:space="0" w:color="auto"/>
          </w:divBdr>
          <w:divsChild>
            <w:div w:id="122101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0985611">
      <w:bodyDiv w:val="1"/>
      <w:marLeft w:val="0"/>
      <w:marRight w:val="0"/>
      <w:marTop w:val="0"/>
      <w:marBottom w:val="0"/>
      <w:divBdr>
        <w:top w:val="none" w:sz="0" w:space="0" w:color="auto"/>
        <w:left w:val="none" w:sz="0" w:space="0" w:color="auto"/>
        <w:bottom w:val="none" w:sz="0" w:space="0" w:color="auto"/>
        <w:right w:val="none" w:sz="0" w:space="0" w:color="auto"/>
      </w:divBdr>
    </w:div>
    <w:div w:id="2138133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avid.pell@mrc-epid.cam.ac.uk"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DE2D269953F60489C8EB0B9F4FF6F90" ma:contentTypeVersion="9" ma:contentTypeDescription="Create a new document." ma:contentTypeScope="" ma:versionID="6fb2421c31d61430dff3b3a8c12ae2eb">
  <xsd:schema xmlns:xsd="http://www.w3.org/2001/XMLSchema" xmlns:xs="http://www.w3.org/2001/XMLSchema" xmlns:p="http://schemas.microsoft.com/office/2006/metadata/properties" xmlns:ns3="51bc8886-de70-4c92-9246-14c55265fedf" targetNamespace="http://schemas.microsoft.com/office/2006/metadata/properties" ma:root="true" ma:fieldsID="6eae7b42b0e837f7f9ef1a0c82786764" ns3:_="">
    <xsd:import namespace="51bc8886-de70-4c92-9246-14c55265fed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bc8886-de70-4c92-9246-14c55265fe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5CD12F88-08F8-4A64-802E-97C8FFF2705D}">
  <ds:schemaRefs>
    <ds:schemaRef ds:uri="http://schemas.microsoft.com/sharepoint/v3/contenttype/forms"/>
  </ds:schemaRefs>
</ds:datastoreItem>
</file>

<file path=customXml/itemProps2.xml><?xml version="1.0" encoding="utf-8"?>
<ds:datastoreItem xmlns:ds="http://schemas.openxmlformats.org/officeDocument/2006/customXml" ds:itemID="{0F81405B-9E34-4FB0-A053-BD58E9DA0D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bc8886-de70-4c92-9246-14c55265fe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76FF1F2-B202-42C6-81D0-348EA2304E6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43C7784-A111-4E34-B5B3-9E4A430594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27635</Words>
  <Characters>157524</Characters>
  <Application>Microsoft Office Word</Application>
  <DocSecurity>0</DocSecurity>
  <Lines>1312</Lines>
  <Paragraphs>369</Paragraphs>
  <ScaleCrop>false</ScaleCrop>
  <HeadingPairs>
    <vt:vector size="2" baseType="variant">
      <vt:variant>
        <vt:lpstr>Title</vt:lpstr>
      </vt:variant>
      <vt:variant>
        <vt:i4>1</vt:i4>
      </vt:variant>
    </vt:vector>
  </HeadingPairs>
  <TitlesOfParts>
    <vt:vector size="1" baseType="lpstr">
      <vt:lpstr/>
    </vt:vector>
  </TitlesOfParts>
  <Company>MRC Epidemiology Unit</Company>
  <LinksUpToDate>false</LinksUpToDate>
  <CharactersWithSpaces>184790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 Pell</dc:creator>
  <cp:lastModifiedBy>David Pell</cp:lastModifiedBy>
  <cp:revision>2</cp:revision>
  <cp:lastPrinted>2020-03-04T09:22:00Z</cp:lastPrinted>
  <dcterms:created xsi:type="dcterms:W3CDTF">2020-09-14T08:36:00Z</dcterms:created>
  <dcterms:modified xsi:type="dcterms:W3CDTF">2020-09-14T08:36:00Z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zotero-version="5.0.88"&gt;&lt;session id="gLAuuazi"/&gt;&lt;style id="http://www.zotero.org/styles/elsevier-vancouver"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y fmtid="{D5CDD505-2E9C-101B-9397-08002B2CF9AE}" pid="4" name="ContentTypeId">
    <vt:lpwstr>0x0101003DE2D269953F60489C8EB0B9F4FF6F90</vt:lpwstr>
  </property>
</Properties>
</file>