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5652C3" w14:textId="77777777" w:rsidR="002939D3" w:rsidRPr="00331306" w:rsidRDefault="002939D3" w:rsidP="002939D3">
      <w:pPr>
        <w:spacing w:line="240" w:lineRule="auto"/>
        <w:jc w:val="center"/>
        <w:rPr>
          <w:rFonts w:ascii="Times New Roman" w:hAnsi="Times New Roman" w:cs="Times New Roman"/>
          <w:b/>
          <w:color w:val="000000" w:themeColor="text1"/>
        </w:rPr>
      </w:pPr>
      <w:r w:rsidRPr="00331306">
        <w:rPr>
          <w:rFonts w:ascii="Times New Roman" w:hAnsi="Times New Roman" w:cs="Times New Roman"/>
          <w:b/>
          <w:color w:val="000000" w:themeColor="text1"/>
        </w:rPr>
        <w:t>Quality of Prostate MRI: Is the PI-RADS Standard Sufficient?</w:t>
      </w:r>
    </w:p>
    <w:p w14:paraId="45B201B2" w14:textId="77777777" w:rsidR="002939D3" w:rsidRDefault="002939D3" w:rsidP="002939D3">
      <w:pPr>
        <w:spacing w:after="0" w:line="240" w:lineRule="auto"/>
        <w:jc w:val="center"/>
        <w:rPr>
          <w:rFonts w:ascii="Times New Roman" w:hAnsi="Times New Roman" w:cs="Times New Roman"/>
          <w:bCs/>
          <w:color w:val="000000" w:themeColor="text1"/>
        </w:rPr>
      </w:pPr>
    </w:p>
    <w:p w14:paraId="58F7D112" w14:textId="77777777" w:rsidR="002939D3" w:rsidRPr="0015190B" w:rsidRDefault="002939D3" w:rsidP="002939D3">
      <w:pPr>
        <w:spacing w:after="0" w:line="240" w:lineRule="auto"/>
        <w:jc w:val="center"/>
        <w:rPr>
          <w:rFonts w:ascii="Times New Roman" w:hAnsi="Times New Roman" w:cs="Times New Roman"/>
          <w:bCs/>
          <w:color w:val="000000" w:themeColor="text1"/>
          <w:vertAlign w:val="superscript"/>
        </w:rPr>
      </w:pPr>
      <w:r w:rsidRPr="009B5747">
        <w:rPr>
          <w:rFonts w:ascii="Times New Roman" w:hAnsi="Times New Roman" w:cs="Times New Roman"/>
          <w:bCs/>
          <w:color w:val="000000" w:themeColor="text1"/>
        </w:rPr>
        <w:t>Jonathan Sackett B.S.</w:t>
      </w:r>
      <w:r>
        <w:rPr>
          <w:rFonts w:ascii="Times New Roman" w:hAnsi="Times New Roman" w:cs="Times New Roman"/>
          <w:bCs/>
          <w:color w:val="000000" w:themeColor="text1"/>
          <w:vertAlign w:val="superscript"/>
        </w:rPr>
        <w:t>1,2</w:t>
      </w:r>
      <w:r w:rsidRPr="009B5747">
        <w:rPr>
          <w:rFonts w:ascii="Times New Roman" w:hAnsi="Times New Roman" w:cs="Times New Roman"/>
          <w:bCs/>
          <w:color w:val="000000" w:themeColor="text1"/>
        </w:rPr>
        <w:t>; Joanna H. Shih PhD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Sarah E. Reese PhD</w:t>
      </w:r>
      <w:r>
        <w:rPr>
          <w:rFonts w:ascii="Times New Roman" w:hAnsi="Times New Roman" w:cs="Times New Roman"/>
          <w:bCs/>
          <w:color w:val="000000" w:themeColor="text1"/>
          <w:vertAlign w:val="superscript"/>
        </w:rPr>
        <w:t>3</w:t>
      </w:r>
      <w:r w:rsidRPr="009B5747">
        <w:rPr>
          <w:rFonts w:ascii="Times New Roman" w:hAnsi="Times New Roman" w:cs="Times New Roman"/>
          <w:bCs/>
          <w:color w:val="000000" w:themeColor="text1"/>
        </w:rPr>
        <w:t>; Jeffrey R. Brender PhD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Stephanie Harmon PhD</w:t>
      </w:r>
      <w:r>
        <w:rPr>
          <w:rFonts w:ascii="Times New Roman" w:hAnsi="Times New Roman" w:cs="Times New Roman"/>
          <w:bCs/>
          <w:color w:val="000000" w:themeColor="text1"/>
          <w:vertAlign w:val="superscript"/>
        </w:rPr>
        <w:t>1,4</w:t>
      </w:r>
      <w:r w:rsidRPr="009B5747">
        <w:rPr>
          <w:rFonts w:ascii="Times New Roman" w:hAnsi="Times New Roman" w:cs="Times New Roman"/>
          <w:bCs/>
          <w:color w:val="000000" w:themeColor="text1"/>
        </w:rPr>
        <w:t>; Tristan Barrett MD</w:t>
      </w:r>
      <w:r>
        <w:rPr>
          <w:rFonts w:ascii="Times New Roman" w:hAnsi="Times New Roman" w:cs="Times New Roman"/>
          <w:bCs/>
          <w:color w:val="000000" w:themeColor="text1"/>
          <w:vertAlign w:val="superscript"/>
        </w:rPr>
        <w:t>5</w:t>
      </w:r>
      <w:r w:rsidRPr="009B5747">
        <w:rPr>
          <w:rFonts w:ascii="Times New Roman" w:hAnsi="Times New Roman" w:cs="Times New Roman"/>
          <w:bCs/>
          <w:color w:val="000000" w:themeColor="text1"/>
        </w:rPr>
        <w:t>; Mehmet Coskun MD</w:t>
      </w:r>
      <w:r>
        <w:rPr>
          <w:rFonts w:ascii="Times New Roman" w:hAnsi="Times New Roman" w:cs="Times New Roman"/>
          <w:bCs/>
          <w:color w:val="000000" w:themeColor="text1"/>
          <w:vertAlign w:val="superscript"/>
        </w:rPr>
        <w:t>6</w:t>
      </w:r>
      <w:r w:rsidRPr="009B5747">
        <w:rPr>
          <w:rFonts w:ascii="Times New Roman" w:hAnsi="Times New Roman" w:cs="Times New Roman"/>
          <w:bCs/>
          <w:color w:val="000000" w:themeColor="text1"/>
        </w:rPr>
        <w:t>; Manuel Madariaga MD</w:t>
      </w:r>
      <w:r>
        <w:rPr>
          <w:rFonts w:ascii="Times New Roman" w:hAnsi="Times New Roman" w:cs="Times New Roman"/>
          <w:bCs/>
          <w:color w:val="000000" w:themeColor="text1"/>
          <w:vertAlign w:val="superscript"/>
        </w:rPr>
        <w:t>7</w:t>
      </w:r>
      <w:r w:rsidRPr="009B5747">
        <w:rPr>
          <w:rFonts w:ascii="Times New Roman" w:hAnsi="Times New Roman" w:cs="Times New Roman"/>
          <w:bCs/>
          <w:color w:val="000000" w:themeColor="text1"/>
        </w:rPr>
        <w:t>; Jamie Marko MD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Yan Mee Law MD</w:t>
      </w:r>
      <w:r>
        <w:rPr>
          <w:rFonts w:ascii="Times New Roman" w:hAnsi="Times New Roman" w:cs="Times New Roman"/>
          <w:bCs/>
          <w:color w:val="000000" w:themeColor="text1"/>
          <w:vertAlign w:val="superscript"/>
        </w:rPr>
        <w:t>8</w:t>
      </w:r>
      <w:r w:rsidRPr="009B5747">
        <w:rPr>
          <w:rFonts w:ascii="Times New Roman" w:hAnsi="Times New Roman" w:cs="Times New Roman"/>
          <w:bCs/>
          <w:color w:val="000000" w:themeColor="text1"/>
        </w:rPr>
        <w:t xml:space="preserve">; Evrim </w:t>
      </w:r>
      <w:r>
        <w:rPr>
          <w:rFonts w:ascii="Times New Roman" w:hAnsi="Times New Roman" w:cs="Times New Roman"/>
          <w:bCs/>
          <w:color w:val="000000" w:themeColor="text1"/>
        </w:rPr>
        <w:t xml:space="preserve">B. </w:t>
      </w:r>
      <w:r w:rsidRPr="009B5747">
        <w:rPr>
          <w:rFonts w:ascii="Times New Roman" w:hAnsi="Times New Roman" w:cs="Times New Roman"/>
          <w:bCs/>
          <w:color w:val="000000" w:themeColor="text1"/>
        </w:rPr>
        <w:t>Turkbey MD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Sherif Mehralivand MD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Thomas Sanford MD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Nathan Lay PhD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Peter A. Pinto MD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Bradford J. Wood MD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Peter L. Choyke MD</w:t>
      </w:r>
      <w:r>
        <w:rPr>
          <w:rFonts w:ascii="Times New Roman" w:hAnsi="Times New Roman" w:cs="Times New Roman"/>
          <w:bCs/>
          <w:color w:val="000000" w:themeColor="text1"/>
          <w:vertAlign w:val="superscript"/>
        </w:rPr>
        <w:t>1</w:t>
      </w:r>
      <w:r w:rsidRPr="009B5747">
        <w:rPr>
          <w:rFonts w:ascii="Times New Roman" w:hAnsi="Times New Roman" w:cs="Times New Roman"/>
          <w:bCs/>
          <w:color w:val="000000" w:themeColor="text1"/>
        </w:rPr>
        <w:t>; Baris Turkbey MD</w:t>
      </w:r>
      <w:r>
        <w:rPr>
          <w:rFonts w:ascii="Times New Roman" w:hAnsi="Times New Roman" w:cs="Times New Roman"/>
          <w:bCs/>
          <w:color w:val="000000" w:themeColor="text1"/>
          <w:vertAlign w:val="superscript"/>
        </w:rPr>
        <w:t>1</w:t>
      </w:r>
    </w:p>
    <w:p w14:paraId="361C7D5A" w14:textId="77777777" w:rsidR="002939D3" w:rsidRDefault="002939D3" w:rsidP="002939D3">
      <w:pPr>
        <w:spacing w:after="0" w:line="240" w:lineRule="auto"/>
        <w:jc w:val="center"/>
        <w:rPr>
          <w:rFonts w:ascii="Times New Roman" w:hAnsi="Times New Roman" w:cs="Times New Roman"/>
          <w:b/>
          <w:color w:val="000000" w:themeColor="text1"/>
        </w:rPr>
      </w:pPr>
    </w:p>
    <w:p w14:paraId="7E01A90D" w14:textId="77777777" w:rsidR="002939D3" w:rsidRPr="00331306" w:rsidRDefault="002939D3" w:rsidP="002939D3">
      <w:pPr>
        <w:spacing w:after="0" w:line="240" w:lineRule="auto"/>
        <w:jc w:val="center"/>
        <w:rPr>
          <w:rFonts w:ascii="Times New Roman" w:hAnsi="Times New Roman" w:cs="Times New Roman"/>
          <w:bCs/>
          <w:color w:val="000000" w:themeColor="text1"/>
        </w:rPr>
      </w:pPr>
      <w:r w:rsidRPr="00331306">
        <w:rPr>
          <w:rFonts w:ascii="Times New Roman" w:hAnsi="Times New Roman" w:cs="Times New Roman"/>
          <w:bCs/>
          <w:color w:val="000000" w:themeColor="text1"/>
        </w:rPr>
        <w:t>1 National Cancer Institute, National Institutes of Health, Bethesda, MD, USA</w:t>
      </w:r>
    </w:p>
    <w:p w14:paraId="20BF633E" w14:textId="77777777" w:rsidR="002939D3" w:rsidRPr="00331306" w:rsidRDefault="002939D3" w:rsidP="002939D3">
      <w:pPr>
        <w:spacing w:after="0" w:line="240" w:lineRule="auto"/>
        <w:jc w:val="center"/>
        <w:rPr>
          <w:rFonts w:ascii="Times New Roman" w:hAnsi="Times New Roman" w:cs="Times New Roman"/>
          <w:bCs/>
          <w:color w:val="000000" w:themeColor="text1"/>
        </w:rPr>
      </w:pPr>
      <w:r w:rsidRPr="00331306">
        <w:rPr>
          <w:rFonts w:ascii="Times New Roman" w:hAnsi="Times New Roman" w:cs="Times New Roman"/>
          <w:bCs/>
          <w:color w:val="000000" w:themeColor="text1"/>
        </w:rPr>
        <w:t>2 Loma Linda University School of Medicine, Loma Linda, CA, USA</w:t>
      </w:r>
    </w:p>
    <w:p w14:paraId="694EFD3D" w14:textId="77777777" w:rsidR="002939D3" w:rsidRPr="00331306" w:rsidRDefault="002939D3" w:rsidP="002939D3">
      <w:pPr>
        <w:spacing w:after="0" w:line="240" w:lineRule="auto"/>
        <w:jc w:val="center"/>
        <w:rPr>
          <w:rFonts w:ascii="Times New Roman" w:hAnsi="Times New Roman" w:cs="Times New Roman"/>
          <w:bCs/>
          <w:color w:val="000000" w:themeColor="text1"/>
        </w:rPr>
      </w:pPr>
      <w:r w:rsidRPr="00331306">
        <w:rPr>
          <w:rFonts w:ascii="Times New Roman" w:hAnsi="Times New Roman" w:cs="Times New Roman"/>
          <w:bCs/>
          <w:color w:val="000000" w:themeColor="text1"/>
        </w:rPr>
        <w:t>3</w:t>
      </w:r>
      <w:r>
        <w:rPr>
          <w:rFonts w:ascii="Times New Roman" w:hAnsi="Times New Roman" w:cs="Times New Roman"/>
          <w:bCs/>
          <w:color w:val="000000" w:themeColor="text1"/>
        </w:rPr>
        <w:t xml:space="preserve"> </w:t>
      </w:r>
      <w:r w:rsidRPr="00331306">
        <w:rPr>
          <w:rFonts w:ascii="Times New Roman" w:hAnsi="Times New Roman" w:cs="Times New Roman"/>
          <w:bCs/>
          <w:color w:val="000000" w:themeColor="text1"/>
        </w:rPr>
        <w:t>General Dynamics Information Technology, Falls Church, VA, USA</w:t>
      </w:r>
    </w:p>
    <w:p w14:paraId="16560473" w14:textId="77777777" w:rsidR="002939D3" w:rsidRPr="00331306" w:rsidRDefault="002939D3" w:rsidP="002939D3">
      <w:pPr>
        <w:spacing w:after="0" w:line="240" w:lineRule="auto"/>
        <w:jc w:val="center"/>
        <w:rPr>
          <w:rFonts w:ascii="Times New Roman" w:hAnsi="Times New Roman" w:cs="Times New Roman"/>
          <w:bCs/>
          <w:color w:val="000000" w:themeColor="text1"/>
        </w:rPr>
      </w:pPr>
      <w:r>
        <w:rPr>
          <w:rFonts w:ascii="Times New Roman" w:hAnsi="Times New Roman" w:cs="Times New Roman"/>
          <w:bCs/>
          <w:color w:val="000000" w:themeColor="text1"/>
        </w:rPr>
        <w:t xml:space="preserve">4 </w:t>
      </w:r>
      <w:r w:rsidRPr="00331306">
        <w:rPr>
          <w:rFonts w:ascii="Times New Roman" w:hAnsi="Times New Roman" w:cs="Times New Roman"/>
          <w:bCs/>
          <w:color w:val="000000" w:themeColor="text1"/>
        </w:rPr>
        <w:t>Leidos Biomedical Research, Inc., NCI Campus at Frederick, Clinical Research</w:t>
      </w:r>
      <w:r>
        <w:rPr>
          <w:rFonts w:ascii="Times New Roman" w:hAnsi="Times New Roman" w:cs="Times New Roman"/>
          <w:bCs/>
          <w:color w:val="000000" w:themeColor="text1"/>
        </w:rPr>
        <w:t xml:space="preserve"> </w:t>
      </w:r>
      <w:r w:rsidRPr="00331306">
        <w:rPr>
          <w:rFonts w:ascii="Times New Roman" w:hAnsi="Times New Roman" w:cs="Times New Roman"/>
          <w:bCs/>
          <w:color w:val="000000" w:themeColor="text1"/>
        </w:rPr>
        <w:t>Directorate/Clinical Monitoring Research Program, Bethesda, MD, USA</w:t>
      </w:r>
    </w:p>
    <w:p w14:paraId="7CF569D8" w14:textId="77777777" w:rsidR="002939D3" w:rsidRPr="00331306" w:rsidRDefault="002939D3" w:rsidP="002939D3">
      <w:pPr>
        <w:spacing w:after="0" w:line="240" w:lineRule="auto"/>
        <w:jc w:val="center"/>
        <w:rPr>
          <w:rFonts w:ascii="Times New Roman" w:hAnsi="Times New Roman" w:cs="Times New Roman"/>
          <w:bCs/>
          <w:color w:val="000000" w:themeColor="text1"/>
        </w:rPr>
      </w:pPr>
      <w:r w:rsidRPr="00331306">
        <w:rPr>
          <w:rFonts w:ascii="Times New Roman" w:hAnsi="Times New Roman" w:cs="Times New Roman"/>
          <w:bCs/>
          <w:color w:val="000000" w:themeColor="text1"/>
        </w:rPr>
        <w:t>5 University of Cambridge School of Clinical Medicine, Cambridge UK</w:t>
      </w:r>
    </w:p>
    <w:p w14:paraId="6DEA7AE7" w14:textId="77777777" w:rsidR="002939D3" w:rsidRPr="00331306" w:rsidRDefault="002939D3" w:rsidP="002939D3">
      <w:pPr>
        <w:spacing w:after="0" w:line="240" w:lineRule="auto"/>
        <w:jc w:val="center"/>
        <w:rPr>
          <w:rFonts w:ascii="Times New Roman" w:hAnsi="Times New Roman" w:cs="Times New Roman"/>
          <w:bCs/>
          <w:color w:val="000000" w:themeColor="text1"/>
        </w:rPr>
      </w:pPr>
      <w:r w:rsidRPr="00331306">
        <w:rPr>
          <w:rFonts w:ascii="Times New Roman" w:hAnsi="Times New Roman" w:cs="Times New Roman"/>
          <w:bCs/>
          <w:color w:val="000000" w:themeColor="text1"/>
        </w:rPr>
        <w:t>6 Department of Radiology, Dr. Behcet Uz Child Disease and Pediatric Surgery Training and Research Hospital, University of Health Sciences, İzmir, Turkey</w:t>
      </w:r>
    </w:p>
    <w:p w14:paraId="5779DE49" w14:textId="77777777" w:rsidR="002939D3" w:rsidRPr="00331306" w:rsidRDefault="002939D3" w:rsidP="002939D3">
      <w:pPr>
        <w:spacing w:after="0" w:line="240" w:lineRule="auto"/>
        <w:jc w:val="center"/>
        <w:rPr>
          <w:rFonts w:ascii="Times New Roman" w:hAnsi="Times New Roman" w:cs="Times New Roman"/>
          <w:bCs/>
          <w:color w:val="000000" w:themeColor="text1"/>
        </w:rPr>
      </w:pPr>
      <w:r w:rsidRPr="00331306">
        <w:rPr>
          <w:rFonts w:ascii="Times New Roman" w:hAnsi="Times New Roman" w:cs="Times New Roman"/>
          <w:bCs/>
          <w:color w:val="000000" w:themeColor="text1"/>
        </w:rPr>
        <w:t>7 Department of Radiology, San Jose Hospital, Santiago, Chile</w:t>
      </w:r>
    </w:p>
    <w:p w14:paraId="795185C9" w14:textId="77777777" w:rsidR="002939D3" w:rsidRPr="00331306" w:rsidRDefault="002939D3" w:rsidP="002939D3">
      <w:pPr>
        <w:spacing w:after="0" w:line="240" w:lineRule="auto"/>
        <w:jc w:val="center"/>
        <w:rPr>
          <w:rFonts w:ascii="Times New Roman" w:hAnsi="Times New Roman" w:cs="Times New Roman"/>
          <w:bCs/>
          <w:color w:val="000000" w:themeColor="text1"/>
        </w:rPr>
      </w:pPr>
      <w:r w:rsidRPr="00331306">
        <w:rPr>
          <w:rFonts w:ascii="Times New Roman" w:hAnsi="Times New Roman" w:cs="Times New Roman"/>
          <w:bCs/>
          <w:color w:val="000000" w:themeColor="text1"/>
        </w:rPr>
        <w:t>8 Department of Diagnostic Radiology, Singapore General Hospital, Singapore.</w:t>
      </w:r>
    </w:p>
    <w:p w14:paraId="4786661B" w14:textId="77777777" w:rsidR="002939D3" w:rsidRDefault="002939D3" w:rsidP="002939D3">
      <w:pPr>
        <w:spacing w:after="0" w:line="240" w:lineRule="auto"/>
        <w:jc w:val="both"/>
        <w:rPr>
          <w:rFonts w:ascii="Times New Roman" w:hAnsi="Times New Roman" w:cs="Times New Roman"/>
          <w:b/>
          <w:bCs/>
          <w:color w:val="000000" w:themeColor="text1"/>
        </w:rPr>
      </w:pPr>
    </w:p>
    <w:p w14:paraId="0A07FDD7" w14:textId="77777777" w:rsidR="002939D3" w:rsidRDefault="002939D3" w:rsidP="002939D3">
      <w:pPr>
        <w:spacing w:after="0" w:line="240" w:lineRule="auto"/>
        <w:jc w:val="both"/>
        <w:rPr>
          <w:rFonts w:ascii="Times New Roman" w:hAnsi="Times New Roman" w:cs="Times New Roman"/>
          <w:color w:val="000000" w:themeColor="text1"/>
        </w:rPr>
      </w:pPr>
      <w:r>
        <w:rPr>
          <w:rFonts w:ascii="Times New Roman" w:hAnsi="Times New Roman" w:cs="Times New Roman"/>
          <w:b/>
          <w:bCs/>
          <w:color w:val="000000" w:themeColor="text1"/>
        </w:rPr>
        <w:t>Corresponding Author:</w:t>
      </w:r>
      <w:r>
        <w:rPr>
          <w:rFonts w:ascii="Times New Roman" w:hAnsi="Times New Roman" w:cs="Times New Roman"/>
          <w:color w:val="000000" w:themeColor="text1"/>
        </w:rPr>
        <w:t xml:space="preserve"> </w:t>
      </w:r>
    </w:p>
    <w:p w14:paraId="6FA1E763" w14:textId="77777777" w:rsidR="002939D3" w:rsidRDefault="002939D3" w:rsidP="002939D3">
      <w:pPr>
        <w:spacing w:after="0" w:line="240" w:lineRule="auto"/>
        <w:jc w:val="both"/>
        <w:rPr>
          <w:rFonts w:ascii="Times New Roman" w:hAnsi="Times New Roman" w:cs="Times New Roman"/>
          <w:color w:val="000000" w:themeColor="text1"/>
        </w:rPr>
      </w:pPr>
      <w:r>
        <w:rPr>
          <w:rFonts w:ascii="Times New Roman" w:hAnsi="Times New Roman" w:cs="Times New Roman"/>
          <w:color w:val="000000" w:themeColor="text1"/>
        </w:rPr>
        <w:t>Baris Turkbey MD</w:t>
      </w:r>
    </w:p>
    <w:p w14:paraId="3136A957" w14:textId="77777777" w:rsidR="002939D3" w:rsidRDefault="002939D3" w:rsidP="002939D3">
      <w:pPr>
        <w:spacing w:after="0" w:line="240" w:lineRule="auto"/>
        <w:jc w:val="both"/>
        <w:rPr>
          <w:rFonts w:ascii="Times New Roman" w:hAnsi="Times New Roman" w:cs="Times New Roman"/>
          <w:color w:val="000000" w:themeColor="text1"/>
        </w:rPr>
      </w:pPr>
    </w:p>
    <w:p w14:paraId="190B497F" w14:textId="77777777" w:rsidR="002939D3" w:rsidRPr="00331306" w:rsidRDefault="002939D3" w:rsidP="002939D3">
      <w:pPr>
        <w:spacing w:after="0" w:line="240" w:lineRule="auto"/>
        <w:jc w:val="both"/>
        <w:rPr>
          <w:rFonts w:ascii="Times New Roman" w:hAnsi="Times New Roman" w:cs="Times New Roman"/>
          <w:color w:val="000000" w:themeColor="text1"/>
        </w:rPr>
      </w:pPr>
    </w:p>
    <w:p w14:paraId="610F4D46" w14:textId="77777777" w:rsidR="002939D3" w:rsidRPr="00F17733" w:rsidRDefault="002939D3" w:rsidP="002939D3">
      <w:pPr>
        <w:spacing w:after="0" w:line="240" w:lineRule="auto"/>
        <w:jc w:val="both"/>
        <w:rPr>
          <w:rFonts w:ascii="Times New Roman" w:hAnsi="Times New Roman" w:cs="Times New Roman"/>
          <w:b/>
          <w:bCs/>
          <w:color w:val="000000" w:themeColor="text1"/>
        </w:rPr>
      </w:pPr>
      <w:r w:rsidRPr="00F17733">
        <w:rPr>
          <w:rFonts w:ascii="Times New Roman" w:hAnsi="Times New Roman" w:cs="Times New Roman"/>
          <w:b/>
          <w:bCs/>
          <w:color w:val="000000" w:themeColor="text1"/>
        </w:rPr>
        <w:t>Abbreviations:</w:t>
      </w:r>
    </w:p>
    <w:p w14:paraId="231462DA" w14:textId="77777777" w:rsidR="002939D3" w:rsidRDefault="002939D3" w:rsidP="002939D3">
      <w:pPr>
        <w:spacing w:after="0" w:line="24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PCa – Prostate Cancer, CSPCa – Clinically significant prostate cancer, TRUS – Transrectal ultrasound, mpMRI – multi-parametric MRI, PI-RADS - </w:t>
      </w:r>
      <w:r w:rsidRPr="009D4387">
        <w:rPr>
          <w:rFonts w:ascii="Times New Roman" w:hAnsi="Times New Roman" w:cs="Times New Roman"/>
          <w:color w:val="000000" w:themeColor="text1"/>
        </w:rPr>
        <w:t>Prostate Imaging Reporting and Data System</w:t>
      </w:r>
      <w:r>
        <w:rPr>
          <w:rFonts w:ascii="Times New Roman" w:hAnsi="Times New Roman" w:cs="Times New Roman"/>
          <w:color w:val="000000" w:themeColor="text1"/>
        </w:rPr>
        <w:t xml:space="preserve">, MTS – Minimum Technical Standards, FOV – field-of-view, </w:t>
      </w:r>
      <w:r w:rsidRPr="006E2AB2">
        <w:rPr>
          <w:rFonts w:ascii="Times New Roman" w:eastAsia="Times New Roman" w:hAnsi="Times New Roman" w:cs="Times New Roman"/>
          <w:color w:val="000000"/>
        </w:rPr>
        <w:t>IPRP</w:t>
      </w:r>
      <w:r>
        <w:rPr>
          <w:rFonts w:ascii="Times New Roman" w:eastAsia="Times New Roman" w:hAnsi="Times New Roman" w:cs="Times New Roman"/>
          <w:color w:val="000000"/>
        </w:rPr>
        <w:t xml:space="preserve"> - </w:t>
      </w:r>
      <w:r w:rsidRPr="006E2AB2">
        <w:rPr>
          <w:rFonts w:ascii="Times New Roman" w:eastAsia="Times New Roman" w:hAnsi="Times New Roman" w:cs="Times New Roman"/>
          <w:color w:val="000000"/>
        </w:rPr>
        <w:t>in-plane resolution phase</w:t>
      </w:r>
      <w:r>
        <w:rPr>
          <w:rFonts w:ascii="Times New Roman" w:hAnsi="Times New Roman" w:cs="Times New Roman"/>
          <w:color w:val="000000" w:themeColor="text1"/>
        </w:rPr>
        <w:t xml:space="preserve">, </w:t>
      </w:r>
      <w:r w:rsidRPr="006E2AB2">
        <w:rPr>
          <w:rFonts w:ascii="Times New Roman" w:eastAsia="Times New Roman" w:hAnsi="Times New Roman" w:cs="Times New Roman"/>
          <w:color w:val="000000"/>
        </w:rPr>
        <w:t>IPR</w:t>
      </w:r>
      <w:r>
        <w:rPr>
          <w:rFonts w:ascii="Times New Roman" w:eastAsia="Times New Roman" w:hAnsi="Times New Roman" w:cs="Times New Roman"/>
          <w:color w:val="000000"/>
        </w:rPr>
        <w:t xml:space="preserve">F - </w:t>
      </w:r>
      <w:r w:rsidRPr="006E2AB2">
        <w:rPr>
          <w:rFonts w:ascii="Times New Roman" w:eastAsia="Times New Roman" w:hAnsi="Times New Roman" w:cs="Times New Roman"/>
          <w:color w:val="000000"/>
        </w:rPr>
        <w:t>in-plane resolution</w:t>
      </w:r>
      <w:r>
        <w:rPr>
          <w:rFonts w:ascii="Times New Roman" w:eastAsia="Times New Roman" w:hAnsi="Times New Roman" w:cs="Times New Roman"/>
          <w:color w:val="000000"/>
        </w:rPr>
        <w:t xml:space="preserve"> frequency</w:t>
      </w:r>
      <w:r>
        <w:rPr>
          <w:rFonts w:ascii="Times New Roman" w:hAnsi="Times New Roman" w:cs="Times New Roman"/>
          <w:color w:val="000000" w:themeColor="text1"/>
        </w:rPr>
        <w:t>, ST – Slice Thickness, SG – Slice Gap</w:t>
      </w:r>
    </w:p>
    <w:p w14:paraId="602118AA" w14:textId="77777777" w:rsidR="002939D3" w:rsidRPr="006F36BC" w:rsidRDefault="002939D3" w:rsidP="002939D3">
      <w:pPr>
        <w:spacing w:after="0" w:line="240" w:lineRule="auto"/>
        <w:jc w:val="both"/>
        <w:rPr>
          <w:rFonts w:ascii="Times New Roman" w:hAnsi="Times New Roman" w:cs="Times New Roman"/>
          <w:bCs/>
          <w:color w:val="000000" w:themeColor="text1"/>
        </w:rPr>
      </w:pPr>
    </w:p>
    <w:p w14:paraId="70BC18EE" w14:textId="77777777" w:rsidR="002939D3" w:rsidRPr="00331306" w:rsidRDefault="002939D3" w:rsidP="002939D3">
      <w:pPr>
        <w:spacing w:after="0" w:line="240" w:lineRule="auto"/>
        <w:jc w:val="both"/>
        <w:rPr>
          <w:rFonts w:ascii="Times New Roman" w:hAnsi="Times New Roman" w:cs="Times New Roman"/>
          <w:color w:val="000000" w:themeColor="text1"/>
        </w:rPr>
      </w:pPr>
      <w:r>
        <w:rPr>
          <w:rFonts w:ascii="Times New Roman" w:hAnsi="Times New Roman" w:cs="Times New Roman"/>
          <w:b/>
          <w:bCs/>
          <w:color w:val="000000" w:themeColor="text1"/>
        </w:rPr>
        <w:t>Acknowledgements</w:t>
      </w:r>
      <w:r>
        <w:rPr>
          <w:rFonts w:ascii="Times New Roman" w:hAnsi="Times New Roman" w:cs="Times New Roman"/>
          <w:b/>
          <w:color w:val="000000" w:themeColor="text1"/>
        </w:rPr>
        <w:t xml:space="preserve">: </w:t>
      </w:r>
      <w:r w:rsidRPr="00C131D2">
        <w:rPr>
          <w:rFonts w:ascii="Times New Roman" w:hAnsi="Times New Roman" w:cs="Times New Roman"/>
          <w:color w:val="000000" w:themeColor="text1"/>
        </w:rPr>
        <w:t>The content of this publication does not necessarily reflect the views or policies of the Department of Health and Human Services, nor does mention of trade names, commercial products, or organizations imply endorsement by the US Government</w:t>
      </w:r>
      <w:r>
        <w:rPr>
          <w:rFonts w:ascii="Times New Roman" w:hAnsi="Times New Roman" w:cs="Times New Roman"/>
          <w:color w:val="000000" w:themeColor="text1"/>
        </w:rPr>
        <w:t>.</w:t>
      </w:r>
    </w:p>
    <w:p w14:paraId="7B15673B" w14:textId="77777777" w:rsidR="002939D3" w:rsidRDefault="002939D3" w:rsidP="002939D3">
      <w:pPr>
        <w:spacing w:after="0" w:line="240" w:lineRule="auto"/>
        <w:jc w:val="both"/>
        <w:rPr>
          <w:rFonts w:ascii="Times New Roman" w:hAnsi="Times New Roman" w:cs="Times New Roman"/>
          <w:color w:val="000000" w:themeColor="text1"/>
        </w:rPr>
      </w:pPr>
    </w:p>
    <w:p w14:paraId="7F263D8A" w14:textId="77777777" w:rsidR="002939D3" w:rsidRDefault="002939D3" w:rsidP="002939D3">
      <w:pPr>
        <w:spacing w:after="0" w:line="240" w:lineRule="auto"/>
        <w:jc w:val="both"/>
        <w:rPr>
          <w:rFonts w:ascii="Times New Roman" w:hAnsi="Times New Roman" w:cs="Times New Roman"/>
          <w:color w:val="000000" w:themeColor="text1"/>
        </w:rPr>
      </w:pPr>
      <w:r w:rsidRPr="00331306">
        <w:rPr>
          <w:rFonts w:ascii="Times New Roman" w:hAnsi="Times New Roman" w:cs="Times New Roman"/>
          <w:b/>
          <w:bCs/>
          <w:color w:val="000000" w:themeColor="text1"/>
        </w:rPr>
        <w:t>Grant Support</w:t>
      </w:r>
      <w:r>
        <w:rPr>
          <w:rFonts w:ascii="Times New Roman" w:hAnsi="Times New Roman" w:cs="Times New Roman"/>
          <w:color w:val="000000" w:themeColor="text1"/>
        </w:rPr>
        <w:t xml:space="preserve">: </w:t>
      </w:r>
      <w:r w:rsidRPr="009B5747">
        <w:rPr>
          <w:rFonts w:ascii="Times New Roman" w:hAnsi="Times New Roman" w:cs="Times New Roman"/>
          <w:color w:val="000000" w:themeColor="text1"/>
        </w:rPr>
        <w:t>This research was made possible through the NIH Medical Research Scholars Program, a public-private partnership supported jointly by the NIH and contributions to the Foundation for the NIH from the Doris Duke Charitable Foundation (DDCF Grant #2014194), the American Association for Dental Research, the Colgate-Palmolive Company, Genentech, Elsevier, and other private donors.</w:t>
      </w:r>
    </w:p>
    <w:p w14:paraId="7913C1C1" w14:textId="77777777" w:rsidR="002939D3" w:rsidRPr="00331306" w:rsidRDefault="002939D3" w:rsidP="002939D3">
      <w:pPr>
        <w:spacing w:after="0" w:line="240" w:lineRule="auto"/>
        <w:jc w:val="both"/>
        <w:rPr>
          <w:rFonts w:ascii="Times New Roman" w:hAnsi="Times New Roman" w:cs="Times New Roman"/>
          <w:color w:val="000000" w:themeColor="text1"/>
        </w:rPr>
      </w:pPr>
    </w:p>
    <w:p w14:paraId="05FCF53D" w14:textId="77777777" w:rsidR="002939D3" w:rsidRDefault="002939D3" w:rsidP="002939D3">
      <w:pPr>
        <w:rPr>
          <w:rFonts w:ascii="Times New Roman" w:hAnsi="Times New Roman" w:cs="Times New Roman"/>
          <w:bCs/>
          <w:color w:val="000000" w:themeColor="text1"/>
        </w:rPr>
      </w:pPr>
      <w:r w:rsidRPr="00331306">
        <w:rPr>
          <w:rFonts w:ascii="Times New Roman" w:hAnsi="Times New Roman" w:cs="Times New Roman"/>
          <w:b/>
          <w:bCs/>
        </w:rPr>
        <w:t>Running Title:</w:t>
      </w:r>
      <w:r>
        <w:rPr>
          <w:rFonts w:ascii="Times New Roman" w:hAnsi="Times New Roman" w:cs="Times New Roman"/>
          <w:b/>
          <w:bCs/>
        </w:rPr>
        <w:t xml:space="preserve"> </w:t>
      </w:r>
      <w:r w:rsidRPr="007279F6">
        <w:rPr>
          <w:rFonts w:ascii="Times New Roman" w:hAnsi="Times New Roman" w:cs="Times New Roman"/>
          <w:bCs/>
          <w:color w:val="000000" w:themeColor="text1"/>
        </w:rPr>
        <w:t>Quality of Prostate MRI: Is the PI-RADS Standard Sufficient?</w:t>
      </w:r>
    </w:p>
    <w:p w14:paraId="5458DCD5" w14:textId="77777777" w:rsidR="002939D3" w:rsidRPr="00B9296E" w:rsidRDefault="002939D3" w:rsidP="002939D3"/>
    <w:p w14:paraId="178B25BC" w14:textId="77777777" w:rsidR="002939D3" w:rsidRDefault="002939D3">
      <w:pPr>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br w:type="page"/>
      </w:r>
    </w:p>
    <w:p w14:paraId="2A91ACC0" w14:textId="701CAFA4" w:rsidR="000D3B35" w:rsidRDefault="004C4F7E" w:rsidP="000D3B35">
      <w:pPr>
        <w:jc w:val="both"/>
        <w:rPr>
          <w:rFonts w:ascii="Times New Roman" w:hAnsi="Times New Roman" w:cs="Times New Roman"/>
          <w:b/>
          <w:color w:val="000000" w:themeColor="text1"/>
          <w:sz w:val="32"/>
          <w:szCs w:val="32"/>
        </w:rPr>
      </w:pPr>
      <w:bookmarkStart w:id="0" w:name="_GoBack"/>
      <w:bookmarkEnd w:id="0"/>
      <w:r w:rsidRPr="00703345">
        <w:rPr>
          <w:rFonts w:ascii="Times New Roman" w:hAnsi="Times New Roman" w:cs="Times New Roman"/>
          <w:b/>
          <w:color w:val="000000" w:themeColor="text1"/>
          <w:sz w:val="32"/>
          <w:szCs w:val="32"/>
        </w:rPr>
        <w:lastRenderedPageBreak/>
        <w:t>Quality of Prostate MRI: Is the PI-RADS Standard Sufficient?</w:t>
      </w:r>
    </w:p>
    <w:p w14:paraId="738CC09B" w14:textId="77777777" w:rsidR="00BC5EF5" w:rsidRDefault="00BC5EF5" w:rsidP="000D3B35">
      <w:pPr>
        <w:jc w:val="both"/>
        <w:rPr>
          <w:rFonts w:ascii="Times New Roman" w:hAnsi="Times New Roman" w:cs="Times New Roman"/>
          <w:b/>
          <w:color w:val="000000" w:themeColor="text1"/>
          <w:sz w:val="32"/>
          <w:szCs w:val="32"/>
        </w:rPr>
      </w:pPr>
    </w:p>
    <w:p w14:paraId="0050F33F" w14:textId="4C711DD1" w:rsidR="00457CA0" w:rsidRPr="000D3B35" w:rsidRDefault="00457CA0" w:rsidP="000D3B35">
      <w:pPr>
        <w:spacing w:after="0"/>
        <w:rPr>
          <w:rFonts w:ascii="Times New Roman" w:hAnsi="Times New Roman" w:cs="Times New Roman"/>
          <w:color w:val="000000" w:themeColor="text1"/>
          <w:sz w:val="32"/>
          <w:szCs w:val="32"/>
        </w:rPr>
      </w:pPr>
      <w:r w:rsidRPr="000D3B35">
        <w:rPr>
          <w:rFonts w:ascii="Times New Roman" w:hAnsi="Times New Roman" w:cs="Times New Roman"/>
          <w:b/>
          <w:color w:val="000000" w:themeColor="text1"/>
          <w:sz w:val="32"/>
          <w:szCs w:val="32"/>
        </w:rPr>
        <w:t>Abstract</w:t>
      </w:r>
    </w:p>
    <w:p w14:paraId="3C905795" w14:textId="7549A824" w:rsidR="00916B0F" w:rsidRDefault="0047138F" w:rsidP="00F17733">
      <w:pPr>
        <w:spacing w:after="0"/>
        <w:jc w:val="both"/>
        <w:rPr>
          <w:rFonts w:ascii="Times New Roman" w:eastAsia="Calibri" w:hAnsi="Times New Roman" w:cs="Times New Roman"/>
        </w:rPr>
      </w:pPr>
      <w:r>
        <w:rPr>
          <w:rFonts w:ascii="Times New Roman" w:hAnsi="Times New Roman" w:cs="Times New Roman"/>
          <w:b/>
          <w:color w:val="000000" w:themeColor="text1"/>
        </w:rPr>
        <w:t>Rationale and Objective</w:t>
      </w:r>
      <w:r w:rsidR="00E83644" w:rsidRPr="00E83644">
        <w:rPr>
          <w:rFonts w:ascii="Times New Roman" w:hAnsi="Times New Roman" w:cs="Times New Roman"/>
          <w:b/>
          <w:color w:val="000000" w:themeColor="text1"/>
        </w:rPr>
        <w:t>:</w:t>
      </w:r>
      <w:r w:rsidR="007D4894">
        <w:rPr>
          <w:rFonts w:ascii="Times New Roman" w:hAnsi="Times New Roman" w:cs="Times New Roman"/>
          <w:b/>
          <w:color w:val="000000" w:themeColor="text1"/>
        </w:rPr>
        <w:t xml:space="preserve"> </w:t>
      </w:r>
      <w:r w:rsidR="00DE0FC7">
        <w:rPr>
          <w:rFonts w:ascii="Times New Roman" w:hAnsi="Times New Roman" w:cs="Times New Roman"/>
        </w:rPr>
        <w:t>The Prostate Imaging Reporting and Data System version 2 (</w:t>
      </w:r>
      <w:r w:rsidR="00457CA0" w:rsidRPr="005E03D9">
        <w:rPr>
          <w:rFonts w:ascii="Times New Roman" w:hAnsi="Times New Roman" w:cs="Times New Roman"/>
        </w:rPr>
        <w:t>PI</w:t>
      </w:r>
      <w:r w:rsidR="00A064E1">
        <w:rPr>
          <w:rFonts w:ascii="Times New Roman" w:hAnsi="Times New Roman" w:cs="Times New Roman"/>
        </w:rPr>
        <w:t>-</w:t>
      </w:r>
      <w:r w:rsidR="00457CA0" w:rsidRPr="005E03D9">
        <w:rPr>
          <w:rFonts w:ascii="Times New Roman" w:hAnsi="Times New Roman" w:cs="Times New Roman"/>
        </w:rPr>
        <w:t>RADSv2</w:t>
      </w:r>
      <w:r w:rsidR="00DE0FC7">
        <w:rPr>
          <w:rFonts w:ascii="Times New Roman" w:hAnsi="Times New Roman" w:cs="Times New Roman"/>
        </w:rPr>
        <w:t>)</w:t>
      </w:r>
      <w:r w:rsidR="00457CA0" w:rsidRPr="005E03D9">
        <w:rPr>
          <w:rFonts w:ascii="Times New Roman" w:hAnsi="Times New Roman" w:cs="Times New Roman"/>
        </w:rPr>
        <w:t xml:space="preserve"> published a set of</w:t>
      </w:r>
      <w:r w:rsidR="00997FDE">
        <w:rPr>
          <w:rFonts w:ascii="Times New Roman" w:hAnsi="Times New Roman" w:cs="Times New Roman"/>
        </w:rPr>
        <w:t xml:space="preserve"> </w:t>
      </w:r>
      <w:r w:rsidR="00C30AB0">
        <w:rPr>
          <w:rFonts w:ascii="Times New Roman" w:hAnsi="Times New Roman" w:cs="Times New Roman"/>
        </w:rPr>
        <w:t>Minimum Technical Standards</w:t>
      </w:r>
      <w:r w:rsidR="00894F11">
        <w:rPr>
          <w:rFonts w:ascii="Times New Roman" w:hAnsi="Times New Roman" w:cs="Times New Roman"/>
        </w:rPr>
        <w:t xml:space="preserve"> (MTS)</w:t>
      </w:r>
      <w:r w:rsidR="00457CA0" w:rsidRPr="005E03D9">
        <w:rPr>
          <w:rFonts w:ascii="Times New Roman" w:hAnsi="Times New Roman" w:cs="Times New Roman"/>
        </w:rPr>
        <w:t xml:space="preserve"> to improve image quality and reduce variability</w:t>
      </w:r>
      <w:r w:rsidR="00B51806">
        <w:rPr>
          <w:rFonts w:ascii="Times New Roman" w:hAnsi="Times New Roman" w:cs="Times New Roman"/>
        </w:rPr>
        <w:t xml:space="preserve"> in Multi-parametric prostate MRI (mpMRI)</w:t>
      </w:r>
      <w:r w:rsidR="00457CA0" w:rsidRPr="005E03D9">
        <w:rPr>
          <w:rFonts w:ascii="Times New Roman" w:hAnsi="Times New Roman" w:cs="Times New Roman"/>
        </w:rPr>
        <w:t>.</w:t>
      </w:r>
      <w:r w:rsidR="00997FDE">
        <w:rPr>
          <w:rFonts w:ascii="Times New Roman" w:hAnsi="Times New Roman" w:cs="Times New Roman"/>
        </w:rPr>
        <w:t xml:space="preserve"> </w:t>
      </w:r>
      <w:r w:rsidR="00772534">
        <w:rPr>
          <w:rFonts w:ascii="Times New Roman" w:hAnsi="Times New Roman" w:cs="Times New Roman"/>
          <w:color w:val="000000" w:themeColor="text1"/>
        </w:rPr>
        <w:t>The effect of</w:t>
      </w:r>
      <w:r w:rsidR="00997FDE">
        <w:rPr>
          <w:rFonts w:ascii="Times New Roman" w:hAnsi="Times New Roman" w:cs="Times New Roman"/>
          <w:color w:val="000000" w:themeColor="text1"/>
        </w:rPr>
        <w:t xml:space="preserve"> PIRADSv2 </w:t>
      </w:r>
      <w:r w:rsidR="00894F11">
        <w:rPr>
          <w:rFonts w:ascii="Times New Roman" w:hAnsi="Times New Roman" w:cs="Times New Roman"/>
          <w:color w:val="000000" w:themeColor="text1"/>
        </w:rPr>
        <w:t xml:space="preserve">MTS </w:t>
      </w:r>
      <w:r w:rsidR="00997FDE">
        <w:rPr>
          <w:rFonts w:ascii="Times New Roman" w:hAnsi="Times New Roman" w:cs="Times New Roman"/>
          <w:color w:val="000000" w:themeColor="text1"/>
        </w:rPr>
        <w:t>on image quality ha</w:t>
      </w:r>
      <w:r w:rsidR="00772534">
        <w:rPr>
          <w:rFonts w:ascii="Times New Roman" w:hAnsi="Times New Roman" w:cs="Times New Roman"/>
          <w:color w:val="000000" w:themeColor="text1"/>
        </w:rPr>
        <w:t>s</w:t>
      </w:r>
      <w:r w:rsidR="00997FDE">
        <w:rPr>
          <w:rFonts w:ascii="Times New Roman" w:hAnsi="Times New Roman" w:cs="Times New Roman"/>
          <w:color w:val="000000" w:themeColor="text1"/>
        </w:rPr>
        <w:t xml:space="preserve"> </w:t>
      </w:r>
      <w:r w:rsidR="00894F11">
        <w:rPr>
          <w:rFonts w:ascii="Times New Roman" w:hAnsi="Times New Roman" w:cs="Times New Roman"/>
          <w:color w:val="000000" w:themeColor="text1"/>
        </w:rPr>
        <w:t>not</w:t>
      </w:r>
      <w:r w:rsidR="00997FDE">
        <w:rPr>
          <w:rFonts w:ascii="Times New Roman" w:hAnsi="Times New Roman" w:cs="Times New Roman"/>
          <w:color w:val="000000" w:themeColor="text1"/>
        </w:rPr>
        <w:t xml:space="preserve"> been validated.</w:t>
      </w:r>
      <w:r w:rsidR="00457CA0" w:rsidRPr="005E03D9">
        <w:rPr>
          <w:rFonts w:ascii="Times New Roman" w:hAnsi="Times New Roman" w:cs="Times New Roman"/>
        </w:rPr>
        <w:t xml:space="preserve"> </w:t>
      </w:r>
      <w:r>
        <w:rPr>
          <w:rFonts w:ascii="Times New Roman" w:hAnsi="Times New Roman" w:cs="Times New Roman"/>
        </w:rPr>
        <w:t>We aimed t</w:t>
      </w:r>
      <w:r w:rsidR="007D4894">
        <w:rPr>
          <w:rFonts w:ascii="Times New Roman" w:hAnsi="Times New Roman" w:cs="Times New Roman"/>
        </w:rPr>
        <w:t>o</w:t>
      </w:r>
      <w:r w:rsidR="00457CA0" w:rsidRPr="005E03D9">
        <w:rPr>
          <w:rFonts w:ascii="Times New Roman" w:eastAsia="Calibri" w:hAnsi="Times New Roman" w:cs="Times New Roman"/>
        </w:rPr>
        <w:t xml:space="preserve"> determine whether </w:t>
      </w:r>
      <w:r w:rsidR="001A387A">
        <w:rPr>
          <w:rFonts w:ascii="Times New Roman" w:eastAsia="Calibri" w:hAnsi="Times New Roman" w:cs="Times New Roman"/>
        </w:rPr>
        <w:t>adherence to</w:t>
      </w:r>
      <w:r w:rsidR="00457CA0" w:rsidRPr="005E03D9">
        <w:rPr>
          <w:rFonts w:ascii="Times New Roman" w:eastAsia="Calibri" w:hAnsi="Times New Roman" w:cs="Times New Roman"/>
        </w:rPr>
        <w:t xml:space="preserve"> PI</w:t>
      </w:r>
      <w:r w:rsidR="00A064E1">
        <w:rPr>
          <w:rFonts w:ascii="Times New Roman" w:eastAsia="Calibri" w:hAnsi="Times New Roman" w:cs="Times New Roman"/>
        </w:rPr>
        <w:t>-</w:t>
      </w:r>
      <w:r w:rsidR="00457CA0" w:rsidRPr="005E03D9">
        <w:rPr>
          <w:rFonts w:ascii="Times New Roman" w:eastAsia="Calibri" w:hAnsi="Times New Roman" w:cs="Times New Roman"/>
        </w:rPr>
        <w:t>RADSv2</w:t>
      </w:r>
      <w:r w:rsidR="00775DC6">
        <w:rPr>
          <w:rFonts w:ascii="Times New Roman" w:eastAsia="Calibri" w:hAnsi="Times New Roman" w:cs="Times New Roman"/>
        </w:rPr>
        <w:t xml:space="preserve"> </w:t>
      </w:r>
      <w:r w:rsidR="00894F11">
        <w:rPr>
          <w:rFonts w:ascii="Times New Roman" w:eastAsia="Calibri" w:hAnsi="Times New Roman" w:cs="Times New Roman"/>
        </w:rPr>
        <w:t xml:space="preserve">MTS </w:t>
      </w:r>
      <w:r w:rsidR="00772534">
        <w:rPr>
          <w:rFonts w:ascii="Times New Roman" w:eastAsia="Calibri" w:hAnsi="Times New Roman" w:cs="Times New Roman"/>
        </w:rPr>
        <w:t>improves</w:t>
      </w:r>
      <w:r w:rsidR="00916B0F">
        <w:rPr>
          <w:rFonts w:ascii="Times New Roman" w:eastAsia="Calibri" w:hAnsi="Times New Roman" w:cs="Times New Roman"/>
        </w:rPr>
        <w:t xml:space="preserve"> </w:t>
      </w:r>
      <w:r w:rsidR="00BC3A85">
        <w:rPr>
          <w:rFonts w:ascii="Times New Roman" w:eastAsia="Calibri" w:hAnsi="Times New Roman" w:cs="Times New Roman"/>
        </w:rPr>
        <w:t xml:space="preserve">study adequacy and </w:t>
      </w:r>
      <w:r w:rsidR="00457CA0" w:rsidRPr="005E03D9">
        <w:rPr>
          <w:rFonts w:ascii="Times New Roman" w:eastAsia="Calibri" w:hAnsi="Times New Roman" w:cs="Times New Roman"/>
        </w:rPr>
        <w:t>perceived quality</w:t>
      </w:r>
      <w:r w:rsidR="00AA3747">
        <w:rPr>
          <w:rFonts w:ascii="Times New Roman" w:eastAsia="Calibri" w:hAnsi="Times New Roman" w:cs="Times New Roman"/>
        </w:rPr>
        <w:t>.</w:t>
      </w:r>
    </w:p>
    <w:p w14:paraId="2091FE20" w14:textId="66561C31" w:rsidR="00B51806" w:rsidRPr="00B51806" w:rsidRDefault="0047138F" w:rsidP="0047138F">
      <w:pPr>
        <w:spacing w:after="0"/>
        <w:jc w:val="both"/>
        <w:rPr>
          <w:rFonts w:ascii="Times New Roman" w:hAnsi="Times New Roman" w:cs="Times New Roman"/>
          <w:color w:val="000000" w:themeColor="text1"/>
        </w:rPr>
      </w:pPr>
      <w:r>
        <w:rPr>
          <w:rFonts w:ascii="Times New Roman" w:eastAsia="Calibri" w:hAnsi="Times New Roman" w:cs="Times New Roman"/>
          <w:b/>
          <w:bCs/>
        </w:rPr>
        <w:t>Methods</w:t>
      </w:r>
      <w:r w:rsidR="004B50D0">
        <w:rPr>
          <w:rFonts w:ascii="Times New Roman" w:eastAsia="Calibri" w:hAnsi="Times New Roman" w:cs="Times New Roman"/>
        </w:rPr>
        <w:t xml:space="preserve">: </w:t>
      </w:r>
      <w:r w:rsidRPr="005E03D9">
        <w:rPr>
          <w:rFonts w:ascii="Times New Roman" w:eastAsia="Calibri" w:hAnsi="Times New Roman" w:cs="Times New Roman"/>
        </w:rPr>
        <w:t xml:space="preserve">62 prostate MRI examinations including T2W and DWI </w:t>
      </w:r>
      <w:r w:rsidRPr="005753F4">
        <w:rPr>
          <w:rFonts w:ascii="Times New Roman" w:eastAsia="Calibri" w:hAnsi="Times New Roman" w:cs="Times New Roman"/>
        </w:rPr>
        <w:t>consecutively referred to our center</w:t>
      </w:r>
      <w:r w:rsidRPr="00634253">
        <w:rPr>
          <w:rFonts w:ascii="Times New Roman" w:eastAsia="Calibri" w:hAnsi="Times New Roman" w:cs="Times New Roman"/>
        </w:rPr>
        <w:t xml:space="preserve"> </w:t>
      </w:r>
      <w:r w:rsidRPr="005E03D9">
        <w:rPr>
          <w:rFonts w:ascii="Times New Roman" w:eastAsia="Calibri" w:hAnsi="Times New Roman" w:cs="Times New Roman"/>
        </w:rPr>
        <w:t xml:space="preserve">from 62 different institutions </w:t>
      </w:r>
      <w:r w:rsidRPr="009D4387">
        <w:rPr>
          <w:rFonts w:ascii="Times New Roman" w:hAnsi="Times New Roman" w:cs="Times New Roman"/>
          <w:color w:val="000000" w:themeColor="text1"/>
        </w:rPr>
        <w:t xml:space="preserve">within </w:t>
      </w:r>
      <w:r>
        <w:rPr>
          <w:rFonts w:ascii="Times New Roman" w:hAnsi="Times New Roman" w:cs="Times New Roman"/>
          <w:color w:val="000000" w:themeColor="text1"/>
        </w:rPr>
        <w:t xml:space="preserve">a </w:t>
      </w:r>
      <w:r w:rsidRPr="009D4387">
        <w:rPr>
          <w:rFonts w:ascii="Times New Roman" w:hAnsi="Times New Roman" w:cs="Times New Roman"/>
          <w:color w:val="000000" w:themeColor="text1"/>
        </w:rPr>
        <w:t>12</w:t>
      </w:r>
      <w:r>
        <w:rPr>
          <w:rFonts w:ascii="Times New Roman" w:hAnsi="Times New Roman" w:cs="Times New Roman"/>
          <w:color w:val="000000" w:themeColor="text1"/>
        </w:rPr>
        <w:t>-</w:t>
      </w:r>
      <w:r w:rsidRPr="009D4387">
        <w:rPr>
          <w:rFonts w:ascii="Times New Roman" w:hAnsi="Times New Roman" w:cs="Times New Roman"/>
          <w:color w:val="000000" w:themeColor="text1"/>
        </w:rPr>
        <w:t>month</w:t>
      </w:r>
      <w:r>
        <w:rPr>
          <w:rFonts w:ascii="Times New Roman" w:hAnsi="Times New Roman" w:cs="Times New Roman"/>
          <w:color w:val="000000" w:themeColor="text1"/>
        </w:rPr>
        <w:t xml:space="preserve"> period (September 2017-September 2018) were included</w:t>
      </w:r>
      <w:r w:rsidRPr="005E03D9">
        <w:rPr>
          <w:rFonts w:ascii="Times New Roman" w:eastAsia="Calibri" w:hAnsi="Times New Roman" w:cs="Times New Roman"/>
        </w:rPr>
        <w:t xml:space="preserve">. 6 readers assessed images as adequate or inadequate for use in PCa detection and </w:t>
      </w:r>
      <w:r>
        <w:rPr>
          <w:rFonts w:ascii="Times New Roman" w:eastAsia="Calibri" w:hAnsi="Times New Roman" w:cs="Times New Roman"/>
        </w:rPr>
        <w:t>a numerical</w:t>
      </w:r>
      <w:r w:rsidRPr="005E03D9">
        <w:rPr>
          <w:rFonts w:ascii="Times New Roman" w:eastAsia="Calibri" w:hAnsi="Times New Roman" w:cs="Times New Roman"/>
        </w:rPr>
        <w:t xml:space="preserve"> image quality</w:t>
      </w:r>
      <w:r>
        <w:rPr>
          <w:rFonts w:ascii="Times New Roman" w:eastAsia="Calibri" w:hAnsi="Times New Roman" w:cs="Times New Roman"/>
        </w:rPr>
        <w:t xml:space="preserve"> ranking was given</w:t>
      </w:r>
      <w:r w:rsidRPr="005E03D9">
        <w:rPr>
          <w:rFonts w:ascii="Times New Roman" w:eastAsia="Calibri" w:hAnsi="Times New Roman" w:cs="Times New Roman"/>
        </w:rPr>
        <w:t xml:space="preserve"> </w:t>
      </w:r>
      <w:r>
        <w:rPr>
          <w:rFonts w:ascii="Times New Roman" w:eastAsia="Calibri" w:hAnsi="Times New Roman" w:cs="Times New Roman"/>
        </w:rPr>
        <w:t>using</w:t>
      </w:r>
      <w:r w:rsidRPr="005E03D9">
        <w:rPr>
          <w:rFonts w:ascii="Times New Roman" w:eastAsia="Calibri" w:hAnsi="Times New Roman" w:cs="Times New Roman"/>
        </w:rPr>
        <w:t xml:space="preserve"> a 1-5 scale.</w:t>
      </w:r>
      <w:r>
        <w:rPr>
          <w:rFonts w:ascii="Times New Roman" w:eastAsia="Calibri" w:hAnsi="Times New Roman" w:cs="Times New Roman"/>
        </w:rPr>
        <w:t xml:space="preserve"> The</w:t>
      </w:r>
      <w:r w:rsidRPr="005E03D9">
        <w:rPr>
          <w:rFonts w:ascii="Times New Roman" w:eastAsia="Calibri" w:hAnsi="Times New Roman" w:cs="Times New Roman"/>
        </w:rPr>
        <w:t xml:space="preserve"> PI</w:t>
      </w:r>
      <w:r>
        <w:rPr>
          <w:rFonts w:ascii="Times New Roman" w:eastAsia="Calibri" w:hAnsi="Times New Roman" w:cs="Times New Roman"/>
        </w:rPr>
        <w:t>-</w:t>
      </w:r>
      <w:r w:rsidRPr="005E03D9">
        <w:rPr>
          <w:rFonts w:ascii="Times New Roman" w:eastAsia="Calibri" w:hAnsi="Times New Roman" w:cs="Times New Roman"/>
        </w:rPr>
        <w:t xml:space="preserve">RADSv2 </w:t>
      </w:r>
      <w:r>
        <w:rPr>
          <w:rFonts w:ascii="Times New Roman" w:eastAsia="Calibri" w:hAnsi="Times New Roman" w:cs="Times New Roman"/>
        </w:rPr>
        <w:t>Minimum T</w:t>
      </w:r>
      <w:r w:rsidRPr="005E03D9">
        <w:rPr>
          <w:rFonts w:ascii="Times New Roman" w:eastAsia="Calibri" w:hAnsi="Times New Roman" w:cs="Times New Roman"/>
        </w:rPr>
        <w:t xml:space="preserve">echnical </w:t>
      </w:r>
      <w:r>
        <w:rPr>
          <w:rFonts w:ascii="Times New Roman" w:eastAsia="Calibri" w:hAnsi="Times New Roman" w:cs="Times New Roman"/>
        </w:rPr>
        <w:t>Standards</w:t>
      </w:r>
      <w:r w:rsidRPr="005E03D9">
        <w:rPr>
          <w:rFonts w:ascii="Times New Roman" w:eastAsia="Calibri" w:hAnsi="Times New Roman" w:cs="Times New Roman"/>
        </w:rPr>
        <w:t xml:space="preserve"> were synthesized into sets of 7 and 10 rules for T2W and DWI, respectively. Image </w:t>
      </w:r>
      <w:r>
        <w:rPr>
          <w:rFonts w:ascii="Times New Roman" w:eastAsia="Calibri" w:hAnsi="Times New Roman" w:cs="Times New Roman"/>
        </w:rPr>
        <w:t>adherence</w:t>
      </w:r>
      <w:r w:rsidRPr="005E03D9">
        <w:rPr>
          <w:rFonts w:ascii="Times New Roman" w:eastAsia="Calibri" w:hAnsi="Times New Roman" w:cs="Times New Roman"/>
        </w:rPr>
        <w:t xml:space="preserve"> was assessed using DICOM metadata. Statistical analysis of survey results and image </w:t>
      </w:r>
      <w:r>
        <w:rPr>
          <w:rFonts w:ascii="Times New Roman" w:eastAsia="Calibri" w:hAnsi="Times New Roman" w:cs="Times New Roman"/>
        </w:rPr>
        <w:t>adherence</w:t>
      </w:r>
      <w:r w:rsidRPr="005E03D9">
        <w:rPr>
          <w:rFonts w:ascii="Times New Roman" w:eastAsia="Calibri" w:hAnsi="Times New Roman" w:cs="Times New Roman"/>
        </w:rPr>
        <w:t xml:space="preserve"> was performed based on reader quality scoring (Kendall Rank Tau-b) and reader adequate scoring (Wilcoxon test for association) for T2 and DWI quality assessm</w:t>
      </w:r>
      <w:r>
        <w:rPr>
          <w:rFonts w:ascii="Times New Roman" w:eastAsia="Calibri" w:hAnsi="Times New Roman" w:cs="Times New Roman"/>
        </w:rPr>
        <w:t>ent.</w:t>
      </w:r>
    </w:p>
    <w:p w14:paraId="35425D25" w14:textId="79F7A8B8" w:rsidR="00622837" w:rsidRPr="00DE0FC7" w:rsidRDefault="00622837" w:rsidP="00F17733">
      <w:pPr>
        <w:spacing w:after="0"/>
        <w:jc w:val="both"/>
        <w:rPr>
          <w:rFonts w:ascii="Times New Roman" w:hAnsi="Times New Roman" w:cs="Times New Roman"/>
          <w:color w:val="000000" w:themeColor="text1"/>
        </w:rPr>
      </w:pPr>
      <w:r w:rsidRPr="00DE0FC7">
        <w:rPr>
          <w:rFonts w:ascii="Times New Roman" w:hAnsi="Times New Roman" w:cs="Times New Roman"/>
          <w:b/>
          <w:color w:val="000000" w:themeColor="text1"/>
        </w:rPr>
        <w:t>Results</w:t>
      </w:r>
      <w:r w:rsidRPr="00DE0FC7">
        <w:rPr>
          <w:rFonts w:ascii="Times New Roman" w:hAnsi="Times New Roman" w:cs="Times New Roman"/>
          <w:color w:val="000000" w:themeColor="text1"/>
        </w:rPr>
        <w:t>:</w:t>
      </w:r>
      <w:r w:rsidR="00537877" w:rsidRPr="005E03D9">
        <w:rPr>
          <w:rFonts w:ascii="Times New Roman" w:eastAsia="Calibri" w:hAnsi="Times New Roman" w:cs="Times New Roman"/>
        </w:rPr>
        <w:t xml:space="preserve"> </w:t>
      </w:r>
      <w:r w:rsidR="005C5756">
        <w:rPr>
          <w:rFonts w:ascii="Times New Roman" w:eastAsia="Calibri" w:hAnsi="Times New Roman" w:cs="Times New Roman"/>
        </w:rPr>
        <w:t xml:space="preserve">Out of </w:t>
      </w:r>
      <w:r w:rsidR="00537877" w:rsidRPr="005E03D9">
        <w:rPr>
          <w:rFonts w:ascii="Times New Roman" w:eastAsia="Calibri" w:hAnsi="Times New Roman" w:cs="Times New Roman"/>
        </w:rPr>
        <w:t xml:space="preserve">62 </w:t>
      </w:r>
      <w:r w:rsidR="005C5756">
        <w:rPr>
          <w:rFonts w:ascii="Times New Roman" w:eastAsia="Calibri" w:hAnsi="Times New Roman" w:cs="Times New Roman"/>
        </w:rPr>
        <w:t xml:space="preserve">images, </w:t>
      </w:r>
      <w:r w:rsidR="00537877" w:rsidRPr="005E03D9">
        <w:rPr>
          <w:rFonts w:ascii="Times New Roman" w:eastAsia="Calibri" w:hAnsi="Times New Roman" w:cs="Times New Roman"/>
        </w:rPr>
        <w:t>52 (83%) T2</w:t>
      </w:r>
      <w:r w:rsidR="00E30118">
        <w:rPr>
          <w:rFonts w:ascii="Times New Roman" w:eastAsia="Calibri" w:hAnsi="Times New Roman" w:cs="Times New Roman"/>
        </w:rPr>
        <w:t>W</w:t>
      </w:r>
      <w:r w:rsidR="00537877" w:rsidRPr="005E03D9">
        <w:rPr>
          <w:rFonts w:ascii="Times New Roman" w:eastAsia="Calibri" w:hAnsi="Times New Roman" w:cs="Times New Roman"/>
        </w:rPr>
        <w:t xml:space="preserve"> and 38 (61%) DW images were rated to be adequate by a majority of readers. Reader adequacy scores showed no significant association </w:t>
      </w:r>
      <w:r w:rsidR="00E9729D">
        <w:rPr>
          <w:rFonts w:ascii="Times New Roman" w:eastAsia="Calibri" w:hAnsi="Times New Roman" w:cs="Times New Roman"/>
        </w:rPr>
        <w:t>with</w:t>
      </w:r>
      <w:r w:rsidR="00E9729D" w:rsidRPr="005E03D9">
        <w:rPr>
          <w:rFonts w:ascii="Times New Roman" w:eastAsia="Calibri" w:hAnsi="Times New Roman" w:cs="Times New Roman"/>
        </w:rPr>
        <w:t xml:space="preserve"> </w:t>
      </w:r>
      <w:r w:rsidR="00E9729D">
        <w:rPr>
          <w:rFonts w:ascii="Times New Roman" w:eastAsia="Calibri" w:hAnsi="Times New Roman" w:cs="Times New Roman"/>
        </w:rPr>
        <w:t>adherence to PI-RADSv2</w:t>
      </w:r>
      <w:r w:rsidR="00537877" w:rsidRPr="005E03D9">
        <w:rPr>
          <w:rFonts w:ascii="Times New Roman" w:eastAsia="Calibri" w:hAnsi="Times New Roman" w:cs="Times New Roman"/>
        </w:rPr>
        <w:t>.</w:t>
      </w:r>
      <w:r w:rsidR="00D600FE">
        <w:rPr>
          <w:rFonts w:ascii="Times New Roman" w:eastAsia="Calibri" w:hAnsi="Times New Roman" w:cs="Times New Roman"/>
        </w:rPr>
        <w:t xml:space="preserve"> </w:t>
      </w:r>
      <w:r w:rsidR="00537877" w:rsidRPr="005E03D9">
        <w:rPr>
          <w:rFonts w:ascii="Times New Roman" w:eastAsia="Calibri" w:hAnsi="Times New Roman" w:cs="Times New Roman"/>
        </w:rPr>
        <w:t>There was a weak (tau-b=0.22)</w:t>
      </w:r>
      <w:r w:rsidR="00457CA0" w:rsidRPr="005E03D9">
        <w:rPr>
          <w:rFonts w:ascii="Times New Roman" w:eastAsia="Calibri" w:hAnsi="Times New Roman" w:cs="Times New Roman"/>
        </w:rPr>
        <w:t xml:space="preserve"> but significant (p-value=0.01)</w:t>
      </w:r>
      <w:r w:rsidR="00BC3A85">
        <w:rPr>
          <w:rFonts w:ascii="Times New Roman" w:eastAsia="Calibri" w:hAnsi="Times New Roman" w:cs="Times New Roman"/>
        </w:rPr>
        <w:t xml:space="preserve"> </w:t>
      </w:r>
      <w:r w:rsidR="00457CA0" w:rsidRPr="005E03D9">
        <w:rPr>
          <w:rFonts w:ascii="Times New Roman" w:eastAsia="Calibri" w:hAnsi="Times New Roman" w:cs="Times New Roman"/>
        </w:rPr>
        <w:t xml:space="preserve">correlation </w:t>
      </w:r>
      <w:r w:rsidR="00537877" w:rsidRPr="005E03D9">
        <w:rPr>
          <w:rFonts w:ascii="Times New Roman" w:eastAsia="Calibri" w:hAnsi="Times New Roman" w:cs="Times New Roman"/>
        </w:rPr>
        <w:t xml:space="preserve">between </w:t>
      </w:r>
      <w:r w:rsidR="00775DC6">
        <w:rPr>
          <w:rFonts w:ascii="Times New Roman" w:eastAsia="Calibri" w:hAnsi="Times New Roman" w:cs="Times New Roman"/>
        </w:rPr>
        <w:t>adherence</w:t>
      </w:r>
      <w:r w:rsidR="00537877" w:rsidRPr="005E03D9">
        <w:rPr>
          <w:rFonts w:ascii="Times New Roman" w:eastAsia="Calibri" w:hAnsi="Times New Roman" w:cs="Times New Roman"/>
        </w:rPr>
        <w:t xml:space="preserve"> </w:t>
      </w:r>
      <w:r w:rsidR="00775DC6">
        <w:rPr>
          <w:rFonts w:ascii="Times New Roman" w:eastAsia="Calibri" w:hAnsi="Times New Roman" w:cs="Times New Roman"/>
        </w:rPr>
        <w:t>to</w:t>
      </w:r>
      <w:r w:rsidR="00537877" w:rsidRPr="005E03D9">
        <w:rPr>
          <w:rFonts w:ascii="Times New Roman" w:eastAsia="Calibri" w:hAnsi="Times New Roman" w:cs="Times New Roman"/>
        </w:rPr>
        <w:t xml:space="preserve"> PIRADSv2 </w:t>
      </w:r>
      <w:r w:rsidR="00894F11">
        <w:rPr>
          <w:rFonts w:ascii="Times New Roman" w:eastAsia="Calibri" w:hAnsi="Times New Roman" w:cs="Times New Roman"/>
        </w:rPr>
        <w:t>MTS</w:t>
      </w:r>
      <w:r w:rsidR="00537877" w:rsidRPr="005E03D9">
        <w:rPr>
          <w:rFonts w:ascii="Times New Roman" w:eastAsia="Calibri" w:hAnsi="Times New Roman" w:cs="Times New Roman"/>
        </w:rPr>
        <w:t xml:space="preserve"> and image quality for T2</w:t>
      </w:r>
      <w:r w:rsidR="00E30118">
        <w:rPr>
          <w:rFonts w:ascii="Times New Roman" w:eastAsia="Calibri" w:hAnsi="Times New Roman" w:cs="Times New Roman"/>
        </w:rPr>
        <w:t>W</w:t>
      </w:r>
      <w:r w:rsidR="00537877" w:rsidRPr="005E03D9">
        <w:rPr>
          <w:rFonts w:ascii="Times New Roman" w:eastAsia="Calibri" w:hAnsi="Times New Roman" w:cs="Times New Roman"/>
        </w:rPr>
        <w:t>.</w:t>
      </w:r>
      <w:r w:rsidR="00BC3A85">
        <w:rPr>
          <w:rFonts w:ascii="Times New Roman" w:eastAsia="Calibri" w:hAnsi="Times New Roman" w:cs="Times New Roman"/>
        </w:rPr>
        <w:t xml:space="preserve"> </w:t>
      </w:r>
      <w:r w:rsidR="00BC3A85" w:rsidRPr="005E03D9">
        <w:rPr>
          <w:rFonts w:ascii="Times New Roman" w:eastAsia="Calibri" w:hAnsi="Times New Roman" w:cs="Times New Roman"/>
        </w:rPr>
        <w:t>Studies following all PI-RADSv2 T2</w:t>
      </w:r>
      <w:r w:rsidR="00E30118">
        <w:rPr>
          <w:rFonts w:ascii="Times New Roman" w:eastAsia="Calibri" w:hAnsi="Times New Roman" w:cs="Times New Roman"/>
        </w:rPr>
        <w:t>W</w:t>
      </w:r>
      <w:r w:rsidR="00BC3A85" w:rsidRPr="005E03D9">
        <w:rPr>
          <w:rFonts w:ascii="Times New Roman" w:eastAsia="Calibri" w:hAnsi="Times New Roman" w:cs="Times New Roman"/>
        </w:rPr>
        <w:t xml:space="preserve"> rules achieved a higher </w:t>
      </w:r>
      <w:r w:rsidR="009B44D5">
        <w:rPr>
          <w:rFonts w:ascii="Times New Roman" w:eastAsia="Calibri" w:hAnsi="Times New Roman" w:cs="Times New Roman"/>
        </w:rPr>
        <w:t xml:space="preserve">median </w:t>
      </w:r>
      <w:r w:rsidR="00BC3A85" w:rsidRPr="005E03D9">
        <w:rPr>
          <w:rFonts w:ascii="Times New Roman" w:eastAsia="Calibri" w:hAnsi="Times New Roman" w:cs="Times New Roman"/>
        </w:rPr>
        <w:t>average quality score (</w:t>
      </w:r>
      <w:r w:rsidR="009B44D5" w:rsidRPr="005E03D9">
        <w:rPr>
          <w:rFonts w:ascii="Times New Roman" w:eastAsia="Calibri" w:hAnsi="Times New Roman" w:cs="Times New Roman"/>
        </w:rPr>
        <w:t>3.58</w:t>
      </w:r>
      <w:r w:rsidR="009B44D5">
        <w:rPr>
          <w:rFonts w:ascii="Times New Roman" w:eastAsia="Calibri" w:hAnsi="Times New Roman" w:cs="Times New Roman"/>
        </w:rPr>
        <w:t xml:space="preserve"> </w:t>
      </w:r>
      <w:r w:rsidR="00BC3A85" w:rsidRPr="005E03D9">
        <w:rPr>
          <w:rFonts w:ascii="Times New Roman" w:eastAsia="Calibri" w:hAnsi="Times New Roman" w:cs="Times New Roman"/>
        </w:rPr>
        <w:t>for 7/7</w:t>
      </w:r>
      <w:r w:rsidR="009B44D5" w:rsidRPr="005E03D9">
        <w:rPr>
          <w:rFonts w:ascii="Times New Roman" w:eastAsia="Calibri" w:hAnsi="Times New Roman" w:cs="Times New Roman"/>
        </w:rPr>
        <w:t xml:space="preserve"> </w:t>
      </w:r>
      <w:r w:rsidR="00BC3A85" w:rsidRPr="005E03D9">
        <w:rPr>
          <w:rFonts w:ascii="Times New Roman" w:eastAsia="Calibri" w:hAnsi="Times New Roman" w:cs="Times New Roman"/>
        </w:rPr>
        <w:t xml:space="preserve">vs. </w:t>
      </w:r>
      <w:r w:rsidR="009B44D5">
        <w:rPr>
          <w:rFonts w:ascii="Times New Roman" w:eastAsia="Calibri" w:hAnsi="Times New Roman" w:cs="Times New Roman"/>
        </w:rPr>
        <w:t xml:space="preserve">3.0 </w:t>
      </w:r>
      <w:r w:rsidR="00BC3A85" w:rsidRPr="005E03D9">
        <w:rPr>
          <w:rFonts w:ascii="Times New Roman" w:eastAsia="Calibri" w:hAnsi="Times New Roman" w:cs="Times New Roman"/>
        </w:rPr>
        <w:t>for &lt;7/7, p=0.012).</w:t>
      </w:r>
      <w:r w:rsidR="00537877" w:rsidRPr="005E03D9">
        <w:rPr>
          <w:rFonts w:ascii="Times New Roman" w:eastAsia="Calibri" w:hAnsi="Times New Roman" w:cs="Times New Roman"/>
        </w:rPr>
        <w:t xml:space="preserve"> </w:t>
      </w:r>
      <w:r w:rsidR="003B45EA">
        <w:rPr>
          <w:rFonts w:ascii="Times New Roman" w:eastAsia="Calibri" w:hAnsi="Times New Roman" w:cs="Times New Roman"/>
        </w:rPr>
        <w:t xml:space="preserve">No </w:t>
      </w:r>
      <w:r w:rsidR="00E9729D">
        <w:rPr>
          <w:rFonts w:ascii="Times New Roman" w:eastAsia="Calibri" w:hAnsi="Times New Roman" w:cs="Times New Roman"/>
        </w:rPr>
        <w:t xml:space="preserve">statistical </w:t>
      </w:r>
      <w:r w:rsidR="00537877" w:rsidRPr="005E03D9">
        <w:rPr>
          <w:rFonts w:ascii="Times New Roman" w:eastAsia="Calibri" w:hAnsi="Times New Roman" w:cs="Times New Roman"/>
        </w:rPr>
        <w:t>relationship with</w:t>
      </w:r>
      <w:r w:rsidR="003B45EA">
        <w:rPr>
          <w:rFonts w:ascii="Times New Roman" w:eastAsia="Calibri" w:hAnsi="Times New Roman" w:cs="Times New Roman"/>
        </w:rPr>
        <w:t xml:space="preserve"> </w:t>
      </w:r>
      <w:r w:rsidR="00BC3A85">
        <w:rPr>
          <w:rFonts w:ascii="Times New Roman" w:eastAsia="Calibri" w:hAnsi="Times New Roman" w:cs="Times New Roman"/>
        </w:rPr>
        <w:t xml:space="preserve">PI-RADSv2 </w:t>
      </w:r>
      <w:r w:rsidR="007E5138">
        <w:rPr>
          <w:rFonts w:ascii="Times New Roman" w:eastAsia="Calibri" w:hAnsi="Times New Roman" w:cs="Times New Roman"/>
        </w:rPr>
        <w:t>MTS</w:t>
      </w:r>
      <w:r w:rsidR="00537877" w:rsidRPr="005E03D9">
        <w:rPr>
          <w:rFonts w:ascii="Times New Roman" w:eastAsia="Calibri" w:hAnsi="Times New Roman" w:cs="Times New Roman"/>
        </w:rPr>
        <w:t xml:space="preserve"> </w:t>
      </w:r>
      <w:r w:rsidR="00775DC6">
        <w:rPr>
          <w:rFonts w:ascii="Times New Roman" w:eastAsia="Calibri" w:hAnsi="Times New Roman" w:cs="Times New Roman"/>
        </w:rPr>
        <w:t>adherence</w:t>
      </w:r>
      <w:r w:rsidR="003B45EA">
        <w:rPr>
          <w:rFonts w:ascii="Times New Roman" w:eastAsia="Calibri" w:hAnsi="Times New Roman" w:cs="Times New Roman"/>
        </w:rPr>
        <w:t xml:space="preserve"> and DWI quality was found</w:t>
      </w:r>
      <w:r w:rsidR="00537877" w:rsidRPr="005E03D9">
        <w:rPr>
          <w:rFonts w:ascii="Times New Roman" w:eastAsia="Calibri" w:hAnsi="Times New Roman" w:cs="Times New Roman"/>
        </w:rPr>
        <w:t>.</w:t>
      </w:r>
    </w:p>
    <w:p w14:paraId="5BE89D5B" w14:textId="378A2398" w:rsidR="004C4F7E" w:rsidRDefault="00622837" w:rsidP="00F17733">
      <w:pPr>
        <w:spacing w:after="0"/>
        <w:jc w:val="both"/>
        <w:rPr>
          <w:rFonts w:ascii="Times New Roman" w:eastAsia="Calibri" w:hAnsi="Times New Roman" w:cs="Times New Roman"/>
        </w:rPr>
      </w:pPr>
      <w:r w:rsidRPr="00DE0FC7">
        <w:rPr>
          <w:rFonts w:ascii="Times New Roman" w:hAnsi="Times New Roman" w:cs="Times New Roman"/>
          <w:b/>
          <w:color w:val="000000" w:themeColor="text1"/>
        </w:rPr>
        <w:lastRenderedPageBreak/>
        <w:t>Conclusion</w:t>
      </w:r>
      <w:r w:rsidRPr="00DE0FC7">
        <w:rPr>
          <w:rFonts w:ascii="Times New Roman" w:hAnsi="Times New Roman" w:cs="Times New Roman"/>
          <w:color w:val="000000" w:themeColor="text1"/>
        </w:rPr>
        <w:t>:</w:t>
      </w:r>
      <w:r w:rsidR="00537877" w:rsidRPr="00997FDE">
        <w:rPr>
          <w:rFonts w:ascii="Times New Roman" w:hAnsi="Times New Roman" w:cs="Times New Roman"/>
          <w:color w:val="000000" w:themeColor="text1"/>
        </w:rPr>
        <w:t xml:space="preserve"> </w:t>
      </w:r>
      <w:r w:rsidR="00E9729D">
        <w:rPr>
          <w:rFonts w:ascii="Times New Roman" w:hAnsi="Times New Roman" w:cs="Times New Roman"/>
          <w:color w:val="000000" w:themeColor="text1"/>
        </w:rPr>
        <w:t xml:space="preserve">Among 62 sites performing prostate MRI, </w:t>
      </w:r>
      <w:r w:rsidR="00E9729D">
        <w:rPr>
          <w:rFonts w:ascii="Times New Roman" w:eastAsia="Calibri" w:hAnsi="Times New Roman" w:cs="Times New Roman"/>
        </w:rPr>
        <w:t xml:space="preserve">few were considered of high </w:t>
      </w:r>
      <w:r w:rsidR="00D06D7A">
        <w:rPr>
          <w:rFonts w:ascii="Times New Roman" w:eastAsia="Calibri" w:hAnsi="Times New Roman" w:cs="Times New Roman"/>
        </w:rPr>
        <w:t>quality,</w:t>
      </w:r>
      <w:r w:rsidR="00E9729D">
        <w:rPr>
          <w:rFonts w:ascii="Times New Roman" w:eastAsia="Calibri" w:hAnsi="Times New Roman" w:cs="Times New Roman"/>
        </w:rPr>
        <w:t xml:space="preserve"> but the majority were considered adequate</w:t>
      </w:r>
      <w:r w:rsidR="00537877" w:rsidRPr="005E03D9">
        <w:rPr>
          <w:rFonts w:ascii="Times New Roman" w:eastAsia="Calibri" w:hAnsi="Times New Roman" w:cs="Times New Roman"/>
        </w:rPr>
        <w:t>.</w:t>
      </w:r>
      <w:r w:rsidR="00E9729D">
        <w:rPr>
          <w:rFonts w:ascii="Times New Roman" w:eastAsia="Calibri" w:hAnsi="Times New Roman" w:cs="Times New Roman"/>
        </w:rPr>
        <w:t xml:space="preserve"> DWI showed considerably lower rates of adequate studies in the sample.</w:t>
      </w:r>
      <w:r w:rsidR="00D06D7A">
        <w:rPr>
          <w:rFonts w:ascii="Times New Roman" w:eastAsia="Calibri" w:hAnsi="Times New Roman" w:cs="Times New Roman"/>
        </w:rPr>
        <w:t xml:space="preserve"> </w:t>
      </w:r>
      <w:r w:rsidR="00537877" w:rsidRPr="005E03D9">
        <w:rPr>
          <w:rFonts w:ascii="Times New Roman" w:eastAsia="Calibri" w:hAnsi="Times New Roman" w:cs="Times New Roman"/>
        </w:rPr>
        <w:t>Adherence to PI</w:t>
      </w:r>
      <w:r w:rsidR="00A064E1">
        <w:rPr>
          <w:rFonts w:ascii="Times New Roman" w:eastAsia="Calibri" w:hAnsi="Times New Roman" w:cs="Times New Roman"/>
        </w:rPr>
        <w:t>-</w:t>
      </w:r>
      <w:r w:rsidR="00537877" w:rsidRPr="005E03D9">
        <w:rPr>
          <w:rFonts w:ascii="Times New Roman" w:eastAsia="Calibri" w:hAnsi="Times New Roman" w:cs="Times New Roman"/>
        </w:rPr>
        <w:t xml:space="preserve">RADSv2 </w:t>
      </w:r>
      <w:r w:rsidR="00E55844">
        <w:rPr>
          <w:rFonts w:ascii="Times New Roman" w:hAnsi="Times New Roman" w:cs="Times New Roman"/>
        </w:rPr>
        <w:t xml:space="preserve">Minimum Technical Standards </w:t>
      </w:r>
      <w:r w:rsidR="00E9729D">
        <w:rPr>
          <w:rFonts w:ascii="Times New Roman" w:eastAsia="Calibri" w:hAnsi="Times New Roman" w:cs="Times New Roman"/>
        </w:rPr>
        <w:t>did not</w:t>
      </w:r>
      <w:r w:rsidR="00634253">
        <w:rPr>
          <w:rFonts w:ascii="Times New Roman" w:eastAsia="Calibri" w:hAnsi="Times New Roman" w:cs="Times New Roman"/>
        </w:rPr>
        <w:t xml:space="preserve"> </w:t>
      </w:r>
      <w:r w:rsidR="00537877" w:rsidRPr="005E03D9">
        <w:rPr>
          <w:rFonts w:ascii="Times New Roman" w:eastAsia="Calibri" w:hAnsi="Times New Roman" w:cs="Times New Roman"/>
        </w:rPr>
        <w:t>increase the likelihood of having a qualitatively adequate T2</w:t>
      </w:r>
      <w:r w:rsidR="00E30118">
        <w:rPr>
          <w:rFonts w:ascii="Times New Roman" w:eastAsia="Calibri" w:hAnsi="Times New Roman" w:cs="Times New Roman"/>
        </w:rPr>
        <w:t>W</w:t>
      </w:r>
      <w:r w:rsidR="00537877" w:rsidRPr="005E03D9">
        <w:rPr>
          <w:rFonts w:ascii="Times New Roman" w:eastAsia="Calibri" w:hAnsi="Times New Roman" w:cs="Times New Roman"/>
        </w:rPr>
        <w:t xml:space="preserve"> or DWI.</w:t>
      </w:r>
    </w:p>
    <w:p w14:paraId="4984458D" w14:textId="77777777" w:rsidR="00B51806" w:rsidRDefault="00B51806" w:rsidP="00F17733">
      <w:pPr>
        <w:spacing w:after="0"/>
        <w:jc w:val="both"/>
        <w:rPr>
          <w:rFonts w:ascii="Times New Roman" w:eastAsia="Calibri" w:hAnsi="Times New Roman" w:cs="Times New Roman"/>
        </w:rPr>
      </w:pPr>
    </w:p>
    <w:p w14:paraId="048505A5" w14:textId="10848009" w:rsidR="000D3B35" w:rsidRDefault="004C4F7E" w:rsidP="00F17733">
      <w:pPr>
        <w:spacing w:after="0"/>
        <w:jc w:val="both"/>
        <w:rPr>
          <w:rFonts w:ascii="Times New Roman" w:eastAsia="Calibri" w:hAnsi="Times New Roman" w:cs="Times New Roman"/>
        </w:rPr>
      </w:pPr>
      <w:r w:rsidRPr="004C4F7E">
        <w:rPr>
          <w:rFonts w:ascii="Times New Roman" w:eastAsia="Calibri" w:hAnsi="Times New Roman" w:cs="Times New Roman"/>
          <w:b/>
          <w:bCs/>
        </w:rPr>
        <w:t>Keywords</w:t>
      </w:r>
      <w:r>
        <w:rPr>
          <w:rFonts w:ascii="Times New Roman" w:eastAsia="Calibri" w:hAnsi="Times New Roman" w:cs="Times New Roman"/>
        </w:rPr>
        <w:t xml:space="preserve">: </w:t>
      </w:r>
      <w:r w:rsidR="00A90D10">
        <w:rPr>
          <w:rFonts w:ascii="Times New Roman" w:eastAsia="Calibri" w:hAnsi="Times New Roman" w:cs="Times New Roman"/>
        </w:rPr>
        <w:t>Prostate, Quality Control, MRI</w:t>
      </w:r>
      <w:r w:rsidR="00AA3747">
        <w:rPr>
          <w:rFonts w:ascii="Times New Roman" w:eastAsia="Calibri" w:hAnsi="Times New Roman" w:cs="Times New Roman"/>
        </w:rPr>
        <w:t>, Multi-parametric, PI-RADS, Diffusion Weighted Imaging</w:t>
      </w:r>
    </w:p>
    <w:p w14:paraId="463092E4" w14:textId="77777777" w:rsidR="0047138F" w:rsidRDefault="0047138F" w:rsidP="00F17733">
      <w:pPr>
        <w:spacing w:after="0"/>
        <w:jc w:val="both"/>
        <w:rPr>
          <w:rFonts w:ascii="Times New Roman" w:eastAsia="Calibri" w:hAnsi="Times New Roman" w:cs="Times New Roman"/>
        </w:rPr>
      </w:pPr>
    </w:p>
    <w:p w14:paraId="10239EB2" w14:textId="58AE6FE4" w:rsidR="000D3B35" w:rsidRPr="00F17733" w:rsidRDefault="000D3B35" w:rsidP="000D3B35">
      <w:pPr>
        <w:spacing w:after="0"/>
        <w:jc w:val="both"/>
        <w:rPr>
          <w:rFonts w:ascii="Times New Roman" w:hAnsi="Times New Roman" w:cs="Times New Roman"/>
          <w:b/>
          <w:bCs/>
          <w:color w:val="000000" w:themeColor="text1"/>
        </w:rPr>
      </w:pPr>
      <w:r w:rsidRPr="00F17733">
        <w:rPr>
          <w:rFonts w:ascii="Times New Roman" w:hAnsi="Times New Roman" w:cs="Times New Roman"/>
          <w:b/>
          <w:bCs/>
          <w:color w:val="000000" w:themeColor="text1"/>
        </w:rPr>
        <w:t>Abbreviation</w:t>
      </w:r>
      <w:r w:rsidR="00B44BD7">
        <w:rPr>
          <w:rFonts w:ascii="Times New Roman" w:hAnsi="Times New Roman" w:cs="Times New Roman"/>
          <w:b/>
          <w:bCs/>
          <w:color w:val="000000" w:themeColor="text1"/>
        </w:rPr>
        <w:t xml:space="preserve"> Key</w:t>
      </w:r>
      <w:r w:rsidRPr="00F17733">
        <w:rPr>
          <w:rFonts w:ascii="Times New Roman" w:hAnsi="Times New Roman" w:cs="Times New Roman"/>
          <w:b/>
          <w:bCs/>
          <w:color w:val="000000" w:themeColor="text1"/>
        </w:rPr>
        <w:t>:</w:t>
      </w:r>
    </w:p>
    <w:p w14:paraId="418BC46B" w14:textId="63BF3295" w:rsidR="000D3B35" w:rsidRPr="00A04C4F" w:rsidRDefault="000D3B35" w:rsidP="000D3B35">
      <w:pPr>
        <w:spacing w:after="0"/>
        <w:jc w:val="both"/>
        <w:rPr>
          <w:rFonts w:ascii="Times New Roman" w:hAnsi="Times New Roman" w:cs="Times New Roman"/>
          <w:color w:val="000000" w:themeColor="text1"/>
        </w:rPr>
      </w:pPr>
      <w:r>
        <w:rPr>
          <w:rFonts w:ascii="Times New Roman" w:hAnsi="Times New Roman" w:cs="Times New Roman"/>
          <w:color w:val="000000" w:themeColor="text1"/>
        </w:rPr>
        <w:t>PCa – Prostate Cancer, CSPCa – Clinically significant prostate cancer, TRUS – Transrectal ultrasound, mpMRI – multi-parametric MRI, PI-RADS</w:t>
      </w:r>
      <w:r w:rsidR="00B44BD7">
        <w:rPr>
          <w:rFonts w:ascii="Times New Roman" w:hAnsi="Times New Roman" w:cs="Times New Roman"/>
          <w:color w:val="000000" w:themeColor="text1"/>
        </w:rPr>
        <w:t xml:space="preserve"> – </w:t>
      </w:r>
      <w:r w:rsidRPr="009D4387">
        <w:rPr>
          <w:rFonts w:ascii="Times New Roman" w:hAnsi="Times New Roman" w:cs="Times New Roman"/>
          <w:color w:val="000000" w:themeColor="text1"/>
        </w:rPr>
        <w:t>Prostate Imaging Reporting and Data System</w:t>
      </w:r>
      <w:r>
        <w:rPr>
          <w:rFonts w:ascii="Times New Roman" w:hAnsi="Times New Roman" w:cs="Times New Roman"/>
          <w:color w:val="000000" w:themeColor="text1"/>
        </w:rPr>
        <w:t xml:space="preserve">, MTS – Minimum Technical Standards, FOV – field-of-view, </w:t>
      </w:r>
      <w:r w:rsidRPr="006E2AB2">
        <w:rPr>
          <w:rFonts w:ascii="Times New Roman" w:eastAsia="Times New Roman" w:hAnsi="Times New Roman" w:cs="Times New Roman"/>
          <w:color w:val="000000"/>
        </w:rPr>
        <w:t>IPRP</w:t>
      </w:r>
      <w:r>
        <w:rPr>
          <w:rFonts w:ascii="Times New Roman" w:eastAsia="Times New Roman" w:hAnsi="Times New Roman" w:cs="Times New Roman"/>
          <w:color w:val="000000"/>
        </w:rPr>
        <w:t xml:space="preserve"> - </w:t>
      </w:r>
      <w:r w:rsidRPr="006E2AB2">
        <w:rPr>
          <w:rFonts w:ascii="Times New Roman" w:eastAsia="Times New Roman" w:hAnsi="Times New Roman" w:cs="Times New Roman"/>
          <w:color w:val="000000"/>
        </w:rPr>
        <w:t>in-plane resolution phase</w:t>
      </w:r>
      <w:r>
        <w:rPr>
          <w:rFonts w:ascii="Times New Roman" w:hAnsi="Times New Roman" w:cs="Times New Roman"/>
          <w:color w:val="000000" w:themeColor="text1"/>
        </w:rPr>
        <w:t xml:space="preserve">, </w:t>
      </w:r>
      <w:r w:rsidRPr="006E2AB2">
        <w:rPr>
          <w:rFonts w:ascii="Times New Roman" w:eastAsia="Times New Roman" w:hAnsi="Times New Roman" w:cs="Times New Roman"/>
          <w:color w:val="000000"/>
        </w:rPr>
        <w:t>IPR</w:t>
      </w:r>
      <w:r>
        <w:rPr>
          <w:rFonts w:ascii="Times New Roman" w:eastAsia="Times New Roman" w:hAnsi="Times New Roman" w:cs="Times New Roman"/>
          <w:color w:val="000000"/>
        </w:rPr>
        <w:t xml:space="preserve">F - </w:t>
      </w:r>
      <w:r w:rsidRPr="006E2AB2">
        <w:rPr>
          <w:rFonts w:ascii="Times New Roman" w:eastAsia="Times New Roman" w:hAnsi="Times New Roman" w:cs="Times New Roman"/>
          <w:color w:val="000000"/>
        </w:rPr>
        <w:t>in-plane resolution</w:t>
      </w:r>
      <w:r>
        <w:rPr>
          <w:rFonts w:ascii="Times New Roman" w:eastAsia="Times New Roman" w:hAnsi="Times New Roman" w:cs="Times New Roman"/>
          <w:color w:val="000000"/>
        </w:rPr>
        <w:t xml:space="preserve"> frequency</w:t>
      </w:r>
      <w:r>
        <w:rPr>
          <w:rFonts w:ascii="Times New Roman" w:hAnsi="Times New Roman" w:cs="Times New Roman"/>
          <w:color w:val="000000" w:themeColor="text1"/>
        </w:rPr>
        <w:t>, ST – Slice Thickness, SG – Slice Gap</w:t>
      </w:r>
    </w:p>
    <w:p w14:paraId="386B86EA" w14:textId="77777777" w:rsidR="000D3B35" w:rsidRPr="004C4F7E" w:rsidRDefault="000D3B35" w:rsidP="00F17733">
      <w:pPr>
        <w:spacing w:after="0"/>
        <w:jc w:val="both"/>
        <w:rPr>
          <w:rFonts w:ascii="Times New Roman" w:eastAsia="Calibri" w:hAnsi="Times New Roman" w:cs="Times New Roman"/>
        </w:rPr>
      </w:pPr>
    </w:p>
    <w:p w14:paraId="1B062502" w14:textId="77777777" w:rsidR="00A04C4F" w:rsidRDefault="00A04C4F">
      <w:pPr>
        <w:rPr>
          <w:rFonts w:ascii="Times New Roman" w:hAnsi="Times New Roman" w:cs="Times New Roman"/>
          <w:b/>
          <w:iCs/>
          <w:color w:val="000000" w:themeColor="text1"/>
          <w:sz w:val="32"/>
        </w:rPr>
      </w:pPr>
      <w:r>
        <w:rPr>
          <w:rFonts w:ascii="Times New Roman" w:hAnsi="Times New Roman" w:cs="Times New Roman"/>
          <w:b/>
          <w:iCs/>
          <w:color w:val="000000" w:themeColor="text1"/>
          <w:sz w:val="32"/>
        </w:rPr>
        <w:br w:type="page"/>
      </w:r>
    </w:p>
    <w:p w14:paraId="63E4CDBB" w14:textId="24E25C92" w:rsidR="004A4CCF" w:rsidRPr="005E03D9" w:rsidRDefault="000A164D" w:rsidP="00F17733">
      <w:pPr>
        <w:spacing w:after="0"/>
        <w:rPr>
          <w:rFonts w:ascii="Times New Roman" w:hAnsi="Times New Roman" w:cs="Times New Roman"/>
          <w:b/>
          <w:iCs/>
          <w:color w:val="000000" w:themeColor="text1"/>
          <w:sz w:val="32"/>
        </w:rPr>
      </w:pPr>
      <w:r w:rsidRPr="005E03D9">
        <w:rPr>
          <w:rFonts w:ascii="Times New Roman" w:hAnsi="Times New Roman" w:cs="Times New Roman"/>
          <w:b/>
          <w:iCs/>
          <w:color w:val="000000" w:themeColor="text1"/>
          <w:sz w:val="32"/>
        </w:rPr>
        <w:lastRenderedPageBreak/>
        <w:t>Intro</w:t>
      </w:r>
      <w:r w:rsidR="00926842" w:rsidRPr="005E03D9">
        <w:rPr>
          <w:rFonts w:ascii="Times New Roman" w:hAnsi="Times New Roman" w:cs="Times New Roman"/>
          <w:b/>
          <w:iCs/>
          <w:color w:val="000000" w:themeColor="text1"/>
          <w:sz w:val="32"/>
        </w:rPr>
        <w:t>duction</w:t>
      </w:r>
    </w:p>
    <w:p w14:paraId="5BB57266" w14:textId="66F781A4" w:rsidR="00E02B81" w:rsidRDefault="00E9729D"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 xml:space="preserve">Approximately, </w:t>
      </w:r>
      <w:r w:rsidR="00900A0D" w:rsidRPr="009D4387">
        <w:rPr>
          <w:rFonts w:ascii="Times New Roman" w:hAnsi="Times New Roman" w:cs="Times New Roman"/>
          <w:color w:val="000000" w:themeColor="text1"/>
        </w:rPr>
        <w:t>1</w:t>
      </w:r>
      <w:r w:rsidR="00900A0D">
        <w:rPr>
          <w:rFonts w:ascii="Times New Roman" w:hAnsi="Times New Roman" w:cs="Times New Roman"/>
          <w:color w:val="000000" w:themeColor="text1"/>
        </w:rPr>
        <w:t>75</w:t>
      </w:r>
      <w:r w:rsidR="00144297" w:rsidRPr="009D4387">
        <w:rPr>
          <w:rFonts w:ascii="Times New Roman" w:hAnsi="Times New Roman" w:cs="Times New Roman"/>
          <w:color w:val="000000" w:themeColor="text1"/>
        </w:rPr>
        <w:t>,000 men</w:t>
      </w:r>
      <w:r w:rsidR="00FA6CBA" w:rsidRPr="009D4387">
        <w:rPr>
          <w:rFonts w:ascii="Times New Roman" w:hAnsi="Times New Roman" w:cs="Times New Roman"/>
          <w:color w:val="000000" w:themeColor="text1"/>
        </w:rPr>
        <w:t xml:space="preserve"> </w:t>
      </w:r>
      <w:r>
        <w:rPr>
          <w:rFonts w:ascii="Times New Roman" w:hAnsi="Times New Roman" w:cs="Times New Roman"/>
          <w:color w:val="000000" w:themeColor="text1"/>
        </w:rPr>
        <w:t>will be</w:t>
      </w:r>
      <w:r w:rsidR="000B55B1" w:rsidRPr="009D4387">
        <w:rPr>
          <w:rFonts w:ascii="Times New Roman" w:hAnsi="Times New Roman" w:cs="Times New Roman"/>
          <w:color w:val="000000" w:themeColor="text1"/>
        </w:rPr>
        <w:t xml:space="preserve"> </w:t>
      </w:r>
      <w:r w:rsidR="00144297" w:rsidRPr="009D4387">
        <w:rPr>
          <w:rFonts w:ascii="Times New Roman" w:hAnsi="Times New Roman" w:cs="Times New Roman"/>
          <w:color w:val="000000" w:themeColor="text1"/>
        </w:rPr>
        <w:t>diagnosed with prostate cancer (PCa) in</w:t>
      </w:r>
      <w:r w:rsidR="005B56A5" w:rsidRPr="009D4387">
        <w:rPr>
          <w:rFonts w:ascii="Times New Roman" w:hAnsi="Times New Roman" w:cs="Times New Roman"/>
          <w:color w:val="000000" w:themeColor="text1"/>
        </w:rPr>
        <w:t xml:space="preserve"> the United States in</w:t>
      </w:r>
      <w:r w:rsidR="00144297" w:rsidRPr="009D4387">
        <w:rPr>
          <w:rFonts w:ascii="Times New Roman" w:hAnsi="Times New Roman" w:cs="Times New Roman"/>
          <w:color w:val="000000" w:themeColor="text1"/>
        </w:rPr>
        <w:t xml:space="preserve"> 201</w:t>
      </w:r>
      <w:r w:rsidR="00900A0D">
        <w:rPr>
          <w:rFonts w:ascii="Times New Roman" w:hAnsi="Times New Roman" w:cs="Times New Roman"/>
          <w:color w:val="000000" w:themeColor="text1"/>
        </w:rPr>
        <w:t>9</w:t>
      </w:r>
      <w:r w:rsidR="006E2AB2">
        <w:rPr>
          <w:rFonts w:ascii="Times New Roman" w:hAnsi="Times New Roman" w:cs="Times New Roman"/>
          <w:color w:val="000000" w:themeColor="text1"/>
        </w:rPr>
        <w:t xml:space="preserve"> </w:t>
      </w:r>
      <w:r w:rsidR="00FA6CBA" w:rsidRPr="009D4387">
        <w:rPr>
          <w:rFonts w:ascii="Times New Roman" w:hAnsi="Times New Roman" w:cs="Times New Roman"/>
          <w:color w:val="000000" w:themeColor="text1"/>
        </w:rPr>
        <w:t xml:space="preserve">making it the most common solid organ malignancy </w:t>
      </w:r>
      <w:r>
        <w:rPr>
          <w:rFonts w:ascii="Times New Roman" w:hAnsi="Times New Roman" w:cs="Times New Roman"/>
          <w:color w:val="000000" w:themeColor="text1"/>
        </w:rPr>
        <w:t>in</w:t>
      </w:r>
      <w:r w:rsidR="00FA6CBA" w:rsidRPr="009D4387">
        <w:rPr>
          <w:rFonts w:ascii="Times New Roman" w:hAnsi="Times New Roman" w:cs="Times New Roman"/>
          <w:color w:val="000000" w:themeColor="text1"/>
        </w:rPr>
        <w:t xml:space="preserve"> men. However, o</w:t>
      </w:r>
      <w:r w:rsidR="00144297" w:rsidRPr="009D4387">
        <w:rPr>
          <w:rFonts w:ascii="Times New Roman" w:hAnsi="Times New Roman" w:cs="Times New Roman"/>
          <w:color w:val="000000" w:themeColor="text1"/>
        </w:rPr>
        <w:t>nly</w:t>
      </w:r>
      <w:r>
        <w:rPr>
          <w:rFonts w:ascii="Times New Roman" w:hAnsi="Times New Roman" w:cs="Times New Roman"/>
          <w:color w:val="000000" w:themeColor="text1"/>
        </w:rPr>
        <w:t xml:space="preserve"> approximately</w:t>
      </w:r>
      <w:r w:rsidR="00144297" w:rsidRPr="009D4387">
        <w:rPr>
          <w:rFonts w:ascii="Times New Roman" w:hAnsi="Times New Roman" w:cs="Times New Roman"/>
          <w:color w:val="000000" w:themeColor="text1"/>
        </w:rPr>
        <w:t xml:space="preserve"> </w:t>
      </w:r>
      <w:r w:rsidR="00900A0D">
        <w:rPr>
          <w:rFonts w:ascii="Times New Roman" w:hAnsi="Times New Roman" w:cs="Times New Roman"/>
          <w:color w:val="000000" w:themeColor="text1"/>
        </w:rPr>
        <w:t>31</w:t>
      </w:r>
      <w:r w:rsidR="00144297" w:rsidRPr="009D4387">
        <w:rPr>
          <w:rFonts w:ascii="Times New Roman" w:hAnsi="Times New Roman" w:cs="Times New Roman"/>
          <w:color w:val="000000" w:themeColor="text1"/>
        </w:rPr>
        <w:t>,</w:t>
      </w:r>
      <w:r w:rsidR="00900A0D">
        <w:rPr>
          <w:rFonts w:ascii="Times New Roman" w:hAnsi="Times New Roman" w:cs="Times New Roman"/>
          <w:color w:val="000000" w:themeColor="text1"/>
        </w:rPr>
        <w:t>6</w:t>
      </w:r>
      <w:r w:rsidR="00144297" w:rsidRPr="009D4387">
        <w:rPr>
          <w:rFonts w:ascii="Times New Roman" w:hAnsi="Times New Roman" w:cs="Times New Roman"/>
          <w:color w:val="000000" w:themeColor="text1"/>
        </w:rPr>
        <w:t xml:space="preserve">00 men </w:t>
      </w:r>
      <w:r w:rsidR="00900A0D">
        <w:rPr>
          <w:rFonts w:ascii="Times New Roman" w:hAnsi="Times New Roman" w:cs="Times New Roman"/>
          <w:color w:val="000000" w:themeColor="text1"/>
        </w:rPr>
        <w:t>will die</w:t>
      </w:r>
      <w:r w:rsidR="00900A0D" w:rsidRPr="009D4387">
        <w:rPr>
          <w:rFonts w:ascii="Times New Roman" w:hAnsi="Times New Roman" w:cs="Times New Roman"/>
          <w:color w:val="000000" w:themeColor="text1"/>
        </w:rPr>
        <w:t xml:space="preserve"> </w:t>
      </w:r>
      <w:r w:rsidR="00144297" w:rsidRPr="009D4387">
        <w:rPr>
          <w:rFonts w:ascii="Times New Roman" w:hAnsi="Times New Roman" w:cs="Times New Roman"/>
          <w:color w:val="000000" w:themeColor="text1"/>
        </w:rPr>
        <w:t>from PCa in the same period</w:t>
      </w:r>
      <w:r w:rsidR="003A603E">
        <w:rPr>
          <w:rFonts w:ascii="Times New Roman" w:hAnsi="Times New Roman" w:cs="Times New Roman"/>
          <w:color w:val="000000" w:themeColor="text1"/>
        </w:rPr>
        <w:t>.</w:t>
      </w:r>
      <w:r w:rsidR="005939AF" w:rsidRPr="009D4387">
        <w:rPr>
          <w:rFonts w:ascii="Times New Roman" w:hAnsi="Times New Roman" w:cs="Times New Roman"/>
          <w:color w:val="000000" w:themeColor="text1"/>
        </w:rPr>
        <w:fldChar w:fldCharType="begin" w:fldLock="1"/>
      </w:r>
      <w:r w:rsidR="000B55B1">
        <w:rPr>
          <w:rFonts w:ascii="Times New Roman" w:hAnsi="Times New Roman" w:cs="Times New Roman"/>
          <w:color w:val="000000" w:themeColor="text1"/>
        </w:rPr>
        <w:instrText>ADDIN CSL_CITATION {"citationItems":[{"id":"ITEM-1","itemData":{"DOI":"10.3322/caac.21551","ISSN":"1542-4863","PMID":"30620402","abstract":"Each year, the American Cancer Society estimates the numbers of new cancer cases and deaths that will occur in the United States and compiles the most recent data on cancer incidence, mortality, and survival. Incidence data, available through 2015, were collected by the Surveillance, Epidemiology, and End Results Program; the National Program of Cancer Registries; and the North American Association of Central Cancer Registries. Mortality data, available through 2016, were collected by the National Center for Health Statistics. In 2019, 1,762,450 new cancer cases and 606,880 cancer deaths are projected to occur in the United States. Over the past decade of data, the cancer incidence rate (2006-2015) was stable in women and declined by approximately 2% per year in men, whereas the cancer death rate (2007-2016) declined annually by 1.4% and 1.8%, respectively. The overall cancer death rate dropped continuously from 1991 to 2016 by a total of 27%, translating into approximately 2,629,200 fewer cancer deaths than would have been expected if death rates had remained at their peak. Although the racial gap in cancer mortality is slowly narrowing, socioeconomic inequalities are widening, with the most notable gaps for the most preventable cancers. For example, compared with the most affluent counties, mortality rates in the poorest counties were 2-fold higher for cervical cancer and 40% higher for male lung and liver cancers during 2012-2016. Some states are home to both the wealthiest and the poorest counties, suggesting the opportunity for more equitable dissemination of effective cancer prevention, early detection, and treatment strategies. A broader application of existing cancer control knowledge with an emphasis on disadvantaged groups would undoubtedly accelerate progress against cancer.","author":[{"dropping-particle":"","family":"Siegel","given":"Rebecca L","non-dropping-particle":"","parse-names":false,"suffix":""},{"dropping-particle":"","family":"Miller","given":"Kimberly D","non-dropping-particle":"","parse-names":false,"suffix":""},{"dropping-particle":"","family":"Jemal","given":"Ahmedin","non-dropping-particle":"","parse-names":false,"suffix":""}],"container-title":"CA: a cancer journal for clinicians","id":"ITEM-1","issue":"1","issued":{"date-parts":[["2019"]]},"page":"7-34","title":"Cancer statistics, 2019.","type":"article-journal","volume":"69"},"uris":["http://www.mendeley.com/documents/?uuid=16f4b3cd-225a-4919-bb9d-8556743305c0"]}],"mendeley":{"formattedCitation":"(1)","plainTextFormattedCitation":"(1)","previouslyFormattedCitation":"(1)"},"properties":{"noteIndex":0},"schema":"https://github.com/citation-style-language/schema/raw/master/csl-citation.json"}</w:instrText>
      </w:r>
      <w:r w:rsidR="005939AF" w:rsidRPr="009D4387">
        <w:rPr>
          <w:rFonts w:ascii="Times New Roman" w:hAnsi="Times New Roman" w:cs="Times New Roman"/>
          <w:color w:val="000000" w:themeColor="text1"/>
        </w:rPr>
        <w:fldChar w:fldCharType="separate"/>
      </w:r>
      <w:r w:rsidR="00F73F0D" w:rsidRPr="00F73F0D">
        <w:rPr>
          <w:rFonts w:ascii="Times New Roman" w:hAnsi="Times New Roman" w:cs="Times New Roman"/>
          <w:noProof/>
          <w:color w:val="000000" w:themeColor="text1"/>
        </w:rPr>
        <w:t>(1)</w:t>
      </w:r>
      <w:r w:rsidR="005939AF" w:rsidRPr="009D4387">
        <w:rPr>
          <w:rFonts w:ascii="Times New Roman" w:hAnsi="Times New Roman" w:cs="Times New Roman"/>
          <w:color w:val="000000" w:themeColor="text1"/>
        </w:rPr>
        <w:fldChar w:fldCharType="end"/>
      </w:r>
      <w:r w:rsidR="00326477" w:rsidRPr="009D4387">
        <w:rPr>
          <w:rFonts w:ascii="Times New Roman" w:hAnsi="Times New Roman" w:cs="Times New Roman"/>
          <w:color w:val="000000" w:themeColor="text1"/>
        </w:rPr>
        <w:t xml:space="preserve"> </w:t>
      </w:r>
      <w:r w:rsidR="00AC2CF7">
        <w:rPr>
          <w:rFonts w:ascii="Times New Roman" w:hAnsi="Times New Roman" w:cs="Times New Roman"/>
        </w:rPr>
        <w:t>Trying to distinguish clinically significant PCa (CSPCa) from indolent PCa</w:t>
      </w:r>
      <w:r w:rsidR="00AC2CF7" w:rsidRPr="009D4387">
        <w:rPr>
          <w:rFonts w:ascii="Times New Roman" w:hAnsi="Times New Roman" w:cs="Times New Roman"/>
          <w:color w:val="000000" w:themeColor="text1"/>
        </w:rPr>
        <w:t xml:space="preserve"> is </w:t>
      </w:r>
      <w:r>
        <w:rPr>
          <w:rFonts w:ascii="Times New Roman" w:hAnsi="Times New Roman" w:cs="Times New Roman"/>
          <w:color w:val="000000" w:themeColor="text1"/>
        </w:rPr>
        <w:t>a central challenge in prostate cancer management</w:t>
      </w:r>
      <w:r w:rsidR="00AC2CF7" w:rsidRPr="009D4387">
        <w:rPr>
          <w:rFonts w:ascii="Times New Roman" w:hAnsi="Times New Roman" w:cs="Times New Roman"/>
          <w:color w:val="000000" w:themeColor="text1"/>
        </w:rPr>
        <w:t xml:space="preserve">. </w:t>
      </w:r>
      <w:r w:rsidR="00AC2CF7">
        <w:rPr>
          <w:rFonts w:ascii="Times New Roman" w:hAnsi="Times New Roman" w:cs="Times New Roman"/>
        </w:rPr>
        <w:t xml:space="preserve">Traditional </w:t>
      </w:r>
      <w:r w:rsidR="00FA6CBA" w:rsidRPr="009D4387">
        <w:rPr>
          <w:rFonts w:ascii="Times New Roman" w:hAnsi="Times New Roman" w:cs="Times New Roman"/>
          <w:color w:val="000000" w:themeColor="text1"/>
        </w:rPr>
        <w:t>screening methods which rely on prostate-specific antigen (PSA) screening and transrectal ultrasound (TRUS)</w:t>
      </w:r>
      <w:r w:rsidR="00E30118">
        <w:rPr>
          <w:rFonts w:ascii="Times New Roman" w:hAnsi="Times New Roman" w:cs="Times New Roman"/>
          <w:color w:val="000000" w:themeColor="text1"/>
        </w:rPr>
        <w:t xml:space="preserve"> </w:t>
      </w:r>
      <w:r w:rsidR="00E30118" w:rsidRPr="009D4387">
        <w:rPr>
          <w:rFonts w:ascii="Times New Roman" w:hAnsi="Times New Roman" w:cs="Times New Roman"/>
          <w:color w:val="000000" w:themeColor="text1"/>
        </w:rPr>
        <w:t>guided</w:t>
      </w:r>
      <w:r w:rsidR="00FA6CBA" w:rsidRPr="009D4387">
        <w:rPr>
          <w:rFonts w:ascii="Times New Roman" w:hAnsi="Times New Roman" w:cs="Times New Roman"/>
          <w:color w:val="000000" w:themeColor="text1"/>
        </w:rPr>
        <w:t xml:space="preserve"> biopsy</w:t>
      </w:r>
      <w:r w:rsidR="002204A3">
        <w:rPr>
          <w:rFonts w:ascii="Times New Roman" w:hAnsi="Times New Roman" w:cs="Times New Roman"/>
          <w:color w:val="000000" w:themeColor="text1"/>
        </w:rPr>
        <w:t xml:space="preserve"> </w:t>
      </w:r>
      <w:r w:rsidR="00195703" w:rsidRPr="002966CE">
        <w:rPr>
          <w:rFonts w:ascii="Times New Roman" w:hAnsi="Times New Roman" w:cs="Times New Roman"/>
        </w:rPr>
        <w:t>result</w:t>
      </w:r>
      <w:r w:rsidR="00246333">
        <w:rPr>
          <w:rFonts w:ascii="Times New Roman" w:hAnsi="Times New Roman" w:cs="Times New Roman"/>
        </w:rPr>
        <w:t>s</w:t>
      </w:r>
      <w:r w:rsidR="00195703" w:rsidRPr="002966CE">
        <w:rPr>
          <w:rFonts w:ascii="Times New Roman" w:hAnsi="Times New Roman" w:cs="Times New Roman"/>
        </w:rPr>
        <w:t xml:space="preserve"> in over-diagnosis </w:t>
      </w:r>
      <w:r w:rsidR="00E02B81">
        <w:rPr>
          <w:rFonts w:ascii="Times New Roman" w:hAnsi="Times New Roman" w:cs="Times New Roman"/>
        </w:rPr>
        <w:t>and overtreatment</w:t>
      </w:r>
      <w:r w:rsidR="003A603E">
        <w:rPr>
          <w:rFonts w:ascii="Times New Roman" w:hAnsi="Times New Roman" w:cs="Times New Roman"/>
        </w:rPr>
        <w:t>.</w:t>
      </w:r>
      <w:r w:rsidR="00F75DA7">
        <w:rPr>
          <w:rFonts w:ascii="Times New Roman" w:hAnsi="Times New Roman" w:cs="Times New Roman"/>
        </w:rPr>
        <w:fldChar w:fldCharType="begin" w:fldLock="1"/>
      </w:r>
      <w:r w:rsidR="004C66F8">
        <w:rPr>
          <w:rFonts w:ascii="Times New Roman" w:hAnsi="Times New Roman" w:cs="Times New Roman"/>
        </w:rPr>
        <w:instrText>ADDIN CSL_CITATION {"citationItems":[{"id":"ITEM-1","itemData":{"DOI":"10.1016/j.juro.2015.11.056","ISSN":"0022-5347","abstract":"Purpose Prostate specific antigen screening has led to the early detection of prostate cancer. However, there has also been concern about the over diagnosis and overtreatment of patients with indolent cancers. We performed a population based analysis to evaluate the trade-off between excess treatment and prevention. Materials and Methods We used the CDC (Centers for Disease Control and Prevention) Behavioral Risk Factor Surveillance System survey from 2001 to 2010 to determine rates of prostate specific antigen screening. We used the SEER database to identify all patients diagnosed with prostate cancer from 1988 (pre-prostate specific antigen screening) to 2010. Demographic, staging and treatment data were collected. Cases were classified as early (low/intermediate risk), high risk, node positive or metastatic disease. Results Prostate specific antigen screening rates in the last 2 years were 54% for men older than 40 years, including 71% for those older than 60, and did not vary during 2001 to 2010. Comparing 1988 and 2000 to 2010, per 100,000 men the incidence of early prostate cancer increased (61.7 to 113.7), while high risk cancer increased (20.7 to 28.2), node positive cancer decreased (3.7 to 1.8) and metastatic cancer decreased (13.6 to 6.2). The rate of definitive primary treatment (radical prostatectomy or radiation therapy) for men with early cancer increased from 47% to 67% (p &lt;0.001). Conclusions Prostate specific antigen screening has led to an additional diagnosis of 5.8 cases of early stage cancer and 3.9 cases receiving treatment for early cancer for every 1 less case of stage IV disease at initial diagnosis. This ratio represents the worst-case scenario for overtreatment and provides a quantitative basis for studying the effect of prostate specific antigen screening.","author":[{"dropping-particle":"","family":"Shen","given":"Xinglei","non-dropping-particle":"","parse-names":false,"suffix":""},{"dropping-particle":"","family":"Kumar","given":"Parvesh","non-dropping-particle":"","parse-names":false,"suffix":""}],"container-title":"Journal of Urology","id":"ITEM-1","issue":"5","issued":{"date-parts":[["2016","5"]]},"page":"1397-1402","publisher":"Elsevier Ltd","title":"Trade-Off between Treatment of Early Prostate Cancer and Incidence of Advanced Prostate Cancer in the Prostate Screening Era","type":"article-journal","volume":"195"},"uris":["http://www.mendeley.com/documents/?uuid=3bfd0b13-1305-4ea6-8b0c-ff3996e1465b"]}],"mendeley":{"formattedCitation":"(2)","plainTextFormattedCitation":"(2)","previouslyFormattedCitation":"(2)"},"properties":{"noteIndex":0},"schema":"https://github.com/citation-style-language/schema/raw/master/csl-citation.json"}</w:instrText>
      </w:r>
      <w:r w:rsidR="00F75DA7">
        <w:rPr>
          <w:rFonts w:ascii="Times New Roman" w:hAnsi="Times New Roman" w:cs="Times New Roman"/>
        </w:rPr>
        <w:fldChar w:fldCharType="separate"/>
      </w:r>
      <w:r w:rsidR="00F73F0D" w:rsidRPr="00F73F0D">
        <w:rPr>
          <w:rFonts w:ascii="Times New Roman" w:hAnsi="Times New Roman" w:cs="Times New Roman"/>
          <w:noProof/>
        </w:rPr>
        <w:t>(2)</w:t>
      </w:r>
      <w:r w:rsidR="00F75DA7">
        <w:rPr>
          <w:rFonts w:ascii="Times New Roman" w:hAnsi="Times New Roman" w:cs="Times New Roman"/>
        </w:rPr>
        <w:fldChar w:fldCharType="end"/>
      </w:r>
      <w:r w:rsidR="00EE2961">
        <w:rPr>
          <w:rFonts w:ascii="Times New Roman" w:hAnsi="Times New Roman" w:cs="Times New Roman"/>
        </w:rPr>
        <w:t xml:space="preserve"> </w:t>
      </w:r>
      <w:r>
        <w:rPr>
          <w:rFonts w:ascii="Times New Roman" w:hAnsi="Times New Roman" w:cs="Times New Roman"/>
        </w:rPr>
        <w:t>The introduction</w:t>
      </w:r>
      <w:r w:rsidR="00EE2961">
        <w:rPr>
          <w:rFonts w:ascii="Times New Roman" w:hAnsi="Times New Roman" w:cs="Times New Roman"/>
        </w:rPr>
        <w:t xml:space="preserve"> </w:t>
      </w:r>
      <w:r>
        <w:rPr>
          <w:rFonts w:ascii="Times New Roman" w:hAnsi="Times New Roman" w:cs="Times New Roman"/>
        </w:rPr>
        <w:t xml:space="preserve">of </w:t>
      </w:r>
      <w:r w:rsidR="00E30118" w:rsidRPr="009D4387">
        <w:rPr>
          <w:rFonts w:ascii="Times New Roman" w:hAnsi="Times New Roman" w:cs="Times New Roman"/>
          <w:color w:val="000000" w:themeColor="text1"/>
        </w:rPr>
        <w:t xml:space="preserve">prostate </w:t>
      </w:r>
      <w:r>
        <w:rPr>
          <w:rFonts w:ascii="Times New Roman" w:hAnsi="Times New Roman" w:cs="Times New Roman"/>
          <w:color w:val="000000" w:themeColor="text1"/>
        </w:rPr>
        <w:t>m</w:t>
      </w:r>
      <w:r w:rsidR="003449E1" w:rsidRPr="009D4387">
        <w:rPr>
          <w:rFonts w:ascii="Times New Roman" w:hAnsi="Times New Roman" w:cs="Times New Roman"/>
          <w:color w:val="000000" w:themeColor="text1"/>
        </w:rPr>
        <w:t>ulti-parametric</w:t>
      </w:r>
      <w:r w:rsidR="00E30118">
        <w:rPr>
          <w:rFonts w:ascii="Times New Roman" w:hAnsi="Times New Roman" w:cs="Times New Roman"/>
          <w:color w:val="000000" w:themeColor="text1"/>
        </w:rPr>
        <w:t xml:space="preserve"> </w:t>
      </w:r>
      <w:r w:rsidR="003449E1" w:rsidRPr="009D4387">
        <w:rPr>
          <w:rFonts w:ascii="Times New Roman" w:hAnsi="Times New Roman" w:cs="Times New Roman"/>
          <w:color w:val="000000" w:themeColor="text1"/>
        </w:rPr>
        <w:t>MRI</w:t>
      </w:r>
      <w:r w:rsidR="00E30118">
        <w:rPr>
          <w:rFonts w:ascii="Times New Roman" w:hAnsi="Times New Roman" w:cs="Times New Roman"/>
          <w:color w:val="000000" w:themeColor="text1"/>
        </w:rPr>
        <w:t xml:space="preserve"> (mpMRI)</w:t>
      </w:r>
      <w:r w:rsidR="003449E1" w:rsidRPr="009D4387">
        <w:rPr>
          <w:rFonts w:ascii="Times New Roman" w:hAnsi="Times New Roman" w:cs="Times New Roman"/>
          <w:color w:val="000000" w:themeColor="text1"/>
        </w:rPr>
        <w:t xml:space="preserve"> </w:t>
      </w:r>
      <w:r>
        <w:rPr>
          <w:rFonts w:ascii="Times New Roman" w:hAnsi="Times New Roman" w:cs="Times New Roman"/>
          <w:color w:val="000000" w:themeColor="text1"/>
        </w:rPr>
        <w:t>improves the detection of clinically significant cancers while reducing the diagnosis of indolent cancer</w:t>
      </w:r>
      <w:r w:rsidR="002E6B63" w:rsidRPr="009D4387">
        <w:rPr>
          <w:rFonts w:ascii="Times New Roman" w:hAnsi="Times New Roman" w:cs="Times New Roman"/>
          <w:color w:val="000000" w:themeColor="text1"/>
        </w:rPr>
        <w:t>.</w:t>
      </w:r>
      <w:r w:rsidR="00B000AC" w:rsidRPr="009D4387">
        <w:rPr>
          <w:rFonts w:ascii="Times New Roman" w:hAnsi="Times New Roman" w:cs="Times New Roman"/>
          <w:color w:val="000000" w:themeColor="text1"/>
        </w:rPr>
        <w:t xml:space="preserve"> </w:t>
      </w:r>
      <w:r w:rsidR="005B56A5" w:rsidRPr="009D4387">
        <w:rPr>
          <w:rFonts w:ascii="Times New Roman" w:hAnsi="Times New Roman" w:cs="Times New Roman"/>
          <w:color w:val="000000" w:themeColor="text1"/>
        </w:rPr>
        <w:t>The</w:t>
      </w:r>
      <w:r w:rsidR="002E6B63" w:rsidRPr="009D4387">
        <w:rPr>
          <w:rFonts w:ascii="Times New Roman" w:hAnsi="Times New Roman" w:cs="Times New Roman"/>
          <w:color w:val="000000" w:themeColor="text1"/>
        </w:rPr>
        <w:t xml:space="preserve"> </w:t>
      </w:r>
      <w:r w:rsidR="00B000AC" w:rsidRPr="009D4387">
        <w:rPr>
          <w:rFonts w:ascii="Times New Roman" w:hAnsi="Times New Roman" w:cs="Times New Roman"/>
          <w:color w:val="000000" w:themeColor="text1"/>
        </w:rPr>
        <w:t xml:space="preserve">creation of the </w:t>
      </w:r>
      <w:r w:rsidR="002E6B63" w:rsidRPr="009D4387">
        <w:rPr>
          <w:rFonts w:ascii="Times New Roman" w:hAnsi="Times New Roman" w:cs="Times New Roman"/>
          <w:color w:val="000000" w:themeColor="text1"/>
        </w:rPr>
        <w:t>Prostate Imaging Reporting</w:t>
      </w:r>
      <w:r w:rsidR="00326477" w:rsidRPr="009D4387">
        <w:rPr>
          <w:rFonts w:ascii="Times New Roman" w:hAnsi="Times New Roman" w:cs="Times New Roman"/>
          <w:color w:val="000000" w:themeColor="text1"/>
        </w:rPr>
        <w:t xml:space="preserve"> and Data</w:t>
      </w:r>
      <w:r w:rsidR="002E6B63" w:rsidRPr="009D4387">
        <w:rPr>
          <w:rFonts w:ascii="Times New Roman" w:hAnsi="Times New Roman" w:cs="Times New Roman"/>
          <w:color w:val="000000" w:themeColor="text1"/>
        </w:rPr>
        <w:t xml:space="preserve"> System </w:t>
      </w:r>
      <w:r w:rsidR="00363072" w:rsidRPr="009D4387">
        <w:rPr>
          <w:rFonts w:ascii="Times New Roman" w:hAnsi="Times New Roman" w:cs="Times New Roman"/>
          <w:color w:val="000000" w:themeColor="text1"/>
        </w:rPr>
        <w:t>V</w:t>
      </w:r>
      <w:r w:rsidR="00527E03" w:rsidRPr="009D4387">
        <w:rPr>
          <w:rFonts w:ascii="Times New Roman" w:hAnsi="Times New Roman" w:cs="Times New Roman"/>
          <w:color w:val="000000" w:themeColor="text1"/>
        </w:rPr>
        <w:t>ersion 1</w:t>
      </w:r>
      <w:r w:rsidR="00363072" w:rsidRPr="009D4387">
        <w:rPr>
          <w:rFonts w:ascii="Times New Roman" w:hAnsi="Times New Roman" w:cs="Times New Roman"/>
          <w:color w:val="000000" w:themeColor="text1"/>
        </w:rPr>
        <w:t xml:space="preserve"> (PI</w:t>
      </w:r>
      <w:r w:rsidR="00A064E1">
        <w:rPr>
          <w:rFonts w:ascii="Times New Roman" w:hAnsi="Times New Roman" w:cs="Times New Roman"/>
          <w:color w:val="000000" w:themeColor="text1"/>
        </w:rPr>
        <w:t>-</w:t>
      </w:r>
      <w:r w:rsidR="00363072" w:rsidRPr="009D4387">
        <w:rPr>
          <w:rFonts w:ascii="Times New Roman" w:hAnsi="Times New Roman" w:cs="Times New Roman"/>
          <w:color w:val="000000" w:themeColor="text1"/>
        </w:rPr>
        <w:t>RADS</w:t>
      </w:r>
      <w:r w:rsidR="00E66E2E" w:rsidRPr="009D4387">
        <w:rPr>
          <w:rFonts w:ascii="Times New Roman" w:hAnsi="Times New Roman" w:cs="Times New Roman"/>
          <w:color w:val="000000" w:themeColor="text1"/>
        </w:rPr>
        <w:t>v</w:t>
      </w:r>
      <w:r w:rsidR="00363072" w:rsidRPr="009D4387">
        <w:rPr>
          <w:rFonts w:ascii="Times New Roman" w:hAnsi="Times New Roman" w:cs="Times New Roman"/>
          <w:color w:val="000000" w:themeColor="text1"/>
        </w:rPr>
        <w:t xml:space="preserve">1) </w:t>
      </w:r>
      <w:r>
        <w:rPr>
          <w:rFonts w:ascii="Times New Roman" w:hAnsi="Times New Roman" w:cs="Times New Roman"/>
          <w:color w:val="000000" w:themeColor="text1"/>
        </w:rPr>
        <w:t>was an effort to standardize the interpretation of mpMRI</w:t>
      </w:r>
      <w:r w:rsidR="002E6B63" w:rsidRPr="009D4387">
        <w:rPr>
          <w:rFonts w:ascii="Times New Roman" w:hAnsi="Times New Roman" w:cs="Times New Roman"/>
          <w:color w:val="000000" w:themeColor="text1"/>
        </w:rPr>
        <w:t xml:space="preserve">. </w:t>
      </w:r>
      <w:r w:rsidR="00527E03" w:rsidRPr="009D4387">
        <w:rPr>
          <w:rFonts w:ascii="Times New Roman" w:hAnsi="Times New Roman" w:cs="Times New Roman"/>
          <w:color w:val="000000" w:themeColor="text1"/>
        </w:rPr>
        <w:t>PI</w:t>
      </w:r>
      <w:r w:rsidR="00A064E1">
        <w:rPr>
          <w:rFonts w:ascii="Times New Roman" w:hAnsi="Times New Roman" w:cs="Times New Roman"/>
          <w:color w:val="000000" w:themeColor="text1"/>
        </w:rPr>
        <w:t>-</w:t>
      </w:r>
      <w:r w:rsidR="00527E03" w:rsidRPr="009D4387">
        <w:rPr>
          <w:rFonts w:ascii="Times New Roman" w:hAnsi="Times New Roman" w:cs="Times New Roman"/>
          <w:color w:val="000000" w:themeColor="text1"/>
        </w:rPr>
        <w:t>RADS</w:t>
      </w:r>
      <w:r w:rsidR="00E66E2E" w:rsidRPr="009D4387">
        <w:rPr>
          <w:rFonts w:ascii="Times New Roman" w:hAnsi="Times New Roman" w:cs="Times New Roman"/>
          <w:color w:val="000000" w:themeColor="text1"/>
        </w:rPr>
        <w:t xml:space="preserve">v2 </w:t>
      </w:r>
      <w:r w:rsidR="00D42CFB" w:rsidRPr="009D4387">
        <w:rPr>
          <w:rFonts w:ascii="Times New Roman" w:hAnsi="Times New Roman" w:cs="Times New Roman"/>
          <w:color w:val="000000" w:themeColor="text1"/>
        </w:rPr>
        <w:t xml:space="preserve">simplified the </w:t>
      </w:r>
      <w:r>
        <w:rPr>
          <w:rFonts w:ascii="Times New Roman" w:hAnsi="Times New Roman" w:cs="Times New Roman"/>
          <w:color w:val="000000" w:themeColor="text1"/>
        </w:rPr>
        <w:t>original system, reducing the role of dynamic contrast enhanced MRI and creating a</w:t>
      </w:r>
      <w:r w:rsidRPr="009D4387">
        <w:rPr>
          <w:rFonts w:ascii="Times New Roman" w:hAnsi="Times New Roman" w:cs="Times New Roman"/>
          <w:color w:val="000000" w:themeColor="text1"/>
        </w:rPr>
        <w:t xml:space="preserve"> </w:t>
      </w:r>
      <w:r w:rsidR="00D42CFB" w:rsidRPr="009D4387">
        <w:rPr>
          <w:rFonts w:ascii="Times New Roman" w:hAnsi="Times New Roman" w:cs="Times New Roman"/>
          <w:color w:val="000000" w:themeColor="text1"/>
        </w:rPr>
        <w:t>single composite scor</w:t>
      </w:r>
      <w:r w:rsidR="00983622" w:rsidRPr="009D4387">
        <w:rPr>
          <w:rFonts w:ascii="Times New Roman" w:hAnsi="Times New Roman" w:cs="Times New Roman"/>
          <w:color w:val="000000" w:themeColor="text1"/>
        </w:rPr>
        <w:t>e</w:t>
      </w:r>
      <w:r w:rsidR="00894F11">
        <w:rPr>
          <w:rFonts w:ascii="Times New Roman" w:hAnsi="Times New Roman" w:cs="Times New Roman"/>
          <w:color w:val="000000" w:themeColor="text1"/>
        </w:rPr>
        <w:t xml:space="preserve"> for each lesion</w:t>
      </w:r>
      <w:r>
        <w:rPr>
          <w:rFonts w:ascii="Times New Roman" w:hAnsi="Times New Roman" w:cs="Times New Roman"/>
          <w:color w:val="000000" w:themeColor="text1"/>
        </w:rPr>
        <w:t>. Importantly, PI-RADSv2 also</w:t>
      </w:r>
      <w:r w:rsidR="00983622" w:rsidRPr="009D4387">
        <w:rPr>
          <w:rFonts w:ascii="Times New Roman" w:hAnsi="Times New Roman" w:cs="Times New Roman"/>
          <w:color w:val="000000" w:themeColor="text1"/>
        </w:rPr>
        <w:t xml:space="preserve"> </w:t>
      </w:r>
      <w:r>
        <w:rPr>
          <w:rFonts w:ascii="Times New Roman" w:hAnsi="Times New Roman" w:cs="Times New Roman"/>
          <w:color w:val="000000" w:themeColor="text1"/>
        </w:rPr>
        <w:t>suggested</w:t>
      </w:r>
      <w:r w:rsidR="00DD273C" w:rsidRPr="009D4387">
        <w:rPr>
          <w:rFonts w:ascii="Times New Roman" w:hAnsi="Times New Roman" w:cs="Times New Roman"/>
          <w:color w:val="000000" w:themeColor="text1"/>
        </w:rPr>
        <w:t xml:space="preserve"> standards for the acquisition of</w:t>
      </w:r>
      <w:r w:rsidR="00FA6CBA" w:rsidRPr="009D4387">
        <w:rPr>
          <w:rFonts w:ascii="Times New Roman" w:hAnsi="Times New Roman" w:cs="Times New Roman"/>
          <w:color w:val="000000" w:themeColor="text1"/>
        </w:rPr>
        <w:t xml:space="preserve"> the individual</w:t>
      </w:r>
      <w:r w:rsidR="00DD273C" w:rsidRPr="009D4387">
        <w:rPr>
          <w:rFonts w:ascii="Times New Roman" w:hAnsi="Times New Roman" w:cs="Times New Roman"/>
          <w:color w:val="000000" w:themeColor="text1"/>
        </w:rPr>
        <w:t xml:space="preserve"> MRI sequences</w:t>
      </w:r>
      <w:r>
        <w:rPr>
          <w:rFonts w:ascii="Times New Roman" w:hAnsi="Times New Roman" w:cs="Times New Roman"/>
          <w:color w:val="000000" w:themeColor="text1"/>
        </w:rPr>
        <w:t xml:space="preserve"> based on the </w:t>
      </w:r>
      <w:r w:rsidR="00894F11">
        <w:rPr>
          <w:rFonts w:ascii="Times New Roman" w:hAnsi="Times New Roman" w:cs="Times New Roman"/>
          <w:color w:val="000000" w:themeColor="text1"/>
        </w:rPr>
        <w:t xml:space="preserve">expert opinion </w:t>
      </w:r>
      <w:r>
        <w:rPr>
          <w:rFonts w:ascii="Times New Roman" w:hAnsi="Times New Roman" w:cs="Times New Roman"/>
          <w:color w:val="000000" w:themeColor="text1"/>
        </w:rPr>
        <w:t>of the</w:t>
      </w:r>
      <w:r w:rsidR="00650581">
        <w:rPr>
          <w:rFonts w:ascii="Times New Roman" w:hAnsi="Times New Roman" w:cs="Times New Roman"/>
          <w:color w:val="000000" w:themeColor="text1"/>
        </w:rPr>
        <w:t xml:space="preserve"> PI-RADSv2 committee members</w:t>
      </w:r>
      <w:r w:rsidR="003A603E">
        <w:rPr>
          <w:rFonts w:ascii="Times New Roman" w:hAnsi="Times New Roman" w:cs="Times New Roman"/>
          <w:color w:val="000000" w:themeColor="text1"/>
        </w:rPr>
        <w:t>.</w:t>
      </w:r>
      <w:r w:rsidR="00AC2CF7">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{"citationItems":[{"id":"ITEM-1","itemData":{"DOI":"10.1016/j.eururo.2015.08.052","ISSN":"03022838","author":[{"dropping-particle":"","family":"Weinreb","given":"Jeffrey C.","non-dropping-particle":"","parse-names":false,"suffix":""},{"dropping-particle":"","family":"Barentsz","given":"Jelle O.","non-dropping-particle":"","parse-names":false,"suffix":""},{"dropping-particle":"","family":"Choyke","given":"Peter L.","non-dropping-particle":"","parse-names":false,"suffix":""},{"dropping-particle":"","family":"Cornud","given":"Francois","non-dropping-particle":"","parse-names":false,"suffix":""},{"dropping-particle":"","family":"Haider","given":"Masoom A.","non-dropping-particle":"","parse-names":false,"suffix":""},{"dropping-particle":"","family":"Macura","given":"Katarzyna J.","non-dropping-particle":"","parse-names":false,"suffix":""},{"dropping-particle":"","family":"Margolis","given":"Daniel","non-dropping-particle":"","parse-names":false,"suffix":""},{"dropping-particle":"","family":"Schnall","given":"Mitchell D.","non-dropping-particle":"","parse-names":false,"suffix":""},{"dropping-particle":"","family":"Shtern","given":"Faina","non-dropping-particle":"","parse-names":false,"suffix":""},{"dropping-particle":"","family":"Tempany","given":"Clare M.","non-dropping-particle":"","parse-names":false,"suffix":""},{"dropping-particle":"","family":"Thoeny","given":"Harriet C.","non-dropping-particle":"","parse-names":false,"suffix":""},{"dropping-particle":"","family":"Verma","given":"Sadna","non-dropping-particle":"","parse-names":false,"suffix":""}],"container-title":"European Urology","id":"ITEM-1","issue":"1","issued":{"date-parts":[["2016","1"]]},"page":"16-40","title":"PI-RADS Prostate Imaging – Reporting and Data System: 2015, Version 2","type":"article-journal","volume":"69"},"uris":["http://www.mendeley.com/documents/?uuid=daef17e3-4a90-4952-ab7e-c21ef4b1a221"]},{"id":"ITEM-2","itemData":{"DOI":"10.1016/j.eururo.2018.05.035","ISSN":"03022838","PMID":"29908876","abstract":"CONTEXT The Prostate Imaging-Reporting and Data System (PI-RADS) v2 analysis system for multiparametric magnetic resonance imaging (mpMRI) detection of prostate cancer (PCa) is based on PI-RADS v1, accumulated scientific evidence, and expert consensus opinion. OBJECTIVE To summarize the accuracy, strengths and weaknesses of PI-RADS v2, discuss pathway implications of its use and outline opportunities for improvements and future developments. EVIDENCE ACQUISITION For this consensus expert opinion from the PI-RADS steering committee, clinical studies, systematic reviews, and professional guidelines for mpMRI PCa detection were evaluated. We focused on the performance characteristics of PI-RADS v2, comparing data to systems based on clinicoradiologic Likert scales and non-PI-RADS v2 imaging only. Evidence selections were based on high-quality, prospective, histologically verified data, with minimal patient selection and verifications biases. EVIDENCE SYNTHESIS It has been shown that the test performance of PI-RADS v2 in research and clinical practice retains higher accuracy over systematic transrectal ultrasound (TRUS) biopsies for PCa diagnosis. PI-RADS v2 fails to detect all cancers but does detect the majority of tumors capable of causing patient harm, which should not be missed. Test performance depends on the definition and prevalence of clinically significant disease. Good performance can be attained in practice when the quality of the diagnostic process can be assured, together with joint working of robustly trained radiologists and urologists, conducting biopsy procedures within multidisciplinary teams. CONCLUSIONS It has been shown that the test performance of PI-RADS v2 in research and clinical practice is improved, retaining higher accuracy over systematic TRUS biopsies for PCa diagnosis. PATIENT SUMMARY Multiparametric magnetic resonance imaging (MRI) and MRI-directed biopsies using the Prostate Imaging-Reporting and Data System improves the detection of prostate cancers likely to cause harm, and at the same time decreases the detection of disease that does not lead to harms if left untreated. The keys to success are high-quality imaging, reporting, and biopsies by radiologists and urologists working together in multidisciplinary teams.","author":[{"dropping-particle":"","family":"Padhani","given":"Anwar R","non-dropping-particle":"","parse-names":false,"suffix":""},{"dropping-particle":"","family":"Weinreb","given":"Jeffrey","non-dropping-particle":"","parse-names":false,"suffix":""},{"dropping-particle":"","family":"Rosenkrantz","given":"Andrew B","non-dropping-particle":"","parse-names":false,"suffix":""},{"dropping-particle":"","family":"Villeirs","given":"Geert","non-dropping-particle":"","parse-names":false,"suffix":""},{"dropping-particle":"","family":"Turkbey","given":"Baris","non-dropping-particle":"","parse-names":false,"suffix":""},{"dropping-particle":"","family":"Barentsz","given":"Jelle","non-dropping-particle":"","parse-names":false,"suffix":""}],"container-title":"European Urology","id":"ITEM-2","issue":"3","issued":{"date-parts":[["2019","3","13"]]},"page":"385-396","title":"Prostate Imaging-Reporting and Data System Steering Committee: PI-RADS v2 Status Update and Future Directions","type":"article-journal","volume":"75"},"uris":["http://www.mendeley.com/documents/?uuid=ad3c1e66-d9f6-4483-af3a-3e4d03bdc480"]}],"mendeley":{"formattedCitation":"(3, 4)","plainTextFormattedCitation":"(3, 4)","previouslyFormattedCitation":"(3, 4)"},"properties":{"noteIndex":0},"schema":"https://github.com/citation-style-language/schema/raw/master/csl-citation.json"}</w:instrText>
      </w:r>
      <w:r w:rsidR="00AC2CF7">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(3, 4)</w:t>
      </w:r>
      <w:r w:rsidR="00AC2CF7">
        <w:rPr>
          <w:rFonts w:ascii="Times New Roman" w:hAnsi="Times New Roman" w:cs="Times New Roman"/>
          <w:color w:val="000000" w:themeColor="text1"/>
        </w:rPr>
        <w:fldChar w:fldCharType="end"/>
      </w:r>
    </w:p>
    <w:p w14:paraId="5AF2895F" w14:textId="0C829664" w:rsidR="00FF5161" w:rsidRDefault="003A4DA1"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PI</w:t>
      </w:r>
      <w:r w:rsidR="00A064E1">
        <w:rPr>
          <w:rFonts w:ascii="Times New Roman" w:hAnsi="Times New Roman" w:cs="Times New Roman"/>
          <w:color w:val="000000" w:themeColor="text1"/>
        </w:rPr>
        <w:t>-</w:t>
      </w:r>
      <w:r w:rsidRPr="009D4387">
        <w:rPr>
          <w:rFonts w:ascii="Times New Roman" w:hAnsi="Times New Roman" w:cs="Times New Roman"/>
          <w:color w:val="000000" w:themeColor="text1"/>
        </w:rPr>
        <w:t>RADSv2</w:t>
      </w:r>
      <w:r w:rsidR="00650581">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 xml:space="preserve">has </w:t>
      </w:r>
      <w:r w:rsidR="00603A80" w:rsidRPr="009D4387">
        <w:rPr>
          <w:rFonts w:ascii="Times New Roman" w:hAnsi="Times New Roman" w:cs="Times New Roman"/>
          <w:color w:val="000000" w:themeColor="text1"/>
        </w:rPr>
        <w:t xml:space="preserve">consistently been shown to have a high negative predictive value allowing physicians to triage patients and </w:t>
      </w:r>
      <w:r w:rsidR="00195703">
        <w:rPr>
          <w:rFonts w:ascii="Times New Roman" w:hAnsi="Times New Roman" w:cs="Times New Roman"/>
          <w:color w:val="000000" w:themeColor="text1"/>
        </w:rPr>
        <w:t>avoid biopsies in patients unlikely to have prostate cancer</w:t>
      </w:r>
      <w:r w:rsidR="003A603E">
        <w:rPr>
          <w:rFonts w:ascii="Times New Roman" w:hAnsi="Times New Roman" w:cs="Times New Roman"/>
          <w:color w:val="000000" w:themeColor="text1"/>
        </w:rPr>
        <w:t>.</w:t>
      </w:r>
      <w:r w:rsidR="003B6BE7">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{"citationItems":[{"id":"ITEM-1","itemData":{"DOI":"10.4103/aja.aja_19_18","ISSN":"1008-682X","abstract":"Prostate cancer (PCa) is one of the most common cancers among men globally. The authors aimed to evaluate the ability of the Prostate Imaging Reporting and Data System version 2 (PI-RADS v2) to classify men with PCa, clinically significant PCa (CSPCa), or no PCa, especially among those with serum total prostate-specific antigen (tPSA) levels in the \"gray zone\" (4-10 ng ml-1). A total of 308 patients (355 lesions) were enrolled in this study. Diagnostic efficiency was determined. Univariate and multivariate analyses, receiver operating characteristic curve analysis, and decision curve analysis were performed to determine and compare the predictors of PCa and CSPCa. The results suggested that PI-RADS v2, tPSA, and prostate-specific antigen density (PSAD) were independent predictors of PCa and CSPCa. A PI-RADS v2 score ≥4 provided high negative predictive values (91.39% for PCa and 95.69% for CSPCa). A model of PI-RADS combined with PSA and PSAD helped to define a high-risk group (PI-RADS score = 5 and PSAD ≥0.15 ng ml-1 cm-3, with tPSA in the gray zone, or PI-RADS score ≥4 with high tPSA level) with a detection rate of 96.1% for PCa and 93.0% for CSPCa while a low-risk group with a detection rate of 6.1% for PCa and 2.2% for CSPCa. It was concluded that the PI-RADS v2 could be used as a reliable and independent predictor of PCa and CSPCa. The combination of PI-RADS v2 score with PSA and PSAD could be helpful in the prediction and diagnosis of PCa and CSPCa and, thus, may help in preventing unnecessary invasive procedures.","author":[{"dropping-particle":"","family":"Liu","given":"Chang","non-dropping-particle":"","parse-names":false,"suffix":""},{"dropping-particle":"","family":"Liu","given":"Shi-Liang","non-dropping-particle":"","parse-names":false,"suffix":""},{"dropping-particle":"","family":"Wang","given":"Zhi-Xian","non-dropping-particle":"","parse-names":false,"suffix":""},{"dropping-particle":"","family":"Yu","given":"Kai","non-dropping-particle":"","parse-names":false,"suffix":""},{"dropping-particle":"","family":"Feng","given":"Chun-Xiang","non-dropping-particle":"","parse-names":false,"suffix":""},{"dropping-particle":"","family":"Ke","given":"Zan","non-dropping-particle":"","parse-names":false,"suffix":""},{"dropping-particle":"","family":"Wang","given":"Liang","non-dropping-particle":"","parse-names":false,"suffix":""},{"dropping-particle":"","family":"Zeng","given":"Xiao-Yong","non-dropping-particle":"","parse-names":false,"suffix":""}],"container-title":"Asian Journal of Andrology","id":"ITEM-1","issue":"5","issued":{"date-parts":[["2018"]]},"page":"459","title":"Using the prostate imaging reporting and data system version 2 (PI-RIDS v2) to detect prostate cancer can prevent unnecessary biopsies and invasive treatment","type":"article-journal","volume":"20"},"uris":["http://www.mendeley.com/documents/?uuid=0973a1de-6f0d-431b-960e-d9d0da7a6c36"]},{"id":"ITEM-2","itemData":{"DOI":"10.1016/j.eururo.2018.11.023","ISSN":"03022838","abstract":"Background: There is growing interest to implement multiparametric magnetic resonance imaging (mpMRI) and MR-guided biopsy (MRGB) for biopsy-naïve men with suspected prostate cancer. Objective: Primary objective was to compare and evaluate an MRI pathway and a transrectal ultrasound-guided biopsy (TRUSGB) pathway in biopsy-naïve men with prostate-specific antigen levels of ≥3 ng/ml. Design, setting, and population: A prospective, multicenter, powered, comparative effectiveness study included 626 biopsy-naïve patients (from February 2015 to February 2018). Intervention: All patients underwent prebiopsy mpMRI followed by systematic TRUSGB. Men with suspicious lesions on mpMRI also underwent MRGB prior to TRUSGB. MRGB was performed using the in-bore approach. Outcome measurements and statistical analysis: Clinically significant prostate cancer (csPCa) was defined as grade group ≥2 (Gleason score ≥3 + 4) in any core. The main secondary objectives were the number of men who could avoid biopsy after nonsuspicious mpMRI, the number of biopsy cores taken, and oncologic follow-up. Differences in proportions were tested using McNemar's test with adjusted Wald confidence intervals for differences of proportions with matched pairs. Results and limitations: The MRI pathway detected csPCa in 159/626 (25%) patients and insignificant prostate cancer (insignPCa) in 88/626 patients (14%). TRUSGB detected csPCa in 146/626 patients (23%) and insignPCa in 155/626 patients (25%). Relative sensitivity of the MRI pathway versus the TRUSGB pathway was 1.09 for csPCa (p = 0.17) and 0.57 for insignPCa (p &lt; 0.0001). The total number of biopsy cores reduced from 7512 to 849 (–89%). The MRI pathway enabled biopsy avoidance in 309/626 (49%) patients due to nonsuspicious mpMRI. Immediate TRUSGB detected csPCa in only 3% (10/309) of these patients, increasing to 4% (13/309) with 1-yr follow-up. At the same time, TRUSGB would overdetect insignPCa in 20% (63/309). “Focal saturation” by four additional perilesional cores to MRGB improved the detection of csPCa in 21/317 (7%) patients. Compared with the literature, our proportion of nonsuspicious mpMRI cases is significantly higher (27–36% vs 49%) and that of equivocal cases is lower (15–28% vs 6%). This is probably due to the high-quality standard in this study. Therefore, a limitation is the duplication of these results in less experienced centers. Conclusions: In biopsy-naïve men, the MRI pathway compared with the TRUSGB pathway results…","author":[{"dropping-particle":"","family":"Leest","given":"Marloes","non-dropping-particle":"van der","parse-names":false,"suffix":""},{"dropping-particle":"","family":"Cornel","given":"Erik","non-dropping-particle":"","parse-names":false,"suffix":""},{"dropping-particle":"","family":"Israël","given":"Bas","non-dropping-particle":"","parse-names":false,"suffix":""},{"dropping-particle":"","family":"Hendriks","given":"Rianne","non-dropping-particle":"","parse-names":false,"suffix":""},{"dropping-particle":"","family":"Padhani","given":"Anwar R.","non-dropping-particle":"","parse-names":false,"suffix":""},{"dropping-particle":"","family":"Hoogenboom","given":"Martijn","non-dropping-particle":"","parse-names":false,"suffix":""},{"dropping-particle":"","family":"Zamecnik","given":"Patrik","non-dropping-particle":"","parse-names":false,"suffix":""},{"dropping-particle":"","family":"Bakker","given":"Dirk","non-dropping-particle":"","parse-names":false,"suffix":""},{"dropping-particle":"","family":"Setiasti","given":"Anglita Yanti","non-dropping-particle":"","parse-names":false,"suffix":""},{"dropping-particle":"","family":"Veltman","given":"Jeroen","non-dropping-particle":"","parse-names":false,"suffix":""},{"dropping-particle":"","family":"Hout","given":"Huib","non-dropping-particle":"van den","parse-names":false,"suffix":""},{"dropping-particle":"","family":"Lelij","given":"Hans","non-dropping-particle":"van der","parse-names":false,"suffix":""},{"dropping-particle":"","family":"Oort","given":"Inge","non-dropping-particle":"van","parse-names":false,"suffix":""},{"dropping-particle":"","family":"Klaver","given":"Sjoerd","non-dropping-particle":"","parse-names":false,"suffix":""},{"dropping-particle":"","family":"Debruyne","given":"Frans","non-dropping-particle":"","parse-names":false,"suffix":""},{"dropping-particle":"","family":"Sedelaar","given":"Michiel","non-dropping-particle":"","parse-names":false,"suffix":""},{"dropping-particle":"","family":"Hannink","given":"Gerjon","non-dropping-particle":"","parse-names":false,"suffix":""},{"dropping-particle":"","family":"Rovers","given":"Maroeska","non-dropping-particle":"","parse-names":false,"suffix":""},{"dropping-particle":"","family":"Hulsbergen-van de Kaa","given":"Christina","non-dropping-particle":"","parse-names":false,"suffix":""},{"dropping-particle":"","family":"Barentsz","given":"Jelle O.","non-dropping-particle":"","parse-names":false,"suffix":""}],"container-title":"European Urology","id":"ITEM-2","issue":"4","issued":{"date-parts":[["2019","4"]]},"page":"570-578","title":"Head-to-head Comparison of Transrectal Ultrasound-guided Prostate Biopsy Versus Multiparametric Prostate Resonance Imaging with Subsequent Magnetic Resonance-guided Biopsy in Biopsy-naïve Men with Elevated Prostate-specific Antigen: A Large Prospective Mu","type":"article-journal","volume":"75"},"uris":["http://www.mendeley.com/documents/?uuid=90b30483-d8b9-47ab-9cc5-e728ea0885f5"]}],"mendeley":{"formattedCitation":"(5, 6)","plainTextFormattedCitation":"(5, 6)","previouslyFormattedCitation":"(5, 6)"},"properties":{"noteIndex":0},"schema":"https://github.com/citation-style-language/schema/raw/master/csl-citation.json"}</w:instrText>
      </w:r>
      <w:r w:rsidR="003B6BE7">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(5, 6)</w:t>
      </w:r>
      <w:r w:rsidR="003B6BE7">
        <w:rPr>
          <w:rFonts w:ascii="Times New Roman" w:hAnsi="Times New Roman" w:cs="Times New Roman"/>
          <w:color w:val="000000" w:themeColor="text1"/>
        </w:rPr>
        <w:fldChar w:fldCharType="end"/>
      </w:r>
      <w:r w:rsidR="00195703">
        <w:rPr>
          <w:rFonts w:ascii="Times New Roman" w:hAnsi="Times New Roman" w:cs="Times New Roman"/>
          <w:color w:val="000000" w:themeColor="text1"/>
        </w:rPr>
        <w:t xml:space="preserve"> Similarly, other studies have shown that PI</w:t>
      </w:r>
      <w:r w:rsidR="00A064E1">
        <w:rPr>
          <w:rFonts w:ascii="Times New Roman" w:hAnsi="Times New Roman" w:cs="Times New Roman"/>
          <w:color w:val="000000" w:themeColor="text1"/>
        </w:rPr>
        <w:t>-</w:t>
      </w:r>
      <w:r w:rsidR="00195703">
        <w:rPr>
          <w:rFonts w:ascii="Times New Roman" w:hAnsi="Times New Roman" w:cs="Times New Roman"/>
          <w:color w:val="000000" w:themeColor="text1"/>
        </w:rPr>
        <w:t>RADSv2 in the context of MRI guided biopsies has increased sensitivity for CSPCa over traditional TRUS</w:t>
      </w:r>
      <w:r w:rsidR="0041684C">
        <w:rPr>
          <w:rFonts w:ascii="Times New Roman" w:hAnsi="Times New Roman" w:cs="Times New Roman"/>
          <w:color w:val="000000" w:themeColor="text1"/>
        </w:rPr>
        <w:t xml:space="preserve"> guided</w:t>
      </w:r>
      <w:r w:rsidR="00195703">
        <w:rPr>
          <w:rFonts w:ascii="Times New Roman" w:hAnsi="Times New Roman" w:cs="Times New Roman"/>
          <w:color w:val="000000" w:themeColor="text1"/>
        </w:rPr>
        <w:t xml:space="preserve"> biopsy methods</w:t>
      </w:r>
      <w:r w:rsidR="003A603E">
        <w:rPr>
          <w:rFonts w:ascii="Times New Roman" w:hAnsi="Times New Roman" w:cs="Times New Roman"/>
          <w:color w:val="000000" w:themeColor="text1"/>
        </w:rPr>
        <w:t>.</w:t>
      </w:r>
      <w:r w:rsidR="00743104" w:rsidRPr="00E96E73">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{"citationItems":[{"id":"ITEM-1","itemData":{"DOI":"10.1016/j.juro.2017.03.131","ISSN":"1527-3792 (Electronic)\r0022-5347 (Linking)","PMID":"28373133","abstract":"PURPOSE: The PI-RADS (Prostate Imaging Reporting and Data System), version 2 scoring system, introduced in 2015, is based on expert consensus. In the same time frame ISUP (International Society of Urological Pathology) introduced a new pathological scoring system for prostate cancer. Our goal was to prospectively evaluate the cancer detection rates for each PI-RADS, version 2 category and compare them to ISUP group scores in patients undergoing systematic biopsy and magnetic resonance imaging-transrectal ultrasound fusion guided biopsy. MATERIALS AND METHODS: A total of 339 treatment naive patients prospectively underwent multiparametric magnetic resonance imaging evaluated with PI-RADS, version 2 with subsequent systematic and fusion guided biopsy from May 2015 to May 2016. ISUP scores were applied to pathological specimens. An ISUP score of 2 or greater (ie Gleason 3 + 4 or greater) was defined as clinically significant prostate cancer. Cancer detection rates were determined for each PI-RADS, version 2 category as well as for the T2 weighted PI-RADS, version 2 categories in the peripheral zone. RESULTS: The cancer detection rate for PI-RADS, version 2 categories 1, 2, 3, 4 and 5 was 25%, 20.2%, 24.8%, 39.1% and 86.9% for all prostate cancer, and 0%, 9.6%, 12%, 22.1% and 72.4% for clinically significant prostate cancer, respectively. On T2-weighted magnetic resonance imaging the cancer detection rate in the peripheral zone was significantly higher for PI-RADS, version 2 category 4 than for overall PI-RADS, version 2 category 4 in the peripheral zone (all prostate cancer 36.6% vs 48.1%, p = 0.001, and clinically significant prostate cancer 22.9% vs 32.6%, p = 0.002). CONCLUSIONS: The cancer detection rate increases with higher PI-RADS, version 2 categories.","author":[{"dropping-particle":"","family":"Mehralivand","given":"S","non-dropping-particle":"","parse-names":false,"suffix":""},{"dropping-particle":"","family":"Bednarova","given":"S","non-dropping-particle":"","parse-names":false,"suffix":""},{"dropping-particle":"","family":"Shih","given":"J H","non-dropping-particle":"","parse-names":false,"suffix":""},{"dropping-particle":"V","family":"Mertan","given":"F","non-dropping-particle":"","parse-names":false,"suffix":""},{"dropping-particle":"","family":"Gaur","given":"S","non-dropping-particle":"","parse-names":false,"suffix":""},{"dropping-particle":"","family":"Merino","given":"M J","non-dropping-particle":"","parse-names":false,"suffix":""},{"dropping-particle":"","family":"Wood","given":"B J","non-dropping-particle":"","parse-names":false,"suffix":""},{"dropping-particle":"","family":"Pinto","given":"P A","non-dropping-particle":"","parse-names":false,"suffix":""},{"dropping-particle":"","family":"Choyke","given":"P L","non-dropping-particle":"","parse-names":false,"suffix":""},{"dropping-particle":"","family":"Turkbey","given":"B","non-dropping-particle":"","parse-names":false,"suffix":""}],"container-title":"J Urol","id":"ITEM-1","issue":"3","issued":{"date-parts":[["2017"]]},"note":"Mehralivand, Sherif Bednarova, Sandra Shih, Joanna H Mertan, Francesca V Gaur, Sonia Merino, Maria J Wood, Bradford J Pinto, Peter A Choyke, Peter L Turkbey, Baris eng 2017/04/05 06:00 J Urol. 2017 Sep;198(3):583-590. doi: 10.1016/j.juro.2017.03.131. Epub 2017 Mar 31.","page":"583-590","title":"Prospective Evaluation of PI-RADS Version 2 Using the International Society of Urological Pathology Prostate Cancer Grade Group System","type":"article-journal","volume":"198"},"uris":["http://www.mendeley.com/documents/?uuid=f72e4856-c4ba-4892-b5b5-89d329b261de"]},{"id":"ITEM-2","itemData":{"DOI":"10.2214/AJR.16.17629","ISSN":"0361-803X","abstract":"OBJECTIVE: The purpose of our study was to prospectively assess Prostate Imaging Reporting and Data System (PI-RADS) version 2 using an MRI-ultrasound fusion biopsy. SUBJECTS AND METHODS: This study included 295 consecutive patients with 478 lesions who underwent multiparametric MRI and subsequent MRI-ultrasound fusion biopsy between December 2014 and September 2016. Lesions were assessed by using an overall score of PI-RADS version 2. One radiologist assessed the presence or absence of clinically significant prostate cancer in the whole gland and in subgroups of the peripheral zone and transition zone by using cutoff values of &gt;/= 4 and &gt;/= 3. Histologic examination of MRI-ultrasound fusion biopsy specimens was used as the reference standard. Sensitivity, specificity, positive predictive value (PPV), negative predictive value (NPV), and accuracy were calculated to assess the utility of PI-RADS version 2 for the diagnosis of clinically significant prostate cancer. RESULTS: The overall PI-RADS version 2 scores showed an accuracy of 82.2% (393/478) for the whole gland, with a cutoff value of &gt;/= 4 granting sensitivity of 90.0% (90/100), specificity of 80.1% (303/378), PPV of 83.3% (90/108), and NPV of 81.8% (303/370). The overall scores showed accuracies of 84.7% (301/355) in the peripheral zone and 74.7% (92/123) in the transition zone. When we applied an arbitrary overall score of &gt;/= 3, accuracy was 68.6% (328/478), sensitivity was 94.6% (124/131), specificity was 58.7% (204/347), PPV was 51.6% (124/240), and NPV was 85.7% (204/238). CONCLUSION: PI-RADS version 2 has an overall good performance for the diagnosis of clinically significant prostate cancer.","author":[{"dropping-particle":"","family":"Kim","given":"See Hyung","non-dropping-particle":"","parse-names":false,"suffix":""},{"dropping-particle":"","family":"Choi","given":"Mi Sun","non-dropping-particle":"","parse-names":false,"suffix":""},{"dropping-particle":"","family":"Kim","given":"Mi Jung","non-dropping-particle":"","parse-names":false,"suffix":""},{"dropping-particle":"","family":"Kim","given":"Young Hwan","non-dropping-particle":"","parse-names":false,"suffix":""},{"dropping-particle":"","family":"Cho","given":"Seung Hyun","non-dropping-particle":"","parse-names":false,"suffix":""}],"container-title":"American Journal of Roentgenology","id":"ITEM-2","issue":"4","issued":{"date-parts":[["2017","10"]]},"page":"800-805","title":"Validation of Prostate Imaging Reporting and Data System Version 2 Using an MRI-Ultrasound Fusion Biopsy in Prostate Cancer Diagnosis","type":"article-journal","volume":"209"},"uris":["http://www.mendeley.com/documents/?uuid=aa4c0179-65e5-42a5-91ac-ccd3a2ee56c8"]},{"id":"ITEM-3","itemData":{"DOI":"10.1016/S0140-6736(16)32401-1","ISBN":"0140-6736","ISSN":"1474547X","PMID":"28110982","abstract":"Background Men with high serum prostate specific antigen usually undergo transrectal ultrasound-guided prostate biopsy (TRUS-biopsy). TRUS-biopsy can cause side-effects including bleeding, pain, and infection. Multi-parametric magnetic resonance imaging (MP-MRI) used as a triage test might allow men to avoid unnecessary TRUS-biopsy and improve diagnostic accuracy. Methods We did this multicentre, paired-cohort, confirmatory study to test diagnostic accuracy of MP-MRI and TRUS-biopsy against a reference test (template prostate mapping biopsy [TPM-biopsy]). Men with prostate-specific antigen concentrations up to 15 ng/mL, with no previous biopsy, underwent 1·5 Tesla MP-MRI followed by both TRUS-biopsy and TPM-biopsy. The conduct and reporting of each test was done blind to other test results. Clinically significant cancer was defined as Gleason score ≥4 + 3 or a maximum cancer core length 6 mm or longer. This study is registered on ClinicalTrials.gov, NCT01292291. Findings Between May 17, 2012, and November 9, 2015, we enrolled 740 men, 576 of whom underwent 1·5 Tesla MP-MRI followed by both TRUS-biopsy and TPM-biopsy. On TPM-biopsy, 408 (71%) of 576 men had cancer with 230 (40%) of 576 patients clinically significant. For clinically significant cancer, MP-MRI was more sensitive (93%, 95% CI 88–96%) than TRUS-biopsy (48%, 42–55%; p&lt;0·0001) and less specific (41%, 36–46% for MP-MRI vs 96%, 94–98% for TRUS-biopsy; p&lt;0·0001). 44 (5·9%) of 740 patients reported serious adverse events, including 8 cases of sepsis. Interpretation Using MP-MRI to triage men might allow 27% of patients avoid a primary biopsy and diagnosis of 5% fewer clinically insignificant cancers. If subsequent TRUS-biopsies were directed by MP-MRI findings, up to 18% more cases of clinically significant cancer might be detected compared with the standard pathway of TRUS-biopsy for all. MP-MRI, used as a triage test before first prostate biopsy, could reduce unnecessary biopsies by a quarter. MP-MRI can also reduce over-diagnosis of clinically insignificant prostate cancer and improve detection of clinically significant cancer. Funding PROMIS is funded by the UK Government Department of Health, National Institute of Health Research–Health Technology Assessment Programme, (Project number 09/22/67). This project is also supported and partly funded by UCLH/UCL Biomedical Research Centre and The Royal Marsden and Institute for Cancer Research Biomedical Research Centre and is coordinated by the Me…","author":[{"dropping-particle":"","family":"Ahmed","given":"Hashim U.","non-dropping-particle":"","parse-names":false,"suffix":""},{"dropping-particle":"","family":"El-Shater Bosaily","given":"Ahmed","non-dropping-particle":"","parse-names":false,"suffix":""},{"dropping-particle":"","family":"Brown","given":"Louise C.","non-dropping-particle":"","parse-names":false,"suffix":""},{"dropping-particle":"","family":"Gabe","given":"Rhian","non-dropping-particle":"","parse-names":false,"suffix":""},{"dropping-particle":"","family":"Kaplan","given":"Richard","non-dropping-particle":"","parse-names":false,"suffix":""},{"dropping-particle":"","family":"Parmar","given":"Mahesh K.","non-dropping-particle":"","parse-names":false,"suffix":""},{"dropping-particle":"","family":"Collaco-Moraes","given":"Yolanda","non-dropping-particle":"","parse-names":false,"suffix":""},{"dropping-particle":"","family":"Ward","given":"Katie","non-dropping-particle":"","parse-names":false,"suffix":""},{"dropping-particle":"","family":"Hindley","given":"Richard G.","non-dropping-particle":"","parse-names":false,"suffix":""},{"dropping-particle":"","family":"Freeman","given":"Alex","non-dropping-particle":"","parse-names":false,"suffix":""},{"dropping-particle":"","family":"Kirkham","given":"Alex P.","non-dropping-particle":"","parse-names":false,"suffix":""},{"dropping-particle":"","family":"Oldroyd","given":"Robert","non-dropping-particle":"","parse-names":false,"suffix":""},{"dropping-particle":"","family":"Parker","given":"Chris","non-dropping-particle":"","parse-names":false,"suffix":""},{"dropping-particle":"","family":"Emberton","given":"Mark","non-dropping-particle":"","parse-names":false,"suffix":""}],"container-title":"The Lancet","id":"ITEM-3","issue":"10071","issued":{"date-parts":[["2017"]]},"page":"815-822","publisher":"The Author(s). Published by Elsevier Ltd. This is an Open Access article under the CC BY license","title":"Diagnostic accuracy of multi-parametric MRI and TRUS biopsy in prostate cancer (PROMIS): a paired validating confirmatory study","type":"article-journal","volume":"389"},"uris":["http://www.mendeley.com/documents/?uuid=e3f99e37-b4a3-4ec5-8a5a-24601de988b4"]},{"id":"ITEM-4","itemData":{"DOI":"10.1056/NEJMoa1801993","ISBN":"0-7803-9252-3","ISSN":"0028-4793","PMID":"29552975","abstract":"In a multicenter, randomized, noninferiority trial, we assigned men with a clinical suspicion of prostate cancer who had not undergone biopsy previously to undergo MRI, with or without targeted biopsy, or standard transrectal ultrasonography– guided biopsy. Men in the MRI-targeted biopsy group underwent a targeted biopsy (without standard biopsy cores) if the MRI was suggestive of prostate cancer; men whose MRI results were not suggestive of prostate cancer were not offered biopsy. Standard biopsy was a 10-to-12–core, transrectal ultrasonography–guided biopsy. The primary outcome was the proportion of men who received a diagnosis of clinically significant cancer. Secondary outcomes included the proportion of men who received a diagnosis of clinically insignificant cancer. CONCLSIONS: The use of risk assessment with MRI before biopsy and MRI-targeted biopsy was superior to standard transrectal ultrasonography–guided biopsy in men at clinical risk for prostate cancer who had not undergone biopsy previously. (Funded by the National Institute for Health Research and the European Association of Urology Research Foundation; PRECISION ClinicalTrials.gov number, NCT02380027.)","author":[{"dropping-particle":"","family":"Kasivisvanathan","given":"Veeru","non-dropping-particle":"","parse-names":false,"suffix":""},{"dropping-particle":"","family":"Rannikko","given":"Antti S.","non-dropping-particle":"","parse-names":false,"suffix":""},{"dropping-particle":"","family":"Borghi","given":"Marcelo","non-dropping-particle":"","parse-names":false,"suffix":""},{"dropping-particle":"","family":"Panebianco","given":"Valeria","non-dropping-particle":"","parse-names":false,"suffix":""},{"dropping-particle":"","family":"Mynderse","given":"Lance A.","non-dropping-particle":"","parse-names":false,"suffix":""},{"dropping-particle":"","family":"Vaarala","given":"Markku H.","non-dropping-particle":"","parse-names":false,"suffix":""},{"dropping-particle":"","family":"Briganti","given":"Alberto","non-dropping-particle":"","parse-names":false,"suffix":""},{"dropping-particle":"","family":"Budäus","given":"Lars","non-dropping-particle":"","parse-names":false,"suffix":""},{"dropping-particle":"","family":"Hellawell","given":"Giles","non-dropping-particle":"","parse-names":false,"suffix":""},{"dropping-particle":"","family":"Hindley","given":"Richard G.","non-dropping-particle":"","parse-names":false,"suffix":""},{"dropping-particle":"","family":"Roobol","given":"Monique J.","non-dropping-particle":"","parse-names":false,"suffix":""},{"dropping-particle":"","family":"Eggener","given":"Scott","non-dropping-particle":"","parse-names":false,"suffix":""},{"dropping-particle":"","family":"Ghei","given":"Maneesh","non-dropping-particle":"","parse-names":false,"suffix":""},{"dropping-particle":"","family":"Villers","given":"Arnauld","non-dropping-particle":"","parse-names":false,"suffix":""},{"dropping-particle":"","family":"Bladou","given":"Franck","non-dropping-particle":"","parse-names":false,"suffix":""},{"dropping-particle":"","family":"Villeirs","given":"Geert M.","non-dropping-particle":"","parse-names":false,"suffix":""},{"dropping-particle":"","family":"Virdi","given":"Jaspal","non-dropping-particle":"","parse-names":false,"suffix":""},{"dropping-particle":"","family":"Boxler","given":"Silvan","non-dropping-particle":"","parse-names":false,"suffix":""},{"dropping-particle":"","family":"Robert","given":"Grégoire","non-dropping-particle":"","parse-names":false,"suffix":""},{"dropping-particle":"","family":"Singh","given":"Paras B.","non-dropping-particle":"","parse-names":false,"suffix":""},{"dropping-particle":"","family":"Venderink","given":"Wulphert","non-dropping-particle":"","parse-names":false,"suffix":""},{"dropping-particle":"","family":"Hadaschik","given":"Boris A.","non-dropping-particle":"","parse-names":false,"suffix":""},{"dropping-particle":"","family":"Ruffion","given":"Alain","non-dropping-particle":"","parse-names":false,"suffix":""},{"dropping-particle":"","family":"Hu","given":"Jim C.","non-dropping-particle":"","parse-names":false,"suffix":""},{"dropping-particle":"","family":"Margolis","given":"Daniel","non-dropping-particle":"","parse-names":false,"suffix":""},{"dropping-particle":"","family":"Crouzet","given":"Sébastien","non-dropping-particle":"","parse-names":false,"suffix":""},{"dropping-particle":"","family":"Klotz","given":"Laurence","non-dropping-particle":"","parse-names":false,"suffix":""},{"dropping-particle":"","family":"Taneja","given":"Samir S.","non-dropping-particle":"","parse-names":false,"suffix":""},{"dropping-particle":"","family":"Pinto","given":"Peter","non-dropping-particle":"","parse-names":false,"suffix":""},{"dropping-particle":"","family":"Gill","given":"Inderbir","non-dropping-particle":"","parse-names":false,"suffix":""},{"dropping-particle":"","family":"Allen","given":"Clare","non-dropping-particle":"","parse-names":false,"suffix":""},{"dropping-particle":"","family":"Giganti","given":"Francesco","non-dropping-particle":"","parse-names":false,"suffix":""},{"dropping-particle":"","family":"Freeman","given":"Alex","non-dropping-particle":"","parse-names":false,"suffix":""},{"dropping-particle":"","family":"Morris","given":"Stephen","non-dropping-particle":"","parse-names":false,"suffix":""},{"dropping-particle":"","family":"Punwani","given":"Shonit","non-dropping-particle":"","parse-names":false,"suffix":""},{"dropping-particle":"","family":"Williams","given":"Norman R.","non-dropping-particle":"","parse-names":false,"suffix":""},{"dropping-particle":"","family":"Brew-Graves","given":"Chris","non-dropping-particle":"","parse-names":false,"suffix":""},{"dropping-particle":"","family":"Deeks","given":"Jonathan","non-dropping-particle":"","parse-names":false,"suffix":""},{"dropping-particle":"","family":"Takwoingi","given":"Yemisi","non-dropping-particle":"","parse-names":false,"suffix":""},{"dropping-particle":"","family":"Emberton","given":"Mark","non-dropping-particle":"","parse-names":false,"suffix":""},{"dropping-particle":"","family":"Moore","given":"Caroline M.","non-dropping-particle":"","parse-names":false,"suffix":""}],"container-title":"New England Journal of Medicine","id":"ITEM-4","issue":"19","issued":{"date-parts":[["2018","5","10"]]},"page":"1767-1777","title":"MRI-Targeted or Standard Biopsy for Prostate-Cancer Diagnosis","type":"article-journal","volume":"378"},"uris":["http://www.mendeley.com/documents/?uuid=eee16da0-912d-457d-9e56-d306bbfc6791"]}],"mendeley":{"formattedCitation":"(7–10)","plainTextFormattedCitation":"(7–10)","previouslyFormattedCitation":"(7–10)"},"properties":{"noteIndex":0},"schema":"https://github.com/citation-style-language/schema/raw/master/csl-citation.json"}</w:instrText>
      </w:r>
      <w:r w:rsidR="00743104" w:rsidRPr="00E96E73">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(7–10)</w:t>
      </w:r>
      <w:r w:rsidR="00743104" w:rsidRPr="00E96E73">
        <w:rPr>
          <w:rFonts w:ascii="Times New Roman" w:hAnsi="Times New Roman" w:cs="Times New Roman"/>
          <w:color w:val="000000" w:themeColor="text1"/>
        </w:rPr>
        <w:fldChar w:fldCharType="end"/>
      </w:r>
    </w:p>
    <w:p w14:paraId="258CE4F2" w14:textId="1E40B2AB" w:rsidR="00743104" w:rsidRPr="009D4387" w:rsidRDefault="00FF5161"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However, t</w:t>
      </w:r>
      <w:r w:rsidRPr="009D4387">
        <w:rPr>
          <w:rFonts w:ascii="Times New Roman" w:hAnsi="Times New Roman" w:cs="Times New Roman"/>
          <w:color w:val="000000" w:themeColor="text1"/>
        </w:rPr>
        <w:t xml:space="preserve">he problem of variable image quality </w:t>
      </w:r>
      <w:r w:rsidR="00650581">
        <w:rPr>
          <w:rFonts w:ascii="Times New Roman" w:hAnsi="Times New Roman" w:cs="Times New Roman"/>
          <w:color w:val="000000" w:themeColor="text1"/>
        </w:rPr>
        <w:t>among</w:t>
      </w:r>
      <w:r w:rsidR="00650581"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 xml:space="preserve">centers is a </w:t>
      </w:r>
      <w:r w:rsidR="00917C2E">
        <w:rPr>
          <w:rFonts w:ascii="Times New Roman" w:hAnsi="Times New Roman" w:cs="Times New Roman"/>
          <w:color w:val="000000" w:themeColor="text1"/>
        </w:rPr>
        <w:t>major limitation</w:t>
      </w:r>
      <w:r w:rsidR="00650581">
        <w:rPr>
          <w:rFonts w:ascii="Times New Roman" w:hAnsi="Times New Roman" w:cs="Times New Roman"/>
          <w:color w:val="000000" w:themeColor="text1"/>
        </w:rPr>
        <w:t xml:space="preserve"> of mpMRI</w:t>
      </w:r>
      <w:r w:rsidRPr="009D4387">
        <w:rPr>
          <w:rFonts w:ascii="Times New Roman" w:hAnsi="Times New Roman" w:cs="Times New Roman"/>
          <w:color w:val="000000" w:themeColor="text1"/>
        </w:rPr>
        <w:t>. Low quality prostate MRIs</w:t>
      </w:r>
      <w:r>
        <w:rPr>
          <w:rFonts w:ascii="Times New Roman" w:hAnsi="Times New Roman" w:cs="Times New Roman"/>
          <w:color w:val="000000" w:themeColor="text1"/>
        </w:rPr>
        <w:t xml:space="preserve"> </w:t>
      </w:r>
      <w:r w:rsidR="00CE37C1">
        <w:rPr>
          <w:rFonts w:ascii="Times New Roman" w:hAnsi="Times New Roman" w:cs="Times New Roman"/>
          <w:color w:val="000000" w:themeColor="text1"/>
        </w:rPr>
        <w:t>could</w:t>
      </w:r>
      <w:r w:rsidR="00410904">
        <w:rPr>
          <w:rFonts w:ascii="Times New Roman" w:hAnsi="Times New Roman" w:cs="Times New Roman"/>
          <w:color w:val="000000" w:themeColor="text1"/>
        </w:rPr>
        <w:t xml:space="preserve"> easily </w:t>
      </w:r>
      <w:r>
        <w:rPr>
          <w:rFonts w:ascii="Times New Roman" w:hAnsi="Times New Roman" w:cs="Times New Roman"/>
          <w:color w:val="000000" w:themeColor="text1"/>
        </w:rPr>
        <w:t xml:space="preserve">limit </w:t>
      </w:r>
      <w:r w:rsidR="001F084B">
        <w:rPr>
          <w:rFonts w:ascii="Times New Roman" w:hAnsi="Times New Roman" w:cs="Times New Roman"/>
          <w:color w:val="000000" w:themeColor="text1"/>
        </w:rPr>
        <w:t xml:space="preserve">lesion </w:t>
      </w:r>
      <w:r w:rsidRPr="009D4387">
        <w:rPr>
          <w:rFonts w:ascii="Times New Roman" w:hAnsi="Times New Roman" w:cs="Times New Roman"/>
          <w:color w:val="000000" w:themeColor="text1"/>
        </w:rPr>
        <w:t xml:space="preserve">localization </w:t>
      </w:r>
      <w:r w:rsidR="00CE37C1">
        <w:rPr>
          <w:rFonts w:ascii="Times New Roman" w:hAnsi="Times New Roman" w:cs="Times New Roman"/>
          <w:color w:val="000000" w:themeColor="text1"/>
        </w:rPr>
        <w:t>lowering</w:t>
      </w:r>
      <w:r w:rsidRPr="009D4387">
        <w:rPr>
          <w:rFonts w:ascii="Times New Roman" w:hAnsi="Times New Roman" w:cs="Times New Roman"/>
          <w:color w:val="000000" w:themeColor="text1"/>
        </w:rPr>
        <w:t xml:space="preserve"> </w:t>
      </w:r>
      <w:r w:rsidR="001F084B">
        <w:rPr>
          <w:rFonts w:ascii="Times New Roman" w:hAnsi="Times New Roman" w:cs="Times New Roman"/>
          <w:color w:val="000000" w:themeColor="text1"/>
        </w:rPr>
        <w:t>diagnostic yield in MRI guided</w:t>
      </w:r>
      <w:r w:rsidRPr="009D4387">
        <w:rPr>
          <w:rFonts w:ascii="Times New Roman" w:hAnsi="Times New Roman" w:cs="Times New Roman"/>
          <w:color w:val="000000" w:themeColor="text1"/>
        </w:rPr>
        <w:t xml:space="preserve"> biopsies </w:t>
      </w:r>
      <w:r>
        <w:rPr>
          <w:rFonts w:ascii="Times New Roman" w:hAnsi="Times New Roman" w:cs="Times New Roman"/>
          <w:color w:val="000000" w:themeColor="text1"/>
        </w:rPr>
        <w:t>resulting in</w:t>
      </w:r>
      <w:r w:rsidRPr="009D4387">
        <w:rPr>
          <w:rFonts w:ascii="Times New Roman" w:hAnsi="Times New Roman" w:cs="Times New Roman"/>
          <w:color w:val="000000" w:themeColor="text1"/>
        </w:rPr>
        <w:t xml:space="preserve"> no patient benefit</w:t>
      </w:r>
      <w:r>
        <w:rPr>
          <w:rFonts w:ascii="Times New Roman" w:hAnsi="Times New Roman" w:cs="Times New Roman"/>
          <w:color w:val="000000" w:themeColor="text1"/>
        </w:rPr>
        <w:t xml:space="preserve"> over </w:t>
      </w:r>
      <w:r w:rsidR="001F084B">
        <w:rPr>
          <w:rFonts w:ascii="Times New Roman" w:hAnsi="Times New Roman" w:cs="Times New Roman"/>
          <w:color w:val="000000" w:themeColor="text1"/>
        </w:rPr>
        <w:t xml:space="preserve">standard </w:t>
      </w:r>
      <w:r>
        <w:rPr>
          <w:rFonts w:ascii="Times New Roman" w:hAnsi="Times New Roman" w:cs="Times New Roman"/>
          <w:color w:val="000000" w:themeColor="text1"/>
        </w:rPr>
        <w:t>ultrasound guidance</w:t>
      </w:r>
      <w:r w:rsidRPr="009D4387">
        <w:rPr>
          <w:rFonts w:ascii="Times New Roman" w:hAnsi="Times New Roman" w:cs="Times New Roman"/>
          <w:color w:val="000000" w:themeColor="text1"/>
        </w:rPr>
        <w:t>.</w:t>
      </w:r>
      <w:r>
        <w:rPr>
          <w:rFonts w:ascii="Times New Roman" w:hAnsi="Times New Roman" w:cs="Times New Roman"/>
          <w:color w:val="000000" w:themeColor="text1"/>
        </w:rPr>
        <w:t xml:space="preserve"> </w:t>
      </w:r>
      <w:r w:rsidR="00CE37C1">
        <w:rPr>
          <w:rFonts w:ascii="Times New Roman" w:hAnsi="Times New Roman" w:cs="Times New Roman"/>
          <w:color w:val="000000" w:themeColor="text1"/>
        </w:rPr>
        <w:t>As</w:t>
      </w:r>
      <w:r w:rsidR="00650581">
        <w:rPr>
          <w:rFonts w:ascii="Times New Roman" w:hAnsi="Times New Roman" w:cs="Times New Roman"/>
          <w:color w:val="000000" w:themeColor="text1"/>
        </w:rPr>
        <w:t xml:space="preserve"> mpMRI disseminates to a wider user-base, scans that are of limited diagnostic value </w:t>
      </w:r>
      <w:r w:rsidR="00CE37C1">
        <w:rPr>
          <w:rFonts w:ascii="Times New Roman" w:hAnsi="Times New Roman" w:cs="Times New Roman"/>
          <w:color w:val="000000" w:themeColor="text1"/>
        </w:rPr>
        <w:t>may</w:t>
      </w:r>
      <w:r w:rsidR="00650581">
        <w:rPr>
          <w:rFonts w:ascii="Times New Roman" w:hAnsi="Times New Roman" w:cs="Times New Roman"/>
          <w:color w:val="000000" w:themeColor="text1"/>
        </w:rPr>
        <w:t xml:space="preserve"> becom</w:t>
      </w:r>
      <w:r w:rsidR="00CE37C1">
        <w:rPr>
          <w:rFonts w:ascii="Times New Roman" w:hAnsi="Times New Roman" w:cs="Times New Roman"/>
          <w:color w:val="000000" w:themeColor="text1"/>
        </w:rPr>
        <w:t>e</w:t>
      </w:r>
      <w:r w:rsidR="00650581">
        <w:rPr>
          <w:rFonts w:ascii="Times New Roman" w:hAnsi="Times New Roman" w:cs="Times New Roman"/>
          <w:color w:val="000000" w:themeColor="text1"/>
        </w:rPr>
        <w:t xml:space="preserve"> more common</w:t>
      </w:r>
      <w:r>
        <w:rPr>
          <w:rFonts w:ascii="Times New Roman" w:hAnsi="Times New Roman" w:cs="Times New Roman"/>
          <w:color w:val="000000" w:themeColor="text1"/>
        </w:rPr>
        <w:t>.</w:t>
      </w:r>
      <w:r w:rsidR="00650581">
        <w:rPr>
          <w:rFonts w:ascii="Times New Roman" w:hAnsi="Times New Roman" w:cs="Times New Roman"/>
          <w:color w:val="000000" w:themeColor="text1"/>
        </w:rPr>
        <w:t xml:space="preserve"> Image quality is notoriously difficult to assess but clearly could impact the results of recent large studies that showed little difference between MRI-guided and TRUS-guided biopsies</w:t>
      </w:r>
      <w:r w:rsidR="003A603E">
        <w:rPr>
          <w:rFonts w:ascii="Times New Roman" w:hAnsi="Times New Roman" w:cs="Times New Roman"/>
          <w:color w:val="000000" w:themeColor="text1"/>
        </w:rPr>
        <w:t>.</w:t>
      </w:r>
      <w:r w:rsidR="00465E4D">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{"citationItems":[{"id":"ITEM-1","itemData":{"DOI":"10.1016/j.eururo.2018.11.023","ISSN":"03022838","abstract":"Background: There is growing interest to implement multiparametric magnetic resonance imaging (mpMRI) and MR-guided biopsy (MRGB) for biopsy-naïve men with suspected prostate cancer. Objective: Primary objective was to compare and evaluate an MRI pathway and a transrectal ultrasound-guided biopsy (TRUSGB) pathway in biopsy-naïve men with prostate-specific antigen levels of ≥3 ng/ml. Design, setting, and population: A prospective, multicenter, powered, comparative effectiveness study included 626 biopsy-naïve patients (from February 2015 to February 2018). Intervention: All patients underwent prebiopsy mpMRI followed by systematic TRUSGB. Men with suspicious lesions on mpMRI also underwent MRGB prior to TRUSGB. MRGB was performed using the in-bore approach. Outcome measurements and statistical analysis: Clinically significant prostate cancer (csPCa) was defined as grade group ≥2 (Gleason score ≥3 + 4) in any core. The main secondary objectives were the number of men who could avoid biopsy after nonsuspicious mpMRI, the number of biopsy cores taken, and oncologic follow-up. Differences in proportions were tested using McNemar's test with adjusted Wald confidence intervals for differences of proportions with matched pairs. Results and limitations: The MRI pathway detected csPCa in 159/626 (25%) patients and insignificant prostate cancer (insignPCa) in 88/626 patients (14%). TRUSGB detected csPCa in 146/626 patients (23%) and insignPCa in 155/626 patients (25%). Relative sensitivity of the MRI pathway versus the TRUSGB pathway was 1.09 for csPCa (p = 0.17) and 0.57 for insignPCa (p &lt; 0.0001). The total number of biopsy cores reduced from 7512 to 849 (–89%). The MRI pathway enabled biopsy avoidance in 309/626 (49%) patients due to nonsuspicious mpMRI. Immediate TRUSGB detected csPCa in only 3% (10/309) of these patients, increasing to 4% (13/309) with 1-yr follow-up. At the same time, TRUSGB would overdetect insignPCa in 20% (63/309). “Focal saturation” by four additional perilesional cores to MRGB improved the detection of csPCa in 21/317 (7%) patients. Compared with the literature, our proportion of nonsuspicious mpMRI cases is significantly higher (27–36% vs 49%) and that of equivocal cases is lower (15–28% vs 6%). This is probably due to the high-quality standard in this study. Therefore, a limitation is the duplication of these results in less experienced centers. Conclusions: In biopsy-naïve men, the MRI pathway compared with the TRUSGB pathway results…","author":[{"dropping-particle":"","family":"Leest","given":"Marloes","non-dropping-particle":"van der","parse-names":false,"suffix":""},{"dropping-particle":"","family":"Cornel","given":"Erik","non-dropping-particle":"","parse-names":false,"suffix":""},{"dropping-particle":"","family":"Israël","given":"Bas","non-dropping-particle":"","parse-names":false,"suffix":""},{"dropping-particle":"","family":"Hendriks","given":"Rianne","non-dropping-particle":"","parse-names":false,"suffix":""},{"dropping-particle":"","family":"Padhani","given":"Anwar R.","non-dropping-particle":"","parse-names":false,"suffix":""},{"dropping-particle":"","family":"Hoogenboom","given":"Martijn","non-dropping-particle":"","parse-names":false,"suffix":""},{"dropping-particle":"","family":"Zamecnik","given":"Patrik","non-dropping-particle":"","parse-names":false,"suffix":""},{"dropping-particle":"","family":"Bakker","given":"Dirk","non-dropping-particle":"","parse-names":false,"suffix":""},{"dropping-particle":"","family":"Setiasti","given":"Anglita Yanti","non-dropping-particle":"","parse-names":false,"suffix":""},{"dropping-particle":"","family":"Veltman","given":"Jeroen","non-dropping-particle":"","parse-names":false,"suffix":""},{"dropping-particle":"","family":"Hout","given":"Huib","non-dropping-particle":"van den","parse-names":false,"suffix":""},{"dropping-particle":"","family":"Lelij","given":"Hans","non-dropping-particle":"van der","parse-names":false,"suffix":""},{"dropping-particle":"","family":"Oort","given":"Inge","non-dropping-particle":"van","parse-names":false,"suffix":""},{"dropping-particle":"","family":"Klaver","given":"Sjoerd","non-dropping-particle":"","parse-names":false,"suffix":""},{"dropping-particle":"","family":"Debruyne","given":"Frans","non-dropping-particle":"","parse-names":false,"suffix":""},{"dropping-particle":"","family":"Sedelaar","given":"Michiel","non-dropping-particle":"","parse-names":false,"suffix":""},{"dropping-particle":"","family":"Hannink","given":"Gerjon","non-dropping-particle":"","parse-names":false,"suffix":""},{"dropping-particle":"","family":"Rovers","given":"Maroeska","non-dropping-particle":"","parse-names":false,"suffix":""},{"dropping-particle":"","family":"Hulsbergen-van de Kaa","given":"Christina","non-dropping-particle":"","parse-names":false,"suffix":""},{"dropping-particle":"","family":"Barentsz","given":"Jelle O.","non-dropping-particle":"","parse-names":false,"suffix":""}],"container-title":"European Urology","id":"ITEM-1","issue":"4","issued":{"date-parts":[["2019","4"]]},"page":"570-578","title":"Head-to-head Comparison of Transrectal Ultrasound-guided Prostate Biopsy Versus Multiparametric Prostate Resonance Imaging with Subsequent Magnetic Resonance-guided Biopsy in Biopsy-naïve Men with Elevated Prostate-specific Antigen: A Large Prospective Mu","type":"article-journal","volume":"75"},"uris":["http://www.mendeley.com/documents/?uuid=90b30483-d8b9-47ab-9cc5-e728ea0885f5"]},{"id":"ITEM-2","itemData":{"DOI":"10.1016/S1470-2045(18)30569-2","ISBN":"0000000027","ISSN":"14702045","PMID":"30470502","abstract":"Background: Whether multiparametric MRI improves the detection of clinically significant prostate cancer and avoids the need for systematic biopsy in biopsy-naive patients remains controversial. We aimed to investigate whether using this approach before biopsy would improve detection of clinically significant prostate cancer in biopsy-naive patients. Methods: In this prospective, multicentre, paired diagnostic study, done at 16 centres in France, we enrolled patients aged 18–75 years with prostate-specific antigen concentrations of 20 ng/mL or less, and with stage T2c or lower prostate cancer. Eligible patients had been referred for prostate multiparametric MRI before a first set of prostate biopsies, with a planned interval of less than 3 months between MRI and biopsies. An operator masked to multiparametric MRI results did a systematic biopsy by obtaining 12 systematic cores and up to two cores targeting hypoechoic lesions. In the same patient, another operator targeted up to two lesions seen on MRI with a Likert score of 3 or higher (three cores per lesion) using targeted biopsy based on multiparametric MRI findings. Patients with negative multiparametric MRI (Likert score ≤2) had systematic biopsy only. The primary outcome was the detection of clinically significant prostate cancer of International Society of Urological Pathology grade group 2 or higher (csPCa-A), analysed in all patients who received both systematic and targeted biopsies and whose results from both were available for pathological central review, including patients who had protocol deviations. This study is registered with ClinicalTrials.gov, number NCT02485379, and is closed to new participants. Findings: Between July 15, 2015, and Aug 11, 2016, we enrolled 275 patients. 24 (9%) were excluded from the analysis. 53 (21%) of 251 analysed patients had negative (Likert ≤2) multiparametric MRI. csPCa-A was detected in 94 (37%) of 251 patients. 13 (14%) of these 94 patients were diagnosed by systematic biopsy only, 19 (20%) by targeted biopsy only, and 62 (66%) by both techniques. Detection of csPCa-A by systematic biopsy (29·9%, 95% CI 24·3–36·0) and targeted biopsy (32·3%, 26·5–38·4) did not differ significantly (p=0·38). csPCa-A would have been missed in 5·2% (95% CI 2·8–8·7) of patients had systematic biopsy not been done, and in 7·6% (4·6–11·6) of patients had targeted biopsy not been done. Four grade 3 post-biopsy adverse events were reported (3 cases of prostatitis, and 1 case of …","author":[{"dropping-particle":"","family":"Rouvière","given":"Olivier","non-dropping-particle":"","parse-names":false,"suffix":""},{"dropping-particle":"","family":"Puech","given":"Philippe","non-dropping-particle":"","parse-names":false,"suffix":""},{"dropping-particle":"","family":"Renard-Penna","given":"Raphaële","non-dropping-particle":"","parse-names":false,"suffix":""},{"dropping-particle":"","family":"Claudon","given":"Michel","non-dropping-particle":"","parse-names":false,"suffix":""},{"dropping-particle":"","family":"Roy","given":"Catherine","non-dropping-particle":"","parse-names":false,"suffix":""},{"dropping-particle":"","family":"Mège-Lechevallier","given":"Florence","non-dropping-particle":"","parse-names":false,"suffix":""},{"dropping-particle":"","family":"Decaussin-Petrucci","given":"Myriam","non-dropping-particle":"","parse-names":false,"suffix":""},{"dropping-particle":"","family":"Dubreuil-Chambardel","given":"Marine","non-dropping-particle":"","parse-names":false,"suffix":""},{"dropping-particle":"","family":"Magaud","given":"Laurent","non-dropping-particle":"","parse-names":false,"suffix":""},{"dropping-particle":"","family":"Remontet","given":"Laurent","non-dropping-particle":"","parse-names":false,"suffix":""},{"dropping-particle":"","family":"Ruffion","given":"Alain","non-dropping-particle":"","parse-names":false,"suffix":""},{"dropping-particle":"","family":"Colombel","given":"Marc","non-dropping-particle":"","parse-names":false,"suffix":""},{"dropping-particle":"","family":"Crouzet","given":"Sébastien","non-dropping-particle":"","parse-names":false,"suffix":""},{"dropping-particle":"","family":"Schott","given":"Anne-Marie","non-dropping-particle":"","parse-names":false,"suffix":""},{"dropping-particle":"","family":"Lemaitre","given":"Laurent","non-dropping-particle":"","parse-names":false,"suffix":""},{"dropping-particle":"","family":"Rabilloud","given":"Muriel","non-dropping-particle":"","parse-names":false,"suffix":""},{"dropping-particle":"","family":"Grenier","given":"Nicolas","non-dropping-particle":"","parse-names":false,"suffix":""},{"dropping-particle":"","family":"Barry Delongchamps","given":"Nicolas","non-dropping-particle":"","parse-names":false,"suffix":""},{"dropping-particle":"","family":"Boutier","given":"Romain","non-dropping-particle":"","parse-names":false,"suffix":""},{"dropping-particle":"","family":"Bratan","given":"Flavie","non-dropping-particle":"","parse-names":false,"suffix":""},{"dropping-particle":"","family":"Brunelle","given":"Serge","non-dropping-particle":"","parse-names":false,"suffix":""},{"dropping-particle":"","family":"Camparo","given":"Philippe","non-dropping-particle":"","parse-names":false,"suffix":""},{"dropping-particle":"","family":"Colin","given":"Pierre","non-dropping-particle":"","parse-names":false,"suffix":""},{"dropping-particle":"","family":"Corréas","given":"Jean-Michel","non-dropping-particle":"","parse-names":false,"suffix":""},{"dropping-particle":"","family":"Cornélis","given":"François","non-dropping-particle":"","parse-names":false,"suffix":""},{"dropping-particle":"","family":"Cornud","given":"François","non-dropping-particle":"","parse-names":false,"suffix":""},{"dropping-particle":"","family":"Cros","given":"Fanny","non-dropping-particle":"","parse-names":false,"suffix":""},{"dropping-particle":"","family":"Descotes","given":"Jean-Luc","non-dropping-particle":"","parse-names":false,"suffix":""},{"dropping-particle":"","family":"Eschwege","given":"Pascal","non-dropping-particle":"","parse-names":false,"suffix":""},{"dropping-particle":"","family":"Fiard","given":"Gaelle","non-dropping-particle":"","parse-names":false,"suffix":""},{"dropping-particle":"","family":"Fendler","given":"Jean-Philippe","non-dropping-particle":"","parse-names":false,"suffix":""},{"dropping-particle":"","family":"Habchi","given":"Hocine","non-dropping-particle":"","parse-names":false,"suffix":""},{"dropping-particle":"","family":"Hallouin","given":"Philippe","non-dropping-particle":"","parse-names":false,"suffix":""},{"dropping-particle":"","family":"Khairoune","given":"Ahmed","non-dropping-particle":"","parse-names":false,"suffix":""},{"dropping-particle":"","family":"Lang","given":"Hervé","non-dropping-particle":"","parse-names":false,"suffix":""},{"dropping-particle":"","family":"Lebras","given":"Yann","non-dropping-particle":"","parse-names":false,"suffix":""},{"dropping-particle":"","family":"Lefèvre","given":"Frédéric","non-dropping-particle":"","parse-names":false,"suffix":""},{"dropping-particle":"","family":"Malavaud","given":"Bernard","non-dropping-particle":"","parse-names":false,"suffix":""},{"dropping-particle":"","family":"Moldovan","given":"Paul Cezar","non-dropping-particle":"","parse-names":false,"suffix":""},{"dropping-particle":"","family":"Mottet","given":"Nicolas","non-dropping-particle":"","parse-names":false,"suffix":""},{"dropping-particle":"","family":"Mozer","given":"Pierre","non-dropping-particle":"","parse-names":false,"suffix":""},{"dropping-particle":"","family":"Nevoux","given":"Pierre","non-dropping-particle":"","parse-names":false,"suffix":""},{"dropping-particle":"","family":"Pagnoux","given":"Gaele","non-dropping-particle":"","parse-names":false,"suffix":""},{"dropping-particle":"","family":"Pasticier","given":"Gilles","non-dropping-particle":"","parse-names":false,"suffix":""},{"dropping-particle":"","family":"Portalez","given":"Daniel","non-dropping-particle":"","parse-names":false,"suffix":""},{"dropping-particle":"","family":"Potiron","given":"Eric","non-dropping-particle":"","parse-names":false,"suffix":""},{"dropping-particle":"","family":"Thammavong","given":"Athivada Soto","non-dropping-particle":"","parse-names":false,"suffix":""},{"dropping-particle":"","family":"Timsit","given":"Marc-Olivier","non-dropping-particle":"","parse-names":false,"suffix":""},{"dropping-particle":"","family":"Viller","given":"Arnault","non-dropping-particle":"","parse-names":false,"suffix":""},{"dropping-particle":"","family":"Walz","given":"Jochen","non-dropping-particle":"","parse-names":false,"suffix":""}],"container-title":"The Lancet Oncology","id":"ITEM-2","issue":"1","issued":{"date-parts":[["2019","1"]]},"page":"100-109","title":"Use of prostate systematic and targeted biopsy on the basis of multiparametric MRI in biopsy-naive patients (MRI-FIRST): a prospective, multicentre, paired diagnostic study","type":"article-journal","volume":"20"},"uris":["http://www.mendeley.com/documents/?uuid=a3237e12-dec8-4d48-83b5-2436863a90fe"]}],"mendeley":{"formattedCitation":"(6, 11)","plainTextFormattedCitation":"(6, 11)","previouslyFormattedCitation":"(6, 11)"},"properties":{"noteIndex":0},"schema":"https://github.com/citation-style-language/schema/raw/master/csl-citation.json"}</w:instrText>
      </w:r>
      <w:r w:rsidR="00465E4D">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(6, 11)</w:t>
      </w:r>
      <w:r w:rsidR="00465E4D">
        <w:rPr>
          <w:rFonts w:ascii="Times New Roman" w:hAnsi="Times New Roman" w:cs="Times New Roman"/>
          <w:color w:val="000000" w:themeColor="text1"/>
        </w:rPr>
        <w:fldChar w:fldCharType="end"/>
      </w:r>
    </w:p>
    <w:p w14:paraId="2937CCD1" w14:textId="54FF09D1" w:rsidR="00277478" w:rsidRPr="009D4387" w:rsidRDefault="00650581"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lastRenderedPageBreak/>
        <w:t>T</w:t>
      </w:r>
      <w:r w:rsidR="00246333">
        <w:rPr>
          <w:rFonts w:ascii="Times New Roman" w:hAnsi="Times New Roman" w:cs="Times New Roman"/>
          <w:color w:val="000000" w:themeColor="text1"/>
        </w:rPr>
        <w:t>he</w:t>
      </w:r>
      <w:r w:rsidR="005B56A5" w:rsidRPr="009D4387">
        <w:rPr>
          <w:rFonts w:ascii="Times New Roman" w:hAnsi="Times New Roman" w:cs="Times New Roman"/>
          <w:color w:val="000000" w:themeColor="text1"/>
        </w:rPr>
        <w:t xml:space="preserve"> </w:t>
      </w:r>
      <w:r w:rsidR="00277478" w:rsidRPr="009D4387">
        <w:rPr>
          <w:rFonts w:ascii="Times New Roman" w:hAnsi="Times New Roman" w:cs="Times New Roman"/>
          <w:color w:val="000000" w:themeColor="text1"/>
        </w:rPr>
        <w:t>PI</w:t>
      </w:r>
      <w:r w:rsidR="00A064E1">
        <w:rPr>
          <w:rFonts w:ascii="Times New Roman" w:hAnsi="Times New Roman" w:cs="Times New Roman"/>
          <w:color w:val="000000" w:themeColor="text1"/>
        </w:rPr>
        <w:t>-</w:t>
      </w:r>
      <w:r w:rsidR="00277478" w:rsidRPr="009D4387">
        <w:rPr>
          <w:rFonts w:ascii="Times New Roman" w:hAnsi="Times New Roman" w:cs="Times New Roman"/>
          <w:color w:val="000000" w:themeColor="text1"/>
        </w:rPr>
        <w:t xml:space="preserve">RADSv2 </w:t>
      </w:r>
      <w:r w:rsidR="00D145E3">
        <w:rPr>
          <w:rFonts w:ascii="Times New Roman" w:hAnsi="Times New Roman" w:cs="Times New Roman"/>
          <w:color w:val="000000" w:themeColor="text1"/>
        </w:rPr>
        <w:t xml:space="preserve">Minimum </w:t>
      </w:r>
      <w:r w:rsidR="00C401F0">
        <w:rPr>
          <w:rFonts w:ascii="Times New Roman" w:hAnsi="Times New Roman" w:cs="Times New Roman"/>
          <w:color w:val="000000" w:themeColor="text1"/>
        </w:rPr>
        <w:t>Technical Standards (</w:t>
      </w:r>
      <w:r w:rsidR="00894F11">
        <w:rPr>
          <w:rFonts w:ascii="Times New Roman" w:hAnsi="Times New Roman" w:cs="Times New Roman"/>
          <w:color w:val="000000" w:themeColor="text1"/>
        </w:rPr>
        <w:t>MTS</w:t>
      </w:r>
      <w:r w:rsidR="00C401F0">
        <w:rPr>
          <w:rFonts w:ascii="Times New Roman" w:hAnsi="Times New Roman" w:cs="Times New Roman"/>
          <w:color w:val="000000" w:themeColor="text1"/>
        </w:rPr>
        <w:t>)</w:t>
      </w:r>
      <w:r w:rsidR="00277478" w:rsidRPr="009D4387">
        <w:rPr>
          <w:rFonts w:ascii="Times New Roman" w:hAnsi="Times New Roman" w:cs="Times New Roman"/>
          <w:color w:val="000000" w:themeColor="text1"/>
        </w:rPr>
        <w:t xml:space="preserve"> were created with the goal of standardizing imaging protocols and reducing image quality variance</w:t>
      </w:r>
      <w:r w:rsidR="003A603E">
        <w:rPr>
          <w:rFonts w:ascii="Times New Roman" w:hAnsi="Times New Roman" w:cs="Times New Roman"/>
          <w:color w:val="000000" w:themeColor="text1"/>
        </w:rPr>
        <w:t>.</w:t>
      </w:r>
      <w:r w:rsidR="00246333">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{"citationItems":[{"id":"ITEM-1","itemData":{"DOI":"10.1016/j.eururo.2018.05.035","ISSN":"03022838","PMID":"29908876","abstract":"CONTEXT The Prostate Imaging-Reporting and Data System (PI-RADS) v2 analysis system for multiparametric magnetic resonance imaging (mpMRI) detection of prostate cancer (PCa) is based on PI-RADS v1, accumulated scientific evidence, and expert consensus opinion. OBJECTIVE To summarize the accuracy, strengths and weaknesses of PI-RADS v2, discuss pathway implications of its use and outline opportunities for improvements and future developments. EVIDENCE ACQUISITION For this consensus expert opinion from the PI-RADS steering committee, clinical studies, systematic reviews, and professional guidelines for mpMRI PCa detection were evaluated. We focused on the performance characteristics of PI-RADS v2, comparing data to systems based on clinicoradiologic Likert scales and non-PI-RADS v2 imaging only. Evidence selections were based on high-quality, prospective, histologically verified data, with minimal patient selection and verifications biases. EVIDENCE SYNTHESIS It has been shown that the test performance of PI-RADS v2 in research and clinical practice retains higher accuracy over systematic transrectal ultrasound (TRUS) biopsies for PCa diagnosis. PI-RADS v2 fails to detect all cancers but does detect the majority of tumors capable of causing patient harm, which should not be missed. Test performance depends on the definition and prevalence of clinically significant disease. Good performance can be attained in practice when the quality of the diagnostic process can be assured, together with joint working of robustly trained radiologists and urologists, conducting biopsy procedures within multidisciplinary teams. CONCLUSIONS It has been shown that the test performance of PI-RADS v2 in research and clinical practice is improved, retaining higher accuracy over systematic TRUS biopsies for PCa diagnosis. PATIENT SUMMARY Multiparametric magnetic resonance imaging (MRI) and MRI-directed biopsies using the Prostate Imaging-Reporting and Data System improves the detection of prostate cancers likely to cause harm, and at the same time decreases the detection of disease that does not lead to harms if left untreated. The keys to success are high-quality imaging, reporting, and biopsies by radiologists and urologists working together in multidisciplinary teams.","author":[{"dropping-particle":"","family":"Padhani","given":"Anwar R","non-dropping-particle":"","parse-names":false,"suffix":""},{"dropping-particle":"","family":"Weinreb","given":"Jeffrey","non-dropping-particle":"","parse-names":false,"suffix":""},{"dropping-particle":"","family":"Rosenkrantz","given":"Andrew B","non-dropping-particle":"","parse-names":false,"suffix":""},{"dropping-particle":"","family":"Villeirs","given":"Geert","non-dropping-particle":"","parse-names":false,"suffix":""},{"dropping-particle":"","family":"Turkbey","given":"Baris","non-dropping-particle":"","parse-names":false,"suffix":""},{"dropping-particle":"","family":"Barentsz","given":"Jelle","non-dropping-particle":"","parse-names":false,"suffix":""}],"container-title":"European Urology","id":"ITEM-1","issue":"3","issued":{"date-parts":[["2019","3","13"]]},"page":"385-396","title":"Prostate Imaging-Reporting and Data System Steering Committee: PI-RADS v2 Status Update and Future Directions","type":"article-journal","volume":"75"},"uris":["http://www.mendeley.com/documents/?uuid=ad3c1e66-d9f6-4483-af3a-3e4d03bdc480"]}],"mendeley":{"formattedCitation":"(4)","plainTextFormattedCitation":"(4)","previouslyFormattedCitation":"(4)"},"properties":{"noteIndex":0},"schema":"https://github.com/citation-style-language/schema/raw/master/csl-citation.json"}</w:instrText>
      </w:r>
      <w:r w:rsidR="00246333">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(4)</w:t>
      </w:r>
      <w:r w:rsidR="00246333">
        <w:rPr>
          <w:rFonts w:ascii="Times New Roman" w:hAnsi="Times New Roman" w:cs="Times New Roman"/>
          <w:color w:val="000000" w:themeColor="text1"/>
        </w:rPr>
        <w:fldChar w:fldCharType="end"/>
      </w:r>
      <w:r w:rsidR="00465E4D">
        <w:rPr>
          <w:rFonts w:ascii="Times New Roman" w:hAnsi="Times New Roman" w:cs="Times New Roman"/>
          <w:color w:val="000000" w:themeColor="text1"/>
        </w:rPr>
        <w:t xml:space="preserve"> </w:t>
      </w:r>
      <w:r w:rsidR="00304617">
        <w:rPr>
          <w:rFonts w:ascii="Times New Roman" w:hAnsi="Times New Roman" w:cs="Times New Roman"/>
        </w:rPr>
        <w:t xml:space="preserve">However, </w:t>
      </w:r>
      <w:r w:rsidR="00246333" w:rsidRPr="008C2419">
        <w:rPr>
          <w:rFonts w:ascii="Times New Roman" w:hAnsi="Times New Roman" w:cs="Times New Roman"/>
        </w:rPr>
        <w:t>Esses et al.</w:t>
      </w:r>
      <w:r w:rsidR="00FF5161">
        <w:rPr>
          <w:rFonts w:ascii="Times New Roman" w:hAnsi="Times New Roman" w:cs="Times New Roman"/>
        </w:rPr>
        <w:t xml:space="preserve"> </w:t>
      </w:r>
      <w:r w:rsidR="00246333" w:rsidRPr="008C2419">
        <w:rPr>
          <w:rFonts w:ascii="Times New Roman" w:hAnsi="Times New Roman" w:cs="Times New Roman"/>
        </w:rPr>
        <w:t>found that adherence to the guidelines varied widely across different institutions</w:t>
      </w:r>
      <w:r w:rsidR="00246333">
        <w:rPr>
          <w:rFonts w:ascii="Times New Roman" w:hAnsi="Times New Roman" w:cs="Times New Roman"/>
        </w:rPr>
        <w:t xml:space="preserve"> with some standards only achieving 17% </w:t>
      </w:r>
      <w:r w:rsidR="001A387A">
        <w:rPr>
          <w:rFonts w:ascii="Times New Roman" w:hAnsi="Times New Roman" w:cs="Times New Roman"/>
        </w:rPr>
        <w:t>adherence</w:t>
      </w:r>
      <w:r w:rsidR="003A603E">
        <w:rPr>
          <w:rFonts w:ascii="Times New Roman" w:hAnsi="Times New Roman" w:cs="Times New Roman"/>
        </w:rPr>
        <w:t>.</w:t>
      </w:r>
      <w:r w:rsidR="00246333">
        <w:rPr>
          <w:rFonts w:ascii="Times New Roman" w:hAnsi="Times New Roman" w:cs="Times New Roman"/>
        </w:rPr>
        <w:fldChar w:fldCharType="begin" w:fldLock="1"/>
      </w:r>
      <w:r w:rsidR="004C66F8">
        <w:rPr>
          <w:rFonts w:ascii="Times New Roman" w:hAnsi="Times New Roman" w:cs="Times New Roman"/>
        </w:rPr>
        <w:instrText>ADDIN CSL_CITATION {"citationItems":[{"id":"ITEM-1","itemData":{"DOI":"10.1016/j.acra.2017.08.013","ISBN":"1076-6332","ISSN":"18784046","PMID":"29107458","abstract":"Purpose: This study aimed to assess variability in imaging facilities’ adherence to the minimum technical standards for prostate magnetic resonance imaging acquisition established by Prostate Imaging-Reporting and Data System (PI-RADS) version 2 (v2). Methods: A total of 107 prostate magnetic resonance imaging examinations performed at 107 unique imaging facilities after the release of PI-RADS v2 and that were referred to a tertiary care center for secondary interpretation were included. Image sets, DICOM headers, and outside reports were reviewed to assess adherence to 21 selected PI-RADS v2 minimum technical standards. Results: Hardware arrangements were 23.1%, 1.5T without endorectal coil; 7.7%, 1.5T with endorectal coil; 63.5%, 3T without endorectal coil; and 5.8%, 3T with endorectal coil. Adherence to minimum standards was lowest on T2 weighted imaging (T2WI) for frequency resolution ≤0.4 mm (16.8%) and phase resolution ≤0.7 mm (48.6%), lowest on diffusion-weighted imaging (DWI) for field of view (FOV) 120–220 mm (30.0%), and lowest on dynamic contrast-enhanced (DCE) imaging for slice thickness 3 mm (33.3%) and temporal resolution &lt;10 s (31.5%). High b-value (≥1400 s/mm2) images were included in 58.0% (calculated in 25.9%). Adherence to T2WI phase resolution and DWI inter-slice gap were greater (P &lt;.05) at 3T than at 1.5T. Adherence did not differ (P &gt;.05) for any parameter between examinations performed with and without an endorectal coil. Adherence was greater for examinations performed at teaching facilities for T2WI slice thickness and DCE temporal resolution (P &lt;.05). Adherence was not better for examinations performed in 2016 than in 2015 for any parameter (P &gt;.05). Conclusion: Facilities’ adherence to PI-RADS v2 minimum technical standards was variable, being particularly poor for T2WI frequency resolution and DCE temporal resolution. The standards warrant greater community education. Certain technical standards may be too stringent, and revisions should be considered.","author":[{"dropping-particle":"","family":"Esses","given":"Steven J.","non-dropping-particle":"","parse-names":false,"suffix":""},{"dropping-particle":"","family":"Taneja","given":"Samir S.","non-dropping-particle":"","parse-names":false,"suffix":""},{"dropping-particle":"","family":"Rosenkrantz","given":"Andrew B.","non-dropping-particle":"","parse-names":false,"suffix":""}],"container-title":"Academic Radiology","id":"ITEM-1","issue":"2","issued":{"date-parts":[["2018"]]},"page":"188-195","publisher":"Elsevier Inc.","title":"Imaging Facilities’ Adherence to PI-RADS v2 Minimum Technical Standards for the Performance of Prostate MRI","type":"article-journal","volume":"25"},"uris":["http://www.mendeley.com/documents/?uuid=9b00eb32-e520-4af6-80dc-bacb802d9381"]}],"mendeley":{"formattedCitation":"(12)","plainTextFormattedCitation":"(12)","previouslyFormattedCitation":"(12)"},"properties":{"noteIndex":0},"schema":"https://github.com/citation-style-language/schema/raw/master/csl-citation.json"}</w:instrText>
      </w:r>
      <w:r w:rsidR="00246333">
        <w:rPr>
          <w:rFonts w:ascii="Times New Roman" w:hAnsi="Times New Roman" w:cs="Times New Roman"/>
        </w:rPr>
        <w:fldChar w:fldCharType="separate"/>
      </w:r>
      <w:r w:rsidR="004C66F8" w:rsidRPr="004C66F8">
        <w:rPr>
          <w:rFonts w:ascii="Times New Roman" w:hAnsi="Times New Roman" w:cs="Times New Roman"/>
          <w:noProof/>
        </w:rPr>
        <w:t>(12)</w:t>
      </w:r>
      <w:r w:rsidR="00246333">
        <w:rPr>
          <w:rFonts w:ascii="Times New Roman" w:hAnsi="Times New Roman" w:cs="Times New Roman"/>
        </w:rPr>
        <w:fldChar w:fldCharType="end"/>
      </w:r>
      <w:r w:rsidR="00246333">
        <w:rPr>
          <w:rFonts w:ascii="Times New Roman" w:hAnsi="Times New Roman" w:cs="Times New Roman"/>
        </w:rPr>
        <w:t xml:space="preserve"> </w:t>
      </w:r>
      <w:r w:rsidR="00894F11">
        <w:rPr>
          <w:rFonts w:ascii="Times New Roman" w:hAnsi="Times New Roman" w:cs="Times New Roman"/>
        </w:rPr>
        <w:t xml:space="preserve">However, it is reasonable to ask whether </w:t>
      </w:r>
      <w:r>
        <w:rPr>
          <w:rFonts w:ascii="Times New Roman" w:hAnsi="Times New Roman" w:cs="Times New Roman"/>
        </w:rPr>
        <w:t>adherence to the standards solve</w:t>
      </w:r>
      <w:r w:rsidR="00894F11">
        <w:rPr>
          <w:rFonts w:ascii="Times New Roman" w:hAnsi="Times New Roman" w:cs="Times New Roman"/>
        </w:rPr>
        <w:t xml:space="preserve">s </w:t>
      </w:r>
      <w:r>
        <w:rPr>
          <w:rFonts w:ascii="Times New Roman" w:hAnsi="Times New Roman" w:cs="Times New Roman"/>
        </w:rPr>
        <w:t>the quality problem</w:t>
      </w:r>
      <w:r w:rsidR="00894F11">
        <w:rPr>
          <w:rFonts w:ascii="Times New Roman" w:hAnsi="Times New Roman" w:cs="Times New Roman"/>
        </w:rPr>
        <w:t>.</w:t>
      </w:r>
      <w:r w:rsidR="00A15249">
        <w:rPr>
          <w:rFonts w:ascii="Times New Roman" w:hAnsi="Times New Roman" w:cs="Times New Roman"/>
        </w:rPr>
        <w:t xml:space="preserve"> </w:t>
      </w:r>
      <w:r>
        <w:rPr>
          <w:rFonts w:ascii="Times New Roman" w:hAnsi="Times New Roman" w:cs="Times New Roman"/>
          <w:color w:val="000000" w:themeColor="text1"/>
        </w:rPr>
        <w:t>It</w:t>
      </w:r>
      <w:r w:rsidR="00277478" w:rsidRPr="009D4387">
        <w:rPr>
          <w:rFonts w:ascii="Times New Roman" w:hAnsi="Times New Roman" w:cs="Times New Roman"/>
          <w:color w:val="000000" w:themeColor="text1"/>
        </w:rPr>
        <w:t xml:space="preserve"> is possible that the </w:t>
      </w:r>
      <w:r>
        <w:rPr>
          <w:rFonts w:ascii="Times New Roman" w:hAnsi="Times New Roman" w:cs="Times New Roman"/>
          <w:color w:val="000000" w:themeColor="text1"/>
        </w:rPr>
        <w:t xml:space="preserve">sites </w:t>
      </w:r>
      <w:r w:rsidR="00894F11">
        <w:rPr>
          <w:rFonts w:ascii="Times New Roman" w:hAnsi="Times New Roman" w:cs="Times New Roman"/>
          <w:color w:val="000000" w:themeColor="text1"/>
        </w:rPr>
        <w:t>not</w:t>
      </w:r>
      <w:r>
        <w:rPr>
          <w:rFonts w:ascii="Times New Roman" w:hAnsi="Times New Roman" w:cs="Times New Roman"/>
          <w:color w:val="000000" w:themeColor="text1"/>
        </w:rPr>
        <w:t xml:space="preserve"> adhering to the standards</w:t>
      </w:r>
      <w:r w:rsidR="00894F11">
        <w:rPr>
          <w:rFonts w:ascii="Times New Roman" w:hAnsi="Times New Roman" w:cs="Times New Roman"/>
          <w:color w:val="000000" w:themeColor="text1"/>
        </w:rPr>
        <w:t xml:space="preserve"> may be doing so</w:t>
      </w:r>
      <w:r>
        <w:rPr>
          <w:rFonts w:ascii="Times New Roman" w:hAnsi="Times New Roman" w:cs="Times New Roman"/>
          <w:color w:val="000000" w:themeColor="text1"/>
        </w:rPr>
        <w:t xml:space="preserve"> because </w:t>
      </w:r>
      <w:r w:rsidR="00894F11">
        <w:rPr>
          <w:rFonts w:ascii="Times New Roman" w:hAnsi="Times New Roman" w:cs="Times New Roman"/>
          <w:color w:val="000000" w:themeColor="text1"/>
        </w:rPr>
        <w:t xml:space="preserve">they </w:t>
      </w:r>
      <w:r>
        <w:rPr>
          <w:rFonts w:ascii="Times New Roman" w:hAnsi="Times New Roman" w:cs="Times New Roman"/>
          <w:color w:val="000000" w:themeColor="text1"/>
        </w:rPr>
        <w:t xml:space="preserve">find </w:t>
      </w:r>
      <w:r w:rsidR="00894F11">
        <w:rPr>
          <w:rFonts w:ascii="Times New Roman" w:hAnsi="Times New Roman" w:cs="Times New Roman"/>
          <w:color w:val="000000" w:themeColor="text1"/>
        </w:rPr>
        <w:t>that the MTS</w:t>
      </w:r>
      <w:r>
        <w:rPr>
          <w:rFonts w:ascii="Times New Roman" w:hAnsi="Times New Roman" w:cs="Times New Roman"/>
          <w:color w:val="000000" w:themeColor="text1"/>
        </w:rPr>
        <w:t xml:space="preserve"> do</w:t>
      </w:r>
      <w:r w:rsidR="005C5756">
        <w:rPr>
          <w:rFonts w:ascii="Times New Roman" w:hAnsi="Times New Roman" w:cs="Times New Roman"/>
          <w:color w:val="000000" w:themeColor="text1"/>
        </w:rPr>
        <w:t xml:space="preserve"> not</w:t>
      </w:r>
      <w:r>
        <w:rPr>
          <w:rFonts w:ascii="Times New Roman" w:hAnsi="Times New Roman" w:cs="Times New Roman"/>
          <w:color w:val="000000" w:themeColor="text1"/>
        </w:rPr>
        <w:t xml:space="preserve"> work well in their setting.</w:t>
      </w:r>
    </w:p>
    <w:p w14:paraId="5CB92A8B" w14:textId="77777777" w:rsidR="001B733E" w:rsidRDefault="00650581"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Therefore,</w:t>
      </w:r>
      <w:r w:rsidR="00CA00CB">
        <w:rPr>
          <w:rFonts w:ascii="Times New Roman" w:hAnsi="Times New Roman" w:cs="Times New Roman"/>
          <w:color w:val="000000" w:themeColor="text1"/>
        </w:rPr>
        <w:t xml:space="preserve"> </w:t>
      </w:r>
      <w:r w:rsidR="00690EC3">
        <w:rPr>
          <w:rFonts w:ascii="Times New Roman" w:hAnsi="Times New Roman" w:cs="Times New Roman"/>
          <w:color w:val="000000" w:themeColor="text1"/>
        </w:rPr>
        <w:t>t</w:t>
      </w:r>
      <w:r w:rsidR="00CA00CB">
        <w:rPr>
          <w:rFonts w:ascii="Times New Roman" w:hAnsi="Times New Roman" w:cs="Times New Roman"/>
          <w:color w:val="000000" w:themeColor="text1"/>
        </w:rPr>
        <w:t xml:space="preserve">his study was designed to evaluate variability in quality </w:t>
      </w:r>
      <w:r w:rsidR="00C025E8">
        <w:rPr>
          <w:rFonts w:ascii="Times New Roman" w:hAnsi="Times New Roman" w:cs="Times New Roman"/>
          <w:color w:val="000000" w:themeColor="text1"/>
        </w:rPr>
        <w:t xml:space="preserve">of </w:t>
      </w:r>
      <w:r w:rsidR="00CA00CB">
        <w:rPr>
          <w:rFonts w:ascii="Times New Roman" w:hAnsi="Times New Roman" w:cs="Times New Roman"/>
          <w:color w:val="000000" w:themeColor="text1"/>
        </w:rPr>
        <w:t xml:space="preserve">prostate mpMRI and </w:t>
      </w:r>
      <w:r w:rsidR="00E61CAC">
        <w:rPr>
          <w:rFonts w:ascii="Times New Roman" w:hAnsi="Times New Roman" w:cs="Times New Roman"/>
          <w:color w:val="000000" w:themeColor="text1"/>
        </w:rPr>
        <w:t>relate quality to the degree of adherence to the</w:t>
      </w:r>
      <w:r w:rsidR="00CA00CB">
        <w:rPr>
          <w:rFonts w:ascii="Times New Roman" w:hAnsi="Times New Roman" w:cs="Times New Roman"/>
          <w:color w:val="000000" w:themeColor="text1"/>
        </w:rPr>
        <w:t xml:space="preserve"> PI</w:t>
      </w:r>
      <w:r w:rsidR="00A064E1">
        <w:rPr>
          <w:rFonts w:ascii="Times New Roman" w:hAnsi="Times New Roman" w:cs="Times New Roman"/>
          <w:color w:val="000000" w:themeColor="text1"/>
        </w:rPr>
        <w:t>-</w:t>
      </w:r>
      <w:r w:rsidR="00CA00CB">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00E61CAC">
        <w:rPr>
          <w:rFonts w:ascii="Times New Roman" w:hAnsi="Times New Roman" w:cs="Times New Roman"/>
          <w:color w:val="000000" w:themeColor="text1"/>
        </w:rPr>
        <w:t xml:space="preserve"> for T2 and DWI sequences, the two major components of mpMRI</w:t>
      </w:r>
      <w:r w:rsidR="00CA00CB">
        <w:rPr>
          <w:rFonts w:ascii="Times New Roman" w:hAnsi="Times New Roman" w:cs="Times New Roman"/>
          <w:color w:val="000000" w:themeColor="text1"/>
        </w:rPr>
        <w:t>.</w:t>
      </w:r>
    </w:p>
    <w:p w14:paraId="46A1EE50" w14:textId="77777777" w:rsidR="001F084B" w:rsidRPr="009D4387" w:rsidRDefault="001F084B" w:rsidP="00F17733">
      <w:pPr>
        <w:spacing w:after="0"/>
        <w:jc w:val="both"/>
        <w:rPr>
          <w:rFonts w:ascii="Times New Roman" w:hAnsi="Times New Roman" w:cs="Times New Roman"/>
          <w:color w:val="000000" w:themeColor="text1"/>
        </w:rPr>
      </w:pPr>
    </w:p>
    <w:p w14:paraId="4D404868" w14:textId="77777777" w:rsidR="007A1C9A" w:rsidRPr="00DE0FC7" w:rsidRDefault="00B50148" w:rsidP="00F17733">
      <w:pPr>
        <w:spacing w:after="0"/>
        <w:rPr>
          <w:rFonts w:ascii="Times New Roman" w:hAnsi="Times New Roman" w:cs="Times New Roman"/>
          <w:iCs/>
          <w:color w:val="000000" w:themeColor="text1"/>
        </w:rPr>
      </w:pPr>
      <w:r w:rsidRPr="005E03D9">
        <w:rPr>
          <w:rFonts w:ascii="Times New Roman" w:hAnsi="Times New Roman" w:cs="Times New Roman"/>
          <w:b/>
          <w:iCs/>
          <w:color w:val="000000" w:themeColor="text1"/>
          <w:sz w:val="32"/>
        </w:rPr>
        <w:t xml:space="preserve">Materials and </w:t>
      </w:r>
      <w:r w:rsidR="007A1C9A" w:rsidRPr="005E03D9">
        <w:rPr>
          <w:rFonts w:ascii="Times New Roman" w:hAnsi="Times New Roman" w:cs="Times New Roman"/>
          <w:b/>
          <w:iCs/>
          <w:color w:val="000000" w:themeColor="text1"/>
          <w:sz w:val="32"/>
        </w:rPr>
        <w:t>Methods</w:t>
      </w:r>
    </w:p>
    <w:p w14:paraId="3626935A" w14:textId="77777777" w:rsidR="00B50148" w:rsidRPr="009D4387" w:rsidRDefault="00105D30" w:rsidP="00F17733">
      <w:pPr>
        <w:spacing w:after="0"/>
        <w:jc w:val="both"/>
        <w:rPr>
          <w:rFonts w:ascii="Times New Roman" w:hAnsi="Times New Roman" w:cs="Times New Roman"/>
          <w:b/>
          <w:color w:val="000000" w:themeColor="text1"/>
        </w:rPr>
      </w:pPr>
      <w:r>
        <w:rPr>
          <w:rFonts w:ascii="Times New Roman" w:hAnsi="Times New Roman" w:cs="Times New Roman"/>
          <w:b/>
          <w:color w:val="000000" w:themeColor="text1"/>
        </w:rPr>
        <w:t>Study Population</w:t>
      </w:r>
    </w:p>
    <w:p w14:paraId="00EFA7CF" w14:textId="23D93918" w:rsidR="00DE593F" w:rsidRDefault="00B50148"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 xml:space="preserve">We </w:t>
      </w:r>
      <w:r w:rsidR="004C6E97" w:rsidRPr="009D4387">
        <w:rPr>
          <w:rFonts w:ascii="Times New Roman" w:hAnsi="Times New Roman" w:cs="Times New Roman"/>
          <w:color w:val="000000" w:themeColor="text1"/>
        </w:rPr>
        <w:t>identified</w:t>
      </w:r>
      <w:r w:rsidR="00917D1A" w:rsidRPr="009D4387">
        <w:rPr>
          <w:rFonts w:ascii="Times New Roman" w:hAnsi="Times New Roman" w:cs="Times New Roman"/>
          <w:color w:val="000000" w:themeColor="text1"/>
        </w:rPr>
        <w:t xml:space="preserve"> </w:t>
      </w:r>
      <w:r w:rsidR="00966D73">
        <w:rPr>
          <w:rFonts w:ascii="Times New Roman" w:hAnsi="Times New Roman" w:cs="Times New Roman"/>
          <w:color w:val="000000" w:themeColor="text1"/>
        </w:rPr>
        <w:t xml:space="preserve">a cross-sectional cohort of 62 </w:t>
      </w:r>
      <w:r w:rsidR="00917D1A" w:rsidRPr="009D4387">
        <w:rPr>
          <w:rFonts w:ascii="Times New Roman" w:hAnsi="Times New Roman" w:cs="Times New Roman"/>
          <w:color w:val="000000" w:themeColor="text1"/>
        </w:rPr>
        <w:t>prostate MRI examinations</w:t>
      </w:r>
      <w:r w:rsidRPr="009D4387">
        <w:rPr>
          <w:rFonts w:ascii="Times New Roman" w:hAnsi="Times New Roman" w:cs="Times New Roman"/>
          <w:color w:val="000000" w:themeColor="text1"/>
        </w:rPr>
        <w:t xml:space="preserve"> performed at outside imaging facilities which had been consecutively referred to </w:t>
      </w:r>
      <w:r w:rsidR="00966D73">
        <w:rPr>
          <w:rFonts w:ascii="Times New Roman" w:hAnsi="Times New Roman" w:cs="Times New Roman"/>
          <w:color w:val="000000" w:themeColor="text1"/>
        </w:rPr>
        <w:t>our</w:t>
      </w:r>
      <w:r w:rsidR="00E61CAC"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 xml:space="preserve">center for </w:t>
      </w:r>
      <w:r w:rsidR="004C6E97" w:rsidRPr="009D4387">
        <w:rPr>
          <w:rFonts w:ascii="Times New Roman" w:hAnsi="Times New Roman" w:cs="Times New Roman"/>
          <w:color w:val="000000" w:themeColor="text1"/>
        </w:rPr>
        <w:t xml:space="preserve">secondary interpretation within </w:t>
      </w:r>
      <w:r w:rsidR="00E61CAC">
        <w:rPr>
          <w:rFonts w:ascii="Times New Roman" w:hAnsi="Times New Roman" w:cs="Times New Roman"/>
          <w:color w:val="000000" w:themeColor="text1"/>
        </w:rPr>
        <w:t xml:space="preserve">a </w:t>
      </w:r>
      <w:r w:rsidR="00CC6CDC">
        <w:rPr>
          <w:rFonts w:ascii="Times New Roman" w:hAnsi="Times New Roman" w:cs="Times New Roman"/>
          <w:color w:val="000000" w:themeColor="text1"/>
        </w:rPr>
        <w:t>12-month</w:t>
      </w:r>
      <w:r w:rsidR="00E61CAC">
        <w:rPr>
          <w:rFonts w:ascii="Times New Roman" w:hAnsi="Times New Roman" w:cs="Times New Roman"/>
          <w:color w:val="000000" w:themeColor="text1"/>
        </w:rPr>
        <w:t xml:space="preserve"> period</w:t>
      </w:r>
      <w:r w:rsidR="007A12DE">
        <w:rPr>
          <w:rFonts w:ascii="Times New Roman" w:hAnsi="Times New Roman" w:cs="Times New Roman"/>
          <w:color w:val="000000" w:themeColor="text1"/>
        </w:rPr>
        <w:t xml:space="preserve"> (September 2017-September 2018)</w:t>
      </w:r>
      <w:r w:rsidR="00966D73">
        <w:rPr>
          <w:rFonts w:ascii="Times New Roman" w:hAnsi="Times New Roman" w:cs="Times New Roman"/>
          <w:color w:val="000000" w:themeColor="text1"/>
        </w:rPr>
        <w:t xml:space="preserve"> including</w:t>
      </w:r>
      <w:r w:rsidR="00E61CAC">
        <w:rPr>
          <w:rFonts w:ascii="Times New Roman" w:hAnsi="Times New Roman" w:cs="Times New Roman"/>
          <w:color w:val="000000" w:themeColor="text1"/>
        </w:rPr>
        <w:t xml:space="preserve"> </w:t>
      </w:r>
      <w:r w:rsidR="00917D1A" w:rsidRPr="009D4387">
        <w:rPr>
          <w:rFonts w:ascii="Times New Roman" w:hAnsi="Times New Roman" w:cs="Times New Roman"/>
          <w:color w:val="000000" w:themeColor="text1"/>
        </w:rPr>
        <w:t>both T2 weighted (T2W) and diffusion weighted image (DWI) sequences</w:t>
      </w:r>
      <w:r w:rsidR="004C6E97" w:rsidRPr="009D4387">
        <w:rPr>
          <w:rFonts w:ascii="Times New Roman" w:hAnsi="Times New Roman" w:cs="Times New Roman"/>
          <w:color w:val="000000" w:themeColor="text1"/>
        </w:rPr>
        <w:t>.</w:t>
      </w:r>
      <w:r w:rsidR="00AA72BD">
        <w:rPr>
          <w:rFonts w:ascii="Times New Roman" w:hAnsi="Times New Roman" w:cs="Times New Roman"/>
          <w:color w:val="000000" w:themeColor="text1"/>
        </w:rPr>
        <w:t xml:space="preserve"> </w:t>
      </w:r>
      <w:r w:rsidR="00AA72BD" w:rsidRPr="00AA72BD">
        <w:rPr>
          <w:rFonts w:ascii="Times New Roman" w:hAnsi="Times New Roman" w:cs="Times New Roman"/>
          <w:color w:val="000000" w:themeColor="text1"/>
        </w:rPr>
        <w:t>All patients</w:t>
      </w:r>
      <w:r w:rsidR="00AA72BD">
        <w:rPr>
          <w:rFonts w:ascii="Times New Roman" w:hAnsi="Times New Roman" w:cs="Times New Roman"/>
          <w:color w:val="000000" w:themeColor="text1"/>
        </w:rPr>
        <w:t xml:space="preserve"> enrolled at the National Cancer Institute </w:t>
      </w:r>
      <w:r w:rsidR="00527F18">
        <w:rPr>
          <w:rFonts w:ascii="Times New Roman" w:hAnsi="Times New Roman" w:cs="Times New Roman"/>
          <w:color w:val="000000" w:themeColor="text1"/>
        </w:rPr>
        <w:t xml:space="preserve">Center for Cancer Research </w:t>
      </w:r>
      <w:r w:rsidR="00AA72BD" w:rsidRPr="00AA72BD">
        <w:rPr>
          <w:rFonts w:ascii="Times New Roman" w:hAnsi="Times New Roman" w:cs="Times New Roman"/>
          <w:color w:val="000000" w:themeColor="text1"/>
        </w:rPr>
        <w:t xml:space="preserve">under </w:t>
      </w:r>
      <w:r w:rsidR="002D0564">
        <w:rPr>
          <w:rFonts w:ascii="Times New Roman" w:hAnsi="Times New Roman" w:cs="Times New Roman"/>
          <w:color w:val="000000" w:themeColor="text1"/>
        </w:rPr>
        <w:t>an Institutional Review Board approved trial (</w:t>
      </w:r>
      <w:r w:rsidR="00AA72BD" w:rsidRPr="00AA72BD">
        <w:rPr>
          <w:rFonts w:ascii="Times New Roman" w:hAnsi="Times New Roman" w:cs="Times New Roman"/>
          <w:color w:val="000000" w:themeColor="text1"/>
        </w:rPr>
        <w:t xml:space="preserve">National Clinical Trials </w:t>
      </w:r>
      <w:r w:rsidR="002D0564">
        <w:rPr>
          <w:rFonts w:ascii="Times New Roman" w:hAnsi="Times New Roman" w:cs="Times New Roman"/>
          <w:color w:val="000000" w:themeColor="text1"/>
        </w:rPr>
        <w:t xml:space="preserve">identifier </w:t>
      </w:r>
      <w:r w:rsidR="00AA72BD">
        <w:rPr>
          <w:rFonts w:ascii="Times New Roman" w:hAnsi="Times New Roman" w:cs="Times New Roman"/>
          <w:color w:val="000000" w:themeColor="text1"/>
        </w:rPr>
        <w:t>NCT</w:t>
      </w:r>
      <w:r w:rsidR="00AA72BD" w:rsidRPr="00AA72BD">
        <w:rPr>
          <w:rFonts w:ascii="Times New Roman" w:hAnsi="Times New Roman" w:cs="Times New Roman"/>
          <w:color w:val="000000" w:themeColor="text1"/>
        </w:rPr>
        <w:t>02594202</w:t>
      </w:r>
      <w:r w:rsidR="002D0564">
        <w:rPr>
          <w:rFonts w:ascii="Times New Roman" w:hAnsi="Times New Roman" w:cs="Times New Roman"/>
          <w:color w:val="000000" w:themeColor="text1"/>
        </w:rPr>
        <w:t>)</w:t>
      </w:r>
      <w:r w:rsidR="00AA72BD">
        <w:rPr>
          <w:rFonts w:ascii="Times New Roman" w:hAnsi="Times New Roman" w:cs="Times New Roman"/>
          <w:color w:val="000000" w:themeColor="text1"/>
        </w:rPr>
        <w:t xml:space="preserve"> and </w:t>
      </w:r>
      <w:r w:rsidR="00AA72BD" w:rsidRPr="00AA72BD">
        <w:rPr>
          <w:rFonts w:ascii="Times New Roman" w:hAnsi="Times New Roman" w:cs="Times New Roman"/>
          <w:color w:val="000000" w:themeColor="text1"/>
        </w:rPr>
        <w:t xml:space="preserve">signed </w:t>
      </w:r>
      <w:r w:rsidR="00AA72BD">
        <w:rPr>
          <w:rFonts w:ascii="Times New Roman" w:hAnsi="Times New Roman" w:cs="Times New Roman"/>
          <w:color w:val="000000" w:themeColor="text1"/>
        </w:rPr>
        <w:t xml:space="preserve">an </w:t>
      </w:r>
      <w:r w:rsidR="00AA72BD" w:rsidRPr="00AA72BD">
        <w:rPr>
          <w:rFonts w:ascii="Times New Roman" w:hAnsi="Times New Roman" w:cs="Times New Roman"/>
          <w:color w:val="000000" w:themeColor="text1"/>
        </w:rPr>
        <w:t>informed consent form</w:t>
      </w:r>
      <w:r w:rsidR="00AA72BD">
        <w:rPr>
          <w:rFonts w:ascii="Times New Roman" w:hAnsi="Times New Roman" w:cs="Times New Roman"/>
          <w:color w:val="000000" w:themeColor="text1"/>
        </w:rPr>
        <w:t>.</w:t>
      </w:r>
      <w:r w:rsidR="00AA72BD" w:rsidRPr="00AA72BD">
        <w:rPr>
          <w:rFonts w:ascii="Times New Roman" w:hAnsi="Times New Roman" w:cs="Times New Roman"/>
          <w:color w:val="000000" w:themeColor="text1"/>
        </w:rPr>
        <w:t xml:space="preserve"> </w:t>
      </w:r>
      <w:r w:rsidR="00894F11">
        <w:rPr>
          <w:rFonts w:ascii="Times New Roman" w:hAnsi="Times New Roman" w:cs="Times New Roman"/>
          <w:color w:val="000000" w:themeColor="text1"/>
        </w:rPr>
        <w:t>After anonymization</w:t>
      </w:r>
      <w:r w:rsidR="005C5756">
        <w:rPr>
          <w:rFonts w:ascii="Times New Roman" w:hAnsi="Times New Roman" w:cs="Times New Roman"/>
          <w:color w:val="000000" w:themeColor="text1"/>
        </w:rPr>
        <w:t>,</w:t>
      </w:r>
      <w:r w:rsidR="00894F11">
        <w:rPr>
          <w:rFonts w:ascii="Times New Roman" w:hAnsi="Times New Roman" w:cs="Times New Roman"/>
          <w:color w:val="000000" w:themeColor="text1"/>
        </w:rPr>
        <w:t xml:space="preserve"> </w:t>
      </w:r>
      <w:r w:rsidR="004C6E97" w:rsidRPr="009D4387">
        <w:rPr>
          <w:rFonts w:ascii="Times New Roman" w:hAnsi="Times New Roman" w:cs="Times New Roman"/>
          <w:color w:val="000000" w:themeColor="text1"/>
        </w:rPr>
        <w:t>D</w:t>
      </w:r>
      <w:r w:rsidR="009342EA" w:rsidRPr="009D4387">
        <w:rPr>
          <w:rFonts w:ascii="Times New Roman" w:hAnsi="Times New Roman" w:cs="Times New Roman"/>
          <w:color w:val="000000" w:themeColor="text1"/>
        </w:rPr>
        <w:t>ICOM</w:t>
      </w:r>
      <w:r w:rsidR="004C6E97" w:rsidRPr="009D4387">
        <w:rPr>
          <w:rFonts w:ascii="Times New Roman" w:hAnsi="Times New Roman" w:cs="Times New Roman"/>
          <w:color w:val="000000" w:themeColor="text1"/>
        </w:rPr>
        <w:t xml:space="preserve"> files for T2W and raw DWI sequences were </w:t>
      </w:r>
      <w:r w:rsidR="00E61CAC">
        <w:rPr>
          <w:rFonts w:ascii="Times New Roman" w:hAnsi="Times New Roman" w:cs="Times New Roman"/>
          <w:color w:val="000000" w:themeColor="text1"/>
        </w:rPr>
        <w:t>uploaded to</w:t>
      </w:r>
      <w:r w:rsidR="004C6E97" w:rsidRPr="009D4387">
        <w:rPr>
          <w:rFonts w:ascii="Times New Roman" w:hAnsi="Times New Roman" w:cs="Times New Roman"/>
          <w:color w:val="000000" w:themeColor="text1"/>
        </w:rPr>
        <w:t xml:space="preserve"> the local PACS system</w:t>
      </w:r>
      <w:r w:rsidR="009342EA" w:rsidRPr="009D4387">
        <w:rPr>
          <w:rFonts w:ascii="Times New Roman" w:hAnsi="Times New Roman" w:cs="Times New Roman"/>
          <w:color w:val="000000" w:themeColor="text1"/>
        </w:rPr>
        <w:t>.</w:t>
      </w:r>
      <w:r w:rsidR="0086495B">
        <w:rPr>
          <w:rFonts w:ascii="Times New Roman" w:hAnsi="Times New Roman" w:cs="Times New Roman"/>
          <w:color w:val="000000" w:themeColor="text1"/>
        </w:rPr>
        <w:t xml:space="preserve"> </w:t>
      </w:r>
      <w:r w:rsidR="003002A3">
        <w:rPr>
          <w:rFonts w:ascii="Times New Roman" w:hAnsi="Times New Roman" w:cs="Times New Roman"/>
          <w:color w:val="000000" w:themeColor="text1"/>
        </w:rPr>
        <w:t xml:space="preserve">The age of patients ranged from 48 to 80 with a mean age of 66 (SD ±8). </w:t>
      </w:r>
      <w:r w:rsidR="003C4DBB">
        <w:rPr>
          <w:rFonts w:ascii="Times New Roman" w:hAnsi="Times New Roman" w:cs="Times New Roman"/>
          <w:color w:val="000000" w:themeColor="text1"/>
        </w:rPr>
        <w:t>The</w:t>
      </w:r>
      <w:r w:rsidR="00AB5AF4" w:rsidRPr="009D4387">
        <w:rPr>
          <w:rFonts w:ascii="Times New Roman" w:hAnsi="Times New Roman" w:cs="Times New Roman"/>
          <w:color w:val="000000" w:themeColor="text1"/>
        </w:rPr>
        <w:t xml:space="preserve"> distribution of</w:t>
      </w:r>
      <w:r w:rsidR="003C4DBB">
        <w:rPr>
          <w:rFonts w:ascii="Times New Roman" w:hAnsi="Times New Roman" w:cs="Times New Roman"/>
          <w:color w:val="000000" w:themeColor="text1"/>
        </w:rPr>
        <w:t xml:space="preserve"> MRI</w:t>
      </w:r>
      <w:r w:rsidR="00AB5AF4" w:rsidRPr="009D4387">
        <w:rPr>
          <w:rFonts w:ascii="Times New Roman" w:hAnsi="Times New Roman" w:cs="Times New Roman"/>
          <w:color w:val="000000" w:themeColor="text1"/>
        </w:rPr>
        <w:t xml:space="preserve"> vendors </w:t>
      </w:r>
      <w:r w:rsidR="003C4DBB">
        <w:rPr>
          <w:rFonts w:ascii="Times New Roman" w:hAnsi="Times New Roman" w:cs="Times New Roman"/>
          <w:color w:val="000000" w:themeColor="text1"/>
        </w:rPr>
        <w:t>for acquisition was</w:t>
      </w:r>
      <w:r w:rsidR="00AB5AF4" w:rsidRPr="009D4387">
        <w:rPr>
          <w:rFonts w:ascii="Times New Roman" w:hAnsi="Times New Roman" w:cs="Times New Roman"/>
          <w:color w:val="000000" w:themeColor="text1"/>
        </w:rPr>
        <w:t xml:space="preserve"> Siemens 58%, </w:t>
      </w:r>
      <w:r w:rsidR="001F084B">
        <w:rPr>
          <w:rFonts w:ascii="Times New Roman" w:hAnsi="Times New Roman" w:cs="Times New Roman"/>
          <w:color w:val="000000" w:themeColor="text1"/>
        </w:rPr>
        <w:t>General Electric (</w:t>
      </w:r>
      <w:r w:rsidR="00AB5AF4" w:rsidRPr="009D4387">
        <w:rPr>
          <w:rFonts w:ascii="Times New Roman" w:hAnsi="Times New Roman" w:cs="Times New Roman"/>
          <w:color w:val="000000" w:themeColor="text1"/>
        </w:rPr>
        <w:t>GE</w:t>
      </w:r>
      <w:r w:rsidR="001F084B">
        <w:rPr>
          <w:rFonts w:ascii="Times New Roman" w:hAnsi="Times New Roman" w:cs="Times New Roman"/>
          <w:color w:val="000000" w:themeColor="text1"/>
        </w:rPr>
        <w:t>)</w:t>
      </w:r>
      <w:r w:rsidR="00AB5AF4" w:rsidRPr="009D4387">
        <w:rPr>
          <w:rFonts w:ascii="Times New Roman" w:hAnsi="Times New Roman" w:cs="Times New Roman"/>
          <w:color w:val="000000" w:themeColor="text1"/>
        </w:rPr>
        <w:t xml:space="preserve"> 35%, and Philips 6%. 90% of exams were performed using a 3</w:t>
      </w:r>
      <w:r w:rsidR="00C44774">
        <w:rPr>
          <w:rFonts w:ascii="Times New Roman" w:hAnsi="Times New Roman" w:cs="Times New Roman"/>
          <w:color w:val="000000" w:themeColor="text1"/>
        </w:rPr>
        <w:t xml:space="preserve"> </w:t>
      </w:r>
      <w:r w:rsidR="007A12DE">
        <w:rPr>
          <w:rFonts w:ascii="Times New Roman" w:hAnsi="Times New Roman" w:cs="Times New Roman"/>
          <w:color w:val="000000" w:themeColor="text1"/>
        </w:rPr>
        <w:t>T</w:t>
      </w:r>
      <w:r w:rsidR="00C44774">
        <w:rPr>
          <w:rFonts w:ascii="Times New Roman" w:hAnsi="Times New Roman" w:cs="Times New Roman"/>
          <w:color w:val="000000" w:themeColor="text1"/>
        </w:rPr>
        <w:t xml:space="preserve">esla </w:t>
      </w:r>
      <w:r w:rsidR="00AB5AF4" w:rsidRPr="009D4387">
        <w:rPr>
          <w:rFonts w:ascii="Times New Roman" w:hAnsi="Times New Roman" w:cs="Times New Roman"/>
          <w:color w:val="000000" w:themeColor="text1"/>
        </w:rPr>
        <w:t>scanner</w:t>
      </w:r>
      <w:r w:rsidR="001F084B">
        <w:rPr>
          <w:rFonts w:ascii="Times New Roman" w:hAnsi="Times New Roman" w:cs="Times New Roman"/>
          <w:color w:val="000000" w:themeColor="text1"/>
        </w:rPr>
        <w:t xml:space="preserve"> (Table 1)</w:t>
      </w:r>
      <w:r w:rsidR="00AB5AF4" w:rsidRPr="009D4387">
        <w:rPr>
          <w:rFonts w:ascii="Times New Roman" w:hAnsi="Times New Roman" w:cs="Times New Roman"/>
          <w:color w:val="000000" w:themeColor="text1"/>
        </w:rPr>
        <w:t>.</w:t>
      </w:r>
    </w:p>
    <w:p w14:paraId="485741FA" w14:textId="77777777" w:rsidR="000D0540" w:rsidRDefault="000D0540" w:rsidP="00F17733">
      <w:pPr>
        <w:spacing w:after="0"/>
        <w:ind w:firstLine="720"/>
        <w:jc w:val="both"/>
        <w:rPr>
          <w:rFonts w:ascii="Times New Roman" w:hAnsi="Times New Roman" w:cs="Times New Roman"/>
          <w:color w:val="000000" w:themeColor="text1"/>
        </w:rPr>
      </w:pPr>
    </w:p>
    <w:p w14:paraId="050567F3" w14:textId="77777777" w:rsidR="009342EA" w:rsidRPr="00AF36ED" w:rsidRDefault="009342EA" w:rsidP="00F17733">
      <w:pPr>
        <w:spacing w:after="0"/>
        <w:rPr>
          <w:rFonts w:ascii="Times New Roman" w:hAnsi="Times New Roman" w:cs="Times New Roman"/>
          <w:color w:val="000000" w:themeColor="text1"/>
        </w:rPr>
      </w:pPr>
      <w:r w:rsidRPr="009D4387">
        <w:rPr>
          <w:rFonts w:ascii="Times New Roman" w:hAnsi="Times New Roman" w:cs="Times New Roman"/>
          <w:b/>
          <w:color w:val="000000" w:themeColor="text1"/>
        </w:rPr>
        <w:lastRenderedPageBreak/>
        <w:t xml:space="preserve">Assessment of PIRADSv2 </w:t>
      </w:r>
      <w:r w:rsidR="00894F11">
        <w:rPr>
          <w:rFonts w:ascii="Times New Roman" w:hAnsi="Times New Roman" w:cs="Times New Roman"/>
          <w:b/>
          <w:color w:val="000000" w:themeColor="text1"/>
        </w:rPr>
        <w:t>MTS</w:t>
      </w:r>
      <w:r w:rsidRPr="009D4387">
        <w:rPr>
          <w:rFonts w:ascii="Times New Roman" w:hAnsi="Times New Roman" w:cs="Times New Roman"/>
          <w:b/>
          <w:color w:val="000000" w:themeColor="text1"/>
        </w:rPr>
        <w:t xml:space="preserve"> </w:t>
      </w:r>
      <w:r w:rsidR="001A387A">
        <w:rPr>
          <w:rFonts w:ascii="Times New Roman" w:hAnsi="Times New Roman" w:cs="Times New Roman"/>
          <w:b/>
          <w:color w:val="000000" w:themeColor="text1"/>
        </w:rPr>
        <w:t>Adherence</w:t>
      </w:r>
    </w:p>
    <w:p w14:paraId="3B718E26" w14:textId="2139C837" w:rsidR="00691087" w:rsidRDefault="009342EA"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 xml:space="preserve">DICOM files and metadata </w:t>
      </w:r>
      <w:r w:rsidR="00E26150" w:rsidRPr="009D4387">
        <w:rPr>
          <w:rFonts w:ascii="Times New Roman" w:hAnsi="Times New Roman" w:cs="Times New Roman"/>
          <w:color w:val="000000" w:themeColor="text1"/>
        </w:rPr>
        <w:t>were</w:t>
      </w:r>
      <w:r w:rsidRPr="009D4387">
        <w:rPr>
          <w:rFonts w:ascii="Times New Roman" w:hAnsi="Times New Roman" w:cs="Times New Roman"/>
          <w:color w:val="000000" w:themeColor="text1"/>
        </w:rPr>
        <w:t xml:space="preserve"> used to assess </w:t>
      </w:r>
      <w:r w:rsidR="001A387A">
        <w:rPr>
          <w:rFonts w:ascii="Times New Roman" w:hAnsi="Times New Roman" w:cs="Times New Roman"/>
          <w:color w:val="000000" w:themeColor="text1"/>
        </w:rPr>
        <w:t>adherence</w:t>
      </w:r>
      <w:r w:rsidRPr="009D4387">
        <w:rPr>
          <w:rFonts w:ascii="Times New Roman" w:hAnsi="Times New Roman" w:cs="Times New Roman"/>
          <w:color w:val="000000" w:themeColor="text1"/>
        </w:rPr>
        <w:t xml:space="preserve"> </w:t>
      </w:r>
      <w:r w:rsidR="001A387A">
        <w:rPr>
          <w:rFonts w:ascii="Times New Roman" w:hAnsi="Times New Roman" w:cs="Times New Roman"/>
          <w:color w:val="000000" w:themeColor="text1"/>
        </w:rPr>
        <w:t>to</w:t>
      </w:r>
      <w:r w:rsidRPr="009D4387">
        <w:rPr>
          <w:rFonts w:ascii="Times New Roman" w:hAnsi="Times New Roman" w:cs="Times New Roman"/>
          <w:color w:val="000000" w:themeColor="text1"/>
        </w:rPr>
        <w:t xml:space="preserve"> PI</w:t>
      </w:r>
      <w:r w:rsidR="00A064E1">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Pr="009D4387">
        <w:rPr>
          <w:rFonts w:ascii="Times New Roman" w:hAnsi="Times New Roman" w:cs="Times New Roman"/>
          <w:color w:val="000000" w:themeColor="text1"/>
        </w:rPr>
        <w:t xml:space="preserve"> for T2W and DWI sequences. This assessment was aided </w:t>
      </w:r>
      <w:r w:rsidR="00894F11">
        <w:rPr>
          <w:rFonts w:ascii="Times New Roman" w:hAnsi="Times New Roman" w:cs="Times New Roman"/>
          <w:color w:val="000000" w:themeColor="text1"/>
        </w:rPr>
        <w:t xml:space="preserve">by </w:t>
      </w:r>
      <w:r w:rsidRPr="009D4387">
        <w:rPr>
          <w:rFonts w:ascii="Times New Roman" w:hAnsi="Times New Roman" w:cs="Times New Roman"/>
          <w:color w:val="000000" w:themeColor="text1"/>
        </w:rPr>
        <w:t xml:space="preserve">an in-house </w:t>
      </w:r>
      <w:r w:rsidR="00C025E8">
        <w:rPr>
          <w:rFonts w:ascii="Times New Roman" w:hAnsi="Times New Roman" w:cs="Times New Roman"/>
          <w:color w:val="000000" w:themeColor="text1"/>
        </w:rPr>
        <w:t xml:space="preserve">developed </w:t>
      </w:r>
      <w:r w:rsidRPr="009D4387">
        <w:rPr>
          <w:rFonts w:ascii="Times New Roman" w:hAnsi="Times New Roman" w:cs="Times New Roman"/>
          <w:color w:val="000000" w:themeColor="text1"/>
        </w:rPr>
        <w:t xml:space="preserve">automated assessment tool which assessed </w:t>
      </w:r>
      <w:r w:rsidR="001A387A">
        <w:rPr>
          <w:rFonts w:ascii="Times New Roman" w:hAnsi="Times New Roman" w:cs="Times New Roman"/>
          <w:color w:val="000000" w:themeColor="text1"/>
        </w:rPr>
        <w:t>adherence to</w:t>
      </w:r>
      <w:r w:rsidRPr="009D4387">
        <w:rPr>
          <w:rFonts w:ascii="Times New Roman" w:hAnsi="Times New Roman" w:cs="Times New Roman"/>
          <w:color w:val="000000" w:themeColor="text1"/>
        </w:rPr>
        <w:t xml:space="preserve"> PI</w:t>
      </w:r>
      <w:r w:rsidR="00A064E1">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Pr="009D4387">
        <w:rPr>
          <w:rFonts w:ascii="Times New Roman" w:hAnsi="Times New Roman" w:cs="Times New Roman"/>
          <w:color w:val="000000" w:themeColor="text1"/>
        </w:rPr>
        <w:t>.</w:t>
      </w:r>
      <w:r w:rsidR="00791728" w:rsidRPr="009D4387">
        <w:rPr>
          <w:rFonts w:ascii="Times New Roman" w:hAnsi="Times New Roman" w:cs="Times New Roman"/>
          <w:color w:val="000000" w:themeColor="text1"/>
        </w:rPr>
        <w:t xml:space="preserve"> In addition to the PI</w:t>
      </w:r>
      <w:r w:rsidR="00A064E1">
        <w:rPr>
          <w:rFonts w:ascii="Times New Roman" w:hAnsi="Times New Roman" w:cs="Times New Roman"/>
          <w:color w:val="000000" w:themeColor="text1"/>
        </w:rPr>
        <w:t>-</w:t>
      </w:r>
      <w:r w:rsidR="00791728"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003C4DBB">
        <w:rPr>
          <w:rFonts w:ascii="Times New Roman" w:hAnsi="Times New Roman" w:cs="Times New Roman"/>
          <w:color w:val="000000" w:themeColor="text1"/>
        </w:rPr>
        <w:t>,</w:t>
      </w:r>
      <w:r w:rsidR="00791728" w:rsidRPr="009D4387">
        <w:rPr>
          <w:rFonts w:ascii="Times New Roman" w:hAnsi="Times New Roman" w:cs="Times New Roman"/>
          <w:color w:val="000000" w:themeColor="text1"/>
        </w:rPr>
        <w:t xml:space="preserve"> we recorded the phase encoding direction for each image as we hypothesized that the phase encoding direction might have an effect on image quality and severity of distortion</w:t>
      </w:r>
      <w:r w:rsidR="00FA24F2" w:rsidRPr="009D4387">
        <w:rPr>
          <w:rFonts w:ascii="Times New Roman" w:hAnsi="Times New Roman" w:cs="Times New Roman"/>
          <w:color w:val="000000" w:themeColor="text1"/>
        </w:rPr>
        <w:t xml:space="preserve"> </w:t>
      </w:r>
      <w:r w:rsidR="00894F11">
        <w:rPr>
          <w:rFonts w:ascii="Times New Roman" w:hAnsi="Times New Roman" w:cs="Times New Roman"/>
          <w:color w:val="000000" w:themeColor="text1"/>
        </w:rPr>
        <w:t>on</w:t>
      </w:r>
      <w:r w:rsidR="00FA24F2" w:rsidRPr="009D4387">
        <w:rPr>
          <w:rFonts w:ascii="Times New Roman" w:hAnsi="Times New Roman" w:cs="Times New Roman"/>
          <w:color w:val="000000" w:themeColor="text1"/>
        </w:rPr>
        <w:t xml:space="preserve"> DW</w:t>
      </w:r>
      <w:r w:rsidR="00E30118">
        <w:rPr>
          <w:rFonts w:ascii="Times New Roman" w:hAnsi="Times New Roman" w:cs="Times New Roman"/>
          <w:color w:val="000000" w:themeColor="text1"/>
        </w:rPr>
        <w:t xml:space="preserve">I </w:t>
      </w:r>
      <w:r w:rsidR="00FA24F2" w:rsidRPr="009D4387">
        <w:rPr>
          <w:rFonts w:ascii="Times New Roman" w:hAnsi="Times New Roman" w:cs="Times New Roman"/>
          <w:color w:val="000000" w:themeColor="text1"/>
        </w:rPr>
        <w:t>sequences</w:t>
      </w:r>
      <w:r w:rsidR="00917E70" w:rsidRPr="009D4387">
        <w:rPr>
          <w:rFonts w:ascii="Times New Roman" w:hAnsi="Times New Roman" w:cs="Times New Roman"/>
          <w:color w:val="000000" w:themeColor="text1"/>
        </w:rPr>
        <w:t xml:space="preserve"> with </w:t>
      </w:r>
      <w:r w:rsidR="00A17920">
        <w:rPr>
          <w:rFonts w:ascii="Times New Roman" w:hAnsi="Times New Roman" w:cs="Times New Roman"/>
          <w:color w:val="000000" w:themeColor="text1"/>
        </w:rPr>
        <w:t xml:space="preserve">horizontal </w:t>
      </w:r>
      <w:r w:rsidR="0028597C" w:rsidRPr="009D4387">
        <w:rPr>
          <w:rFonts w:ascii="Times New Roman" w:hAnsi="Times New Roman" w:cs="Times New Roman"/>
          <w:color w:val="000000" w:themeColor="text1"/>
        </w:rPr>
        <w:t>phase encoding direction (right</w:t>
      </w:r>
      <w:r w:rsidR="00B84205" w:rsidRPr="009D4387">
        <w:rPr>
          <w:rFonts w:ascii="Times New Roman" w:hAnsi="Times New Roman" w:cs="Times New Roman"/>
          <w:color w:val="000000" w:themeColor="text1"/>
        </w:rPr>
        <w:t>–&gt;</w:t>
      </w:r>
      <w:r w:rsidR="0028597C" w:rsidRPr="009D4387">
        <w:rPr>
          <w:rFonts w:ascii="Times New Roman" w:hAnsi="Times New Roman" w:cs="Times New Roman"/>
          <w:color w:val="000000" w:themeColor="text1"/>
        </w:rPr>
        <w:t xml:space="preserve">left) performing better than </w:t>
      </w:r>
      <w:r w:rsidR="00A17920">
        <w:rPr>
          <w:rFonts w:ascii="Times New Roman" w:hAnsi="Times New Roman" w:cs="Times New Roman"/>
          <w:color w:val="000000" w:themeColor="text1"/>
        </w:rPr>
        <w:t>vertical</w:t>
      </w:r>
      <w:r w:rsidR="00A17920" w:rsidRPr="009D4387">
        <w:rPr>
          <w:rFonts w:ascii="Times New Roman" w:hAnsi="Times New Roman" w:cs="Times New Roman"/>
          <w:color w:val="000000" w:themeColor="text1"/>
        </w:rPr>
        <w:t xml:space="preserve"> </w:t>
      </w:r>
      <w:r w:rsidR="0028597C" w:rsidRPr="009D4387">
        <w:rPr>
          <w:rFonts w:ascii="Times New Roman" w:hAnsi="Times New Roman" w:cs="Times New Roman"/>
          <w:color w:val="000000" w:themeColor="text1"/>
        </w:rPr>
        <w:t>phase encoding direction</w:t>
      </w:r>
      <w:r w:rsidR="00A17920">
        <w:rPr>
          <w:rFonts w:ascii="Times New Roman" w:hAnsi="Times New Roman" w:cs="Times New Roman"/>
          <w:color w:val="000000" w:themeColor="text1"/>
        </w:rPr>
        <w:t xml:space="preserve"> </w:t>
      </w:r>
      <w:r w:rsidR="00A17920" w:rsidRPr="009D4387">
        <w:rPr>
          <w:rFonts w:ascii="Times New Roman" w:hAnsi="Times New Roman" w:cs="Times New Roman"/>
          <w:color w:val="000000" w:themeColor="text1"/>
        </w:rPr>
        <w:t>(anterior</w:t>
      </w:r>
      <w:r w:rsidR="00A17920">
        <w:rPr>
          <w:rFonts w:ascii="Times New Roman" w:hAnsi="Times New Roman" w:cs="Times New Roman"/>
          <w:color w:val="000000" w:themeColor="text1"/>
        </w:rPr>
        <w:t xml:space="preserve"> </w:t>
      </w:r>
      <w:r w:rsidR="00A17920" w:rsidRPr="009D4387">
        <w:rPr>
          <w:rFonts w:ascii="Times New Roman" w:hAnsi="Times New Roman" w:cs="Times New Roman"/>
          <w:color w:val="000000" w:themeColor="text1"/>
        </w:rPr>
        <w:t>–&gt;</w:t>
      </w:r>
      <w:r w:rsidR="00A17920">
        <w:rPr>
          <w:rFonts w:ascii="Times New Roman" w:hAnsi="Times New Roman" w:cs="Times New Roman"/>
          <w:color w:val="000000" w:themeColor="text1"/>
        </w:rPr>
        <w:t xml:space="preserve"> </w:t>
      </w:r>
      <w:r w:rsidR="00A17920" w:rsidRPr="009D4387">
        <w:rPr>
          <w:rFonts w:ascii="Times New Roman" w:hAnsi="Times New Roman" w:cs="Times New Roman"/>
          <w:color w:val="000000" w:themeColor="text1"/>
        </w:rPr>
        <w:t>posterior)</w:t>
      </w:r>
      <w:r w:rsidR="00791728" w:rsidRPr="009D4387">
        <w:rPr>
          <w:rFonts w:ascii="Times New Roman" w:hAnsi="Times New Roman" w:cs="Times New Roman"/>
          <w:color w:val="000000" w:themeColor="text1"/>
        </w:rPr>
        <w:t>.</w:t>
      </w:r>
    </w:p>
    <w:p w14:paraId="40C2A392" w14:textId="77777777" w:rsidR="000D0540" w:rsidRPr="009D4387" w:rsidRDefault="000D0540" w:rsidP="00F17733">
      <w:pPr>
        <w:spacing w:after="0"/>
        <w:ind w:firstLine="720"/>
        <w:jc w:val="both"/>
        <w:rPr>
          <w:rFonts w:ascii="Times New Roman" w:hAnsi="Times New Roman" w:cs="Times New Roman"/>
          <w:color w:val="000000" w:themeColor="text1"/>
        </w:rPr>
      </w:pPr>
    </w:p>
    <w:p w14:paraId="0E6727F9" w14:textId="77777777" w:rsidR="00B50148" w:rsidRPr="009D4387" w:rsidRDefault="00B50148" w:rsidP="00F17733">
      <w:pPr>
        <w:spacing w:after="0"/>
        <w:jc w:val="both"/>
        <w:rPr>
          <w:rFonts w:ascii="Times New Roman" w:hAnsi="Times New Roman" w:cs="Times New Roman"/>
          <w:b/>
          <w:color w:val="000000" w:themeColor="text1"/>
        </w:rPr>
      </w:pPr>
      <w:r w:rsidRPr="009D4387">
        <w:rPr>
          <w:rFonts w:ascii="Times New Roman" w:hAnsi="Times New Roman" w:cs="Times New Roman"/>
          <w:b/>
          <w:color w:val="000000" w:themeColor="text1"/>
        </w:rPr>
        <w:t>Survey Design</w:t>
      </w:r>
    </w:p>
    <w:p w14:paraId="26753FB8" w14:textId="1936B32B" w:rsidR="003C0B9B" w:rsidRDefault="005C5756"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Three</w:t>
      </w:r>
      <w:r w:rsidR="00893326" w:rsidRPr="009D4387">
        <w:rPr>
          <w:rFonts w:ascii="Times New Roman" w:hAnsi="Times New Roman" w:cs="Times New Roman"/>
          <w:color w:val="000000" w:themeColor="text1"/>
        </w:rPr>
        <w:t xml:space="preserve"> </w:t>
      </w:r>
      <w:r w:rsidR="00917D1A" w:rsidRPr="009D4387">
        <w:rPr>
          <w:rFonts w:ascii="Times New Roman" w:hAnsi="Times New Roman" w:cs="Times New Roman"/>
          <w:color w:val="000000" w:themeColor="text1"/>
        </w:rPr>
        <w:t>exper</w:t>
      </w:r>
      <w:r w:rsidR="00893326">
        <w:rPr>
          <w:rFonts w:ascii="Times New Roman" w:hAnsi="Times New Roman" w:cs="Times New Roman"/>
          <w:color w:val="000000" w:themeColor="text1"/>
        </w:rPr>
        <w:t>ienced</w:t>
      </w:r>
      <w:r w:rsidR="00917D1A" w:rsidRPr="009D4387">
        <w:rPr>
          <w:rFonts w:ascii="Times New Roman" w:hAnsi="Times New Roman" w:cs="Times New Roman"/>
          <w:color w:val="000000" w:themeColor="text1"/>
        </w:rPr>
        <w:t xml:space="preserve"> </w:t>
      </w:r>
      <w:r w:rsidR="00F3556D">
        <w:rPr>
          <w:rFonts w:ascii="Times New Roman" w:hAnsi="Times New Roman" w:cs="Times New Roman"/>
          <w:color w:val="000000" w:themeColor="text1"/>
        </w:rPr>
        <w:t>(</w:t>
      </w:r>
      <w:r w:rsidR="00F3556D" w:rsidRPr="00F3556D">
        <w:rPr>
          <w:rFonts w:ascii="Times New Roman" w:hAnsi="Times New Roman" w:cs="Times New Roman"/>
          <w:color w:val="000000" w:themeColor="text1"/>
        </w:rPr>
        <w:t>TB, JM, Y</w:t>
      </w:r>
      <w:r w:rsidR="00893326">
        <w:rPr>
          <w:rFonts w:ascii="Times New Roman" w:hAnsi="Times New Roman" w:cs="Times New Roman"/>
          <w:color w:val="000000" w:themeColor="text1"/>
        </w:rPr>
        <w:t>M</w:t>
      </w:r>
      <w:r w:rsidR="00F3556D" w:rsidRPr="00F3556D">
        <w:rPr>
          <w:rFonts w:ascii="Times New Roman" w:hAnsi="Times New Roman" w:cs="Times New Roman"/>
          <w:color w:val="000000" w:themeColor="text1"/>
        </w:rPr>
        <w:t>L</w:t>
      </w:r>
      <w:r w:rsidR="00F3556D">
        <w:rPr>
          <w:rFonts w:ascii="Times New Roman" w:hAnsi="Times New Roman" w:cs="Times New Roman"/>
          <w:color w:val="000000" w:themeColor="text1"/>
        </w:rPr>
        <w:t xml:space="preserve">) and </w:t>
      </w:r>
      <w:r w:rsidR="004B50D0">
        <w:rPr>
          <w:rFonts w:ascii="Times New Roman" w:hAnsi="Times New Roman" w:cs="Times New Roman"/>
          <w:color w:val="000000" w:themeColor="text1"/>
        </w:rPr>
        <w:t>three</w:t>
      </w:r>
      <w:r w:rsidR="00893326">
        <w:rPr>
          <w:rFonts w:ascii="Times New Roman" w:hAnsi="Times New Roman" w:cs="Times New Roman"/>
          <w:color w:val="000000" w:themeColor="text1"/>
        </w:rPr>
        <w:t xml:space="preserve"> novice </w:t>
      </w:r>
      <w:r w:rsidR="00F3556D">
        <w:rPr>
          <w:rFonts w:ascii="Times New Roman" w:hAnsi="Times New Roman" w:cs="Times New Roman"/>
          <w:color w:val="000000" w:themeColor="text1"/>
        </w:rPr>
        <w:t>reader</w:t>
      </w:r>
      <w:r w:rsidR="00893326">
        <w:rPr>
          <w:rFonts w:ascii="Times New Roman" w:hAnsi="Times New Roman" w:cs="Times New Roman"/>
          <w:color w:val="000000" w:themeColor="text1"/>
        </w:rPr>
        <w:t>s</w:t>
      </w:r>
      <w:r w:rsidR="00F3556D">
        <w:rPr>
          <w:rFonts w:ascii="Times New Roman" w:hAnsi="Times New Roman" w:cs="Times New Roman"/>
          <w:color w:val="000000" w:themeColor="text1"/>
        </w:rPr>
        <w:t xml:space="preserve"> (</w:t>
      </w:r>
      <w:r w:rsidR="00893326">
        <w:rPr>
          <w:rFonts w:ascii="Times New Roman" w:hAnsi="Times New Roman" w:cs="Times New Roman"/>
          <w:color w:val="000000" w:themeColor="text1"/>
        </w:rPr>
        <w:t xml:space="preserve">MC, ET, </w:t>
      </w:r>
      <w:r w:rsidR="00F3556D" w:rsidRPr="00F3556D">
        <w:rPr>
          <w:rFonts w:ascii="Times New Roman" w:hAnsi="Times New Roman" w:cs="Times New Roman"/>
          <w:color w:val="000000" w:themeColor="text1"/>
        </w:rPr>
        <w:t>MM</w:t>
      </w:r>
      <w:r w:rsidR="00F3556D">
        <w:rPr>
          <w:rFonts w:ascii="Times New Roman" w:hAnsi="Times New Roman" w:cs="Times New Roman"/>
          <w:color w:val="000000" w:themeColor="text1"/>
        </w:rPr>
        <w:t>)</w:t>
      </w:r>
      <w:r w:rsidR="00E61CAC">
        <w:rPr>
          <w:rFonts w:ascii="Times New Roman" w:hAnsi="Times New Roman" w:cs="Times New Roman"/>
          <w:color w:val="000000" w:themeColor="text1"/>
        </w:rPr>
        <w:t xml:space="preserve"> from</w:t>
      </w:r>
      <w:r w:rsidR="004B50D0">
        <w:rPr>
          <w:rFonts w:ascii="Times New Roman" w:hAnsi="Times New Roman" w:cs="Times New Roman"/>
          <w:color w:val="000000" w:themeColor="text1"/>
        </w:rPr>
        <w:t xml:space="preserve"> 5</w:t>
      </w:r>
      <w:r w:rsidR="00E61CAC">
        <w:rPr>
          <w:rFonts w:ascii="Times New Roman" w:hAnsi="Times New Roman" w:cs="Times New Roman"/>
          <w:color w:val="000000" w:themeColor="text1"/>
        </w:rPr>
        <w:t xml:space="preserve"> different institutions (non</w:t>
      </w:r>
      <w:r w:rsidR="00110554">
        <w:rPr>
          <w:rFonts w:ascii="Times New Roman" w:hAnsi="Times New Roman" w:cs="Times New Roman"/>
          <w:color w:val="000000" w:themeColor="text1"/>
        </w:rPr>
        <w:t>-</w:t>
      </w:r>
      <w:r w:rsidR="00E61CAC">
        <w:rPr>
          <w:rFonts w:ascii="Times New Roman" w:hAnsi="Times New Roman" w:cs="Times New Roman"/>
          <w:color w:val="000000" w:themeColor="text1"/>
        </w:rPr>
        <w:t>contributors to the test cases)</w:t>
      </w:r>
      <w:r w:rsidR="00F3556D">
        <w:rPr>
          <w:rFonts w:ascii="Times New Roman" w:hAnsi="Times New Roman" w:cs="Times New Roman"/>
          <w:color w:val="000000" w:themeColor="text1"/>
        </w:rPr>
        <w:t xml:space="preserve"> </w:t>
      </w:r>
      <w:r w:rsidR="00B50148" w:rsidRPr="009D4387">
        <w:rPr>
          <w:rFonts w:ascii="Times New Roman" w:hAnsi="Times New Roman" w:cs="Times New Roman"/>
          <w:color w:val="000000" w:themeColor="text1"/>
        </w:rPr>
        <w:t xml:space="preserve">were recruited </w:t>
      </w:r>
      <w:r w:rsidR="003B10EB" w:rsidRPr="009D4387">
        <w:rPr>
          <w:rFonts w:ascii="Times New Roman" w:hAnsi="Times New Roman" w:cs="Times New Roman"/>
          <w:color w:val="000000" w:themeColor="text1"/>
        </w:rPr>
        <w:t>to assess each image and sequence on an array of subjective image quality characteristics. Readers a</w:t>
      </w:r>
      <w:r w:rsidR="00917D1A" w:rsidRPr="009D4387">
        <w:rPr>
          <w:rFonts w:ascii="Times New Roman" w:hAnsi="Times New Roman" w:cs="Times New Roman"/>
          <w:color w:val="000000" w:themeColor="text1"/>
        </w:rPr>
        <w:t xml:space="preserve">ssessed images as either </w:t>
      </w:r>
      <w:r w:rsidR="00E61CAC">
        <w:rPr>
          <w:rFonts w:ascii="Times New Roman" w:hAnsi="Times New Roman" w:cs="Times New Roman"/>
          <w:color w:val="000000" w:themeColor="text1"/>
        </w:rPr>
        <w:t>“</w:t>
      </w:r>
      <w:r w:rsidR="00917D1A" w:rsidRPr="009D4387">
        <w:rPr>
          <w:rFonts w:ascii="Times New Roman" w:hAnsi="Times New Roman" w:cs="Times New Roman"/>
          <w:color w:val="000000" w:themeColor="text1"/>
        </w:rPr>
        <w:t>adequate</w:t>
      </w:r>
      <w:r w:rsidR="00E61CAC">
        <w:rPr>
          <w:rFonts w:ascii="Times New Roman" w:hAnsi="Times New Roman" w:cs="Times New Roman"/>
          <w:color w:val="000000" w:themeColor="text1"/>
        </w:rPr>
        <w:t>”</w:t>
      </w:r>
      <w:r w:rsidR="00917D1A" w:rsidRPr="009D4387">
        <w:rPr>
          <w:rFonts w:ascii="Times New Roman" w:hAnsi="Times New Roman" w:cs="Times New Roman"/>
          <w:color w:val="000000" w:themeColor="text1"/>
        </w:rPr>
        <w:t xml:space="preserve"> or </w:t>
      </w:r>
      <w:r w:rsidR="00E61CAC">
        <w:rPr>
          <w:rFonts w:ascii="Times New Roman" w:hAnsi="Times New Roman" w:cs="Times New Roman"/>
          <w:color w:val="000000" w:themeColor="text1"/>
        </w:rPr>
        <w:t>“</w:t>
      </w:r>
      <w:r w:rsidR="00917D1A" w:rsidRPr="009D4387">
        <w:rPr>
          <w:rFonts w:ascii="Times New Roman" w:hAnsi="Times New Roman" w:cs="Times New Roman"/>
          <w:color w:val="000000" w:themeColor="text1"/>
        </w:rPr>
        <w:t>inadequate</w:t>
      </w:r>
      <w:r w:rsidR="00E61CAC">
        <w:rPr>
          <w:rFonts w:ascii="Times New Roman" w:hAnsi="Times New Roman" w:cs="Times New Roman"/>
          <w:color w:val="000000" w:themeColor="text1"/>
        </w:rPr>
        <w:t>”</w:t>
      </w:r>
      <w:r w:rsidR="00917D1A" w:rsidRPr="009D4387">
        <w:rPr>
          <w:rFonts w:ascii="Times New Roman" w:hAnsi="Times New Roman" w:cs="Times New Roman"/>
          <w:color w:val="000000" w:themeColor="text1"/>
        </w:rPr>
        <w:t xml:space="preserve"> for use in </w:t>
      </w:r>
      <w:r w:rsidR="00A91B29" w:rsidRPr="009D4387">
        <w:rPr>
          <w:rFonts w:ascii="Times New Roman" w:hAnsi="Times New Roman" w:cs="Times New Roman"/>
          <w:color w:val="000000" w:themeColor="text1"/>
        </w:rPr>
        <w:t>prostate cancer</w:t>
      </w:r>
      <w:r w:rsidR="00917D1A" w:rsidRPr="009D4387">
        <w:rPr>
          <w:rFonts w:ascii="Times New Roman" w:hAnsi="Times New Roman" w:cs="Times New Roman"/>
          <w:color w:val="000000" w:themeColor="text1"/>
        </w:rPr>
        <w:t xml:space="preserve"> detection</w:t>
      </w:r>
      <w:r w:rsidR="003B10EB" w:rsidRPr="009D4387">
        <w:rPr>
          <w:rFonts w:ascii="Times New Roman" w:hAnsi="Times New Roman" w:cs="Times New Roman"/>
          <w:color w:val="000000" w:themeColor="text1"/>
        </w:rPr>
        <w:t>.</w:t>
      </w:r>
      <w:r w:rsidR="004F1A50" w:rsidRPr="009D4387">
        <w:rPr>
          <w:rFonts w:ascii="Times New Roman" w:hAnsi="Times New Roman" w:cs="Times New Roman"/>
          <w:color w:val="000000" w:themeColor="text1"/>
        </w:rPr>
        <w:t xml:space="preserve"> </w:t>
      </w:r>
      <w:r w:rsidR="00D15309" w:rsidRPr="009D4387">
        <w:rPr>
          <w:rFonts w:ascii="Times New Roman" w:hAnsi="Times New Roman" w:cs="Times New Roman"/>
          <w:color w:val="000000" w:themeColor="text1"/>
        </w:rPr>
        <w:t>Readers</w:t>
      </w:r>
      <w:r w:rsidR="00D538B0">
        <w:rPr>
          <w:rFonts w:ascii="Times New Roman" w:hAnsi="Times New Roman" w:cs="Times New Roman"/>
          <w:color w:val="000000" w:themeColor="text1"/>
        </w:rPr>
        <w:t>’</w:t>
      </w:r>
      <w:r w:rsidR="00D15309" w:rsidRPr="009D4387">
        <w:rPr>
          <w:rFonts w:ascii="Times New Roman" w:hAnsi="Times New Roman" w:cs="Times New Roman"/>
          <w:color w:val="000000" w:themeColor="text1"/>
        </w:rPr>
        <w:t xml:space="preserve"> assessment of i</w:t>
      </w:r>
      <w:r w:rsidR="004F1A50" w:rsidRPr="009D4387">
        <w:rPr>
          <w:rFonts w:ascii="Times New Roman" w:hAnsi="Times New Roman" w:cs="Times New Roman"/>
          <w:color w:val="000000" w:themeColor="text1"/>
        </w:rPr>
        <w:t>mage</w:t>
      </w:r>
      <w:r w:rsidR="00917D1A" w:rsidRPr="009D4387">
        <w:rPr>
          <w:rFonts w:ascii="Times New Roman" w:hAnsi="Times New Roman" w:cs="Times New Roman"/>
          <w:color w:val="000000" w:themeColor="text1"/>
        </w:rPr>
        <w:t xml:space="preserve"> quality</w:t>
      </w:r>
      <w:r w:rsidR="004F1A50" w:rsidRPr="009D4387">
        <w:rPr>
          <w:rFonts w:ascii="Times New Roman" w:hAnsi="Times New Roman" w:cs="Times New Roman"/>
          <w:color w:val="000000" w:themeColor="text1"/>
        </w:rPr>
        <w:t xml:space="preserve"> was ranked</w:t>
      </w:r>
      <w:r w:rsidR="00917D1A" w:rsidRPr="009D4387">
        <w:rPr>
          <w:rFonts w:ascii="Times New Roman" w:hAnsi="Times New Roman" w:cs="Times New Roman"/>
          <w:color w:val="000000" w:themeColor="text1"/>
        </w:rPr>
        <w:t xml:space="preserve"> on a 1-5 Likert scale with 5 being the best and 1 being </w:t>
      </w:r>
      <w:r w:rsidR="00D15309" w:rsidRPr="009D4387">
        <w:rPr>
          <w:rFonts w:ascii="Times New Roman" w:hAnsi="Times New Roman" w:cs="Times New Roman"/>
          <w:color w:val="000000" w:themeColor="text1"/>
        </w:rPr>
        <w:t>impossible to interpret</w:t>
      </w:r>
      <w:r w:rsidR="00917D1A" w:rsidRPr="009D4387">
        <w:rPr>
          <w:rFonts w:ascii="Times New Roman" w:hAnsi="Times New Roman" w:cs="Times New Roman"/>
          <w:color w:val="000000" w:themeColor="text1"/>
        </w:rPr>
        <w:t>.</w:t>
      </w:r>
      <w:r w:rsidR="00C03828">
        <w:rPr>
          <w:rFonts w:ascii="Times New Roman" w:hAnsi="Times New Roman" w:cs="Times New Roman"/>
          <w:color w:val="000000" w:themeColor="text1"/>
        </w:rPr>
        <w:t xml:space="preserve"> </w:t>
      </w:r>
      <w:r w:rsidR="00B17158" w:rsidRPr="009D4387">
        <w:rPr>
          <w:rFonts w:ascii="Times New Roman" w:hAnsi="Times New Roman" w:cs="Times New Roman"/>
          <w:color w:val="000000" w:themeColor="text1"/>
        </w:rPr>
        <w:t>Readers were trained on a</w:t>
      </w:r>
      <w:r w:rsidR="00D538B0">
        <w:rPr>
          <w:rFonts w:ascii="Times New Roman" w:hAnsi="Times New Roman" w:cs="Times New Roman"/>
          <w:color w:val="000000" w:themeColor="text1"/>
        </w:rPr>
        <w:t xml:space="preserve"> different</w:t>
      </w:r>
      <w:r w:rsidR="00B17158" w:rsidRPr="009D4387">
        <w:rPr>
          <w:rFonts w:ascii="Times New Roman" w:hAnsi="Times New Roman" w:cs="Times New Roman"/>
          <w:color w:val="000000" w:themeColor="text1"/>
        </w:rPr>
        <w:t xml:space="preserve"> set of r</w:t>
      </w:r>
      <w:r w:rsidR="00D15309" w:rsidRPr="009D4387">
        <w:rPr>
          <w:rFonts w:ascii="Times New Roman" w:hAnsi="Times New Roman" w:cs="Times New Roman"/>
          <w:color w:val="000000" w:themeColor="text1"/>
        </w:rPr>
        <w:t xml:space="preserve">eference images </w:t>
      </w:r>
      <w:r w:rsidR="00E61CAC">
        <w:rPr>
          <w:rFonts w:ascii="Times New Roman" w:hAnsi="Times New Roman" w:cs="Times New Roman"/>
          <w:color w:val="000000" w:themeColor="text1"/>
        </w:rPr>
        <w:t>before being given the test set</w:t>
      </w:r>
      <w:r w:rsidR="00AF3115" w:rsidRPr="009D4387">
        <w:rPr>
          <w:rFonts w:ascii="Times New Roman" w:hAnsi="Times New Roman" w:cs="Times New Roman"/>
          <w:color w:val="000000" w:themeColor="text1"/>
        </w:rPr>
        <w:t>.</w:t>
      </w:r>
      <w:r w:rsidR="00D15309" w:rsidRPr="009D4387">
        <w:rPr>
          <w:rFonts w:ascii="Times New Roman" w:hAnsi="Times New Roman" w:cs="Times New Roman"/>
          <w:color w:val="000000" w:themeColor="text1"/>
        </w:rPr>
        <w:t xml:space="preserve"> </w:t>
      </w:r>
      <w:r w:rsidR="00E61CAC">
        <w:rPr>
          <w:rFonts w:ascii="Times New Roman" w:hAnsi="Times New Roman" w:cs="Times New Roman"/>
          <w:color w:val="000000" w:themeColor="text1"/>
        </w:rPr>
        <w:t xml:space="preserve">For training one expert radiologist (BT) selected cases considered to represent the spectrum of image quality (1-4). Since scores of “5” were unusual, </w:t>
      </w:r>
      <w:r w:rsidR="00B17158" w:rsidRPr="009D4387">
        <w:rPr>
          <w:rFonts w:ascii="Times New Roman" w:hAnsi="Times New Roman" w:cs="Times New Roman"/>
          <w:color w:val="000000" w:themeColor="text1"/>
        </w:rPr>
        <w:t>readers were instructed to give a score</w:t>
      </w:r>
      <w:r w:rsidR="006266BD" w:rsidRPr="009D4387">
        <w:rPr>
          <w:rFonts w:ascii="Times New Roman" w:hAnsi="Times New Roman" w:cs="Times New Roman"/>
          <w:color w:val="000000" w:themeColor="text1"/>
        </w:rPr>
        <w:t xml:space="preserve"> of</w:t>
      </w:r>
      <w:r w:rsidR="0060469A" w:rsidRPr="009D4387">
        <w:rPr>
          <w:rFonts w:ascii="Times New Roman" w:hAnsi="Times New Roman" w:cs="Times New Roman"/>
          <w:color w:val="000000" w:themeColor="text1"/>
        </w:rPr>
        <w:t xml:space="preserve"> </w:t>
      </w:r>
      <w:r w:rsidR="00B17158" w:rsidRPr="009D4387">
        <w:rPr>
          <w:rFonts w:ascii="Times New Roman" w:hAnsi="Times New Roman" w:cs="Times New Roman"/>
          <w:color w:val="000000" w:themeColor="text1"/>
        </w:rPr>
        <w:t>5 when the image</w:t>
      </w:r>
      <w:r w:rsidR="00C3593C" w:rsidRPr="009D4387">
        <w:rPr>
          <w:rFonts w:ascii="Times New Roman" w:hAnsi="Times New Roman" w:cs="Times New Roman"/>
          <w:color w:val="000000" w:themeColor="text1"/>
        </w:rPr>
        <w:t xml:space="preserve"> quality</w:t>
      </w:r>
      <w:r w:rsidR="00B17158" w:rsidRPr="009D4387">
        <w:rPr>
          <w:rFonts w:ascii="Times New Roman" w:hAnsi="Times New Roman" w:cs="Times New Roman"/>
          <w:color w:val="000000" w:themeColor="text1"/>
        </w:rPr>
        <w:t xml:space="preserve"> exceeded the</w:t>
      </w:r>
      <w:r w:rsidR="003E04C9" w:rsidRPr="009D4387">
        <w:rPr>
          <w:rFonts w:ascii="Times New Roman" w:hAnsi="Times New Roman" w:cs="Times New Roman"/>
          <w:color w:val="000000" w:themeColor="text1"/>
        </w:rPr>
        <w:t xml:space="preserve"> reference image for</w:t>
      </w:r>
      <w:r w:rsidR="00B17158" w:rsidRPr="009D4387">
        <w:rPr>
          <w:rFonts w:ascii="Times New Roman" w:hAnsi="Times New Roman" w:cs="Times New Roman"/>
          <w:color w:val="000000" w:themeColor="text1"/>
        </w:rPr>
        <w:t xml:space="preserve"> </w:t>
      </w:r>
      <w:r w:rsidR="003F7BB3">
        <w:rPr>
          <w:rFonts w:ascii="Times New Roman" w:hAnsi="Times New Roman" w:cs="Times New Roman"/>
          <w:color w:val="000000" w:themeColor="text1"/>
        </w:rPr>
        <w:t xml:space="preserve">the </w:t>
      </w:r>
      <w:r w:rsidR="00B17158" w:rsidRPr="009D4387">
        <w:rPr>
          <w:rFonts w:ascii="Times New Roman" w:hAnsi="Times New Roman" w:cs="Times New Roman"/>
          <w:color w:val="000000" w:themeColor="text1"/>
        </w:rPr>
        <w:t xml:space="preserve">quality score </w:t>
      </w:r>
      <w:r w:rsidR="003E04C9" w:rsidRPr="009D4387">
        <w:rPr>
          <w:rFonts w:ascii="Times New Roman" w:hAnsi="Times New Roman" w:cs="Times New Roman"/>
          <w:color w:val="000000" w:themeColor="text1"/>
        </w:rPr>
        <w:t>of 4</w:t>
      </w:r>
      <w:r w:rsidR="00B17158" w:rsidRPr="009D4387">
        <w:rPr>
          <w:rFonts w:ascii="Times New Roman" w:hAnsi="Times New Roman" w:cs="Times New Roman"/>
          <w:color w:val="000000" w:themeColor="text1"/>
        </w:rPr>
        <w:t>.</w:t>
      </w:r>
      <w:r w:rsidR="004F1A50" w:rsidRPr="009D4387">
        <w:rPr>
          <w:rFonts w:ascii="Times New Roman" w:hAnsi="Times New Roman" w:cs="Times New Roman"/>
          <w:color w:val="000000" w:themeColor="text1"/>
        </w:rPr>
        <w:t xml:space="preserve"> Readers also assessed images</w:t>
      </w:r>
      <w:r w:rsidR="00845EF3" w:rsidRPr="009D4387">
        <w:rPr>
          <w:rFonts w:ascii="Times New Roman" w:hAnsi="Times New Roman" w:cs="Times New Roman"/>
          <w:color w:val="000000" w:themeColor="text1"/>
        </w:rPr>
        <w:t xml:space="preserve"> according to </w:t>
      </w:r>
      <w:r w:rsidR="001653D4" w:rsidRPr="009D4387">
        <w:rPr>
          <w:rFonts w:ascii="Times New Roman" w:hAnsi="Times New Roman" w:cs="Times New Roman"/>
          <w:color w:val="000000" w:themeColor="text1"/>
        </w:rPr>
        <w:t>visual characteristic</w:t>
      </w:r>
      <w:r w:rsidR="00845EF3" w:rsidRPr="009D4387">
        <w:rPr>
          <w:rFonts w:ascii="Times New Roman" w:hAnsi="Times New Roman" w:cs="Times New Roman"/>
          <w:color w:val="000000" w:themeColor="text1"/>
        </w:rPr>
        <w:t>s and</w:t>
      </w:r>
      <w:r w:rsidR="004F1A50" w:rsidRPr="009D4387">
        <w:rPr>
          <w:rFonts w:ascii="Times New Roman" w:hAnsi="Times New Roman" w:cs="Times New Roman"/>
          <w:color w:val="000000" w:themeColor="text1"/>
        </w:rPr>
        <w:t xml:space="preserve"> for</w:t>
      </w:r>
      <w:r w:rsidR="00845EF3" w:rsidRPr="009D4387">
        <w:rPr>
          <w:rFonts w:ascii="Times New Roman" w:hAnsi="Times New Roman" w:cs="Times New Roman"/>
          <w:color w:val="000000" w:themeColor="text1"/>
        </w:rPr>
        <w:t xml:space="preserve"> the</w:t>
      </w:r>
      <w:r w:rsidR="004F1A50" w:rsidRPr="009D4387">
        <w:rPr>
          <w:rFonts w:ascii="Times New Roman" w:hAnsi="Times New Roman" w:cs="Times New Roman"/>
          <w:color w:val="000000" w:themeColor="text1"/>
        </w:rPr>
        <w:t xml:space="preserve"> presence and severity of </w:t>
      </w:r>
      <w:r w:rsidR="00845EF3" w:rsidRPr="009D4387">
        <w:rPr>
          <w:rFonts w:ascii="Times New Roman" w:hAnsi="Times New Roman" w:cs="Times New Roman"/>
          <w:color w:val="000000" w:themeColor="text1"/>
        </w:rPr>
        <w:t>perceived</w:t>
      </w:r>
      <w:r w:rsidR="00452F9A" w:rsidRPr="009D4387">
        <w:rPr>
          <w:rFonts w:ascii="Times New Roman" w:hAnsi="Times New Roman" w:cs="Times New Roman"/>
          <w:color w:val="000000" w:themeColor="text1"/>
        </w:rPr>
        <w:t xml:space="preserve"> artifact</w:t>
      </w:r>
      <w:r w:rsidR="00845EF3" w:rsidRPr="009D4387">
        <w:rPr>
          <w:rFonts w:ascii="Times New Roman" w:hAnsi="Times New Roman" w:cs="Times New Roman"/>
          <w:color w:val="000000" w:themeColor="text1"/>
        </w:rPr>
        <w:t>s</w:t>
      </w:r>
      <w:r w:rsidR="00452F9A" w:rsidRPr="009D4387">
        <w:rPr>
          <w:rFonts w:ascii="Times New Roman" w:hAnsi="Times New Roman" w:cs="Times New Roman"/>
          <w:color w:val="000000" w:themeColor="text1"/>
        </w:rPr>
        <w:t>.</w:t>
      </w:r>
      <w:r w:rsidR="00845EF3" w:rsidRPr="009D4387">
        <w:rPr>
          <w:rFonts w:ascii="Times New Roman" w:hAnsi="Times New Roman" w:cs="Times New Roman"/>
          <w:color w:val="000000" w:themeColor="text1"/>
        </w:rPr>
        <w:t xml:space="preserve"> </w:t>
      </w:r>
      <w:r w:rsidR="00AF3115" w:rsidRPr="009D4387">
        <w:rPr>
          <w:rFonts w:ascii="Times New Roman" w:hAnsi="Times New Roman" w:cs="Times New Roman"/>
          <w:color w:val="000000" w:themeColor="text1"/>
        </w:rPr>
        <w:t>The v</w:t>
      </w:r>
      <w:r w:rsidR="001653D4" w:rsidRPr="009D4387">
        <w:rPr>
          <w:rFonts w:ascii="Times New Roman" w:hAnsi="Times New Roman" w:cs="Times New Roman"/>
          <w:color w:val="000000" w:themeColor="text1"/>
        </w:rPr>
        <w:t>isual characteristic</w:t>
      </w:r>
      <w:r w:rsidR="00845EF3" w:rsidRPr="009D4387">
        <w:rPr>
          <w:rFonts w:ascii="Times New Roman" w:hAnsi="Times New Roman" w:cs="Times New Roman"/>
          <w:color w:val="000000" w:themeColor="text1"/>
        </w:rPr>
        <w:t>s chosen were blurriness and contrast.</w:t>
      </w:r>
      <w:r w:rsidR="00C57B35">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{"citationItems":[{"id":"ITEM-1","itemData":{"DOI":"10.1016/j.ejrad.2017.02.044","ISSN":"0720048X","PMID":"28583633","abstract":"OBJECTIVES: This study prospectively evaluates objective image quality (IQ), subjective IQ, and PI-RADS scoring of prostate MRI at 3.0T (3T) and 1.5T (1.5T) within the same patients. METHODS: Sixty-three consecutive patients (64+/-9years) were prospectively included in this non-inferiority trial, powered at 80% to demonstrate a &lt;/=10% difference in signal-to-noise (SNR) and contrast-to-noise ratio (CNR) of T2-weighted and diffusion-weighted imaging (T2WI, DWI) at 1.5T compared to 3T. Secondary endpoints were analysis of subjective IQ and PI-RADS v2 scoring. RESULTS: All patients received multi-parametric prostate MRI on a 3T (T2WI, DWI, DCE) and bi-parametric MRI (T2WI, DWI) on a 1.5T scanner using body coils, respectively. SNR and CNR of T2WI were similar at 1.5T and 3T (p=0.7-1), but of DWI significantly lower at 1.5T (p&lt;0.01). Subjective IQ was significantly better at 3T for both, T2WI and DWI (p&lt;0.01). PI-RADS scores were comparable for both field strengths (p=0.05-1). Inter-reader agreement was excellent for subjective IQ assessment and PI-RADS scoring (k=0.9-1). CONCLUSION: Prostate MRI at 1.5T can reveal comparable objective image quality in T2WI, but is inferior to 3T in DWI and subjective IQ. However, similar PI-RADS scoring and thus diagnostic performance seems feasible independent of the field strength even without an endorectal coil.","author":[{"dropping-particle":"","family":"Ullrich","given":"T","non-dropping-particle":"","parse-names":false,"suffix":""},{"dropping-particle":"","family":"Quentin","given":"M","non-dropping-particle":"","parse-names":false,"suffix":""},{"dropping-particle":"","family":"Oelers","given":"C","non-dropping-particle":"","parse-names":false,"suffix":""},{"dropping-particle":"","family":"Dietzel","given":"F","non-dropping-particle":"","parse-names":false,"suffix":""},{"dropping-particle":"","family":"Sawicki","given":"L.M.","non-dropping-particle":"","parse-names":false,"suffix":""},{"dropping-particle":"","family":"Arsov","given":"C","non-dropping-particle":"","parse-names":false,"suffix":""},{"dropping-particle":"","family":"Rabenalt","given":"R","non-dropping-particle":"","parse-names":false,"suffix":""},{"dropping-particle":"","family":"Albers","given":"P","non-dropping-particle":"","parse-names":false,"suffix":""},{"dropping-particle":"","family":"Antoch","given":"G","non-dropping-particle":"","parse-names":false,"suffix":""},{"dropping-particle":"","family":"Blondin","given":"D","non-dropping-particle":"","parse-names":false,"suffix":""},{"dropping-particle":"","family":"Wittsack","given":"H.J.","non-dropping-particle":"","parse-names":false,"suffix":""},{"dropping-particle":"","family":"Schimmöller","given":"L.","non-dropping-particle":"","parse-names":false,"suffix":""}],"container-title":"European Journal of Radiology","id":"ITEM-1","issued":{"date-parts":[["2017","5"]]},"note":"Ullrich, T Quentin, M Oelers, C Dietzel, F Sawicki, L M Arsov, C Rabenalt, R Albers, P Antoch, G Blondin, D Wittsack, H J Schimmoller, L eng Comparative Study Ireland 2017/06/07 06:00 Eur J Radiol. 2017 May;90:192-197. doi: 10.1016/j.ejrad.2017.02.044. Epub 2017 Mar 4.","page":"192-197","title":"Magnetic resonance imaging of the prostate at 1.5 versus 3.0 T: A prospective comparison study of image quality","type":"article-journal","volume":"90"},"uris":["http://www.mendeley.com/documents/?uuid=7c52bc84-663c-47a4-8d24-a078916383bb"]},{"id":"ITEM-2","itemData":{"DOI":"10.1148/radiol.2016151574","ISSN":"0033-8419","abstract":"A single-shot fast spin-echo pulse sequence with variable refocusing flip angles and full-Fourier acquisition leads to a doubling of 3-T acquisition speed via reduced radiofrequency energy deposition and demonstrates significant improvements in perceived image quality and perceived diagnostic capability when evaluating structures in the pelvis.","author":[{"dropping-particle":"","family":"Loening","given":"Andreas M.","non-dropping-particle":"","parse-names":false,"suffix":""},{"dropping-particle":"V","family":"Litwiller","given":"Daniel","non-dropping-particle":"","parse-names":false,"suffix":""},{"dropping-particle":"","family":"Saranathan","given":"Manojkumar","non-dropping-particle":"","parse-names":false,"suffix":""},{"dropping-particle":"","family":"Vasanawala","given":"Shreyas S.","non-dropping-particle":"","parse-names":false,"suffix":""}],"container-title":"Radiology","id":"ITEM-2","issue":"2","issued":{"date-parts":[["2017","2"]]},"page":"561-568","title":"Increased Speed and Image Quality for Pelvic Single-Shot Fast Spin-Echo Imaging with Variable Refocusing Flip Angles and Full-Fourier Acquisition","type":"article-journal","volume":"282"},"uris":["http://www.mendeley.com/documents/?uuid=973de336-6716-4e4c-af91-b08ebae8b3d5"]}],"mendeley":{"formattedCitation":"(13, 14)","plainTextFormattedCitation":"(13, 14)","previouslyFormattedCitation":"(13, 14)"},"properties":{"noteIndex":0},"schema":"https://github.com/citation-style-language/schema/raw/master/csl-citation.json"}</w:instrText>
      </w:r>
      <w:r w:rsidR="00C57B35">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(13, 14)</w:t>
      </w:r>
      <w:r w:rsidR="00C57B35">
        <w:rPr>
          <w:rFonts w:ascii="Times New Roman" w:hAnsi="Times New Roman" w:cs="Times New Roman"/>
          <w:color w:val="000000" w:themeColor="text1"/>
        </w:rPr>
        <w:fldChar w:fldCharType="end"/>
      </w:r>
      <w:r w:rsidR="00845EF3" w:rsidRPr="009D4387">
        <w:rPr>
          <w:rFonts w:ascii="Times New Roman" w:hAnsi="Times New Roman" w:cs="Times New Roman"/>
          <w:color w:val="000000" w:themeColor="text1"/>
        </w:rPr>
        <w:t xml:space="preserve"> The perceived artifacts chosen were noise, motion, geometric distortion, and aliasing/ghosting. </w:t>
      </w:r>
      <w:r w:rsidR="00AF3115" w:rsidRPr="009D4387">
        <w:rPr>
          <w:rFonts w:ascii="Times New Roman" w:hAnsi="Times New Roman" w:cs="Times New Roman"/>
          <w:color w:val="000000" w:themeColor="text1"/>
        </w:rPr>
        <w:t>The visual characteristics and p</w:t>
      </w:r>
      <w:r w:rsidR="00845EF3" w:rsidRPr="009D4387">
        <w:rPr>
          <w:rFonts w:ascii="Times New Roman" w:hAnsi="Times New Roman" w:cs="Times New Roman"/>
          <w:color w:val="000000" w:themeColor="text1"/>
        </w:rPr>
        <w:t xml:space="preserve">erceived artifacts were graded on a 1-5 scale with a score of 1 indicating that the specific artifact </w:t>
      </w:r>
      <w:r w:rsidR="006C540E">
        <w:rPr>
          <w:rFonts w:ascii="Times New Roman" w:hAnsi="Times New Roman" w:cs="Times New Roman"/>
          <w:color w:val="000000" w:themeColor="text1"/>
        </w:rPr>
        <w:t>was</w:t>
      </w:r>
      <w:r w:rsidR="00845EF3" w:rsidRPr="009D4387">
        <w:rPr>
          <w:rFonts w:ascii="Times New Roman" w:hAnsi="Times New Roman" w:cs="Times New Roman"/>
          <w:color w:val="000000" w:themeColor="text1"/>
        </w:rPr>
        <w:t xml:space="preserve"> so severe </w:t>
      </w:r>
      <w:r w:rsidR="00C025E8">
        <w:rPr>
          <w:rFonts w:ascii="Times New Roman" w:hAnsi="Times New Roman" w:cs="Times New Roman"/>
          <w:color w:val="000000" w:themeColor="text1"/>
        </w:rPr>
        <w:t xml:space="preserve">that </w:t>
      </w:r>
      <w:r w:rsidR="00845EF3" w:rsidRPr="009D4387">
        <w:rPr>
          <w:rFonts w:ascii="Times New Roman" w:hAnsi="Times New Roman" w:cs="Times New Roman"/>
          <w:color w:val="000000" w:themeColor="text1"/>
        </w:rPr>
        <w:t xml:space="preserve">the image </w:t>
      </w:r>
      <w:r w:rsidR="006C540E">
        <w:rPr>
          <w:rFonts w:ascii="Times New Roman" w:hAnsi="Times New Roman" w:cs="Times New Roman"/>
          <w:color w:val="000000" w:themeColor="text1"/>
        </w:rPr>
        <w:t>was</w:t>
      </w:r>
      <w:r w:rsidR="00845EF3" w:rsidRPr="009D4387">
        <w:rPr>
          <w:rFonts w:ascii="Times New Roman" w:hAnsi="Times New Roman" w:cs="Times New Roman"/>
          <w:color w:val="000000" w:themeColor="text1"/>
        </w:rPr>
        <w:t xml:space="preserve"> impossible to interpret and 5 indicating the absence of the artifact.</w:t>
      </w:r>
      <w:r w:rsidR="00D15BCE" w:rsidRPr="009D4387">
        <w:rPr>
          <w:rFonts w:ascii="Times New Roman" w:hAnsi="Times New Roman" w:cs="Times New Roman"/>
          <w:color w:val="000000" w:themeColor="text1"/>
        </w:rPr>
        <w:t xml:space="preserve"> Readers </w:t>
      </w:r>
      <w:r w:rsidR="00692013" w:rsidRPr="009D4387">
        <w:rPr>
          <w:rFonts w:ascii="Times New Roman" w:hAnsi="Times New Roman" w:cs="Times New Roman"/>
          <w:color w:val="000000" w:themeColor="text1"/>
        </w:rPr>
        <w:t xml:space="preserve">were not </w:t>
      </w:r>
      <w:r w:rsidR="00AF3115" w:rsidRPr="009D4387">
        <w:rPr>
          <w:rFonts w:ascii="Times New Roman" w:hAnsi="Times New Roman" w:cs="Times New Roman"/>
          <w:color w:val="000000" w:themeColor="text1"/>
        </w:rPr>
        <w:t xml:space="preserve">told whether an image was compliant with </w:t>
      </w:r>
      <w:r w:rsidR="00AF3115" w:rsidRPr="009D4387">
        <w:rPr>
          <w:rFonts w:ascii="Times New Roman" w:hAnsi="Times New Roman" w:cs="Times New Roman"/>
          <w:color w:val="000000" w:themeColor="text1"/>
        </w:rPr>
        <w:lastRenderedPageBreak/>
        <w:t>the PI</w:t>
      </w:r>
      <w:r w:rsidR="00A064E1">
        <w:rPr>
          <w:rFonts w:ascii="Times New Roman" w:hAnsi="Times New Roman" w:cs="Times New Roman"/>
          <w:color w:val="000000" w:themeColor="text1"/>
        </w:rPr>
        <w:t>-</w:t>
      </w:r>
      <w:r w:rsidR="00AF3115"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00AF3115" w:rsidRPr="009D4387">
        <w:rPr>
          <w:rFonts w:ascii="Times New Roman" w:hAnsi="Times New Roman" w:cs="Times New Roman"/>
          <w:color w:val="000000" w:themeColor="text1"/>
        </w:rPr>
        <w:t>. However, readers were aware of</w:t>
      </w:r>
      <w:r w:rsidR="00D15BCE" w:rsidRPr="009D4387">
        <w:rPr>
          <w:rFonts w:ascii="Times New Roman" w:hAnsi="Times New Roman" w:cs="Times New Roman"/>
          <w:color w:val="000000" w:themeColor="text1"/>
        </w:rPr>
        <w:t xml:space="preserve"> the number of </w:t>
      </w:r>
      <w:r w:rsidR="00894F11">
        <w:rPr>
          <w:rFonts w:ascii="Times New Roman" w:hAnsi="Times New Roman" w:cs="Times New Roman"/>
          <w:color w:val="000000" w:themeColor="text1"/>
        </w:rPr>
        <w:t>b</w:t>
      </w:r>
      <w:r w:rsidR="00D15BCE" w:rsidRPr="009D4387">
        <w:rPr>
          <w:rFonts w:ascii="Times New Roman" w:hAnsi="Times New Roman" w:cs="Times New Roman"/>
          <w:color w:val="000000" w:themeColor="text1"/>
        </w:rPr>
        <w:t xml:space="preserve">-values obtained and </w:t>
      </w:r>
      <w:r w:rsidR="00692013" w:rsidRPr="009D4387">
        <w:rPr>
          <w:rFonts w:ascii="Times New Roman" w:hAnsi="Times New Roman" w:cs="Times New Roman"/>
          <w:color w:val="000000" w:themeColor="text1"/>
        </w:rPr>
        <w:t xml:space="preserve">the </w:t>
      </w:r>
      <w:r w:rsidR="00894F11">
        <w:rPr>
          <w:rFonts w:ascii="Times New Roman" w:hAnsi="Times New Roman" w:cs="Times New Roman"/>
          <w:color w:val="000000" w:themeColor="text1"/>
        </w:rPr>
        <w:t>b</w:t>
      </w:r>
      <w:r w:rsidR="00D15BCE" w:rsidRPr="009D4387">
        <w:rPr>
          <w:rFonts w:ascii="Times New Roman" w:hAnsi="Times New Roman" w:cs="Times New Roman"/>
          <w:color w:val="000000" w:themeColor="text1"/>
        </w:rPr>
        <w:t>-value of the high</w:t>
      </w:r>
      <w:r w:rsidR="00AF3115" w:rsidRPr="009D4387">
        <w:rPr>
          <w:rFonts w:ascii="Times New Roman" w:hAnsi="Times New Roman" w:cs="Times New Roman"/>
          <w:color w:val="000000" w:themeColor="text1"/>
        </w:rPr>
        <w:t>est</w:t>
      </w:r>
      <w:r w:rsidR="00D15BCE" w:rsidRPr="009D4387">
        <w:rPr>
          <w:rFonts w:ascii="Times New Roman" w:hAnsi="Times New Roman" w:cs="Times New Roman"/>
          <w:color w:val="000000" w:themeColor="text1"/>
        </w:rPr>
        <w:t xml:space="preserve"> </w:t>
      </w:r>
      <w:r w:rsidR="00894F11">
        <w:rPr>
          <w:rFonts w:ascii="Times New Roman" w:hAnsi="Times New Roman" w:cs="Times New Roman"/>
          <w:color w:val="000000" w:themeColor="text1"/>
        </w:rPr>
        <w:t>b</w:t>
      </w:r>
      <w:r w:rsidR="00D15BCE" w:rsidRPr="009D4387">
        <w:rPr>
          <w:rFonts w:ascii="Times New Roman" w:hAnsi="Times New Roman" w:cs="Times New Roman"/>
          <w:color w:val="000000" w:themeColor="text1"/>
        </w:rPr>
        <w:t>-value image.</w:t>
      </w:r>
    </w:p>
    <w:p w14:paraId="0ACE4921" w14:textId="77777777" w:rsidR="000D0540" w:rsidRPr="009D4387" w:rsidRDefault="000D0540" w:rsidP="00F17733">
      <w:pPr>
        <w:spacing w:after="0"/>
        <w:ind w:firstLine="720"/>
        <w:jc w:val="both"/>
        <w:rPr>
          <w:rFonts w:ascii="Times New Roman" w:hAnsi="Times New Roman" w:cs="Times New Roman"/>
          <w:color w:val="000000" w:themeColor="text1"/>
        </w:rPr>
      </w:pPr>
    </w:p>
    <w:p w14:paraId="7B1A3B86" w14:textId="77777777" w:rsidR="00263A65" w:rsidRPr="009D4387" w:rsidRDefault="00917D1A" w:rsidP="00F17733">
      <w:pPr>
        <w:spacing w:after="0"/>
        <w:rPr>
          <w:rFonts w:ascii="Times New Roman" w:hAnsi="Times New Roman" w:cs="Times New Roman"/>
          <w:b/>
          <w:color w:val="000000" w:themeColor="text1"/>
        </w:rPr>
      </w:pPr>
      <w:r w:rsidRPr="009D4387">
        <w:rPr>
          <w:rFonts w:ascii="Times New Roman" w:hAnsi="Times New Roman" w:cs="Times New Roman"/>
          <w:b/>
          <w:color w:val="000000" w:themeColor="text1"/>
        </w:rPr>
        <w:t>Statistic</w:t>
      </w:r>
      <w:r w:rsidR="00D538B0">
        <w:rPr>
          <w:rFonts w:ascii="Times New Roman" w:hAnsi="Times New Roman" w:cs="Times New Roman"/>
          <w:b/>
          <w:color w:val="000000" w:themeColor="text1"/>
        </w:rPr>
        <w:t>al Analysis</w:t>
      </w:r>
    </w:p>
    <w:p w14:paraId="68E50BC3" w14:textId="0B2D9DFE" w:rsidR="001F084B" w:rsidRDefault="00E94C68"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 xml:space="preserve">Association between </w:t>
      </w:r>
      <w:r w:rsidR="00CB4873" w:rsidRPr="009D4387">
        <w:rPr>
          <w:rFonts w:ascii="Times New Roman" w:hAnsi="Times New Roman" w:cs="Times New Roman"/>
          <w:color w:val="000000" w:themeColor="text1"/>
        </w:rPr>
        <w:t>PI</w:t>
      </w:r>
      <w:r w:rsidR="00A064E1">
        <w:rPr>
          <w:rFonts w:ascii="Times New Roman" w:hAnsi="Times New Roman" w:cs="Times New Roman"/>
          <w:color w:val="000000" w:themeColor="text1"/>
        </w:rPr>
        <w:t>-</w:t>
      </w:r>
      <w:r w:rsidR="00CB4873" w:rsidRPr="009D4387">
        <w:rPr>
          <w:rFonts w:ascii="Times New Roman" w:hAnsi="Times New Roman" w:cs="Times New Roman"/>
          <w:color w:val="000000" w:themeColor="text1"/>
        </w:rPr>
        <w:t>RADS</w:t>
      </w:r>
      <w:r w:rsidR="007B3DDE">
        <w:rPr>
          <w:rFonts w:ascii="Times New Roman" w:hAnsi="Times New Roman" w:cs="Times New Roman"/>
          <w:color w:val="000000" w:themeColor="text1"/>
        </w:rPr>
        <w:t>v</w:t>
      </w:r>
      <w:r w:rsidR="00CB4873" w:rsidRPr="009D4387">
        <w:rPr>
          <w:rFonts w:ascii="Times New Roman" w:hAnsi="Times New Roman" w:cs="Times New Roman"/>
          <w:color w:val="000000" w:themeColor="text1"/>
        </w:rPr>
        <w:t>2</w:t>
      </w:r>
      <w:r w:rsidR="003C4DBB">
        <w:rPr>
          <w:rFonts w:ascii="Times New Roman" w:hAnsi="Times New Roman" w:cs="Times New Roman"/>
          <w:color w:val="000000" w:themeColor="text1"/>
        </w:rPr>
        <w:t xml:space="preserve"> </w:t>
      </w:r>
      <w:r w:rsidR="001A387A">
        <w:rPr>
          <w:rFonts w:ascii="Times New Roman" w:hAnsi="Times New Roman" w:cs="Times New Roman"/>
          <w:color w:val="000000" w:themeColor="text1"/>
        </w:rPr>
        <w:t>adherence</w:t>
      </w:r>
      <w:r w:rsidRPr="009D4387">
        <w:rPr>
          <w:rFonts w:ascii="Times New Roman" w:hAnsi="Times New Roman" w:cs="Times New Roman"/>
          <w:color w:val="000000" w:themeColor="text1"/>
        </w:rPr>
        <w:t>, image adequacy</w:t>
      </w:r>
      <w:r w:rsidR="005C5756">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and image quality were assessed by Kendall's tau-b rank correlation, Wilcoxon rank sum test</w:t>
      </w:r>
      <w:r w:rsidR="005C5756">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or chi-square test accounting for inter-reader correlation arising from multiple</w:t>
      </w:r>
      <w:r w:rsidR="00E60AF1"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readers reviewing the same cases</w:t>
      </w:r>
      <w:bookmarkStart w:id="1" w:name="OLE_LINK1"/>
      <w:r w:rsidR="003A603E">
        <w:rPr>
          <w:rFonts w:ascii="Times New Roman" w:hAnsi="Times New Roman" w:cs="Times New Roman"/>
          <w:color w:val="000000" w:themeColor="text1"/>
        </w:rPr>
        <w:t>.</w:t>
      </w:r>
      <w:r w:rsidR="00AC50A0" w:rsidRPr="00655534">
        <w:rPr>
          <w:rFonts w:ascii="Times New Roman" w:hAnsi="Times New Roman" w:cs="Times New Roman"/>
          <w:color w:val="000000" w:themeColor="text1"/>
          <w:highlight w:val="yellow"/>
        </w:rPr>
        <w:fldChar w:fldCharType="begin" w:fldLock="1"/>
      </w:r>
      <w:r w:rsidR="004C66F8">
        <w:rPr>
          <w:rFonts w:ascii="Times New Roman" w:hAnsi="Times New Roman" w:cs="Times New Roman"/>
          <w:color w:val="000000" w:themeColor="text1"/>
          <w:highlight w:val="yellow"/>
        </w:rPr>
        <w:instrText>ADDIN CSL_CITATION {"citationItems":[{"id":"ITEM-1","itemData":{"DOI":"10.1111/j.0006-341X.2003.00125.x","ISSN":"0006-341X","abstract":"The Wilcoxon rank sum test is frequently used in statistical practice for the comparison of measures of location when the underlying distributions are far from normal or not known in advance. An assumption of the ordinary rank sum test is that individual sampling units are independent. In many ophthalmologic clinical trials, the Early Treatment for Diabetic Retinopathy Scale (ETDRS) is a principal endpoint used for measuring the level of diabetic retinopathy. This is an ordinal scale, and it is natural to consider the Wilcoxon rank sum test for the comparison of the level of diabetic retinopathy between treatment groups. However, under this design, unlike the usual Wilcoxon rank sum test, the subject is the unit of randomization, but the eye is the unit of analysis. Furthermore, a person will tend to have different, but correlated, ETDRS scores for fellow eyes. Thus, we propose a correction to the variance of the Wilcoxon rank sum statistic that accounts for clustering effects and that can be used for both balanced (same number of subunits per cluster) or unbalanced (different number of subunits per cluster) data, both in the presence or absence of ties, with p-value adjusted accordingly. In this article, we present large-sample theory and simulation results for this test procedure and apply it to diabetic retinopathy data from type I diabetics in the Sorbinil Retinopathy Trial.","author":[{"dropping-particle":"","family":"Rosner","given":"Bernard","non-dropping-particle":"","parse-names":false,"suffix":""},{"dropping-particle":"","family":"Glynn","given":"Robert J.","non-dropping-particle":"","parse-names":false,"suffix":""},{"dropping-particle":"","family":"Ting Lee","given":"Mei‐Ling","non-dropping-particle":"","parse-names":false,"suffix":""}],"container-title":"Biometrics","id":"ITEM-1","issue":"4","issued":{"date-parts":[["2003","12","11"]]},"page":"1089-1098","title":"Incorporation of Clustering Effects for the Wilcoxon Rank Sum Test: A Large‐Sample Approach","type":"article-journal","volume":"59"},"uris":["http://www.mendeley.com/documents/?uuid=5245c88a-d97e-4108-95be-5b16dfc92275"]},{"id":"ITEM-2","itemData":{"DOI":"10.1111/biom.12653","ISSN":"0006341X","abstract":"Published 2017. This article is a U.S. Government work and is in the public domain in the USA Pearson's chi-square test has been widely used in testing for association between two categorical responses. Spearman rank correlation and Kendall's tau are often used for measuring and testing association between two continuous or ordered categorical responses. However, the established statistical properties of these tests are only valid when each pair of responses are independent, where each sampling unit has only one pair of responses. When each sampling unit consists of a cluster of paired responses, the assumption of independent pairs is violated. In this article, we apply the within-cluster resampling technique to U-statistics to form new tests and rank-based correlation estimators for possibly tied clustered data. We develop large sample properties of the new proposed tests and estimators and evaluate their performance by simulations. The proposed methods are applied to a data set collected from a PET/CT imaging study for illustration.","author":[{"dropping-particle":"","family":"Shih","given":"Joanna H.","non-dropping-particle":"","parse-names":false,"suffix":""},{"dropping-particle":"","family":"Fay","given":"Michael P.","non-dropping-particle":"","parse-names":false,"suffix":""}],"container-title":"Biometrics","id":"ITEM-2","issue":"3","issued":{"date-parts":[["2017","9"]]},"page":"822-834","title":"Pearson's chi-square test and rank correlation inferences for clustered data","type":"article-journal","volume":"73"},"uris":["http://www.mendeley.com/documents/?uuid=e3a99f03-29a8-4ce9-ba3b-e63102fbf404"]}],"mendeley":{"formattedCitation":"(15, 16)","plainTextFormattedCitation":"(15, 16)","previouslyFormattedCitation":"(15, 16)"},"properties":{"noteIndex":0},"schema":"https://github.com/citation-style-language/schema/raw/master/csl-citation.json"}</w:instrText>
      </w:r>
      <w:r w:rsidR="00AC50A0" w:rsidRPr="00655534">
        <w:rPr>
          <w:rFonts w:ascii="Times New Roman" w:hAnsi="Times New Roman" w:cs="Times New Roman"/>
          <w:color w:val="000000" w:themeColor="text1"/>
          <w:highlight w:val="yellow"/>
        </w:rPr>
        <w:fldChar w:fldCharType="separate"/>
      </w:r>
      <w:r w:rsidR="004C66F8" w:rsidRPr="004C66F8">
        <w:rPr>
          <w:rFonts w:ascii="Times New Roman" w:hAnsi="Times New Roman" w:cs="Times New Roman"/>
          <w:noProof/>
          <w:color w:val="000000" w:themeColor="text1"/>
        </w:rPr>
        <w:t>(15, 16)</w:t>
      </w:r>
      <w:r w:rsidR="00AC50A0" w:rsidRPr="00655534">
        <w:rPr>
          <w:rFonts w:ascii="Times New Roman" w:hAnsi="Times New Roman" w:cs="Times New Roman"/>
          <w:color w:val="000000" w:themeColor="text1"/>
          <w:highlight w:val="yellow"/>
        </w:rPr>
        <w:fldChar w:fldCharType="end"/>
      </w:r>
      <w:bookmarkEnd w:id="1"/>
      <w:r w:rsidR="00E60AF1"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Reader agreement on image quality was determined by Fleiss' kappa. Standard errors and 95% confidence intervals of kappa statistics were estimated from 2000 bootstrap samples by random sampling on the case level. P-values &lt;0.05 were considered statistically significant.</w:t>
      </w:r>
      <w:r w:rsidR="00FC0B91" w:rsidRPr="009D4387">
        <w:rPr>
          <w:rFonts w:ascii="Times New Roman" w:hAnsi="Times New Roman" w:cs="Times New Roman"/>
          <w:color w:val="000000" w:themeColor="text1"/>
        </w:rPr>
        <w:t xml:space="preserve"> </w:t>
      </w:r>
      <w:r w:rsidR="00393D71" w:rsidRPr="009D4387" w:rsidDel="00393D71">
        <w:rPr>
          <w:rFonts w:ascii="Times New Roman" w:hAnsi="Times New Roman" w:cs="Times New Roman"/>
          <w:color w:val="000000" w:themeColor="text1"/>
        </w:rPr>
        <w:t xml:space="preserve"> </w:t>
      </w:r>
    </w:p>
    <w:p w14:paraId="2AE33D09" w14:textId="77777777" w:rsidR="000D0540" w:rsidRPr="009D4387" w:rsidRDefault="000D0540" w:rsidP="00F17733">
      <w:pPr>
        <w:spacing w:after="0"/>
        <w:ind w:firstLine="720"/>
        <w:jc w:val="both"/>
        <w:rPr>
          <w:rFonts w:ascii="Times New Roman" w:hAnsi="Times New Roman" w:cs="Times New Roman"/>
          <w:color w:val="000000" w:themeColor="text1"/>
        </w:rPr>
      </w:pPr>
    </w:p>
    <w:p w14:paraId="36011B58" w14:textId="77777777" w:rsidR="006A2623" w:rsidRPr="005E03D9" w:rsidRDefault="007A1C9A" w:rsidP="00F17733">
      <w:pPr>
        <w:spacing w:after="0"/>
        <w:jc w:val="both"/>
        <w:rPr>
          <w:rFonts w:ascii="Times New Roman" w:hAnsi="Times New Roman" w:cs="Times New Roman"/>
          <w:b/>
          <w:color w:val="000000" w:themeColor="text1"/>
          <w:sz w:val="32"/>
        </w:rPr>
      </w:pPr>
      <w:r w:rsidRPr="005E03D9">
        <w:rPr>
          <w:rFonts w:ascii="Times New Roman" w:hAnsi="Times New Roman" w:cs="Times New Roman"/>
          <w:b/>
          <w:color w:val="000000" w:themeColor="text1"/>
          <w:sz w:val="32"/>
        </w:rPr>
        <w:t>Results</w:t>
      </w:r>
    </w:p>
    <w:p w14:paraId="6382E133" w14:textId="77777777" w:rsidR="00AB5AF4" w:rsidRPr="009D4387" w:rsidRDefault="005D292F" w:rsidP="00F17733">
      <w:pPr>
        <w:spacing w:after="0"/>
        <w:jc w:val="both"/>
        <w:rPr>
          <w:rFonts w:ascii="Times New Roman" w:hAnsi="Times New Roman" w:cs="Times New Roman"/>
          <w:color w:val="000000" w:themeColor="text1"/>
        </w:rPr>
      </w:pPr>
      <w:r w:rsidRPr="009D4387">
        <w:rPr>
          <w:rFonts w:ascii="Times New Roman" w:hAnsi="Times New Roman" w:cs="Times New Roman"/>
          <w:b/>
          <w:color w:val="000000" w:themeColor="text1"/>
        </w:rPr>
        <w:t>Adequacy and Quality of prostate mpMRI</w:t>
      </w:r>
    </w:p>
    <w:p w14:paraId="2F064063" w14:textId="6AA93AB0" w:rsidR="00033C66" w:rsidRDefault="00E61CAC"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 xml:space="preserve">Of the 62 </w:t>
      </w:r>
      <w:r w:rsidR="00E30118">
        <w:rPr>
          <w:rFonts w:ascii="Times New Roman" w:hAnsi="Times New Roman" w:cs="Times New Roman"/>
          <w:color w:val="000000" w:themeColor="text1"/>
        </w:rPr>
        <w:t>studies</w:t>
      </w:r>
      <w:r w:rsidR="005C5756">
        <w:rPr>
          <w:rFonts w:ascii="Times New Roman" w:hAnsi="Times New Roman" w:cs="Times New Roman"/>
          <w:color w:val="000000" w:themeColor="text1"/>
        </w:rPr>
        <w:t>,</w:t>
      </w:r>
      <w:r w:rsidR="0048197E" w:rsidRPr="009D4387">
        <w:rPr>
          <w:rFonts w:ascii="Times New Roman" w:hAnsi="Times New Roman" w:cs="Times New Roman"/>
          <w:color w:val="000000" w:themeColor="text1"/>
        </w:rPr>
        <w:t xml:space="preserve"> 52</w:t>
      </w:r>
      <w:r w:rsidR="00E80DA5" w:rsidRPr="009D4387">
        <w:rPr>
          <w:rFonts w:ascii="Times New Roman" w:hAnsi="Times New Roman" w:cs="Times New Roman"/>
          <w:color w:val="000000" w:themeColor="text1"/>
        </w:rPr>
        <w:t xml:space="preserve"> (</w:t>
      </w:r>
      <w:r w:rsidR="00C1702F" w:rsidRPr="009D4387">
        <w:rPr>
          <w:rFonts w:ascii="Times New Roman" w:hAnsi="Times New Roman" w:cs="Times New Roman"/>
          <w:color w:val="000000" w:themeColor="text1"/>
        </w:rPr>
        <w:t>8</w:t>
      </w:r>
      <w:r w:rsidR="00C1702F">
        <w:rPr>
          <w:rFonts w:ascii="Times New Roman" w:hAnsi="Times New Roman" w:cs="Times New Roman"/>
          <w:color w:val="000000" w:themeColor="text1"/>
        </w:rPr>
        <w:t>4</w:t>
      </w:r>
      <w:r w:rsidR="00E80DA5" w:rsidRPr="009D4387">
        <w:rPr>
          <w:rFonts w:ascii="Times New Roman" w:hAnsi="Times New Roman" w:cs="Times New Roman"/>
          <w:color w:val="000000" w:themeColor="text1"/>
        </w:rPr>
        <w:t>%)</w:t>
      </w:r>
      <w:r w:rsidR="0048197E" w:rsidRPr="009D4387">
        <w:rPr>
          <w:rFonts w:ascii="Times New Roman" w:hAnsi="Times New Roman" w:cs="Times New Roman"/>
          <w:color w:val="000000" w:themeColor="text1"/>
        </w:rPr>
        <w:t xml:space="preserve"> T2</w:t>
      </w:r>
      <w:r w:rsidR="00FB091D">
        <w:rPr>
          <w:rFonts w:ascii="Times New Roman" w:hAnsi="Times New Roman" w:cs="Times New Roman"/>
          <w:color w:val="000000" w:themeColor="text1"/>
        </w:rPr>
        <w:t>W</w:t>
      </w:r>
      <w:r w:rsidR="0048197E" w:rsidRPr="009D4387">
        <w:rPr>
          <w:rFonts w:ascii="Times New Roman" w:hAnsi="Times New Roman" w:cs="Times New Roman"/>
          <w:color w:val="000000" w:themeColor="text1"/>
        </w:rPr>
        <w:t xml:space="preserve"> and 38</w:t>
      </w:r>
      <w:r w:rsidR="00E80DA5" w:rsidRPr="009D4387">
        <w:rPr>
          <w:rFonts w:ascii="Times New Roman" w:hAnsi="Times New Roman" w:cs="Times New Roman"/>
          <w:color w:val="000000" w:themeColor="text1"/>
        </w:rPr>
        <w:t xml:space="preserve"> (61%)</w:t>
      </w:r>
      <w:r w:rsidR="0048197E" w:rsidRPr="009D4387">
        <w:rPr>
          <w:rFonts w:ascii="Times New Roman" w:hAnsi="Times New Roman" w:cs="Times New Roman"/>
          <w:color w:val="000000" w:themeColor="text1"/>
        </w:rPr>
        <w:t xml:space="preserve"> DW</w:t>
      </w:r>
      <w:r w:rsidR="00E30118">
        <w:rPr>
          <w:rFonts w:ascii="Times New Roman" w:hAnsi="Times New Roman" w:cs="Times New Roman"/>
          <w:color w:val="000000" w:themeColor="text1"/>
        </w:rPr>
        <w:t xml:space="preserve">I </w:t>
      </w:r>
      <w:r w:rsidR="0048197E" w:rsidRPr="009D4387">
        <w:rPr>
          <w:rFonts w:ascii="Times New Roman" w:hAnsi="Times New Roman" w:cs="Times New Roman"/>
          <w:color w:val="000000" w:themeColor="text1"/>
        </w:rPr>
        <w:t xml:space="preserve">were rated to be </w:t>
      </w:r>
      <w:r w:rsidR="001F084B">
        <w:rPr>
          <w:rFonts w:ascii="Times New Roman" w:hAnsi="Times New Roman" w:cs="Times New Roman"/>
          <w:color w:val="000000" w:themeColor="text1"/>
        </w:rPr>
        <w:t xml:space="preserve">diagnostically </w:t>
      </w:r>
      <w:r w:rsidR="0048197E" w:rsidRPr="009D4387">
        <w:rPr>
          <w:rFonts w:ascii="Times New Roman" w:hAnsi="Times New Roman" w:cs="Times New Roman"/>
          <w:color w:val="000000" w:themeColor="text1"/>
        </w:rPr>
        <w:t>adequate</w:t>
      </w:r>
      <w:r w:rsidR="005135A6">
        <w:rPr>
          <w:rFonts w:ascii="Times New Roman" w:hAnsi="Times New Roman" w:cs="Times New Roman"/>
          <w:color w:val="000000" w:themeColor="text1"/>
        </w:rPr>
        <w:t xml:space="preserve">. </w:t>
      </w:r>
      <w:r>
        <w:rPr>
          <w:rFonts w:ascii="Times New Roman" w:hAnsi="Times New Roman" w:cs="Times New Roman"/>
          <w:color w:val="000000" w:themeColor="text1"/>
        </w:rPr>
        <w:t>However, for only</w:t>
      </w:r>
      <w:r w:rsidR="005135A6">
        <w:rPr>
          <w:rFonts w:ascii="Times New Roman" w:hAnsi="Times New Roman" w:cs="Times New Roman"/>
          <w:color w:val="000000" w:themeColor="text1"/>
        </w:rPr>
        <w:t xml:space="preserve"> 35</w:t>
      </w:r>
      <w:r w:rsidR="001944C7">
        <w:rPr>
          <w:rFonts w:ascii="Times New Roman" w:hAnsi="Times New Roman" w:cs="Times New Roman"/>
          <w:color w:val="000000" w:themeColor="text1"/>
        </w:rPr>
        <w:t xml:space="preserve"> </w:t>
      </w:r>
      <w:r w:rsidR="005135A6">
        <w:rPr>
          <w:rFonts w:ascii="Times New Roman" w:hAnsi="Times New Roman" w:cs="Times New Roman"/>
          <w:color w:val="000000" w:themeColor="text1"/>
        </w:rPr>
        <w:t>(56%)</w:t>
      </w:r>
      <w:r w:rsidR="001F084B">
        <w:rPr>
          <w:rFonts w:ascii="Times New Roman" w:hAnsi="Times New Roman" w:cs="Times New Roman"/>
          <w:color w:val="000000" w:themeColor="text1"/>
        </w:rPr>
        <w:t xml:space="preserve"> of the studies</w:t>
      </w:r>
      <w:r w:rsidR="005C5756">
        <w:rPr>
          <w:rFonts w:ascii="Times New Roman" w:hAnsi="Times New Roman" w:cs="Times New Roman"/>
          <w:color w:val="000000" w:themeColor="text1"/>
        </w:rPr>
        <w:t>,</w:t>
      </w:r>
      <w:r w:rsidR="005135A6">
        <w:rPr>
          <w:rFonts w:ascii="Times New Roman" w:hAnsi="Times New Roman" w:cs="Times New Roman"/>
          <w:color w:val="000000" w:themeColor="text1"/>
        </w:rPr>
        <w:t xml:space="preserve"> </w:t>
      </w:r>
      <w:r w:rsidR="005135A6" w:rsidRPr="00393D71">
        <w:rPr>
          <w:rFonts w:ascii="Times New Roman" w:hAnsi="Times New Roman"/>
          <w:color w:val="000000" w:themeColor="text1"/>
        </w:rPr>
        <w:t>both</w:t>
      </w:r>
      <w:r w:rsidR="005135A6">
        <w:rPr>
          <w:rFonts w:ascii="Times New Roman" w:hAnsi="Times New Roman" w:cs="Times New Roman"/>
          <w:color w:val="000000" w:themeColor="text1"/>
        </w:rPr>
        <w:t xml:space="preserve"> sequences were rated</w:t>
      </w:r>
      <w:r w:rsidR="00C41842">
        <w:rPr>
          <w:rFonts w:ascii="Times New Roman" w:hAnsi="Times New Roman" w:cs="Times New Roman"/>
          <w:color w:val="000000" w:themeColor="text1"/>
        </w:rPr>
        <w:t xml:space="preserve"> as</w:t>
      </w:r>
      <w:r w:rsidR="005135A6">
        <w:rPr>
          <w:rFonts w:ascii="Times New Roman" w:hAnsi="Times New Roman" w:cs="Times New Roman"/>
          <w:color w:val="000000" w:themeColor="text1"/>
        </w:rPr>
        <w:t xml:space="preserve"> adequate by a majority</w:t>
      </w:r>
      <w:r w:rsidR="0048197E" w:rsidRPr="009D4387">
        <w:rPr>
          <w:rFonts w:ascii="Times New Roman" w:hAnsi="Times New Roman" w:cs="Times New Roman"/>
          <w:color w:val="000000" w:themeColor="text1"/>
        </w:rPr>
        <w:t>. For T2</w:t>
      </w:r>
      <w:r w:rsidR="00110554">
        <w:rPr>
          <w:rFonts w:ascii="Times New Roman" w:hAnsi="Times New Roman" w:cs="Times New Roman"/>
          <w:color w:val="000000" w:themeColor="text1"/>
        </w:rPr>
        <w:t>W</w:t>
      </w:r>
      <w:r w:rsidR="005C5756">
        <w:rPr>
          <w:rFonts w:ascii="Times New Roman" w:hAnsi="Times New Roman" w:cs="Times New Roman"/>
          <w:color w:val="000000" w:themeColor="text1"/>
        </w:rPr>
        <w:t>,</w:t>
      </w:r>
      <w:r w:rsidR="003302D7">
        <w:rPr>
          <w:rFonts w:ascii="Times New Roman" w:hAnsi="Times New Roman" w:cs="Times New Roman"/>
          <w:color w:val="000000" w:themeColor="text1"/>
        </w:rPr>
        <w:t xml:space="preserve"> only</w:t>
      </w:r>
      <w:r w:rsidR="0048197E" w:rsidRPr="009D4387">
        <w:rPr>
          <w:rFonts w:ascii="Times New Roman" w:hAnsi="Times New Roman" w:cs="Times New Roman"/>
          <w:color w:val="000000" w:themeColor="text1"/>
        </w:rPr>
        <w:t xml:space="preserve"> 10</w:t>
      </w:r>
      <w:r w:rsidR="005D2DBD" w:rsidRPr="009D4387">
        <w:rPr>
          <w:rFonts w:ascii="Times New Roman" w:hAnsi="Times New Roman" w:cs="Times New Roman"/>
          <w:color w:val="000000" w:themeColor="text1"/>
        </w:rPr>
        <w:t xml:space="preserve"> (16%)</w:t>
      </w:r>
      <w:r w:rsidR="0048197E" w:rsidRPr="009D4387">
        <w:rPr>
          <w:rFonts w:ascii="Times New Roman" w:hAnsi="Times New Roman" w:cs="Times New Roman"/>
          <w:color w:val="000000" w:themeColor="text1"/>
        </w:rPr>
        <w:t xml:space="preserve"> </w:t>
      </w:r>
      <w:r w:rsidR="00BE0DE8" w:rsidRPr="009D4387">
        <w:rPr>
          <w:rFonts w:ascii="Times New Roman" w:hAnsi="Times New Roman" w:cs="Times New Roman"/>
          <w:color w:val="000000" w:themeColor="text1"/>
        </w:rPr>
        <w:t xml:space="preserve">were </w:t>
      </w:r>
      <w:r w:rsidR="0048197E" w:rsidRPr="009D4387">
        <w:rPr>
          <w:rFonts w:ascii="Times New Roman" w:hAnsi="Times New Roman" w:cs="Times New Roman"/>
          <w:color w:val="000000" w:themeColor="text1"/>
        </w:rPr>
        <w:t xml:space="preserve">scored as high quality (score &gt;3) by </w:t>
      </w:r>
      <w:r w:rsidR="003302D7">
        <w:rPr>
          <w:rFonts w:ascii="Times New Roman" w:hAnsi="Times New Roman" w:cs="Times New Roman"/>
          <w:color w:val="000000" w:themeColor="text1"/>
        </w:rPr>
        <w:t xml:space="preserve">a </w:t>
      </w:r>
      <w:r w:rsidR="0048197E" w:rsidRPr="009D4387">
        <w:rPr>
          <w:rFonts w:ascii="Times New Roman" w:hAnsi="Times New Roman" w:cs="Times New Roman"/>
          <w:color w:val="000000" w:themeColor="text1"/>
        </w:rPr>
        <w:t>majority of readers</w:t>
      </w:r>
      <w:r w:rsidR="005E6C0F">
        <w:rPr>
          <w:rFonts w:ascii="Times New Roman" w:hAnsi="Times New Roman" w:cs="Times New Roman"/>
          <w:color w:val="000000" w:themeColor="text1"/>
        </w:rPr>
        <w:t>.</w:t>
      </w:r>
      <w:r w:rsidR="0048197E" w:rsidRPr="009D4387">
        <w:rPr>
          <w:rFonts w:ascii="Times New Roman" w:hAnsi="Times New Roman" w:cs="Times New Roman"/>
          <w:color w:val="000000" w:themeColor="text1"/>
        </w:rPr>
        <w:t xml:space="preserve"> For DWI</w:t>
      </w:r>
      <w:r w:rsidR="005C5756">
        <w:rPr>
          <w:rFonts w:ascii="Times New Roman" w:hAnsi="Times New Roman" w:cs="Times New Roman"/>
          <w:color w:val="000000" w:themeColor="text1"/>
        </w:rPr>
        <w:t>,</w:t>
      </w:r>
      <w:r w:rsidR="0048197E" w:rsidRPr="009D4387">
        <w:rPr>
          <w:rFonts w:ascii="Times New Roman" w:hAnsi="Times New Roman" w:cs="Times New Roman"/>
          <w:color w:val="000000" w:themeColor="text1"/>
        </w:rPr>
        <w:t xml:space="preserve"> </w:t>
      </w:r>
      <w:r w:rsidR="003302D7">
        <w:rPr>
          <w:rFonts w:ascii="Times New Roman" w:hAnsi="Times New Roman" w:cs="Times New Roman"/>
          <w:color w:val="000000" w:themeColor="text1"/>
        </w:rPr>
        <w:t>only</w:t>
      </w:r>
      <w:r w:rsidR="0048197E" w:rsidRPr="009D4387">
        <w:rPr>
          <w:rFonts w:ascii="Times New Roman" w:hAnsi="Times New Roman" w:cs="Times New Roman"/>
          <w:color w:val="000000" w:themeColor="text1"/>
        </w:rPr>
        <w:t xml:space="preserve"> 6</w:t>
      </w:r>
      <w:r w:rsidR="005D2DBD" w:rsidRPr="009D4387">
        <w:rPr>
          <w:rFonts w:ascii="Times New Roman" w:hAnsi="Times New Roman" w:cs="Times New Roman"/>
          <w:color w:val="000000" w:themeColor="text1"/>
        </w:rPr>
        <w:t xml:space="preserve"> (9%)</w:t>
      </w:r>
      <w:r w:rsidR="0048197E" w:rsidRPr="009D4387">
        <w:rPr>
          <w:rFonts w:ascii="Times New Roman" w:hAnsi="Times New Roman" w:cs="Times New Roman"/>
          <w:color w:val="000000" w:themeColor="text1"/>
        </w:rPr>
        <w:t xml:space="preserve"> </w:t>
      </w:r>
      <w:r w:rsidR="00BE0DE8" w:rsidRPr="009D4387">
        <w:rPr>
          <w:rFonts w:ascii="Times New Roman" w:hAnsi="Times New Roman" w:cs="Times New Roman"/>
          <w:color w:val="000000" w:themeColor="text1"/>
        </w:rPr>
        <w:t xml:space="preserve">were </w:t>
      </w:r>
      <w:r w:rsidR="0048197E" w:rsidRPr="009D4387">
        <w:rPr>
          <w:rFonts w:ascii="Times New Roman" w:hAnsi="Times New Roman" w:cs="Times New Roman"/>
          <w:color w:val="000000" w:themeColor="text1"/>
        </w:rPr>
        <w:t xml:space="preserve">scored as </w:t>
      </w:r>
      <w:r w:rsidR="003302D7">
        <w:rPr>
          <w:rFonts w:ascii="Times New Roman" w:hAnsi="Times New Roman" w:cs="Times New Roman"/>
          <w:color w:val="000000" w:themeColor="text1"/>
        </w:rPr>
        <w:t>high</w:t>
      </w:r>
      <w:r w:rsidR="003302D7" w:rsidRPr="009D4387">
        <w:rPr>
          <w:rFonts w:ascii="Times New Roman" w:hAnsi="Times New Roman" w:cs="Times New Roman"/>
          <w:color w:val="000000" w:themeColor="text1"/>
        </w:rPr>
        <w:t xml:space="preserve"> </w:t>
      </w:r>
      <w:r w:rsidR="0048197E" w:rsidRPr="009D4387">
        <w:rPr>
          <w:rFonts w:ascii="Times New Roman" w:hAnsi="Times New Roman" w:cs="Times New Roman"/>
          <w:color w:val="000000" w:themeColor="text1"/>
        </w:rPr>
        <w:t xml:space="preserve">quality by </w:t>
      </w:r>
      <w:r w:rsidR="003302D7">
        <w:rPr>
          <w:rFonts w:ascii="Times New Roman" w:hAnsi="Times New Roman" w:cs="Times New Roman"/>
          <w:color w:val="000000" w:themeColor="text1"/>
        </w:rPr>
        <w:t xml:space="preserve">a </w:t>
      </w:r>
      <w:r w:rsidR="0048197E" w:rsidRPr="009D4387">
        <w:rPr>
          <w:rFonts w:ascii="Times New Roman" w:hAnsi="Times New Roman" w:cs="Times New Roman"/>
          <w:color w:val="000000" w:themeColor="text1"/>
        </w:rPr>
        <w:t>majority of readers</w:t>
      </w:r>
      <w:r w:rsidR="001D2490">
        <w:rPr>
          <w:rFonts w:ascii="Times New Roman" w:hAnsi="Times New Roman" w:cs="Times New Roman"/>
          <w:color w:val="000000" w:themeColor="text1"/>
        </w:rPr>
        <w:t>.</w:t>
      </w:r>
    </w:p>
    <w:p w14:paraId="793D6985" w14:textId="77777777" w:rsidR="000D0540" w:rsidRPr="009D4387" w:rsidRDefault="000D0540" w:rsidP="00F17733">
      <w:pPr>
        <w:spacing w:after="0"/>
        <w:ind w:firstLine="720"/>
        <w:jc w:val="both"/>
        <w:rPr>
          <w:rFonts w:ascii="Times New Roman" w:hAnsi="Times New Roman" w:cs="Times New Roman"/>
          <w:color w:val="000000" w:themeColor="text1"/>
        </w:rPr>
      </w:pPr>
    </w:p>
    <w:p w14:paraId="1DE0EE28" w14:textId="77777777" w:rsidR="00E2581B" w:rsidRDefault="00E2581B" w:rsidP="00F17733">
      <w:pPr>
        <w:spacing w:after="0"/>
        <w:jc w:val="both"/>
        <w:rPr>
          <w:rFonts w:ascii="Times New Roman" w:hAnsi="Times New Roman" w:cs="Times New Roman"/>
          <w:b/>
          <w:color w:val="000000" w:themeColor="text1"/>
        </w:rPr>
      </w:pPr>
      <w:r>
        <w:rPr>
          <w:rFonts w:ascii="Times New Roman" w:hAnsi="Times New Roman" w:cs="Times New Roman"/>
          <w:b/>
          <w:color w:val="000000" w:themeColor="text1"/>
        </w:rPr>
        <w:t>Reader Agreement</w:t>
      </w:r>
    </w:p>
    <w:p w14:paraId="591D465A" w14:textId="44060F9F" w:rsidR="00E54D74" w:rsidRDefault="005D292F"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Reader agreement on image adequacy was fair</w:t>
      </w:r>
      <w:r w:rsidR="00220832">
        <w:rPr>
          <w:rFonts w:ascii="Times New Roman" w:hAnsi="Times New Roman" w:cs="Times New Roman"/>
          <w:color w:val="000000" w:themeColor="text1"/>
        </w:rPr>
        <w:t xml:space="preserve"> for </w:t>
      </w:r>
      <w:r w:rsidRPr="009D4387">
        <w:rPr>
          <w:rFonts w:ascii="Times New Roman" w:hAnsi="Times New Roman" w:cs="Times New Roman"/>
          <w:color w:val="000000" w:themeColor="text1"/>
        </w:rPr>
        <w:t>T</w:t>
      </w:r>
      <w:r w:rsidR="00CD5094">
        <w:rPr>
          <w:rFonts w:ascii="Times New Roman" w:hAnsi="Times New Roman" w:cs="Times New Roman"/>
          <w:color w:val="000000" w:themeColor="text1"/>
        </w:rPr>
        <w:t>2</w:t>
      </w:r>
      <w:r w:rsidRPr="009D4387">
        <w:rPr>
          <w:rFonts w:ascii="Times New Roman" w:hAnsi="Times New Roman" w:cs="Times New Roman"/>
          <w:color w:val="000000" w:themeColor="text1"/>
        </w:rPr>
        <w:t>W</w:t>
      </w:r>
      <w:r w:rsidR="00220832">
        <w:rPr>
          <w:rFonts w:ascii="Times New Roman" w:hAnsi="Times New Roman" w:cs="Times New Roman"/>
          <w:color w:val="000000" w:themeColor="text1"/>
        </w:rPr>
        <w:t xml:space="preserve"> (</w:t>
      </w:r>
      <w:r w:rsidR="00220832">
        <w:rPr>
          <w:rFonts w:ascii="kappa" w:hAnsi="kappa" w:cs="Times New Roman"/>
          <w:color w:val="000000" w:themeColor="text1"/>
        </w:rPr>
        <w:sym w:font="Symbol" w:char="F06B"/>
      </w:r>
      <w:r w:rsidR="00220832">
        <w:rPr>
          <w:rFonts w:ascii="Times New Roman" w:hAnsi="Times New Roman" w:cs="Times New Roman"/>
          <w:color w:val="000000" w:themeColor="text1"/>
        </w:rPr>
        <w:t>=0.40)</w:t>
      </w:r>
      <w:r w:rsidRPr="009D4387">
        <w:rPr>
          <w:rFonts w:ascii="Times New Roman" w:hAnsi="Times New Roman" w:cs="Times New Roman"/>
          <w:color w:val="000000" w:themeColor="text1"/>
        </w:rPr>
        <w:t xml:space="preserve"> and DWI</w:t>
      </w:r>
      <w:r w:rsidR="00220832">
        <w:rPr>
          <w:rFonts w:ascii="Times New Roman" w:hAnsi="Times New Roman" w:cs="Times New Roman"/>
          <w:color w:val="000000" w:themeColor="text1"/>
        </w:rPr>
        <w:t xml:space="preserve"> (</w:t>
      </w:r>
      <w:r w:rsidR="00220832">
        <w:rPr>
          <w:rFonts w:ascii="kappa" w:hAnsi="kappa" w:cs="Times New Roman"/>
          <w:color w:val="000000" w:themeColor="text1"/>
        </w:rPr>
        <w:sym w:font="Symbol" w:char="F06B"/>
      </w:r>
      <w:r w:rsidR="00220832">
        <w:rPr>
          <w:rFonts w:ascii="Times New Roman" w:hAnsi="Times New Roman" w:cs="Times New Roman"/>
          <w:color w:val="000000" w:themeColor="text1"/>
        </w:rPr>
        <w:t>=0.39)</w:t>
      </w:r>
      <w:r w:rsidRPr="009D4387">
        <w:rPr>
          <w:rFonts w:ascii="Times New Roman" w:hAnsi="Times New Roman" w:cs="Times New Roman"/>
          <w:color w:val="000000" w:themeColor="text1"/>
        </w:rPr>
        <w:t xml:space="preserve">. Reader agreement on image quality was </w:t>
      </w:r>
      <w:r w:rsidR="003302D7">
        <w:rPr>
          <w:rFonts w:ascii="Times New Roman" w:hAnsi="Times New Roman" w:cs="Times New Roman"/>
          <w:color w:val="000000" w:themeColor="text1"/>
        </w:rPr>
        <w:t>poor</w:t>
      </w:r>
      <w:r w:rsidR="003302D7"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in T2</w:t>
      </w:r>
      <w:r w:rsidR="00CD5094">
        <w:rPr>
          <w:rFonts w:ascii="Times New Roman" w:hAnsi="Times New Roman" w:cs="Times New Roman"/>
          <w:color w:val="000000" w:themeColor="text1"/>
        </w:rPr>
        <w:t>W</w:t>
      </w:r>
      <w:r w:rsidR="00220832">
        <w:rPr>
          <w:rFonts w:ascii="Times New Roman" w:hAnsi="Times New Roman" w:cs="Times New Roman"/>
          <w:color w:val="000000" w:themeColor="text1"/>
        </w:rPr>
        <w:t xml:space="preserve"> (</w:t>
      </w:r>
      <w:r w:rsidR="00220832">
        <w:rPr>
          <w:rFonts w:ascii="kappa" w:hAnsi="kappa" w:cs="Times New Roman"/>
          <w:color w:val="000000" w:themeColor="text1"/>
        </w:rPr>
        <w:sym w:font="Symbol" w:char="F06B"/>
      </w:r>
      <w:r w:rsidR="00220832">
        <w:rPr>
          <w:rFonts w:ascii="Times New Roman" w:hAnsi="Times New Roman" w:cs="Times New Roman"/>
          <w:color w:val="000000" w:themeColor="text1"/>
        </w:rPr>
        <w:t>=0.</w:t>
      </w:r>
      <w:r w:rsidR="00C44774">
        <w:rPr>
          <w:rFonts w:ascii="Times New Roman" w:hAnsi="Times New Roman" w:cs="Times New Roman"/>
          <w:color w:val="000000" w:themeColor="text1"/>
        </w:rPr>
        <w:t>17</w:t>
      </w:r>
      <w:r w:rsidR="00220832">
        <w:rPr>
          <w:rFonts w:ascii="Times New Roman" w:hAnsi="Times New Roman" w:cs="Times New Roman"/>
          <w:color w:val="000000" w:themeColor="text1"/>
        </w:rPr>
        <w:t>)</w:t>
      </w:r>
      <w:r w:rsidR="00E77B69">
        <w:rPr>
          <w:rFonts w:ascii="Times New Roman" w:hAnsi="Times New Roman" w:cs="Times New Roman"/>
          <w:color w:val="000000" w:themeColor="text1"/>
        </w:rPr>
        <w:t xml:space="preserve"> and fair </w:t>
      </w:r>
      <w:r w:rsidRPr="009D4387">
        <w:rPr>
          <w:rFonts w:ascii="Times New Roman" w:hAnsi="Times New Roman" w:cs="Times New Roman"/>
          <w:color w:val="000000" w:themeColor="text1"/>
        </w:rPr>
        <w:t>in DWI</w:t>
      </w:r>
      <w:r w:rsidR="00220832">
        <w:rPr>
          <w:rFonts w:ascii="Times New Roman" w:hAnsi="Times New Roman" w:cs="Times New Roman"/>
          <w:color w:val="000000" w:themeColor="text1"/>
        </w:rPr>
        <w:t xml:space="preserve"> (</w:t>
      </w:r>
      <w:r w:rsidR="00220832">
        <w:rPr>
          <w:rFonts w:ascii="kappa" w:hAnsi="kappa" w:cs="Times New Roman"/>
          <w:color w:val="000000" w:themeColor="text1"/>
        </w:rPr>
        <w:sym w:font="Symbol" w:char="F06B"/>
      </w:r>
      <w:r w:rsidR="00220832">
        <w:rPr>
          <w:rFonts w:ascii="Times New Roman" w:hAnsi="Times New Roman" w:cs="Times New Roman"/>
          <w:color w:val="000000" w:themeColor="text1"/>
        </w:rPr>
        <w:t>=0.</w:t>
      </w:r>
      <w:r w:rsidR="00C44774">
        <w:rPr>
          <w:rFonts w:ascii="Times New Roman" w:hAnsi="Times New Roman" w:cs="Times New Roman"/>
          <w:color w:val="000000" w:themeColor="text1"/>
        </w:rPr>
        <w:t>21</w:t>
      </w:r>
      <w:r w:rsidR="00220832">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Reader agreement on image blurriness and contrast was </w:t>
      </w:r>
      <w:r w:rsidR="003302D7">
        <w:rPr>
          <w:rFonts w:ascii="Times New Roman" w:hAnsi="Times New Roman" w:cs="Times New Roman"/>
          <w:color w:val="000000" w:themeColor="text1"/>
        </w:rPr>
        <w:t>poor</w:t>
      </w:r>
      <w:r w:rsidR="003302D7"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in both T2 and DWI</w:t>
      </w:r>
      <w:r w:rsidR="00684D88">
        <w:rPr>
          <w:rFonts w:ascii="Times New Roman" w:hAnsi="Times New Roman" w:cs="Times New Roman"/>
          <w:color w:val="000000" w:themeColor="text1"/>
        </w:rPr>
        <w:t xml:space="preserve"> (Table 2)</w:t>
      </w:r>
      <w:r w:rsidR="003302D7">
        <w:rPr>
          <w:rFonts w:ascii="Times New Roman" w:hAnsi="Times New Roman" w:cs="Times New Roman"/>
          <w:color w:val="000000" w:themeColor="text1"/>
        </w:rPr>
        <w:t xml:space="preserve"> suggesting there is considerable disagreement regarding image quality.</w:t>
      </w:r>
    </w:p>
    <w:p w14:paraId="37922DCA" w14:textId="77777777" w:rsidR="000D0540" w:rsidRPr="00E2581B" w:rsidRDefault="000D0540" w:rsidP="00F17733">
      <w:pPr>
        <w:spacing w:after="0"/>
        <w:ind w:firstLine="720"/>
        <w:jc w:val="both"/>
        <w:rPr>
          <w:rFonts w:ascii="Times New Roman" w:hAnsi="Times New Roman" w:cs="Times New Roman"/>
          <w:b/>
          <w:color w:val="000000" w:themeColor="text1"/>
        </w:rPr>
      </w:pPr>
    </w:p>
    <w:p w14:paraId="5320D205" w14:textId="77777777" w:rsidR="00AF36ED" w:rsidRDefault="002248E2" w:rsidP="00F17733">
      <w:pPr>
        <w:spacing w:after="0"/>
        <w:jc w:val="both"/>
        <w:rPr>
          <w:rFonts w:ascii="Times New Roman" w:hAnsi="Times New Roman" w:cs="Times New Roman"/>
          <w:color w:val="000000" w:themeColor="text1"/>
        </w:rPr>
      </w:pPr>
      <w:r w:rsidRPr="009D4387">
        <w:rPr>
          <w:rFonts w:ascii="Times New Roman" w:hAnsi="Times New Roman" w:cs="Times New Roman"/>
          <w:b/>
          <w:color w:val="000000" w:themeColor="text1"/>
        </w:rPr>
        <w:t>Adherence Rates</w:t>
      </w:r>
      <w:r w:rsidR="006A2623" w:rsidRPr="009D4387">
        <w:rPr>
          <w:rFonts w:ascii="Times New Roman" w:hAnsi="Times New Roman" w:cs="Times New Roman"/>
          <w:b/>
          <w:color w:val="000000" w:themeColor="text1"/>
        </w:rPr>
        <w:t xml:space="preserve"> </w:t>
      </w:r>
    </w:p>
    <w:p w14:paraId="2D25F62A" w14:textId="7DF36EDA" w:rsidR="00E2581B" w:rsidRDefault="003C0B9B"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Adherence to PI</w:t>
      </w:r>
      <w:r w:rsidR="00A064E1">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Pr="009D4387">
        <w:rPr>
          <w:rFonts w:ascii="Times New Roman" w:hAnsi="Times New Roman" w:cs="Times New Roman"/>
          <w:color w:val="000000" w:themeColor="text1"/>
        </w:rPr>
        <w:t xml:space="preserve"> varied widely.</w:t>
      </w:r>
      <w:r w:rsidR="005E6C0F">
        <w:rPr>
          <w:rFonts w:ascii="Times New Roman" w:hAnsi="Times New Roman" w:cs="Times New Roman"/>
          <w:color w:val="000000" w:themeColor="text1"/>
        </w:rPr>
        <w:t xml:space="preserve"> </w:t>
      </w:r>
      <w:r w:rsidR="005C5756">
        <w:rPr>
          <w:rFonts w:ascii="Times New Roman" w:hAnsi="Times New Roman" w:cs="Times New Roman"/>
          <w:color w:val="000000" w:themeColor="text1"/>
        </w:rPr>
        <w:t>Eighteen</w:t>
      </w:r>
      <w:r w:rsidR="005E6C0F" w:rsidRPr="009D4387">
        <w:rPr>
          <w:rFonts w:ascii="Times New Roman" w:hAnsi="Times New Roman" w:cs="Times New Roman"/>
          <w:color w:val="000000" w:themeColor="text1"/>
        </w:rPr>
        <w:t xml:space="preserve"> studies met all 7 T2 </w:t>
      </w:r>
      <w:r w:rsidR="005E6C0F">
        <w:rPr>
          <w:rFonts w:ascii="Times New Roman" w:hAnsi="Times New Roman" w:cs="Times New Roman"/>
          <w:color w:val="000000" w:themeColor="text1"/>
        </w:rPr>
        <w:t xml:space="preserve">standards and </w:t>
      </w:r>
      <w:r w:rsidR="005E6C0F" w:rsidRPr="009D4387">
        <w:rPr>
          <w:rFonts w:ascii="Times New Roman" w:hAnsi="Times New Roman" w:cs="Times New Roman"/>
          <w:color w:val="000000" w:themeColor="text1"/>
        </w:rPr>
        <w:t xml:space="preserve">6 studies met all 10 DWI </w:t>
      </w:r>
      <w:r w:rsidR="005E6C0F">
        <w:rPr>
          <w:rFonts w:ascii="Times New Roman" w:hAnsi="Times New Roman" w:cs="Times New Roman"/>
          <w:color w:val="000000" w:themeColor="text1"/>
        </w:rPr>
        <w:t>standards</w:t>
      </w:r>
      <w:r w:rsidR="005E6C0F" w:rsidRPr="009D4387">
        <w:rPr>
          <w:rFonts w:ascii="Times New Roman" w:hAnsi="Times New Roman" w:cs="Times New Roman"/>
          <w:color w:val="000000" w:themeColor="text1"/>
        </w:rPr>
        <w:t>.</w:t>
      </w:r>
      <w:r w:rsidR="005E6C0F">
        <w:rPr>
          <w:rFonts w:ascii="Times New Roman" w:hAnsi="Times New Roman" w:cs="Times New Roman"/>
          <w:color w:val="000000" w:themeColor="text1"/>
        </w:rPr>
        <w:t xml:space="preserve"> </w:t>
      </w:r>
      <w:r w:rsidR="007E42F7">
        <w:rPr>
          <w:rFonts w:ascii="Times New Roman" w:hAnsi="Times New Roman" w:cs="Times New Roman"/>
          <w:color w:val="000000" w:themeColor="text1"/>
        </w:rPr>
        <w:t>The</w:t>
      </w:r>
      <w:r w:rsidRPr="009D4387">
        <w:rPr>
          <w:rFonts w:ascii="Times New Roman" w:hAnsi="Times New Roman" w:cs="Times New Roman"/>
          <w:color w:val="000000" w:themeColor="text1"/>
        </w:rPr>
        <w:t xml:space="preserve"> T2W imaging </w:t>
      </w:r>
      <w:r w:rsidR="00634253">
        <w:rPr>
          <w:rFonts w:ascii="Times New Roman" w:hAnsi="Times New Roman" w:cs="Times New Roman"/>
          <w:color w:val="000000" w:themeColor="text1"/>
        </w:rPr>
        <w:t>standards</w:t>
      </w:r>
      <w:r w:rsidR="00634253"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 xml:space="preserve">with </w:t>
      </w:r>
      <w:r w:rsidR="007E42F7">
        <w:rPr>
          <w:rFonts w:ascii="Times New Roman" w:hAnsi="Times New Roman" w:cs="Times New Roman"/>
          <w:color w:val="000000" w:themeColor="text1"/>
        </w:rPr>
        <w:t xml:space="preserve">the </w:t>
      </w:r>
      <w:r w:rsidRPr="009D4387">
        <w:rPr>
          <w:rFonts w:ascii="Times New Roman" w:hAnsi="Times New Roman" w:cs="Times New Roman"/>
          <w:color w:val="000000" w:themeColor="text1"/>
        </w:rPr>
        <w:t>lowest rates of adherence were in-plane resolution phase ≤ 0.4mm and no interslice gap</w:t>
      </w:r>
      <w:r w:rsidR="00C1702F">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with adherence rates of 52% and 61% respectively.</w:t>
      </w:r>
      <w:r w:rsidR="002248E2"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For DW</w:t>
      </w:r>
      <w:r w:rsidR="00E30118">
        <w:rPr>
          <w:rFonts w:ascii="Times New Roman" w:hAnsi="Times New Roman" w:cs="Times New Roman"/>
          <w:color w:val="000000" w:themeColor="text1"/>
        </w:rPr>
        <w:t>I</w:t>
      </w:r>
      <w:r w:rsidR="00C1702F">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the </w:t>
      </w:r>
      <w:r w:rsidR="00634253">
        <w:rPr>
          <w:rFonts w:ascii="Times New Roman" w:hAnsi="Times New Roman" w:cs="Times New Roman"/>
          <w:color w:val="000000" w:themeColor="text1"/>
        </w:rPr>
        <w:t>standards</w:t>
      </w:r>
      <w:r w:rsidR="00634253"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with the lowest rates of adherence were field-of-view</w:t>
      </w:r>
      <w:r w:rsidR="00E30118">
        <w:rPr>
          <w:rFonts w:ascii="Times New Roman" w:hAnsi="Times New Roman" w:cs="Times New Roman"/>
          <w:color w:val="000000" w:themeColor="text1"/>
        </w:rPr>
        <w:t xml:space="preserve"> (FOV)</w:t>
      </w:r>
      <w:r w:rsidRPr="009D4387">
        <w:rPr>
          <w:rFonts w:ascii="Times New Roman" w:hAnsi="Times New Roman" w:cs="Times New Roman"/>
          <w:color w:val="000000" w:themeColor="text1"/>
        </w:rPr>
        <w:t xml:space="preserve"> ≤ 220mm and high-b value ≥ 1400s/mm</w:t>
      </w:r>
      <w:r w:rsidRPr="00393D71">
        <w:rPr>
          <w:rFonts w:ascii="Times New Roman" w:hAnsi="Times New Roman"/>
          <w:color w:val="000000" w:themeColor="text1"/>
          <w:vertAlign w:val="superscript"/>
        </w:rPr>
        <w:t>2</w:t>
      </w:r>
      <w:r w:rsidR="00637180">
        <w:rPr>
          <w:rFonts w:ascii="Times New Roman" w:hAnsi="Times New Roman" w:cs="Times New Roman"/>
          <w:color w:val="000000" w:themeColor="text1"/>
        </w:rPr>
        <w:t xml:space="preserve"> with adherence rates of 35% and 50% respectively</w:t>
      </w:r>
      <w:r w:rsidR="00A77012">
        <w:rPr>
          <w:rFonts w:ascii="Times New Roman" w:hAnsi="Times New Roman" w:cs="Times New Roman"/>
          <w:color w:val="000000" w:themeColor="text1"/>
        </w:rPr>
        <w:t xml:space="preserve"> (Table 3)</w:t>
      </w:r>
      <w:r w:rsidRPr="009D4387">
        <w:rPr>
          <w:rFonts w:ascii="Times New Roman" w:hAnsi="Times New Roman" w:cs="Times New Roman"/>
          <w:color w:val="000000" w:themeColor="text1"/>
        </w:rPr>
        <w:t>.</w:t>
      </w:r>
    </w:p>
    <w:p w14:paraId="7EF0A48B" w14:textId="77777777" w:rsidR="000D0540" w:rsidRPr="007E42F7" w:rsidRDefault="000D0540" w:rsidP="00F17733">
      <w:pPr>
        <w:spacing w:after="0"/>
        <w:ind w:firstLine="720"/>
        <w:jc w:val="both"/>
        <w:rPr>
          <w:rFonts w:ascii="Times New Roman" w:hAnsi="Times New Roman" w:cs="Times New Roman"/>
          <w:color w:val="000000" w:themeColor="text1"/>
        </w:rPr>
      </w:pPr>
    </w:p>
    <w:p w14:paraId="246175C3" w14:textId="77777777" w:rsidR="005E6C0F" w:rsidRPr="005E6C0F" w:rsidRDefault="00B53ADA" w:rsidP="00F17733">
      <w:pPr>
        <w:spacing w:after="0"/>
        <w:rPr>
          <w:rFonts w:ascii="Times New Roman" w:hAnsi="Times New Roman" w:cs="Times New Roman"/>
          <w:b/>
          <w:color w:val="000000" w:themeColor="text1"/>
        </w:rPr>
      </w:pPr>
      <w:r>
        <w:rPr>
          <w:rFonts w:ascii="Times New Roman" w:hAnsi="Times New Roman" w:cs="Times New Roman"/>
          <w:b/>
          <w:color w:val="000000" w:themeColor="text1"/>
        </w:rPr>
        <w:t>Adherence</w:t>
      </w:r>
      <w:r w:rsidRPr="009D4387">
        <w:rPr>
          <w:rFonts w:ascii="Times New Roman" w:hAnsi="Times New Roman" w:cs="Times New Roman"/>
          <w:b/>
          <w:color w:val="000000" w:themeColor="text1"/>
        </w:rPr>
        <w:t xml:space="preserve"> </w:t>
      </w:r>
      <w:r w:rsidR="000F1D80" w:rsidRPr="009D4387">
        <w:rPr>
          <w:rFonts w:ascii="Times New Roman" w:hAnsi="Times New Roman" w:cs="Times New Roman"/>
          <w:b/>
          <w:color w:val="000000" w:themeColor="text1"/>
        </w:rPr>
        <w:t xml:space="preserve">and </w:t>
      </w:r>
      <w:r w:rsidR="00A77012">
        <w:rPr>
          <w:rFonts w:ascii="Times New Roman" w:hAnsi="Times New Roman" w:cs="Times New Roman"/>
          <w:b/>
          <w:color w:val="000000" w:themeColor="text1"/>
        </w:rPr>
        <w:t xml:space="preserve">Diagnostic </w:t>
      </w:r>
      <w:r w:rsidR="000F1D80" w:rsidRPr="009D4387">
        <w:rPr>
          <w:rFonts w:ascii="Times New Roman" w:hAnsi="Times New Roman" w:cs="Times New Roman"/>
          <w:b/>
          <w:color w:val="000000" w:themeColor="text1"/>
        </w:rPr>
        <w:t>Adequacy</w:t>
      </w:r>
    </w:p>
    <w:p w14:paraId="49EF7EC6" w14:textId="70E5525E" w:rsidR="00691087" w:rsidRDefault="004F1A50" w:rsidP="00F17733">
      <w:pPr>
        <w:spacing w:after="0"/>
        <w:ind w:firstLine="720"/>
        <w:rPr>
          <w:rFonts w:ascii="Times New Roman" w:hAnsi="Times New Roman" w:cs="Times New Roman"/>
          <w:color w:val="000000" w:themeColor="text1"/>
        </w:rPr>
      </w:pPr>
      <w:r w:rsidRPr="009D4387">
        <w:rPr>
          <w:rFonts w:ascii="Times New Roman" w:hAnsi="Times New Roman" w:cs="Times New Roman"/>
          <w:color w:val="000000" w:themeColor="text1"/>
        </w:rPr>
        <w:t xml:space="preserve">There was no significant association between </w:t>
      </w:r>
      <w:r w:rsidR="001A387A">
        <w:rPr>
          <w:rFonts w:ascii="Times New Roman" w:hAnsi="Times New Roman" w:cs="Times New Roman"/>
          <w:color w:val="000000" w:themeColor="text1"/>
        </w:rPr>
        <w:t>adherence</w:t>
      </w:r>
      <w:r w:rsidR="00104EFA" w:rsidRPr="009D4387">
        <w:rPr>
          <w:rFonts w:ascii="Times New Roman" w:hAnsi="Times New Roman" w:cs="Times New Roman"/>
          <w:color w:val="000000" w:themeColor="text1"/>
        </w:rPr>
        <w:t xml:space="preserve"> </w:t>
      </w:r>
      <w:r w:rsidR="001A387A">
        <w:rPr>
          <w:rFonts w:ascii="Times New Roman" w:hAnsi="Times New Roman" w:cs="Times New Roman"/>
          <w:color w:val="000000" w:themeColor="text1"/>
        </w:rPr>
        <w:t>to</w:t>
      </w:r>
      <w:r w:rsidR="00104EFA" w:rsidRPr="009D4387">
        <w:rPr>
          <w:rFonts w:ascii="Times New Roman" w:hAnsi="Times New Roman" w:cs="Times New Roman"/>
          <w:color w:val="000000" w:themeColor="text1"/>
        </w:rPr>
        <w:t xml:space="preserve"> PI</w:t>
      </w:r>
      <w:r w:rsidR="00A064E1">
        <w:rPr>
          <w:rFonts w:ascii="Times New Roman" w:hAnsi="Times New Roman" w:cs="Times New Roman"/>
          <w:color w:val="000000" w:themeColor="text1"/>
        </w:rPr>
        <w:t>-</w:t>
      </w:r>
      <w:r w:rsidR="00104EFA"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Pr="009D4387">
        <w:rPr>
          <w:rFonts w:ascii="Times New Roman" w:hAnsi="Times New Roman" w:cs="Times New Roman"/>
          <w:color w:val="000000" w:themeColor="text1"/>
        </w:rPr>
        <w:t xml:space="preserve"> and image adequacy for either T2 (p-value=0.227) or DWI (p-value=0.304) indicating that following the technical </w:t>
      </w:r>
      <w:r w:rsidR="00634253">
        <w:rPr>
          <w:rFonts w:ascii="Times New Roman" w:hAnsi="Times New Roman" w:cs="Times New Roman"/>
          <w:color w:val="000000" w:themeColor="text1"/>
        </w:rPr>
        <w:t>standards</w:t>
      </w:r>
      <w:r w:rsidR="00634253"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 xml:space="preserve">had no effect on the likelihood of an image being scored as </w:t>
      </w:r>
      <w:r w:rsidR="00A77012">
        <w:rPr>
          <w:rFonts w:ascii="Times New Roman" w:hAnsi="Times New Roman" w:cs="Times New Roman"/>
          <w:color w:val="000000" w:themeColor="text1"/>
        </w:rPr>
        <w:t xml:space="preserve">diagnostically </w:t>
      </w:r>
      <w:r w:rsidRPr="009D4387">
        <w:rPr>
          <w:rFonts w:ascii="Times New Roman" w:hAnsi="Times New Roman" w:cs="Times New Roman"/>
          <w:color w:val="000000" w:themeColor="text1"/>
        </w:rPr>
        <w:t>adequate</w:t>
      </w:r>
      <w:r w:rsidR="001D2490">
        <w:rPr>
          <w:rFonts w:ascii="Times New Roman" w:hAnsi="Times New Roman" w:cs="Times New Roman"/>
          <w:color w:val="000000" w:themeColor="text1"/>
        </w:rPr>
        <w:t xml:space="preserve"> (Figure 1, Table 4)</w:t>
      </w:r>
      <w:r w:rsidRPr="009D4387">
        <w:rPr>
          <w:rFonts w:ascii="Times New Roman" w:hAnsi="Times New Roman" w:cs="Times New Roman"/>
          <w:color w:val="000000" w:themeColor="text1"/>
        </w:rPr>
        <w:t>.</w:t>
      </w:r>
    </w:p>
    <w:p w14:paraId="2895D351" w14:textId="77777777" w:rsidR="000D0540" w:rsidRPr="00393D71" w:rsidRDefault="000D0540" w:rsidP="00F17733">
      <w:pPr>
        <w:spacing w:after="0"/>
        <w:ind w:firstLine="720"/>
        <w:rPr>
          <w:rFonts w:ascii="Times New Roman" w:hAnsi="Times New Roman"/>
          <w:b/>
          <w:color w:val="000000" w:themeColor="text1"/>
        </w:rPr>
      </w:pPr>
    </w:p>
    <w:p w14:paraId="3B79A56D" w14:textId="77777777" w:rsidR="00E54D74" w:rsidRDefault="00B53ADA" w:rsidP="00F17733">
      <w:pPr>
        <w:spacing w:after="0"/>
        <w:rPr>
          <w:rFonts w:ascii="Times New Roman" w:hAnsi="Times New Roman" w:cs="Times New Roman"/>
          <w:b/>
          <w:color w:val="000000" w:themeColor="text1"/>
        </w:rPr>
      </w:pPr>
      <w:r>
        <w:rPr>
          <w:rFonts w:ascii="Times New Roman" w:hAnsi="Times New Roman" w:cs="Times New Roman"/>
          <w:b/>
          <w:color w:val="000000" w:themeColor="text1"/>
        </w:rPr>
        <w:t>Adherence</w:t>
      </w:r>
      <w:r w:rsidRPr="009D4387">
        <w:rPr>
          <w:rFonts w:ascii="Times New Roman" w:hAnsi="Times New Roman" w:cs="Times New Roman"/>
          <w:b/>
          <w:color w:val="000000" w:themeColor="text1"/>
        </w:rPr>
        <w:t xml:space="preserve"> </w:t>
      </w:r>
      <w:r w:rsidR="00FE01CE" w:rsidRPr="009D4387">
        <w:rPr>
          <w:rFonts w:ascii="Times New Roman" w:hAnsi="Times New Roman" w:cs="Times New Roman"/>
          <w:b/>
          <w:color w:val="000000" w:themeColor="text1"/>
        </w:rPr>
        <w:t>and Quality</w:t>
      </w:r>
    </w:p>
    <w:p w14:paraId="44CC29CE" w14:textId="48CE9B8E" w:rsidR="00DE593F" w:rsidRDefault="004F1A50"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 xml:space="preserve">There was </w:t>
      </w:r>
      <w:r w:rsidR="00FC0B91" w:rsidRPr="009D4387">
        <w:rPr>
          <w:rFonts w:ascii="Times New Roman" w:hAnsi="Times New Roman" w:cs="Times New Roman"/>
          <w:color w:val="000000" w:themeColor="text1"/>
        </w:rPr>
        <w:t xml:space="preserve">a </w:t>
      </w:r>
      <w:r w:rsidRPr="009D4387">
        <w:rPr>
          <w:rFonts w:ascii="Times New Roman" w:hAnsi="Times New Roman" w:cs="Times New Roman"/>
          <w:color w:val="000000" w:themeColor="text1"/>
        </w:rPr>
        <w:t xml:space="preserve">significant association between </w:t>
      </w:r>
      <w:r w:rsidR="001A387A">
        <w:rPr>
          <w:rFonts w:ascii="Times New Roman" w:hAnsi="Times New Roman" w:cs="Times New Roman"/>
          <w:color w:val="000000" w:themeColor="text1"/>
        </w:rPr>
        <w:t>adherence</w:t>
      </w:r>
      <w:r w:rsidR="00F166B2" w:rsidRPr="009D4387">
        <w:rPr>
          <w:rFonts w:ascii="Times New Roman" w:hAnsi="Times New Roman" w:cs="Times New Roman"/>
          <w:color w:val="000000" w:themeColor="text1"/>
        </w:rPr>
        <w:t xml:space="preserve"> </w:t>
      </w:r>
      <w:r w:rsidR="001A387A">
        <w:rPr>
          <w:rFonts w:ascii="Times New Roman" w:hAnsi="Times New Roman" w:cs="Times New Roman"/>
          <w:color w:val="000000" w:themeColor="text1"/>
        </w:rPr>
        <w:t>to</w:t>
      </w:r>
      <w:r w:rsidR="00F166B2" w:rsidRPr="009D4387">
        <w:rPr>
          <w:rFonts w:ascii="Times New Roman" w:hAnsi="Times New Roman" w:cs="Times New Roman"/>
          <w:color w:val="000000" w:themeColor="text1"/>
        </w:rPr>
        <w:t xml:space="preserve"> PI</w:t>
      </w:r>
      <w:r w:rsidR="00A064E1">
        <w:rPr>
          <w:rFonts w:ascii="Times New Roman" w:hAnsi="Times New Roman" w:cs="Times New Roman"/>
          <w:color w:val="000000" w:themeColor="text1"/>
        </w:rPr>
        <w:t>-</w:t>
      </w:r>
      <w:r w:rsidR="00F166B2" w:rsidRPr="009D4387">
        <w:rPr>
          <w:rFonts w:ascii="Times New Roman" w:hAnsi="Times New Roman" w:cs="Times New Roman"/>
          <w:color w:val="000000" w:themeColor="text1"/>
        </w:rPr>
        <w:t>RADSv2 technical standards</w:t>
      </w:r>
      <w:r w:rsidRPr="009D4387">
        <w:rPr>
          <w:rFonts w:ascii="Times New Roman" w:hAnsi="Times New Roman" w:cs="Times New Roman"/>
          <w:color w:val="000000" w:themeColor="text1"/>
        </w:rPr>
        <w:t xml:space="preserve"> and image quality for T2</w:t>
      </w:r>
      <w:r w:rsidR="00110554">
        <w:rPr>
          <w:rFonts w:ascii="Times New Roman" w:hAnsi="Times New Roman" w:cs="Times New Roman"/>
          <w:color w:val="000000" w:themeColor="text1"/>
        </w:rPr>
        <w:t>W</w:t>
      </w:r>
      <w:r w:rsidRPr="009D4387">
        <w:rPr>
          <w:rFonts w:ascii="Times New Roman" w:hAnsi="Times New Roman" w:cs="Times New Roman"/>
          <w:color w:val="000000" w:themeColor="text1"/>
        </w:rPr>
        <w:t xml:space="preserve"> (p-value=0.01</w:t>
      </w:r>
      <w:r w:rsidR="00E755C8">
        <w:rPr>
          <w:rFonts w:ascii="Times New Roman" w:hAnsi="Times New Roman" w:cs="Times New Roman"/>
          <w:color w:val="000000" w:themeColor="text1"/>
        </w:rPr>
        <w:t>0</w:t>
      </w:r>
      <w:r w:rsidRPr="009D4387">
        <w:rPr>
          <w:rFonts w:ascii="Times New Roman" w:hAnsi="Times New Roman" w:cs="Times New Roman"/>
          <w:color w:val="000000" w:themeColor="text1"/>
        </w:rPr>
        <w:t>) but not for DWI (p-value=0.943) indicating that T2</w:t>
      </w:r>
      <w:r w:rsidR="00110554">
        <w:rPr>
          <w:rFonts w:ascii="Times New Roman" w:hAnsi="Times New Roman" w:cs="Times New Roman"/>
          <w:color w:val="000000" w:themeColor="text1"/>
        </w:rPr>
        <w:t>W</w:t>
      </w:r>
      <w:r w:rsidRPr="009D4387">
        <w:rPr>
          <w:rFonts w:ascii="Times New Roman" w:hAnsi="Times New Roman" w:cs="Times New Roman"/>
          <w:color w:val="000000" w:themeColor="text1"/>
        </w:rPr>
        <w:t xml:space="preserve"> images were more likely to receive a higher quality score if they followed the PIRADS</w:t>
      </w:r>
      <w:r w:rsidR="00CB4873" w:rsidRPr="009D4387">
        <w:rPr>
          <w:rFonts w:ascii="Times New Roman" w:hAnsi="Times New Roman" w:cs="Times New Roman"/>
          <w:color w:val="000000" w:themeColor="text1"/>
        </w:rPr>
        <w:t>v2</w:t>
      </w:r>
      <w:r w:rsidRPr="009D4387">
        <w:rPr>
          <w:rFonts w:ascii="Times New Roman" w:hAnsi="Times New Roman" w:cs="Times New Roman"/>
          <w:color w:val="000000" w:themeColor="text1"/>
        </w:rPr>
        <w:t xml:space="preserve"> </w:t>
      </w:r>
      <w:r w:rsidR="00894F11">
        <w:rPr>
          <w:rFonts w:ascii="Times New Roman" w:hAnsi="Times New Roman" w:cs="Times New Roman"/>
          <w:color w:val="000000" w:themeColor="text1"/>
        </w:rPr>
        <w:t>MTS</w:t>
      </w:r>
      <w:r w:rsidR="00634253"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while DWI images were not.</w:t>
      </w:r>
      <w:r w:rsidR="00CB4873" w:rsidRPr="009D4387">
        <w:rPr>
          <w:rFonts w:ascii="Times New Roman" w:hAnsi="Times New Roman" w:cs="Times New Roman"/>
          <w:color w:val="000000" w:themeColor="text1"/>
        </w:rPr>
        <w:t xml:space="preserve"> However, the </w:t>
      </w:r>
      <w:r w:rsidR="001472C7" w:rsidRPr="009D4387">
        <w:rPr>
          <w:rFonts w:ascii="Times New Roman" w:hAnsi="Times New Roman" w:cs="Times New Roman"/>
          <w:color w:val="000000" w:themeColor="text1"/>
        </w:rPr>
        <w:t>strength</w:t>
      </w:r>
      <w:r w:rsidR="00CB4873" w:rsidRPr="009D4387">
        <w:rPr>
          <w:rFonts w:ascii="Times New Roman" w:hAnsi="Times New Roman" w:cs="Times New Roman"/>
          <w:color w:val="000000" w:themeColor="text1"/>
        </w:rPr>
        <w:t xml:space="preserve"> of </w:t>
      </w:r>
      <w:r w:rsidR="001472C7" w:rsidRPr="009D4387">
        <w:rPr>
          <w:rFonts w:ascii="Times New Roman" w:hAnsi="Times New Roman" w:cs="Times New Roman"/>
          <w:color w:val="000000" w:themeColor="text1"/>
        </w:rPr>
        <w:t xml:space="preserve">the </w:t>
      </w:r>
      <w:r w:rsidR="00CB4873" w:rsidRPr="009D4387">
        <w:rPr>
          <w:rFonts w:ascii="Times New Roman" w:hAnsi="Times New Roman" w:cs="Times New Roman"/>
          <w:color w:val="000000" w:themeColor="text1"/>
        </w:rPr>
        <w:t xml:space="preserve">correlation </w:t>
      </w:r>
      <w:r w:rsidR="001C2776" w:rsidRPr="009D4387">
        <w:rPr>
          <w:rFonts w:ascii="Times New Roman" w:hAnsi="Times New Roman" w:cs="Times New Roman"/>
          <w:color w:val="000000" w:themeColor="text1"/>
        </w:rPr>
        <w:t xml:space="preserve">(as determined by the Tau-b) </w:t>
      </w:r>
      <w:r w:rsidR="007E42F7">
        <w:rPr>
          <w:rFonts w:ascii="Times New Roman" w:hAnsi="Times New Roman" w:cs="Times New Roman"/>
          <w:color w:val="000000" w:themeColor="text1"/>
        </w:rPr>
        <w:t xml:space="preserve">between </w:t>
      </w:r>
      <w:r w:rsidR="001C2776" w:rsidRPr="009D4387">
        <w:rPr>
          <w:rFonts w:ascii="Times New Roman" w:hAnsi="Times New Roman" w:cs="Times New Roman"/>
          <w:color w:val="000000" w:themeColor="text1"/>
        </w:rPr>
        <w:t xml:space="preserve">T2 image quality and </w:t>
      </w:r>
      <w:r w:rsidR="001A387A">
        <w:rPr>
          <w:rFonts w:ascii="Times New Roman" w:hAnsi="Times New Roman" w:cs="Times New Roman"/>
          <w:color w:val="000000" w:themeColor="text1"/>
        </w:rPr>
        <w:t>adherence</w:t>
      </w:r>
      <w:r w:rsidR="00F166B2" w:rsidRPr="009D4387">
        <w:rPr>
          <w:rFonts w:ascii="Times New Roman" w:hAnsi="Times New Roman" w:cs="Times New Roman"/>
          <w:color w:val="000000" w:themeColor="text1"/>
        </w:rPr>
        <w:t xml:space="preserve"> </w:t>
      </w:r>
      <w:r w:rsidR="00CB4873" w:rsidRPr="009D4387">
        <w:rPr>
          <w:rFonts w:ascii="Times New Roman" w:hAnsi="Times New Roman" w:cs="Times New Roman"/>
          <w:color w:val="000000" w:themeColor="text1"/>
        </w:rPr>
        <w:t>was</w:t>
      </w:r>
      <w:r w:rsidR="001C2776" w:rsidRPr="009D4387">
        <w:rPr>
          <w:rFonts w:ascii="Times New Roman" w:hAnsi="Times New Roman" w:cs="Times New Roman"/>
          <w:color w:val="000000" w:themeColor="text1"/>
        </w:rPr>
        <w:t xml:space="preserve"> only 0.22</w:t>
      </w:r>
      <w:r w:rsidR="006A269E" w:rsidRPr="009D4387">
        <w:rPr>
          <w:rFonts w:ascii="Times New Roman" w:hAnsi="Times New Roman" w:cs="Times New Roman"/>
          <w:color w:val="000000" w:themeColor="text1"/>
        </w:rPr>
        <w:t xml:space="preserve"> (SE 0.08)</w:t>
      </w:r>
      <w:r w:rsidR="001C2776" w:rsidRPr="009D4387">
        <w:rPr>
          <w:rFonts w:ascii="Times New Roman" w:hAnsi="Times New Roman" w:cs="Times New Roman"/>
          <w:color w:val="000000" w:themeColor="text1"/>
        </w:rPr>
        <w:t>, indicating a weak correlation</w:t>
      </w:r>
      <w:r w:rsidR="00A77012">
        <w:rPr>
          <w:rFonts w:ascii="Times New Roman" w:hAnsi="Times New Roman" w:cs="Times New Roman"/>
          <w:color w:val="000000" w:themeColor="text1"/>
        </w:rPr>
        <w:t xml:space="preserve"> (</w:t>
      </w:r>
      <w:r w:rsidR="003949FA">
        <w:rPr>
          <w:rFonts w:ascii="Times New Roman" w:hAnsi="Times New Roman" w:cs="Times New Roman"/>
          <w:color w:val="000000" w:themeColor="text1"/>
        </w:rPr>
        <w:t>Figure 2</w:t>
      </w:r>
      <w:r w:rsidR="009622D6">
        <w:rPr>
          <w:rFonts w:ascii="Times New Roman" w:hAnsi="Times New Roman" w:cs="Times New Roman"/>
          <w:color w:val="000000" w:themeColor="text1"/>
        </w:rPr>
        <w:t xml:space="preserve">, </w:t>
      </w:r>
      <w:r w:rsidR="00A77012">
        <w:rPr>
          <w:rFonts w:ascii="Times New Roman" w:hAnsi="Times New Roman" w:cs="Times New Roman"/>
          <w:color w:val="000000" w:themeColor="text1"/>
        </w:rPr>
        <w:t>Table 4)</w:t>
      </w:r>
      <w:r w:rsidR="001C2776" w:rsidRPr="009D4387">
        <w:rPr>
          <w:rFonts w:ascii="Times New Roman" w:hAnsi="Times New Roman" w:cs="Times New Roman"/>
          <w:color w:val="000000" w:themeColor="text1"/>
        </w:rPr>
        <w:t>.</w:t>
      </w:r>
      <w:r w:rsidR="00F166B2" w:rsidRPr="009D4387">
        <w:rPr>
          <w:rFonts w:ascii="Times New Roman" w:hAnsi="Times New Roman" w:cs="Times New Roman"/>
          <w:color w:val="000000" w:themeColor="text1"/>
        </w:rPr>
        <w:t xml:space="preserve"> </w:t>
      </w:r>
      <w:r w:rsidR="00FE01CE" w:rsidRPr="009D4387">
        <w:rPr>
          <w:rFonts w:ascii="Times New Roman" w:hAnsi="Times New Roman" w:cs="Times New Roman"/>
          <w:color w:val="000000" w:themeColor="text1"/>
        </w:rPr>
        <w:t>Significant associations were also found between the perceived quality features and perceived artifact metrics of Noise, Distortion, Aliasing, Blurriness, and Contrast for T2 images</w:t>
      </w:r>
      <w:r w:rsidR="00A77012">
        <w:rPr>
          <w:rFonts w:ascii="Times New Roman" w:hAnsi="Times New Roman" w:cs="Times New Roman"/>
          <w:color w:val="000000" w:themeColor="text1"/>
        </w:rPr>
        <w:t xml:space="preserve"> (Table 4)</w:t>
      </w:r>
      <w:r w:rsidR="00FE01CE" w:rsidRPr="009D4387">
        <w:rPr>
          <w:rFonts w:ascii="Times New Roman" w:hAnsi="Times New Roman" w:cs="Times New Roman"/>
          <w:color w:val="000000" w:themeColor="text1"/>
        </w:rPr>
        <w:t xml:space="preserve">. </w:t>
      </w:r>
    </w:p>
    <w:p w14:paraId="676C8A31" w14:textId="16D884F3" w:rsidR="00DE593F" w:rsidRDefault="00FE01CE"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lastRenderedPageBreak/>
        <w:t>For DW</w:t>
      </w:r>
      <w:r w:rsidR="003D48E5">
        <w:rPr>
          <w:rFonts w:ascii="Times New Roman" w:hAnsi="Times New Roman" w:cs="Times New Roman"/>
          <w:color w:val="000000" w:themeColor="text1"/>
        </w:rPr>
        <w:t>I</w:t>
      </w:r>
      <w:r w:rsidR="005C5756">
        <w:rPr>
          <w:rFonts w:ascii="Times New Roman" w:hAnsi="Times New Roman" w:cs="Times New Roman"/>
          <w:color w:val="000000" w:themeColor="text1"/>
        </w:rPr>
        <w:t>,</w:t>
      </w:r>
      <w:r w:rsidR="00C408E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 xml:space="preserve">not only was there no significant association between </w:t>
      </w:r>
      <w:r w:rsidR="001A387A">
        <w:rPr>
          <w:rFonts w:ascii="Times New Roman" w:hAnsi="Times New Roman" w:cs="Times New Roman"/>
          <w:color w:val="000000" w:themeColor="text1"/>
        </w:rPr>
        <w:t>adherence</w:t>
      </w:r>
      <w:r w:rsidRPr="009D4387">
        <w:rPr>
          <w:rFonts w:ascii="Times New Roman" w:hAnsi="Times New Roman" w:cs="Times New Roman"/>
          <w:color w:val="000000" w:themeColor="text1"/>
        </w:rPr>
        <w:t xml:space="preserve"> </w:t>
      </w:r>
      <w:r w:rsidR="001A387A">
        <w:rPr>
          <w:rFonts w:ascii="Times New Roman" w:hAnsi="Times New Roman" w:cs="Times New Roman"/>
          <w:color w:val="000000" w:themeColor="text1"/>
        </w:rPr>
        <w:t>to</w:t>
      </w:r>
      <w:r w:rsidRPr="009D4387">
        <w:rPr>
          <w:rFonts w:ascii="Times New Roman" w:hAnsi="Times New Roman" w:cs="Times New Roman"/>
          <w:color w:val="000000" w:themeColor="text1"/>
        </w:rPr>
        <w:t xml:space="preserve"> PI</w:t>
      </w:r>
      <w:r w:rsidR="00A064E1">
        <w:rPr>
          <w:rFonts w:ascii="Times New Roman" w:hAnsi="Times New Roman" w:cs="Times New Roman"/>
          <w:color w:val="000000" w:themeColor="text1"/>
        </w:rPr>
        <w:t>-</w:t>
      </w:r>
      <w:r w:rsidRPr="009D4387">
        <w:rPr>
          <w:rFonts w:ascii="Times New Roman" w:hAnsi="Times New Roman" w:cs="Times New Roman"/>
          <w:color w:val="000000" w:themeColor="text1"/>
        </w:rPr>
        <w:t>RADSv2 technical standards and image quality</w:t>
      </w:r>
      <w:r w:rsidR="005C5756">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but the tau-b degree of correlation between the two measures was -0.01 (SE </w:t>
      </w:r>
      <w:r w:rsidRPr="009D4387">
        <w:rPr>
          <w:rFonts w:ascii="Times New Roman" w:eastAsia="Times New Roman" w:hAnsi="Times New Roman" w:cs="Times New Roman"/>
          <w:color w:val="000000" w:themeColor="text1"/>
        </w:rPr>
        <w:t>0.08)</w:t>
      </w:r>
      <w:r w:rsidRPr="009D4387">
        <w:rPr>
          <w:rFonts w:ascii="Times New Roman" w:hAnsi="Times New Roman" w:cs="Times New Roman"/>
          <w:color w:val="000000" w:themeColor="text1"/>
        </w:rPr>
        <w:t xml:space="preserve"> signifying a near complete absence of correlation</w:t>
      </w:r>
      <w:r w:rsidR="00A77012">
        <w:rPr>
          <w:rFonts w:ascii="Times New Roman" w:hAnsi="Times New Roman" w:cs="Times New Roman"/>
          <w:color w:val="000000" w:themeColor="text1"/>
        </w:rPr>
        <w:t xml:space="preserve"> (Table 4)</w:t>
      </w:r>
      <w:r w:rsidRPr="009D4387">
        <w:rPr>
          <w:rFonts w:ascii="Times New Roman" w:hAnsi="Times New Roman" w:cs="Times New Roman"/>
          <w:color w:val="000000" w:themeColor="text1"/>
        </w:rPr>
        <w:t xml:space="preserve">. No significant associations were found for any of the DWI quality/artifact metrics and </w:t>
      </w:r>
      <w:r w:rsidR="001A387A">
        <w:rPr>
          <w:rFonts w:ascii="Times New Roman" w:hAnsi="Times New Roman" w:cs="Times New Roman"/>
          <w:color w:val="000000" w:themeColor="text1"/>
        </w:rPr>
        <w:t>adherence</w:t>
      </w:r>
      <w:r w:rsidR="00A77012">
        <w:rPr>
          <w:rFonts w:ascii="Times New Roman" w:hAnsi="Times New Roman" w:cs="Times New Roman"/>
          <w:color w:val="000000" w:themeColor="text1"/>
        </w:rPr>
        <w:t xml:space="preserve"> (Figure</w:t>
      </w:r>
      <w:r w:rsidR="00333762">
        <w:rPr>
          <w:rFonts w:ascii="Times New Roman" w:hAnsi="Times New Roman" w:cs="Times New Roman"/>
          <w:color w:val="000000" w:themeColor="text1"/>
        </w:rPr>
        <w:t xml:space="preserve"> </w:t>
      </w:r>
      <w:r w:rsidR="00A77012">
        <w:rPr>
          <w:rFonts w:ascii="Times New Roman" w:hAnsi="Times New Roman" w:cs="Times New Roman"/>
          <w:color w:val="000000" w:themeColor="text1"/>
        </w:rPr>
        <w:t>3</w:t>
      </w:r>
      <w:r w:rsidR="009622D6">
        <w:rPr>
          <w:rFonts w:ascii="Times New Roman" w:hAnsi="Times New Roman" w:cs="Times New Roman"/>
          <w:color w:val="000000" w:themeColor="text1"/>
        </w:rPr>
        <w:t>,</w:t>
      </w:r>
      <w:r w:rsidR="00F92E20">
        <w:rPr>
          <w:rFonts w:ascii="Times New Roman" w:hAnsi="Times New Roman" w:cs="Times New Roman"/>
          <w:color w:val="000000" w:themeColor="text1"/>
        </w:rPr>
        <w:t xml:space="preserve"> </w:t>
      </w:r>
      <w:r w:rsidR="006E2AB2">
        <w:rPr>
          <w:rFonts w:ascii="Times New Roman" w:hAnsi="Times New Roman" w:cs="Times New Roman"/>
          <w:color w:val="000000" w:themeColor="text1"/>
        </w:rPr>
        <w:t xml:space="preserve">Table </w:t>
      </w:r>
      <w:r w:rsidR="00F92E20">
        <w:rPr>
          <w:rFonts w:ascii="Times New Roman" w:hAnsi="Times New Roman" w:cs="Times New Roman"/>
          <w:color w:val="000000" w:themeColor="text1"/>
        </w:rPr>
        <w:t>4</w:t>
      </w:r>
      <w:r w:rsidR="00A77012">
        <w:rPr>
          <w:rFonts w:ascii="Times New Roman" w:hAnsi="Times New Roman" w:cs="Times New Roman"/>
          <w:color w:val="000000" w:themeColor="text1"/>
        </w:rPr>
        <w:t>)</w:t>
      </w:r>
      <w:r w:rsidR="00FF40E6">
        <w:rPr>
          <w:rFonts w:ascii="Times New Roman" w:hAnsi="Times New Roman" w:cs="Times New Roman"/>
          <w:color w:val="000000" w:themeColor="text1"/>
        </w:rPr>
        <w:t>.</w:t>
      </w:r>
    </w:p>
    <w:p w14:paraId="0B710C70" w14:textId="77777777" w:rsidR="000D0540" w:rsidRDefault="000D0540" w:rsidP="00F17733">
      <w:pPr>
        <w:spacing w:after="0"/>
        <w:ind w:firstLine="720"/>
        <w:jc w:val="both"/>
        <w:rPr>
          <w:rFonts w:ascii="Times New Roman" w:hAnsi="Times New Roman" w:cs="Times New Roman"/>
          <w:b/>
          <w:color w:val="000000" w:themeColor="text1"/>
        </w:rPr>
      </w:pPr>
    </w:p>
    <w:p w14:paraId="49FE6925" w14:textId="77777777" w:rsidR="00E54D74" w:rsidRDefault="000F1D80" w:rsidP="00F17733">
      <w:pPr>
        <w:spacing w:after="0"/>
        <w:jc w:val="both"/>
        <w:rPr>
          <w:rFonts w:ascii="Times New Roman" w:hAnsi="Times New Roman" w:cs="Times New Roman"/>
          <w:color w:val="000000" w:themeColor="text1"/>
        </w:rPr>
      </w:pPr>
      <w:r w:rsidRPr="009D4387">
        <w:rPr>
          <w:rFonts w:ascii="Times New Roman" w:hAnsi="Times New Roman" w:cs="Times New Roman"/>
          <w:b/>
          <w:color w:val="000000" w:themeColor="text1"/>
        </w:rPr>
        <w:t xml:space="preserve">Performance </w:t>
      </w:r>
      <w:r w:rsidR="00AC3C38" w:rsidRPr="009D4387">
        <w:rPr>
          <w:rFonts w:ascii="Times New Roman" w:hAnsi="Times New Roman" w:cs="Times New Roman"/>
          <w:b/>
          <w:color w:val="000000" w:themeColor="text1"/>
        </w:rPr>
        <w:t>of</w:t>
      </w:r>
      <w:r w:rsidRPr="009D4387">
        <w:rPr>
          <w:rFonts w:ascii="Times New Roman" w:hAnsi="Times New Roman" w:cs="Times New Roman"/>
          <w:b/>
          <w:color w:val="000000" w:themeColor="text1"/>
        </w:rPr>
        <w:t xml:space="preserve"> Individual PIRADSv2 Standards</w:t>
      </w:r>
    </w:p>
    <w:p w14:paraId="40148722" w14:textId="63681BD2" w:rsidR="00DA3E71" w:rsidRPr="009D4387" w:rsidRDefault="00571E92"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T</w:t>
      </w:r>
      <w:r w:rsidR="004F1A50" w:rsidRPr="009D4387">
        <w:rPr>
          <w:rFonts w:ascii="Times New Roman" w:hAnsi="Times New Roman" w:cs="Times New Roman"/>
          <w:color w:val="000000" w:themeColor="text1"/>
        </w:rPr>
        <w:t xml:space="preserve">here was no significant association between any specific </w:t>
      </w:r>
      <w:r w:rsidR="00541472" w:rsidRPr="009D4387">
        <w:rPr>
          <w:rFonts w:ascii="Times New Roman" w:hAnsi="Times New Roman" w:cs="Times New Roman"/>
          <w:color w:val="000000" w:themeColor="text1"/>
        </w:rPr>
        <w:t>PI</w:t>
      </w:r>
      <w:r w:rsidR="00A064E1">
        <w:rPr>
          <w:rFonts w:ascii="Times New Roman" w:hAnsi="Times New Roman" w:cs="Times New Roman"/>
          <w:color w:val="000000" w:themeColor="text1"/>
        </w:rPr>
        <w:t>-</w:t>
      </w:r>
      <w:r w:rsidR="00541472" w:rsidRPr="009D4387">
        <w:rPr>
          <w:rFonts w:ascii="Times New Roman" w:hAnsi="Times New Roman" w:cs="Times New Roman"/>
          <w:color w:val="000000" w:themeColor="text1"/>
        </w:rPr>
        <w:t xml:space="preserve">RADSv2 minimum technical </w:t>
      </w:r>
      <w:r w:rsidRPr="009D4387">
        <w:rPr>
          <w:rFonts w:ascii="Times New Roman" w:hAnsi="Times New Roman" w:cs="Times New Roman"/>
          <w:color w:val="000000" w:themeColor="text1"/>
        </w:rPr>
        <w:t>standard</w:t>
      </w:r>
      <w:r w:rsidR="00541472" w:rsidRPr="009D4387">
        <w:rPr>
          <w:rFonts w:ascii="Times New Roman" w:hAnsi="Times New Roman" w:cs="Times New Roman"/>
          <w:color w:val="000000" w:themeColor="text1"/>
        </w:rPr>
        <w:t xml:space="preserve"> </w:t>
      </w:r>
      <w:r w:rsidR="004F1A50" w:rsidRPr="009D4387">
        <w:rPr>
          <w:rFonts w:ascii="Times New Roman" w:hAnsi="Times New Roman" w:cs="Times New Roman"/>
          <w:color w:val="000000" w:themeColor="text1"/>
        </w:rPr>
        <w:t>and image adequacy</w:t>
      </w:r>
      <w:r w:rsidR="00BC01E9">
        <w:rPr>
          <w:rFonts w:ascii="Times New Roman" w:hAnsi="Times New Roman" w:cs="Times New Roman"/>
          <w:color w:val="000000" w:themeColor="text1"/>
        </w:rPr>
        <w:t xml:space="preserve"> </w:t>
      </w:r>
      <w:r w:rsidR="00063FC6">
        <w:rPr>
          <w:rFonts w:ascii="Times New Roman" w:hAnsi="Times New Roman" w:cs="Times New Roman"/>
          <w:color w:val="000000" w:themeColor="text1"/>
        </w:rPr>
        <w:t xml:space="preserve">or </w:t>
      </w:r>
      <w:r w:rsidR="004F1A50" w:rsidRPr="009D4387">
        <w:rPr>
          <w:rFonts w:ascii="Times New Roman" w:hAnsi="Times New Roman" w:cs="Times New Roman"/>
          <w:color w:val="000000" w:themeColor="text1"/>
        </w:rPr>
        <w:t>image quality</w:t>
      </w:r>
      <w:r w:rsidR="00A77012">
        <w:rPr>
          <w:rFonts w:ascii="Times New Roman" w:hAnsi="Times New Roman" w:cs="Times New Roman"/>
          <w:color w:val="000000" w:themeColor="text1"/>
        </w:rPr>
        <w:t xml:space="preserve"> (Table 5)</w:t>
      </w:r>
      <w:r w:rsidR="00CB4873" w:rsidRPr="009D4387">
        <w:rPr>
          <w:rFonts w:ascii="Times New Roman" w:hAnsi="Times New Roman" w:cs="Times New Roman"/>
          <w:color w:val="000000" w:themeColor="text1"/>
        </w:rPr>
        <w:t>.</w:t>
      </w:r>
    </w:p>
    <w:p w14:paraId="6E910342" w14:textId="4BE3D338" w:rsidR="00E2581B" w:rsidRPr="009D4387" w:rsidRDefault="00DD6709"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Individual PI</w:t>
      </w:r>
      <w:r w:rsidR="00A064E1">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RADSv2 standards were also analyzed for their effect on </w:t>
      </w:r>
      <w:r w:rsidR="002D1410" w:rsidRPr="009D4387">
        <w:rPr>
          <w:rFonts w:ascii="Times New Roman" w:hAnsi="Times New Roman" w:cs="Times New Roman"/>
          <w:color w:val="000000" w:themeColor="text1"/>
        </w:rPr>
        <w:t xml:space="preserve">image </w:t>
      </w:r>
      <w:r w:rsidRPr="009D4387">
        <w:rPr>
          <w:rFonts w:ascii="Times New Roman" w:hAnsi="Times New Roman" w:cs="Times New Roman"/>
          <w:color w:val="000000" w:themeColor="text1"/>
        </w:rPr>
        <w:t xml:space="preserve">distortion. </w:t>
      </w:r>
      <w:r w:rsidR="004F1A50" w:rsidRPr="009D4387">
        <w:rPr>
          <w:rFonts w:ascii="Times New Roman" w:hAnsi="Times New Roman" w:cs="Times New Roman"/>
          <w:color w:val="000000" w:themeColor="text1"/>
        </w:rPr>
        <w:t xml:space="preserve">There was a significant association </w:t>
      </w:r>
      <w:r w:rsidR="002D1410" w:rsidRPr="009D4387">
        <w:rPr>
          <w:rFonts w:ascii="Times New Roman" w:hAnsi="Times New Roman" w:cs="Times New Roman"/>
          <w:color w:val="000000" w:themeColor="text1"/>
        </w:rPr>
        <w:t>in T2</w:t>
      </w:r>
      <w:r w:rsidR="00110554">
        <w:rPr>
          <w:rFonts w:ascii="Times New Roman" w:hAnsi="Times New Roman" w:cs="Times New Roman"/>
          <w:color w:val="000000" w:themeColor="text1"/>
        </w:rPr>
        <w:t>W</w:t>
      </w:r>
      <w:r w:rsidR="002D1410" w:rsidRPr="009D4387">
        <w:rPr>
          <w:rFonts w:ascii="Times New Roman" w:hAnsi="Times New Roman" w:cs="Times New Roman"/>
          <w:color w:val="000000" w:themeColor="text1"/>
        </w:rPr>
        <w:t xml:space="preserve"> imaging with </w:t>
      </w:r>
      <w:r w:rsidR="001A387A">
        <w:rPr>
          <w:rFonts w:ascii="Times New Roman" w:hAnsi="Times New Roman" w:cs="Times New Roman"/>
          <w:color w:val="000000" w:themeColor="text1"/>
        </w:rPr>
        <w:t>adherence</w:t>
      </w:r>
      <w:r w:rsidR="002D1410" w:rsidRPr="009D4387">
        <w:rPr>
          <w:rFonts w:ascii="Times New Roman" w:hAnsi="Times New Roman" w:cs="Times New Roman"/>
          <w:color w:val="000000" w:themeColor="text1"/>
        </w:rPr>
        <w:t xml:space="preserve"> to the </w:t>
      </w:r>
      <w:r w:rsidR="004F1A50" w:rsidRPr="009D4387">
        <w:rPr>
          <w:rFonts w:ascii="Times New Roman" w:hAnsi="Times New Roman" w:cs="Times New Roman"/>
          <w:color w:val="000000" w:themeColor="text1"/>
        </w:rPr>
        <w:t>FOV</w:t>
      </w:r>
      <w:r w:rsidR="000A164D" w:rsidRPr="009D4387">
        <w:rPr>
          <w:rFonts w:ascii="Times New Roman" w:hAnsi="Times New Roman" w:cs="Times New Roman"/>
          <w:color w:val="000000" w:themeColor="text1"/>
        </w:rPr>
        <w:t xml:space="preserve"> UL</w:t>
      </w:r>
      <w:r w:rsidR="002D1410" w:rsidRPr="009D4387">
        <w:rPr>
          <w:rFonts w:ascii="Times New Roman" w:hAnsi="Times New Roman" w:cs="Times New Roman"/>
          <w:color w:val="000000" w:themeColor="text1"/>
        </w:rPr>
        <w:t xml:space="preserve"> </w:t>
      </w:r>
      <w:r w:rsidR="002D1410" w:rsidRPr="009D4387">
        <w:rPr>
          <w:rFonts w:ascii="Times New Roman" w:eastAsia="Times New Roman" w:hAnsi="Times New Roman" w:cs="Times New Roman"/>
          <w:color w:val="000000" w:themeColor="text1"/>
        </w:rPr>
        <w:t>≤ 200mm</w:t>
      </w:r>
      <w:r w:rsidR="002D1410" w:rsidRPr="009D4387">
        <w:rPr>
          <w:rFonts w:ascii="Times New Roman" w:hAnsi="Times New Roman" w:cs="Times New Roman"/>
          <w:color w:val="000000" w:themeColor="text1"/>
        </w:rPr>
        <w:t xml:space="preserve"> standard </w:t>
      </w:r>
      <w:r w:rsidR="004F1A50" w:rsidRPr="009D4387">
        <w:rPr>
          <w:rFonts w:ascii="Times New Roman" w:hAnsi="Times New Roman" w:cs="Times New Roman"/>
          <w:color w:val="000000" w:themeColor="text1"/>
        </w:rPr>
        <w:t>(p-value=0.003)</w:t>
      </w:r>
      <w:r w:rsidR="002D1410" w:rsidRPr="009D4387">
        <w:rPr>
          <w:rFonts w:ascii="Times New Roman" w:hAnsi="Times New Roman" w:cs="Times New Roman"/>
          <w:color w:val="000000" w:themeColor="text1"/>
        </w:rPr>
        <w:t>. In DW</w:t>
      </w:r>
      <w:r w:rsidR="008839E5">
        <w:rPr>
          <w:rFonts w:ascii="Times New Roman" w:hAnsi="Times New Roman" w:cs="Times New Roman"/>
          <w:color w:val="000000" w:themeColor="text1"/>
        </w:rPr>
        <w:t>I</w:t>
      </w:r>
      <w:r w:rsidR="005C5756">
        <w:rPr>
          <w:rFonts w:ascii="Times New Roman" w:hAnsi="Times New Roman" w:cs="Times New Roman"/>
          <w:color w:val="000000" w:themeColor="text1"/>
        </w:rPr>
        <w:t>,</w:t>
      </w:r>
      <w:r w:rsidR="002D1410" w:rsidRPr="009D4387">
        <w:rPr>
          <w:rFonts w:ascii="Times New Roman" w:hAnsi="Times New Roman" w:cs="Times New Roman"/>
          <w:color w:val="000000" w:themeColor="text1"/>
        </w:rPr>
        <w:t xml:space="preserve"> </w:t>
      </w:r>
      <w:r w:rsidR="001A387A">
        <w:rPr>
          <w:rFonts w:ascii="Times New Roman" w:hAnsi="Times New Roman" w:cs="Times New Roman"/>
          <w:color w:val="000000" w:themeColor="text1"/>
        </w:rPr>
        <w:t>adherence to</w:t>
      </w:r>
      <w:r w:rsidR="009B4232" w:rsidRPr="009D4387">
        <w:rPr>
          <w:rFonts w:ascii="Times New Roman" w:hAnsi="Times New Roman" w:cs="Times New Roman"/>
          <w:color w:val="000000" w:themeColor="text1"/>
        </w:rPr>
        <w:t xml:space="preserve"> the </w:t>
      </w:r>
      <w:r w:rsidR="009B4232" w:rsidRPr="009D4387">
        <w:rPr>
          <w:rFonts w:ascii="Times New Roman" w:eastAsia="Times New Roman" w:hAnsi="Times New Roman" w:cs="Times New Roman"/>
          <w:color w:val="000000" w:themeColor="text1"/>
        </w:rPr>
        <w:t>TR ≥ 3000ms standard</w:t>
      </w:r>
      <w:r w:rsidR="002D1410" w:rsidRPr="009D4387">
        <w:rPr>
          <w:rFonts w:ascii="Times New Roman" w:hAnsi="Times New Roman" w:cs="Times New Roman"/>
          <w:color w:val="000000" w:themeColor="text1"/>
        </w:rPr>
        <w:t xml:space="preserve"> </w:t>
      </w:r>
      <w:r w:rsidR="004F1A50" w:rsidRPr="009D4387">
        <w:rPr>
          <w:rFonts w:ascii="Times New Roman" w:hAnsi="Times New Roman" w:cs="Times New Roman"/>
          <w:color w:val="000000" w:themeColor="text1"/>
        </w:rPr>
        <w:t>(p-value=0.033)</w:t>
      </w:r>
      <w:r w:rsidR="009B4232" w:rsidRPr="009D4387">
        <w:rPr>
          <w:rFonts w:ascii="Times New Roman" w:hAnsi="Times New Roman" w:cs="Times New Roman"/>
          <w:color w:val="000000" w:themeColor="text1"/>
        </w:rPr>
        <w:t xml:space="preserve"> was associated with less distorted images</w:t>
      </w:r>
      <w:r w:rsidR="002D1410" w:rsidRPr="009D4387">
        <w:rPr>
          <w:rFonts w:ascii="Times New Roman" w:hAnsi="Times New Roman" w:cs="Times New Roman"/>
          <w:color w:val="000000" w:themeColor="text1"/>
        </w:rPr>
        <w:t>.</w:t>
      </w:r>
      <w:r w:rsidR="004F1A50" w:rsidRPr="009D4387">
        <w:rPr>
          <w:rFonts w:ascii="Times New Roman" w:hAnsi="Times New Roman" w:cs="Times New Roman"/>
          <w:color w:val="000000" w:themeColor="text1"/>
        </w:rPr>
        <w:t xml:space="preserve"> </w:t>
      </w:r>
      <w:r w:rsidR="002D1410" w:rsidRPr="009D4387">
        <w:rPr>
          <w:rFonts w:ascii="Times New Roman" w:hAnsi="Times New Roman" w:cs="Times New Roman"/>
          <w:color w:val="000000" w:themeColor="text1"/>
        </w:rPr>
        <w:t>There</w:t>
      </w:r>
      <w:r w:rsidR="004F1A50" w:rsidRPr="009D4387">
        <w:rPr>
          <w:rFonts w:ascii="Times New Roman" w:hAnsi="Times New Roman" w:cs="Times New Roman"/>
          <w:color w:val="000000" w:themeColor="text1"/>
        </w:rPr>
        <w:t xml:space="preserve"> was no significant association between </w:t>
      </w:r>
      <w:r w:rsidR="00775DC6">
        <w:rPr>
          <w:rFonts w:ascii="Times New Roman" w:hAnsi="Times New Roman" w:cs="Times New Roman"/>
          <w:color w:val="000000" w:themeColor="text1"/>
        </w:rPr>
        <w:t xml:space="preserve">adherence to </w:t>
      </w:r>
      <w:r w:rsidR="004F1A50" w:rsidRPr="009D4387">
        <w:rPr>
          <w:rFonts w:ascii="Times New Roman" w:hAnsi="Times New Roman" w:cs="Times New Roman"/>
          <w:color w:val="000000" w:themeColor="text1"/>
        </w:rPr>
        <w:t xml:space="preserve">any other specific </w:t>
      </w:r>
      <w:r w:rsidR="00752A2B">
        <w:rPr>
          <w:rFonts w:ascii="Times New Roman" w:hAnsi="Times New Roman" w:cs="Times New Roman"/>
          <w:color w:val="000000" w:themeColor="text1"/>
        </w:rPr>
        <w:t>standard</w:t>
      </w:r>
      <w:r w:rsidR="004F1A50" w:rsidRPr="009D4387">
        <w:rPr>
          <w:rFonts w:ascii="Times New Roman" w:hAnsi="Times New Roman" w:cs="Times New Roman"/>
          <w:color w:val="000000" w:themeColor="text1"/>
        </w:rPr>
        <w:t xml:space="preserve"> and distortion for either T2</w:t>
      </w:r>
      <w:r w:rsidR="00110554">
        <w:rPr>
          <w:rFonts w:ascii="Times New Roman" w:hAnsi="Times New Roman" w:cs="Times New Roman"/>
          <w:color w:val="000000" w:themeColor="text1"/>
        </w:rPr>
        <w:t>W</w:t>
      </w:r>
      <w:r w:rsidR="004F1A50" w:rsidRPr="009D4387">
        <w:rPr>
          <w:rFonts w:ascii="Times New Roman" w:hAnsi="Times New Roman" w:cs="Times New Roman"/>
          <w:color w:val="000000" w:themeColor="text1"/>
        </w:rPr>
        <w:t xml:space="preserve"> or DWI</w:t>
      </w:r>
      <w:r w:rsidR="00A77012">
        <w:rPr>
          <w:rFonts w:ascii="Times New Roman" w:hAnsi="Times New Roman" w:cs="Times New Roman"/>
          <w:color w:val="000000" w:themeColor="text1"/>
        </w:rPr>
        <w:t xml:space="preserve"> (Table 5)</w:t>
      </w:r>
      <w:r w:rsidR="004F1A50" w:rsidRPr="009D4387">
        <w:rPr>
          <w:rFonts w:ascii="Times New Roman" w:hAnsi="Times New Roman" w:cs="Times New Roman"/>
          <w:color w:val="000000" w:themeColor="text1"/>
        </w:rPr>
        <w:t>.</w:t>
      </w:r>
    </w:p>
    <w:p w14:paraId="4C36E7FF" w14:textId="0AF6D3F9" w:rsidR="00107D4B" w:rsidRDefault="005A1DA9"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 xml:space="preserve">Analysis of </w:t>
      </w:r>
      <w:r w:rsidR="007B1910">
        <w:rPr>
          <w:rFonts w:ascii="Times New Roman" w:hAnsi="Times New Roman" w:cs="Times New Roman"/>
          <w:color w:val="000000" w:themeColor="text1"/>
        </w:rPr>
        <w:t xml:space="preserve">the use of </w:t>
      </w:r>
      <w:r w:rsidR="00A17920">
        <w:rPr>
          <w:rFonts w:ascii="Times New Roman" w:hAnsi="Times New Roman" w:cs="Times New Roman"/>
          <w:color w:val="000000" w:themeColor="text1"/>
        </w:rPr>
        <w:t xml:space="preserve">horizontal </w:t>
      </w:r>
      <w:r w:rsidRPr="009D4387">
        <w:rPr>
          <w:rFonts w:ascii="Times New Roman" w:hAnsi="Times New Roman" w:cs="Times New Roman"/>
          <w:color w:val="000000" w:themeColor="text1"/>
        </w:rPr>
        <w:t>p</w:t>
      </w:r>
      <w:r w:rsidR="005B0781" w:rsidRPr="009D4387">
        <w:rPr>
          <w:rFonts w:ascii="Times New Roman" w:hAnsi="Times New Roman" w:cs="Times New Roman"/>
          <w:color w:val="000000" w:themeColor="text1"/>
        </w:rPr>
        <w:t xml:space="preserve">hase </w:t>
      </w:r>
      <w:r w:rsidRPr="009D4387">
        <w:rPr>
          <w:rFonts w:ascii="Times New Roman" w:hAnsi="Times New Roman" w:cs="Times New Roman"/>
          <w:color w:val="000000" w:themeColor="text1"/>
        </w:rPr>
        <w:t>e</w:t>
      </w:r>
      <w:r w:rsidR="005B0781" w:rsidRPr="009D4387">
        <w:rPr>
          <w:rFonts w:ascii="Times New Roman" w:hAnsi="Times New Roman" w:cs="Times New Roman"/>
          <w:color w:val="000000" w:themeColor="text1"/>
        </w:rPr>
        <w:t xml:space="preserve">ncoding </w:t>
      </w:r>
      <w:r w:rsidRPr="009D4387">
        <w:rPr>
          <w:rFonts w:ascii="Times New Roman" w:hAnsi="Times New Roman" w:cs="Times New Roman"/>
          <w:color w:val="000000" w:themeColor="text1"/>
        </w:rPr>
        <w:t>d</w:t>
      </w:r>
      <w:r w:rsidR="005B0781" w:rsidRPr="009D4387">
        <w:rPr>
          <w:rFonts w:ascii="Times New Roman" w:hAnsi="Times New Roman" w:cs="Times New Roman"/>
          <w:color w:val="000000" w:themeColor="text1"/>
        </w:rPr>
        <w:t xml:space="preserve">irection </w:t>
      </w:r>
      <w:r w:rsidRPr="009D4387">
        <w:rPr>
          <w:rFonts w:ascii="Times New Roman" w:hAnsi="Times New Roman" w:cs="Times New Roman"/>
          <w:color w:val="000000" w:themeColor="text1"/>
        </w:rPr>
        <w:t xml:space="preserve">found </w:t>
      </w:r>
      <w:r w:rsidR="002D1410" w:rsidRPr="009D4387">
        <w:rPr>
          <w:rFonts w:ascii="Times New Roman" w:hAnsi="Times New Roman" w:cs="Times New Roman"/>
          <w:color w:val="000000" w:themeColor="text1"/>
        </w:rPr>
        <w:t>a significant</w:t>
      </w:r>
      <w:r w:rsidR="005B0781" w:rsidRPr="009D4387">
        <w:rPr>
          <w:rFonts w:ascii="Times New Roman" w:hAnsi="Times New Roman" w:cs="Times New Roman"/>
          <w:color w:val="000000" w:themeColor="text1"/>
        </w:rPr>
        <w:t xml:space="preserve"> association</w:t>
      </w:r>
      <w:r w:rsidR="002D1410" w:rsidRPr="009D4387">
        <w:rPr>
          <w:rFonts w:ascii="Times New Roman" w:hAnsi="Times New Roman" w:cs="Times New Roman"/>
          <w:color w:val="000000" w:themeColor="text1"/>
        </w:rPr>
        <w:t xml:space="preserve"> with</w:t>
      </w:r>
      <w:r w:rsidR="005B0781" w:rsidRPr="009D4387">
        <w:rPr>
          <w:rFonts w:ascii="Times New Roman" w:hAnsi="Times New Roman" w:cs="Times New Roman"/>
          <w:color w:val="000000" w:themeColor="text1"/>
        </w:rPr>
        <w:t xml:space="preserve"> T2</w:t>
      </w:r>
      <w:r w:rsidR="00110554">
        <w:rPr>
          <w:rFonts w:ascii="Times New Roman" w:hAnsi="Times New Roman" w:cs="Times New Roman"/>
          <w:color w:val="000000" w:themeColor="text1"/>
        </w:rPr>
        <w:t>W</w:t>
      </w:r>
      <w:r w:rsidR="005B0781" w:rsidRPr="009D4387">
        <w:rPr>
          <w:rFonts w:ascii="Times New Roman" w:hAnsi="Times New Roman" w:cs="Times New Roman"/>
          <w:color w:val="000000" w:themeColor="text1"/>
        </w:rPr>
        <w:t xml:space="preserve"> image</w:t>
      </w:r>
      <w:r w:rsidR="002D1410" w:rsidRPr="009D4387">
        <w:rPr>
          <w:rFonts w:ascii="Times New Roman" w:hAnsi="Times New Roman" w:cs="Times New Roman"/>
          <w:color w:val="000000" w:themeColor="text1"/>
        </w:rPr>
        <w:t xml:space="preserve"> quality </w:t>
      </w:r>
      <w:r w:rsidR="005B0781" w:rsidRPr="009D4387">
        <w:rPr>
          <w:rFonts w:ascii="Times New Roman" w:hAnsi="Times New Roman" w:cs="Times New Roman"/>
          <w:color w:val="000000" w:themeColor="text1"/>
        </w:rPr>
        <w:t xml:space="preserve">(p-value=0.032) </w:t>
      </w:r>
      <w:r w:rsidRPr="009D4387">
        <w:rPr>
          <w:rFonts w:ascii="Times New Roman" w:hAnsi="Times New Roman" w:cs="Times New Roman"/>
          <w:color w:val="000000" w:themeColor="text1"/>
        </w:rPr>
        <w:t>where</w:t>
      </w:r>
      <w:r w:rsidR="005B0781" w:rsidRPr="009D4387">
        <w:rPr>
          <w:rFonts w:ascii="Times New Roman" w:hAnsi="Times New Roman" w:cs="Times New Roman"/>
          <w:color w:val="000000" w:themeColor="text1"/>
        </w:rPr>
        <w:t xml:space="preserve"> images </w:t>
      </w:r>
      <w:r w:rsidR="007B1910">
        <w:rPr>
          <w:rFonts w:ascii="Times New Roman" w:hAnsi="Times New Roman" w:cs="Times New Roman"/>
          <w:color w:val="000000" w:themeColor="text1"/>
        </w:rPr>
        <w:t xml:space="preserve">acquired </w:t>
      </w:r>
      <w:r w:rsidR="005B0781" w:rsidRPr="009D4387">
        <w:rPr>
          <w:rFonts w:ascii="Times New Roman" w:hAnsi="Times New Roman" w:cs="Times New Roman"/>
          <w:color w:val="000000" w:themeColor="text1"/>
        </w:rPr>
        <w:t>with a</w:t>
      </w:r>
      <w:r w:rsidR="00A17920">
        <w:rPr>
          <w:rFonts w:ascii="Times New Roman" w:hAnsi="Times New Roman" w:cs="Times New Roman"/>
          <w:color w:val="000000" w:themeColor="text1"/>
        </w:rPr>
        <w:t xml:space="preserve"> horizontal</w:t>
      </w:r>
      <w:r w:rsidR="005B0781" w:rsidRPr="009D4387">
        <w:rPr>
          <w:rFonts w:ascii="Times New Roman" w:hAnsi="Times New Roman" w:cs="Times New Roman"/>
          <w:color w:val="000000" w:themeColor="text1"/>
        </w:rPr>
        <w:t xml:space="preserve"> phase encoding direction perform</w:t>
      </w:r>
      <w:r w:rsidRPr="009D4387">
        <w:rPr>
          <w:rFonts w:ascii="Times New Roman" w:hAnsi="Times New Roman" w:cs="Times New Roman"/>
          <w:color w:val="000000" w:themeColor="text1"/>
        </w:rPr>
        <w:t>ed</w:t>
      </w:r>
      <w:r w:rsidR="005B0781" w:rsidRPr="009D4387">
        <w:rPr>
          <w:rFonts w:ascii="Times New Roman" w:hAnsi="Times New Roman" w:cs="Times New Roman"/>
          <w:color w:val="000000" w:themeColor="text1"/>
        </w:rPr>
        <w:t xml:space="preserve"> better than those </w:t>
      </w:r>
      <w:r w:rsidR="007B1910">
        <w:rPr>
          <w:rFonts w:ascii="Times New Roman" w:hAnsi="Times New Roman" w:cs="Times New Roman"/>
          <w:color w:val="000000" w:themeColor="text1"/>
        </w:rPr>
        <w:t>with</w:t>
      </w:r>
      <w:r w:rsidR="005B0781" w:rsidRPr="009D4387">
        <w:rPr>
          <w:rFonts w:ascii="Times New Roman" w:hAnsi="Times New Roman" w:cs="Times New Roman"/>
          <w:color w:val="000000" w:themeColor="text1"/>
        </w:rPr>
        <w:t xml:space="preserve"> a </w:t>
      </w:r>
      <w:r w:rsidR="00A17920">
        <w:rPr>
          <w:rFonts w:ascii="Times New Roman" w:hAnsi="Times New Roman" w:cs="Times New Roman"/>
          <w:color w:val="000000" w:themeColor="text1"/>
        </w:rPr>
        <w:t xml:space="preserve">vertical </w:t>
      </w:r>
      <w:r w:rsidR="005B0781" w:rsidRPr="009D4387">
        <w:rPr>
          <w:rFonts w:ascii="Times New Roman" w:hAnsi="Times New Roman" w:cs="Times New Roman"/>
          <w:color w:val="000000" w:themeColor="text1"/>
        </w:rPr>
        <w:t>phase encoding</w:t>
      </w:r>
      <w:r w:rsidRPr="009D4387">
        <w:rPr>
          <w:rFonts w:ascii="Times New Roman" w:hAnsi="Times New Roman" w:cs="Times New Roman"/>
          <w:color w:val="000000" w:themeColor="text1"/>
        </w:rPr>
        <w:t xml:space="preserve"> direction</w:t>
      </w:r>
      <w:r w:rsidR="005B0781" w:rsidRPr="009D4387">
        <w:rPr>
          <w:rFonts w:ascii="Times New Roman" w:hAnsi="Times New Roman" w:cs="Times New Roman"/>
          <w:color w:val="000000" w:themeColor="text1"/>
        </w:rPr>
        <w:t>. This</w:t>
      </w:r>
      <w:r w:rsidR="002D1410" w:rsidRPr="009D4387">
        <w:rPr>
          <w:rFonts w:ascii="Times New Roman" w:hAnsi="Times New Roman" w:cs="Times New Roman"/>
          <w:color w:val="000000" w:themeColor="text1"/>
        </w:rPr>
        <w:t xml:space="preserve"> same </w:t>
      </w:r>
      <w:r w:rsidR="005B0781" w:rsidRPr="009D4387">
        <w:rPr>
          <w:rFonts w:ascii="Times New Roman" w:hAnsi="Times New Roman" w:cs="Times New Roman"/>
          <w:color w:val="000000" w:themeColor="text1"/>
        </w:rPr>
        <w:t>association</w:t>
      </w:r>
      <w:r w:rsidR="002D1410" w:rsidRPr="009D4387">
        <w:rPr>
          <w:rFonts w:ascii="Times New Roman" w:hAnsi="Times New Roman" w:cs="Times New Roman"/>
          <w:color w:val="000000" w:themeColor="text1"/>
        </w:rPr>
        <w:t xml:space="preserve"> also existed for </w:t>
      </w:r>
      <w:r w:rsidR="005B0781" w:rsidRPr="009D4387">
        <w:rPr>
          <w:rFonts w:ascii="Times New Roman" w:hAnsi="Times New Roman" w:cs="Times New Roman"/>
          <w:color w:val="000000" w:themeColor="text1"/>
        </w:rPr>
        <w:t xml:space="preserve">distortion </w:t>
      </w:r>
      <w:r w:rsidRPr="009D4387">
        <w:rPr>
          <w:rFonts w:ascii="Times New Roman" w:hAnsi="Times New Roman" w:cs="Times New Roman"/>
          <w:color w:val="000000" w:themeColor="text1"/>
        </w:rPr>
        <w:t xml:space="preserve">in </w:t>
      </w:r>
      <w:r w:rsidR="005B0781" w:rsidRPr="009D4387">
        <w:rPr>
          <w:rFonts w:ascii="Times New Roman" w:hAnsi="Times New Roman" w:cs="Times New Roman"/>
          <w:color w:val="000000" w:themeColor="text1"/>
        </w:rPr>
        <w:t>T2</w:t>
      </w:r>
      <w:r w:rsidR="00110554">
        <w:rPr>
          <w:rFonts w:ascii="Times New Roman" w:hAnsi="Times New Roman" w:cs="Times New Roman"/>
          <w:color w:val="000000" w:themeColor="text1"/>
        </w:rPr>
        <w:t>W</w:t>
      </w:r>
      <w:r w:rsidR="002D1410"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sequences</w:t>
      </w:r>
      <w:r w:rsidR="005B0781" w:rsidRPr="009D4387">
        <w:rPr>
          <w:rFonts w:ascii="Times New Roman" w:hAnsi="Times New Roman" w:cs="Times New Roman"/>
          <w:color w:val="000000" w:themeColor="text1"/>
        </w:rPr>
        <w:t xml:space="preserve"> (p-value</w:t>
      </w:r>
      <w:r w:rsidR="00063FC6">
        <w:rPr>
          <w:rFonts w:ascii="Times New Roman" w:hAnsi="Times New Roman" w:cs="Times New Roman"/>
          <w:color w:val="000000" w:themeColor="text1"/>
        </w:rPr>
        <w:t>=</w:t>
      </w:r>
      <w:r w:rsidR="005B0781" w:rsidRPr="009D4387">
        <w:rPr>
          <w:rFonts w:ascii="Times New Roman" w:hAnsi="Times New Roman" w:cs="Times New Roman"/>
          <w:color w:val="000000" w:themeColor="text1"/>
        </w:rPr>
        <w:t>0.004)</w:t>
      </w:r>
      <w:r w:rsidR="002D1410"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where</w:t>
      </w:r>
      <w:r w:rsidR="002D1410" w:rsidRPr="009D4387">
        <w:rPr>
          <w:rFonts w:ascii="Times New Roman" w:hAnsi="Times New Roman" w:cs="Times New Roman"/>
          <w:color w:val="000000" w:themeColor="text1"/>
        </w:rPr>
        <w:t xml:space="preserve"> images </w:t>
      </w:r>
      <w:r w:rsidRPr="009D4387">
        <w:rPr>
          <w:rFonts w:ascii="Times New Roman" w:hAnsi="Times New Roman" w:cs="Times New Roman"/>
          <w:color w:val="000000" w:themeColor="text1"/>
        </w:rPr>
        <w:t xml:space="preserve">were </w:t>
      </w:r>
      <w:r w:rsidR="002D1410" w:rsidRPr="009D4387">
        <w:rPr>
          <w:rFonts w:ascii="Times New Roman" w:hAnsi="Times New Roman" w:cs="Times New Roman"/>
          <w:color w:val="000000" w:themeColor="text1"/>
        </w:rPr>
        <w:t>less likely to be distorted</w:t>
      </w:r>
      <w:r w:rsidRPr="009D4387">
        <w:rPr>
          <w:rFonts w:ascii="Times New Roman" w:hAnsi="Times New Roman" w:cs="Times New Roman"/>
          <w:color w:val="000000" w:themeColor="text1"/>
        </w:rPr>
        <w:t xml:space="preserve"> </w:t>
      </w:r>
      <w:r w:rsidR="002D1410" w:rsidRPr="009D4387">
        <w:rPr>
          <w:rFonts w:ascii="Times New Roman" w:hAnsi="Times New Roman" w:cs="Times New Roman"/>
          <w:color w:val="000000" w:themeColor="text1"/>
        </w:rPr>
        <w:t>if phase encoding direction was</w:t>
      </w:r>
      <w:r w:rsidR="00A17920">
        <w:rPr>
          <w:rFonts w:ascii="Times New Roman" w:hAnsi="Times New Roman" w:cs="Times New Roman"/>
          <w:color w:val="000000" w:themeColor="text1"/>
        </w:rPr>
        <w:t xml:space="preserve"> horizontal</w:t>
      </w:r>
      <w:r w:rsidR="002D1410" w:rsidRPr="009D4387">
        <w:rPr>
          <w:rFonts w:ascii="Times New Roman" w:hAnsi="Times New Roman" w:cs="Times New Roman"/>
          <w:color w:val="000000" w:themeColor="text1"/>
        </w:rPr>
        <w:t>. However, t</w:t>
      </w:r>
      <w:r w:rsidR="005B0781" w:rsidRPr="009D4387">
        <w:rPr>
          <w:rFonts w:ascii="Times New Roman" w:hAnsi="Times New Roman" w:cs="Times New Roman"/>
          <w:color w:val="000000" w:themeColor="text1"/>
        </w:rPr>
        <w:t xml:space="preserve">his association did not exist for DWI </w:t>
      </w:r>
      <w:r w:rsidR="00A77012">
        <w:rPr>
          <w:rFonts w:ascii="Times New Roman" w:hAnsi="Times New Roman" w:cs="Times New Roman"/>
          <w:color w:val="000000" w:themeColor="text1"/>
        </w:rPr>
        <w:t>(Table 5)</w:t>
      </w:r>
      <w:r w:rsidR="005B0781" w:rsidRPr="009D4387">
        <w:rPr>
          <w:rFonts w:ascii="Times New Roman" w:hAnsi="Times New Roman" w:cs="Times New Roman"/>
          <w:color w:val="000000" w:themeColor="text1"/>
        </w:rPr>
        <w:t>.</w:t>
      </w:r>
      <w:r w:rsidR="00466DF6" w:rsidRPr="009D4387">
        <w:rPr>
          <w:rFonts w:ascii="Times New Roman" w:hAnsi="Times New Roman" w:cs="Times New Roman"/>
          <w:color w:val="000000" w:themeColor="text1"/>
        </w:rPr>
        <w:t xml:space="preserve"> </w:t>
      </w:r>
    </w:p>
    <w:p w14:paraId="3A2E9C2C" w14:textId="77777777" w:rsidR="000D0540" w:rsidRPr="00443F9A" w:rsidRDefault="000D0540" w:rsidP="00F17733">
      <w:pPr>
        <w:spacing w:after="0"/>
        <w:ind w:firstLine="720"/>
        <w:jc w:val="both"/>
        <w:rPr>
          <w:rFonts w:ascii="Times New Roman" w:hAnsi="Times New Roman" w:cs="Times New Roman"/>
          <w:color w:val="000000" w:themeColor="text1"/>
        </w:rPr>
      </w:pPr>
    </w:p>
    <w:p w14:paraId="716F0690" w14:textId="77777777" w:rsidR="00A07D14" w:rsidRDefault="00761898" w:rsidP="00F17733">
      <w:pPr>
        <w:spacing w:after="0"/>
        <w:jc w:val="both"/>
        <w:rPr>
          <w:rFonts w:ascii="Times New Roman" w:hAnsi="Times New Roman" w:cs="Times New Roman"/>
          <w:color w:val="000000" w:themeColor="text1"/>
        </w:rPr>
      </w:pPr>
      <w:r w:rsidRPr="009D4387">
        <w:rPr>
          <w:rFonts w:ascii="Times New Roman" w:hAnsi="Times New Roman" w:cs="Times New Roman"/>
          <w:b/>
          <w:color w:val="000000" w:themeColor="text1"/>
        </w:rPr>
        <w:t>Perceived Artifact</w:t>
      </w:r>
      <w:r w:rsidR="001472C7" w:rsidRPr="009D4387">
        <w:rPr>
          <w:rFonts w:ascii="Times New Roman" w:hAnsi="Times New Roman" w:cs="Times New Roman"/>
          <w:b/>
          <w:color w:val="000000" w:themeColor="text1"/>
        </w:rPr>
        <w:t xml:space="preserve"> </w:t>
      </w:r>
      <w:r w:rsidRPr="009D4387">
        <w:rPr>
          <w:rFonts w:ascii="Times New Roman" w:hAnsi="Times New Roman" w:cs="Times New Roman"/>
          <w:b/>
          <w:color w:val="000000" w:themeColor="text1"/>
        </w:rPr>
        <w:t xml:space="preserve">and Impact on </w:t>
      </w:r>
      <w:r w:rsidR="00B53ADA">
        <w:rPr>
          <w:rFonts w:ascii="Times New Roman" w:hAnsi="Times New Roman" w:cs="Times New Roman"/>
          <w:b/>
          <w:color w:val="000000" w:themeColor="text1"/>
        </w:rPr>
        <w:t>Diagnostic</w:t>
      </w:r>
      <w:r w:rsidR="00B53ADA" w:rsidRPr="009D4387">
        <w:rPr>
          <w:rFonts w:ascii="Times New Roman" w:hAnsi="Times New Roman" w:cs="Times New Roman"/>
          <w:b/>
          <w:color w:val="000000" w:themeColor="text1"/>
        </w:rPr>
        <w:t xml:space="preserve"> </w:t>
      </w:r>
      <w:r w:rsidRPr="009D4387">
        <w:rPr>
          <w:rFonts w:ascii="Times New Roman" w:hAnsi="Times New Roman" w:cs="Times New Roman"/>
          <w:b/>
          <w:color w:val="000000" w:themeColor="text1"/>
        </w:rPr>
        <w:t xml:space="preserve">Adequacy and </w:t>
      </w:r>
      <w:r w:rsidR="00B53ADA">
        <w:rPr>
          <w:rFonts w:ascii="Times New Roman" w:hAnsi="Times New Roman" w:cs="Times New Roman"/>
          <w:b/>
          <w:color w:val="000000" w:themeColor="text1"/>
        </w:rPr>
        <w:t xml:space="preserve">Image </w:t>
      </w:r>
      <w:r w:rsidRPr="009D4387">
        <w:rPr>
          <w:rFonts w:ascii="Times New Roman" w:hAnsi="Times New Roman" w:cs="Times New Roman"/>
          <w:b/>
          <w:color w:val="000000" w:themeColor="text1"/>
        </w:rPr>
        <w:t>Quality</w:t>
      </w:r>
    </w:p>
    <w:p w14:paraId="4B5BB5DA" w14:textId="24D8FCDF" w:rsidR="00320FA6" w:rsidRDefault="0003243A"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All p</w:t>
      </w:r>
      <w:r w:rsidR="00761898" w:rsidRPr="009D4387">
        <w:rPr>
          <w:rFonts w:ascii="Times New Roman" w:hAnsi="Times New Roman" w:cs="Times New Roman"/>
          <w:color w:val="000000" w:themeColor="text1"/>
        </w:rPr>
        <w:t>erceived artifacts</w:t>
      </w:r>
      <w:r w:rsidRPr="009D4387">
        <w:rPr>
          <w:rFonts w:ascii="Times New Roman" w:hAnsi="Times New Roman" w:cs="Times New Roman"/>
          <w:color w:val="000000" w:themeColor="text1"/>
        </w:rPr>
        <w:t xml:space="preserve"> (noise, motion, geometric distortion, and aliasing)</w:t>
      </w:r>
      <w:r w:rsidR="00761898"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had a significant association</w:t>
      </w:r>
      <w:r w:rsidR="00AF757B" w:rsidRPr="009D4387">
        <w:rPr>
          <w:rFonts w:ascii="Times New Roman" w:hAnsi="Times New Roman" w:cs="Times New Roman"/>
          <w:color w:val="000000" w:themeColor="text1"/>
        </w:rPr>
        <w:t xml:space="preserve"> </w:t>
      </w:r>
      <w:r w:rsidR="003302D7">
        <w:rPr>
          <w:rFonts w:ascii="Times New Roman" w:hAnsi="Times New Roman" w:cs="Times New Roman"/>
          <w:color w:val="000000" w:themeColor="text1"/>
        </w:rPr>
        <w:t>(</w:t>
      </w:r>
      <w:r w:rsidR="00AF757B" w:rsidRPr="009D4387">
        <w:rPr>
          <w:rFonts w:ascii="Times New Roman" w:hAnsi="Times New Roman" w:cs="Times New Roman"/>
          <w:color w:val="000000" w:themeColor="text1"/>
        </w:rPr>
        <w:t>p-values ≤ 0.01</w:t>
      </w:r>
      <w:r w:rsidR="003302D7">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w:t>
      </w:r>
      <w:r w:rsidR="00AF757B" w:rsidRPr="009D4387">
        <w:rPr>
          <w:rFonts w:ascii="Times New Roman" w:hAnsi="Times New Roman" w:cs="Times New Roman"/>
          <w:color w:val="000000" w:themeColor="text1"/>
        </w:rPr>
        <w:t>for</w:t>
      </w:r>
      <w:r w:rsidRPr="009D4387">
        <w:rPr>
          <w:rFonts w:ascii="Times New Roman" w:hAnsi="Times New Roman" w:cs="Times New Roman"/>
          <w:color w:val="000000" w:themeColor="text1"/>
        </w:rPr>
        <w:t xml:space="preserve"> both image adequacy and quality.</w:t>
      </w:r>
      <w:r w:rsidR="001C323F" w:rsidRPr="009D4387">
        <w:rPr>
          <w:rFonts w:ascii="Times New Roman" w:hAnsi="Times New Roman" w:cs="Times New Roman"/>
          <w:color w:val="000000" w:themeColor="text1"/>
        </w:rPr>
        <w:t xml:space="preserve"> </w:t>
      </w:r>
      <w:r w:rsidR="00761898" w:rsidRPr="009D4387">
        <w:rPr>
          <w:rFonts w:ascii="Times New Roman" w:hAnsi="Times New Roman" w:cs="Times New Roman"/>
          <w:color w:val="000000" w:themeColor="text1"/>
        </w:rPr>
        <w:t>For T2</w:t>
      </w:r>
      <w:r w:rsidR="00110554">
        <w:rPr>
          <w:rFonts w:ascii="Times New Roman" w:hAnsi="Times New Roman" w:cs="Times New Roman"/>
          <w:color w:val="000000" w:themeColor="text1"/>
        </w:rPr>
        <w:t>W</w:t>
      </w:r>
      <w:r w:rsidR="00761898" w:rsidRPr="009D4387">
        <w:rPr>
          <w:rFonts w:ascii="Times New Roman" w:hAnsi="Times New Roman" w:cs="Times New Roman"/>
          <w:color w:val="000000" w:themeColor="text1"/>
        </w:rPr>
        <w:t xml:space="preserve"> images</w:t>
      </w:r>
      <w:r w:rsidR="005C5756">
        <w:rPr>
          <w:rFonts w:ascii="Times New Roman" w:hAnsi="Times New Roman" w:cs="Times New Roman"/>
          <w:color w:val="000000" w:themeColor="text1"/>
        </w:rPr>
        <w:t>,</w:t>
      </w:r>
      <w:r w:rsidR="00761898"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 xml:space="preserve">the perceived artifact with the greatest effect on image quality was noise. The </w:t>
      </w:r>
      <w:r w:rsidR="00AF757B" w:rsidRPr="009D4387">
        <w:rPr>
          <w:rFonts w:ascii="Times New Roman" w:hAnsi="Times New Roman" w:cs="Times New Roman"/>
          <w:color w:val="000000" w:themeColor="text1"/>
        </w:rPr>
        <w:t>tau-b</w:t>
      </w:r>
      <w:r w:rsidRPr="009D4387">
        <w:rPr>
          <w:rFonts w:ascii="Times New Roman" w:hAnsi="Times New Roman" w:cs="Times New Roman"/>
          <w:color w:val="000000" w:themeColor="text1"/>
        </w:rPr>
        <w:t xml:space="preserve"> </w:t>
      </w:r>
      <w:r w:rsidR="00AF757B" w:rsidRPr="009D4387">
        <w:rPr>
          <w:rFonts w:ascii="Times New Roman" w:hAnsi="Times New Roman" w:cs="Times New Roman"/>
          <w:color w:val="000000" w:themeColor="text1"/>
        </w:rPr>
        <w:t>c</w:t>
      </w:r>
      <w:r w:rsidRPr="009D4387">
        <w:rPr>
          <w:rFonts w:ascii="Times New Roman" w:hAnsi="Times New Roman" w:cs="Times New Roman"/>
          <w:color w:val="000000" w:themeColor="text1"/>
        </w:rPr>
        <w:t>orrelation</w:t>
      </w:r>
      <w:r w:rsidR="00AF757B" w:rsidRPr="009D4387">
        <w:rPr>
          <w:rFonts w:ascii="Times New Roman" w:hAnsi="Times New Roman" w:cs="Times New Roman"/>
          <w:color w:val="000000" w:themeColor="text1"/>
        </w:rPr>
        <w:t xml:space="preserve"> coefficient</w:t>
      </w:r>
      <w:r w:rsidRPr="009D4387">
        <w:rPr>
          <w:rFonts w:ascii="Times New Roman" w:hAnsi="Times New Roman" w:cs="Times New Roman"/>
          <w:color w:val="000000" w:themeColor="text1"/>
        </w:rPr>
        <w:t xml:space="preserve"> </w:t>
      </w:r>
      <w:r w:rsidR="00AF757B" w:rsidRPr="009D4387">
        <w:rPr>
          <w:rFonts w:ascii="Times New Roman" w:hAnsi="Times New Roman" w:cs="Times New Roman"/>
          <w:color w:val="000000" w:themeColor="text1"/>
        </w:rPr>
        <w:t>for</w:t>
      </w:r>
      <w:r w:rsidR="001653D4" w:rsidRPr="009D4387">
        <w:rPr>
          <w:rFonts w:ascii="Times New Roman" w:hAnsi="Times New Roman" w:cs="Times New Roman"/>
          <w:color w:val="000000" w:themeColor="text1"/>
        </w:rPr>
        <w:t xml:space="preserve"> noise </w:t>
      </w:r>
      <w:r w:rsidR="001653D4" w:rsidRPr="009D4387">
        <w:rPr>
          <w:rFonts w:ascii="Times New Roman" w:hAnsi="Times New Roman" w:cs="Times New Roman"/>
          <w:color w:val="000000" w:themeColor="text1"/>
        </w:rPr>
        <w:lastRenderedPageBreak/>
        <w:t xml:space="preserve">and </w:t>
      </w:r>
      <w:r w:rsidR="00AF757B" w:rsidRPr="009D4387">
        <w:rPr>
          <w:rFonts w:ascii="Times New Roman" w:hAnsi="Times New Roman" w:cs="Times New Roman"/>
          <w:color w:val="000000" w:themeColor="text1"/>
        </w:rPr>
        <w:t xml:space="preserve">image quality </w:t>
      </w:r>
      <w:r w:rsidRPr="009D4387">
        <w:rPr>
          <w:rFonts w:ascii="Times New Roman" w:hAnsi="Times New Roman" w:cs="Times New Roman"/>
          <w:color w:val="000000" w:themeColor="text1"/>
        </w:rPr>
        <w:t xml:space="preserve">was </w:t>
      </w:r>
      <w:r w:rsidR="00AF757B" w:rsidRPr="009D4387">
        <w:rPr>
          <w:rFonts w:ascii="Times New Roman" w:hAnsi="Times New Roman" w:cs="Times New Roman"/>
          <w:color w:val="000000" w:themeColor="text1"/>
        </w:rPr>
        <w:t>0.58 (SE 0.09). For DWI</w:t>
      </w:r>
      <w:r w:rsidR="005C5756">
        <w:rPr>
          <w:rFonts w:ascii="Times New Roman" w:hAnsi="Times New Roman" w:cs="Times New Roman"/>
          <w:color w:val="000000" w:themeColor="text1"/>
        </w:rPr>
        <w:t>,</w:t>
      </w:r>
      <w:r w:rsidR="00AF757B" w:rsidRPr="009D4387">
        <w:rPr>
          <w:rFonts w:ascii="Times New Roman" w:hAnsi="Times New Roman" w:cs="Times New Roman"/>
          <w:color w:val="000000" w:themeColor="text1"/>
        </w:rPr>
        <w:t xml:space="preserve"> both noise and distortion had particularly strong correlations</w:t>
      </w:r>
      <w:r w:rsidR="001C323F" w:rsidRPr="009D4387">
        <w:rPr>
          <w:rFonts w:ascii="Times New Roman" w:hAnsi="Times New Roman" w:cs="Times New Roman"/>
          <w:color w:val="000000" w:themeColor="text1"/>
        </w:rPr>
        <w:t xml:space="preserve"> with image quality</w:t>
      </w:r>
      <w:r w:rsidR="00AF757B" w:rsidRPr="009D4387">
        <w:rPr>
          <w:rFonts w:ascii="Times New Roman" w:hAnsi="Times New Roman" w:cs="Times New Roman"/>
          <w:color w:val="000000" w:themeColor="text1"/>
        </w:rPr>
        <w:t xml:space="preserve"> with tau-b correlation coefficients of 0.61 (SE 0.09) and 0.54 (SE 0.09) respectively</w:t>
      </w:r>
      <w:r w:rsidR="003446EE">
        <w:rPr>
          <w:rFonts w:ascii="Times New Roman" w:hAnsi="Times New Roman" w:cs="Times New Roman"/>
          <w:color w:val="000000" w:themeColor="text1"/>
        </w:rPr>
        <w:t xml:space="preserve"> (Table </w:t>
      </w:r>
      <w:r w:rsidR="00333762">
        <w:rPr>
          <w:rFonts w:ascii="Times New Roman" w:hAnsi="Times New Roman" w:cs="Times New Roman"/>
          <w:color w:val="000000" w:themeColor="text1"/>
        </w:rPr>
        <w:t>6</w:t>
      </w:r>
      <w:r w:rsidR="003446EE">
        <w:rPr>
          <w:rFonts w:ascii="Times New Roman" w:hAnsi="Times New Roman" w:cs="Times New Roman"/>
          <w:color w:val="000000" w:themeColor="text1"/>
        </w:rPr>
        <w:t>)</w:t>
      </w:r>
      <w:r w:rsidR="00AF757B" w:rsidRPr="009D4387">
        <w:rPr>
          <w:rFonts w:ascii="Times New Roman" w:hAnsi="Times New Roman" w:cs="Times New Roman"/>
          <w:color w:val="000000" w:themeColor="text1"/>
        </w:rPr>
        <w:t>.</w:t>
      </w:r>
    </w:p>
    <w:p w14:paraId="278192BC" w14:textId="292A1DFA" w:rsidR="00715F15" w:rsidRDefault="003A191A"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T</w:t>
      </w:r>
      <w:r w:rsidR="00A07D14">
        <w:rPr>
          <w:rFonts w:ascii="Times New Roman" w:hAnsi="Times New Roman" w:cs="Times New Roman"/>
          <w:color w:val="000000" w:themeColor="text1"/>
        </w:rPr>
        <w:t xml:space="preserve">he frequency </w:t>
      </w:r>
      <w:r w:rsidR="00054781">
        <w:rPr>
          <w:rFonts w:ascii="Times New Roman" w:hAnsi="Times New Roman" w:cs="Times New Roman"/>
          <w:color w:val="000000" w:themeColor="text1"/>
        </w:rPr>
        <w:t xml:space="preserve">with </w:t>
      </w:r>
      <w:r w:rsidR="00A07D14">
        <w:rPr>
          <w:rFonts w:ascii="Times New Roman" w:hAnsi="Times New Roman" w:cs="Times New Roman"/>
          <w:color w:val="000000" w:themeColor="text1"/>
        </w:rPr>
        <w:t xml:space="preserve">which readers scored </w:t>
      </w:r>
      <w:r w:rsidR="00A07D14" w:rsidRPr="009D4387">
        <w:rPr>
          <w:rFonts w:ascii="Times New Roman" w:hAnsi="Times New Roman" w:cs="Times New Roman"/>
          <w:color w:val="000000" w:themeColor="text1"/>
        </w:rPr>
        <w:t>perceived artifact</w:t>
      </w:r>
      <w:r w:rsidR="00A07D14">
        <w:rPr>
          <w:rFonts w:ascii="Times New Roman" w:hAnsi="Times New Roman" w:cs="Times New Roman"/>
          <w:color w:val="000000" w:themeColor="text1"/>
        </w:rPr>
        <w:t>s</w:t>
      </w:r>
      <w:r w:rsidR="00A07D14" w:rsidRPr="009D4387">
        <w:rPr>
          <w:rFonts w:ascii="Times New Roman" w:hAnsi="Times New Roman" w:cs="Times New Roman"/>
          <w:color w:val="000000" w:themeColor="text1"/>
        </w:rPr>
        <w:t xml:space="preserve"> (noise, motion, geometric distortion, and aliasing)</w:t>
      </w:r>
      <w:r w:rsidR="00A07D14">
        <w:rPr>
          <w:rFonts w:ascii="Times New Roman" w:hAnsi="Times New Roman" w:cs="Times New Roman"/>
          <w:color w:val="000000" w:themeColor="text1"/>
        </w:rPr>
        <w:t xml:space="preserve"> as making image interpretation difficult or impossible (</w:t>
      </w:r>
      <w:r w:rsidR="00673D2C">
        <w:rPr>
          <w:rFonts w:ascii="Times New Roman" w:hAnsi="Times New Roman" w:cs="Times New Roman"/>
          <w:color w:val="000000" w:themeColor="text1"/>
        </w:rPr>
        <w:t xml:space="preserve">reader </w:t>
      </w:r>
      <w:r w:rsidR="00A07D14">
        <w:rPr>
          <w:rFonts w:ascii="Times New Roman" w:hAnsi="Times New Roman" w:cs="Times New Roman"/>
          <w:color w:val="000000" w:themeColor="text1"/>
        </w:rPr>
        <w:t>score &lt;</w:t>
      </w:r>
      <w:r w:rsidR="00673D2C">
        <w:rPr>
          <w:rFonts w:ascii="Times New Roman" w:hAnsi="Times New Roman" w:cs="Times New Roman"/>
          <w:color w:val="000000" w:themeColor="text1"/>
        </w:rPr>
        <w:t xml:space="preserve"> </w:t>
      </w:r>
      <w:r w:rsidR="00A07D14">
        <w:rPr>
          <w:rFonts w:ascii="Times New Roman" w:hAnsi="Times New Roman" w:cs="Times New Roman"/>
          <w:color w:val="000000" w:themeColor="text1"/>
        </w:rPr>
        <w:t>3) was also assessed for both T2 and DWI. For T2</w:t>
      </w:r>
      <w:r w:rsidR="005C5756">
        <w:rPr>
          <w:rFonts w:ascii="Times New Roman" w:hAnsi="Times New Roman" w:cs="Times New Roman"/>
          <w:color w:val="000000" w:themeColor="text1"/>
        </w:rPr>
        <w:t>,</w:t>
      </w:r>
      <w:r w:rsidR="00A07D14">
        <w:rPr>
          <w:rFonts w:ascii="Times New Roman" w:hAnsi="Times New Roman" w:cs="Times New Roman"/>
          <w:color w:val="000000" w:themeColor="text1"/>
        </w:rPr>
        <w:t xml:space="preserve"> the frequency at which readers gave scores &lt;</w:t>
      </w:r>
      <w:r w:rsidR="00673D2C">
        <w:rPr>
          <w:rFonts w:ascii="Times New Roman" w:hAnsi="Times New Roman" w:cs="Times New Roman"/>
          <w:color w:val="000000" w:themeColor="text1"/>
        </w:rPr>
        <w:t xml:space="preserve"> </w:t>
      </w:r>
      <w:r w:rsidR="00A07D14">
        <w:rPr>
          <w:rFonts w:ascii="Times New Roman" w:hAnsi="Times New Roman" w:cs="Times New Roman"/>
          <w:color w:val="000000" w:themeColor="text1"/>
        </w:rPr>
        <w:t xml:space="preserve">3 (interpretation difficult or impossible) was 19%, 13%, 6%, and 8% for </w:t>
      </w:r>
      <w:r w:rsidR="00A07D14" w:rsidRPr="009D4387">
        <w:rPr>
          <w:rFonts w:ascii="Times New Roman" w:hAnsi="Times New Roman" w:cs="Times New Roman"/>
          <w:color w:val="000000" w:themeColor="text1"/>
        </w:rPr>
        <w:t>noise, motion, geometric distortion, and aliasing</w:t>
      </w:r>
      <w:r w:rsidR="00A07D14">
        <w:rPr>
          <w:rFonts w:ascii="Times New Roman" w:hAnsi="Times New Roman" w:cs="Times New Roman"/>
          <w:color w:val="000000" w:themeColor="text1"/>
        </w:rPr>
        <w:t xml:space="preserve"> respectively. For DWI</w:t>
      </w:r>
      <w:r w:rsidR="005C5756">
        <w:rPr>
          <w:rFonts w:ascii="Times New Roman" w:hAnsi="Times New Roman" w:cs="Times New Roman"/>
          <w:color w:val="000000" w:themeColor="text1"/>
        </w:rPr>
        <w:t>,</w:t>
      </w:r>
      <w:r w:rsidR="00A07D14">
        <w:rPr>
          <w:rFonts w:ascii="Times New Roman" w:hAnsi="Times New Roman" w:cs="Times New Roman"/>
          <w:color w:val="000000" w:themeColor="text1"/>
        </w:rPr>
        <w:t xml:space="preserve"> 30%, 10%, 27%, and 26% of reader scores were &lt;</w:t>
      </w:r>
      <w:r w:rsidR="00673D2C">
        <w:rPr>
          <w:rFonts w:ascii="Times New Roman" w:hAnsi="Times New Roman" w:cs="Times New Roman"/>
          <w:color w:val="000000" w:themeColor="text1"/>
        </w:rPr>
        <w:t xml:space="preserve"> </w:t>
      </w:r>
      <w:r w:rsidR="00A07D14">
        <w:rPr>
          <w:rFonts w:ascii="Times New Roman" w:hAnsi="Times New Roman" w:cs="Times New Roman"/>
          <w:color w:val="000000" w:themeColor="text1"/>
        </w:rPr>
        <w:t>3</w:t>
      </w:r>
      <w:r w:rsidR="00673D2C">
        <w:rPr>
          <w:rFonts w:ascii="Times New Roman" w:hAnsi="Times New Roman" w:cs="Times New Roman"/>
          <w:color w:val="000000" w:themeColor="text1"/>
        </w:rPr>
        <w:t xml:space="preserve"> (interpretation difficult or impossible)</w:t>
      </w:r>
      <w:r w:rsidR="00A07D14">
        <w:rPr>
          <w:rFonts w:ascii="Times New Roman" w:hAnsi="Times New Roman" w:cs="Times New Roman"/>
          <w:color w:val="000000" w:themeColor="text1"/>
        </w:rPr>
        <w:t xml:space="preserve"> for </w:t>
      </w:r>
      <w:r w:rsidR="00A07D14" w:rsidRPr="009D4387">
        <w:rPr>
          <w:rFonts w:ascii="Times New Roman" w:hAnsi="Times New Roman" w:cs="Times New Roman"/>
          <w:color w:val="000000" w:themeColor="text1"/>
        </w:rPr>
        <w:t>noise, motion, geometric distortion, and aliasing</w:t>
      </w:r>
      <w:r w:rsidR="00A07D14">
        <w:rPr>
          <w:rFonts w:ascii="Times New Roman" w:hAnsi="Times New Roman" w:cs="Times New Roman"/>
          <w:color w:val="000000" w:themeColor="text1"/>
        </w:rPr>
        <w:t xml:space="preserve"> respectively.</w:t>
      </w:r>
    </w:p>
    <w:p w14:paraId="4FCCB911" w14:textId="77777777" w:rsidR="000D0540" w:rsidRPr="009D4387" w:rsidRDefault="000D0540" w:rsidP="00F17733">
      <w:pPr>
        <w:spacing w:after="0"/>
        <w:ind w:firstLine="720"/>
        <w:jc w:val="both"/>
        <w:rPr>
          <w:rFonts w:ascii="Times New Roman" w:hAnsi="Times New Roman" w:cs="Times New Roman"/>
          <w:color w:val="000000" w:themeColor="text1"/>
        </w:rPr>
      </w:pPr>
    </w:p>
    <w:p w14:paraId="30E709B1" w14:textId="7CF41312" w:rsidR="00CE72CD" w:rsidRPr="00E2100C" w:rsidRDefault="007D20B6" w:rsidP="00F17733">
      <w:pPr>
        <w:spacing w:after="0"/>
        <w:jc w:val="both"/>
        <w:rPr>
          <w:rFonts w:ascii="Times New Roman" w:hAnsi="Times New Roman" w:cs="Times New Roman"/>
          <w:color w:val="000000" w:themeColor="text1"/>
        </w:rPr>
      </w:pPr>
      <w:r w:rsidRPr="005E03D9">
        <w:rPr>
          <w:rFonts w:ascii="Times New Roman" w:hAnsi="Times New Roman" w:cs="Times New Roman"/>
          <w:b/>
          <w:color w:val="000000" w:themeColor="text1"/>
          <w:sz w:val="32"/>
        </w:rPr>
        <w:t>Discussion</w:t>
      </w:r>
    </w:p>
    <w:p w14:paraId="0C8DCCC7" w14:textId="6745AA10" w:rsidR="007D1BD4" w:rsidRPr="007D1BD4" w:rsidRDefault="007D1BD4" w:rsidP="007D1BD4">
      <w:pPr>
        <w:spacing w:after="0"/>
        <w:rPr>
          <w:rFonts w:ascii="Times New Roman" w:hAnsi="Times New Roman" w:cs="Times New Roman"/>
          <w:b/>
          <w:bCs/>
          <w:color w:val="000000" w:themeColor="text1"/>
        </w:rPr>
      </w:pPr>
      <w:r w:rsidRPr="007D1BD4">
        <w:rPr>
          <w:rFonts w:ascii="Times New Roman" w:hAnsi="Times New Roman" w:cs="Times New Roman"/>
          <w:b/>
          <w:bCs/>
          <w:color w:val="000000" w:themeColor="text1"/>
        </w:rPr>
        <w:t>Performance of PIRADSv2 Minimum Technical Standards</w:t>
      </w:r>
    </w:p>
    <w:p w14:paraId="2A6BAB83" w14:textId="3DD6995E" w:rsidR="004F5A4E" w:rsidRPr="009D4387" w:rsidRDefault="00054781" w:rsidP="00F17733">
      <w:pPr>
        <w:spacing w:after="0"/>
        <w:ind w:firstLine="720"/>
        <w:rPr>
          <w:rFonts w:ascii="Times New Roman" w:hAnsi="Times New Roman" w:cs="Times New Roman"/>
          <w:color w:val="000000" w:themeColor="text1"/>
        </w:rPr>
      </w:pPr>
      <w:r>
        <w:rPr>
          <w:rFonts w:ascii="Times New Roman" w:hAnsi="Times New Roman" w:cs="Times New Roman"/>
          <w:color w:val="000000" w:themeColor="text1"/>
        </w:rPr>
        <w:t xml:space="preserve">This study shows a disheartening rate of inadequate </w:t>
      </w:r>
      <w:r w:rsidR="009C4E9F">
        <w:rPr>
          <w:rFonts w:ascii="Times New Roman" w:hAnsi="Times New Roman" w:cs="Times New Roman"/>
          <w:color w:val="000000" w:themeColor="text1"/>
        </w:rPr>
        <w:t>exams</w:t>
      </w:r>
      <w:r>
        <w:rPr>
          <w:rFonts w:ascii="Times New Roman" w:hAnsi="Times New Roman" w:cs="Times New Roman"/>
          <w:color w:val="000000" w:themeColor="text1"/>
        </w:rPr>
        <w:t xml:space="preserve"> among mpMRI studies of the prostate.</w:t>
      </w:r>
      <w:r w:rsidR="002F3CDB">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Adherence to PI-RADSv2 </w:t>
      </w:r>
      <w:r w:rsidR="00894F11">
        <w:rPr>
          <w:rFonts w:ascii="Times New Roman" w:hAnsi="Times New Roman" w:cs="Times New Roman"/>
          <w:color w:val="000000" w:themeColor="text1"/>
        </w:rPr>
        <w:t>MTS</w:t>
      </w:r>
      <w:r>
        <w:rPr>
          <w:rFonts w:ascii="Times New Roman" w:hAnsi="Times New Roman" w:cs="Times New Roman"/>
          <w:color w:val="000000" w:themeColor="text1"/>
        </w:rPr>
        <w:t xml:space="preserve"> did not appear to play a role in improving image quality.  Many centers found a way to produce diagnostic images while essentially </w:t>
      </w:r>
      <w:r w:rsidR="009C4E9F">
        <w:rPr>
          <w:rFonts w:ascii="Times New Roman" w:hAnsi="Times New Roman" w:cs="Times New Roman"/>
          <w:color w:val="000000" w:themeColor="text1"/>
        </w:rPr>
        <w:t>overlooking</w:t>
      </w:r>
      <w:r>
        <w:rPr>
          <w:rFonts w:ascii="Times New Roman" w:hAnsi="Times New Roman" w:cs="Times New Roman"/>
          <w:color w:val="000000" w:themeColor="text1"/>
        </w:rPr>
        <w:t xml:space="preserve"> the PI-RADSv2 standards while </w:t>
      </w:r>
      <w:r w:rsidR="00D06F19">
        <w:rPr>
          <w:rFonts w:ascii="Times New Roman" w:hAnsi="Times New Roman" w:cs="Times New Roman"/>
          <w:color w:val="000000" w:themeColor="text1"/>
        </w:rPr>
        <w:t>many who</w:t>
      </w:r>
      <w:r>
        <w:rPr>
          <w:rFonts w:ascii="Times New Roman" w:hAnsi="Times New Roman" w:cs="Times New Roman"/>
          <w:color w:val="000000" w:themeColor="text1"/>
        </w:rPr>
        <w:t xml:space="preserve"> demonstrate</w:t>
      </w:r>
      <w:r w:rsidR="000C29E4">
        <w:rPr>
          <w:rFonts w:ascii="Times New Roman" w:hAnsi="Times New Roman" w:cs="Times New Roman"/>
          <w:color w:val="000000" w:themeColor="text1"/>
        </w:rPr>
        <w:t>d</w:t>
      </w:r>
      <w:r>
        <w:rPr>
          <w:rFonts w:ascii="Times New Roman" w:hAnsi="Times New Roman" w:cs="Times New Roman"/>
          <w:color w:val="000000" w:themeColor="text1"/>
        </w:rPr>
        <w:t xml:space="preserve"> strict adherence to the standards had poor results. While o</w:t>
      </w:r>
      <w:r w:rsidR="00A064E1">
        <w:rPr>
          <w:rFonts w:ascii="Times New Roman" w:hAnsi="Times New Roman" w:cs="Times New Roman"/>
          <w:color w:val="000000" w:themeColor="text1"/>
        </w:rPr>
        <w:t xml:space="preserve">ur study findings indicated that </w:t>
      </w:r>
      <w:r w:rsidR="00294BC8" w:rsidRPr="009D4387">
        <w:rPr>
          <w:rFonts w:ascii="Times New Roman" w:hAnsi="Times New Roman" w:cs="Times New Roman"/>
          <w:color w:val="000000" w:themeColor="text1"/>
        </w:rPr>
        <w:t>T2W imaging</w:t>
      </w:r>
      <w:r w:rsidR="009F4194" w:rsidRPr="009D4387">
        <w:rPr>
          <w:rFonts w:ascii="Times New Roman" w:hAnsi="Times New Roman" w:cs="Times New Roman"/>
          <w:color w:val="000000" w:themeColor="text1"/>
        </w:rPr>
        <w:t xml:space="preserve"> adherence</w:t>
      </w:r>
      <w:r w:rsidR="00294BC8" w:rsidRPr="009D4387">
        <w:rPr>
          <w:rFonts w:ascii="Times New Roman" w:hAnsi="Times New Roman" w:cs="Times New Roman"/>
          <w:color w:val="000000" w:themeColor="text1"/>
        </w:rPr>
        <w:t xml:space="preserve"> </w:t>
      </w:r>
      <w:r w:rsidR="00C67885" w:rsidRPr="009D4387">
        <w:rPr>
          <w:rFonts w:ascii="Times New Roman" w:hAnsi="Times New Roman" w:cs="Times New Roman"/>
          <w:color w:val="000000" w:themeColor="text1"/>
        </w:rPr>
        <w:t>to</w:t>
      </w:r>
      <w:r w:rsidR="00294BC8" w:rsidRPr="009D4387">
        <w:rPr>
          <w:rFonts w:ascii="Times New Roman" w:hAnsi="Times New Roman" w:cs="Times New Roman"/>
          <w:color w:val="000000" w:themeColor="text1"/>
        </w:rPr>
        <w:t xml:space="preserve"> the PI</w:t>
      </w:r>
      <w:r w:rsidR="00827E22">
        <w:rPr>
          <w:rFonts w:ascii="Times New Roman" w:hAnsi="Times New Roman" w:cs="Times New Roman"/>
          <w:color w:val="000000" w:themeColor="text1"/>
        </w:rPr>
        <w:t>-</w:t>
      </w:r>
      <w:r w:rsidR="00294BC8"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00294BC8" w:rsidRPr="009D4387">
        <w:rPr>
          <w:rFonts w:ascii="Times New Roman" w:hAnsi="Times New Roman" w:cs="Times New Roman"/>
          <w:color w:val="000000" w:themeColor="text1"/>
        </w:rPr>
        <w:t xml:space="preserve"> </w:t>
      </w:r>
      <w:r w:rsidR="009F4194" w:rsidRPr="009D4387">
        <w:rPr>
          <w:rFonts w:ascii="Times New Roman" w:hAnsi="Times New Roman" w:cs="Times New Roman"/>
          <w:color w:val="000000" w:themeColor="text1"/>
        </w:rPr>
        <w:t>did increase</w:t>
      </w:r>
      <w:r w:rsidR="00D15BCE" w:rsidRPr="009D4387">
        <w:rPr>
          <w:rFonts w:ascii="Times New Roman" w:hAnsi="Times New Roman" w:cs="Times New Roman"/>
          <w:color w:val="000000" w:themeColor="text1"/>
        </w:rPr>
        <w:t xml:space="preserve"> </w:t>
      </w:r>
      <w:r w:rsidR="009F4194" w:rsidRPr="009D4387">
        <w:rPr>
          <w:rFonts w:ascii="Times New Roman" w:hAnsi="Times New Roman" w:cs="Times New Roman"/>
          <w:color w:val="000000" w:themeColor="text1"/>
        </w:rPr>
        <w:t>the</w:t>
      </w:r>
      <w:r w:rsidR="00D15BCE" w:rsidRPr="009D4387">
        <w:rPr>
          <w:rFonts w:ascii="Times New Roman" w:hAnsi="Times New Roman" w:cs="Times New Roman"/>
          <w:color w:val="000000" w:themeColor="text1"/>
        </w:rPr>
        <w:t xml:space="preserve"> likel</w:t>
      </w:r>
      <w:r w:rsidR="009F4194" w:rsidRPr="009D4387">
        <w:rPr>
          <w:rFonts w:ascii="Times New Roman" w:hAnsi="Times New Roman" w:cs="Times New Roman"/>
          <w:color w:val="000000" w:themeColor="text1"/>
        </w:rPr>
        <w:t>ihood</w:t>
      </w:r>
      <w:r w:rsidR="00D15BCE" w:rsidRPr="009D4387">
        <w:rPr>
          <w:rFonts w:ascii="Times New Roman" w:hAnsi="Times New Roman" w:cs="Times New Roman"/>
          <w:color w:val="000000" w:themeColor="text1"/>
        </w:rPr>
        <w:t xml:space="preserve"> </w:t>
      </w:r>
      <w:r w:rsidR="009F4194" w:rsidRPr="009D4387">
        <w:rPr>
          <w:rFonts w:ascii="Times New Roman" w:hAnsi="Times New Roman" w:cs="Times New Roman"/>
          <w:color w:val="000000" w:themeColor="text1"/>
        </w:rPr>
        <w:t>of</w:t>
      </w:r>
      <w:r w:rsidR="00D15BCE" w:rsidRPr="009D4387">
        <w:rPr>
          <w:rFonts w:ascii="Times New Roman" w:hAnsi="Times New Roman" w:cs="Times New Roman"/>
          <w:color w:val="000000" w:themeColor="text1"/>
        </w:rPr>
        <w:t xml:space="preserve"> be</w:t>
      </w:r>
      <w:r w:rsidR="00FB1991" w:rsidRPr="009D4387">
        <w:rPr>
          <w:rFonts w:ascii="Times New Roman" w:hAnsi="Times New Roman" w:cs="Times New Roman"/>
          <w:color w:val="000000" w:themeColor="text1"/>
        </w:rPr>
        <w:t>ing</w:t>
      </w:r>
      <w:r w:rsidR="00D15BCE" w:rsidRPr="009D4387">
        <w:rPr>
          <w:rFonts w:ascii="Times New Roman" w:hAnsi="Times New Roman" w:cs="Times New Roman"/>
          <w:color w:val="000000" w:themeColor="text1"/>
        </w:rPr>
        <w:t xml:space="preserve"> </w:t>
      </w:r>
      <w:r w:rsidR="00C67885" w:rsidRPr="009D4387">
        <w:rPr>
          <w:rFonts w:ascii="Times New Roman" w:hAnsi="Times New Roman" w:cs="Times New Roman"/>
          <w:color w:val="000000" w:themeColor="text1"/>
        </w:rPr>
        <w:t>scored</w:t>
      </w:r>
      <w:r w:rsidR="00D15BCE" w:rsidRPr="009D4387">
        <w:rPr>
          <w:rFonts w:ascii="Times New Roman" w:hAnsi="Times New Roman" w:cs="Times New Roman"/>
          <w:color w:val="000000" w:themeColor="text1"/>
        </w:rPr>
        <w:t xml:space="preserve"> as higher quality</w:t>
      </w:r>
      <w:r w:rsidR="00F82C7E">
        <w:rPr>
          <w:rFonts w:ascii="Times New Roman" w:hAnsi="Times New Roman" w:cs="Times New Roman"/>
          <w:color w:val="000000" w:themeColor="text1"/>
        </w:rPr>
        <w:t>,</w:t>
      </w:r>
      <w:r w:rsidR="00D15BCE" w:rsidRPr="009D4387">
        <w:rPr>
          <w:rFonts w:ascii="Times New Roman" w:hAnsi="Times New Roman" w:cs="Times New Roman"/>
          <w:color w:val="000000" w:themeColor="text1"/>
        </w:rPr>
        <w:t xml:space="preserve"> </w:t>
      </w:r>
      <w:r w:rsidR="00C67885" w:rsidRPr="009D4387">
        <w:rPr>
          <w:rFonts w:ascii="Times New Roman" w:hAnsi="Times New Roman" w:cs="Times New Roman"/>
          <w:color w:val="000000" w:themeColor="text1"/>
        </w:rPr>
        <w:t>th</w:t>
      </w:r>
      <w:r w:rsidR="00727663">
        <w:rPr>
          <w:rFonts w:ascii="Times New Roman" w:hAnsi="Times New Roman" w:cs="Times New Roman"/>
          <w:color w:val="000000" w:themeColor="text1"/>
        </w:rPr>
        <w:t>e</w:t>
      </w:r>
      <w:r w:rsidR="00C67885" w:rsidRPr="009D4387">
        <w:rPr>
          <w:rFonts w:ascii="Times New Roman" w:hAnsi="Times New Roman" w:cs="Times New Roman"/>
          <w:color w:val="000000" w:themeColor="text1"/>
        </w:rPr>
        <w:t xml:space="preserve"> </w:t>
      </w:r>
      <w:r w:rsidR="00827E22">
        <w:rPr>
          <w:rFonts w:ascii="Times New Roman" w:hAnsi="Times New Roman" w:cs="Times New Roman"/>
          <w:color w:val="000000" w:themeColor="text1"/>
        </w:rPr>
        <w:t xml:space="preserve">actual </w:t>
      </w:r>
      <w:r w:rsidR="00C67885" w:rsidRPr="009D4387">
        <w:rPr>
          <w:rFonts w:ascii="Times New Roman" w:hAnsi="Times New Roman" w:cs="Times New Roman"/>
          <w:color w:val="000000" w:themeColor="text1"/>
        </w:rPr>
        <w:t xml:space="preserve">effect </w:t>
      </w:r>
      <w:r w:rsidR="000C29E4">
        <w:rPr>
          <w:rFonts w:ascii="Times New Roman" w:hAnsi="Times New Roman" w:cs="Times New Roman"/>
          <w:color w:val="000000" w:themeColor="text1"/>
        </w:rPr>
        <w:t>was</w:t>
      </w:r>
      <w:r w:rsidR="000C29E4" w:rsidRPr="009D4387">
        <w:rPr>
          <w:rFonts w:ascii="Times New Roman" w:hAnsi="Times New Roman" w:cs="Times New Roman"/>
          <w:color w:val="000000" w:themeColor="text1"/>
        </w:rPr>
        <w:t xml:space="preserve"> </w:t>
      </w:r>
      <w:r w:rsidR="00C67885" w:rsidRPr="009D4387">
        <w:rPr>
          <w:rFonts w:ascii="Times New Roman" w:hAnsi="Times New Roman" w:cs="Times New Roman"/>
          <w:color w:val="000000" w:themeColor="text1"/>
        </w:rPr>
        <w:t xml:space="preserve">very slight. Furthermore, adherence to the technical standards did not significantly increase the probability that an </w:t>
      </w:r>
      <w:r w:rsidR="006E3928" w:rsidRPr="009D4387">
        <w:rPr>
          <w:rFonts w:ascii="Times New Roman" w:hAnsi="Times New Roman" w:cs="Times New Roman"/>
          <w:color w:val="000000" w:themeColor="text1"/>
        </w:rPr>
        <w:t xml:space="preserve">image would be seen as </w:t>
      </w:r>
      <w:r w:rsidR="0052287C">
        <w:rPr>
          <w:rFonts w:ascii="Times New Roman" w:hAnsi="Times New Roman" w:cs="Times New Roman"/>
          <w:color w:val="000000" w:themeColor="text1"/>
        </w:rPr>
        <w:t xml:space="preserve">diagnostically </w:t>
      </w:r>
      <w:r w:rsidR="006E3928" w:rsidRPr="009D4387">
        <w:rPr>
          <w:rFonts w:ascii="Times New Roman" w:hAnsi="Times New Roman" w:cs="Times New Roman"/>
          <w:color w:val="000000" w:themeColor="text1"/>
        </w:rPr>
        <w:t>adequate</w:t>
      </w:r>
      <w:r>
        <w:rPr>
          <w:rFonts w:ascii="Times New Roman" w:hAnsi="Times New Roman" w:cs="Times New Roman"/>
          <w:color w:val="000000" w:themeColor="text1"/>
        </w:rPr>
        <w:t xml:space="preserve">. </w:t>
      </w:r>
      <w:r w:rsidR="005B1887" w:rsidRPr="009D4387">
        <w:rPr>
          <w:rFonts w:ascii="Times New Roman" w:hAnsi="Times New Roman" w:cs="Times New Roman"/>
          <w:color w:val="000000" w:themeColor="text1"/>
        </w:rPr>
        <w:t>For DWI</w:t>
      </w:r>
      <w:r w:rsidR="005C5756">
        <w:rPr>
          <w:rFonts w:ascii="Times New Roman" w:hAnsi="Times New Roman" w:cs="Times New Roman"/>
          <w:color w:val="000000" w:themeColor="text1"/>
        </w:rPr>
        <w:t>,</w:t>
      </w:r>
      <w:r w:rsidR="005B1887" w:rsidRPr="009D4387">
        <w:rPr>
          <w:rFonts w:ascii="Times New Roman" w:hAnsi="Times New Roman" w:cs="Times New Roman"/>
          <w:color w:val="000000" w:themeColor="text1"/>
        </w:rPr>
        <w:t xml:space="preserve"> the results were even more </w:t>
      </w:r>
      <w:r w:rsidR="000C29E4">
        <w:rPr>
          <w:rFonts w:ascii="Times New Roman" w:hAnsi="Times New Roman" w:cs="Times New Roman"/>
          <w:color w:val="000000" w:themeColor="text1"/>
        </w:rPr>
        <w:t>striking</w:t>
      </w:r>
      <w:r w:rsidR="000C29E4" w:rsidRPr="009D4387">
        <w:rPr>
          <w:rFonts w:ascii="Times New Roman" w:hAnsi="Times New Roman" w:cs="Times New Roman"/>
          <w:color w:val="000000" w:themeColor="text1"/>
        </w:rPr>
        <w:t xml:space="preserve"> </w:t>
      </w:r>
      <w:r w:rsidR="005B1887" w:rsidRPr="009D4387">
        <w:rPr>
          <w:rFonts w:ascii="Times New Roman" w:hAnsi="Times New Roman" w:cs="Times New Roman"/>
          <w:color w:val="000000" w:themeColor="text1"/>
        </w:rPr>
        <w:t>with adherence to the PI</w:t>
      </w:r>
      <w:r w:rsidR="00827E22">
        <w:rPr>
          <w:rFonts w:ascii="Times New Roman" w:hAnsi="Times New Roman" w:cs="Times New Roman"/>
          <w:color w:val="000000" w:themeColor="text1"/>
        </w:rPr>
        <w:t>-</w:t>
      </w:r>
      <w:r w:rsidR="005B1887" w:rsidRPr="009D4387">
        <w:rPr>
          <w:rFonts w:ascii="Times New Roman" w:hAnsi="Times New Roman" w:cs="Times New Roman"/>
          <w:color w:val="000000" w:themeColor="text1"/>
        </w:rPr>
        <w:t xml:space="preserve">RADSv2 </w:t>
      </w:r>
      <w:r w:rsidR="00894F11">
        <w:rPr>
          <w:rFonts w:ascii="Times New Roman" w:hAnsi="Times New Roman" w:cs="Times New Roman"/>
          <w:color w:val="000000" w:themeColor="text1"/>
        </w:rPr>
        <w:t>MTS</w:t>
      </w:r>
      <w:r w:rsidR="005B1887" w:rsidRPr="009D4387">
        <w:rPr>
          <w:rFonts w:ascii="Times New Roman" w:hAnsi="Times New Roman" w:cs="Times New Roman"/>
          <w:color w:val="000000" w:themeColor="text1"/>
        </w:rPr>
        <w:t xml:space="preserve"> having no significant correlation with either adequacy or quality score</w:t>
      </w:r>
      <w:r w:rsidR="00827E22">
        <w:rPr>
          <w:rFonts w:ascii="Times New Roman" w:hAnsi="Times New Roman" w:cs="Times New Roman"/>
          <w:color w:val="000000" w:themeColor="text1"/>
        </w:rPr>
        <w:t>s</w:t>
      </w:r>
      <w:r w:rsidR="005B1887" w:rsidRPr="009D4387">
        <w:rPr>
          <w:rFonts w:ascii="Times New Roman" w:hAnsi="Times New Roman" w:cs="Times New Roman"/>
          <w:color w:val="000000" w:themeColor="text1"/>
        </w:rPr>
        <w:t>.</w:t>
      </w:r>
    </w:p>
    <w:p w14:paraId="7F9F7CC1" w14:textId="49CC3E7F" w:rsidR="00F75D47" w:rsidRDefault="008A6CAD"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 xml:space="preserve">The analysis of each PIRADSv2 </w:t>
      </w:r>
      <w:r w:rsidR="000C29E4">
        <w:rPr>
          <w:rFonts w:ascii="Times New Roman" w:hAnsi="Times New Roman" w:cs="Times New Roman"/>
          <w:color w:val="000000" w:themeColor="text1"/>
        </w:rPr>
        <w:t xml:space="preserve">MTS </w:t>
      </w:r>
      <w:r w:rsidRPr="009D4387">
        <w:rPr>
          <w:rFonts w:ascii="Times New Roman" w:hAnsi="Times New Roman" w:cs="Times New Roman"/>
          <w:color w:val="000000" w:themeColor="text1"/>
        </w:rPr>
        <w:t xml:space="preserve">found no significant relationship </w:t>
      </w:r>
      <w:r w:rsidR="00BA3E27">
        <w:rPr>
          <w:rFonts w:ascii="Times New Roman" w:hAnsi="Times New Roman" w:cs="Times New Roman"/>
          <w:color w:val="000000" w:themeColor="text1"/>
        </w:rPr>
        <w:t xml:space="preserve">with quality or adequacy </w:t>
      </w:r>
      <w:r w:rsidRPr="009D4387">
        <w:rPr>
          <w:rFonts w:ascii="Times New Roman" w:hAnsi="Times New Roman" w:cs="Times New Roman"/>
          <w:color w:val="000000" w:themeColor="text1"/>
        </w:rPr>
        <w:t>for any</w:t>
      </w:r>
      <w:r w:rsidR="00BA3E27">
        <w:rPr>
          <w:rFonts w:ascii="Times New Roman" w:hAnsi="Times New Roman" w:cs="Times New Roman"/>
          <w:color w:val="000000" w:themeColor="text1"/>
        </w:rPr>
        <w:t xml:space="preserve"> current</w:t>
      </w:r>
      <w:r w:rsidRPr="009D4387">
        <w:rPr>
          <w:rFonts w:ascii="Times New Roman" w:hAnsi="Times New Roman" w:cs="Times New Roman"/>
          <w:color w:val="000000" w:themeColor="text1"/>
        </w:rPr>
        <w:t xml:space="preserve"> individual </w:t>
      </w:r>
      <w:r w:rsidR="00752A2B">
        <w:rPr>
          <w:rFonts w:ascii="Times New Roman" w:hAnsi="Times New Roman" w:cs="Times New Roman"/>
          <w:color w:val="000000" w:themeColor="text1"/>
        </w:rPr>
        <w:t>standard</w:t>
      </w:r>
      <w:r w:rsidRPr="009D4387">
        <w:rPr>
          <w:rFonts w:ascii="Times New Roman" w:hAnsi="Times New Roman" w:cs="Times New Roman"/>
          <w:color w:val="000000" w:themeColor="text1"/>
        </w:rPr>
        <w:t xml:space="preserve">. </w:t>
      </w:r>
      <w:r w:rsidR="0029622F">
        <w:rPr>
          <w:rFonts w:ascii="Times New Roman" w:hAnsi="Times New Roman" w:cs="Times New Roman"/>
          <w:color w:val="000000" w:themeColor="text1"/>
        </w:rPr>
        <w:t>This suggests a “recipe-like” standard may not be adequate</w:t>
      </w:r>
      <w:r w:rsidR="005C5756">
        <w:rPr>
          <w:rFonts w:ascii="Times New Roman" w:hAnsi="Times New Roman" w:cs="Times New Roman"/>
          <w:color w:val="000000" w:themeColor="text1"/>
        </w:rPr>
        <w:t>,</w:t>
      </w:r>
      <w:r w:rsidR="0029622F">
        <w:rPr>
          <w:rFonts w:ascii="Times New Roman" w:hAnsi="Times New Roman" w:cs="Times New Roman"/>
          <w:color w:val="000000" w:themeColor="text1"/>
        </w:rPr>
        <w:t xml:space="preserve"> but </w:t>
      </w:r>
      <w:r w:rsidR="0029622F">
        <w:rPr>
          <w:rFonts w:ascii="Times New Roman" w:hAnsi="Times New Roman" w:cs="Times New Roman"/>
          <w:color w:val="000000" w:themeColor="text1"/>
        </w:rPr>
        <w:lastRenderedPageBreak/>
        <w:t xml:space="preserve">rather a standard based on </w:t>
      </w:r>
      <w:r w:rsidR="003A603E">
        <w:rPr>
          <w:rFonts w:ascii="Times New Roman" w:hAnsi="Times New Roman" w:cs="Times New Roman"/>
          <w:color w:val="000000" w:themeColor="text1"/>
        </w:rPr>
        <w:t xml:space="preserve">objective </w:t>
      </w:r>
      <w:r w:rsidR="0029622F">
        <w:rPr>
          <w:rFonts w:ascii="Times New Roman" w:hAnsi="Times New Roman" w:cs="Times New Roman"/>
          <w:color w:val="000000" w:themeColor="text1"/>
        </w:rPr>
        <w:t>ima</w:t>
      </w:r>
      <w:r w:rsidR="003A603E">
        <w:rPr>
          <w:rFonts w:ascii="Times New Roman" w:hAnsi="Times New Roman" w:cs="Times New Roman"/>
          <w:color w:val="000000" w:themeColor="text1"/>
        </w:rPr>
        <w:t>ging</w:t>
      </w:r>
      <w:r w:rsidR="0029622F">
        <w:rPr>
          <w:rFonts w:ascii="Times New Roman" w:hAnsi="Times New Roman" w:cs="Times New Roman"/>
          <w:color w:val="000000" w:themeColor="text1"/>
        </w:rPr>
        <w:t xml:space="preserve"> </w:t>
      </w:r>
      <w:r w:rsidR="003A603E">
        <w:rPr>
          <w:rFonts w:ascii="Times New Roman" w:hAnsi="Times New Roman" w:cs="Times New Roman"/>
          <w:color w:val="000000" w:themeColor="text1"/>
        </w:rPr>
        <w:t xml:space="preserve">characteristics </w:t>
      </w:r>
      <w:r w:rsidR="0029622F">
        <w:rPr>
          <w:rFonts w:ascii="Times New Roman" w:hAnsi="Times New Roman" w:cs="Times New Roman"/>
          <w:color w:val="000000" w:themeColor="text1"/>
        </w:rPr>
        <w:t xml:space="preserve">may be needed. </w:t>
      </w:r>
      <w:r w:rsidR="00BA3E27">
        <w:rPr>
          <w:rFonts w:ascii="Times New Roman" w:hAnsi="Times New Roman" w:cs="Times New Roman"/>
          <w:color w:val="000000" w:themeColor="text1"/>
        </w:rPr>
        <w:t>Despite this</w:t>
      </w:r>
      <w:r w:rsidR="00641968" w:rsidRPr="009D4387">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we </w:t>
      </w:r>
      <w:r w:rsidR="0029622F">
        <w:rPr>
          <w:rFonts w:ascii="Times New Roman" w:hAnsi="Times New Roman" w:cs="Times New Roman"/>
          <w:color w:val="000000" w:themeColor="text1"/>
        </w:rPr>
        <w:t>did find a</w:t>
      </w:r>
      <w:r w:rsidRPr="009D4387">
        <w:rPr>
          <w:rFonts w:ascii="Times New Roman" w:hAnsi="Times New Roman" w:cs="Times New Roman"/>
          <w:color w:val="000000" w:themeColor="text1"/>
        </w:rPr>
        <w:t xml:space="preserve"> significant </w:t>
      </w:r>
      <w:r w:rsidR="0029622F">
        <w:rPr>
          <w:rFonts w:ascii="Times New Roman" w:hAnsi="Times New Roman" w:cs="Times New Roman"/>
          <w:color w:val="000000" w:themeColor="text1"/>
        </w:rPr>
        <w:t>improvement in</w:t>
      </w:r>
      <w:r w:rsidRPr="009D4387">
        <w:rPr>
          <w:rFonts w:ascii="Times New Roman" w:hAnsi="Times New Roman" w:cs="Times New Roman"/>
          <w:color w:val="000000" w:themeColor="text1"/>
        </w:rPr>
        <w:t xml:space="preserve"> quality and distortion </w:t>
      </w:r>
      <w:r w:rsidR="0029622F">
        <w:rPr>
          <w:rFonts w:ascii="Times New Roman" w:hAnsi="Times New Roman" w:cs="Times New Roman"/>
          <w:color w:val="000000" w:themeColor="text1"/>
        </w:rPr>
        <w:t>for</w:t>
      </w:r>
      <w:r w:rsidR="00BA3E27">
        <w:rPr>
          <w:rFonts w:ascii="Times New Roman" w:hAnsi="Times New Roman" w:cs="Times New Roman"/>
          <w:color w:val="000000" w:themeColor="text1"/>
        </w:rPr>
        <w:t xml:space="preserve"> T2</w:t>
      </w:r>
      <w:r w:rsidR="008839E5">
        <w:rPr>
          <w:rFonts w:ascii="Times New Roman" w:hAnsi="Times New Roman" w:cs="Times New Roman"/>
          <w:color w:val="000000" w:themeColor="text1"/>
        </w:rPr>
        <w:t>W</w:t>
      </w:r>
      <w:r w:rsidR="00BA3E27">
        <w:rPr>
          <w:rFonts w:ascii="Times New Roman" w:hAnsi="Times New Roman" w:cs="Times New Roman"/>
          <w:color w:val="000000" w:themeColor="text1"/>
        </w:rPr>
        <w:t xml:space="preserve"> sequences </w:t>
      </w:r>
      <w:r w:rsidR="0029622F">
        <w:rPr>
          <w:rFonts w:ascii="Times New Roman" w:hAnsi="Times New Roman" w:cs="Times New Roman"/>
          <w:color w:val="000000" w:themeColor="text1"/>
        </w:rPr>
        <w:t>using</w:t>
      </w:r>
      <w:r w:rsidRPr="009D4387">
        <w:rPr>
          <w:rFonts w:ascii="Times New Roman" w:hAnsi="Times New Roman" w:cs="Times New Roman"/>
          <w:color w:val="000000" w:themeColor="text1"/>
        </w:rPr>
        <w:t xml:space="preserve"> </w:t>
      </w:r>
      <w:r w:rsidR="00A17920">
        <w:rPr>
          <w:rFonts w:ascii="Times New Roman" w:hAnsi="Times New Roman" w:cs="Times New Roman"/>
          <w:color w:val="000000" w:themeColor="text1"/>
        </w:rPr>
        <w:t xml:space="preserve">horizontal </w:t>
      </w:r>
      <w:r w:rsidRPr="009D4387">
        <w:rPr>
          <w:rFonts w:ascii="Times New Roman" w:hAnsi="Times New Roman" w:cs="Times New Roman"/>
          <w:color w:val="000000" w:themeColor="text1"/>
        </w:rPr>
        <w:t>phase encoding direction</w:t>
      </w:r>
      <w:r w:rsidR="000C29E4">
        <w:rPr>
          <w:rFonts w:ascii="Times New Roman" w:hAnsi="Times New Roman" w:cs="Times New Roman"/>
          <w:color w:val="000000" w:themeColor="text1"/>
        </w:rPr>
        <w:t xml:space="preserve"> suggesting this feature should be included in future PIRADS versions.</w:t>
      </w:r>
    </w:p>
    <w:p w14:paraId="619E9B73" w14:textId="77777777" w:rsidR="007D1BD4" w:rsidRDefault="007D1BD4" w:rsidP="007D1BD4">
      <w:pPr>
        <w:spacing w:after="0"/>
        <w:jc w:val="both"/>
        <w:rPr>
          <w:rFonts w:ascii="Times New Roman" w:hAnsi="Times New Roman" w:cs="Times New Roman"/>
          <w:b/>
          <w:color w:val="000000" w:themeColor="text1"/>
        </w:rPr>
      </w:pPr>
    </w:p>
    <w:p w14:paraId="3B867D7B" w14:textId="15DD309C" w:rsidR="007D1BD4" w:rsidRDefault="007D1BD4" w:rsidP="007D1BD4">
      <w:pPr>
        <w:spacing w:after="0"/>
        <w:jc w:val="both"/>
        <w:rPr>
          <w:rFonts w:ascii="Times New Roman" w:hAnsi="Times New Roman" w:cs="Times New Roman"/>
          <w:b/>
          <w:color w:val="000000" w:themeColor="text1"/>
        </w:rPr>
      </w:pPr>
      <w:r w:rsidRPr="007D1BD4">
        <w:rPr>
          <w:rFonts w:ascii="Times New Roman" w:hAnsi="Times New Roman" w:cs="Times New Roman"/>
          <w:b/>
          <w:color w:val="000000" w:themeColor="text1"/>
        </w:rPr>
        <w:t>Variable Quality and Adequacy of prostate imaging</w:t>
      </w:r>
    </w:p>
    <w:p w14:paraId="2481F2D9" w14:textId="1A9050C3" w:rsidR="00F75D47" w:rsidRDefault="00827E22"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As expected, m</w:t>
      </w:r>
      <w:r w:rsidR="00F75D47" w:rsidRPr="009D4387">
        <w:rPr>
          <w:rFonts w:ascii="Times New Roman" w:hAnsi="Times New Roman" w:cs="Times New Roman"/>
          <w:color w:val="000000" w:themeColor="text1"/>
        </w:rPr>
        <w:t>any centers struggle to achieve adequate image quality for prostate MRI</w:t>
      </w:r>
      <w:r w:rsidR="00F82C7E">
        <w:rPr>
          <w:rFonts w:ascii="Times New Roman" w:hAnsi="Times New Roman" w:cs="Times New Roman"/>
          <w:color w:val="000000" w:themeColor="text1"/>
        </w:rPr>
        <w:t>.</w:t>
      </w:r>
      <w:r w:rsidR="00F75D47" w:rsidRPr="009D4387">
        <w:rPr>
          <w:rFonts w:ascii="Times New Roman" w:hAnsi="Times New Roman" w:cs="Times New Roman"/>
          <w:color w:val="000000" w:themeColor="text1"/>
        </w:rPr>
        <w:t xml:space="preserve"> </w:t>
      </w:r>
      <w:r w:rsidR="00F82C7E">
        <w:rPr>
          <w:rFonts w:ascii="Times New Roman" w:hAnsi="Times New Roman" w:cs="Times New Roman"/>
          <w:color w:val="000000" w:themeColor="text1"/>
        </w:rPr>
        <w:t>T</w:t>
      </w:r>
      <w:r w:rsidR="00F75D47" w:rsidRPr="009D4387">
        <w:rPr>
          <w:rFonts w:ascii="Times New Roman" w:hAnsi="Times New Roman" w:cs="Times New Roman"/>
          <w:color w:val="000000" w:themeColor="text1"/>
        </w:rPr>
        <w:t>his problem is particularly acute for DW</w:t>
      </w:r>
      <w:r w:rsidR="008839E5">
        <w:rPr>
          <w:rFonts w:ascii="Times New Roman" w:hAnsi="Times New Roman" w:cs="Times New Roman"/>
          <w:color w:val="000000" w:themeColor="text1"/>
        </w:rPr>
        <w:t xml:space="preserve">I </w:t>
      </w:r>
      <w:r w:rsidR="00F75D47" w:rsidRPr="009D4387">
        <w:rPr>
          <w:rFonts w:ascii="Times New Roman" w:hAnsi="Times New Roman" w:cs="Times New Roman"/>
          <w:color w:val="000000" w:themeColor="text1"/>
        </w:rPr>
        <w:t xml:space="preserve">sequences with only 61% (as opposed to 83% for T2) scored as adequate by </w:t>
      </w:r>
      <w:r w:rsidR="002E4169">
        <w:rPr>
          <w:rFonts w:ascii="Times New Roman" w:hAnsi="Times New Roman" w:cs="Times New Roman"/>
          <w:color w:val="000000" w:themeColor="text1"/>
        </w:rPr>
        <w:t xml:space="preserve">a </w:t>
      </w:r>
      <w:r w:rsidR="00F75D47" w:rsidRPr="009D4387">
        <w:rPr>
          <w:rFonts w:ascii="Times New Roman" w:hAnsi="Times New Roman" w:cs="Times New Roman"/>
          <w:color w:val="000000" w:themeColor="text1"/>
        </w:rPr>
        <w:t xml:space="preserve">majority of </w:t>
      </w:r>
      <w:r>
        <w:rPr>
          <w:rFonts w:ascii="Times New Roman" w:hAnsi="Times New Roman" w:cs="Times New Roman"/>
          <w:color w:val="000000" w:themeColor="text1"/>
        </w:rPr>
        <w:t xml:space="preserve">our study </w:t>
      </w:r>
      <w:r w:rsidR="00F75D47" w:rsidRPr="009D4387">
        <w:rPr>
          <w:rFonts w:ascii="Times New Roman" w:hAnsi="Times New Roman" w:cs="Times New Roman"/>
          <w:color w:val="000000" w:themeColor="text1"/>
        </w:rPr>
        <w:t xml:space="preserve">readers. Additionally, </w:t>
      </w:r>
      <w:r w:rsidR="00F75D47">
        <w:rPr>
          <w:rFonts w:ascii="Times New Roman" w:hAnsi="Times New Roman" w:cs="Times New Roman"/>
          <w:color w:val="000000" w:themeColor="text1"/>
        </w:rPr>
        <w:t>among</w:t>
      </w:r>
      <w:r w:rsidR="00F75D47" w:rsidRPr="009D4387">
        <w:rPr>
          <w:rFonts w:ascii="Times New Roman" w:hAnsi="Times New Roman" w:cs="Times New Roman"/>
          <w:color w:val="000000" w:themeColor="text1"/>
        </w:rPr>
        <w:t xml:space="preserve"> those images which are adequate for use relatively few were considered by readers to be high quality</w:t>
      </w:r>
      <w:r w:rsidR="00F75D47">
        <w:rPr>
          <w:rFonts w:ascii="Times New Roman" w:hAnsi="Times New Roman" w:cs="Times New Roman"/>
          <w:color w:val="000000" w:themeColor="text1"/>
        </w:rPr>
        <w:t xml:space="preserve">. </w:t>
      </w:r>
      <w:r w:rsidR="00F75D47" w:rsidRPr="009D4387">
        <w:rPr>
          <w:rFonts w:ascii="Times New Roman" w:hAnsi="Times New Roman" w:cs="Times New Roman"/>
          <w:color w:val="000000" w:themeColor="text1"/>
        </w:rPr>
        <w:t xml:space="preserve">The wide variability in image quality indicates a need for quality assurance and protocols to standardize image quality in prostate mpMRI. </w:t>
      </w:r>
      <w:r w:rsidR="0029622F">
        <w:rPr>
          <w:rFonts w:ascii="Times New Roman" w:hAnsi="Times New Roman" w:cs="Times New Roman"/>
          <w:color w:val="000000" w:themeColor="text1"/>
        </w:rPr>
        <w:t>We suggest greater involvement of MR</w:t>
      </w:r>
      <w:r w:rsidR="008839E5">
        <w:rPr>
          <w:rFonts w:ascii="Times New Roman" w:hAnsi="Times New Roman" w:cs="Times New Roman"/>
          <w:color w:val="000000" w:themeColor="text1"/>
        </w:rPr>
        <w:t>I</w:t>
      </w:r>
      <w:r w:rsidR="0029622F">
        <w:rPr>
          <w:rFonts w:ascii="Times New Roman" w:hAnsi="Times New Roman" w:cs="Times New Roman"/>
          <w:color w:val="000000" w:themeColor="text1"/>
        </w:rPr>
        <w:t xml:space="preserve"> vendors and MR</w:t>
      </w:r>
      <w:r w:rsidR="008839E5">
        <w:rPr>
          <w:rFonts w:ascii="Times New Roman" w:hAnsi="Times New Roman" w:cs="Times New Roman"/>
          <w:color w:val="000000" w:themeColor="text1"/>
        </w:rPr>
        <w:t>I</w:t>
      </w:r>
      <w:r w:rsidR="0029622F">
        <w:rPr>
          <w:rFonts w:ascii="Times New Roman" w:hAnsi="Times New Roman" w:cs="Times New Roman"/>
          <w:color w:val="000000" w:themeColor="text1"/>
        </w:rPr>
        <w:t xml:space="preserve"> physicists in the improvement of mpMRI. </w:t>
      </w:r>
      <w:r w:rsidR="00F75D47" w:rsidRPr="009D4387">
        <w:rPr>
          <w:rFonts w:ascii="Times New Roman" w:hAnsi="Times New Roman" w:cs="Times New Roman"/>
          <w:color w:val="000000" w:themeColor="text1"/>
        </w:rPr>
        <w:t xml:space="preserve">This has </w:t>
      </w:r>
      <w:r w:rsidR="00F75D47">
        <w:rPr>
          <w:rFonts w:ascii="Times New Roman" w:hAnsi="Times New Roman" w:cs="Times New Roman"/>
          <w:color w:val="000000" w:themeColor="text1"/>
        </w:rPr>
        <w:t>long been</w:t>
      </w:r>
      <w:r w:rsidR="00F75D47" w:rsidRPr="009D4387">
        <w:rPr>
          <w:rFonts w:ascii="Times New Roman" w:hAnsi="Times New Roman" w:cs="Times New Roman"/>
          <w:color w:val="000000" w:themeColor="text1"/>
        </w:rPr>
        <w:t xml:space="preserve"> discussed in the prostate mpMRI community</w:t>
      </w:r>
      <w:r w:rsidR="003A603E">
        <w:rPr>
          <w:rFonts w:ascii="Times New Roman" w:hAnsi="Times New Roman" w:cs="Times New Roman"/>
          <w:color w:val="000000" w:themeColor="text1"/>
        </w:rPr>
        <w:t>.</w:t>
      </w:r>
      <w:r w:rsidR="001217D5">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{"citationItems":[{"id":"ITEM-1","itemData":{"DOI":"10.2214/AJR.15.15765","ISSN":"1546-3141","PMID":"26913638","abstract":"OBJECTIVE The purpose of this article is to highlight the potential challenges associated with the Prostate Imaging Reporting and Data System, version 2 (PI-RADS v2), and to offer, when possible, suggestions and ideas for improvement. CONCLUSION PI-RADS v2 offers clear improvements to its earlier version and will greatly benefit the prostate MRI community. Nonetheless, caution remains on the basis of early user experience, and potential ambiguities and gaps of PI-RADS v2 are noted. Continued data-driven clarification and refinement of the guidelines will be invaluable for PI-RADS v2 to achieve its goal of improving patient care.","author":[{"dropping-particle":"","family":"Rosenkrantz","given":"Andrew B","non-dropping-particle":"","parse-names":false,"suffix":""},{"dropping-particle":"","family":"Oto","given":"Aytekin","non-dropping-particle":"","parse-names":false,"suffix":""},{"dropping-particle":"","family":"Turkbey","given":"Baris","non-dropping-particle":"","parse-names":false,"suffix":""},{"dropping-particle":"","family":"Westphalen","given":"Antonio C","non-dropping-particle":"","parse-names":false,"suffix":""}],"container-title":"AJR. American journal of roentgenology","id":"ITEM-1","issue":"6","issued":{"date-parts":[["2016","6"]]},"page":"1179-83","title":"Prostate Imaging Reporting and Data System (PI-RADS), Version 2: A Critical Look.","type":"article-journal","volume":"206"},"uris":["http://www.mendeley.com/documents/?uuid=c2a33930-e255-40a6-9f87-c986784598c8"]},{"id":"ITEM-2","itemData":{"DOI":"10.1016/j.eururo.2018.05.035","ISSN":"03022838","PMID":"29908876","abstract":"CONTEXT The Prostate Imaging-Reporting and Data System (PI-RADS) v2 analysis system for multiparametric magnetic resonance imaging (mpMRI) detection of prostate cancer (PCa) is based on PI-RADS v1, accumulated scientific evidence, and expert consensus opinion. OBJECTIVE To summarize the accuracy, strengths and weaknesses of PI-RADS v2, discuss pathway implications of its use and outline opportunities for improvements and future developments. EVIDENCE ACQUISITION For this consensus expert opinion from the PI-RADS steering committee, clinical studies, systematic reviews, and professional guidelines for mpMRI PCa detection were evaluated. We focused on the performance characteristics of PI-RADS v2, comparing data to systems based on clinicoradiologic Likert scales and non-PI-RADS v2 imaging only. Evidence selections were based on high-quality, prospective, histologically verified data, with minimal patient selection and verifications biases. EVIDENCE SYNTHESIS It has been shown that the test performance of PI-RADS v2 in research and clinical practice retains higher accuracy over systematic transrectal ultrasound (TRUS) biopsies for PCa diagnosis. PI-RADS v2 fails to detect all cancers but does detect the majority of tumors capable of causing patient harm, which should not be missed. Test performance depends on the definition and prevalence of clinically significant disease. Good performance can be attained in practice when the quality of the diagnostic process can be assured, together with joint working of robustly trained radiologists and urologists, conducting biopsy procedures within multidisciplinary teams. CONCLUSIONS It has been shown that the test performance of PI-RADS v2 in research and clinical practice is improved, retaining higher accuracy over systematic TRUS biopsies for PCa diagnosis. PATIENT SUMMARY Multiparametric magnetic resonance imaging (MRI) and MRI-directed biopsies using the Prostate Imaging-Reporting and Data System improves the detection of prostate cancers likely to cause harm, and at the same time decreases the detection of disease that does not lead to harms if left untreated. The keys to success are high-quality imaging, reporting, and biopsies by radiologists and urologists working together in multidisciplinary teams.","author":[{"dropping-particle":"","family":"Padhani","given":"Anwar R","non-dropping-particle":"","parse-names":false,"suffix":""},{"dropping-particle":"","family":"Weinreb","given":"Jeffrey","non-dropping-particle":"","parse-names":false,"suffix":""},{"dropping-particle":"","family":"Rosenkrantz","given":"Andrew B","non-dropping-particle":"","parse-names":false,"suffix":""},{"dropping-particle":"","family":"Villeirs","given":"Geert","non-dropping-particle":"","parse-names":false,"suffix":""},{"dropping-particle":"","family":"Turkbey","given":"Baris","non-dropping-particle":"","parse-names":false,"suffix":""},{"dropping-particle":"","family":"Barentsz","given":"Jelle","non-dropping-particle":"","parse-names":false,"suffix":""}],"container-title":"European Urology","id":"ITEM-2","issue":"3","issued":{"date-parts":[["2019","3","13"]]},"page":"385-396","title":"Prostate Imaging-Reporting and Data System Steering Committee: PI-RADS v2 Status Update and Future Directions","type":"article-journal","volume":"75"},"uris":["http://www.mendeley.com/documents/?uuid=ad3c1e66-d9f6-4483-af3a-3e4d03bdc480"]}],"mendeley":{"formattedCitation":"(4, 17)","plainTextFormattedCitation":"(4, 17)","previouslyFormattedCitation":"(4, 17)"},"properties":{"noteIndex":0},"schema":"https://github.com/citation-style-language/schema/raw/master/csl-citation.json"}</w:instrText>
      </w:r>
      <w:r w:rsidR="001217D5">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(4, 17)</w:t>
      </w:r>
      <w:r w:rsidR="001217D5">
        <w:rPr>
          <w:rFonts w:ascii="Times New Roman" w:hAnsi="Times New Roman" w:cs="Times New Roman"/>
          <w:color w:val="000000" w:themeColor="text1"/>
        </w:rPr>
        <w:fldChar w:fldCharType="end"/>
      </w:r>
      <w:r w:rsidR="00F75D47" w:rsidRPr="009D4387">
        <w:rPr>
          <w:rFonts w:ascii="Times New Roman" w:hAnsi="Times New Roman" w:cs="Times New Roman"/>
          <w:color w:val="000000" w:themeColor="text1"/>
        </w:rPr>
        <w:t xml:space="preserve"> However, </w:t>
      </w:r>
      <w:r w:rsidR="005510E3">
        <w:rPr>
          <w:rFonts w:ascii="Times New Roman" w:hAnsi="Times New Roman" w:cs="Times New Roman"/>
          <w:color w:val="000000" w:themeColor="text1"/>
        </w:rPr>
        <w:t xml:space="preserve">the problem </w:t>
      </w:r>
      <w:r w:rsidR="00BB229B">
        <w:rPr>
          <w:rFonts w:ascii="Times New Roman" w:hAnsi="Times New Roman" w:cs="Times New Roman"/>
          <w:color w:val="000000" w:themeColor="text1"/>
        </w:rPr>
        <w:t>has</w:t>
      </w:r>
      <w:r w:rsidR="005510E3">
        <w:rPr>
          <w:rFonts w:ascii="Times New Roman" w:hAnsi="Times New Roman" w:cs="Times New Roman"/>
          <w:color w:val="000000" w:themeColor="text1"/>
        </w:rPr>
        <w:t xml:space="preserve"> never been clearly defined</w:t>
      </w:r>
      <w:r w:rsidR="00F75D47" w:rsidRPr="009D4387">
        <w:rPr>
          <w:rFonts w:ascii="Times New Roman" w:hAnsi="Times New Roman" w:cs="Times New Roman"/>
          <w:color w:val="000000" w:themeColor="text1"/>
        </w:rPr>
        <w:t>.</w:t>
      </w:r>
    </w:p>
    <w:p w14:paraId="29EDEC41" w14:textId="77777777" w:rsidR="007D1BD4" w:rsidRDefault="007D1BD4" w:rsidP="007D1BD4">
      <w:pPr>
        <w:spacing w:after="0"/>
        <w:jc w:val="both"/>
        <w:rPr>
          <w:rFonts w:ascii="Times New Roman" w:hAnsi="Times New Roman" w:cs="Times New Roman"/>
          <w:b/>
          <w:bCs/>
          <w:color w:val="000000" w:themeColor="text1"/>
        </w:rPr>
      </w:pPr>
    </w:p>
    <w:p w14:paraId="4A8AEF67" w14:textId="5590AA9B" w:rsidR="007D1BD4" w:rsidRPr="007D1BD4" w:rsidRDefault="007D1BD4" w:rsidP="007D1BD4">
      <w:pPr>
        <w:spacing w:after="0"/>
        <w:jc w:val="both"/>
        <w:rPr>
          <w:rFonts w:ascii="Times New Roman" w:hAnsi="Times New Roman" w:cs="Times New Roman"/>
          <w:b/>
          <w:bCs/>
          <w:color w:val="000000" w:themeColor="text1"/>
        </w:rPr>
      </w:pPr>
      <w:r w:rsidRPr="007D1BD4">
        <w:rPr>
          <w:rFonts w:ascii="Times New Roman" w:hAnsi="Times New Roman" w:cs="Times New Roman"/>
          <w:b/>
          <w:bCs/>
          <w:color w:val="000000" w:themeColor="text1"/>
        </w:rPr>
        <w:t>Adherence to PIRADSv2 Minimum Technical Standards</w:t>
      </w:r>
    </w:p>
    <w:p w14:paraId="5D38F880" w14:textId="6D0864B4" w:rsidR="007D1BD4" w:rsidRDefault="00F75D47" w:rsidP="007D1BD4">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Several of the</w:t>
      </w:r>
      <w:r w:rsidR="00EB4D1D">
        <w:rPr>
          <w:rFonts w:ascii="Times New Roman" w:hAnsi="Times New Roman" w:cs="Times New Roman"/>
          <w:color w:val="000000" w:themeColor="text1"/>
        </w:rPr>
        <w:t xml:space="preserve"> PI-RADS</w:t>
      </w:r>
      <w:r w:rsidRPr="009D4387">
        <w:rPr>
          <w:rFonts w:ascii="Times New Roman" w:hAnsi="Times New Roman" w:cs="Times New Roman"/>
          <w:color w:val="000000" w:themeColor="text1"/>
        </w:rPr>
        <w:t xml:space="preserve"> standards had particularly low adherence</w:t>
      </w:r>
      <w:r w:rsidR="00EB4D1D">
        <w:rPr>
          <w:rFonts w:ascii="Times New Roman" w:hAnsi="Times New Roman" w:cs="Times New Roman"/>
          <w:color w:val="000000" w:themeColor="text1"/>
        </w:rPr>
        <w:t xml:space="preserve"> rates suggesting they may be difficult to implement on some scanners</w:t>
      </w:r>
      <w:r w:rsidRPr="009D4387">
        <w:rPr>
          <w:rFonts w:ascii="Times New Roman" w:hAnsi="Times New Roman" w:cs="Times New Roman"/>
          <w:color w:val="000000" w:themeColor="text1"/>
        </w:rPr>
        <w:t>. In T2</w:t>
      </w:r>
      <w:r w:rsidR="008839E5">
        <w:rPr>
          <w:rFonts w:ascii="Times New Roman" w:hAnsi="Times New Roman" w:cs="Times New Roman"/>
          <w:color w:val="000000" w:themeColor="text1"/>
        </w:rPr>
        <w:t>W</w:t>
      </w:r>
      <w:r w:rsidRPr="009D4387">
        <w:rPr>
          <w:rFonts w:ascii="Times New Roman" w:hAnsi="Times New Roman" w:cs="Times New Roman"/>
          <w:color w:val="000000" w:themeColor="text1"/>
        </w:rPr>
        <w:t xml:space="preserve"> sequences</w:t>
      </w:r>
      <w:r w:rsidR="005C5756">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the in-plane resolution frequency ≤ 0.4mm had an adherence rate of only 52% and</w:t>
      </w:r>
      <w:r w:rsidR="005C5756">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in DWI</w:t>
      </w:r>
      <w:r w:rsidR="005C5756">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only 35% of images analyzed were adherent to upper limit for FOV≤220mm.</w:t>
      </w:r>
      <w:r w:rsidR="00264BE2">
        <w:rPr>
          <w:rFonts w:ascii="Times New Roman" w:hAnsi="Times New Roman" w:cs="Times New Roman"/>
          <w:color w:val="000000" w:themeColor="text1"/>
        </w:rPr>
        <w:t xml:space="preserve"> Th</w:t>
      </w:r>
      <w:r w:rsidR="00D06F19">
        <w:rPr>
          <w:rFonts w:ascii="Times New Roman" w:hAnsi="Times New Roman" w:cs="Times New Roman"/>
          <w:color w:val="000000" w:themeColor="text1"/>
        </w:rPr>
        <w:t>is is the same pattern of</w:t>
      </w:r>
      <w:r w:rsidR="00264BE2">
        <w:rPr>
          <w:rFonts w:ascii="Times New Roman" w:hAnsi="Times New Roman" w:cs="Times New Roman"/>
          <w:color w:val="000000" w:themeColor="text1"/>
        </w:rPr>
        <w:t xml:space="preserve"> adherence</w:t>
      </w:r>
      <w:r w:rsidR="00D06F19">
        <w:rPr>
          <w:rFonts w:ascii="Times New Roman" w:hAnsi="Times New Roman" w:cs="Times New Roman"/>
          <w:color w:val="000000" w:themeColor="text1"/>
        </w:rPr>
        <w:t xml:space="preserve"> rates found</w:t>
      </w:r>
      <w:r w:rsidR="00264BE2">
        <w:rPr>
          <w:rFonts w:ascii="Times New Roman" w:hAnsi="Times New Roman" w:cs="Times New Roman"/>
          <w:color w:val="000000" w:themeColor="text1"/>
        </w:rPr>
        <w:t xml:space="preserve"> in </w:t>
      </w:r>
      <w:r w:rsidR="00B2413F">
        <w:rPr>
          <w:rFonts w:ascii="Times New Roman" w:hAnsi="Times New Roman" w:cs="Times New Roman"/>
          <w:color w:val="000000" w:themeColor="text1"/>
        </w:rPr>
        <w:t xml:space="preserve">the </w:t>
      </w:r>
      <w:r w:rsidR="00D06F19">
        <w:rPr>
          <w:rFonts w:ascii="Times New Roman" w:hAnsi="Times New Roman" w:cs="Times New Roman"/>
          <w:color w:val="000000" w:themeColor="text1"/>
        </w:rPr>
        <w:t xml:space="preserve">previous </w:t>
      </w:r>
      <w:r w:rsidR="00264BE2">
        <w:rPr>
          <w:rFonts w:ascii="Times New Roman" w:hAnsi="Times New Roman" w:cs="Times New Roman"/>
          <w:color w:val="000000" w:themeColor="text1"/>
        </w:rPr>
        <w:t xml:space="preserve">study </w:t>
      </w:r>
      <w:r w:rsidR="00D06F19">
        <w:rPr>
          <w:rFonts w:ascii="Times New Roman" w:hAnsi="Times New Roman" w:cs="Times New Roman"/>
          <w:color w:val="000000" w:themeColor="text1"/>
        </w:rPr>
        <w:t xml:space="preserve">to assess </w:t>
      </w:r>
      <w:r w:rsidR="00264BE2">
        <w:rPr>
          <w:rFonts w:ascii="Times New Roman" w:hAnsi="Times New Roman" w:cs="Times New Roman"/>
          <w:color w:val="000000" w:themeColor="text1"/>
        </w:rPr>
        <w:t>rates of adherence to the PIRADSv2 Technical Standards by Esses et al</w:t>
      </w:r>
      <w:r w:rsidR="003A603E">
        <w:rPr>
          <w:rFonts w:ascii="Times New Roman" w:hAnsi="Times New Roman" w:cs="Times New Roman"/>
          <w:color w:val="000000" w:themeColor="text1"/>
        </w:rPr>
        <w:t>.</w:t>
      </w:r>
      <w:r w:rsidR="00264BE2" w:rsidRPr="00655534">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{"citationItems":[{"id":"ITEM-1","itemData":{"DOI":"10.1016/j.acra.2017.08.013","ISBN":"1076-6332","ISSN":"18784046","PMID":"29107458","abstract":"Purpose: This study aimed to assess variability in imaging facilities’ adherence to the minimum technical standards for prostate magnetic resonance imaging acquisition established by Prostate Imaging-Reporting and Data System (PI-RADS) version 2 (v2). Methods: A total of 107 prostate magnetic resonance imaging examinations performed at 107 unique imaging facilities after the release of PI-RADS v2 and that were referred to a tertiary care center for secondary interpretation were included. Image sets, DICOM headers, and outside reports were reviewed to assess adherence to 21 selected PI-RADS v2 minimum technical standards. Results: Hardware arrangements were 23.1%, 1.5T without endorectal coil; 7.7%, 1.5T with endorectal coil; 63.5%, 3T without endorectal coil; and 5.8%, 3T with endorectal coil. Adherence to minimum standards was lowest on T2 weighted imaging (T2WI) for frequency resolution ≤0.4 mm (16.8%) and phase resolution ≤0.7 mm (48.6%), lowest on diffusion-weighted imaging (DWI) for field of view (FOV) 120–220 mm (30.0%), and lowest on dynamic contrast-enhanced (DCE) imaging for slice thickness 3 mm (33.3%) and temporal resolution &lt;10 s (31.5%). High b-value (≥1400 s/mm2) images were included in 58.0% (calculated in 25.9%). Adherence to T2WI phase resolution and DWI inter-slice gap were greater (P &lt;.05) at 3T than at 1.5T. Adherence did not differ (P &gt;.05) for any parameter between examinations performed with and without an endorectal coil. Adherence was greater for examinations performed at teaching facilities for T2WI slice thickness and DCE temporal resolution (P &lt;.05). Adherence was not better for examinations performed in 2016 than in 2015 for any parameter (P &gt;.05). Conclusion: Facilities’ adherence to PI-RADS v2 minimum technical standards was variable, being particularly poor for T2WI frequency resolution and DCE temporal resolution. The standards warrant greater community education. Certain technical standards may be too stringent, and revisions should be considered.","author":[{"dropping-particle":"","family":"Esses","given":"Steven J.","non-dropping-particle":"","parse-names":false,"suffix":""},{"dropping-particle":"","family":"Taneja","given":"Samir S.","non-dropping-particle":"","parse-names":false,"suffix":""},{"dropping-particle":"","family":"Rosenkrantz","given":"Andrew B.","non-dropping-particle":"","parse-names":false,"suffix":""}],"container-title":"Academic Radiology","id":"ITEM-1","issue":"2","issued":{"date-parts":[["2018"]]},"page":"188-195","publisher":"Elsevier Inc.","title":"Imaging Facilities’ Adherence to PI-RADS v2 Minimum Technical Standards for the Performance of Prostate MRI","type":"article-journal","volume":"25"},"uris":["http://www.mendeley.com/documents/?uuid=9b00eb32-e520-4af6-80dc-bacb802d9381"]}],"mendeley":{"formattedCitation":"(12)","plainTextFormattedCitation":"(12)","previouslyFormattedCitation":"(12)"},"properties":{"noteIndex":0},"schema":"https://github.com/citation-style-language/schema/raw/master/csl-citation.json"}</w:instrText>
      </w:r>
      <w:r w:rsidR="00264BE2" w:rsidRPr="00655534">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(12)</w:t>
      </w:r>
      <w:r w:rsidR="00264BE2" w:rsidRPr="00655534">
        <w:rPr>
          <w:rFonts w:ascii="Times New Roman" w:hAnsi="Times New Roman" w:cs="Times New Roman"/>
          <w:color w:val="000000" w:themeColor="text1"/>
        </w:rPr>
        <w:fldChar w:fldCharType="end"/>
      </w:r>
      <w:r w:rsidR="00264BE2">
        <w:rPr>
          <w:rFonts w:ascii="Times New Roman" w:hAnsi="Times New Roman" w:cs="Times New Roman"/>
          <w:color w:val="000000" w:themeColor="text1"/>
        </w:rPr>
        <w:t xml:space="preserve"> </w:t>
      </w:r>
      <w:r w:rsidR="00362EEB">
        <w:rPr>
          <w:rFonts w:ascii="Times New Roman" w:hAnsi="Times New Roman" w:cs="Times New Roman"/>
          <w:color w:val="000000" w:themeColor="text1"/>
        </w:rPr>
        <w:t xml:space="preserve">Our </w:t>
      </w:r>
      <w:r w:rsidR="00264BE2">
        <w:rPr>
          <w:rFonts w:ascii="Times New Roman" w:hAnsi="Times New Roman" w:cs="Times New Roman"/>
          <w:color w:val="000000" w:themeColor="text1"/>
        </w:rPr>
        <w:t xml:space="preserve">results from 2018 </w:t>
      </w:r>
      <w:r w:rsidR="00362EEB">
        <w:rPr>
          <w:rFonts w:ascii="Times New Roman" w:hAnsi="Times New Roman" w:cs="Times New Roman"/>
          <w:color w:val="000000" w:themeColor="text1"/>
        </w:rPr>
        <w:t xml:space="preserve">only </w:t>
      </w:r>
      <w:r w:rsidR="00AA72BD">
        <w:rPr>
          <w:rFonts w:ascii="Times New Roman" w:hAnsi="Times New Roman" w:cs="Times New Roman"/>
          <w:color w:val="000000" w:themeColor="text1"/>
        </w:rPr>
        <w:t xml:space="preserve">found </w:t>
      </w:r>
      <w:r w:rsidR="008A3B39">
        <w:rPr>
          <w:rFonts w:ascii="Times New Roman" w:hAnsi="Times New Roman" w:cs="Times New Roman"/>
          <w:color w:val="000000" w:themeColor="text1"/>
        </w:rPr>
        <w:t>improvements in</w:t>
      </w:r>
      <w:r w:rsidR="00264BE2">
        <w:rPr>
          <w:rFonts w:ascii="Times New Roman" w:hAnsi="Times New Roman" w:cs="Times New Roman"/>
          <w:color w:val="000000" w:themeColor="text1"/>
        </w:rPr>
        <w:t xml:space="preserve"> </w:t>
      </w:r>
      <w:r w:rsidR="00B2413F">
        <w:rPr>
          <w:rFonts w:ascii="Times New Roman" w:hAnsi="Times New Roman" w:cs="Times New Roman"/>
          <w:color w:val="000000" w:themeColor="text1"/>
        </w:rPr>
        <w:t>adherence</w:t>
      </w:r>
      <w:r w:rsidR="008A3B39">
        <w:rPr>
          <w:rFonts w:ascii="Times New Roman" w:hAnsi="Times New Roman" w:cs="Times New Roman"/>
          <w:color w:val="000000" w:themeColor="text1"/>
        </w:rPr>
        <w:t xml:space="preserve"> </w:t>
      </w:r>
      <w:r w:rsidR="00AA72BD">
        <w:rPr>
          <w:rFonts w:ascii="Times New Roman" w:hAnsi="Times New Roman" w:cs="Times New Roman"/>
          <w:color w:val="000000" w:themeColor="text1"/>
        </w:rPr>
        <w:t>for</w:t>
      </w:r>
      <w:r w:rsidR="00362EEB">
        <w:rPr>
          <w:rFonts w:ascii="Times New Roman" w:hAnsi="Times New Roman" w:cs="Times New Roman"/>
          <w:color w:val="000000" w:themeColor="text1"/>
        </w:rPr>
        <w:t xml:space="preserve"> resolution and slice thickness</w:t>
      </w:r>
      <w:r w:rsidR="002E4169">
        <w:rPr>
          <w:rFonts w:ascii="Times New Roman" w:hAnsi="Times New Roman" w:cs="Times New Roman"/>
          <w:color w:val="000000" w:themeColor="text1"/>
        </w:rPr>
        <w:t xml:space="preserve">. </w:t>
      </w:r>
      <w:r w:rsidR="00AA72BD">
        <w:rPr>
          <w:rFonts w:ascii="Times New Roman" w:hAnsi="Times New Roman" w:cs="Times New Roman"/>
          <w:color w:val="000000" w:themeColor="text1"/>
        </w:rPr>
        <w:t xml:space="preserve">There has been </w:t>
      </w:r>
      <w:r w:rsidR="002A329F">
        <w:rPr>
          <w:rFonts w:ascii="Times New Roman" w:hAnsi="Times New Roman" w:cs="Times New Roman"/>
          <w:color w:val="000000" w:themeColor="text1"/>
        </w:rPr>
        <w:t>no improvement</w:t>
      </w:r>
      <w:r w:rsidR="008A3B39">
        <w:rPr>
          <w:rFonts w:ascii="Times New Roman" w:hAnsi="Times New Roman" w:cs="Times New Roman"/>
          <w:color w:val="000000" w:themeColor="text1"/>
        </w:rPr>
        <w:t xml:space="preserve"> </w:t>
      </w:r>
      <w:r w:rsidR="00AA72BD">
        <w:rPr>
          <w:rFonts w:ascii="Times New Roman" w:hAnsi="Times New Roman" w:cs="Times New Roman"/>
          <w:color w:val="000000" w:themeColor="text1"/>
        </w:rPr>
        <w:t xml:space="preserve">for the other standards </w:t>
      </w:r>
      <w:r w:rsidR="00C57B35">
        <w:rPr>
          <w:rFonts w:ascii="Times New Roman" w:hAnsi="Times New Roman" w:cs="Times New Roman"/>
          <w:color w:val="000000" w:themeColor="text1"/>
        </w:rPr>
        <w:t xml:space="preserve">since the </w:t>
      </w:r>
      <w:r w:rsidR="00264BE2">
        <w:rPr>
          <w:rFonts w:ascii="Times New Roman" w:hAnsi="Times New Roman" w:cs="Times New Roman"/>
          <w:color w:val="000000" w:themeColor="text1"/>
        </w:rPr>
        <w:t>2015</w:t>
      </w:r>
      <w:r w:rsidR="00AA72BD">
        <w:rPr>
          <w:rFonts w:ascii="Times New Roman" w:hAnsi="Times New Roman" w:cs="Times New Roman"/>
          <w:color w:val="000000" w:themeColor="text1"/>
        </w:rPr>
        <w:t>-</w:t>
      </w:r>
      <w:r w:rsidR="00264BE2">
        <w:rPr>
          <w:rFonts w:ascii="Times New Roman" w:hAnsi="Times New Roman" w:cs="Times New Roman"/>
          <w:color w:val="000000" w:themeColor="text1"/>
        </w:rPr>
        <w:t>2016</w:t>
      </w:r>
      <w:r w:rsidR="008A3B39">
        <w:rPr>
          <w:rFonts w:ascii="Times New Roman" w:hAnsi="Times New Roman" w:cs="Times New Roman"/>
          <w:color w:val="000000" w:themeColor="text1"/>
        </w:rPr>
        <w:t xml:space="preserve"> </w:t>
      </w:r>
      <w:r w:rsidR="00C57B35">
        <w:rPr>
          <w:rFonts w:ascii="Times New Roman" w:hAnsi="Times New Roman" w:cs="Times New Roman"/>
          <w:color w:val="000000" w:themeColor="text1"/>
        </w:rPr>
        <w:t xml:space="preserve">data collection </w:t>
      </w:r>
      <w:r w:rsidR="007F2533">
        <w:rPr>
          <w:rFonts w:ascii="Times New Roman" w:hAnsi="Times New Roman" w:cs="Times New Roman"/>
          <w:color w:val="000000" w:themeColor="text1"/>
        </w:rPr>
        <w:t>by</w:t>
      </w:r>
      <w:r w:rsidR="00C57B35">
        <w:rPr>
          <w:rFonts w:ascii="Times New Roman" w:hAnsi="Times New Roman" w:cs="Times New Roman"/>
          <w:color w:val="000000" w:themeColor="text1"/>
        </w:rPr>
        <w:t xml:space="preserve"> Esses</w:t>
      </w:r>
      <w:r w:rsidR="007F2533">
        <w:rPr>
          <w:rFonts w:ascii="Times New Roman" w:hAnsi="Times New Roman" w:cs="Times New Roman"/>
          <w:color w:val="000000" w:themeColor="text1"/>
        </w:rPr>
        <w:t xml:space="preserve"> et al.</w:t>
      </w:r>
      <w:r w:rsidR="00C57B35">
        <w:rPr>
          <w:rFonts w:ascii="Times New Roman" w:hAnsi="Times New Roman" w:cs="Times New Roman"/>
          <w:color w:val="000000" w:themeColor="text1"/>
        </w:rPr>
        <w:t xml:space="preserve"> </w:t>
      </w:r>
    </w:p>
    <w:p w14:paraId="5B94DF31" w14:textId="7FF618D1" w:rsidR="0081032F" w:rsidRDefault="006E3928" w:rsidP="007D1BD4">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lastRenderedPageBreak/>
        <w:t>Notably</w:t>
      </w:r>
      <w:r w:rsidR="006F1868">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 there were T2</w:t>
      </w:r>
      <w:r w:rsidR="00827E22">
        <w:rPr>
          <w:rFonts w:ascii="Times New Roman" w:hAnsi="Times New Roman" w:cs="Times New Roman"/>
          <w:color w:val="000000" w:themeColor="text1"/>
        </w:rPr>
        <w:t>W</w:t>
      </w:r>
      <w:r w:rsidRPr="009D4387">
        <w:rPr>
          <w:rFonts w:ascii="Times New Roman" w:hAnsi="Times New Roman" w:cs="Times New Roman"/>
          <w:color w:val="000000" w:themeColor="text1"/>
        </w:rPr>
        <w:t xml:space="preserve"> images that followed only a few of the standards and were still seen as adequate by all 6 readers</w:t>
      </w:r>
      <w:r w:rsidR="00D06F19">
        <w:rPr>
          <w:rFonts w:ascii="Times New Roman" w:hAnsi="Times New Roman" w:cs="Times New Roman"/>
          <w:color w:val="000000" w:themeColor="text1"/>
        </w:rPr>
        <w:t xml:space="preserve"> and scored as high quality</w:t>
      </w:r>
      <w:r w:rsidR="00CE72E7">
        <w:rPr>
          <w:rFonts w:ascii="Times New Roman" w:hAnsi="Times New Roman" w:cs="Times New Roman"/>
          <w:color w:val="000000" w:themeColor="text1"/>
        </w:rPr>
        <w:t>.</w:t>
      </w:r>
      <w:r w:rsidR="002F58D2">
        <w:rPr>
          <w:rFonts w:ascii="Times New Roman" w:hAnsi="Times New Roman" w:cs="Times New Roman"/>
          <w:color w:val="000000" w:themeColor="text1"/>
        </w:rPr>
        <w:t xml:space="preserve"> </w:t>
      </w:r>
      <w:r w:rsidR="00520397" w:rsidRPr="009D4387">
        <w:rPr>
          <w:rFonts w:ascii="Times New Roman" w:hAnsi="Times New Roman" w:cs="Times New Roman"/>
          <w:color w:val="000000" w:themeColor="text1"/>
        </w:rPr>
        <w:t>The presence of non-adherent high-quality images indicates that the current T2 standards do not represent a true minimum standard.</w:t>
      </w:r>
      <w:r w:rsidR="00747E44">
        <w:rPr>
          <w:rFonts w:ascii="Times New Roman" w:hAnsi="Times New Roman" w:cs="Times New Roman"/>
          <w:color w:val="000000" w:themeColor="text1"/>
        </w:rPr>
        <w:t xml:space="preserve"> </w:t>
      </w:r>
      <w:r w:rsidR="00D06F19">
        <w:rPr>
          <w:rFonts w:ascii="Times New Roman" w:hAnsi="Times New Roman" w:cs="Times New Roman"/>
          <w:color w:val="000000" w:themeColor="text1"/>
        </w:rPr>
        <w:t>However, the</w:t>
      </w:r>
      <w:r w:rsidR="00D06F19" w:rsidRPr="009D4387">
        <w:rPr>
          <w:rFonts w:ascii="Times New Roman" w:hAnsi="Times New Roman" w:cs="Times New Roman"/>
          <w:color w:val="000000" w:themeColor="text1"/>
        </w:rPr>
        <w:t xml:space="preserve"> </w:t>
      </w:r>
      <w:r w:rsidR="005441AE" w:rsidRPr="009D4387">
        <w:rPr>
          <w:rFonts w:ascii="Times New Roman" w:hAnsi="Times New Roman" w:cs="Times New Roman"/>
          <w:color w:val="000000" w:themeColor="text1"/>
        </w:rPr>
        <w:t>problem of non-adherent high-quality outliers is more pronounced in the DWI dataset with many non-adherent images achieving high quality and very few adherent images achieving high quality</w:t>
      </w:r>
      <w:r w:rsidR="009155EB">
        <w:rPr>
          <w:rFonts w:ascii="Times New Roman" w:hAnsi="Times New Roman" w:cs="Times New Roman"/>
          <w:color w:val="000000" w:themeColor="text1"/>
        </w:rPr>
        <w:t>.</w:t>
      </w:r>
      <w:r w:rsidR="00752A2B">
        <w:rPr>
          <w:rFonts w:ascii="Times New Roman" w:hAnsi="Times New Roman" w:cs="Times New Roman"/>
          <w:color w:val="000000" w:themeColor="text1"/>
        </w:rPr>
        <w:t xml:space="preserve"> </w:t>
      </w:r>
    </w:p>
    <w:p w14:paraId="36284DE1" w14:textId="77777777" w:rsidR="007D1BD4" w:rsidRDefault="007D1BD4" w:rsidP="00F17733">
      <w:pPr>
        <w:autoSpaceDE w:val="0"/>
        <w:autoSpaceDN w:val="0"/>
        <w:adjustRightInd w:val="0"/>
        <w:spacing w:after="0"/>
        <w:jc w:val="both"/>
        <w:rPr>
          <w:rFonts w:ascii="Times New Roman" w:hAnsi="Times New Roman" w:cs="Times New Roman"/>
          <w:b/>
          <w:bCs/>
          <w:color w:val="000000" w:themeColor="text1"/>
        </w:rPr>
      </w:pPr>
    </w:p>
    <w:p w14:paraId="3D3AE1B9" w14:textId="48D1DD6C" w:rsidR="007D1BD4" w:rsidRPr="007D1BD4" w:rsidRDefault="007D1BD4" w:rsidP="00F17733">
      <w:pPr>
        <w:autoSpaceDE w:val="0"/>
        <w:autoSpaceDN w:val="0"/>
        <w:adjustRightInd w:val="0"/>
        <w:spacing w:after="0"/>
        <w:jc w:val="both"/>
        <w:rPr>
          <w:rFonts w:ascii="Times New Roman" w:hAnsi="Times New Roman" w:cs="Times New Roman"/>
          <w:b/>
          <w:bCs/>
          <w:color w:val="000000" w:themeColor="text1"/>
        </w:rPr>
      </w:pPr>
      <w:r w:rsidRPr="007D1BD4">
        <w:rPr>
          <w:rFonts w:ascii="Times New Roman" w:hAnsi="Times New Roman" w:cs="Times New Roman"/>
          <w:b/>
          <w:bCs/>
          <w:color w:val="000000" w:themeColor="text1"/>
        </w:rPr>
        <w:t>Future Directions</w:t>
      </w:r>
    </w:p>
    <w:p w14:paraId="5C30EE8F" w14:textId="75F60364" w:rsidR="00D06D7A" w:rsidRDefault="00FF256B" w:rsidP="007D1BD4">
      <w:pPr>
        <w:autoSpaceDE w:val="0"/>
        <w:autoSpaceDN w:val="0"/>
        <w:adjustRightInd w:val="0"/>
        <w:spacing w:after="0"/>
        <w:ind w:firstLine="720"/>
        <w:jc w:val="both"/>
        <w:rPr>
          <w:rFonts w:ascii="Times New Roman" w:hAnsi="Times New Roman" w:cs="Times New Roman"/>
          <w:color w:val="000000" w:themeColor="text1"/>
        </w:rPr>
      </w:pPr>
      <w:r w:rsidRPr="00F17733">
        <w:rPr>
          <w:rFonts w:ascii="Times New Roman" w:hAnsi="Times New Roman" w:cs="Times New Roman"/>
          <w:color w:val="000000" w:themeColor="text1"/>
        </w:rPr>
        <w:t>Looking forward,</w:t>
      </w:r>
      <w:r>
        <w:rPr>
          <w:rFonts w:ascii="Times New Roman" w:hAnsi="Times New Roman" w:cs="Times New Roman"/>
          <w:color w:val="000000" w:themeColor="text1"/>
        </w:rPr>
        <w:t xml:space="preserve"> it is apparent</w:t>
      </w:r>
      <w:r w:rsidR="00BB229B">
        <w:rPr>
          <w:rFonts w:ascii="Times New Roman" w:hAnsi="Times New Roman" w:cs="Times New Roman"/>
          <w:color w:val="000000" w:themeColor="text1"/>
        </w:rPr>
        <w:t xml:space="preserve"> </w:t>
      </w:r>
      <w:r>
        <w:rPr>
          <w:rFonts w:ascii="Times New Roman" w:hAnsi="Times New Roman" w:cs="Times New Roman"/>
          <w:color w:val="000000" w:themeColor="text1"/>
        </w:rPr>
        <w:t>the</w:t>
      </w:r>
      <w:r w:rsidR="00EB5D46">
        <w:rPr>
          <w:rFonts w:ascii="Times New Roman" w:hAnsi="Times New Roman" w:cs="Times New Roman"/>
          <w:color w:val="000000" w:themeColor="text1"/>
        </w:rPr>
        <w:t xml:space="preserve"> general</w:t>
      </w:r>
      <w:r>
        <w:rPr>
          <w:rFonts w:ascii="Times New Roman" w:hAnsi="Times New Roman" w:cs="Times New Roman"/>
          <w:color w:val="000000" w:themeColor="text1"/>
        </w:rPr>
        <w:t xml:space="preserve"> quality of prostate </w:t>
      </w:r>
      <w:r w:rsidR="00357F2B">
        <w:rPr>
          <w:rFonts w:ascii="Times New Roman" w:hAnsi="Times New Roman" w:cs="Times New Roman"/>
          <w:color w:val="000000" w:themeColor="text1"/>
        </w:rPr>
        <w:t>mp</w:t>
      </w:r>
      <w:r>
        <w:rPr>
          <w:rFonts w:ascii="Times New Roman" w:hAnsi="Times New Roman" w:cs="Times New Roman"/>
          <w:color w:val="000000" w:themeColor="text1"/>
        </w:rPr>
        <w:t xml:space="preserve">MRI should be improved to deliver better diagnosis in </w:t>
      </w:r>
      <w:r w:rsidR="00357F2B">
        <w:rPr>
          <w:rFonts w:ascii="Times New Roman" w:hAnsi="Times New Roman" w:cs="Times New Roman"/>
          <w:color w:val="000000" w:themeColor="text1"/>
        </w:rPr>
        <w:t>PCa</w:t>
      </w:r>
      <w:r>
        <w:rPr>
          <w:rFonts w:ascii="Times New Roman" w:hAnsi="Times New Roman" w:cs="Times New Roman"/>
          <w:color w:val="000000" w:themeColor="text1"/>
        </w:rPr>
        <w:t xml:space="preserve"> care. </w:t>
      </w:r>
      <w:r w:rsidRPr="00EF4D9F">
        <w:rPr>
          <w:rFonts w:ascii="Times New Roman" w:hAnsi="Times New Roman" w:cs="Times New Roman"/>
          <w:color w:val="000000" w:themeColor="text1"/>
        </w:rPr>
        <w:t>Although providing formal recommendations for</w:t>
      </w:r>
      <w:r w:rsidR="00AA72BD">
        <w:rPr>
          <w:rFonts w:ascii="Times New Roman" w:hAnsi="Times New Roman" w:cs="Times New Roman"/>
          <w:color w:val="000000" w:themeColor="text1"/>
        </w:rPr>
        <w:t xml:space="preserve"> </w:t>
      </w:r>
      <w:r w:rsidRPr="00EF4D9F">
        <w:rPr>
          <w:rFonts w:ascii="Times New Roman" w:hAnsi="Times New Roman" w:cs="Times New Roman"/>
          <w:color w:val="000000" w:themeColor="text1"/>
        </w:rPr>
        <w:t>quality prostate MRI is beyond the scope of this paper,</w:t>
      </w:r>
      <w:r w:rsidR="00F32377">
        <w:rPr>
          <w:rFonts w:ascii="Times New Roman" w:hAnsi="Times New Roman" w:cs="Times New Roman"/>
          <w:color w:val="000000" w:themeColor="text1"/>
        </w:rPr>
        <w:t xml:space="preserve"> there are several observations that may be useful in improving mpMRI. Image noise was </w:t>
      </w:r>
      <w:r w:rsidR="00625405">
        <w:rPr>
          <w:rFonts w:ascii="Times New Roman" w:hAnsi="Times New Roman" w:cs="Times New Roman"/>
          <w:color w:val="000000" w:themeColor="text1"/>
        </w:rPr>
        <w:t xml:space="preserve">most </w:t>
      </w:r>
      <w:r w:rsidR="00F32377">
        <w:rPr>
          <w:rFonts w:ascii="Times New Roman" w:hAnsi="Times New Roman" w:cs="Times New Roman"/>
          <w:color w:val="000000" w:themeColor="text1"/>
        </w:rPr>
        <w:t xml:space="preserve">frequently implicated </w:t>
      </w:r>
      <w:r w:rsidR="00EB5D46">
        <w:rPr>
          <w:rFonts w:ascii="Times New Roman" w:hAnsi="Times New Roman" w:cs="Times New Roman"/>
          <w:color w:val="000000" w:themeColor="text1"/>
        </w:rPr>
        <w:t>in</w:t>
      </w:r>
      <w:r w:rsidR="00F32377">
        <w:rPr>
          <w:rFonts w:ascii="Times New Roman" w:hAnsi="Times New Roman" w:cs="Times New Roman"/>
          <w:color w:val="000000" w:themeColor="text1"/>
        </w:rPr>
        <w:t xml:space="preserve"> making interpretation difficult</w:t>
      </w:r>
      <w:r w:rsidR="003C2AF1">
        <w:rPr>
          <w:rFonts w:ascii="Times New Roman" w:hAnsi="Times New Roman" w:cs="Times New Roman"/>
          <w:color w:val="000000" w:themeColor="text1"/>
        </w:rPr>
        <w:t xml:space="preserve"> for both T2W and DWI sequences</w:t>
      </w:r>
      <w:r w:rsidR="00EB5D46">
        <w:rPr>
          <w:rFonts w:ascii="Times New Roman" w:hAnsi="Times New Roman" w:cs="Times New Roman"/>
          <w:color w:val="000000" w:themeColor="text1"/>
        </w:rPr>
        <w:t xml:space="preserve">. </w:t>
      </w:r>
      <w:r w:rsidR="00F022C9">
        <w:rPr>
          <w:rFonts w:ascii="Times New Roman" w:hAnsi="Times New Roman" w:cs="Times New Roman"/>
          <w:color w:val="000000" w:themeColor="text1"/>
        </w:rPr>
        <w:t xml:space="preserve">Image noise is particularly important at high </w:t>
      </w:r>
      <w:r w:rsidR="00EB5D46">
        <w:rPr>
          <w:rFonts w:ascii="Times New Roman" w:hAnsi="Times New Roman" w:cs="Times New Roman"/>
          <w:color w:val="000000" w:themeColor="text1"/>
        </w:rPr>
        <w:t>b-v</w:t>
      </w:r>
      <w:r w:rsidR="00F022C9">
        <w:rPr>
          <w:rFonts w:ascii="Times New Roman" w:hAnsi="Times New Roman" w:cs="Times New Roman"/>
          <w:color w:val="000000" w:themeColor="text1"/>
        </w:rPr>
        <w:t xml:space="preserve">alues in DWI. Noise is likely to become </w:t>
      </w:r>
      <w:r w:rsidR="00E30118">
        <w:rPr>
          <w:rFonts w:ascii="Times New Roman" w:hAnsi="Times New Roman" w:cs="Times New Roman"/>
          <w:color w:val="000000" w:themeColor="text1"/>
        </w:rPr>
        <w:t xml:space="preserve">a greater </w:t>
      </w:r>
      <w:r w:rsidR="00F022C9">
        <w:rPr>
          <w:rFonts w:ascii="Times New Roman" w:hAnsi="Times New Roman" w:cs="Times New Roman"/>
          <w:color w:val="000000" w:themeColor="text1"/>
        </w:rPr>
        <w:t xml:space="preserve">factor if distortion corrections are employed </w:t>
      </w:r>
      <w:r w:rsidR="00F022C9" w:rsidRPr="00F17733">
        <w:rPr>
          <w:rFonts w:ascii="Times New Roman" w:hAnsi="Times New Roman" w:cs="Times New Roman"/>
          <w:color w:val="000000" w:themeColor="text1"/>
        </w:rPr>
        <w:t>as these methods typically come at a cost of decreased SNR either intrinsically or from decreased signal averaging to accommodate additional scans.</w:t>
      </w:r>
      <w:r w:rsidR="00F022C9">
        <w:rPr>
          <w:rFonts w:ascii="Times New Roman" w:hAnsi="Times New Roman" w:cs="Times New Roman"/>
          <w:color w:val="000000" w:themeColor="text1"/>
        </w:rPr>
        <w:t xml:space="preserve"> Techniques to reduce noise during post-processing should also be considered.</w:t>
      </w:r>
      <w:r w:rsidR="00F022C9">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{"citationItems":[{"id":"ITEM-1","itemData":{"DOI":"10.1016/j.neuroimage.2017.04.017","ISSN":"10538119","abstract":"Noise usually affects the reliability of quantitative analysis in diffusion-weighted (DW) magnetic resonance imaging (MRI), especially at high b-values and/or high spatial resolution. Higher-order singular value decomposition (HOSVD) has recently emerged as a simple, effective, and adaptive transform to exploit sparseness within multidimensional data. In particular, the patch-based HOSVD denoising has demonstrated superb performance when applied to T1-, T2-, and proton density-weighted MRI data. In this study, we aim to investigate the feasibility of denoising DW data using the HOSVD transform. With the low signal-to-noise ratio in typical DW data, the patch-based HOSVD denoising suffers from stripe artifacts in homogeneous regions because of the HOSVD bases learned from the noisy patches. To address this problem, we propose a novel denoising method. It first introduces a global HOSVD-based denoising as a prefiltering stage to guide the subsequent patch-based HOSVD denoising stage. The HOSVD bases from the patch groups in prefiltered images are then used to transform the noisy patch groups in original DW data. Experiments were performed using simulated and in vivo DW data. Results show that the proposed method significantly reduces stripe artifacts compared with conventional patch-based HOSVD denoising methods, and outperforms two state-of-the-art denoising methods in terms of denoising quality and diffusion parameters estimation.","author":[{"dropping-particle":"","family":"Zhang","given":"Xinyuan","non-dropping-particle":"","parse-names":false,"suffix":""},{"dropping-particle":"","family":"Peng","given":"Jie","non-dropping-particle":"","parse-names":false,"suffix":""},{"dropping-particle":"","family":"Xu","given":"Man","non-dropping-particle":"","parse-names":false,"suffix":""},{"dropping-particle":"","family":"Yang","given":"Wei","non-dropping-particle":"","parse-names":false,"suffix":""},{"dropping-particle":"","family":"Zhang","given":"Zhe","non-dropping-particle":"","parse-names":false,"suffix":""},{"dropping-particle":"","family":"Guo","given":"Hua","non-dropping-particle":"","parse-names":false,"suffix":""},{"dropping-particle":"","family":"Chen","given":"Wufan","non-dropping-particle":"","parse-names":false,"suffix":""},{"dropping-particle":"","family":"Feng","given":"Qianjin","non-dropping-particle":"","parse-names":false,"suffix":""},{"dropping-particle":"","family":"Wu","given":"Ed X.","non-dropping-particle":"","parse-names":false,"suffix":""},{"dropping-particle":"","family":"Feng","given":"Yanqiu","non-dropping-particle":"","parse-names":false,"suffix":""}],"container-title":"NeuroImage","id":"ITEM-1","issue":"January 2016","issued":{"date-parts":[["2017","8"]]},"page":"128-145","title":"Denoise diffusion-weighted images using higher-order singular value decomposition","type":"article-journal","volume":"156"},"uris":["http://www.mendeley.com/documents/?uuid=df1cd017-2f10-4c27-bc55-0d23f6256399"]}],"mendeley":{"formattedCitation":"(18)","plainTextFormattedCitation":"(18)","previouslyFormattedCitation":"(18)"},"properties":{"noteIndex":0},"schema":"https://github.com/citation-style-language/schema/raw/master/csl-citation.json"}</w:instrText>
      </w:r>
      <w:r w:rsidR="00F022C9">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(18)</w:t>
      </w:r>
      <w:r w:rsidR="00F022C9">
        <w:rPr>
          <w:rFonts w:ascii="Times New Roman" w:hAnsi="Times New Roman" w:cs="Times New Roman"/>
          <w:color w:val="000000" w:themeColor="text1"/>
        </w:rPr>
        <w:fldChar w:fldCharType="end"/>
      </w:r>
      <w:r w:rsidR="00F022C9">
        <w:rPr>
          <w:rFonts w:ascii="Times New Roman" w:hAnsi="Times New Roman" w:cs="Times New Roman"/>
          <w:color w:val="000000" w:themeColor="text1"/>
        </w:rPr>
        <w:t xml:space="preserve"> </w:t>
      </w:r>
    </w:p>
    <w:p w14:paraId="5C3CD2B1" w14:textId="0842BA85" w:rsidR="00FF256B" w:rsidRPr="00EF4D9F" w:rsidRDefault="00D06D7A"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 xml:space="preserve">Image distortion particularly for DWI was the second most </w:t>
      </w:r>
      <w:r w:rsidRPr="00F17733">
        <w:rPr>
          <w:rFonts w:ascii="Times New Roman" w:hAnsi="Times New Roman" w:cs="Times New Roman"/>
          <w:color w:val="000000" w:themeColor="text1"/>
        </w:rPr>
        <w:t>frequently implicated</w:t>
      </w:r>
      <w:r w:rsidR="00E30118">
        <w:rPr>
          <w:rFonts w:ascii="Times New Roman" w:hAnsi="Times New Roman" w:cs="Times New Roman"/>
          <w:color w:val="000000" w:themeColor="text1"/>
        </w:rPr>
        <w:t xml:space="preserve"> </w:t>
      </w:r>
      <w:r>
        <w:rPr>
          <w:rFonts w:ascii="Times New Roman" w:hAnsi="Times New Roman" w:cs="Times New Roman"/>
          <w:color w:val="000000" w:themeColor="text1"/>
        </w:rPr>
        <w:t xml:space="preserve">perceived artifact. </w:t>
      </w:r>
      <w:r w:rsidR="00CE72E7">
        <w:rPr>
          <w:rFonts w:ascii="Times New Roman" w:hAnsi="Times New Roman" w:cs="Times New Roman"/>
          <w:color w:val="000000" w:themeColor="text1"/>
        </w:rPr>
        <w:t>One</w:t>
      </w:r>
      <w:r w:rsidR="0086495B">
        <w:rPr>
          <w:rFonts w:ascii="Times New Roman" w:hAnsi="Times New Roman" w:cs="Times New Roman"/>
          <w:color w:val="000000" w:themeColor="text1"/>
        </w:rPr>
        <w:t xml:space="preserve"> of the most</w:t>
      </w:r>
      <w:r w:rsidR="00CE72E7">
        <w:rPr>
          <w:rFonts w:ascii="Times New Roman" w:hAnsi="Times New Roman" w:cs="Times New Roman"/>
          <w:color w:val="000000" w:themeColor="text1"/>
        </w:rPr>
        <w:t xml:space="preserve"> </w:t>
      </w:r>
      <w:r w:rsidR="00FF256B" w:rsidRPr="00EF4D9F">
        <w:rPr>
          <w:rFonts w:ascii="Times New Roman" w:hAnsi="Times New Roman" w:cs="Times New Roman"/>
          <w:color w:val="000000" w:themeColor="text1"/>
        </w:rPr>
        <w:t>prominent</w:t>
      </w:r>
      <w:r w:rsidR="00CE72E7">
        <w:rPr>
          <w:rFonts w:ascii="Times New Roman" w:hAnsi="Times New Roman" w:cs="Times New Roman"/>
          <w:color w:val="000000" w:themeColor="text1"/>
        </w:rPr>
        <w:t xml:space="preserve"> source</w:t>
      </w:r>
      <w:r w:rsidR="0086495B">
        <w:rPr>
          <w:rFonts w:ascii="Times New Roman" w:hAnsi="Times New Roman" w:cs="Times New Roman"/>
          <w:color w:val="000000" w:themeColor="text1"/>
        </w:rPr>
        <w:t>s</w:t>
      </w:r>
      <w:r w:rsidR="00CE72E7">
        <w:rPr>
          <w:rFonts w:ascii="Times New Roman" w:hAnsi="Times New Roman" w:cs="Times New Roman"/>
          <w:color w:val="000000" w:themeColor="text1"/>
        </w:rPr>
        <w:t xml:space="preserve"> of distortion</w:t>
      </w:r>
      <w:r w:rsidR="00FF256B" w:rsidRPr="00EF4D9F">
        <w:rPr>
          <w:rFonts w:ascii="Times New Roman" w:hAnsi="Times New Roman" w:cs="Times New Roman"/>
          <w:color w:val="000000" w:themeColor="text1"/>
        </w:rPr>
        <w:t xml:space="preserve"> in prostate imaging is </w:t>
      </w:r>
      <w:r w:rsidR="00AA72BD">
        <w:rPr>
          <w:rFonts w:ascii="Times New Roman" w:hAnsi="Times New Roman" w:cs="Times New Roman"/>
          <w:color w:val="000000" w:themeColor="text1"/>
        </w:rPr>
        <w:t xml:space="preserve">the </w:t>
      </w:r>
      <w:r w:rsidRPr="00EF4D9F">
        <w:rPr>
          <w:rFonts w:ascii="Times New Roman" w:hAnsi="Times New Roman" w:cs="Times New Roman"/>
          <w:color w:val="000000" w:themeColor="text1"/>
        </w:rPr>
        <w:t>inhomogeneous</w:t>
      </w:r>
      <w:r w:rsidR="00FF256B" w:rsidRPr="00EF4D9F">
        <w:rPr>
          <w:rFonts w:ascii="Times New Roman" w:hAnsi="Times New Roman" w:cs="Times New Roman"/>
          <w:color w:val="000000" w:themeColor="text1"/>
        </w:rPr>
        <w:t xml:space="preserve"> B0 field in the abdominal area</w:t>
      </w:r>
      <w:r w:rsidR="003A603E">
        <w:rPr>
          <w:rFonts w:ascii="Times New Roman" w:hAnsi="Times New Roman" w:cs="Times New Roman"/>
          <w:color w:val="000000" w:themeColor="text1"/>
        </w:rPr>
        <w:t>.</w:t>
      </w:r>
      <w:r w:rsidR="00FF256B">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{"citationItems":[{"id":"ITEM-1","itemData":{"DOI":"10.1002/mrm.26899","ISSN":"15222594","abstract":"© 2017 International Society for Magnetic Resonance in Medicine Purpose: To evaluate the effect of correction for B 0 inhomogeneity-induced geometric distortion in echo-planar diffusion-weighted imaging on quantitative apparent diffusion coefficient (ADC) analysis in multiparametric prostate MRI. Methods: Geometric distortion correction was performed in echo-planar diffusion-weighted images (b = 0, 50, 400, 800 s/mm 2 ) of 28 patients, using two b 0 scans with opposing phase-encoding polarities. Histology-matched tumor and healthy tissue volumes of interest delineated on T 2 -weighted images were mapped to the nondistortion-corrected and distortion-corrected data sets by resampling with and without spatial coregistration. The ADC values were calculated on the volume and voxel level. The effect of distortion correction on ADC quantification and tissue classification was evaluated using linear-mixed models and logistic regression, respectively. Results: Without coregistration, the absolute differences in tumor ADC (range: 0.0002–0.189 mm 2 /s×10 −3 (volume level); 0.014–0.493 mm 2 /s×10 −3 (voxel level)) between the nondistortion-corrected and distortion-corrected were significantly associated (P  &lt;  0.05) with distortion distance (mean: 1.4 ± 1.3 mm; range: 0.3–5.3 mm). No significant associations were found upon coregistration; however, in patients with high rectal gas residue, distortion correction resulted in improved spatial representation and significantly better classification of healthy versus tumor voxels (P  &lt;  0.05). Conclusions: Geometric distortion correction in DWI could improve quantitative ADC analysis in multiparametric prostate MRI. Magn Reson Med 79:2524–2532, 2018. © 2017 International Society for Magnetic Resonance in Medicine.","author":[{"dropping-particle":"","family":"Nketiah","given":"Gabriel","non-dropping-particle":"","parse-names":false,"suffix":""},{"dropping-particle":"","family":"Selnæs","given":"Kirsten M.","non-dropping-particle":"","parse-names":false,"suffix":""},{"dropping-particle":"","family":"Sandsmark","given":"Elise","non-dropping-particle":"","parse-names":false,"suffix":""},{"dropping-particle":"","family":"Teruel","given":"Jose R.","non-dropping-particle":"","parse-names":false,"suffix":""},{"dropping-particle":"","family":"Krüger-Stokke","given":"Brage","non-dropping-particle":"","parse-names":false,"suffix":""},{"dropping-particle":"","family":"Bertilsson","given":"Helena","non-dropping-particle":"","parse-names":false,"suffix":""},{"dropping-particle":"","family":"Bathen","given":"Tone F.","non-dropping-particle":"","parse-names":false,"suffix":""},{"dropping-particle":"","family":"Elschot","given":"Mattijs","non-dropping-particle":"","parse-names":false,"suffix":""}],"container-title":"Magnetic Resonance in Medicine","id":"ITEM-1","issue":"5","issued":{"date-parts":[["2018"]]},"page":"2524-2532","title":"Geometric distortion correction in prostate diffusion-weighted MRI and its effect on quantitative apparent diffusion coefficient analysis","type":"article-journal","volume":"79"},"uris":["http://www.mendeley.com/documents/?uuid=68683ace-a9bb-4c63-8230-7e48a0f3f7b7"]},{"id":"ITEM-2","itemData":{"DOI":"10.1016/j.mri.2015.07.006","ISSN":"18735894","abstract":"Purpose: Diffusion imaging in the prostate is susceptible to distortion from B0 inhomogeneity. Distortion correction in prostate imaging is not routinely performed, resulting in diffusion images without accurate localization of tumors. We performed and evaluated distortion correction for diffusion imaging in the prostate. Materials and methods: 28 patients underwent pre-operative MRI (T2, Gadolinium perfusion, diffusion at b=800s/mm2). The restriction spectrum protocol parameters included b-values of 0, 800, 1500, and 4000s/mm2 in 30 directions for each nonzero b-value. To correct for distortion, forward and reverse trajectories were collected at b=0s/mm2. Distortion maps were generated to reflect the offset of the collected data versus the corrected data. Whole-mount histology was available for correlation. Results: Across the 27 patients evaluated (excluding one patient due to data collection error), the average root mean square distortion distance of the prostate was 3.1. mm (standard deviation, 2.2. mm; and maximum distortion, 12. mm). Conclusion: Improved localization of prostate cancer by MRI will allow better surgical planning, targeted biopsies and image-guided treatment therapies. Distortion distances of up to 12. mm due to standard diffusion imaging may grossly misdirect treatment decisions. Distortion correction for diffusion imaging in the prostate improves tumor localization.","author":[{"dropping-particle":"","family":"Rakow-Penner","given":"Rebecca A.","non-dropping-particle":"","parse-names":false,"suffix":""},{"dropping-particle":"","family":"White","given":"Nathan S.","non-dropping-particle":"","parse-names":false,"suffix":""},{"dropping-particle":"","family":"Margolis","given":"Daniel J.A.","non-dropping-particle":"","parse-names":false,"suffix":""},{"dropping-particle":"","family":"Parsons","given":"John Kellogg","non-dropping-particle":"","parse-names":false,"suffix":""},{"dropping-particle":"","family":"Schenker-Ahmed","given":"Natalie","non-dropping-particle":"","parse-names":false,"suffix":""},{"dropping-particle":"","family":"Kuperman","given":"Joshua M.","non-dropping-particle":"","parse-names":false,"suffix":""},{"dropping-particle":"","family":"Bartsch","given":"Hauke","non-dropping-particle":"","parse-names":false,"suffix":""},{"dropping-particle":"","family":"Choi","given":"Hyung W.","non-dropping-particle":"","parse-names":false,"suffix":""},{"dropping-particle":"","family":"Bradley","given":"William G.","non-dropping-particle":"","parse-names":false,"suffix":""},{"dropping-particle":"","family":"Shabaik","given":"Ahmed","non-dropping-particle":"","parse-names":false,"suffix":""},{"dropping-particle":"","family":"Huang","given":"Jiaoti","non-dropping-particle":"","parse-names":false,"suffix":""},{"dropping-particle":"","family":"Liss","given":"Michael A.","non-dropping-particle":"","parse-names":false,"suffix":""},{"dropping-particle":"","family":"Marks","given":"Leonard","non-dropping-particle":"","parse-names":false,"suffix":""},{"dropping-particle":"","family":"Kane","given":"Christopher J.","non-dropping-particle":"","parse-names":false,"suffix":""},{"dropping-particle":"","family":"Reiter","given":"Robert E.","non-dropping-particle":"","parse-names":false,"suffix":""},{"dropping-particle":"","family":"Raman","given":"Steven S.","non-dropping-particle":"","parse-names":false,"suffix":""},{"dropping-particle":"","family":"Karow","given":"David S.","non-dropping-particle":"","parse-names":false,"suffix":""},{"dropping-particle":"","family":"Dale","given":"Anders M.","non-dropping-particle":"","parse-names":false,"suffix":""}],"container-title":"Magnetic Resonance Imaging","id":"ITEM-2","issue":"9","issued":{"date-parts":[["2015"]]},"page":"1178-1181","publisher":"Elsevier Inc.","title":"Prostate diffusion imaging with distortion correction","type":"article-journal","volume":"33"},"uris":["http://www.mendeley.com/documents/?uuid=736ee946-b3e1-4b2b-b307-bea816c9fa17"]}],"mendeley":{"formattedCitation":"(19, 20)","plainTextFormattedCitation":"(19, 20)","previouslyFormattedCitation":"(19, 20)"},"properties":{"noteIndex":0},"schema":"https://github.com/citation-style-language/schema/raw/master/csl-citation.json"}</w:instrText>
      </w:r>
      <w:r w:rsidR="00FF256B">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(19, 20)</w:t>
      </w:r>
      <w:r w:rsidR="00FF256B">
        <w:rPr>
          <w:rFonts w:ascii="Times New Roman" w:hAnsi="Times New Roman" w:cs="Times New Roman"/>
          <w:color w:val="000000" w:themeColor="text1"/>
        </w:rPr>
        <w:fldChar w:fldCharType="end"/>
      </w:r>
      <w:r w:rsidR="00FF256B" w:rsidRPr="00EF4D9F">
        <w:rPr>
          <w:rFonts w:ascii="Times New Roman" w:hAnsi="Times New Roman" w:cs="Times New Roman"/>
          <w:color w:val="000000" w:themeColor="text1"/>
        </w:rPr>
        <w:t xml:space="preserve"> </w:t>
      </w:r>
      <w:r w:rsidR="000F76CB">
        <w:rPr>
          <w:rFonts w:ascii="Times New Roman" w:hAnsi="Times New Roman" w:cs="Times New Roman"/>
          <w:color w:val="000000" w:themeColor="text1"/>
        </w:rPr>
        <w:t xml:space="preserve">Most </w:t>
      </w:r>
      <w:r w:rsidR="00FF256B" w:rsidRPr="00244F1F">
        <w:rPr>
          <w:rFonts w:ascii="Times New Roman" w:hAnsi="Times New Roman" w:cs="Times New Roman"/>
          <w:color w:val="000000" w:themeColor="text1"/>
        </w:rPr>
        <w:t xml:space="preserve">biological tissues are slightly diamagnetic </w:t>
      </w:r>
      <w:r w:rsidR="000F76CB" w:rsidRPr="007C3FEA">
        <w:rPr>
          <w:rFonts w:ascii="Times New Roman" w:hAnsi="Times New Roman" w:cs="Times New Roman"/>
          <w:color w:val="000000" w:themeColor="text1"/>
        </w:rPr>
        <w:t xml:space="preserve">with the </w:t>
      </w:r>
      <w:r w:rsidR="00FF256B" w:rsidRPr="00244F1F">
        <w:rPr>
          <w:rFonts w:ascii="Times New Roman" w:hAnsi="Times New Roman" w:cs="Times New Roman"/>
          <w:color w:val="000000" w:themeColor="text1"/>
        </w:rPr>
        <w:t xml:space="preserve">exception </w:t>
      </w:r>
      <w:r w:rsidR="000F76CB" w:rsidRPr="007C3FEA">
        <w:rPr>
          <w:rFonts w:ascii="Times New Roman" w:hAnsi="Times New Roman" w:cs="Times New Roman"/>
          <w:color w:val="000000" w:themeColor="text1"/>
        </w:rPr>
        <w:t>of gas</w:t>
      </w:r>
      <w:r w:rsidR="00FF256B" w:rsidRPr="00244F1F">
        <w:rPr>
          <w:rFonts w:ascii="Times New Roman" w:hAnsi="Times New Roman" w:cs="Times New Roman"/>
          <w:color w:val="000000" w:themeColor="text1"/>
        </w:rPr>
        <w:t xml:space="preserve"> filled cavities. If the r</w:t>
      </w:r>
      <w:r w:rsidR="00FF256B" w:rsidRPr="00EF4D9F">
        <w:rPr>
          <w:rFonts w:ascii="Times New Roman" w:hAnsi="Times New Roman" w:cs="Times New Roman"/>
          <w:color w:val="000000" w:themeColor="text1"/>
        </w:rPr>
        <w:t xml:space="preserve">ectum is filled with gas during a scan, the difference in effective B0 fields at the rectum/prostate interface creates a magnetic field gradient </w:t>
      </w:r>
      <w:r w:rsidR="00625405">
        <w:rPr>
          <w:rFonts w:ascii="Times New Roman" w:hAnsi="Times New Roman" w:cs="Times New Roman"/>
          <w:color w:val="000000" w:themeColor="text1"/>
        </w:rPr>
        <w:t xml:space="preserve">which shifts intensity from one location to another </w:t>
      </w:r>
      <w:r w:rsidR="00357F2B">
        <w:rPr>
          <w:rFonts w:ascii="Times New Roman" w:hAnsi="Times New Roman" w:cs="Times New Roman"/>
          <w:color w:val="000000" w:themeColor="text1"/>
        </w:rPr>
        <w:t>creating</w:t>
      </w:r>
      <w:r w:rsidR="00FF256B" w:rsidRPr="00EF4D9F">
        <w:rPr>
          <w:rFonts w:ascii="Times New Roman" w:hAnsi="Times New Roman" w:cs="Times New Roman"/>
          <w:color w:val="000000" w:themeColor="text1"/>
        </w:rPr>
        <w:t xml:space="preserve"> geometric distortion</w:t>
      </w:r>
      <w:r w:rsidR="00625405">
        <w:rPr>
          <w:rFonts w:ascii="Times New Roman" w:hAnsi="Times New Roman" w:cs="Times New Roman"/>
          <w:color w:val="000000" w:themeColor="text1"/>
        </w:rPr>
        <w:t xml:space="preserve"> with</w:t>
      </w:r>
      <w:r w:rsidR="00EB5D46">
        <w:rPr>
          <w:rFonts w:ascii="Times New Roman" w:hAnsi="Times New Roman" w:cs="Times New Roman"/>
          <w:color w:val="000000" w:themeColor="text1"/>
        </w:rPr>
        <w:t xml:space="preserve"> </w:t>
      </w:r>
      <w:r w:rsidR="00FF256B" w:rsidRPr="00EF4D9F">
        <w:rPr>
          <w:rFonts w:ascii="Times New Roman" w:hAnsi="Times New Roman" w:cs="Times New Roman"/>
          <w:color w:val="000000" w:themeColor="text1"/>
        </w:rPr>
        <w:t>signal loss near the interface due to spin dephasing.</w:t>
      </w:r>
      <w:r w:rsidR="00FF256B">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{"citationItems":[{"id":"ITEM-1","itemData":{"author":[{"dropping-particle":"","family":"Port","given":"John D","non-dropping-particle":"","parse-names":false,"suffix":""},{"dropping-particle":"","family":"Pomper","given":"Martin G","non-dropping-particle":"","parse-names":false,"suffix":""}],"container-title":"Journal of Computer Assisted Tomography","id":"ITEM-1","issue":"6","issued":{"date-parts":[["2000"]]},"page":"958-964","title":"Quantification and Minimization of Magnetic Susceptibility Artifacts on GRE Images","type":"article-journal","volume":"24"},"uris":["http://www.mendeley.com/documents/?uuid=ee5c6e9c-b811-497a-8849-62b198881c68"]}],"mendeley":{"formattedCitation":"(21)","plainTextFormattedCitation":"(21)","previouslyFormattedCitation":"(21)"},"properties":{"noteIndex":0},"schema":"https://github.com/citation-style-language/schema/raw/master/csl-citation.json"}</w:instrText>
      </w:r>
      <w:r w:rsidR="00FF256B">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(21)</w:t>
      </w:r>
      <w:r w:rsidR="00FF256B">
        <w:rPr>
          <w:rFonts w:ascii="Times New Roman" w:hAnsi="Times New Roman" w:cs="Times New Roman"/>
          <w:color w:val="000000" w:themeColor="text1"/>
        </w:rPr>
        <w:fldChar w:fldCharType="end"/>
      </w:r>
      <w:r w:rsidR="00FF256B" w:rsidRPr="00EF4D9F">
        <w:rPr>
          <w:rFonts w:ascii="Times New Roman" w:hAnsi="Times New Roman" w:cs="Times New Roman"/>
          <w:color w:val="000000" w:themeColor="text1"/>
        </w:rPr>
        <w:t xml:space="preserve"> While recognized in the literature, corrections for susceptibility artifacts </w:t>
      </w:r>
      <w:r w:rsidR="00454E87">
        <w:rPr>
          <w:rFonts w:ascii="Times New Roman" w:hAnsi="Times New Roman" w:cs="Times New Roman"/>
          <w:color w:val="000000" w:themeColor="text1"/>
        </w:rPr>
        <w:t xml:space="preserve">are not yet </w:t>
      </w:r>
      <w:r w:rsidR="00FF256B" w:rsidRPr="00EF4D9F">
        <w:rPr>
          <w:rFonts w:ascii="Times New Roman" w:hAnsi="Times New Roman" w:cs="Times New Roman"/>
          <w:color w:val="000000" w:themeColor="text1"/>
        </w:rPr>
        <w:t xml:space="preserve">incorporated into the PIRADS standard. </w:t>
      </w:r>
    </w:p>
    <w:p w14:paraId="775CFA6A" w14:textId="718C616F" w:rsidR="004F463D" w:rsidRDefault="00AA72BD" w:rsidP="00F17733">
      <w:pPr>
        <w:autoSpaceDE w:val="0"/>
        <w:autoSpaceDN w:val="0"/>
        <w:adjustRightInd w:val="0"/>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lastRenderedPageBreak/>
        <w:t xml:space="preserve">Susceptibility </w:t>
      </w:r>
      <w:r w:rsidR="00FF256B" w:rsidRPr="00EF4D9F">
        <w:rPr>
          <w:rFonts w:ascii="Times New Roman" w:hAnsi="Times New Roman" w:cs="Times New Roman"/>
          <w:color w:val="000000" w:themeColor="text1"/>
        </w:rPr>
        <w:t>artifact is important during DWI acquisition due to ubiquitous use of the echo planar imaging (EPI) sequence</w:t>
      </w:r>
      <w:r w:rsidR="00454E87">
        <w:rPr>
          <w:rFonts w:ascii="Times New Roman" w:hAnsi="Times New Roman" w:cs="Times New Roman"/>
          <w:color w:val="000000" w:themeColor="text1"/>
        </w:rPr>
        <w:t xml:space="preserve"> which</w:t>
      </w:r>
      <w:r w:rsidR="004F463D">
        <w:rPr>
          <w:rFonts w:ascii="Times New Roman" w:hAnsi="Times New Roman" w:cs="Times New Roman"/>
          <w:color w:val="000000" w:themeColor="text1"/>
        </w:rPr>
        <w:t xml:space="preserve"> magnif</w:t>
      </w:r>
      <w:r w:rsidR="00454E87">
        <w:rPr>
          <w:rFonts w:ascii="Times New Roman" w:hAnsi="Times New Roman" w:cs="Times New Roman"/>
          <w:color w:val="000000" w:themeColor="text1"/>
        </w:rPr>
        <w:t>ies</w:t>
      </w:r>
      <w:r w:rsidR="004F463D">
        <w:rPr>
          <w:rFonts w:ascii="Times New Roman" w:hAnsi="Times New Roman" w:cs="Times New Roman"/>
          <w:color w:val="000000" w:themeColor="text1"/>
        </w:rPr>
        <w:t xml:space="preserve"> magnetic inhomogeneity</w:t>
      </w:r>
      <w:r w:rsidR="00FF256B" w:rsidRPr="00EF4D9F">
        <w:rPr>
          <w:rFonts w:ascii="Times New Roman" w:hAnsi="Times New Roman" w:cs="Times New Roman"/>
          <w:color w:val="000000" w:themeColor="text1"/>
        </w:rPr>
        <w:t>.</w:t>
      </w:r>
      <w:r w:rsidR="00FF256B">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{"citationItems":[{"id":"ITEM-1","itemData":{"author":[{"dropping-particle":"","family":"Tsougos","given":"I","non-dropping-particle":"","parse-names":false,"suffix":""}],"container-title":"Ser Med Phys Biomed","id":"ITEM-1","issued":{"date-parts":[["2018"]]},"page":"29-54","title":"Artifacts and Pitfalls in Diffusion MRI","type":"article-journal"},"uris":["http://www.mendeley.com/documents/?uuid=d848fb85-780d-44c2-85a9-ec2cb08201e3"]}],"mendeley":{"formattedCitation":"(22)","plainTextFormattedCitation":"(22)","previouslyFormattedCitation":"(22)"},"properties":{"noteIndex":0},"schema":"https://github.com/citation-style-language/schema/raw/master/csl-citation.json"}</w:instrText>
      </w:r>
      <w:r w:rsidR="00FF256B">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(22)</w:t>
      </w:r>
      <w:r w:rsidR="00FF256B">
        <w:rPr>
          <w:rFonts w:ascii="Times New Roman" w:hAnsi="Times New Roman" w:cs="Times New Roman"/>
          <w:color w:val="000000" w:themeColor="text1"/>
        </w:rPr>
        <w:fldChar w:fldCharType="end"/>
      </w:r>
      <w:r>
        <w:rPr>
          <w:rFonts w:ascii="Times New Roman" w:hAnsi="Times New Roman" w:cs="Times New Roman"/>
          <w:color w:val="000000" w:themeColor="text1"/>
        </w:rPr>
        <w:t xml:space="preserve"> S</w:t>
      </w:r>
      <w:r w:rsidR="00FF256B" w:rsidRPr="00EF4D9F">
        <w:rPr>
          <w:rFonts w:ascii="Times New Roman" w:hAnsi="Times New Roman" w:cs="Times New Roman"/>
          <w:color w:val="000000" w:themeColor="text1"/>
        </w:rPr>
        <w:t>usceptibility artifact can be reduced by eliminating rectal gas by bowel preparation</w:t>
      </w:r>
      <w:r w:rsidR="00FF256B">
        <w:rPr>
          <w:rFonts w:ascii="Times New Roman" w:hAnsi="Times New Roman" w:cs="Times New Roman"/>
          <w:color w:val="000000" w:themeColor="text1"/>
        </w:rPr>
        <w:t>,</w:t>
      </w:r>
      <w:r w:rsidR="00FF256B">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{"citationItems":[{"id":"ITEM-1","itemData":{"DOI":"10.1016/j.ejrad.2017.02.029","ISSN":"0720048X","abstract":"Purpose To evaluate the effect of rectal distension on the quality of anatomical and functional prostate multiparametric (mp) MRI. Materials and methods Multiparametric (mp) 3T-MRI images of 173 patients were independently evaluated by two radiologists in this retrospective study. Planimetry rectal volumes were derived and a subjective assessment of rectal distension was made using a 5-point Likert scale (1 = no stool/gas, 5 = large amount of stool/gas). Image quality of diffusion-weighted imaging (DWI) was evaluated using a 5-point Likert scale. DWI was further scored for distortion and artefact. T2W images were evaluated for image sharpness and the presence of motion artefact. The stability of the dynamic contrast-enhancement acquisition was assessed by recording the number of corrupt data points during the wash-out phase. Results There was a strong correlation between subjective scoring of rectal loading and objectively measured rectal volume (r = 0.82), p &lt; 0.001. A significant correlation was shown between increased rectal distension and both reduced DW image quality (r = −0.628, p &lt; 0.001), and increased DW image distortion (r = 0.814, p &lt; 0.001). There was also a significant trend for rectal distension to increase artefact at DWI (r = 0.154, p = 0.042). Increased rectal distension led to increased motion artefact on T2 (p = 0.0096), but did not have a significant effect on T2-sharpness (p = 0.0638). There was no relationship between rectal distension and DCE image quality (p = 0.693). 63 patients underwent lesion-targeted biopsy post MRI, there was a trend to higher positive predictive values in patients with minor rectal distension (34/38, 89.5%) compared to those with moderate/marked distension (18/25, 72%), p = 0.09. Conclusion Rectal distension has a significant negative effect on the quality of both T2W and DW images. Consideration should therefore be given to bowel preparation prior to prostate mpMRI to optimise image quality.","author":[{"dropping-particle":"","family":"Caglic","given":"Iztok","non-dropping-particle":"","parse-names":false,"suffix":""},{"dropping-particle":"","family":"Hansen","given":"Nienke L.","non-dropping-particle":"","parse-names":false,"suffix":""},{"dropping-particle":"","family":"Slough","given":"Rhys A.","non-dropping-particle":"","parse-names":false,"suffix":""},{"dropping-particle":"","family":"Patterson","given":"Andrew J.","non-dropping-particle":"","parse-names":false,"suffix":""},{"dropping-particle":"","family":"Barrett","given":"Tristan","non-dropping-particle":"","parse-names":false,"suffix":""}],"container-title":"European Journal of Radiology","id":"ITEM-1","issued":{"date-parts":[["2017","5"]]},"page":"174-180","publisher":"Elsevier Ireland Ltd","title":"Evaluating the effect of rectal distension on prostate multiparametric MRI image quality","type":"article-journal","volume":"90"},"uris":["http://www.mendeley.com/documents/?uuid=52e45bdf-18cb-49bc-8308-9250021e5713"]}],"mendeley":{"formattedCitation":"(23)","plainTextFormattedCitation":"(23)","previouslyFormattedCitation":"(23)"},"properties":{"noteIndex":0},"schema":"https://github.com/citation-style-language/schema/raw/master/csl-citation.json"}</w:instrText>
      </w:r>
      <w:r w:rsidR="00FF256B">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(23)</w:t>
      </w:r>
      <w:r w:rsidR="00FF256B">
        <w:rPr>
          <w:rFonts w:ascii="Times New Roman" w:hAnsi="Times New Roman" w:cs="Times New Roman"/>
          <w:color w:val="000000" w:themeColor="text1"/>
        </w:rPr>
        <w:fldChar w:fldCharType="end"/>
      </w:r>
      <w:r w:rsidR="00FF256B">
        <w:rPr>
          <w:rFonts w:ascii="Times New Roman" w:hAnsi="Times New Roman" w:cs="Times New Roman"/>
          <w:color w:val="000000" w:themeColor="text1"/>
        </w:rPr>
        <w:t xml:space="preserve"> </w:t>
      </w:r>
      <w:r w:rsidR="00FF256B" w:rsidRPr="00EF4D9F">
        <w:rPr>
          <w:rFonts w:ascii="Times New Roman" w:hAnsi="Times New Roman" w:cs="Times New Roman"/>
          <w:color w:val="000000" w:themeColor="text1"/>
        </w:rPr>
        <w:t xml:space="preserve">or </w:t>
      </w:r>
      <w:r w:rsidR="006E0A10">
        <w:rPr>
          <w:rFonts w:ascii="Times New Roman" w:hAnsi="Times New Roman" w:cs="Times New Roman"/>
          <w:color w:val="000000" w:themeColor="text1"/>
        </w:rPr>
        <w:t xml:space="preserve">by the </w:t>
      </w:r>
      <w:r w:rsidR="00FF256B" w:rsidRPr="00EF4D9F">
        <w:rPr>
          <w:rFonts w:ascii="Times New Roman" w:hAnsi="Times New Roman" w:cs="Times New Roman"/>
          <w:color w:val="000000" w:themeColor="text1"/>
        </w:rPr>
        <w:t>administration of a spasmolytic agent (e.g. buscopan).</w:t>
      </w:r>
      <w:r w:rsidR="00FF256B">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{"citationItems":[{"id":"ITEM-1","itemData":{"DOI":"10.1007/s00330-017-4940-7","ISSN":"14321084","abstract":"© 2017, European Society of Radiology. Objectives: To prospectively evaluate the effect of hyoscine butylbromide (HBB) on visualisation of anatomical details and motion-related artefacts in mp-MRI of the prostate at 3.0 Tesla. Methods: One hundred and three consecutive patients (65 ± 10 years) were included in this trial, powered to demonstrate an improvement of image quality after HBB administration, assessed on a 5-point scale by two blinded readers. All patients received high-spatial resolution axial T2-weighted TSE sequences at 3.0 T without spasmolytic agent, repeated after application of 40 mg HBB and followed by routine mp-MRI. Secondary endpoints were (1) susceptibility to side effects, (2) dependence of spasmolytic effect on patients´ weight, and (3) prostate volume. Results: In 68% of patients, HBB significantly improved the anatomic score (mean 3.4 ± 0.9 before and 4.4 ± 0.7 after HBB for both readers, p = &lt;0.001). In 67%, HBB significantly enhanced the artefact score (mean 3.2 ± 1 before and 4.2 ± 0.8 after HBB for reader 1, p = &lt;0.001; 3.2 ± 1 and 4.1 ± 0.8 for reader 2, p = &lt;0.001). Subgroup analysis revealed no statistically significant difference between patients with different bodyweight or prostate volume. Inter-reader agreement was excellent (k = 0.95–0.98). Conclusions: Hyoscine butylbromide significantly improves image quality and reduces motion-related artefacts in mp-MRI of the prostate independent of bodyweight or prostate volume. No side effects were reported. Key Points: • Hyoscine butylbromide (HBB) improved image quality in over 2/3 of patients. • Severe artefacts were reduced after HBB in more than 20%. • The number of non-diagnostic MRI was reduced to &lt;1% after HBB. • HBB effect was independent of bodyweight and prostate volume. • No side effects of HBB were reported in this study population.","author":[{"dropping-particle":"","family":"Ullrich","given":"T.","non-dropping-particle":"","parse-names":false,"suffix":""},{"dropping-particle":"","family":"Quentin","given":"M.","non-dropping-particle":"","parse-names":false,"suffix":""},{"dropping-particle":"","family":"Schmaltz","given":"A. K.","non-dropping-particle":"","parse-names":false,"suffix":""},{"dropping-particle":"","family":"Arsov","given":"C.","non-dropping-particle":"","parse-names":false,"suffix":""},{"dropping-particle":"","family":"Rubbert","given":"C.","non-dropping-particle":"","parse-names":false,"suffix":""},{"dropping-particle":"","family":"Blondin","given":"D.","non-dropping-particle":"","parse-names":false,"suffix":""},{"dropping-particle":"","family":"Rabenalt","given":"R.","non-dropping-particle":"","parse-names":false,"suffix":""},{"dropping-particle":"","family":"Albers","given":"P.","non-dropping-particle":"","parse-names":false,"suffix":""},{"dropping-particle":"","family":"Antoch","given":"G.","non-dropping-particle":"","parse-names":false,"suffix":""},{"dropping-particle":"","family":"Schimmöller","given":"L.","non-dropping-particle":"","parse-names":false,"suffix":""}],"container-title":"European Radiology","id":"ITEM-1","issue":"1","issued":{"date-parts":[["2018"]]},"page":"17-23","publisher":"European Radiology","title":"Hyoscine butylbromide significantly decreases motion artefacts and allows better delineation of anatomic structures in mp-MRI of the prostate","type":"article-journal","volume":"28"},"uris":["http://www.mendeley.com/documents/?uuid=3e34e7e2-c419-464a-8e50-ac198763c465"]}],"mendeley":{"formattedCitation":"(24)","plainTextFormattedCitation":"(24)","previouslyFormattedCitation":"(24)"},"properties":{"noteIndex":0},"schema":"https://github.com/citation-style-language/schema/raw/master/csl-citation.json"}</w:instrText>
      </w:r>
      <w:r w:rsidR="00FF256B">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(24)</w:t>
      </w:r>
      <w:r w:rsidR="00FF256B">
        <w:rPr>
          <w:rFonts w:ascii="Times New Roman" w:hAnsi="Times New Roman" w:cs="Times New Roman"/>
          <w:color w:val="000000" w:themeColor="text1"/>
        </w:rPr>
        <w:fldChar w:fldCharType="end"/>
      </w:r>
      <w:r w:rsidR="00FF256B" w:rsidRPr="00EF4D9F">
        <w:rPr>
          <w:rFonts w:ascii="Times New Roman" w:hAnsi="Times New Roman" w:cs="Times New Roman"/>
          <w:color w:val="000000" w:themeColor="text1"/>
        </w:rPr>
        <w:t xml:space="preserve"> </w:t>
      </w:r>
      <w:r>
        <w:rPr>
          <w:rFonts w:ascii="Times New Roman" w:hAnsi="Times New Roman" w:cs="Times New Roman"/>
          <w:color w:val="000000" w:themeColor="text1"/>
        </w:rPr>
        <w:t>D</w:t>
      </w:r>
      <w:r w:rsidR="00FF256B" w:rsidRPr="00EF4D9F">
        <w:rPr>
          <w:rFonts w:ascii="Times New Roman" w:hAnsi="Times New Roman" w:cs="Times New Roman"/>
          <w:color w:val="000000" w:themeColor="text1"/>
        </w:rPr>
        <w:t>uring acquisition, we have shown that the effect of the susceptibility artifact can be mitigated by</w:t>
      </w:r>
      <w:r w:rsidR="009C0686">
        <w:rPr>
          <w:rFonts w:ascii="Times New Roman" w:hAnsi="Times New Roman" w:cs="Times New Roman"/>
          <w:color w:val="000000" w:themeColor="text1"/>
        </w:rPr>
        <w:t xml:space="preserve"> </w:t>
      </w:r>
      <w:r w:rsidR="00FF256B" w:rsidRPr="00EF4D9F">
        <w:rPr>
          <w:rFonts w:ascii="Times New Roman" w:hAnsi="Times New Roman" w:cs="Times New Roman"/>
          <w:color w:val="000000" w:themeColor="text1"/>
        </w:rPr>
        <w:t xml:space="preserve">altering the phase encoding direction from </w:t>
      </w:r>
      <w:r w:rsidR="00F022C9" w:rsidRPr="00F17733">
        <w:rPr>
          <w:rFonts w:ascii="Times New Roman" w:hAnsi="Times New Roman" w:cs="Times New Roman"/>
          <w:color w:val="000000" w:themeColor="text1"/>
        </w:rPr>
        <w:t>vertical (</w:t>
      </w:r>
      <w:r w:rsidR="00454E87" w:rsidRPr="00F17733">
        <w:rPr>
          <w:rFonts w:ascii="Times New Roman" w:hAnsi="Times New Roman" w:cs="Times New Roman"/>
          <w:color w:val="000000" w:themeColor="text1"/>
        </w:rPr>
        <w:t>anterior-</w:t>
      </w:r>
      <w:r w:rsidR="00FF256B" w:rsidRPr="00F17733">
        <w:rPr>
          <w:rFonts w:ascii="Times New Roman" w:hAnsi="Times New Roman" w:cs="Times New Roman"/>
          <w:color w:val="000000" w:themeColor="text1"/>
        </w:rPr>
        <w:t>posterior</w:t>
      </w:r>
      <w:r w:rsidR="00F022C9" w:rsidRPr="00F17733">
        <w:rPr>
          <w:rFonts w:ascii="Times New Roman" w:hAnsi="Times New Roman" w:cs="Times New Roman"/>
          <w:color w:val="000000" w:themeColor="text1"/>
        </w:rPr>
        <w:t>)</w:t>
      </w:r>
      <w:r w:rsidR="00FF256B" w:rsidRPr="00F17733">
        <w:rPr>
          <w:rFonts w:ascii="Times New Roman" w:hAnsi="Times New Roman" w:cs="Times New Roman"/>
          <w:color w:val="000000" w:themeColor="text1"/>
        </w:rPr>
        <w:t xml:space="preserve"> to </w:t>
      </w:r>
      <w:r w:rsidR="00F022C9" w:rsidRPr="00F17733">
        <w:rPr>
          <w:rFonts w:ascii="Times New Roman" w:hAnsi="Times New Roman" w:cs="Times New Roman"/>
          <w:color w:val="000000" w:themeColor="text1"/>
        </w:rPr>
        <w:t>horizontal (l</w:t>
      </w:r>
      <w:r w:rsidR="00FF256B" w:rsidRPr="00F17733">
        <w:rPr>
          <w:rFonts w:ascii="Times New Roman" w:hAnsi="Times New Roman" w:cs="Times New Roman"/>
          <w:color w:val="000000" w:themeColor="text1"/>
        </w:rPr>
        <w:t>eft</w:t>
      </w:r>
      <w:r w:rsidR="00454E87" w:rsidRPr="00F17733">
        <w:rPr>
          <w:rFonts w:ascii="Times New Roman" w:hAnsi="Times New Roman" w:cs="Times New Roman"/>
          <w:color w:val="000000" w:themeColor="text1"/>
        </w:rPr>
        <w:t>-</w:t>
      </w:r>
      <w:r w:rsidR="00FF256B" w:rsidRPr="00F17733">
        <w:rPr>
          <w:rFonts w:ascii="Times New Roman" w:hAnsi="Times New Roman" w:cs="Times New Roman"/>
          <w:color w:val="000000" w:themeColor="text1"/>
        </w:rPr>
        <w:t>right</w:t>
      </w:r>
      <w:r w:rsidR="00F022C9" w:rsidRPr="00F17733">
        <w:rPr>
          <w:rFonts w:ascii="Times New Roman" w:hAnsi="Times New Roman" w:cs="Times New Roman"/>
          <w:color w:val="000000" w:themeColor="text1"/>
        </w:rPr>
        <w:t>)</w:t>
      </w:r>
      <w:r w:rsidR="003A603E" w:rsidRPr="00F17733">
        <w:rPr>
          <w:rFonts w:ascii="Times New Roman" w:hAnsi="Times New Roman" w:cs="Times New Roman"/>
          <w:color w:val="000000" w:themeColor="text1"/>
        </w:rPr>
        <w:t xml:space="preserve">. </w:t>
      </w:r>
      <w:r w:rsidR="00C2708A" w:rsidRPr="00F17733">
        <w:rPr>
          <w:rFonts w:ascii="Times New Roman" w:hAnsi="Times New Roman" w:cs="Times New Roman"/>
          <w:color w:val="000000" w:themeColor="text1"/>
        </w:rPr>
        <w:t xml:space="preserve">Although </w:t>
      </w:r>
      <w:r w:rsidR="009C0686" w:rsidRPr="00F17733">
        <w:rPr>
          <w:rFonts w:ascii="Times New Roman" w:hAnsi="Times New Roman" w:cs="Times New Roman"/>
          <w:color w:val="000000" w:themeColor="text1"/>
        </w:rPr>
        <w:t>no</w:t>
      </w:r>
      <w:r w:rsidR="00C2708A" w:rsidRPr="00F17733">
        <w:rPr>
          <w:rFonts w:ascii="Times New Roman" w:hAnsi="Times New Roman" w:cs="Times New Roman"/>
          <w:color w:val="000000" w:themeColor="text1"/>
        </w:rPr>
        <w:t>t</w:t>
      </w:r>
      <w:r w:rsidR="009C0686" w:rsidRPr="00F17733">
        <w:rPr>
          <w:rFonts w:ascii="Times New Roman" w:hAnsi="Times New Roman" w:cs="Times New Roman"/>
          <w:color w:val="000000" w:themeColor="text1"/>
        </w:rPr>
        <w:t xml:space="preserve"> seen in our cohort</w:t>
      </w:r>
      <w:r w:rsidR="00FF256B" w:rsidRPr="00F17733">
        <w:rPr>
          <w:rFonts w:ascii="Times New Roman" w:hAnsi="Times New Roman" w:cs="Times New Roman"/>
          <w:color w:val="000000" w:themeColor="text1"/>
        </w:rPr>
        <w:t xml:space="preserve">, flipping the phase encoding direction </w:t>
      </w:r>
      <w:r w:rsidR="00C2708A" w:rsidRPr="00F17733">
        <w:rPr>
          <w:rFonts w:ascii="Times New Roman" w:hAnsi="Times New Roman" w:cs="Times New Roman"/>
          <w:color w:val="000000" w:themeColor="text1"/>
        </w:rPr>
        <w:t xml:space="preserve">can theoretically </w:t>
      </w:r>
      <w:r w:rsidR="00FF256B" w:rsidRPr="00F17733">
        <w:rPr>
          <w:rFonts w:ascii="Times New Roman" w:hAnsi="Times New Roman" w:cs="Times New Roman"/>
          <w:color w:val="000000" w:themeColor="text1"/>
        </w:rPr>
        <w:t>move the distortion to the lateral axis and away from the prostate. Limiting spin evolution during readout by reducing echo times,</w:t>
      </w:r>
      <w:r w:rsidR="00FF256B" w:rsidRPr="00F17733">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{"citationItems":[{"id":"ITEM-1","itemData":{"DOI":"10.1002/mrm.26899","ISSN":"15222594","abstract":"© 2017 International Society for Magnetic Resonance in Medicine Purpose: To evaluate the effect of correction for B 0 inhomogeneity-induced geometric distortion in echo-planar diffusion-weighted imaging on quantitative apparent diffusion coefficient (ADC) analysis in multiparametric prostate MRI. Methods: Geometric distortion correction was performed in echo-planar diffusion-weighted images (b = 0, 50, 400, 800 s/mm 2 ) of 28 patients, using two b 0 scans with opposing phase-encoding polarities. Histology-matched tumor and healthy tissue volumes of interest delineated on T 2 -weighted images were mapped to the nondistortion-corrected and distortion-corrected data sets by resampling with and without spatial coregistration. The ADC values were calculated on the volume and voxel level. The effect of distortion correction on ADC quantification and tissue classification was evaluated using linear-mixed models and logistic regression, respectively. Results: Without coregistration, the absolute differences in tumor ADC (range: 0.0002–0.189 mm 2 /s×10 −3 (volume level); 0.014–0.493 mm 2 /s×10 −3 (voxel level)) between the nondistortion-corrected and distortion-corrected were significantly associated (P  &lt;  0.05) with distortion distance (mean: 1.4 ± 1.3 mm; range: 0.3–5.3 mm). No significant associations were found upon coregistration; however, in patients with high rectal gas residue, distortion correction resulted in improved spatial representation and significantly better classification of healthy versus tumor voxels (P  &lt;  0.05). Conclusions: Geometric distortion correction in DWI could improve quantitative ADC analysis in multiparametric prostate MRI. Magn Reson Med 79:2524–2532, 2018. © 2017 International Society for Magnetic Resonance in Medicine.","author":[{"dropping-particle":"","family":"Nketiah","given":"Gabriel","non-dropping-particle":"","parse-names":false,"suffix":""},{"dropping-particle":"","family":"Selnæs","given":"Kirsten M.","non-dropping-particle":"","parse-names":false,"suffix":""},{"dropping-particle":"","family":"Sandsmark","given":"Elise","non-dropping-particle":"","parse-names":false,"suffix":""},{"dropping-particle":"","family":"Teruel","given":"Jose R.","non-dropping-particle":"","parse-names":false,"suffix":""},{"dropping-particle":"","family":"Krüger-Stokke","given":"Brage","non-dropping-particle":"","parse-names":false,"suffix":""},{"dropping-particle":"","family":"Bertilsson","given":"Helena","non-dropping-particle":"","parse-names":false,"suffix":""},{"dropping-particle":"","family":"Bathen","given":"Tone F.","non-dropping-particle":"","parse-names":false,"suffix":""},{"dropping-particle":"","family":"Elschot","given":"Mattijs","non-dropping-particle":"","parse-names":false,"suffix":""}],"container-title":"Magnetic Resonance in Medicine","id":"ITEM-1","issue":"5","issued":{"date-parts":[["2018"]]},"page":"2524-2532","title":"Geometric distortion correction in prostate diffusion-weighted MRI and its effect on quantitative apparent diffusion coefficient analysis","type":"article-journal","volume":"79"},"uris":["http://www.mendeley.com/documents/?uuid=68683ace-a9bb-4c63-8230-7e48a0f3f7b7"]}],"mendeley":{"formattedCitation":"(19)","plainTextFormattedCitation":"(19)","previouslyFormattedCitation":"(19)"},"properties":{"noteIndex":0},"schema":"https://github.com/citation-style-language/schema/raw/master/csl-citation.json"}</w:instrText>
      </w:r>
      <w:r w:rsidR="00FF256B" w:rsidRPr="00F17733">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(19)</w:t>
      </w:r>
      <w:r w:rsidR="00FF256B" w:rsidRPr="00F17733">
        <w:rPr>
          <w:rFonts w:ascii="Times New Roman" w:hAnsi="Times New Roman" w:cs="Times New Roman"/>
          <w:color w:val="000000" w:themeColor="text1"/>
        </w:rPr>
        <w:fldChar w:fldCharType="end"/>
      </w:r>
      <w:r w:rsidR="00FF256B" w:rsidRPr="00F17733">
        <w:rPr>
          <w:rFonts w:ascii="Times New Roman" w:hAnsi="Times New Roman" w:cs="Times New Roman"/>
          <w:color w:val="000000" w:themeColor="text1"/>
        </w:rPr>
        <w:t xml:space="preserve"> restricting the FOV,</w:t>
      </w:r>
      <w:r w:rsidR="00FF256B" w:rsidRPr="00F17733">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{"citationItems":[{"id":"ITEM-1","itemData":{"DOI":"10.1016/j.mri.2014.08.040","ISSN":"18735894","abstract":"The purposes of this study were to determine if image distortion is less in prostate MR apparent diffusion coefficient (ADC) maps generated from a reduced-field-of-view (rFOV) diffusion-weighted-imaging (DWI) technique than from a conventional DWI sequence (CONV), and to determine if the rFOV ADC tumor contrast is as high as or better than that of the CONV sequence. Fifty patients underwent a 3T MRI exam. CONV and rFOV (utilizing a 2D, echo-planar, rectangularly-selective RF pulse) sequences were acquired using b=600, 0s/mm&lt;sup&gt;2&lt;/sup&gt;. Distortion was visually scored 0-4 by three independent observers and quantitatively measured using the difference in rectal wall curvature between the ADC maps and T2-weighted images. Distortion scores were lower with the rFOV sequence (p&lt;0.012, Wilcoxon Signed-Rank Test, n=50), and difference in distortion scores did not differ significantly among observers (p=0.99, Kruskal-Wallis Rank Sum Test). The difference in rectal curvature was less with rFOV ADC maps (26%±10%) than CONV ADC maps (34%±13%) (p&lt;0.011, Student's t-test). In seventeen patients with untreated, biopsy confirmed prostate cancer, the rFOV sequence afforded significantly higher ADC tumor contrast (44.0%) than the CONV sequence (35.9%), (p&lt;0.0012, Student's t-test). The rFOV sequence yielded significantly decreased susceptibility artifact and significantly higher contrast between tumor and healthy tissue.","author":[{"dropping-particle":"","family":"Korn","given":"Natalie","non-dropping-particle":"","parse-names":false,"suffix":""},{"dropping-particle":"","family":"Kurhanewicz","given":"John","non-dropping-particle":"","parse-names":false,"suffix":""},{"dropping-particle":"","family":"Banerjee","given":"Suchandrima","non-dropping-particle":"","parse-names":false,"suffix":""},{"dropping-particle":"","family":"Starobinets","given":"Olga","non-dropping-particle":"","parse-names":false,"suffix":""},{"dropping-particle":"","family":"Saritas","given":"Emine","non-dropping-particle":"","parse-names":false,"suffix":""},{"dropping-particle":"","family":"Noworolski","given":"Susan","non-dropping-particle":"","parse-names":false,"suffix":""}],"container-title":"Magnetic Resonance Imaging","id":"ITEM-1","issue":"1","issued":{"date-parts":[["2015"]]},"page":"56-62","publisher":"Elsevier Inc.","title":"Reduced-FOV excitation decreases susceptibility artifact in diffusion-weighted MRI with endorectal coil for prostate cancer detection","type":"article-journal","volume":"33"},"uris":["http://www.mendeley.com/documents/?uuid=61bd74d7-decc-4ebb-afc3-5fd54b3efd93"]}],"mendeley":{"formattedCitation":"(25)","plainTextFormattedCitation":"(25)","previouslyFormattedCitation":"(25)"},"properties":{"noteIndex":0},"schema":"https://github.com/citation-style-language/schema/raw/master/csl-citation.json"}</w:instrText>
      </w:r>
      <w:r w:rsidR="00FF256B" w:rsidRPr="00F17733">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(25)</w:t>
      </w:r>
      <w:r w:rsidR="00FF256B" w:rsidRPr="00F17733">
        <w:rPr>
          <w:rFonts w:ascii="Times New Roman" w:hAnsi="Times New Roman" w:cs="Times New Roman"/>
          <w:color w:val="000000" w:themeColor="text1"/>
        </w:rPr>
        <w:fldChar w:fldCharType="end"/>
      </w:r>
      <w:r w:rsidR="00FF256B" w:rsidRPr="00F17733">
        <w:rPr>
          <w:rFonts w:ascii="Times New Roman" w:hAnsi="Times New Roman" w:cs="Times New Roman"/>
          <w:color w:val="000000" w:themeColor="text1"/>
        </w:rPr>
        <w:t xml:space="preserve"> or by parallel imaging has the potential to diminish susceptibility effects. Using B0 field maps to adjust the signal phase in postprocessing or combining scans of opposite phase encoding polarity to cancel improper phase evolution have also been shown to be effective in minimizing distortion artifacts.</w:t>
      </w:r>
      <w:r w:rsidR="00FF256B" w:rsidRPr="00F17733">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{"citationItems":[{"id":"ITEM-1","itemData":{"DOI":"10.1016/j.mri.2015.06.010","ISSN":"18735894","abstract":"High field MRI has been applied to high-resolution structural and functional imaging of the brain. Echo planar imaging (EPI) is an ultrafast acquisition technique widely used in diffusion imaging, functional MRI and perfusion imaging. However, it suffers from geometric and intensity distortions caused by static magnetic field inhomogeneity, which is worse at higher field strengths. Such susceptibility artifacts are particularly severe in relation to the small size of the mouse brain. In this study we compared different distortion correction methods, including nonlinear registration, field map-based, and reversed phase-encoding-based approaches, on quantitative imaging of T1 and perfusion in the mouse brain acquired by spin-echo EPI with inversion recovery and pseudo-continuous arterial spin labeling, respectively, at 7. T. Our results showed that the 3D reversed phase-encoding correction outperformed other methods in terms of geometric fidelity, and that conventional field map-based correction could be improved by combination with affine transformation to reduce the bias in the field map. Both methods improved quantification with smaller fitting error and regional variation. These approaches offer robust correction of EPI distortions at high field strengths and hence could lead to more accurate co-registration and quantification of imaging biomarkers in both clinical and preclinical applications.","author":[{"dropping-particle":"","family":"Hong","given":"Xin","non-dropping-particle":"","parse-names":false,"suffix":""},{"dropping-particle":"","family":"To","given":"Xuan Vinh","non-dropping-particle":"","parse-names":false,"suffix":""},{"dropping-particle":"","family":"Teh","given":"Irvin","non-dropping-particle":"","parse-names":false,"suffix":""},{"dropping-particle":"","family":"Soh","given":"Jian Rui","non-dropping-particle":"","parse-names":false,"suffix":""},{"dropping-particle":"","family":"Chuang","given":"Kai Hsiang","non-dropping-particle":"","parse-names":false,"suffix":""}],"container-title":"Magnetic Resonance Imaging","id":"ITEM-1","issue":"9","issued":{"date-parts":[["2015"]]},"page":"1098-1105","publisher":"Elsevier Inc.","title":"Evaluation of EPI distortion correction methods for quantitative MRI of the brain at high magnetic field","type":"article-journal","volume":"33"},"uris":["http://www.mendeley.com/documents/?uuid=a16a1624-d837-4949-b829-9f5db5d5fb8c"]}],"mendeley":{"formattedCitation":"(26)","plainTextFormattedCitation":"(26)","previouslyFormattedCitation":"(26)"},"properties":{"noteIndex":0},"schema":"https://github.com/citation-style-language/schema/raw/master/csl-citation.json"}</w:instrText>
      </w:r>
      <w:r w:rsidR="00FF256B" w:rsidRPr="00F17733">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(26)</w:t>
      </w:r>
      <w:r w:rsidR="00FF256B" w:rsidRPr="00F17733">
        <w:rPr>
          <w:rFonts w:ascii="Times New Roman" w:hAnsi="Times New Roman" w:cs="Times New Roman"/>
          <w:color w:val="000000" w:themeColor="text1"/>
        </w:rPr>
        <w:fldChar w:fldCharType="end"/>
      </w:r>
      <w:r w:rsidR="00FF256B" w:rsidRPr="00F17733">
        <w:rPr>
          <w:rFonts w:ascii="Times New Roman" w:hAnsi="Times New Roman" w:cs="Times New Roman"/>
          <w:color w:val="000000" w:themeColor="text1"/>
        </w:rPr>
        <w:t xml:space="preserve"> These and other candidate strategies need further explor</w:t>
      </w:r>
      <w:r>
        <w:rPr>
          <w:rFonts w:ascii="Times New Roman" w:hAnsi="Times New Roman" w:cs="Times New Roman"/>
          <w:color w:val="000000" w:themeColor="text1"/>
        </w:rPr>
        <w:t>ation</w:t>
      </w:r>
      <w:r w:rsidR="00FF256B" w:rsidRPr="00F17733">
        <w:rPr>
          <w:rFonts w:ascii="Times New Roman" w:hAnsi="Times New Roman" w:cs="Times New Roman"/>
          <w:color w:val="000000" w:themeColor="text1"/>
        </w:rPr>
        <w:t xml:space="preserve"> and investigat</w:t>
      </w:r>
      <w:r>
        <w:rPr>
          <w:rFonts w:ascii="Times New Roman" w:hAnsi="Times New Roman" w:cs="Times New Roman"/>
          <w:color w:val="000000" w:themeColor="text1"/>
        </w:rPr>
        <w:t>ion</w:t>
      </w:r>
      <w:r w:rsidR="00FF256B" w:rsidRPr="00F17733">
        <w:rPr>
          <w:rFonts w:ascii="Times New Roman" w:hAnsi="Times New Roman" w:cs="Times New Roman"/>
          <w:color w:val="000000" w:themeColor="text1"/>
        </w:rPr>
        <w:t xml:space="preserve"> in larger studies.</w:t>
      </w:r>
    </w:p>
    <w:p w14:paraId="1BDADAEB" w14:textId="77777777" w:rsidR="007D1BD4" w:rsidRDefault="007D1BD4" w:rsidP="007D1BD4">
      <w:pPr>
        <w:autoSpaceDE w:val="0"/>
        <w:autoSpaceDN w:val="0"/>
        <w:adjustRightInd w:val="0"/>
        <w:spacing w:after="0"/>
        <w:jc w:val="both"/>
        <w:rPr>
          <w:rFonts w:ascii="Times New Roman" w:hAnsi="Times New Roman" w:cs="Times New Roman"/>
          <w:b/>
          <w:bCs/>
          <w:color w:val="000000" w:themeColor="text1"/>
        </w:rPr>
      </w:pPr>
    </w:p>
    <w:p w14:paraId="03A864EE" w14:textId="43407BD1" w:rsidR="007D1BD4" w:rsidRPr="007D1BD4" w:rsidRDefault="007D1BD4" w:rsidP="007D1BD4">
      <w:pPr>
        <w:autoSpaceDE w:val="0"/>
        <w:autoSpaceDN w:val="0"/>
        <w:adjustRightInd w:val="0"/>
        <w:spacing w:after="0"/>
        <w:jc w:val="both"/>
        <w:rPr>
          <w:rFonts w:ascii="Times New Roman" w:hAnsi="Times New Roman" w:cs="Times New Roman"/>
          <w:b/>
          <w:bCs/>
          <w:color w:val="000000" w:themeColor="text1"/>
        </w:rPr>
      </w:pPr>
      <w:r w:rsidRPr="007D1BD4">
        <w:rPr>
          <w:rFonts w:ascii="Times New Roman" w:hAnsi="Times New Roman" w:cs="Times New Roman"/>
          <w:b/>
          <w:bCs/>
          <w:color w:val="000000" w:themeColor="text1"/>
        </w:rPr>
        <w:t>Limitations</w:t>
      </w:r>
    </w:p>
    <w:p w14:paraId="1E2C79AA" w14:textId="44EFFBB1" w:rsidR="004F463D" w:rsidRDefault="00D06F19" w:rsidP="00F17733">
      <w:pPr>
        <w:spacing w:after="0"/>
        <w:ind w:firstLine="720"/>
        <w:jc w:val="both"/>
        <w:rPr>
          <w:rFonts w:ascii="Times New Roman" w:hAnsi="Times New Roman" w:cs="Times New Roman"/>
          <w:color w:val="000000" w:themeColor="text1"/>
        </w:rPr>
      </w:pPr>
      <w:r>
        <w:rPr>
          <w:rFonts w:ascii="Times New Roman" w:hAnsi="Times New Roman" w:cs="Times New Roman"/>
          <w:color w:val="000000" w:themeColor="text1"/>
        </w:rPr>
        <w:t xml:space="preserve">This study has several limitations. First, we evaluated the impact of adherence to each standard in a binary fashion (compliant or non-compliant) on adequacy and quality; however, we did not evaluate the effect of the actual values of image acquisition settings on quality. </w:t>
      </w:r>
      <w:r w:rsidR="004A2823">
        <w:rPr>
          <w:rFonts w:ascii="Times New Roman" w:hAnsi="Times New Roman" w:cs="Times New Roman"/>
          <w:color w:val="000000" w:themeColor="text1"/>
        </w:rPr>
        <w:t>Second,</w:t>
      </w:r>
      <w:r>
        <w:rPr>
          <w:rFonts w:ascii="Times New Roman" w:hAnsi="Times New Roman" w:cs="Times New Roman"/>
          <w:color w:val="000000" w:themeColor="text1"/>
        </w:rPr>
        <w:t xml:space="preserve"> </w:t>
      </w:r>
      <w:bookmarkStart w:id="2" w:name="_Hlk30414607"/>
      <w:r w:rsidR="0000570F" w:rsidRPr="0000570F">
        <w:rPr>
          <w:rFonts w:ascii="Times New Roman" w:hAnsi="Times New Roman" w:cs="Times New Roman"/>
          <w:color w:val="000000" w:themeColor="text1"/>
        </w:rPr>
        <w:t>we approached the quality evaluation for image acquisition parameters in a binary fashion using strict adherence criteria of MTS in the PI-RADS documents instead of quantifying the degree of difference from the MTS defined in PI-RADS.  We agree that this may underestimate the importance of PI-RADS MTS.  However, there is an inherent value judgement regarding how closely an MTS standard was followed and to avoid this subjectivity we opted for a more absolute criterion of compliance</w:t>
      </w:r>
      <w:r w:rsidR="00496B52">
        <w:rPr>
          <w:rFonts w:ascii="Times New Roman" w:hAnsi="Times New Roman" w:cs="Times New Roman"/>
          <w:color w:val="000000" w:themeColor="text1"/>
        </w:rPr>
        <w:t xml:space="preserve">. </w:t>
      </w:r>
      <w:bookmarkEnd w:id="2"/>
      <w:r w:rsidR="00496B52">
        <w:rPr>
          <w:rFonts w:ascii="Times New Roman" w:hAnsi="Times New Roman" w:cs="Times New Roman"/>
          <w:color w:val="000000" w:themeColor="text1"/>
        </w:rPr>
        <w:t xml:space="preserve">Third, </w:t>
      </w:r>
      <w:r>
        <w:rPr>
          <w:rFonts w:ascii="Times New Roman" w:hAnsi="Times New Roman" w:cs="Times New Roman"/>
          <w:color w:val="000000" w:themeColor="text1"/>
        </w:rPr>
        <w:t xml:space="preserve">readers evaluated the adequacy of images for use in </w:t>
      </w:r>
      <w:r w:rsidR="004A2823">
        <w:rPr>
          <w:rFonts w:ascii="Times New Roman" w:hAnsi="Times New Roman" w:cs="Times New Roman"/>
          <w:color w:val="000000" w:themeColor="text1"/>
        </w:rPr>
        <w:t>diagnosis,</w:t>
      </w:r>
      <w:r>
        <w:rPr>
          <w:rFonts w:ascii="Times New Roman" w:hAnsi="Times New Roman" w:cs="Times New Roman"/>
          <w:color w:val="000000" w:themeColor="text1"/>
        </w:rPr>
        <w:t xml:space="preserve"> but </w:t>
      </w:r>
      <w:r w:rsidR="004A2823">
        <w:rPr>
          <w:rFonts w:ascii="Times New Roman" w:hAnsi="Times New Roman" w:cs="Times New Roman"/>
          <w:color w:val="000000" w:themeColor="text1"/>
        </w:rPr>
        <w:t xml:space="preserve">we </w:t>
      </w:r>
      <w:r>
        <w:rPr>
          <w:rFonts w:ascii="Times New Roman" w:hAnsi="Times New Roman" w:cs="Times New Roman"/>
          <w:color w:val="000000" w:themeColor="text1"/>
        </w:rPr>
        <w:t xml:space="preserve">did not assess the actual effect on diagnostic accuracy. To do both </w:t>
      </w:r>
      <w:r>
        <w:rPr>
          <w:rFonts w:ascii="Times New Roman" w:hAnsi="Times New Roman" w:cs="Times New Roman"/>
          <w:color w:val="000000" w:themeColor="text1"/>
        </w:rPr>
        <w:lastRenderedPageBreak/>
        <w:t xml:space="preserve">of the above </w:t>
      </w:r>
      <w:r w:rsidR="006E67A0">
        <w:rPr>
          <w:rFonts w:ascii="Times New Roman" w:hAnsi="Times New Roman" w:cs="Times New Roman"/>
          <w:color w:val="000000" w:themeColor="text1"/>
        </w:rPr>
        <w:t>would require a</w:t>
      </w:r>
      <w:r>
        <w:rPr>
          <w:rFonts w:ascii="Times New Roman" w:hAnsi="Times New Roman" w:cs="Times New Roman"/>
          <w:color w:val="000000" w:themeColor="text1"/>
        </w:rPr>
        <w:t xml:space="preserve"> vast sample size and a prospective design to avoid ascertainment bias. </w:t>
      </w:r>
      <w:r w:rsidR="00496B52">
        <w:rPr>
          <w:rFonts w:ascii="Times New Roman" w:hAnsi="Times New Roman" w:cs="Times New Roman"/>
          <w:color w:val="000000" w:themeColor="text1"/>
        </w:rPr>
        <w:t>Moreover</w:t>
      </w:r>
      <w:r w:rsidR="004A2823">
        <w:rPr>
          <w:rFonts w:ascii="Times New Roman" w:hAnsi="Times New Roman" w:cs="Times New Roman"/>
          <w:color w:val="000000" w:themeColor="text1"/>
        </w:rPr>
        <w:t>,</w:t>
      </w:r>
      <w:r>
        <w:rPr>
          <w:rFonts w:ascii="Times New Roman" w:hAnsi="Times New Roman" w:cs="Times New Roman"/>
          <w:color w:val="000000" w:themeColor="text1"/>
        </w:rPr>
        <w:t xml:space="preserve"> we did not evaluate the quality of ADC maps directly. Since PI-RADSv2 has not specified standard methodology for the post-processing calculation of ADC maps, we decided </w:t>
      </w:r>
      <w:r w:rsidR="00CB4D7E">
        <w:rPr>
          <w:rFonts w:ascii="Times New Roman" w:hAnsi="Times New Roman" w:cs="Times New Roman"/>
          <w:color w:val="000000" w:themeColor="text1"/>
        </w:rPr>
        <w:t xml:space="preserve">to </w:t>
      </w:r>
      <w:r>
        <w:rPr>
          <w:rFonts w:ascii="Times New Roman" w:hAnsi="Times New Roman" w:cs="Times New Roman"/>
          <w:color w:val="000000" w:themeColor="text1"/>
        </w:rPr>
        <w:t xml:space="preserve">evaluate only image sequences that could be acquired without post-processing. </w:t>
      </w:r>
      <w:r w:rsidR="00BC5EF5">
        <w:rPr>
          <w:rFonts w:ascii="Times New Roman" w:hAnsi="Times New Roman" w:cs="Times New Roman"/>
          <w:color w:val="000000" w:themeColor="text1"/>
        </w:rPr>
        <w:t xml:space="preserve">Additionally, we did not get a chance to evaluate the experience level of the technologists who conducted the image acquisition since it was not possible to reach out all the 62 different centers. </w:t>
      </w:r>
      <w:r>
        <w:rPr>
          <w:rFonts w:ascii="Times New Roman" w:hAnsi="Times New Roman" w:cs="Times New Roman"/>
          <w:color w:val="000000" w:themeColor="text1"/>
        </w:rPr>
        <w:t>Finally, reader agreement on image quality evaluated by Fleiss’ kappa score was only slight or fair</w:t>
      </w:r>
      <w:r w:rsidR="004A2823">
        <w:rPr>
          <w:rFonts w:ascii="Times New Roman" w:hAnsi="Times New Roman" w:cs="Times New Roman"/>
          <w:color w:val="000000" w:themeColor="text1"/>
        </w:rPr>
        <w:t xml:space="preserve"> indicating a lack of consensus on image quality, highlighting a need for more objective quality control</w:t>
      </w:r>
      <w:r>
        <w:rPr>
          <w:rFonts w:ascii="Times New Roman" w:hAnsi="Times New Roman" w:cs="Times New Roman"/>
          <w:color w:val="000000" w:themeColor="text1"/>
        </w:rPr>
        <w:t>.</w:t>
      </w:r>
    </w:p>
    <w:p w14:paraId="30F5D88C" w14:textId="77777777" w:rsidR="007D1BD4" w:rsidRDefault="007D1BD4" w:rsidP="007D1BD4">
      <w:pPr>
        <w:spacing w:after="0"/>
        <w:jc w:val="both"/>
        <w:rPr>
          <w:rFonts w:ascii="Times New Roman" w:hAnsi="Times New Roman" w:cs="Times New Roman"/>
          <w:b/>
          <w:bCs/>
          <w:color w:val="000000" w:themeColor="text1"/>
        </w:rPr>
      </w:pPr>
    </w:p>
    <w:p w14:paraId="1BE5A99D" w14:textId="360D229E" w:rsidR="007D1BD4" w:rsidRPr="007D1BD4" w:rsidRDefault="007D1BD4" w:rsidP="007D1BD4">
      <w:pPr>
        <w:spacing w:after="0"/>
        <w:jc w:val="both"/>
        <w:rPr>
          <w:rFonts w:ascii="Times New Roman" w:hAnsi="Times New Roman" w:cs="Times New Roman"/>
          <w:b/>
          <w:bCs/>
          <w:color w:val="000000" w:themeColor="text1"/>
        </w:rPr>
      </w:pPr>
      <w:r w:rsidRPr="007D1BD4">
        <w:rPr>
          <w:rFonts w:ascii="Times New Roman" w:hAnsi="Times New Roman" w:cs="Times New Roman"/>
          <w:b/>
          <w:bCs/>
          <w:color w:val="000000" w:themeColor="text1"/>
        </w:rPr>
        <w:t>Conclusion</w:t>
      </w:r>
    </w:p>
    <w:p w14:paraId="154C291F" w14:textId="188260A9" w:rsidR="007D20B6" w:rsidRPr="009D4387" w:rsidRDefault="00FF256B" w:rsidP="00F17733">
      <w:pPr>
        <w:spacing w:after="0"/>
        <w:jc w:val="both"/>
        <w:rPr>
          <w:rFonts w:ascii="Times New Roman" w:hAnsi="Times New Roman" w:cs="Times New Roman"/>
          <w:color w:val="000000" w:themeColor="text1"/>
        </w:rPr>
      </w:pPr>
      <w:r>
        <w:rPr>
          <w:rFonts w:ascii="Times New Roman" w:hAnsi="Times New Roman" w:cs="Times New Roman"/>
          <w:color w:val="000000" w:themeColor="text1"/>
        </w:rPr>
        <w:tab/>
      </w:r>
      <w:r w:rsidR="00827E22">
        <w:rPr>
          <w:rFonts w:ascii="Times New Roman" w:hAnsi="Times New Roman" w:cs="Times New Roman"/>
          <w:color w:val="000000" w:themeColor="text1"/>
        </w:rPr>
        <w:t>In conclusion, t</w:t>
      </w:r>
      <w:r w:rsidR="004D0340" w:rsidRPr="009D4387">
        <w:rPr>
          <w:rFonts w:ascii="Times New Roman" w:hAnsi="Times New Roman" w:cs="Times New Roman"/>
          <w:color w:val="000000" w:themeColor="text1"/>
        </w:rPr>
        <w:t>he results indicate</w:t>
      </w:r>
      <w:r w:rsidR="00EB4D1D">
        <w:rPr>
          <w:rFonts w:ascii="Times New Roman" w:hAnsi="Times New Roman" w:cs="Times New Roman"/>
          <w:color w:val="000000" w:themeColor="text1"/>
        </w:rPr>
        <w:t xml:space="preserve"> </w:t>
      </w:r>
      <w:r w:rsidR="004D0340" w:rsidRPr="009D4387">
        <w:rPr>
          <w:rFonts w:ascii="Times New Roman" w:hAnsi="Times New Roman" w:cs="Times New Roman"/>
          <w:color w:val="000000" w:themeColor="text1"/>
        </w:rPr>
        <w:t>image quality in prostate mpMRI is highly variable</w:t>
      </w:r>
      <w:r w:rsidR="00EB4D1D">
        <w:rPr>
          <w:rFonts w:ascii="Times New Roman" w:hAnsi="Times New Roman" w:cs="Times New Roman"/>
          <w:color w:val="000000" w:themeColor="text1"/>
        </w:rPr>
        <w:t xml:space="preserve">. Adherence to </w:t>
      </w:r>
      <w:r w:rsidR="004D0340" w:rsidRPr="009D4387">
        <w:rPr>
          <w:rFonts w:ascii="Times New Roman" w:hAnsi="Times New Roman" w:cs="Times New Roman"/>
          <w:color w:val="000000" w:themeColor="text1"/>
        </w:rPr>
        <w:t>PI</w:t>
      </w:r>
      <w:r w:rsidR="00827E22">
        <w:rPr>
          <w:rFonts w:ascii="Times New Roman" w:hAnsi="Times New Roman" w:cs="Times New Roman"/>
          <w:color w:val="000000" w:themeColor="text1"/>
        </w:rPr>
        <w:t>-</w:t>
      </w:r>
      <w:r w:rsidR="004D0340" w:rsidRPr="009D4387">
        <w:rPr>
          <w:rFonts w:ascii="Times New Roman" w:hAnsi="Times New Roman" w:cs="Times New Roman"/>
          <w:color w:val="000000" w:themeColor="text1"/>
        </w:rPr>
        <w:t xml:space="preserve">RADSv2 </w:t>
      </w:r>
      <w:r w:rsidR="00674B8E">
        <w:rPr>
          <w:rFonts w:ascii="Times New Roman" w:hAnsi="Times New Roman" w:cs="Times New Roman"/>
          <w:color w:val="000000" w:themeColor="text1"/>
        </w:rPr>
        <w:t>M</w:t>
      </w:r>
      <w:r w:rsidR="008A1E3B">
        <w:rPr>
          <w:rFonts w:ascii="Times New Roman" w:hAnsi="Times New Roman" w:cs="Times New Roman"/>
          <w:color w:val="000000" w:themeColor="text1"/>
        </w:rPr>
        <w:t xml:space="preserve">inimum </w:t>
      </w:r>
      <w:r w:rsidR="00674B8E">
        <w:rPr>
          <w:rFonts w:ascii="Times New Roman" w:hAnsi="Times New Roman" w:cs="Times New Roman"/>
          <w:color w:val="000000" w:themeColor="text1"/>
        </w:rPr>
        <w:t>T</w:t>
      </w:r>
      <w:r w:rsidR="008A1E3B">
        <w:rPr>
          <w:rFonts w:ascii="Times New Roman" w:hAnsi="Times New Roman" w:cs="Times New Roman"/>
          <w:color w:val="000000" w:themeColor="text1"/>
        </w:rPr>
        <w:t xml:space="preserve">echnical </w:t>
      </w:r>
      <w:r w:rsidR="00674B8E">
        <w:rPr>
          <w:rFonts w:ascii="Times New Roman" w:hAnsi="Times New Roman" w:cs="Times New Roman"/>
          <w:color w:val="000000" w:themeColor="text1"/>
        </w:rPr>
        <w:t>S</w:t>
      </w:r>
      <w:r w:rsidR="008A1E3B">
        <w:rPr>
          <w:rFonts w:ascii="Times New Roman" w:hAnsi="Times New Roman" w:cs="Times New Roman"/>
          <w:color w:val="000000" w:themeColor="text1"/>
        </w:rPr>
        <w:t>tandards</w:t>
      </w:r>
      <w:r w:rsidR="008A1E3B" w:rsidRPr="009D4387">
        <w:rPr>
          <w:rFonts w:ascii="Times New Roman" w:hAnsi="Times New Roman" w:cs="Times New Roman"/>
          <w:color w:val="000000" w:themeColor="text1"/>
        </w:rPr>
        <w:t xml:space="preserve"> </w:t>
      </w:r>
      <w:r w:rsidR="00EB4D1D">
        <w:rPr>
          <w:rFonts w:ascii="Times New Roman" w:hAnsi="Times New Roman" w:cs="Times New Roman"/>
          <w:color w:val="000000" w:themeColor="text1"/>
        </w:rPr>
        <w:t>has a minimal effect</w:t>
      </w:r>
      <w:r w:rsidR="004D0340" w:rsidRPr="009D4387">
        <w:rPr>
          <w:rFonts w:ascii="Times New Roman" w:hAnsi="Times New Roman" w:cs="Times New Roman"/>
          <w:color w:val="000000" w:themeColor="text1"/>
        </w:rPr>
        <w:t xml:space="preserve"> in reducing this variability for T2 imaging sequences and no effect for DWI sequence</w:t>
      </w:r>
      <w:r w:rsidR="00EB4D1D">
        <w:rPr>
          <w:rFonts w:ascii="Times New Roman" w:hAnsi="Times New Roman" w:cs="Times New Roman"/>
          <w:color w:val="000000" w:themeColor="text1"/>
        </w:rPr>
        <w:t>. Noise and distortion are the most obvious sources of problems in most prostate mpMRI</w:t>
      </w:r>
      <w:r w:rsidR="00A60541">
        <w:rPr>
          <w:rFonts w:ascii="Times New Roman" w:hAnsi="Times New Roman" w:cs="Times New Roman"/>
          <w:color w:val="000000" w:themeColor="text1"/>
        </w:rPr>
        <w:t>s</w:t>
      </w:r>
      <w:r w:rsidR="00EB4D1D">
        <w:rPr>
          <w:rFonts w:ascii="Times New Roman" w:hAnsi="Times New Roman" w:cs="Times New Roman"/>
          <w:color w:val="000000" w:themeColor="text1"/>
        </w:rPr>
        <w:t>. These results suggest that simply prescribing a set of sequence specifications is unlikely to solve the problem of image quality.</w:t>
      </w:r>
      <w:r w:rsidR="002F0ED6">
        <w:rPr>
          <w:rFonts w:ascii="Times New Roman" w:hAnsi="Times New Roman" w:cs="Times New Roman"/>
          <w:color w:val="000000" w:themeColor="text1"/>
        </w:rPr>
        <w:t xml:space="preserve"> Image</w:t>
      </w:r>
      <w:r w:rsidR="0023022A" w:rsidRPr="009D4387">
        <w:rPr>
          <w:rFonts w:ascii="Times New Roman" w:hAnsi="Times New Roman" w:cs="Times New Roman"/>
          <w:color w:val="000000" w:themeColor="text1"/>
        </w:rPr>
        <w:t xml:space="preserve"> quality </w:t>
      </w:r>
      <w:r w:rsidR="002F0ED6">
        <w:rPr>
          <w:rFonts w:ascii="Times New Roman" w:hAnsi="Times New Roman" w:cs="Times New Roman"/>
          <w:color w:val="000000" w:themeColor="text1"/>
        </w:rPr>
        <w:t xml:space="preserve">also </w:t>
      </w:r>
      <w:r w:rsidR="0023022A" w:rsidRPr="009D4387">
        <w:rPr>
          <w:rFonts w:ascii="Times New Roman" w:hAnsi="Times New Roman" w:cs="Times New Roman"/>
          <w:color w:val="000000" w:themeColor="text1"/>
        </w:rPr>
        <w:t>depends on patient factors such as the presence of rectal gas, total-hip replacement,</w:t>
      </w:r>
      <w:r w:rsidR="00056789">
        <w:rPr>
          <w:rFonts w:ascii="Times New Roman" w:hAnsi="Times New Roman" w:cs="Times New Roman"/>
          <w:color w:val="000000" w:themeColor="text1"/>
        </w:rPr>
        <w:t xml:space="preserve"> amount of body fat,</w:t>
      </w:r>
      <w:r w:rsidR="0023022A" w:rsidRPr="009D4387">
        <w:rPr>
          <w:rFonts w:ascii="Times New Roman" w:hAnsi="Times New Roman" w:cs="Times New Roman"/>
          <w:color w:val="000000" w:themeColor="text1"/>
        </w:rPr>
        <w:t xml:space="preserve"> post-biopsy hemorrhage, and abstinence from ejaculation</w:t>
      </w:r>
      <w:r w:rsidR="003A603E">
        <w:rPr>
          <w:rFonts w:ascii="Times New Roman" w:hAnsi="Times New Roman" w:cs="Times New Roman"/>
          <w:color w:val="000000" w:themeColor="text1"/>
        </w:rPr>
        <w:t>.</w:t>
      </w:r>
      <w:r w:rsidR="00334C97">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{"citationItems":[{"id":"ITEM-1","itemData":{"ISSN":"1195-9479","PMID":"25891332","abstract":"INTRODUCTION Hemorrhage induced by prostate biopsy can interfere with the interpretation of prostate magnetic resonance imaging (MRI). MATERIALS AND METHODS We reviewed 101 patients who had prostate multiparametric MRI (MP-MRI) and radical prostatectomy. RESULTS On MRI obtained within 4 weeks following the biopsy, hemorrhage was seen in 26/36 (72.2%) patients. Patients having a MRI between 4-6 weeks of the biopsy had hemorrhage in 8/14 (57.1%) cases. After 6 weeks, hemorrhage was less common but still present in 24/46 (52%) patients. There were five patients who had prostate MRI prior to biopsy and served as a control group. There was no significant correlation between the length of time beyond 6 weeks and the likelihood of having prostate hemorrhage on MRI. The overall sensitivity and specificity of MRI for predicting extracapsular extension (ECE) were 78.6% and 89%, respectively. However, if the analysis was limited to patients with MRI within 6 weeks from the time of biopsy, the sensitivity and specificity were similar: 80% and 90%, respectively. For patients with MRI obtained after 6 weeks, the sensitivity and specificity were 76.9% and 87.9%. CONCLUSIONS Prostate hemorrhage is seen in the majority of cases within 6 weeks of biopsy and can be seen in nearly half the patients even beyond 6 weeks. However, hemorrhage within 6 weeks of a biopsy does not interfere with assessment for ECE.","author":[{"dropping-particle":"","family":"Sharif-Afshar","given":"Ali-Reza","non-dropping-particle":"","parse-names":false,"suffix":""},{"dropping-particle":"","family":"Feng","given":"Tom","non-dropping-particle":"","parse-names":false,"suffix":""},{"dropping-particle":"","family":"Koopman","given":"Steven","non-dropping-particle":"","parse-names":false,"suffix":""},{"dropping-particle":"","family":"Nguyen","given":"Christopher","non-dropping-particle":"","parse-names":false,"suffix":""},{"dropping-particle":"","family":"Li","given":"Quanlin","non-dropping-particle":"","parse-names":false,"suffix":""},{"dropping-particle":"","family":"Shkolyar","given":"Eugene","non-dropping-particle":"","parse-names":false,"suffix":""},{"dropping-particle":"","family":"Saouaf","given":"Rola","non-dropping-particle":"","parse-names":false,"suffix":""},{"dropping-particle":"","family":"Kim","given":"Hyung L","non-dropping-particle":"","parse-names":false,"suffix":""}],"container-title":"The Canadian journal of urology","id":"ITEM-1","issue":"2","issued":{"date-parts":[["2015","4"]]},"page":"7698-702","title":"Impact of post prostate biopsy hemorrhage on multiparametric magnetic resonance imaging.","type":"article-journal","volume":"22"},"uris":["http://www.mendeley.com/documents/?uuid=92a2f706-47b8-49dc-a084-d78779f8b347"]},{"id":"ITEM-2","itemData":{"DOI":"10.1148/radiol.14131374","ISSN":"0033-8419","abstract":"Purpose: To determine the possibility of obtaining high-quality magnetic resonance (MR) images before, during, and immediately after ejaculation and detecting measurable changes in quantitative MR imaging parameters after ejaculation. Materials and Methods: In this prospective, institutional review board-approved, HIPAA-compliant study, eight young healthy volunteers (median age, 22.5 years), after providing informed consent, underwent MR imaging while masturbating to the point of ejaculation. A 1.5-T MR imaging unit was used, with an eight-channel surface coil and a dynamic single-shot fast spin-echo sequence. In addition, a quantitative MR imaging protocol that allowed calculation of T1, T2, and apparent diffusion coefficient (ADC) values was applied before and after ejaculation. Volumes of the prostate and seminal vesicles (SV) were calculated by using whole-volume segmentation on T2-weighted images, both before and after ejaculation. Pre-and postejaculation changes in quantitative MR parameters and measured volumes were evaluated by using the Wilcoxon signed rank test with Bonferroni adjustment. Results: There was no significant change in prostate volumes on pre- and postejaculation images, while the SV contracted by 41% on average (median, 44.5%; P = .004). No changes before and after ejaculation were observed in T1 values or in T2 and ADC values in the central gland, while T2 and ADC values were significantly reduced in the peripheral zone by 12% and 14%, respectively (median, 13% and 14.5%, respectively; P = .004). Conclusion: Successful dynamic MR imaging of ejaculation events and the ability to visualize internal sphincter closure, passage of ejaculate, and significant changes in SV volumes were demonstrated. Significant changes in peripheral zone T2 and ADC values were observed. (C) RSNA, 2014","author":[{"dropping-particle":"","family":"Medved","given":"Milica","non-dropping-particle":"","parse-names":false,"suffix":""},{"dropping-particle":"","family":"Sammet","given":"Steffen","non-dropping-particle":"","parse-names":false,"suffix":""},{"dropping-particle":"","family":"Yousuf","given":"Ambereen","non-dropping-particle":"","parse-names":false,"suffix":""},{"dropping-particle":"","family":"Oto","given":"Aytekin","non-dropping-particle":"","parse-names":false,"suffix":""}],"container-title":"Radiology","id":"ITEM-2","issue":"2","issued":{"date-parts":[["2014","5"]]},"page":"452-460","title":"MR Imaging of the Prostate and Adjacent Anatomic Structures before, during, and after Ejaculation: Qualitative and Quantitative Evaluation","type":"article-journal","volume":"271"},"uris":["http://www.mendeley.com/documents/?uuid=9511c354-65d3-49cd-92e8-c50362fe1d90"]},{"id":"ITEM-3","itemData":{"DOI":"10.1002/jmri.22172","ISSN":"10531807","abstract":"PURPOSE: To assess the value of quantitative T2 signal intensity (SI) and apparent diffusion coefficient (ADC) to differentiate prostate cancer from post-biopsy hemorrhage, using prostatectomy as the reference. MATERIALS AND METHODS: Forty-five men with prostate cancer underwent prostate magnetic resonance imaging (MRI), including axial T1-weighted imaging (T1WI), T2WI, and single-shot echo-planar image (SS EPI) diffusion-weighted imaging. Two observers measured, in consensus, normalized T2 signal intensity (SI) (nT2, relative to muscle T2 SI), ADC, and normalized ADC (nADC, relative to urine ADC) on peripheral zone (PZ) tumors, benign PZ hemorrhage, and non-hemorrhagic benign PZ. Tumor maps from prostatectomy were used as the reference. Mixed model analysis of variance was performed to compare parameters among the three tissue classes, and Pearson's correlation coefficient was utilized to assess correlation between parameters and tumor size and Gleason score. Receiver-operating characteristic (ROC)-curve analysis was used to determine the performance of nT2, ADC, and nADC for diagnosis of prostate cancer. RESULTS: nT2, ADC, and nADC were significantly lower in tumor compared with hemorrhagic and non-hemorrhagic benign PZ (P &lt; 0.0001). There was a weak but significant correlation between ADC and Gleason score (r = -0.30, P = 0.0119), and between ADC and tumor size (r = -0.40, P = 0.0027), whereas there was no correlation between nT2 and Gleason score and tumor size. The areas under the curve to distinguish tumor from benign hemorrhagic and non-hemorrhagic PZ were 0.97, 0.96, and 0.933 for nT2, ADC, and nADC, respectively. CONCLUSION: Quantitative T2 SI and ADC/nADC values may be used to reliably distinguish prostate cancer from post-biopsy hemorrhage.","author":[{"dropping-particle":"","family":"Rosenkrantz","given":"Andrew B.","non-dropping-particle":"","parse-names":false,"suffix":""},{"dropping-particle":"","family":"Kopec","given":"Martin","non-dropping-particle":"","parse-names":false,"suffix":""},{"dropping-particle":"","family":"Kong","given":"Xiangtian","non-dropping-particle":"","parse-names":false,"suffix":""},{"dropping-particle":"","family":"Melamed","given":"Jonathan","non-dropping-particle":"","parse-names":false,"suffix":""},{"dropping-particle":"","family":"Dakwar","given":"George","non-dropping-particle":"","parse-names":false,"suffix":""},{"dropping-particle":"","family":"Babb","given":"James S.","non-dropping-particle":"","parse-names":false,"suffix":""},{"dropping-particle":"","family":"Taouli","given":"Bachir","non-dropping-particle":"","parse-names":false,"suffix":""}],"container-title":"Journal of Magnetic Resonance Imaging","id":"ITEM-3","issue":"6","issued":{"date-parts":[["2010","5","24"]]},"page":"1387-1394","title":"Prostate cancer vs. post-biopsy hemorrhage: Diagnosis with T2- and diffusion-weighted imaging","type":"article-journal","volume":"31"},"uris":["http://www.mendeley.com/documents/?uuid=135e351b-8703-4f77-b5db-a3fd70de17d6"]},{"id":"ITEM-4","itemData":{"DOI":"10.2214/AJR.16.16278","ISSN":"0361-803X","abstract":"OBJECTIVE: The purpose of the present study is to determine whether abstinence from ejaculation before undergoing multiparametric prostate MRI increases seminal vesicle (SV) volume and therefore improves diagnostic interpretation of the SVs. MATERIALS AND METHODS: This retrospective study included 238 patients who underwent 3-T MRI of the prostate over a 4-month period. Patients were requested to complete a questionnaire that asked how long it had been since their last ejaculation (i.e., &lt; 3 days vs &gt;/= 3 days). Forty-two patients (mean patient age, 62.0 years) indicated that it had been less than 3 days since their last ejaculation and were designated as group 1, whereas the remainder indicated an interval of 3 days or more since their last ejaculation. A group of 42 age-matched subjects (mean patient age, 62.1 years) were randomly selected from the remaining 196 patients and were designated as group 2. SV volumes were measured manually. Two radiologists who were blinded to group assignment and patient characteristics scored the right and left SVs separately to determine diagnostic interpretability, which was scored on a 3-point scale as follows: a score of 1 denoted that the SVs were not dilated and the score was nondiagnostic, a score of 2 indicated that the SVs were not dilated but the score was diagnostic, and a score of 3 denoted that the SVs were dilated and the score was diagnostic. Volume differences and interpretability scores were analyzed using a t test. Interobserver agreement was analyzed using the Cohen kappa statistic. A separate analysis was performed to evaluate differences in diagnostic interpretability for patients 60 years and younger versus patients older than 60 years, by use of the chi-square test and relative risk ratio analysis. RESULTS: The right, left, and total SV volumes for group 1 were 3.1 mL, 2.9 mL, and 6.0 mL, respectively, whereas those for group 2 were 4.7 mL, 4.1 mL, and 8.8 mL, respectively (p = 0.011). The mean interpretability scores for group 1 and group 2 were 2.0 and 2.5, respectively. For group 1, reader 1 and reader 2 assigned a nondiagnostic score for 10 and 13 patients, respectively, whereas for group 2, they assigned a nondiagnostic score for two and five patients, respectively (p = 0.01, for reader 1; and p = 0.03, for reader 2). For men in group 1 who were older than 60 years, reader 1 and reader 2 gave a nondiagnostic score for nine and 11 patients, respectively; whereas for men in group 2 who were old…","author":[{"dropping-particle":"","family":"Kabakus","given":"Ismail M.","non-dropping-particle":"","parse-names":false,"suffix":""},{"dropping-particle":"","family":"Borofsky","given":"Samuel","non-dropping-particle":"","parse-names":false,"suffix":""},{"dropping-particle":"V.","family":"Mertan","given":"Francesca","non-dropping-particle":"","parse-names":false,"suffix":""},{"dropping-particle":"","family":"Greer","given":"Matthew","non-dropping-particle":"","parse-names":false,"suffix":""},{"dropping-particle":"","family":"Daar","given":"Dagane","non-dropping-particle":"","parse-names":false,"suffix":""},{"dropping-particle":"","family":"Wood","given":"Bradford J.","non-dropping-particle":"","parse-names":false,"suffix":""},{"dropping-particle":"","family":"Pinto","given":"Peter A.","non-dropping-particle":"","parse-names":false,"suffix":""},{"dropping-particle":"","family":"Choyke","given":"Peter L.","non-dropping-particle":"","parse-names":false,"suffix":""},{"dropping-particle":"","family":"Turkbey","given":"Baris","non-dropping-particle":"","parse-names":false,"suffix":""}],"container-title":"American Journal of Roentgenology","id":"ITEM-4","issue":"6","issued":{"date-parts":[["2016","12"]]},"page":"1205-1209","title":"Does Abstinence From Ejaculation Before Prostate MRI Improve Evaluation of the Seminal Vesicles?","type":"article-journal","volume":"207"},"uris":["http://www.mendeley.com/documents/?uuid=d21b3902-b39f-4cb4-b5a2-dd03d4818d45"]}],"mendeley":{"formattedCitation":"(27–30)","plainTextFormattedCitation":"(27–30)","previouslyFormattedCitation":"(27–30)"},"properties":{"noteIndex":0},"schema":"https://github.com/citation-style-language/schema/raw/master/csl-citation.json"}</w:instrText>
      </w:r>
      <w:r w:rsidR="00334C97">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(27–30)</w:t>
      </w:r>
      <w:r w:rsidR="00334C97">
        <w:rPr>
          <w:rFonts w:ascii="Times New Roman" w:hAnsi="Times New Roman" w:cs="Times New Roman"/>
          <w:color w:val="000000" w:themeColor="text1"/>
        </w:rPr>
        <w:fldChar w:fldCharType="end"/>
      </w:r>
      <w:r w:rsidR="003A3E4C">
        <w:rPr>
          <w:rFonts w:ascii="Times New Roman" w:hAnsi="Times New Roman" w:cs="Times New Roman"/>
          <w:color w:val="000000" w:themeColor="text1"/>
        </w:rPr>
        <w:t>.</w:t>
      </w:r>
      <w:r w:rsidR="00334C97">
        <w:rPr>
          <w:rFonts w:ascii="Times New Roman" w:hAnsi="Times New Roman" w:cs="Times New Roman"/>
          <w:color w:val="000000" w:themeColor="text1"/>
        </w:rPr>
        <w:t xml:space="preserve"> </w:t>
      </w:r>
      <w:r w:rsidR="001640FC">
        <w:rPr>
          <w:rFonts w:ascii="Times New Roman" w:hAnsi="Times New Roman" w:cs="Times New Roman"/>
          <w:color w:val="000000" w:themeColor="text1"/>
        </w:rPr>
        <w:t>It</w:t>
      </w:r>
      <w:r w:rsidR="0023022A" w:rsidRPr="009D4387">
        <w:rPr>
          <w:rFonts w:ascii="Times New Roman" w:hAnsi="Times New Roman" w:cs="Times New Roman"/>
          <w:color w:val="000000" w:themeColor="text1"/>
        </w:rPr>
        <w:t xml:space="preserve"> may be difficult to devise new </w:t>
      </w:r>
      <w:r w:rsidR="00056789">
        <w:rPr>
          <w:rFonts w:ascii="Times New Roman" w:hAnsi="Times New Roman" w:cs="Times New Roman"/>
          <w:color w:val="000000" w:themeColor="text1"/>
        </w:rPr>
        <w:t>purely</w:t>
      </w:r>
      <w:r w:rsidR="0023022A" w:rsidRPr="009D4387">
        <w:rPr>
          <w:rFonts w:ascii="Times New Roman" w:hAnsi="Times New Roman" w:cs="Times New Roman"/>
          <w:color w:val="000000" w:themeColor="text1"/>
        </w:rPr>
        <w:t xml:space="preserve"> technical standards</w:t>
      </w:r>
      <w:r w:rsidR="00056789">
        <w:rPr>
          <w:rFonts w:ascii="Times New Roman" w:hAnsi="Times New Roman" w:cs="Times New Roman"/>
          <w:color w:val="000000" w:themeColor="text1"/>
        </w:rPr>
        <w:t xml:space="preserve"> to account for these factors</w:t>
      </w:r>
      <w:r w:rsidR="004D0340" w:rsidRPr="009D4387">
        <w:rPr>
          <w:rFonts w:ascii="Times New Roman" w:hAnsi="Times New Roman" w:cs="Times New Roman"/>
          <w:color w:val="000000" w:themeColor="text1"/>
        </w:rPr>
        <w:t>.</w:t>
      </w:r>
      <w:r w:rsidR="00F73FCB" w:rsidRPr="009D4387">
        <w:rPr>
          <w:rFonts w:ascii="Times New Roman" w:hAnsi="Times New Roman" w:cs="Times New Roman"/>
          <w:color w:val="000000" w:themeColor="text1"/>
        </w:rPr>
        <w:t xml:space="preserve"> However, there are other quality assurance </w:t>
      </w:r>
      <w:r w:rsidR="00EB1D4F" w:rsidRPr="009D4387">
        <w:rPr>
          <w:rFonts w:ascii="Times New Roman" w:hAnsi="Times New Roman" w:cs="Times New Roman"/>
          <w:color w:val="000000" w:themeColor="text1"/>
        </w:rPr>
        <w:t>methods</w:t>
      </w:r>
      <w:r w:rsidR="00F73FCB" w:rsidRPr="009D4387">
        <w:rPr>
          <w:rFonts w:ascii="Times New Roman" w:hAnsi="Times New Roman" w:cs="Times New Roman"/>
          <w:color w:val="000000" w:themeColor="text1"/>
        </w:rPr>
        <w:t xml:space="preserve"> </w:t>
      </w:r>
      <w:r w:rsidR="002F0ED6">
        <w:rPr>
          <w:rFonts w:ascii="Times New Roman" w:hAnsi="Times New Roman" w:cs="Times New Roman"/>
          <w:color w:val="000000" w:themeColor="text1"/>
        </w:rPr>
        <w:t xml:space="preserve">that </w:t>
      </w:r>
      <w:r w:rsidR="00F73FCB" w:rsidRPr="009D4387">
        <w:rPr>
          <w:rFonts w:ascii="Times New Roman" w:hAnsi="Times New Roman" w:cs="Times New Roman"/>
          <w:color w:val="000000" w:themeColor="text1"/>
        </w:rPr>
        <w:t>can be devised</w:t>
      </w:r>
      <w:r w:rsidR="00056789">
        <w:rPr>
          <w:rFonts w:ascii="Times New Roman" w:hAnsi="Times New Roman" w:cs="Times New Roman"/>
          <w:color w:val="000000" w:themeColor="text1"/>
        </w:rPr>
        <w:t xml:space="preserve"> </w:t>
      </w:r>
      <w:r w:rsidR="00520F50">
        <w:rPr>
          <w:rFonts w:ascii="Times New Roman" w:hAnsi="Times New Roman" w:cs="Times New Roman"/>
          <w:color w:val="000000" w:themeColor="text1"/>
        </w:rPr>
        <w:t xml:space="preserve">such as </w:t>
      </w:r>
      <w:r w:rsidR="00056789">
        <w:rPr>
          <w:rFonts w:ascii="Times New Roman" w:hAnsi="Times New Roman" w:cs="Times New Roman"/>
          <w:color w:val="000000" w:themeColor="text1"/>
        </w:rPr>
        <w:t>standards</w:t>
      </w:r>
      <w:r w:rsidR="00520F50">
        <w:rPr>
          <w:rFonts w:ascii="Times New Roman" w:hAnsi="Times New Roman" w:cs="Times New Roman"/>
          <w:color w:val="000000" w:themeColor="text1"/>
        </w:rPr>
        <w:t xml:space="preserve"> </w:t>
      </w:r>
      <w:r w:rsidR="00E055EF">
        <w:rPr>
          <w:rFonts w:ascii="Times New Roman" w:hAnsi="Times New Roman" w:cs="Times New Roman"/>
          <w:color w:val="000000" w:themeColor="text1"/>
        </w:rPr>
        <w:t xml:space="preserve">for </w:t>
      </w:r>
      <w:r w:rsidR="00056789">
        <w:rPr>
          <w:rFonts w:ascii="Times New Roman" w:hAnsi="Times New Roman" w:cs="Times New Roman"/>
          <w:color w:val="000000" w:themeColor="text1"/>
        </w:rPr>
        <w:t>patient</w:t>
      </w:r>
      <w:r w:rsidR="00520F50">
        <w:rPr>
          <w:rFonts w:ascii="Times New Roman" w:hAnsi="Times New Roman" w:cs="Times New Roman"/>
          <w:color w:val="000000" w:themeColor="text1"/>
        </w:rPr>
        <w:t xml:space="preserve"> </w:t>
      </w:r>
      <w:r w:rsidR="00056789">
        <w:rPr>
          <w:rFonts w:ascii="Times New Roman" w:hAnsi="Times New Roman" w:cs="Times New Roman"/>
          <w:color w:val="000000" w:themeColor="text1"/>
        </w:rPr>
        <w:t>factors or perhaps methods which</w:t>
      </w:r>
      <w:r w:rsidR="00F73FCB" w:rsidRPr="009D4387">
        <w:rPr>
          <w:rFonts w:ascii="Times New Roman" w:hAnsi="Times New Roman" w:cs="Times New Roman"/>
          <w:color w:val="000000" w:themeColor="text1"/>
        </w:rPr>
        <w:t xml:space="preserve"> us</w:t>
      </w:r>
      <w:r w:rsidR="00056789">
        <w:rPr>
          <w:rFonts w:ascii="Times New Roman" w:hAnsi="Times New Roman" w:cs="Times New Roman"/>
          <w:color w:val="000000" w:themeColor="text1"/>
        </w:rPr>
        <w:t>e</w:t>
      </w:r>
      <w:r w:rsidR="00F73FCB" w:rsidRPr="009D4387">
        <w:rPr>
          <w:rFonts w:ascii="Times New Roman" w:hAnsi="Times New Roman" w:cs="Times New Roman"/>
          <w:color w:val="000000" w:themeColor="text1"/>
        </w:rPr>
        <w:t xml:space="preserve"> </w:t>
      </w:r>
      <w:r w:rsidR="00262714" w:rsidRPr="009D4387">
        <w:rPr>
          <w:rFonts w:ascii="Times New Roman" w:hAnsi="Times New Roman" w:cs="Times New Roman"/>
          <w:color w:val="000000" w:themeColor="text1"/>
        </w:rPr>
        <w:t xml:space="preserve">machine learning </w:t>
      </w:r>
      <w:r w:rsidR="00F73FCB" w:rsidRPr="009D4387">
        <w:rPr>
          <w:rFonts w:ascii="Times New Roman" w:hAnsi="Times New Roman" w:cs="Times New Roman"/>
          <w:color w:val="000000" w:themeColor="text1"/>
        </w:rPr>
        <w:t xml:space="preserve">techniques such as </w:t>
      </w:r>
      <w:r w:rsidR="00056789">
        <w:rPr>
          <w:rFonts w:ascii="Times New Roman" w:hAnsi="Times New Roman" w:cs="Times New Roman"/>
          <w:color w:val="000000" w:themeColor="text1"/>
        </w:rPr>
        <w:t xml:space="preserve">texture analysis </w:t>
      </w:r>
      <w:r w:rsidR="00F73FCB" w:rsidRPr="009D4387">
        <w:rPr>
          <w:rFonts w:ascii="Times New Roman" w:hAnsi="Times New Roman" w:cs="Times New Roman"/>
          <w:color w:val="000000" w:themeColor="text1"/>
        </w:rPr>
        <w:t xml:space="preserve">or </w:t>
      </w:r>
      <w:r w:rsidR="00056789">
        <w:rPr>
          <w:rFonts w:ascii="Times New Roman" w:hAnsi="Times New Roman" w:cs="Times New Roman"/>
          <w:color w:val="000000" w:themeColor="text1"/>
        </w:rPr>
        <w:t>convolutional</w:t>
      </w:r>
      <w:r w:rsidR="00262714" w:rsidRPr="009D4387">
        <w:rPr>
          <w:rFonts w:ascii="Times New Roman" w:hAnsi="Times New Roman" w:cs="Times New Roman"/>
          <w:color w:val="000000" w:themeColor="text1"/>
        </w:rPr>
        <w:t xml:space="preserve"> </w:t>
      </w:r>
      <w:r w:rsidR="00056789">
        <w:rPr>
          <w:rFonts w:ascii="Times New Roman" w:hAnsi="Times New Roman" w:cs="Times New Roman"/>
          <w:color w:val="000000" w:themeColor="text1"/>
        </w:rPr>
        <w:t>neural networks</w:t>
      </w:r>
      <w:r w:rsidR="00F73FCB" w:rsidRPr="009D4387">
        <w:rPr>
          <w:rFonts w:ascii="Times New Roman" w:hAnsi="Times New Roman" w:cs="Times New Roman"/>
          <w:color w:val="000000" w:themeColor="text1"/>
        </w:rPr>
        <w:t>.</w:t>
      </w:r>
      <w:r w:rsidR="00F73FCB" w:rsidRPr="009D744F">
        <w:rPr>
          <w:rFonts w:ascii="Times New Roman" w:hAnsi="Times New Roman" w:cs="Times New Roman"/>
          <w:color w:val="000000" w:themeColor="text1"/>
        </w:rPr>
        <w:fldChar w:fldCharType="begin" w:fldLock="1"/>
      </w:r>
      <w:r w:rsidR="004C66F8">
        <w:rPr>
          <w:rFonts w:ascii="Times New Roman" w:hAnsi="Times New Roman" w:cs="Times New Roman"/>
          <w:color w:val="000000" w:themeColor="text1"/>
        </w:rPr>
        <w:instrText>ADDIN CSL_CITATION {"citationItems":[{"id":"ITEM-1","itemData":{"DOI":"10.1002/jmri.25779","ISSN":"10531807","author":[{"dropping-particle":"","family":"Esses","given":"Steven J.","non-dropping-particle":"","parse-names":false,"suffix":""},{"dropping-particle":"","family":"Lu","given":"Xiaoguang","non-dropping-particle":"","parse-names":false,"suffix":""},{"dropping-particle":"","family":"Zhao","given":"Tiejun","non-dropping-particle":"","parse-names":false,"suffix":""},{"dropping-particle":"","family":"Shanbhogue","given":"Krishna","non-dropping-particle":"","parse-names":false,"suffix":""},{"dropping-particle":"","family":"Dane","given":"Bari","non-dropping-particle":"","parse-names":false,"suffix":""},{"dropping-particle":"","family":"Bruno","given":"Mary","non-dropping-particle":"","parse-names":false,"suffix":""},{"dropping-particle":"","family":"Chandarana","given":"Hersh","non-dropping-particle":"","parse-names":false,"suffix":""}],"container-title":"Journal of Magnetic Resonance Imaging","id":"ITEM-1","issue":"3","issued":{"date-parts":[["2018","3"]]},"note":"Important author. The first author of this article is also working in prostate. They may be building a prostate quality database...","page":"723-728","title":"Automated image quality evaluation of T 2 -weighted liver MRI utilizing deep learning architecture","type":"article-journal","volume":"47"},"uris":["http://www.mendeley.com/documents/?uuid=35ea5011-e3f1-4ebc-bf9c-dfcbc46155e7"]},{"id":"ITEM-2","itemData":{"DOI":"10.1016/j.mri.2018.07.003","ISSN":"0730725X","author":[{"dropping-particle":"","family":"Martirosian","given":"P.","non-dropping-particle":"","parse-names":false,"suffix":""},{"dropping-particle":"","family":"Liebgott","given":"A.","non-dropping-particle":"","parse-names":false,"suffix":""},{"dropping-particle":"","family":"Yang","given":"B.","non-dropping-particle":"","parse-names":false,"suffix":""},{"dropping-particle":"","family":"Schwartz","given":"M.","non-dropping-particle":"","parse-names":false,"suffix":""},{"dropping-particle":"","family":"Bamberg","given":"F.","non-dropping-particle":"","parse-names":false,"suffix":""},{"dropping-particle":"","family":"Mauch","given":"L.","non-dropping-particle":"","parse-names":false,"suffix":""},{"dropping-particle":"","family":"Schwenzer","given":"NF.","non-dropping-particle":"","parse-names":false,"suffix":""},{"dropping-particle":"","family":"Nikolaou","given":"K.","non-dropping-particle":"","parse-names":false,"suffix":""},{"dropping-particle":"","family":"Küstner","given":"T.","non-dropping-particle":"","parse-names":false,"suffix":""},{"dropping-particle":"","family":"Gatidis","given":"S.","non-dropping-particle":"","parse-names":false,"suffix":""},{"dropping-particle":"","family":"Schick","given":"F.","non-dropping-particle":"","parse-names":false,"suffix":""},{"dropping-particle":"","family":"Schmidt","given":"H.","non-dropping-particle":"","parse-names":false,"suffix":""}],"container-title":"Magnetic Resonance Imaging","id":"ITEM-2","issue":"July","issued":{"date-parts":[["2018"]]},"page":"134-147","publisher":"Elsevier","title":"A machine-learning framework for automatic reference-free quality assessment in MRI","type":"article-journal","volume":"53"},"uris":["http://www.mendeley.com/documents/?uuid=99a0e631-3984-4340-84a1-3c28367f5749"]}],"mendeley":{"formattedCitation":"(31, 32)","plainTextFormattedCitation":"(31, 32)","previouslyFormattedCitation":"(31, 32)"},"properties":{"noteIndex":0},"schema":"https://github.com/citation-style-language/schema/raw/master/csl-citation.json"}</w:instrText>
      </w:r>
      <w:r w:rsidR="00F73FCB" w:rsidRPr="009D744F">
        <w:rPr>
          <w:rFonts w:ascii="Times New Roman" w:hAnsi="Times New Roman" w:cs="Times New Roman"/>
          <w:color w:val="000000" w:themeColor="text1"/>
        </w:rPr>
        <w:fldChar w:fldCharType="separate"/>
      </w:r>
      <w:r w:rsidR="004C66F8" w:rsidRPr="004C66F8">
        <w:rPr>
          <w:rFonts w:ascii="Times New Roman" w:hAnsi="Times New Roman" w:cs="Times New Roman"/>
          <w:noProof/>
          <w:color w:val="000000" w:themeColor="text1"/>
        </w:rPr>
        <w:t>(31, 32)</w:t>
      </w:r>
      <w:r w:rsidR="00F73FCB" w:rsidRPr="009D744F">
        <w:rPr>
          <w:rFonts w:ascii="Times New Roman" w:hAnsi="Times New Roman" w:cs="Times New Roman"/>
          <w:color w:val="000000" w:themeColor="text1"/>
        </w:rPr>
        <w:fldChar w:fldCharType="end"/>
      </w:r>
      <w:r w:rsidR="00673D2C">
        <w:rPr>
          <w:rFonts w:ascii="Times New Roman" w:hAnsi="Times New Roman" w:cs="Times New Roman"/>
          <w:color w:val="000000" w:themeColor="text1"/>
        </w:rPr>
        <w:t xml:space="preserve"> </w:t>
      </w:r>
    </w:p>
    <w:p w14:paraId="25D23E90" w14:textId="641A69B2" w:rsidR="007E1791" w:rsidRDefault="00FF3494" w:rsidP="00F17733">
      <w:pPr>
        <w:spacing w:after="0"/>
        <w:ind w:firstLine="720"/>
        <w:jc w:val="both"/>
        <w:rPr>
          <w:rFonts w:ascii="Times New Roman" w:hAnsi="Times New Roman" w:cs="Times New Roman"/>
          <w:color w:val="000000" w:themeColor="text1"/>
        </w:rPr>
      </w:pPr>
      <w:r w:rsidRPr="009D4387">
        <w:rPr>
          <w:rFonts w:ascii="Times New Roman" w:hAnsi="Times New Roman" w:cs="Times New Roman"/>
          <w:color w:val="000000" w:themeColor="text1"/>
        </w:rPr>
        <w:t>Image quality remains a significant barrier to improving prostate m</w:t>
      </w:r>
      <w:r w:rsidR="008A1E3B">
        <w:rPr>
          <w:rFonts w:ascii="Times New Roman" w:hAnsi="Times New Roman" w:cs="Times New Roman"/>
          <w:color w:val="000000" w:themeColor="text1"/>
        </w:rPr>
        <w:t>ulti-</w:t>
      </w:r>
      <w:r w:rsidR="00063FC6">
        <w:rPr>
          <w:rFonts w:ascii="Times New Roman" w:hAnsi="Times New Roman" w:cs="Times New Roman"/>
          <w:color w:val="000000" w:themeColor="text1"/>
        </w:rPr>
        <w:t>parametric</w:t>
      </w:r>
      <w:r w:rsidR="008A1E3B">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t>MRI</w:t>
      </w:r>
      <w:r w:rsidR="006503E0" w:rsidRPr="009D4387">
        <w:rPr>
          <w:rFonts w:ascii="Times New Roman" w:hAnsi="Times New Roman" w:cs="Times New Roman"/>
          <w:color w:val="000000" w:themeColor="text1"/>
        </w:rPr>
        <w:t xml:space="preserve">. </w:t>
      </w:r>
      <w:r w:rsidR="00EB1D4F" w:rsidRPr="009D4387">
        <w:rPr>
          <w:rFonts w:ascii="Times New Roman" w:hAnsi="Times New Roman" w:cs="Times New Roman"/>
          <w:color w:val="000000" w:themeColor="text1"/>
        </w:rPr>
        <w:t>Meanwhile</w:t>
      </w:r>
      <w:r w:rsidR="00244F1F">
        <w:rPr>
          <w:rFonts w:ascii="Times New Roman" w:hAnsi="Times New Roman" w:cs="Times New Roman"/>
          <w:color w:val="000000" w:themeColor="text1"/>
        </w:rPr>
        <w:t>,</w:t>
      </w:r>
      <w:r w:rsidR="00EB1D4F" w:rsidRPr="009D4387">
        <w:rPr>
          <w:rFonts w:ascii="Times New Roman" w:hAnsi="Times New Roman" w:cs="Times New Roman"/>
          <w:color w:val="000000" w:themeColor="text1"/>
        </w:rPr>
        <w:t xml:space="preserve"> scan</w:t>
      </w:r>
      <w:r w:rsidRPr="009D4387">
        <w:rPr>
          <w:rFonts w:ascii="Times New Roman" w:hAnsi="Times New Roman" w:cs="Times New Roman"/>
          <w:color w:val="000000" w:themeColor="text1"/>
        </w:rPr>
        <w:t xml:space="preserve"> settings should be individually tailored to each scanner and institution with PI</w:t>
      </w:r>
      <w:r w:rsidR="00FB60F2">
        <w:rPr>
          <w:rFonts w:ascii="Times New Roman" w:hAnsi="Times New Roman" w:cs="Times New Roman"/>
          <w:color w:val="000000" w:themeColor="text1"/>
        </w:rPr>
        <w:t>-</w:t>
      </w:r>
      <w:r w:rsidRPr="009D4387">
        <w:rPr>
          <w:rFonts w:ascii="Times New Roman" w:hAnsi="Times New Roman" w:cs="Times New Roman"/>
          <w:color w:val="000000" w:themeColor="text1"/>
        </w:rPr>
        <w:t xml:space="preserve">RADSv2 </w:t>
      </w:r>
      <w:r w:rsidR="006503E0" w:rsidRPr="009D4387">
        <w:rPr>
          <w:rFonts w:ascii="Times New Roman" w:hAnsi="Times New Roman" w:cs="Times New Roman"/>
          <w:color w:val="000000" w:themeColor="text1"/>
        </w:rPr>
        <w:t xml:space="preserve">minimum technical </w:t>
      </w:r>
      <w:r w:rsidR="008A1E3B">
        <w:rPr>
          <w:rFonts w:ascii="Times New Roman" w:hAnsi="Times New Roman" w:cs="Times New Roman"/>
          <w:color w:val="000000" w:themeColor="text1"/>
        </w:rPr>
        <w:t>standards</w:t>
      </w:r>
      <w:r w:rsidR="008A1E3B" w:rsidRPr="009D4387">
        <w:rPr>
          <w:rFonts w:ascii="Times New Roman" w:hAnsi="Times New Roman" w:cs="Times New Roman"/>
          <w:color w:val="000000" w:themeColor="text1"/>
        </w:rPr>
        <w:t xml:space="preserve"> </w:t>
      </w:r>
      <w:r w:rsidR="00E055EF">
        <w:rPr>
          <w:rFonts w:ascii="Times New Roman" w:hAnsi="Times New Roman" w:cs="Times New Roman"/>
          <w:color w:val="000000" w:themeColor="text1"/>
        </w:rPr>
        <w:t>used as a</w:t>
      </w:r>
      <w:r w:rsidRPr="009D4387">
        <w:rPr>
          <w:rFonts w:ascii="Times New Roman" w:hAnsi="Times New Roman" w:cs="Times New Roman"/>
          <w:color w:val="000000" w:themeColor="text1"/>
        </w:rPr>
        <w:t xml:space="preserve"> possible starting point for </w:t>
      </w:r>
      <w:r w:rsidR="00EB1D4F" w:rsidRPr="009D4387">
        <w:rPr>
          <w:rFonts w:ascii="Times New Roman" w:hAnsi="Times New Roman" w:cs="Times New Roman"/>
          <w:color w:val="000000" w:themeColor="text1"/>
        </w:rPr>
        <w:t>optimization</w:t>
      </w:r>
      <w:r w:rsidRPr="009D4387">
        <w:rPr>
          <w:rFonts w:ascii="Times New Roman" w:hAnsi="Times New Roman" w:cs="Times New Roman"/>
          <w:color w:val="000000" w:themeColor="text1"/>
        </w:rPr>
        <w:t xml:space="preserve"> </w:t>
      </w:r>
      <w:r w:rsidR="00E055EF">
        <w:rPr>
          <w:rFonts w:ascii="Times New Roman" w:hAnsi="Times New Roman" w:cs="Times New Roman"/>
          <w:color w:val="000000" w:themeColor="text1"/>
        </w:rPr>
        <w:t>and not</w:t>
      </w:r>
      <w:r w:rsidRPr="009D4387">
        <w:rPr>
          <w:rFonts w:ascii="Times New Roman" w:hAnsi="Times New Roman" w:cs="Times New Roman"/>
          <w:color w:val="000000" w:themeColor="text1"/>
        </w:rPr>
        <w:t xml:space="preserve"> </w:t>
      </w:r>
      <w:r w:rsidRPr="009D4387">
        <w:rPr>
          <w:rFonts w:ascii="Times New Roman" w:hAnsi="Times New Roman" w:cs="Times New Roman"/>
          <w:color w:val="000000" w:themeColor="text1"/>
        </w:rPr>
        <w:lastRenderedPageBreak/>
        <w:t>boundaries for</w:t>
      </w:r>
      <w:r w:rsidR="00E055EF">
        <w:rPr>
          <w:rFonts w:ascii="Times New Roman" w:hAnsi="Times New Roman" w:cs="Times New Roman"/>
          <w:color w:val="000000" w:themeColor="text1"/>
        </w:rPr>
        <w:t xml:space="preserve"> </w:t>
      </w:r>
      <w:r w:rsidR="00EB1D4F" w:rsidRPr="009D4387">
        <w:rPr>
          <w:rFonts w:ascii="Times New Roman" w:hAnsi="Times New Roman" w:cs="Times New Roman"/>
          <w:color w:val="000000" w:themeColor="text1"/>
        </w:rPr>
        <w:t>optimization</w:t>
      </w:r>
      <w:r w:rsidRPr="009D4387">
        <w:rPr>
          <w:rFonts w:ascii="Times New Roman" w:hAnsi="Times New Roman" w:cs="Times New Roman"/>
          <w:color w:val="000000" w:themeColor="text1"/>
        </w:rPr>
        <w:t>.</w:t>
      </w:r>
      <w:r w:rsidR="006503E0" w:rsidRPr="009D4387">
        <w:rPr>
          <w:rFonts w:ascii="Times New Roman" w:hAnsi="Times New Roman" w:cs="Times New Roman"/>
          <w:color w:val="000000" w:themeColor="text1"/>
        </w:rPr>
        <w:t xml:space="preserve"> There is an urgent need for new quality assurance tools</w:t>
      </w:r>
      <w:r w:rsidR="002F0ED6">
        <w:rPr>
          <w:rFonts w:ascii="Times New Roman" w:hAnsi="Times New Roman" w:cs="Times New Roman"/>
          <w:color w:val="000000" w:themeColor="text1"/>
        </w:rPr>
        <w:t>, involvement of MRI manufacturers, the MR physics community</w:t>
      </w:r>
      <w:r w:rsidR="006503E0" w:rsidRPr="009D4387">
        <w:rPr>
          <w:rFonts w:ascii="Times New Roman" w:hAnsi="Times New Roman" w:cs="Times New Roman"/>
          <w:color w:val="000000" w:themeColor="text1"/>
        </w:rPr>
        <w:t xml:space="preserve"> and</w:t>
      </w:r>
      <w:r w:rsidR="002F0ED6">
        <w:rPr>
          <w:rFonts w:ascii="Times New Roman" w:hAnsi="Times New Roman" w:cs="Times New Roman"/>
          <w:color w:val="000000" w:themeColor="text1"/>
        </w:rPr>
        <w:t xml:space="preserve"> individual efforts on the part of radiologists to improve mpMRI</w:t>
      </w:r>
      <w:r w:rsidR="006503E0" w:rsidRPr="009D4387">
        <w:rPr>
          <w:rFonts w:ascii="Times New Roman" w:hAnsi="Times New Roman" w:cs="Times New Roman"/>
          <w:color w:val="000000" w:themeColor="text1"/>
        </w:rPr>
        <w:t>.</w:t>
      </w:r>
    </w:p>
    <w:p w14:paraId="0DB6EBEA" w14:textId="77777777" w:rsidR="00DE593F" w:rsidRDefault="00DE593F" w:rsidP="005005AE">
      <w:pPr>
        <w:spacing w:line="240" w:lineRule="auto"/>
        <w:rPr>
          <w:rFonts w:ascii="Times New Roman" w:hAnsi="Times New Roman" w:cs="Times New Roman"/>
          <w:color w:val="000000" w:themeColor="text1"/>
        </w:rPr>
      </w:pPr>
      <w:r>
        <w:rPr>
          <w:rFonts w:ascii="Times New Roman" w:hAnsi="Times New Roman" w:cs="Times New Roman"/>
          <w:color w:val="000000" w:themeColor="text1"/>
        </w:rPr>
        <w:br w:type="page"/>
      </w:r>
    </w:p>
    <w:p w14:paraId="67569307" w14:textId="77777777" w:rsidR="00EF4217" w:rsidRDefault="00063FC6" w:rsidP="00EF4217">
      <w:pPr>
        <w:widowControl w:val="0"/>
        <w:autoSpaceDE w:val="0"/>
        <w:autoSpaceDN w:val="0"/>
        <w:adjustRightInd w:val="0"/>
        <w:spacing w:line="240" w:lineRule="auto"/>
        <w:ind w:left="640" w:hanging="640"/>
        <w:rPr>
          <w:rFonts w:ascii="Times New Roman" w:hAnsi="Times New Roman" w:cs="Times New Roman"/>
          <w:b/>
          <w:color w:val="000000"/>
        </w:rPr>
      </w:pPr>
      <w:r w:rsidRPr="003860CC">
        <w:rPr>
          <w:rFonts w:ascii="Times New Roman" w:hAnsi="Times New Roman" w:cs="Times New Roman"/>
          <w:b/>
          <w:color w:val="000000"/>
        </w:rPr>
        <w:lastRenderedPageBreak/>
        <w:t>References:</w:t>
      </w:r>
    </w:p>
    <w:p w14:paraId="7A3B9BE3" w14:textId="316DB1CE" w:rsidR="004C66F8" w:rsidRPr="004C66F8" w:rsidRDefault="00EF4217" w:rsidP="004C66F8">
      <w:pPr>
        <w:widowControl w:val="0"/>
        <w:autoSpaceDE w:val="0"/>
        <w:autoSpaceDN w:val="0"/>
        <w:adjustRightInd w:val="0"/>
        <w:rPr>
          <w:rFonts w:ascii="Times New Roman" w:hAnsi="Times New Roman" w:cs="Times New Roman"/>
          <w:noProof/>
        </w:rPr>
      </w:pPr>
      <w:r>
        <w:rPr>
          <w:rFonts w:ascii="Times New Roman" w:hAnsi="Times New Roman" w:cs="Times New Roman"/>
          <w:b/>
          <w:color w:val="000000"/>
        </w:rPr>
        <w:fldChar w:fldCharType="begin" w:fldLock="1"/>
      </w:r>
      <w:r>
        <w:rPr>
          <w:rFonts w:ascii="Times New Roman" w:hAnsi="Times New Roman" w:cs="Times New Roman"/>
          <w:b/>
          <w:color w:val="000000"/>
        </w:rPr>
        <w:instrText xml:space="preserve">ADDIN Mendeley Bibliography CSL_BIBLIOGRAPHY </w:instrText>
      </w:r>
      <w:r>
        <w:rPr>
          <w:rFonts w:ascii="Times New Roman" w:hAnsi="Times New Roman" w:cs="Times New Roman"/>
          <w:b/>
          <w:color w:val="000000"/>
        </w:rPr>
        <w:fldChar w:fldCharType="separate"/>
      </w:r>
      <w:r w:rsidR="004C66F8" w:rsidRPr="004C66F8">
        <w:rPr>
          <w:rFonts w:ascii="Times New Roman" w:hAnsi="Times New Roman" w:cs="Times New Roman"/>
          <w:noProof/>
        </w:rPr>
        <w:t xml:space="preserve">1. Siegel RL, Miller KD, Jemal A: Cancer statistics, 2019. </w:t>
      </w:r>
      <w:r w:rsidR="004C66F8" w:rsidRPr="004C66F8">
        <w:rPr>
          <w:rFonts w:ascii="Times New Roman" w:hAnsi="Times New Roman" w:cs="Times New Roman"/>
          <w:i/>
          <w:iCs/>
          <w:noProof/>
        </w:rPr>
        <w:t>CA Cancer J Clin</w:t>
      </w:r>
      <w:r w:rsidR="004C66F8" w:rsidRPr="004C66F8">
        <w:rPr>
          <w:rFonts w:ascii="Times New Roman" w:hAnsi="Times New Roman" w:cs="Times New Roman"/>
          <w:noProof/>
        </w:rPr>
        <w:t xml:space="preserve"> 2019; 69:7–34.</w:t>
      </w:r>
    </w:p>
    <w:p w14:paraId="5BD850BE"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 Shen X, Kumar P: Trade-Off between Treatment of Early Prostate Cancer and Incidence of Advanced Prostate Cancer in the Prostate Screening Era. </w:t>
      </w:r>
      <w:r w:rsidRPr="004C66F8">
        <w:rPr>
          <w:rFonts w:ascii="Times New Roman" w:hAnsi="Times New Roman" w:cs="Times New Roman"/>
          <w:i/>
          <w:iCs/>
          <w:noProof/>
        </w:rPr>
        <w:t>J Urol</w:t>
      </w:r>
      <w:r w:rsidRPr="004C66F8">
        <w:rPr>
          <w:rFonts w:ascii="Times New Roman" w:hAnsi="Times New Roman" w:cs="Times New Roman"/>
          <w:noProof/>
        </w:rPr>
        <w:t xml:space="preserve"> 2016; 195:1397–1402.</w:t>
      </w:r>
    </w:p>
    <w:p w14:paraId="149E7DD7"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3. Weinreb JC, Barentsz JO, Choyke PL, et al.: PI-RADS Prostate Imaging – Reporting and Data System: 2015, Version 2. </w:t>
      </w:r>
      <w:r w:rsidRPr="004C66F8">
        <w:rPr>
          <w:rFonts w:ascii="Times New Roman" w:hAnsi="Times New Roman" w:cs="Times New Roman"/>
          <w:i/>
          <w:iCs/>
          <w:noProof/>
        </w:rPr>
        <w:t>Eur Urol</w:t>
      </w:r>
      <w:r w:rsidRPr="004C66F8">
        <w:rPr>
          <w:rFonts w:ascii="Times New Roman" w:hAnsi="Times New Roman" w:cs="Times New Roman"/>
          <w:noProof/>
        </w:rPr>
        <w:t xml:space="preserve"> 2016; 69:16–40.</w:t>
      </w:r>
    </w:p>
    <w:p w14:paraId="1F4E5B67"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4. Padhani AR, Weinreb J, Rosenkrantz AB, Villeirs G, Turkbey B, Barentsz J: Prostate Imaging-Reporting and Data System Steering Committee: PI-RADS v2 Status Update and Future Directions. </w:t>
      </w:r>
      <w:r w:rsidRPr="004C66F8">
        <w:rPr>
          <w:rFonts w:ascii="Times New Roman" w:hAnsi="Times New Roman" w:cs="Times New Roman"/>
          <w:i/>
          <w:iCs/>
          <w:noProof/>
        </w:rPr>
        <w:t>Eur Urol</w:t>
      </w:r>
      <w:r w:rsidRPr="004C66F8">
        <w:rPr>
          <w:rFonts w:ascii="Times New Roman" w:hAnsi="Times New Roman" w:cs="Times New Roman"/>
          <w:noProof/>
        </w:rPr>
        <w:t xml:space="preserve"> 2019; 75:385–396.</w:t>
      </w:r>
    </w:p>
    <w:p w14:paraId="1C153E09"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5. Liu C, Liu S-L, Wang Z-X, et al.: Using the prostate imaging reporting and data system version 2 (PI-RIDS v2) to detect prostate cancer can prevent unnecessary biopsies and invasive treatment. </w:t>
      </w:r>
      <w:r w:rsidRPr="004C66F8">
        <w:rPr>
          <w:rFonts w:ascii="Times New Roman" w:hAnsi="Times New Roman" w:cs="Times New Roman"/>
          <w:i/>
          <w:iCs/>
          <w:noProof/>
        </w:rPr>
        <w:t>Asian J Androl</w:t>
      </w:r>
      <w:r w:rsidRPr="004C66F8">
        <w:rPr>
          <w:rFonts w:ascii="Times New Roman" w:hAnsi="Times New Roman" w:cs="Times New Roman"/>
          <w:noProof/>
        </w:rPr>
        <w:t xml:space="preserve"> 2018; 20:459.</w:t>
      </w:r>
    </w:p>
    <w:p w14:paraId="75F99AE9"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6. van der Leest M, Cornel E, Israël B, et al.: Head-to-head Comparison of Transrectal Ultrasound-guided Prostate Biopsy Versus Multiparametric Prostate Resonance Imaging with Subsequent Magnetic Resonance-guided Biopsy in Biopsy-naïve Men with Elevated Prostate-specific Antigen: A Large Prospective Mu. </w:t>
      </w:r>
      <w:r w:rsidRPr="004C66F8">
        <w:rPr>
          <w:rFonts w:ascii="Times New Roman" w:hAnsi="Times New Roman" w:cs="Times New Roman"/>
          <w:i/>
          <w:iCs/>
          <w:noProof/>
        </w:rPr>
        <w:t>Eur Urol</w:t>
      </w:r>
      <w:r w:rsidRPr="004C66F8">
        <w:rPr>
          <w:rFonts w:ascii="Times New Roman" w:hAnsi="Times New Roman" w:cs="Times New Roman"/>
          <w:noProof/>
        </w:rPr>
        <w:t xml:space="preserve"> 2019; 75:570–578.</w:t>
      </w:r>
    </w:p>
    <w:p w14:paraId="03B8CCF7"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7. Mehralivand S, Bednarova S, Shih JH, et al.: Prospective Evaluation of PI-RADS Version 2 Using the International Society of Urological Pathology Prostate Cancer Grade Group System. </w:t>
      </w:r>
      <w:r w:rsidRPr="004C66F8">
        <w:rPr>
          <w:rFonts w:ascii="Times New Roman" w:hAnsi="Times New Roman" w:cs="Times New Roman"/>
          <w:i/>
          <w:iCs/>
          <w:noProof/>
        </w:rPr>
        <w:t>J Urol</w:t>
      </w:r>
      <w:r w:rsidRPr="004C66F8">
        <w:rPr>
          <w:rFonts w:ascii="Times New Roman" w:hAnsi="Times New Roman" w:cs="Times New Roman"/>
          <w:noProof/>
        </w:rPr>
        <w:t xml:space="preserve"> 2017; 198:583–590.</w:t>
      </w:r>
    </w:p>
    <w:p w14:paraId="639BDDFE"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8. Kim SH, Choi MS, Kim MJ, Kim YH, Cho SH: Validation of Prostate Imaging Reporting and Data System Version 2 Using an MRI-Ultrasound Fusion Biopsy in Prostate Cancer Diagnosis. </w:t>
      </w:r>
      <w:r w:rsidRPr="004C66F8">
        <w:rPr>
          <w:rFonts w:ascii="Times New Roman" w:hAnsi="Times New Roman" w:cs="Times New Roman"/>
          <w:i/>
          <w:iCs/>
          <w:noProof/>
        </w:rPr>
        <w:t>Am J Roentgenol</w:t>
      </w:r>
      <w:r w:rsidRPr="004C66F8">
        <w:rPr>
          <w:rFonts w:ascii="Times New Roman" w:hAnsi="Times New Roman" w:cs="Times New Roman"/>
          <w:noProof/>
        </w:rPr>
        <w:t xml:space="preserve"> 2017; 209:800–805.</w:t>
      </w:r>
    </w:p>
    <w:p w14:paraId="6DA0574D"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lastRenderedPageBreak/>
        <w:t xml:space="preserve">9. Ahmed HU, El-Shater Bosaily A, Brown LC, et al.: Diagnostic accuracy of multi-parametric MRI and TRUS biopsy in prostate cancer (PROMIS): a paired validating confirmatory study. </w:t>
      </w:r>
      <w:r w:rsidRPr="004C66F8">
        <w:rPr>
          <w:rFonts w:ascii="Times New Roman" w:hAnsi="Times New Roman" w:cs="Times New Roman"/>
          <w:i/>
          <w:iCs/>
          <w:noProof/>
        </w:rPr>
        <w:t>Lancet</w:t>
      </w:r>
      <w:r w:rsidRPr="004C66F8">
        <w:rPr>
          <w:rFonts w:ascii="Times New Roman" w:hAnsi="Times New Roman" w:cs="Times New Roman"/>
          <w:noProof/>
        </w:rPr>
        <w:t xml:space="preserve"> 2017; 389:815–822.</w:t>
      </w:r>
    </w:p>
    <w:p w14:paraId="3B4212BE"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10. Kasivisvanathan V, Rannikko AS, Borghi M, et al.: MRI-Targeted or Standard Biopsy for Prostate-Cancer Diagnosis. </w:t>
      </w:r>
      <w:r w:rsidRPr="004C66F8">
        <w:rPr>
          <w:rFonts w:ascii="Times New Roman" w:hAnsi="Times New Roman" w:cs="Times New Roman"/>
          <w:i/>
          <w:iCs/>
          <w:noProof/>
        </w:rPr>
        <w:t>N Engl J Med</w:t>
      </w:r>
      <w:r w:rsidRPr="004C66F8">
        <w:rPr>
          <w:rFonts w:ascii="Times New Roman" w:hAnsi="Times New Roman" w:cs="Times New Roman"/>
          <w:noProof/>
        </w:rPr>
        <w:t xml:space="preserve"> 2018; 378:1767–1777.</w:t>
      </w:r>
    </w:p>
    <w:p w14:paraId="70D5E0E8"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11. Rouvière O, Puech P, Renard-Penna R, et al.: Use of prostate systematic and targeted biopsy on the basis of multiparametric MRI in biopsy-naive patients (MRI-FIRST): a prospective, multicentre, paired diagnostic study. </w:t>
      </w:r>
      <w:r w:rsidRPr="004C66F8">
        <w:rPr>
          <w:rFonts w:ascii="Times New Roman" w:hAnsi="Times New Roman" w:cs="Times New Roman"/>
          <w:i/>
          <w:iCs/>
          <w:noProof/>
        </w:rPr>
        <w:t>Lancet Oncol</w:t>
      </w:r>
      <w:r w:rsidRPr="004C66F8">
        <w:rPr>
          <w:rFonts w:ascii="Times New Roman" w:hAnsi="Times New Roman" w:cs="Times New Roman"/>
          <w:noProof/>
        </w:rPr>
        <w:t xml:space="preserve"> 2019; 20:100–109.</w:t>
      </w:r>
    </w:p>
    <w:p w14:paraId="582214F9"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12. Esses SJ, Taneja SS, Rosenkrantz AB: Imaging Facilities’ Adherence to PI-RADS v2 Minimum Technical Standards for the Performance of Prostate MRI. </w:t>
      </w:r>
      <w:r w:rsidRPr="004C66F8">
        <w:rPr>
          <w:rFonts w:ascii="Times New Roman" w:hAnsi="Times New Roman" w:cs="Times New Roman"/>
          <w:i/>
          <w:iCs/>
          <w:noProof/>
        </w:rPr>
        <w:t>Acad Radiol</w:t>
      </w:r>
      <w:r w:rsidRPr="004C66F8">
        <w:rPr>
          <w:rFonts w:ascii="Times New Roman" w:hAnsi="Times New Roman" w:cs="Times New Roman"/>
          <w:noProof/>
        </w:rPr>
        <w:t xml:space="preserve"> 2018; 25:188–195.</w:t>
      </w:r>
    </w:p>
    <w:p w14:paraId="2E8B757E"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13. Ullrich T, Quentin M, Oelers C, et al.: Magnetic resonance imaging of the prostate at 1.5 versus 3.0 T: A prospective comparison study of image quality. </w:t>
      </w:r>
      <w:r w:rsidRPr="004C66F8">
        <w:rPr>
          <w:rFonts w:ascii="Times New Roman" w:hAnsi="Times New Roman" w:cs="Times New Roman"/>
          <w:i/>
          <w:iCs/>
          <w:noProof/>
        </w:rPr>
        <w:t>Eur J Radiol</w:t>
      </w:r>
      <w:r w:rsidRPr="004C66F8">
        <w:rPr>
          <w:rFonts w:ascii="Times New Roman" w:hAnsi="Times New Roman" w:cs="Times New Roman"/>
          <w:noProof/>
        </w:rPr>
        <w:t xml:space="preserve"> 2017; 90:192–197.</w:t>
      </w:r>
    </w:p>
    <w:p w14:paraId="37271EDE"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14. Loening AM, Litwiller D V, Saranathan M, Vasanawala SS: Increased Speed and Image Quality for Pelvic Single-Shot Fast Spin-Echo Imaging with Variable Refocusing Flip Angles and Full-Fourier Acquisition. </w:t>
      </w:r>
      <w:r w:rsidRPr="004C66F8">
        <w:rPr>
          <w:rFonts w:ascii="Times New Roman" w:hAnsi="Times New Roman" w:cs="Times New Roman"/>
          <w:i/>
          <w:iCs/>
          <w:noProof/>
        </w:rPr>
        <w:t>Radiology</w:t>
      </w:r>
      <w:r w:rsidRPr="004C66F8">
        <w:rPr>
          <w:rFonts w:ascii="Times New Roman" w:hAnsi="Times New Roman" w:cs="Times New Roman"/>
          <w:noProof/>
        </w:rPr>
        <w:t xml:space="preserve"> 2017; 282:561–568.</w:t>
      </w:r>
    </w:p>
    <w:p w14:paraId="72D7F80C"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15. Rosner B, Glynn RJ, Ting Lee M: Incorporation of Clustering Effects for the Wilcoxon Rank Sum Test: A Large‐Sample Approach. </w:t>
      </w:r>
      <w:r w:rsidRPr="004C66F8">
        <w:rPr>
          <w:rFonts w:ascii="Times New Roman" w:hAnsi="Times New Roman" w:cs="Times New Roman"/>
          <w:i/>
          <w:iCs/>
          <w:noProof/>
        </w:rPr>
        <w:t>Biometrics</w:t>
      </w:r>
      <w:r w:rsidRPr="004C66F8">
        <w:rPr>
          <w:rFonts w:ascii="Times New Roman" w:hAnsi="Times New Roman" w:cs="Times New Roman"/>
          <w:noProof/>
        </w:rPr>
        <w:t xml:space="preserve"> 2003; 59:1089–1098.</w:t>
      </w:r>
    </w:p>
    <w:p w14:paraId="6253D68C"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16. Shih JH, Fay MP: Pearson’s chi-square test and rank correlation inferences for clustered data. </w:t>
      </w:r>
      <w:r w:rsidRPr="004C66F8">
        <w:rPr>
          <w:rFonts w:ascii="Times New Roman" w:hAnsi="Times New Roman" w:cs="Times New Roman"/>
          <w:i/>
          <w:iCs/>
          <w:noProof/>
        </w:rPr>
        <w:t>Biometrics</w:t>
      </w:r>
      <w:r w:rsidRPr="004C66F8">
        <w:rPr>
          <w:rFonts w:ascii="Times New Roman" w:hAnsi="Times New Roman" w:cs="Times New Roman"/>
          <w:noProof/>
        </w:rPr>
        <w:t xml:space="preserve"> 2017; 73:822–834.</w:t>
      </w:r>
    </w:p>
    <w:p w14:paraId="455AB22B"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17. Rosenkrantz AB, Oto A, Turkbey B, Westphalen AC: Prostate Imaging Reporting and Data System (PI-RADS), Version 2: A Critical Look. </w:t>
      </w:r>
      <w:r w:rsidRPr="004C66F8">
        <w:rPr>
          <w:rFonts w:ascii="Times New Roman" w:hAnsi="Times New Roman" w:cs="Times New Roman"/>
          <w:i/>
          <w:iCs/>
          <w:noProof/>
        </w:rPr>
        <w:t>AJR Am J Roentgenol</w:t>
      </w:r>
      <w:r w:rsidRPr="004C66F8">
        <w:rPr>
          <w:rFonts w:ascii="Times New Roman" w:hAnsi="Times New Roman" w:cs="Times New Roman"/>
          <w:noProof/>
        </w:rPr>
        <w:t xml:space="preserve"> 2016; 206:1179–83.</w:t>
      </w:r>
    </w:p>
    <w:p w14:paraId="4371F862"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lastRenderedPageBreak/>
        <w:t xml:space="preserve">18. Zhang X, Peng J, Xu M, et al.: Denoise diffusion-weighted images using higher-order singular value decomposition. </w:t>
      </w:r>
      <w:r w:rsidRPr="004C66F8">
        <w:rPr>
          <w:rFonts w:ascii="Times New Roman" w:hAnsi="Times New Roman" w:cs="Times New Roman"/>
          <w:i/>
          <w:iCs/>
          <w:noProof/>
        </w:rPr>
        <w:t>Neuroimage</w:t>
      </w:r>
      <w:r w:rsidRPr="004C66F8">
        <w:rPr>
          <w:rFonts w:ascii="Times New Roman" w:hAnsi="Times New Roman" w:cs="Times New Roman"/>
          <w:noProof/>
        </w:rPr>
        <w:t xml:space="preserve"> 2017; 156(January 2016):128–145.</w:t>
      </w:r>
    </w:p>
    <w:p w14:paraId="06529C80"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19. Nketiah G, Selnæs KM, Sandsmark E, et al.: Geometric distortion correction in prostate diffusion-weighted MRI and its effect on quantitative apparent diffusion coefficient analysis. </w:t>
      </w:r>
      <w:r w:rsidRPr="004C66F8">
        <w:rPr>
          <w:rFonts w:ascii="Times New Roman" w:hAnsi="Times New Roman" w:cs="Times New Roman"/>
          <w:i/>
          <w:iCs/>
          <w:noProof/>
        </w:rPr>
        <w:t>Magn Reson Med</w:t>
      </w:r>
      <w:r w:rsidRPr="004C66F8">
        <w:rPr>
          <w:rFonts w:ascii="Times New Roman" w:hAnsi="Times New Roman" w:cs="Times New Roman"/>
          <w:noProof/>
        </w:rPr>
        <w:t xml:space="preserve"> 2018; 79:2524–2532.</w:t>
      </w:r>
    </w:p>
    <w:p w14:paraId="2A4A8643"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20. Rakow-Penner RA, White NS, Margolis DJA, et al.: Prostate diffusion imaging with distortion correction. </w:t>
      </w:r>
      <w:r w:rsidRPr="004C66F8">
        <w:rPr>
          <w:rFonts w:ascii="Times New Roman" w:hAnsi="Times New Roman" w:cs="Times New Roman"/>
          <w:i/>
          <w:iCs/>
          <w:noProof/>
        </w:rPr>
        <w:t>Magn Reson Imaging</w:t>
      </w:r>
      <w:r w:rsidRPr="004C66F8">
        <w:rPr>
          <w:rFonts w:ascii="Times New Roman" w:hAnsi="Times New Roman" w:cs="Times New Roman"/>
          <w:noProof/>
        </w:rPr>
        <w:t xml:space="preserve"> 2015; 33:1178–1181.</w:t>
      </w:r>
    </w:p>
    <w:p w14:paraId="080D6ED1"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21. Port JD, Pomper MG: Quantification and Minimization of Magnetic Susceptibility Artifacts on GRE Images. </w:t>
      </w:r>
      <w:r w:rsidRPr="004C66F8">
        <w:rPr>
          <w:rFonts w:ascii="Times New Roman" w:hAnsi="Times New Roman" w:cs="Times New Roman"/>
          <w:i/>
          <w:iCs/>
          <w:noProof/>
        </w:rPr>
        <w:t>J Comput Assist Tomogr</w:t>
      </w:r>
      <w:r w:rsidRPr="004C66F8">
        <w:rPr>
          <w:rFonts w:ascii="Times New Roman" w:hAnsi="Times New Roman" w:cs="Times New Roman"/>
          <w:noProof/>
        </w:rPr>
        <w:t xml:space="preserve"> 2000; 24:958–964.</w:t>
      </w:r>
    </w:p>
    <w:p w14:paraId="0660FD6E"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22. Tsougos I: Artifacts and Pitfalls in Diffusion MRI. </w:t>
      </w:r>
      <w:r w:rsidRPr="004C66F8">
        <w:rPr>
          <w:rFonts w:ascii="Times New Roman" w:hAnsi="Times New Roman" w:cs="Times New Roman"/>
          <w:i/>
          <w:iCs/>
          <w:noProof/>
        </w:rPr>
        <w:t>Ser Med Phys Biomed</w:t>
      </w:r>
      <w:r w:rsidRPr="004C66F8">
        <w:rPr>
          <w:rFonts w:ascii="Times New Roman" w:hAnsi="Times New Roman" w:cs="Times New Roman"/>
          <w:noProof/>
        </w:rPr>
        <w:t xml:space="preserve"> 2018:29–54.</w:t>
      </w:r>
    </w:p>
    <w:p w14:paraId="51E70C99"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23. Caglic I, Hansen NL, Slough RA, Patterson AJ, Barrett T: Evaluating the effect of rectal distension on prostate multiparametric MRI image quality. </w:t>
      </w:r>
      <w:r w:rsidRPr="004C66F8">
        <w:rPr>
          <w:rFonts w:ascii="Times New Roman" w:hAnsi="Times New Roman" w:cs="Times New Roman"/>
          <w:i/>
          <w:iCs/>
          <w:noProof/>
        </w:rPr>
        <w:t>Eur J Radiol</w:t>
      </w:r>
      <w:r w:rsidRPr="004C66F8">
        <w:rPr>
          <w:rFonts w:ascii="Times New Roman" w:hAnsi="Times New Roman" w:cs="Times New Roman"/>
          <w:noProof/>
        </w:rPr>
        <w:t xml:space="preserve"> 2017; 90:174–180.</w:t>
      </w:r>
    </w:p>
    <w:p w14:paraId="27DB26CB"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24. Ullrich T, Quentin M, Schmaltz AK, et al.: Hyoscine butylbromide significantly decreases motion artefacts and allows better delineation of anatomic structures in mp-MRI of the prostate. </w:t>
      </w:r>
      <w:r w:rsidRPr="004C66F8">
        <w:rPr>
          <w:rFonts w:ascii="Times New Roman" w:hAnsi="Times New Roman" w:cs="Times New Roman"/>
          <w:i/>
          <w:iCs/>
          <w:noProof/>
        </w:rPr>
        <w:t>Eur Radiol</w:t>
      </w:r>
      <w:r w:rsidRPr="004C66F8">
        <w:rPr>
          <w:rFonts w:ascii="Times New Roman" w:hAnsi="Times New Roman" w:cs="Times New Roman"/>
          <w:noProof/>
        </w:rPr>
        <w:t xml:space="preserve"> 2018; 28:17–23.</w:t>
      </w:r>
    </w:p>
    <w:p w14:paraId="1D6C1217"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25. Korn N, Kurhanewicz J, Banerjee S, Starobinets O, Saritas E, Noworolski S: Reduced-FOV excitation decreases susceptibility artifact in diffusion-weighted MRI with endorectal coil for prostate cancer detection. </w:t>
      </w:r>
      <w:r w:rsidRPr="004C66F8">
        <w:rPr>
          <w:rFonts w:ascii="Times New Roman" w:hAnsi="Times New Roman" w:cs="Times New Roman"/>
          <w:i/>
          <w:iCs/>
          <w:noProof/>
        </w:rPr>
        <w:t>Magn Reson Imaging</w:t>
      </w:r>
      <w:r w:rsidRPr="004C66F8">
        <w:rPr>
          <w:rFonts w:ascii="Times New Roman" w:hAnsi="Times New Roman" w:cs="Times New Roman"/>
          <w:noProof/>
        </w:rPr>
        <w:t xml:space="preserve"> 2015; 33:56–62.</w:t>
      </w:r>
    </w:p>
    <w:p w14:paraId="55FEB5C0"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26. Hong X, To XV, Teh I, Soh JR, Chuang KH: Evaluation of EPI distortion correction methods for quantitative MRI of the brain at high magnetic field. </w:t>
      </w:r>
      <w:r w:rsidRPr="004C66F8">
        <w:rPr>
          <w:rFonts w:ascii="Times New Roman" w:hAnsi="Times New Roman" w:cs="Times New Roman"/>
          <w:i/>
          <w:iCs/>
          <w:noProof/>
        </w:rPr>
        <w:t>Magn Reson Imaging</w:t>
      </w:r>
      <w:r w:rsidRPr="004C66F8">
        <w:rPr>
          <w:rFonts w:ascii="Times New Roman" w:hAnsi="Times New Roman" w:cs="Times New Roman"/>
          <w:noProof/>
        </w:rPr>
        <w:t xml:space="preserve"> 2015; 33:1098–1105.</w:t>
      </w:r>
    </w:p>
    <w:p w14:paraId="278F65D6"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27. Sharif-Afshar A-R, Feng T, Koopman S, et al.: Impact of post prostate biopsy hemorrhage on </w:t>
      </w:r>
      <w:r w:rsidRPr="004C66F8">
        <w:rPr>
          <w:rFonts w:ascii="Times New Roman" w:hAnsi="Times New Roman" w:cs="Times New Roman"/>
          <w:noProof/>
        </w:rPr>
        <w:lastRenderedPageBreak/>
        <w:t xml:space="preserve">multiparametric magnetic resonance imaging. </w:t>
      </w:r>
      <w:r w:rsidRPr="004C66F8">
        <w:rPr>
          <w:rFonts w:ascii="Times New Roman" w:hAnsi="Times New Roman" w:cs="Times New Roman"/>
          <w:i/>
          <w:iCs/>
          <w:noProof/>
        </w:rPr>
        <w:t>Can J Urol</w:t>
      </w:r>
      <w:r w:rsidRPr="004C66F8">
        <w:rPr>
          <w:rFonts w:ascii="Times New Roman" w:hAnsi="Times New Roman" w:cs="Times New Roman"/>
          <w:noProof/>
        </w:rPr>
        <w:t xml:space="preserve"> 2015; 22:7698–702.</w:t>
      </w:r>
    </w:p>
    <w:p w14:paraId="4342897A"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28. Medved M, Sammet S, Yousuf A, Oto A: MR Imaging of the Prostate and Adjacent Anatomic Structures before, during, and after Ejaculation: Qualitative and Quantitative Evaluation. </w:t>
      </w:r>
      <w:r w:rsidRPr="004C66F8">
        <w:rPr>
          <w:rFonts w:ascii="Times New Roman" w:hAnsi="Times New Roman" w:cs="Times New Roman"/>
          <w:i/>
          <w:iCs/>
          <w:noProof/>
        </w:rPr>
        <w:t>Radiology</w:t>
      </w:r>
      <w:r w:rsidRPr="004C66F8">
        <w:rPr>
          <w:rFonts w:ascii="Times New Roman" w:hAnsi="Times New Roman" w:cs="Times New Roman"/>
          <w:noProof/>
        </w:rPr>
        <w:t xml:space="preserve"> 2014; 271:452–460.</w:t>
      </w:r>
    </w:p>
    <w:p w14:paraId="6AA0D2C7"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29. Rosenkrantz AB, Kopec M, Kong X, et al.: Prostate cancer vs. post-biopsy hemorrhage: Diagnosis with T2- and diffusion-weighted imaging. </w:t>
      </w:r>
      <w:r w:rsidRPr="004C66F8">
        <w:rPr>
          <w:rFonts w:ascii="Times New Roman" w:hAnsi="Times New Roman" w:cs="Times New Roman"/>
          <w:i/>
          <w:iCs/>
          <w:noProof/>
        </w:rPr>
        <w:t>J Magn Reson Imaging</w:t>
      </w:r>
      <w:r w:rsidRPr="004C66F8">
        <w:rPr>
          <w:rFonts w:ascii="Times New Roman" w:hAnsi="Times New Roman" w:cs="Times New Roman"/>
          <w:noProof/>
        </w:rPr>
        <w:t xml:space="preserve"> 2010; 31:1387–1394.</w:t>
      </w:r>
    </w:p>
    <w:p w14:paraId="36C304BE"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30. Kabakus IM, Borofsky S, Mertan F V., et al.: Does Abstinence From Ejaculation Before Prostate MRI Improve Evaluation of the Seminal Vesicles? </w:t>
      </w:r>
      <w:r w:rsidRPr="004C66F8">
        <w:rPr>
          <w:rFonts w:ascii="Times New Roman" w:hAnsi="Times New Roman" w:cs="Times New Roman"/>
          <w:i/>
          <w:iCs/>
          <w:noProof/>
        </w:rPr>
        <w:t>Am J Roentgenol</w:t>
      </w:r>
      <w:r w:rsidRPr="004C66F8">
        <w:rPr>
          <w:rFonts w:ascii="Times New Roman" w:hAnsi="Times New Roman" w:cs="Times New Roman"/>
          <w:noProof/>
        </w:rPr>
        <w:t xml:space="preserve"> 2016; 207:1205–1209.</w:t>
      </w:r>
    </w:p>
    <w:p w14:paraId="7299CECD"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31. Esses SJ, Lu X, Zhao T, et al.: Automated image quality evaluation of T 2 -weighted liver MRI utilizing deep learning architecture. </w:t>
      </w:r>
      <w:r w:rsidRPr="004C66F8">
        <w:rPr>
          <w:rFonts w:ascii="Times New Roman" w:hAnsi="Times New Roman" w:cs="Times New Roman"/>
          <w:i/>
          <w:iCs/>
          <w:noProof/>
        </w:rPr>
        <w:t>J Magn Reson Imaging</w:t>
      </w:r>
      <w:r w:rsidRPr="004C66F8">
        <w:rPr>
          <w:rFonts w:ascii="Times New Roman" w:hAnsi="Times New Roman" w:cs="Times New Roman"/>
          <w:noProof/>
        </w:rPr>
        <w:t xml:space="preserve"> 2018; 47:723–728.</w:t>
      </w:r>
    </w:p>
    <w:p w14:paraId="119F9040" w14:textId="77777777" w:rsidR="004C66F8" w:rsidRPr="004C66F8" w:rsidRDefault="004C66F8" w:rsidP="004C66F8">
      <w:pPr>
        <w:widowControl w:val="0"/>
        <w:autoSpaceDE w:val="0"/>
        <w:autoSpaceDN w:val="0"/>
        <w:adjustRightInd w:val="0"/>
        <w:rPr>
          <w:rFonts w:ascii="Times New Roman" w:hAnsi="Times New Roman" w:cs="Times New Roman"/>
          <w:noProof/>
        </w:rPr>
      </w:pPr>
      <w:r w:rsidRPr="004C66F8">
        <w:rPr>
          <w:rFonts w:ascii="Times New Roman" w:hAnsi="Times New Roman" w:cs="Times New Roman"/>
          <w:noProof/>
        </w:rPr>
        <w:t xml:space="preserve">32. Martirosian P, Liebgott A, Yang B, et al.: A machine-learning framework for automatic reference-free quality assessment in MRI. </w:t>
      </w:r>
      <w:r w:rsidRPr="004C66F8">
        <w:rPr>
          <w:rFonts w:ascii="Times New Roman" w:hAnsi="Times New Roman" w:cs="Times New Roman"/>
          <w:i/>
          <w:iCs/>
          <w:noProof/>
        </w:rPr>
        <w:t>Magn Reson Imaging</w:t>
      </w:r>
      <w:r w:rsidRPr="004C66F8">
        <w:rPr>
          <w:rFonts w:ascii="Times New Roman" w:hAnsi="Times New Roman" w:cs="Times New Roman"/>
          <w:noProof/>
        </w:rPr>
        <w:t xml:space="preserve"> 2018; 53(July):134–147.</w:t>
      </w:r>
    </w:p>
    <w:p w14:paraId="4966429D" w14:textId="5E8F3987" w:rsidR="006919CF" w:rsidRDefault="00EF4217" w:rsidP="004C66F8">
      <w:pPr>
        <w:widowControl w:val="0"/>
        <w:autoSpaceDE w:val="0"/>
        <w:autoSpaceDN w:val="0"/>
        <w:adjustRightInd w:val="0"/>
        <w:rPr>
          <w:rFonts w:ascii="Times New Roman" w:hAnsi="Times New Roman" w:cs="Times New Roman"/>
          <w:b/>
          <w:color w:val="000000"/>
        </w:rPr>
      </w:pPr>
      <w:r>
        <w:rPr>
          <w:rFonts w:ascii="Times New Roman" w:hAnsi="Times New Roman" w:cs="Times New Roman"/>
          <w:b/>
          <w:color w:val="000000"/>
        </w:rPr>
        <w:fldChar w:fldCharType="end"/>
      </w:r>
    </w:p>
    <w:p w14:paraId="3C838B38" w14:textId="77777777" w:rsidR="006919CF" w:rsidRDefault="006919CF">
      <w:pPr>
        <w:rPr>
          <w:rFonts w:ascii="Times New Roman" w:hAnsi="Times New Roman" w:cs="Times New Roman"/>
          <w:b/>
          <w:color w:val="000000"/>
        </w:rPr>
      </w:pPr>
      <w:r>
        <w:rPr>
          <w:rFonts w:ascii="Times New Roman" w:hAnsi="Times New Roman" w:cs="Times New Roman"/>
          <w:b/>
          <w:color w:val="000000"/>
        </w:rPr>
        <w:br w:type="page"/>
      </w:r>
    </w:p>
    <w:p w14:paraId="4C94646F" w14:textId="53597CC9" w:rsidR="00582D5B" w:rsidRDefault="00DA1A29" w:rsidP="005005AE">
      <w:pPr>
        <w:spacing w:line="240" w:lineRule="auto"/>
        <w:rPr>
          <w:rFonts w:ascii="Times New Roman" w:hAnsi="Times New Roman" w:cs="Times New Roman"/>
          <w:b/>
          <w:iCs/>
        </w:rPr>
      </w:pPr>
      <w:r>
        <w:rPr>
          <w:rFonts w:ascii="Times New Roman" w:hAnsi="Times New Roman" w:cs="Times New Roman"/>
          <w:b/>
          <w:iCs/>
        </w:rPr>
        <w:lastRenderedPageBreak/>
        <w:t>Figure</w:t>
      </w:r>
      <w:r w:rsidR="00582D5B">
        <w:rPr>
          <w:rFonts w:ascii="Times New Roman" w:hAnsi="Times New Roman" w:cs="Times New Roman"/>
          <w:b/>
          <w:iCs/>
        </w:rPr>
        <w:t xml:space="preserve"> Legends</w:t>
      </w:r>
    </w:p>
    <w:p w14:paraId="3D32B2CD" w14:textId="2B150D8D" w:rsidR="00DA1A29" w:rsidRDefault="00DA1A29" w:rsidP="005005AE">
      <w:pPr>
        <w:spacing w:line="240" w:lineRule="auto"/>
        <w:rPr>
          <w:rFonts w:ascii="Times New Roman" w:hAnsi="Times New Roman" w:cs="Times New Roman"/>
          <w:b/>
          <w:iCs/>
        </w:rPr>
      </w:pPr>
    </w:p>
    <w:p w14:paraId="10E4F350" w14:textId="2F5C7541" w:rsidR="00582D5B" w:rsidRDefault="00582D5B" w:rsidP="005005AE">
      <w:pPr>
        <w:spacing w:line="240" w:lineRule="auto"/>
        <w:rPr>
          <w:rFonts w:ascii="Times New Roman" w:hAnsi="Times New Roman" w:cs="Times New Roman"/>
          <w:iCs/>
        </w:rPr>
      </w:pPr>
      <w:r w:rsidRPr="008D755B">
        <w:rPr>
          <w:rFonts w:ascii="Times New Roman" w:hAnsi="Times New Roman" w:cs="Times New Roman"/>
          <w:b/>
          <w:iCs/>
        </w:rPr>
        <w:t>Fig</w:t>
      </w:r>
      <w:r>
        <w:rPr>
          <w:rFonts w:ascii="Times New Roman" w:hAnsi="Times New Roman" w:cs="Times New Roman"/>
          <w:b/>
          <w:iCs/>
        </w:rPr>
        <w:t>ure 1:</w:t>
      </w:r>
      <w:r w:rsidRPr="008D755B">
        <w:rPr>
          <w:rFonts w:ascii="Times New Roman" w:hAnsi="Times New Roman" w:cs="Times New Roman"/>
          <w:b/>
          <w:iCs/>
        </w:rPr>
        <w:t xml:space="preserve"> </w:t>
      </w:r>
      <w:r w:rsidRPr="008D755B">
        <w:rPr>
          <w:rFonts w:ascii="Times New Roman" w:hAnsi="Times New Roman" w:cs="Times New Roman"/>
          <w:iCs/>
        </w:rPr>
        <w:t>The distribution of T2 (left) and DWI (</w:t>
      </w:r>
      <w:r>
        <w:rPr>
          <w:rFonts w:ascii="Times New Roman" w:hAnsi="Times New Roman" w:cs="Times New Roman"/>
          <w:iCs/>
        </w:rPr>
        <w:t>right</w:t>
      </w:r>
      <w:r w:rsidRPr="008D755B">
        <w:rPr>
          <w:rFonts w:ascii="Times New Roman" w:hAnsi="Times New Roman" w:cs="Times New Roman"/>
          <w:iCs/>
        </w:rPr>
        <w:t xml:space="preserve">) </w:t>
      </w:r>
      <w:r>
        <w:rPr>
          <w:rFonts w:ascii="Times New Roman" w:hAnsi="Times New Roman" w:cs="Times New Roman"/>
          <w:iCs/>
        </w:rPr>
        <w:t>imaging studies organized</w:t>
      </w:r>
      <w:r w:rsidRPr="008D755B">
        <w:rPr>
          <w:rFonts w:ascii="Times New Roman" w:hAnsi="Times New Roman" w:cs="Times New Roman"/>
          <w:iCs/>
        </w:rPr>
        <w:t xml:space="preserve"> by the number of adequate votes received and by the number of PIRADSv2 </w:t>
      </w:r>
      <w:r>
        <w:rPr>
          <w:rFonts w:ascii="Times New Roman" w:hAnsi="Times New Roman" w:cs="Times New Roman"/>
          <w:iCs/>
        </w:rPr>
        <w:t xml:space="preserve">Minimum </w:t>
      </w:r>
      <w:r w:rsidRPr="008D755B">
        <w:rPr>
          <w:rFonts w:ascii="Times New Roman" w:hAnsi="Times New Roman" w:cs="Times New Roman"/>
          <w:iCs/>
        </w:rPr>
        <w:t>Technical Standards</w:t>
      </w:r>
      <w:r>
        <w:rPr>
          <w:rFonts w:ascii="Times New Roman" w:hAnsi="Times New Roman" w:cs="Times New Roman"/>
          <w:iCs/>
        </w:rPr>
        <w:t xml:space="preserve"> (MTS)</w:t>
      </w:r>
      <w:r w:rsidRPr="008D755B">
        <w:rPr>
          <w:rFonts w:ascii="Times New Roman" w:hAnsi="Times New Roman" w:cs="Times New Roman"/>
          <w:iCs/>
        </w:rPr>
        <w:t xml:space="preserve"> followed. </w:t>
      </w:r>
      <w:r>
        <w:rPr>
          <w:rFonts w:ascii="Times New Roman" w:hAnsi="Times New Roman" w:cs="Times New Roman"/>
          <w:iCs/>
        </w:rPr>
        <w:t>The numbers within the grid indicate the number of studies following the number of MTS indicated (column) and received the number of votes indicated (row).</w:t>
      </w:r>
    </w:p>
    <w:p w14:paraId="090B0E1E" w14:textId="08293DAA" w:rsidR="00DA1A29" w:rsidRDefault="00DA1A29">
      <w:pPr>
        <w:rPr>
          <w:rFonts w:ascii="Times New Roman" w:hAnsi="Times New Roman" w:cs="Times New Roman"/>
          <w:iCs/>
        </w:rPr>
      </w:pPr>
      <w:r>
        <w:rPr>
          <w:rFonts w:ascii="Times New Roman" w:hAnsi="Times New Roman" w:cs="Times New Roman"/>
          <w:iCs/>
        </w:rPr>
        <w:br w:type="page"/>
      </w:r>
    </w:p>
    <w:p w14:paraId="312F4F0B" w14:textId="6BD3611C" w:rsidR="00DA1A29" w:rsidRDefault="00DA1A29" w:rsidP="005005AE">
      <w:pPr>
        <w:spacing w:line="240" w:lineRule="auto"/>
        <w:rPr>
          <w:rFonts w:ascii="Times New Roman" w:hAnsi="Times New Roman" w:cs="Times New Roman"/>
          <w:iCs/>
        </w:rPr>
      </w:pPr>
    </w:p>
    <w:p w14:paraId="3A570327" w14:textId="2B31EC65" w:rsidR="00582D5B" w:rsidRDefault="00582D5B" w:rsidP="00582D5B">
      <w:pPr>
        <w:spacing w:line="240" w:lineRule="auto"/>
        <w:jc w:val="both"/>
        <w:rPr>
          <w:rFonts w:ascii="Times New Roman" w:hAnsi="Times New Roman" w:cs="Times New Roman"/>
          <w:iCs/>
        </w:rPr>
      </w:pPr>
      <w:r w:rsidRPr="008D755B">
        <w:rPr>
          <w:rFonts w:ascii="Times New Roman" w:hAnsi="Times New Roman" w:cs="Times New Roman"/>
          <w:b/>
          <w:iCs/>
        </w:rPr>
        <w:t>Fig</w:t>
      </w:r>
      <w:r>
        <w:rPr>
          <w:rFonts w:ascii="Times New Roman" w:hAnsi="Times New Roman" w:cs="Times New Roman"/>
          <w:b/>
          <w:iCs/>
        </w:rPr>
        <w:t xml:space="preserve">ure 2: </w:t>
      </w:r>
      <w:r w:rsidRPr="005E03D9">
        <w:rPr>
          <w:rFonts w:ascii="Times New Roman" w:hAnsi="Times New Roman" w:cs="Times New Roman"/>
          <w:bCs/>
          <w:iCs/>
        </w:rPr>
        <w:t>Relationship between</w:t>
      </w:r>
      <w:r>
        <w:rPr>
          <w:rFonts w:ascii="Times New Roman" w:hAnsi="Times New Roman" w:cs="Times New Roman"/>
          <w:b/>
          <w:iCs/>
        </w:rPr>
        <w:t xml:space="preserve"> </w:t>
      </w:r>
      <w:r>
        <w:rPr>
          <w:rFonts w:ascii="Times New Roman" w:hAnsi="Times New Roman" w:cs="Times New Roman"/>
          <w:iCs/>
        </w:rPr>
        <w:t>a</w:t>
      </w:r>
      <w:r w:rsidRPr="008D755B">
        <w:rPr>
          <w:rFonts w:ascii="Times New Roman" w:hAnsi="Times New Roman" w:cs="Times New Roman"/>
          <w:iCs/>
        </w:rPr>
        <w:t xml:space="preserve">dherence to </w:t>
      </w:r>
      <w:r>
        <w:rPr>
          <w:rFonts w:ascii="Times New Roman" w:hAnsi="Times New Roman" w:cs="Times New Roman"/>
          <w:iCs/>
        </w:rPr>
        <w:t>T2W</w:t>
      </w:r>
      <w:r w:rsidRPr="008D755B">
        <w:rPr>
          <w:rFonts w:ascii="Times New Roman" w:hAnsi="Times New Roman" w:cs="Times New Roman"/>
          <w:iCs/>
        </w:rPr>
        <w:t xml:space="preserve"> PI</w:t>
      </w:r>
      <w:r>
        <w:rPr>
          <w:rFonts w:ascii="Times New Roman" w:hAnsi="Times New Roman" w:cs="Times New Roman"/>
          <w:iCs/>
        </w:rPr>
        <w:t>-</w:t>
      </w:r>
      <w:r w:rsidRPr="008D755B">
        <w:rPr>
          <w:rFonts w:ascii="Times New Roman" w:hAnsi="Times New Roman" w:cs="Times New Roman"/>
          <w:iCs/>
        </w:rPr>
        <w:t xml:space="preserve">RADSv2 </w:t>
      </w:r>
      <w:r>
        <w:rPr>
          <w:rFonts w:ascii="Times New Roman" w:hAnsi="Times New Roman" w:cs="Times New Roman"/>
          <w:iCs/>
        </w:rPr>
        <w:t>Minimum Technical Standards (MTS)</w:t>
      </w:r>
      <w:r w:rsidRPr="008D755B">
        <w:rPr>
          <w:rFonts w:ascii="Times New Roman" w:hAnsi="Times New Roman" w:cs="Times New Roman"/>
          <w:iCs/>
        </w:rPr>
        <w:t xml:space="preserve"> </w:t>
      </w:r>
      <w:r>
        <w:rPr>
          <w:rFonts w:ascii="Times New Roman" w:hAnsi="Times New Roman" w:cs="Times New Roman"/>
          <w:iCs/>
        </w:rPr>
        <w:t xml:space="preserve">and </w:t>
      </w:r>
      <w:r w:rsidRPr="008D755B">
        <w:rPr>
          <w:rFonts w:ascii="Times New Roman" w:hAnsi="Times New Roman" w:cs="Times New Roman"/>
          <w:iCs/>
        </w:rPr>
        <w:t>average reader quality score</w:t>
      </w:r>
      <w:r>
        <w:rPr>
          <w:rFonts w:ascii="Times New Roman" w:hAnsi="Times New Roman" w:cs="Times New Roman"/>
          <w:iCs/>
        </w:rPr>
        <w:t xml:space="preserve">. </w:t>
      </w:r>
      <w:r w:rsidRPr="0074483C">
        <w:rPr>
          <w:rFonts w:ascii="Times New Roman" w:hAnsi="Times New Roman" w:cs="Times New Roman"/>
          <w:iCs/>
        </w:rPr>
        <w:t>Select outlier images have been given color coded labels containing their average reader quality score</w:t>
      </w:r>
      <w:r>
        <w:rPr>
          <w:rFonts w:ascii="Times New Roman" w:hAnsi="Times New Roman" w:cs="Times New Roman"/>
          <w:iCs/>
        </w:rPr>
        <w:t xml:space="preserve">. </w:t>
      </w:r>
      <w:r w:rsidRPr="0074483C">
        <w:rPr>
          <w:rFonts w:ascii="Times New Roman" w:hAnsi="Times New Roman" w:cs="Times New Roman"/>
          <w:i/>
          <w:iCs/>
        </w:rPr>
        <w:t>Green labels</w:t>
      </w:r>
      <w:r w:rsidRPr="0074483C">
        <w:rPr>
          <w:rFonts w:ascii="Times New Roman" w:hAnsi="Times New Roman" w:cs="Times New Roman"/>
          <w:iCs/>
        </w:rPr>
        <w:t xml:space="preserve">: Non-compliant but high quality images. </w:t>
      </w:r>
      <w:r w:rsidRPr="0074483C">
        <w:rPr>
          <w:rFonts w:ascii="Times New Roman" w:hAnsi="Times New Roman" w:cs="Times New Roman"/>
          <w:i/>
          <w:iCs/>
        </w:rPr>
        <w:t>Orange labels</w:t>
      </w:r>
      <w:r w:rsidRPr="0074483C">
        <w:rPr>
          <w:rFonts w:ascii="Times New Roman" w:hAnsi="Times New Roman" w:cs="Times New Roman"/>
          <w:iCs/>
        </w:rPr>
        <w:t>: Compliant but low</w:t>
      </w:r>
      <w:r>
        <w:rPr>
          <w:rFonts w:ascii="Times New Roman" w:hAnsi="Times New Roman" w:cs="Times New Roman"/>
          <w:iCs/>
        </w:rPr>
        <w:t xml:space="preserve"> </w:t>
      </w:r>
      <w:r w:rsidRPr="0074483C">
        <w:rPr>
          <w:rFonts w:ascii="Times New Roman" w:hAnsi="Times New Roman" w:cs="Times New Roman"/>
          <w:iCs/>
        </w:rPr>
        <w:t>quality images.</w:t>
      </w:r>
    </w:p>
    <w:p w14:paraId="3546970A" w14:textId="701D24E2" w:rsidR="00DA1A29" w:rsidRDefault="00DA1A29">
      <w:pPr>
        <w:rPr>
          <w:rFonts w:ascii="Times New Roman" w:hAnsi="Times New Roman" w:cs="Times New Roman"/>
          <w:iCs/>
        </w:rPr>
      </w:pPr>
      <w:r>
        <w:rPr>
          <w:rFonts w:ascii="Times New Roman" w:hAnsi="Times New Roman" w:cs="Times New Roman"/>
          <w:iCs/>
        </w:rPr>
        <w:br w:type="page"/>
      </w:r>
    </w:p>
    <w:p w14:paraId="291CF288" w14:textId="7D7D671C" w:rsidR="00DA1A29" w:rsidRDefault="00DA1A29" w:rsidP="00582D5B">
      <w:pPr>
        <w:spacing w:line="240" w:lineRule="auto"/>
        <w:jc w:val="both"/>
        <w:rPr>
          <w:rFonts w:ascii="Times New Roman" w:hAnsi="Times New Roman" w:cs="Times New Roman"/>
          <w:iCs/>
        </w:rPr>
      </w:pPr>
    </w:p>
    <w:p w14:paraId="44FB546C" w14:textId="2EF20D61" w:rsidR="00582D5B" w:rsidRDefault="00582D5B" w:rsidP="00582D5B">
      <w:pPr>
        <w:spacing w:line="240" w:lineRule="auto"/>
        <w:rPr>
          <w:rFonts w:ascii="Times New Roman" w:hAnsi="Times New Roman" w:cs="Times New Roman"/>
          <w:iCs/>
        </w:rPr>
      </w:pPr>
      <w:r w:rsidRPr="008D755B">
        <w:rPr>
          <w:rFonts w:ascii="Times New Roman" w:hAnsi="Times New Roman" w:cs="Times New Roman"/>
          <w:b/>
          <w:iCs/>
        </w:rPr>
        <w:t>Fig</w:t>
      </w:r>
      <w:r>
        <w:rPr>
          <w:rFonts w:ascii="Times New Roman" w:hAnsi="Times New Roman" w:cs="Times New Roman"/>
          <w:b/>
          <w:iCs/>
        </w:rPr>
        <w:t xml:space="preserve">ure 3: </w:t>
      </w:r>
      <w:r w:rsidRPr="005E03D9">
        <w:rPr>
          <w:rFonts w:ascii="Times New Roman" w:hAnsi="Times New Roman" w:cs="Times New Roman"/>
          <w:bCs/>
          <w:iCs/>
        </w:rPr>
        <w:t>Relationship between</w:t>
      </w:r>
      <w:r>
        <w:rPr>
          <w:rFonts w:ascii="Times New Roman" w:hAnsi="Times New Roman" w:cs="Times New Roman"/>
          <w:b/>
          <w:iCs/>
        </w:rPr>
        <w:t xml:space="preserve"> </w:t>
      </w:r>
      <w:r>
        <w:rPr>
          <w:rFonts w:ascii="Times New Roman" w:hAnsi="Times New Roman" w:cs="Times New Roman"/>
          <w:iCs/>
        </w:rPr>
        <w:t>a</w:t>
      </w:r>
      <w:r w:rsidRPr="008D755B">
        <w:rPr>
          <w:rFonts w:ascii="Times New Roman" w:hAnsi="Times New Roman" w:cs="Times New Roman"/>
          <w:iCs/>
        </w:rPr>
        <w:t>dherence to DWI PI</w:t>
      </w:r>
      <w:r>
        <w:rPr>
          <w:rFonts w:ascii="Times New Roman" w:hAnsi="Times New Roman" w:cs="Times New Roman"/>
          <w:iCs/>
        </w:rPr>
        <w:t>-</w:t>
      </w:r>
      <w:r w:rsidRPr="008D755B">
        <w:rPr>
          <w:rFonts w:ascii="Times New Roman" w:hAnsi="Times New Roman" w:cs="Times New Roman"/>
          <w:iCs/>
        </w:rPr>
        <w:t xml:space="preserve">RADSv2 </w:t>
      </w:r>
      <w:r>
        <w:rPr>
          <w:rFonts w:ascii="Times New Roman" w:hAnsi="Times New Roman" w:cs="Times New Roman"/>
          <w:iCs/>
        </w:rPr>
        <w:t>Minimum Technical Standards (MTS)</w:t>
      </w:r>
      <w:r w:rsidRPr="008D755B">
        <w:rPr>
          <w:rFonts w:ascii="Times New Roman" w:hAnsi="Times New Roman" w:cs="Times New Roman"/>
          <w:iCs/>
        </w:rPr>
        <w:t xml:space="preserve"> </w:t>
      </w:r>
      <w:r>
        <w:rPr>
          <w:rFonts w:ascii="Times New Roman" w:hAnsi="Times New Roman" w:cs="Times New Roman"/>
          <w:iCs/>
        </w:rPr>
        <w:t xml:space="preserve">and </w:t>
      </w:r>
      <w:r w:rsidRPr="008D755B">
        <w:rPr>
          <w:rFonts w:ascii="Times New Roman" w:hAnsi="Times New Roman" w:cs="Times New Roman"/>
          <w:iCs/>
        </w:rPr>
        <w:t>average reader quality score</w:t>
      </w:r>
      <w:r>
        <w:rPr>
          <w:rFonts w:ascii="Times New Roman" w:hAnsi="Times New Roman" w:cs="Times New Roman"/>
          <w:iCs/>
        </w:rPr>
        <w:t>.</w:t>
      </w:r>
      <w:r w:rsidRPr="0074483C">
        <w:rPr>
          <w:rFonts w:ascii="Times New Roman" w:hAnsi="Times New Roman" w:cs="Times New Roman"/>
          <w:iCs/>
        </w:rPr>
        <w:t xml:space="preserve"> Select outlier images have been given color coded labels containing their average reader quality score</w:t>
      </w:r>
      <w:r>
        <w:rPr>
          <w:rFonts w:ascii="Times New Roman" w:hAnsi="Times New Roman" w:cs="Times New Roman"/>
          <w:iCs/>
        </w:rPr>
        <w:t xml:space="preserve">. </w:t>
      </w:r>
      <w:r w:rsidRPr="0074483C">
        <w:rPr>
          <w:rFonts w:ascii="Times New Roman" w:hAnsi="Times New Roman" w:cs="Times New Roman"/>
          <w:i/>
          <w:iCs/>
        </w:rPr>
        <w:t>Green labels</w:t>
      </w:r>
      <w:r w:rsidRPr="0074483C">
        <w:rPr>
          <w:rFonts w:ascii="Times New Roman" w:hAnsi="Times New Roman" w:cs="Times New Roman"/>
          <w:iCs/>
        </w:rPr>
        <w:t xml:space="preserve">: Non-compliant but high quality images. </w:t>
      </w:r>
      <w:r w:rsidRPr="0074483C">
        <w:rPr>
          <w:rFonts w:ascii="Times New Roman" w:hAnsi="Times New Roman" w:cs="Times New Roman"/>
          <w:i/>
          <w:iCs/>
        </w:rPr>
        <w:t>Orange labels</w:t>
      </w:r>
      <w:r w:rsidRPr="0074483C">
        <w:rPr>
          <w:rFonts w:ascii="Times New Roman" w:hAnsi="Times New Roman" w:cs="Times New Roman"/>
          <w:iCs/>
        </w:rPr>
        <w:t>: Compliant but low quality images.</w:t>
      </w:r>
    </w:p>
    <w:p w14:paraId="16F815F0" w14:textId="466E478B" w:rsidR="00DA1A29" w:rsidRDefault="00DA1A29">
      <w:pPr>
        <w:rPr>
          <w:rFonts w:ascii="Times New Roman" w:hAnsi="Times New Roman" w:cs="Times New Roman"/>
          <w:iCs/>
        </w:rPr>
      </w:pPr>
      <w:r>
        <w:rPr>
          <w:rFonts w:ascii="Times New Roman" w:hAnsi="Times New Roman" w:cs="Times New Roman"/>
          <w:iCs/>
        </w:rPr>
        <w:br w:type="page"/>
      </w:r>
    </w:p>
    <w:p w14:paraId="0FBB718C" w14:textId="4DF519F6" w:rsidR="00DA1A29" w:rsidRDefault="00DA1A29" w:rsidP="00582D5B">
      <w:pPr>
        <w:spacing w:line="240" w:lineRule="auto"/>
        <w:rPr>
          <w:rFonts w:ascii="Times New Roman" w:hAnsi="Times New Roman" w:cs="Times New Roman"/>
          <w:iCs/>
        </w:rPr>
      </w:pPr>
    </w:p>
    <w:p w14:paraId="722C843B" w14:textId="3199AF91" w:rsidR="00582D5B" w:rsidRPr="00582D5B" w:rsidRDefault="00582D5B" w:rsidP="00582D5B">
      <w:pPr>
        <w:spacing w:line="240" w:lineRule="auto"/>
        <w:rPr>
          <w:rFonts w:ascii="Times New Roman" w:eastAsia="Calibri" w:hAnsi="Times New Roman" w:cs="Times New Roman"/>
        </w:rPr>
      </w:pPr>
      <w:r w:rsidRPr="007C203A">
        <w:rPr>
          <w:rFonts w:ascii="Times New Roman" w:eastAsia="Calibri" w:hAnsi="Times New Roman" w:cs="Times New Roman"/>
          <w:b/>
          <w:iCs/>
        </w:rPr>
        <w:t>Figure</w:t>
      </w:r>
      <w:r w:rsidRPr="007C203A">
        <w:rPr>
          <w:rFonts w:ascii="Times New Roman" w:eastAsia="Calibri" w:hAnsi="Times New Roman" w:cs="Times New Roman"/>
          <w:iCs/>
        </w:rPr>
        <w:t xml:space="preserve"> </w:t>
      </w:r>
      <w:r>
        <w:rPr>
          <w:rFonts w:ascii="Times New Roman" w:eastAsia="Calibri" w:hAnsi="Times New Roman" w:cs="Times New Roman"/>
          <w:b/>
          <w:iCs/>
        </w:rPr>
        <w:t>4</w:t>
      </w:r>
      <w:r w:rsidRPr="007C203A">
        <w:rPr>
          <w:rFonts w:ascii="Times New Roman" w:eastAsia="Calibri" w:hAnsi="Times New Roman" w:cs="Times New Roman"/>
          <w:b/>
          <w:iCs/>
        </w:rPr>
        <w:t>:</w:t>
      </w:r>
      <w:r w:rsidRPr="007C203A">
        <w:rPr>
          <w:rFonts w:ascii="Times New Roman" w:eastAsia="Calibri" w:hAnsi="Times New Roman" w:cs="Times New Roman"/>
          <w:iCs/>
        </w:rPr>
        <w:t xml:space="preserve"> Examples which highlight the gaps of the PIRADSv2 </w:t>
      </w:r>
      <w:r>
        <w:rPr>
          <w:rFonts w:ascii="Times New Roman" w:eastAsia="Calibri" w:hAnsi="Times New Roman" w:cs="Times New Roman"/>
          <w:iCs/>
        </w:rPr>
        <w:t>Minimum Technical Standards (MTS) all acquired at 3 Teslas</w:t>
      </w:r>
      <w:r w:rsidRPr="007C203A">
        <w:rPr>
          <w:rFonts w:ascii="Times New Roman" w:eastAsia="Calibri" w:hAnsi="Times New Roman" w:cs="Times New Roman"/>
          <w:iCs/>
        </w:rPr>
        <w:t>. (</w:t>
      </w:r>
      <w:r w:rsidRPr="007C203A">
        <w:rPr>
          <w:rFonts w:ascii="Times New Roman" w:eastAsia="Calibri" w:hAnsi="Times New Roman" w:cs="Times New Roman"/>
          <w:b/>
          <w:bCs/>
        </w:rPr>
        <w:t>Left Column)</w:t>
      </w:r>
      <w:r w:rsidRPr="007C203A">
        <w:rPr>
          <w:rFonts w:ascii="Times New Roman" w:eastAsia="Calibri" w:hAnsi="Times New Roman" w:cs="Times New Roman"/>
          <w:iCs/>
        </w:rPr>
        <w:t xml:space="preserve"> An example of an image that is non-adherent to the PIRADSv2 </w:t>
      </w:r>
      <w:r>
        <w:rPr>
          <w:rFonts w:ascii="Times New Roman" w:eastAsia="Calibri" w:hAnsi="Times New Roman" w:cs="Times New Roman"/>
          <w:iCs/>
        </w:rPr>
        <w:t>MTS</w:t>
      </w:r>
      <w:r w:rsidRPr="007C203A">
        <w:rPr>
          <w:rFonts w:ascii="Times New Roman" w:eastAsia="Calibri" w:hAnsi="Times New Roman" w:cs="Times New Roman"/>
          <w:iCs/>
        </w:rPr>
        <w:t xml:space="preserve"> yet still achieved a high-quality image with a clearly visible and easily defined lesion.  (</w:t>
      </w:r>
      <w:r w:rsidRPr="007C203A">
        <w:rPr>
          <w:rFonts w:ascii="Times New Roman" w:eastAsia="Calibri" w:hAnsi="Times New Roman" w:cs="Times New Roman"/>
          <w:b/>
          <w:bCs/>
        </w:rPr>
        <w:t xml:space="preserve">Middle Column) </w:t>
      </w:r>
      <w:r w:rsidRPr="007C203A">
        <w:rPr>
          <w:rFonts w:ascii="Times New Roman" w:eastAsia="Calibri" w:hAnsi="Times New Roman" w:cs="Times New Roman"/>
        </w:rPr>
        <w:t xml:space="preserve">100% adherent to the PIRADSv2 </w:t>
      </w:r>
      <w:r>
        <w:rPr>
          <w:rFonts w:ascii="Times New Roman" w:eastAsia="Calibri" w:hAnsi="Times New Roman" w:cs="Times New Roman"/>
        </w:rPr>
        <w:t>MTS</w:t>
      </w:r>
      <w:r w:rsidRPr="007C203A">
        <w:rPr>
          <w:rFonts w:ascii="Times New Roman" w:eastAsia="Calibri" w:hAnsi="Times New Roman" w:cs="Times New Roman"/>
        </w:rPr>
        <w:t xml:space="preserve"> for T2 sequences yet the T2 sequence </w:t>
      </w:r>
      <w:r>
        <w:rPr>
          <w:rFonts w:ascii="Times New Roman" w:eastAsia="Calibri" w:hAnsi="Times New Roman" w:cs="Times New Roman"/>
        </w:rPr>
        <w:t>appears</w:t>
      </w:r>
      <w:r w:rsidRPr="007C203A">
        <w:rPr>
          <w:rFonts w:ascii="Times New Roman" w:eastAsia="Calibri" w:hAnsi="Times New Roman" w:cs="Times New Roman"/>
        </w:rPr>
        <w:t xml:space="preserve"> noisy and the separation between the peripheral </w:t>
      </w:r>
      <w:r>
        <w:rPr>
          <w:rFonts w:ascii="Times New Roman" w:eastAsia="Calibri" w:hAnsi="Times New Roman" w:cs="Times New Roman"/>
        </w:rPr>
        <w:t>zone</w:t>
      </w:r>
      <w:r w:rsidRPr="007C203A">
        <w:rPr>
          <w:rFonts w:ascii="Times New Roman" w:eastAsia="Calibri" w:hAnsi="Times New Roman" w:cs="Times New Roman"/>
        </w:rPr>
        <w:t xml:space="preserve"> and transition zone cannot be appreciated. </w:t>
      </w:r>
      <w:r w:rsidRPr="007C203A">
        <w:rPr>
          <w:rFonts w:ascii="Times New Roman" w:eastAsia="Calibri" w:hAnsi="Times New Roman" w:cs="Times New Roman"/>
          <w:iCs/>
        </w:rPr>
        <w:t>(</w:t>
      </w:r>
      <w:r w:rsidRPr="007C203A">
        <w:rPr>
          <w:rFonts w:ascii="Times New Roman" w:eastAsia="Calibri" w:hAnsi="Times New Roman" w:cs="Times New Roman"/>
          <w:b/>
          <w:bCs/>
        </w:rPr>
        <w:t>Right Column)</w:t>
      </w:r>
      <w:r w:rsidRPr="007C203A">
        <w:rPr>
          <w:rFonts w:ascii="Times New Roman" w:eastAsia="Calibri" w:hAnsi="Times New Roman" w:cs="Times New Roman"/>
        </w:rPr>
        <w:t xml:space="preserve"> 100% adherent to the PIRADSv2 </w:t>
      </w:r>
      <w:r>
        <w:rPr>
          <w:rFonts w:ascii="Times New Roman" w:eastAsia="Calibri" w:hAnsi="Times New Roman" w:cs="Times New Roman"/>
        </w:rPr>
        <w:t>MTS</w:t>
      </w:r>
      <w:r w:rsidRPr="007C203A">
        <w:rPr>
          <w:rFonts w:ascii="Times New Roman" w:eastAsia="Calibri" w:hAnsi="Times New Roman" w:cs="Times New Roman"/>
        </w:rPr>
        <w:t xml:space="preserve"> for DWI sequences yet</w:t>
      </w:r>
      <w:r>
        <w:rPr>
          <w:rFonts w:ascii="Times New Roman" w:eastAsia="Calibri" w:hAnsi="Times New Roman" w:cs="Times New Roman"/>
        </w:rPr>
        <w:t xml:space="preserve"> the</w:t>
      </w:r>
      <w:r w:rsidRPr="007C203A">
        <w:rPr>
          <w:rFonts w:ascii="Times New Roman" w:eastAsia="Calibri" w:hAnsi="Times New Roman" w:cs="Times New Roman"/>
        </w:rPr>
        <w:t xml:space="preserve"> low b-value sequence has significant distortion and the prostate is </w:t>
      </w:r>
      <w:r>
        <w:rPr>
          <w:rFonts w:ascii="Times New Roman" w:eastAsia="Calibri" w:hAnsi="Times New Roman" w:cs="Times New Roman"/>
        </w:rPr>
        <w:t>difficult to visualize</w:t>
      </w:r>
      <w:r w:rsidRPr="007C203A">
        <w:rPr>
          <w:rFonts w:ascii="Times New Roman" w:eastAsia="Calibri" w:hAnsi="Times New Roman" w:cs="Times New Roman"/>
        </w:rPr>
        <w:t xml:space="preserve"> in the high b-value sequence.</w:t>
      </w:r>
    </w:p>
    <w:p w14:paraId="7598A05E" w14:textId="3E68C4FC" w:rsidR="002939D3" w:rsidRDefault="002939D3">
      <w:pPr>
        <w:rPr>
          <w:rFonts w:ascii="Times New Roman" w:hAnsi="Times New Roman" w:cs="Times New Roman"/>
          <w:color w:val="000000" w:themeColor="text1"/>
        </w:rPr>
      </w:pPr>
      <w:r>
        <w:rPr>
          <w:rFonts w:ascii="Times New Roman" w:hAnsi="Times New Roman" w:cs="Times New Roman"/>
          <w:color w:val="000000" w:themeColor="text1"/>
        </w:rPr>
        <w:br w:type="page"/>
      </w:r>
    </w:p>
    <w:p w14:paraId="134445D7" w14:textId="77777777" w:rsidR="002939D3" w:rsidRPr="006919CF" w:rsidRDefault="002939D3" w:rsidP="002939D3">
      <w:pPr>
        <w:widowControl w:val="0"/>
        <w:autoSpaceDE w:val="0"/>
        <w:autoSpaceDN w:val="0"/>
        <w:adjustRightInd w:val="0"/>
        <w:rPr>
          <w:rFonts w:ascii="Times New Roman" w:hAnsi="Times New Roman" w:cs="Times New Roman"/>
          <w:noProof/>
        </w:rPr>
      </w:pPr>
      <w:r w:rsidRPr="005E03D9">
        <w:rPr>
          <w:rFonts w:ascii="Times New Roman" w:hAnsi="Times New Roman" w:cs="Times New Roman"/>
          <w:b/>
          <w:noProof/>
        </w:rPr>
        <w:lastRenderedPageBreak/>
        <w:t>Tables</w:t>
      </w:r>
    </w:p>
    <w:p w14:paraId="3D380726" w14:textId="77777777" w:rsidR="002939D3" w:rsidRPr="005E03D9" w:rsidRDefault="002939D3" w:rsidP="002939D3">
      <w:pPr>
        <w:widowControl w:val="0"/>
        <w:autoSpaceDE w:val="0"/>
        <w:autoSpaceDN w:val="0"/>
        <w:adjustRightInd w:val="0"/>
        <w:spacing w:after="0" w:line="240" w:lineRule="auto"/>
        <w:ind w:left="640" w:hanging="640"/>
        <w:rPr>
          <w:rFonts w:ascii="Times New Roman" w:hAnsi="Times New Roman" w:cs="Times New Roman"/>
          <w:b/>
          <w:noProof/>
        </w:rPr>
      </w:pPr>
    </w:p>
    <w:tbl>
      <w:tblPr>
        <w:tblpPr w:leftFromText="180" w:rightFromText="180" w:vertAnchor="text" w:horzAnchor="margin" w:tblpY="-223"/>
        <w:tblW w:w="7149" w:type="dxa"/>
        <w:tblLook w:val="04A0" w:firstRow="1" w:lastRow="0" w:firstColumn="1" w:lastColumn="0" w:noHBand="0" w:noVBand="1"/>
      </w:tblPr>
      <w:tblGrid>
        <w:gridCol w:w="2961"/>
        <w:gridCol w:w="1449"/>
        <w:gridCol w:w="1389"/>
        <w:gridCol w:w="1350"/>
      </w:tblGrid>
      <w:tr w:rsidR="002939D3" w:rsidRPr="006E2AB2" w14:paraId="0A4710C2" w14:textId="77777777" w:rsidTr="000915D9">
        <w:trPr>
          <w:trHeight w:val="259"/>
        </w:trPr>
        <w:tc>
          <w:tcPr>
            <w:tcW w:w="2961" w:type="dxa"/>
            <w:tcBorders>
              <w:top w:val="single" w:sz="18" w:space="0" w:color="auto"/>
              <w:left w:val="nil"/>
              <w:bottom w:val="nil"/>
              <w:right w:val="nil"/>
            </w:tcBorders>
            <w:shd w:val="clear" w:color="000000" w:fill="F2F2F2"/>
            <w:noWrap/>
            <w:vAlign w:val="center"/>
            <w:hideMark/>
          </w:tcPr>
          <w:p w14:paraId="2976FF91" w14:textId="77777777" w:rsidR="002939D3" w:rsidRPr="006E2AB2" w:rsidRDefault="002939D3" w:rsidP="000915D9">
            <w:pPr>
              <w:spacing w:after="0" w:line="240" w:lineRule="auto"/>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T2 Parameters</w:t>
            </w:r>
          </w:p>
        </w:tc>
        <w:tc>
          <w:tcPr>
            <w:tcW w:w="1449" w:type="dxa"/>
            <w:tcBorders>
              <w:top w:val="single" w:sz="18" w:space="0" w:color="auto"/>
              <w:left w:val="nil"/>
              <w:bottom w:val="nil"/>
              <w:right w:val="nil"/>
            </w:tcBorders>
            <w:shd w:val="clear" w:color="000000" w:fill="F2F2F2"/>
            <w:noWrap/>
            <w:vAlign w:val="center"/>
            <w:hideMark/>
          </w:tcPr>
          <w:p w14:paraId="55373172"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Mean ± SD</w:t>
            </w:r>
          </w:p>
        </w:tc>
        <w:tc>
          <w:tcPr>
            <w:tcW w:w="1389" w:type="dxa"/>
            <w:tcBorders>
              <w:top w:val="single" w:sz="18" w:space="0" w:color="auto"/>
              <w:left w:val="nil"/>
              <w:bottom w:val="nil"/>
              <w:right w:val="nil"/>
            </w:tcBorders>
            <w:shd w:val="clear" w:color="000000" w:fill="F2F2F2"/>
            <w:noWrap/>
            <w:vAlign w:val="center"/>
            <w:hideMark/>
          </w:tcPr>
          <w:p w14:paraId="4170BF1A"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Median</w:t>
            </w:r>
          </w:p>
        </w:tc>
        <w:tc>
          <w:tcPr>
            <w:tcW w:w="1350" w:type="dxa"/>
            <w:tcBorders>
              <w:top w:val="single" w:sz="18" w:space="0" w:color="auto"/>
              <w:left w:val="nil"/>
              <w:bottom w:val="nil"/>
              <w:right w:val="nil"/>
            </w:tcBorders>
            <w:shd w:val="clear" w:color="000000" w:fill="F2F2F2"/>
            <w:noWrap/>
            <w:vAlign w:val="center"/>
            <w:hideMark/>
          </w:tcPr>
          <w:p w14:paraId="1D601660"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Range</w:t>
            </w:r>
          </w:p>
        </w:tc>
      </w:tr>
      <w:tr w:rsidR="002939D3" w:rsidRPr="006E2AB2" w14:paraId="301B58E4" w14:textId="77777777" w:rsidTr="000915D9">
        <w:trPr>
          <w:trHeight w:val="259"/>
        </w:trPr>
        <w:tc>
          <w:tcPr>
            <w:tcW w:w="2961" w:type="dxa"/>
            <w:tcBorders>
              <w:top w:val="single" w:sz="4" w:space="0" w:color="000000"/>
              <w:left w:val="nil"/>
              <w:bottom w:val="nil"/>
              <w:right w:val="nil"/>
            </w:tcBorders>
            <w:shd w:val="clear" w:color="000000" w:fill="F2F2F2"/>
            <w:noWrap/>
            <w:vAlign w:val="center"/>
            <w:hideMark/>
          </w:tcPr>
          <w:p w14:paraId="635A9893"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 Slice Thickness (ST)</w:t>
            </w:r>
          </w:p>
        </w:tc>
        <w:tc>
          <w:tcPr>
            <w:tcW w:w="1449" w:type="dxa"/>
            <w:tcBorders>
              <w:top w:val="single" w:sz="4" w:space="0" w:color="000000"/>
              <w:left w:val="single" w:sz="4" w:space="0" w:color="auto"/>
              <w:bottom w:val="nil"/>
              <w:right w:val="nil"/>
            </w:tcBorders>
            <w:shd w:val="clear" w:color="auto" w:fill="auto"/>
            <w:noWrap/>
            <w:vAlign w:val="center"/>
            <w:hideMark/>
          </w:tcPr>
          <w:p w14:paraId="259C1ECA"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3.0 ± 0.5</w:t>
            </w:r>
          </w:p>
        </w:tc>
        <w:tc>
          <w:tcPr>
            <w:tcW w:w="1389" w:type="dxa"/>
            <w:tcBorders>
              <w:top w:val="single" w:sz="4" w:space="0" w:color="000000"/>
              <w:left w:val="single" w:sz="4" w:space="0" w:color="auto"/>
              <w:bottom w:val="nil"/>
              <w:right w:val="nil"/>
            </w:tcBorders>
            <w:shd w:val="clear" w:color="auto" w:fill="auto"/>
            <w:noWrap/>
            <w:vAlign w:val="center"/>
            <w:hideMark/>
          </w:tcPr>
          <w:p w14:paraId="7155E79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3</w:t>
            </w:r>
          </w:p>
        </w:tc>
        <w:tc>
          <w:tcPr>
            <w:tcW w:w="1350" w:type="dxa"/>
            <w:tcBorders>
              <w:top w:val="single" w:sz="4" w:space="0" w:color="000000"/>
              <w:left w:val="single" w:sz="4" w:space="0" w:color="auto"/>
              <w:bottom w:val="nil"/>
              <w:right w:val="nil"/>
            </w:tcBorders>
            <w:shd w:val="clear" w:color="auto" w:fill="auto"/>
            <w:noWrap/>
            <w:vAlign w:val="center"/>
            <w:hideMark/>
          </w:tcPr>
          <w:p w14:paraId="07A3C077"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1.1–5</w:t>
            </w:r>
          </w:p>
        </w:tc>
      </w:tr>
      <w:tr w:rsidR="002939D3" w:rsidRPr="006E2AB2" w14:paraId="6651A45C" w14:textId="77777777" w:rsidTr="000915D9">
        <w:trPr>
          <w:trHeight w:val="259"/>
        </w:trPr>
        <w:tc>
          <w:tcPr>
            <w:tcW w:w="2961" w:type="dxa"/>
            <w:tcBorders>
              <w:top w:val="nil"/>
              <w:left w:val="nil"/>
              <w:bottom w:val="nil"/>
              <w:right w:val="nil"/>
            </w:tcBorders>
            <w:shd w:val="clear" w:color="000000" w:fill="F2F2F2"/>
            <w:noWrap/>
            <w:vAlign w:val="center"/>
            <w:hideMark/>
          </w:tcPr>
          <w:p w14:paraId="242DFD7E"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Field of View </w:t>
            </w:r>
            <w:r>
              <w:rPr>
                <w:rFonts w:ascii="Times New Roman" w:eastAsia="Times New Roman" w:hAnsi="Times New Roman" w:cs="Times New Roman"/>
                <w:bCs/>
                <w:color w:val="000000"/>
                <w:sz w:val="20"/>
                <w:szCs w:val="20"/>
              </w:rPr>
              <w:t>(</w:t>
            </w:r>
            <w:r w:rsidRPr="006E2AB2">
              <w:rPr>
                <w:rFonts w:ascii="Times New Roman" w:eastAsia="Times New Roman" w:hAnsi="Times New Roman" w:cs="Times New Roman"/>
                <w:bCs/>
                <w:color w:val="000000"/>
                <w:sz w:val="20"/>
                <w:szCs w:val="20"/>
              </w:rPr>
              <w:t>FOV</w:t>
            </w:r>
            <w:r>
              <w:rPr>
                <w:rFonts w:ascii="Times New Roman" w:eastAsia="Times New Roman" w:hAnsi="Times New Roman" w:cs="Times New Roman"/>
                <w:bCs/>
                <w:color w:val="000000"/>
                <w:sz w:val="20"/>
                <w:szCs w:val="20"/>
              </w:rPr>
              <w:t>)</w:t>
            </w:r>
          </w:p>
        </w:tc>
        <w:tc>
          <w:tcPr>
            <w:tcW w:w="1449" w:type="dxa"/>
            <w:tcBorders>
              <w:top w:val="nil"/>
              <w:left w:val="single" w:sz="4" w:space="0" w:color="auto"/>
              <w:bottom w:val="nil"/>
              <w:right w:val="single" w:sz="4" w:space="0" w:color="auto"/>
            </w:tcBorders>
            <w:shd w:val="clear" w:color="auto" w:fill="auto"/>
            <w:noWrap/>
            <w:vAlign w:val="center"/>
            <w:hideMark/>
          </w:tcPr>
          <w:p w14:paraId="13629C60"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187 ± 25</w:t>
            </w:r>
          </w:p>
        </w:tc>
        <w:tc>
          <w:tcPr>
            <w:tcW w:w="1389" w:type="dxa"/>
            <w:tcBorders>
              <w:top w:val="nil"/>
              <w:left w:val="nil"/>
              <w:bottom w:val="nil"/>
              <w:right w:val="nil"/>
            </w:tcBorders>
            <w:shd w:val="clear" w:color="auto" w:fill="auto"/>
            <w:noWrap/>
            <w:vAlign w:val="center"/>
            <w:hideMark/>
          </w:tcPr>
          <w:p w14:paraId="4915BAE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180</w:t>
            </w:r>
          </w:p>
        </w:tc>
        <w:tc>
          <w:tcPr>
            <w:tcW w:w="1350" w:type="dxa"/>
            <w:tcBorders>
              <w:top w:val="nil"/>
              <w:left w:val="single" w:sz="4" w:space="0" w:color="auto"/>
              <w:bottom w:val="nil"/>
              <w:right w:val="nil"/>
            </w:tcBorders>
            <w:shd w:val="clear" w:color="auto" w:fill="auto"/>
            <w:noWrap/>
            <w:vAlign w:val="center"/>
            <w:hideMark/>
          </w:tcPr>
          <w:p w14:paraId="61B1352B"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120–250</w:t>
            </w:r>
          </w:p>
        </w:tc>
      </w:tr>
      <w:tr w:rsidR="002939D3" w:rsidRPr="006E2AB2" w14:paraId="1FA30567" w14:textId="77777777" w:rsidTr="000915D9">
        <w:trPr>
          <w:trHeight w:val="259"/>
        </w:trPr>
        <w:tc>
          <w:tcPr>
            <w:tcW w:w="2961" w:type="dxa"/>
            <w:tcBorders>
              <w:top w:val="nil"/>
              <w:left w:val="nil"/>
              <w:bottom w:val="nil"/>
              <w:right w:val="nil"/>
            </w:tcBorders>
            <w:shd w:val="clear" w:color="000000" w:fill="F2F2F2"/>
            <w:noWrap/>
            <w:vAlign w:val="center"/>
            <w:hideMark/>
          </w:tcPr>
          <w:p w14:paraId="651B5348"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in-plane </w:t>
            </w:r>
            <w:r>
              <w:rPr>
                <w:rFonts w:ascii="Times New Roman" w:eastAsia="Times New Roman" w:hAnsi="Times New Roman" w:cs="Times New Roman"/>
                <w:bCs/>
                <w:color w:val="000000"/>
                <w:sz w:val="20"/>
                <w:szCs w:val="20"/>
              </w:rPr>
              <w:t>R</w:t>
            </w:r>
            <w:r w:rsidRPr="006E2AB2">
              <w:rPr>
                <w:rFonts w:ascii="Times New Roman" w:eastAsia="Times New Roman" w:hAnsi="Times New Roman" w:cs="Times New Roman"/>
                <w:bCs/>
                <w:color w:val="000000"/>
                <w:sz w:val="20"/>
                <w:szCs w:val="20"/>
              </w:rPr>
              <w:t>esolution (</w:t>
            </w:r>
            <w:r>
              <w:rPr>
                <w:rFonts w:ascii="Times New Roman" w:eastAsia="Times New Roman" w:hAnsi="Times New Roman" w:cs="Times New Roman"/>
                <w:bCs/>
                <w:color w:val="000000"/>
                <w:sz w:val="20"/>
                <w:szCs w:val="20"/>
              </w:rPr>
              <w:t>P</w:t>
            </w:r>
            <w:r w:rsidRPr="006E2AB2">
              <w:rPr>
                <w:rFonts w:ascii="Times New Roman" w:eastAsia="Times New Roman" w:hAnsi="Times New Roman" w:cs="Times New Roman"/>
                <w:bCs/>
                <w:color w:val="000000"/>
                <w:sz w:val="20"/>
                <w:szCs w:val="20"/>
              </w:rPr>
              <w:t>hase)</w:t>
            </w:r>
          </w:p>
        </w:tc>
        <w:tc>
          <w:tcPr>
            <w:tcW w:w="1449" w:type="dxa"/>
            <w:tcBorders>
              <w:top w:val="nil"/>
              <w:left w:val="single" w:sz="4" w:space="0" w:color="auto"/>
              <w:bottom w:val="nil"/>
              <w:right w:val="single" w:sz="4" w:space="0" w:color="auto"/>
            </w:tcBorders>
            <w:shd w:val="clear" w:color="auto" w:fill="auto"/>
            <w:noWrap/>
            <w:vAlign w:val="center"/>
            <w:hideMark/>
          </w:tcPr>
          <w:p w14:paraId="6456E6A4"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0.5 ± 0.2</w:t>
            </w:r>
          </w:p>
        </w:tc>
        <w:tc>
          <w:tcPr>
            <w:tcW w:w="1389" w:type="dxa"/>
            <w:tcBorders>
              <w:top w:val="nil"/>
              <w:left w:val="nil"/>
              <w:bottom w:val="nil"/>
              <w:right w:val="nil"/>
            </w:tcBorders>
            <w:shd w:val="clear" w:color="auto" w:fill="auto"/>
            <w:noWrap/>
            <w:vAlign w:val="center"/>
            <w:hideMark/>
          </w:tcPr>
          <w:p w14:paraId="74DB1A96"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0.4</w:t>
            </w:r>
          </w:p>
        </w:tc>
        <w:tc>
          <w:tcPr>
            <w:tcW w:w="1350" w:type="dxa"/>
            <w:tcBorders>
              <w:top w:val="nil"/>
              <w:left w:val="single" w:sz="4" w:space="0" w:color="auto"/>
              <w:bottom w:val="nil"/>
              <w:right w:val="nil"/>
            </w:tcBorders>
            <w:shd w:val="clear" w:color="auto" w:fill="auto"/>
            <w:noWrap/>
            <w:vAlign w:val="center"/>
            <w:hideMark/>
          </w:tcPr>
          <w:p w14:paraId="1497D3B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0.2–1.1</w:t>
            </w:r>
          </w:p>
        </w:tc>
      </w:tr>
      <w:tr w:rsidR="002939D3" w:rsidRPr="006E2AB2" w14:paraId="5575D231" w14:textId="77777777" w:rsidTr="000915D9">
        <w:trPr>
          <w:trHeight w:val="259"/>
        </w:trPr>
        <w:tc>
          <w:tcPr>
            <w:tcW w:w="2961" w:type="dxa"/>
            <w:tcBorders>
              <w:top w:val="nil"/>
              <w:left w:val="nil"/>
              <w:bottom w:val="nil"/>
              <w:right w:val="nil"/>
            </w:tcBorders>
            <w:shd w:val="clear" w:color="000000" w:fill="F2F2F2"/>
            <w:noWrap/>
            <w:vAlign w:val="center"/>
            <w:hideMark/>
          </w:tcPr>
          <w:p w14:paraId="4C13110A"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in-plane </w:t>
            </w:r>
            <w:r>
              <w:rPr>
                <w:rFonts w:ascii="Times New Roman" w:eastAsia="Times New Roman" w:hAnsi="Times New Roman" w:cs="Times New Roman"/>
                <w:bCs/>
                <w:color w:val="000000"/>
                <w:sz w:val="20"/>
                <w:szCs w:val="20"/>
              </w:rPr>
              <w:t>R</w:t>
            </w:r>
            <w:r w:rsidRPr="006E2AB2">
              <w:rPr>
                <w:rFonts w:ascii="Times New Roman" w:eastAsia="Times New Roman" w:hAnsi="Times New Roman" w:cs="Times New Roman"/>
                <w:bCs/>
                <w:color w:val="000000"/>
                <w:sz w:val="20"/>
                <w:szCs w:val="20"/>
              </w:rPr>
              <w:t>esolution (</w:t>
            </w:r>
            <w:r>
              <w:rPr>
                <w:rFonts w:ascii="Times New Roman" w:eastAsia="Times New Roman" w:hAnsi="Times New Roman" w:cs="Times New Roman"/>
                <w:bCs/>
                <w:color w:val="000000"/>
                <w:sz w:val="20"/>
                <w:szCs w:val="20"/>
              </w:rPr>
              <w:t>Fr</w:t>
            </w:r>
            <w:r w:rsidRPr="006E2AB2">
              <w:rPr>
                <w:rFonts w:ascii="Times New Roman" w:eastAsia="Times New Roman" w:hAnsi="Times New Roman" w:cs="Times New Roman"/>
                <w:bCs/>
                <w:color w:val="000000"/>
                <w:sz w:val="20"/>
                <w:szCs w:val="20"/>
              </w:rPr>
              <w:t>equency)</w:t>
            </w:r>
          </w:p>
        </w:tc>
        <w:tc>
          <w:tcPr>
            <w:tcW w:w="1449" w:type="dxa"/>
            <w:tcBorders>
              <w:top w:val="nil"/>
              <w:left w:val="single" w:sz="4" w:space="0" w:color="auto"/>
              <w:bottom w:val="nil"/>
              <w:right w:val="single" w:sz="4" w:space="0" w:color="auto"/>
            </w:tcBorders>
            <w:shd w:val="clear" w:color="auto" w:fill="auto"/>
            <w:noWrap/>
            <w:vAlign w:val="center"/>
            <w:hideMark/>
          </w:tcPr>
          <w:p w14:paraId="1281978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0.5 ± 0.2</w:t>
            </w:r>
          </w:p>
        </w:tc>
        <w:tc>
          <w:tcPr>
            <w:tcW w:w="1389" w:type="dxa"/>
            <w:tcBorders>
              <w:top w:val="nil"/>
              <w:left w:val="nil"/>
              <w:bottom w:val="nil"/>
              <w:right w:val="nil"/>
            </w:tcBorders>
            <w:shd w:val="clear" w:color="auto" w:fill="auto"/>
            <w:noWrap/>
            <w:vAlign w:val="center"/>
            <w:hideMark/>
          </w:tcPr>
          <w:p w14:paraId="10A00425"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0.4</w:t>
            </w:r>
          </w:p>
        </w:tc>
        <w:tc>
          <w:tcPr>
            <w:tcW w:w="1350" w:type="dxa"/>
            <w:tcBorders>
              <w:top w:val="nil"/>
              <w:left w:val="single" w:sz="4" w:space="0" w:color="auto"/>
              <w:bottom w:val="nil"/>
              <w:right w:val="nil"/>
            </w:tcBorders>
            <w:shd w:val="clear" w:color="auto" w:fill="auto"/>
            <w:noWrap/>
            <w:vAlign w:val="center"/>
            <w:hideMark/>
          </w:tcPr>
          <w:p w14:paraId="65CBC5F2"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0.2–1.1</w:t>
            </w:r>
          </w:p>
        </w:tc>
      </w:tr>
      <w:tr w:rsidR="002939D3" w:rsidRPr="006E2AB2" w14:paraId="74C4186D" w14:textId="77777777" w:rsidTr="000915D9">
        <w:trPr>
          <w:trHeight w:val="259"/>
        </w:trPr>
        <w:tc>
          <w:tcPr>
            <w:tcW w:w="2961" w:type="dxa"/>
            <w:tcBorders>
              <w:top w:val="single" w:sz="4" w:space="0" w:color="auto"/>
              <w:left w:val="nil"/>
              <w:bottom w:val="nil"/>
              <w:right w:val="nil"/>
            </w:tcBorders>
            <w:shd w:val="clear" w:color="000000" w:fill="F2F2F2"/>
            <w:noWrap/>
            <w:vAlign w:val="center"/>
            <w:hideMark/>
          </w:tcPr>
          <w:p w14:paraId="240D969E"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Slice Gap</w:t>
            </w:r>
            <w:r>
              <w:rPr>
                <w:rFonts w:ascii="Times New Roman" w:eastAsia="Times New Roman" w:hAnsi="Times New Roman" w:cs="Times New Roman"/>
                <w:bCs/>
                <w:color w:val="000000"/>
                <w:sz w:val="20"/>
                <w:szCs w:val="20"/>
              </w:rPr>
              <w:t xml:space="preserve"> (SG)</w:t>
            </w:r>
          </w:p>
        </w:tc>
        <w:tc>
          <w:tcPr>
            <w:tcW w:w="1449" w:type="dxa"/>
            <w:tcBorders>
              <w:top w:val="single" w:sz="4" w:space="0" w:color="auto"/>
              <w:left w:val="single" w:sz="4" w:space="0" w:color="auto"/>
              <w:bottom w:val="nil"/>
              <w:right w:val="nil"/>
            </w:tcBorders>
            <w:shd w:val="clear" w:color="000000" w:fill="F2F2F2"/>
            <w:noWrap/>
            <w:vAlign w:val="center"/>
            <w:hideMark/>
          </w:tcPr>
          <w:p w14:paraId="3857E5B2"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Mean ± SD</w:t>
            </w:r>
          </w:p>
        </w:tc>
        <w:tc>
          <w:tcPr>
            <w:tcW w:w="1389" w:type="dxa"/>
            <w:tcBorders>
              <w:top w:val="single" w:sz="4" w:space="0" w:color="auto"/>
              <w:left w:val="single" w:sz="4" w:space="0" w:color="auto"/>
              <w:bottom w:val="nil"/>
              <w:right w:val="nil"/>
            </w:tcBorders>
            <w:shd w:val="clear" w:color="000000" w:fill="F2F2F2"/>
            <w:noWrap/>
            <w:vAlign w:val="center"/>
            <w:hideMark/>
          </w:tcPr>
          <w:p w14:paraId="1F139D48"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No. w/ gap</w:t>
            </w:r>
          </w:p>
        </w:tc>
        <w:tc>
          <w:tcPr>
            <w:tcW w:w="1350" w:type="dxa"/>
            <w:tcBorders>
              <w:top w:val="single" w:sz="4" w:space="0" w:color="auto"/>
              <w:left w:val="single" w:sz="4" w:space="0" w:color="auto"/>
              <w:bottom w:val="nil"/>
              <w:right w:val="nil"/>
            </w:tcBorders>
            <w:shd w:val="clear" w:color="000000" w:fill="F2F2F2"/>
            <w:noWrap/>
            <w:vAlign w:val="center"/>
            <w:hideMark/>
          </w:tcPr>
          <w:p w14:paraId="4E858ECC"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Mean Gap</w:t>
            </w:r>
            <w:r>
              <w:rPr>
                <w:rFonts w:ascii="Times New Roman" w:eastAsia="Times New Roman" w:hAnsi="Times New Roman" w:cs="Times New Roman"/>
                <w:b/>
                <w:bCs/>
                <w:color w:val="000000"/>
                <w:sz w:val="20"/>
                <w:szCs w:val="20"/>
              </w:rPr>
              <w:t>*</w:t>
            </w:r>
          </w:p>
        </w:tc>
      </w:tr>
      <w:tr w:rsidR="002939D3" w:rsidRPr="006E2AB2" w14:paraId="46409EE7" w14:textId="77777777" w:rsidTr="000915D9">
        <w:trPr>
          <w:trHeight w:val="259"/>
        </w:trPr>
        <w:tc>
          <w:tcPr>
            <w:tcW w:w="2961" w:type="dxa"/>
            <w:tcBorders>
              <w:top w:val="nil"/>
              <w:left w:val="nil"/>
              <w:bottom w:val="nil"/>
              <w:right w:val="nil"/>
            </w:tcBorders>
            <w:shd w:val="clear" w:color="000000" w:fill="F2F2F2"/>
            <w:noWrap/>
            <w:vAlign w:val="center"/>
            <w:hideMark/>
          </w:tcPr>
          <w:p w14:paraId="21E9F227"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w:t>
            </w:r>
          </w:p>
        </w:tc>
        <w:tc>
          <w:tcPr>
            <w:tcW w:w="1449" w:type="dxa"/>
            <w:tcBorders>
              <w:top w:val="nil"/>
              <w:left w:val="single" w:sz="4" w:space="0" w:color="auto"/>
              <w:bottom w:val="nil"/>
              <w:right w:val="single" w:sz="4" w:space="0" w:color="auto"/>
            </w:tcBorders>
            <w:shd w:val="clear" w:color="auto" w:fill="auto"/>
            <w:noWrap/>
            <w:vAlign w:val="center"/>
            <w:hideMark/>
          </w:tcPr>
          <w:p w14:paraId="26FB92DE"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0.2 ± 0.3</w:t>
            </w:r>
          </w:p>
        </w:tc>
        <w:tc>
          <w:tcPr>
            <w:tcW w:w="1389" w:type="dxa"/>
            <w:tcBorders>
              <w:top w:val="nil"/>
              <w:left w:val="nil"/>
              <w:bottom w:val="nil"/>
              <w:right w:val="nil"/>
            </w:tcBorders>
            <w:shd w:val="clear" w:color="auto" w:fill="auto"/>
            <w:noWrap/>
            <w:vAlign w:val="center"/>
            <w:hideMark/>
          </w:tcPr>
          <w:p w14:paraId="1C3E1A2E"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24</w:t>
            </w:r>
          </w:p>
        </w:tc>
        <w:tc>
          <w:tcPr>
            <w:tcW w:w="1350" w:type="dxa"/>
            <w:tcBorders>
              <w:top w:val="nil"/>
              <w:left w:val="single" w:sz="4" w:space="0" w:color="auto"/>
              <w:bottom w:val="nil"/>
              <w:right w:val="nil"/>
            </w:tcBorders>
            <w:shd w:val="clear" w:color="auto" w:fill="auto"/>
            <w:noWrap/>
            <w:vAlign w:val="center"/>
            <w:hideMark/>
          </w:tcPr>
          <w:p w14:paraId="157F0DC9"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0.60</w:t>
            </w:r>
          </w:p>
        </w:tc>
      </w:tr>
      <w:tr w:rsidR="002939D3" w:rsidRPr="006E2AB2" w14:paraId="1C560E59" w14:textId="77777777" w:rsidTr="000915D9">
        <w:trPr>
          <w:trHeight w:val="259"/>
        </w:trPr>
        <w:tc>
          <w:tcPr>
            <w:tcW w:w="2961" w:type="dxa"/>
            <w:tcBorders>
              <w:top w:val="single" w:sz="4" w:space="0" w:color="auto"/>
              <w:left w:val="nil"/>
              <w:bottom w:val="nil"/>
              <w:right w:val="nil"/>
            </w:tcBorders>
            <w:shd w:val="clear" w:color="000000" w:fill="F2F2F2"/>
            <w:noWrap/>
            <w:vAlign w:val="center"/>
            <w:hideMark/>
          </w:tcPr>
          <w:p w14:paraId="381CD750"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Phase </w:t>
            </w:r>
            <w:r>
              <w:rPr>
                <w:rFonts w:ascii="Times New Roman" w:eastAsia="Times New Roman" w:hAnsi="Times New Roman" w:cs="Times New Roman"/>
                <w:bCs/>
                <w:color w:val="000000"/>
                <w:sz w:val="20"/>
                <w:szCs w:val="20"/>
              </w:rPr>
              <w:t>E</w:t>
            </w:r>
            <w:r w:rsidRPr="006E2AB2">
              <w:rPr>
                <w:rFonts w:ascii="Times New Roman" w:eastAsia="Times New Roman" w:hAnsi="Times New Roman" w:cs="Times New Roman"/>
                <w:bCs/>
                <w:color w:val="000000"/>
                <w:sz w:val="20"/>
                <w:szCs w:val="20"/>
              </w:rPr>
              <w:t xml:space="preserve">ncoding </w:t>
            </w:r>
            <w:r>
              <w:rPr>
                <w:rFonts w:ascii="Times New Roman" w:eastAsia="Times New Roman" w:hAnsi="Times New Roman" w:cs="Times New Roman"/>
                <w:bCs/>
                <w:color w:val="000000"/>
                <w:sz w:val="20"/>
                <w:szCs w:val="20"/>
              </w:rPr>
              <w:t>D</w:t>
            </w:r>
            <w:r w:rsidRPr="006E2AB2">
              <w:rPr>
                <w:rFonts w:ascii="Times New Roman" w:eastAsia="Times New Roman" w:hAnsi="Times New Roman" w:cs="Times New Roman"/>
                <w:bCs/>
                <w:color w:val="000000"/>
                <w:sz w:val="20"/>
                <w:szCs w:val="20"/>
              </w:rPr>
              <w:t>irection</w:t>
            </w:r>
          </w:p>
        </w:tc>
        <w:tc>
          <w:tcPr>
            <w:tcW w:w="1449" w:type="dxa"/>
            <w:tcBorders>
              <w:top w:val="single" w:sz="4" w:space="0" w:color="auto"/>
              <w:left w:val="single" w:sz="4" w:space="0" w:color="auto"/>
              <w:bottom w:val="nil"/>
              <w:right w:val="nil"/>
            </w:tcBorders>
            <w:shd w:val="clear" w:color="000000" w:fill="F2F2F2"/>
            <w:noWrap/>
            <w:vAlign w:val="center"/>
            <w:hideMark/>
          </w:tcPr>
          <w:p w14:paraId="457CF845"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w:t>
            </w:r>
            <w:r w:rsidRPr="006E2AB2">
              <w:rPr>
                <w:rFonts w:ascii="Times New Roman" w:eastAsia="Times New Roman" w:hAnsi="Times New Roman" w:cs="Times New Roman"/>
                <w:b/>
                <w:bCs/>
                <w:color w:val="000000"/>
                <w:sz w:val="20"/>
                <w:szCs w:val="20"/>
              </w:rPr>
              <w:t xml:space="preserve"> </w:t>
            </w:r>
            <w:r>
              <w:rPr>
                <w:rFonts w:ascii="Times New Roman" w:eastAsia="Times New Roman" w:hAnsi="Times New Roman" w:cs="Times New Roman"/>
                <w:b/>
                <w:bCs/>
                <w:color w:val="000000"/>
                <w:sz w:val="20"/>
                <w:szCs w:val="20"/>
              </w:rPr>
              <w:t>Vertical</w:t>
            </w:r>
          </w:p>
        </w:tc>
        <w:tc>
          <w:tcPr>
            <w:tcW w:w="1389" w:type="dxa"/>
            <w:tcBorders>
              <w:top w:val="single" w:sz="4" w:space="0" w:color="auto"/>
              <w:left w:val="single" w:sz="4" w:space="0" w:color="auto"/>
              <w:bottom w:val="nil"/>
              <w:right w:val="nil"/>
            </w:tcBorders>
            <w:shd w:val="clear" w:color="000000" w:fill="F2F2F2"/>
            <w:noWrap/>
            <w:vAlign w:val="center"/>
            <w:hideMark/>
          </w:tcPr>
          <w:p w14:paraId="664D5198"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 Horizontal</w:t>
            </w:r>
          </w:p>
        </w:tc>
        <w:tc>
          <w:tcPr>
            <w:tcW w:w="1350" w:type="dxa"/>
            <w:tcBorders>
              <w:top w:val="single" w:sz="4" w:space="0" w:color="auto"/>
              <w:left w:val="single" w:sz="4" w:space="0" w:color="auto"/>
              <w:bottom w:val="nil"/>
              <w:right w:val="nil"/>
            </w:tcBorders>
            <w:shd w:val="clear" w:color="000000" w:fill="F2F2F2"/>
            <w:noWrap/>
            <w:vAlign w:val="center"/>
            <w:hideMark/>
          </w:tcPr>
          <w:p w14:paraId="3F402EF4"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w:t>
            </w:r>
          </w:p>
        </w:tc>
      </w:tr>
      <w:tr w:rsidR="002939D3" w:rsidRPr="006E2AB2" w14:paraId="36E11B85" w14:textId="77777777" w:rsidTr="000915D9">
        <w:trPr>
          <w:trHeight w:val="259"/>
        </w:trPr>
        <w:tc>
          <w:tcPr>
            <w:tcW w:w="2961" w:type="dxa"/>
            <w:tcBorders>
              <w:top w:val="nil"/>
              <w:left w:val="nil"/>
              <w:bottom w:val="single" w:sz="18" w:space="0" w:color="auto"/>
              <w:right w:val="nil"/>
            </w:tcBorders>
            <w:shd w:val="clear" w:color="000000" w:fill="F2F2F2"/>
            <w:noWrap/>
            <w:vAlign w:val="center"/>
            <w:hideMark/>
          </w:tcPr>
          <w:p w14:paraId="2C713FA7" w14:textId="77777777" w:rsidR="002939D3" w:rsidRPr="006E2AB2" w:rsidRDefault="002939D3" w:rsidP="000915D9">
            <w:pPr>
              <w:spacing w:after="0" w:line="240" w:lineRule="auto"/>
              <w:jc w:val="right"/>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 </w:t>
            </w:r>
          </w:p>
        </w:tc>
        <w:tc>
          <w:tcPr>
            <w:tcW w:w="1449" w:type="dxa"/>
            <w:tcBorders>
              <w:top w:val="nil"/>
              <w:left w:val="single" w:sz="4" w:space="0" w:color="auto"/>
              <w:bottom w:val="single" w:sz="18" w:space="0" w:color="auto"/>
              <w:right w:val="nil"/>
            </w:tcBorders>
            <w:shd w:val="clear" w:color="auto" w:fill="auto"/>
            <w:noWrap/>
            <w:vAlign w:val="center"/>
            <w:hideMark/>
          </w:tcPr>
          <w:p w14:paraId="0FA3C2E9"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15</w:t>
            </w:r>
          </w:p>
        </w:tc>
        <w:tc>
          <w:tcPr>
            <w:tcW w:w="1389" w:type="dxa"/>
            <w:tcBorders>
              <w:top w:val="nil"/>
              <w:left w:val="single" w:sz="4" w:space="0" w:color="auto"/>
              <w:bottom w:val="single" w:sz="18" w:space="0" w:color="auto"/>
              <w:right w:val="nil"/>
            </w:tcBorders>
            <w:shd w:val="clear" w:color="auto" w:fill="auto"/>
            <w:noWrap/>
            <w:vAlign w:val="center"/>
            <w:hideMark/>
          </w:tcPr>
          <w:p w14:paraId="187924F0"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47</w:t>
            </w:r>
          </w:p>
        </w:tc>
        <w:tc>
          <w:tcPr>
            <w:tcW w:w="1350" w:type="dxa"/>
            <w:tcBorders>
              <w:top w:val="nil"/>
              <w:left w:val="single" w:sz="4" w:space="0" w:color="auto"/>
              <w:bottom w:val="single" w:sz="18" w:space="0" w:color="auto"/>
              <w:right w:val="nil"/>
            </w:tcBorders>
            <w:shd w:val="clear" w:color="auto" w:fill="auto"/>
            <w:noWrap/>
            <w:vAlign w:val="center"/>
            <w:hideMark/>
          </w:tcPr>
          <w:p w14:paraId="7A8AB8D1"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w:t>
            </w:r>
          </w:p>
        </w:tc>
      </w:tr>
      <w:tr w:rsidR="002939D3" w:rsidRPr="006E2AB2" w14:paraId="64493ACC" w14:textId="77777777" w:rsidTr="000915D9">
        <w:trPr>
          <w:trHeight w:val="259"/>
        </w:trPr>
        <w:tc>
          <w:tcPr>
            <w:tcW w:w="2961" w:type="dxa"/>
            <w:tcBorders>
              <w:top w:val="single" w:sz="18" w:space="0" w:color="auto"/>
              <w:left w:val="nil"/>
              <w:bottom w:val="nil"/>
              <w:right w:val="nil"/>
            </w:tcBorders>
            <w:shd w:val="clear" w:color="000000" w:fill="F2F2F2"/>
            <w:noWrap/>
            <w:vAlign w:val="center"/>
            <w:hideMark/>
          </w:tcPr>
          <w:p w14:paraId="74E97EE0" w14:textId="77777777" w:rsidR="002939D3" w:rsidRPr="006E2AB2" w:rsidRDefault="002939D3" w:rsidP="000915D9">
            <w:pPr>
              <w:spacing w:after="0" w:line="240" w:lineRule="auto"/>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DWI Parameters</w:t>
            </w:r>
          </w:p>
        </w:tc>
        <w:tc>
          <w:tcPr>
            <w:tcW w:w="1449" w:type="dxa"/>
            <w:tcBorders>
              <w:top w:val="single" w:sz="18" w:space="0" w:color="auto"/>
              <w:left w:val="nil"/>
              <w:bottom w:val="nil"/>
              <w:right w:val="nil"/>
            </w:tcBorders>
            <w:shd w:val="clear" w:color="000000" w:fill="F2F2F2"/>
            <w:noWrap/>
            <w:vAlign w:val="center"/>
            <w:hideMark/>
          </w:tcPr>
          <w:p w14:paraId="3CB5551B"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Mean ± SD</w:t>
            </w:r>
          </w:p>
        </w:tc>
        <w:tc>
          <w:tcPr>
            <w:tcW w:w="1389" w:type="dxa"/>
            <w:tcBorders>
              <w:top w:val="single" w:sz="18" w:space="0" w:color="auto"/>
              <w:left w:val="nil"/>
              <w:bottom w:val="nil"/>
              <w:right w:val="nil"/>
            </w:tcBorders>
            <w:shd w:val="clear" w:color="000000" w:fill="F2F2F2"/>
            <w:noWrap/>
            <w:vAlign w:val="center"/>
            <w:hideMark/>
          </w:tcPr>
          <w:p w14:paraId="138EBEB5"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Median</w:t>
            </w:r>
          </w:p>
        </w:tc>
        <w:tc>
          <w:tcPr>
            <w:tcW w:w="1350" w:type="dxa"/>
            <w:tcBorders>
              <w:top w:val="single" w:sz="18" w:space="0" w:color="auto"/>
              <w:left w:val="nil"/>
              <w:bottom w:val="nil"/>
              <w:right w:val="nil"/>
            </w:tcBorders>
            <w:shd w:val="clear" w:color="000000" w:fill="F2F2F2"/>
            <w:noWrap/>
            <w:vAlign w:val="center"/>
            <w:hideMark/>
          </w:tcPr>
          <w:p w14:paraId="6636EDAF"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Range</w:t>
            </w:r>
          </w:p>
        </w:tc>
      </w:tr>
      <w:tr w:rsidR="002939D3" w:rsidRPr="006E2AB2" w14:paraId="5876302C" w14:textId="77777777" w:rsidTr="000915D9">
        <w:trPr>
          <w:trHeight w:val="259"/>
        </w:trPr>
        <w:tc>
          <w:tcPr>
            <w:tcW w:w="2961" w:type="dxa"/>
            <w:tcBorders>
              <w:top w:val="single" w:sz="4" w:space="0" w:color="000000"/>
              <w:left w:val="nil"/>
              <w:bottom w:val="nil"/>
              <w:right w:val="nil"/>
            </w:tcBorders>
            <w:shd w:val="clear" w:color="000000" w:fill="F2F2F2"/>
            <w:noWrap/>
            <w:vAlign w:val="center"/>
            <w:hideMark/>
          </w:tcPr>
          <w:p w14:paraId="68619759"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High B Value</w:t>
            </w:r>
          </w:p>
        </w:tc>
        <w:tc>
          <w:tcPr>
            <w:tcW w:w="1449" w:type="dxa"/>
            <w:tcBorders>
              <w:top w:val="single" w:sz="4" w:space="0" w:color="auto"/>
              <w:left w:val="single" w:sz="4" w:space="0" w:color="auto"/>
              <w:bottom w:val="nil"/>
              <w:right w:val="single" w:sz="4" w:space="0" w:color="auto"/>
            </w:tcBorders>
            <w:shd w:val="clear" w:color="auto" w:fill="auto"/>
            <w:noWrap/>
            <w:vAlign w:val="center"/>
            <w:hideMark/>
          </w:tcPr>
          <w:p w14:paraId="02F8191D"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1222 ± 427</w:t>
            </w:r>
          </w:p>
        </w:tc>
        <w:tc>
          <w:tcPr>
            <w:tcW w:w="1389" w:type="dxa"/>
            <w:tcBorders>
              <w:top w:val="single" w:sz="4" w:space="0" w:color="000000"/>
              <w:left w:val="nil"/>
              <w:bottom w:val="nil"/>
              <w:right w:val="nil"/>
            </w:tcBorders>
            <w:shd w:val="clear" w:color="000000" w:fill="FFFFFF"/>
            <w:noWrap/>
            <w:vAlign w:val="center"/>
            <w:hideMark/>
          </w:tcPr>
          <w:p w14:paraId="02E8109B"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1400</w:t>
            </w:r>
          </w:p>
        </w:tc>
        <w:tc>
          <w:tcPr>
            <w:tcW w:w="1350" w:type="dxa"/>
            <w:tcBorders>
              <w:top w:val="single" w:sz="4" w:space="0" w:color="auto"/>
              <w:left w:val="single" w:sz="4" w:space="0" w:color="auto"/>
              <w:bottom w:val="nil"/>
              <w:right w:val="nil"/>
            </w:tcBorders>
            <w:shd w:val="clear" w:color="auto" w:fill="auto"/>
            <w:noWrap/>
            <w:vAlign w:val="center"/>
            <w:hideMark/>
          </w:tcPr>
          <w:p w14:paraId="1BD1BE17"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500–2000</w:t>
            </w:r>
          </w:p>
        </w:tc>
      </w:tr>
      <w:tr w:rsidR="002939D3" w:rsidRPr="006E2AB2" w14:paraId="6C1F9134" w14:textId="77777777" w:rsidTr="000915D9">
        <w:trPr>
          <w:trHeight w:val="259"/>
        </w:trPr>
        <w:tc>
          <w:tcPr>
            <w:tcW w:w="2961" w:type="dxa"/>
            <w:tcBorders>
              <w:top w:val="nil"/>
              <w:left w:val="nil"/>
              <w:bottom w:val="nil"/>
              <w:right w:val="nil"/>
            </w:tcBorders>
            <w:shd w:val="clear" w:color="000000" w:fill="F2F2F2"/>
            <w:noWrap/>
            <w:vAlign w:val="center"/>
            <w:hideMark/>
          </w:tcPr>
          <w:p w14:paraId="4922E68B"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of B Values</w:t>
            </w:r>
          </w:p>
        </w:tc>
        <w:tc>
          <w:tcPr>
            <w:tcW w:w="1449" w:type="dxa"/>
            <w:tcBorders>
              <w:top w:val="nil"/>
              <w:left w:val="single" w:sz="4" w:space="0" w:color="auto"/>
              <w:bottom w:val="nil"/>
              <w:right w:val="single" w:sz="4" w:space="0" w:color="auto"/>
            </w:tcBorders>
            <w:shd w:val="clear" w:color="auto" w:fill="auto"/>
            <w:noWrap/>
            <w:vAlign w:val="center"/>
            <w:hideMark/>
          </w:tcPr>
          <w:p w14:paraId="5AF3452D"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2.7 ± 1.0</w:t>
            </w:r>
          </w:p>
        </w:tc>
        <w:tc>
          <w:tcPr>
            <w:tcW w:w="1389" w:type="dxa"/>
            <w:tcBorders>
              <w:top w:val="nil"/>
              <w:left w:val="nil"/>
              <w:bottom w:val="nil"/>
              <w:right w:val="nil"/>
            </w:tcBorders>
            <w:shd w:val="clear" w:color="000000" w:fill="FFFFFF"/>
            <w:noWrap/>
            <w:vAlign w:val="center"/>
            <w:hideMark/>
          </w:tcPr>
          <w:p w14:paraId="41B1B1A7"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w:t>
            </w:r>
          </w:p>
        </w:tc>
        <w:tc>
          <w:tcPr>
            <w:tcW w:w="1350" w:type="dxa"/>
            <w:tcBorders>
              <w:top w:val="nil"/>
              <w:left w:val="single" w:sz="4" w:space="0" w:color="auto"/>
              <w:bottom w:val="nil"/>
              <w:right w:val="nil"/>
            </w:tcBorders>
            <w:shd w:val="clear" w:color="auto" w:fill="auto"/>
            <w:noWrap/>
            <w:vAlign w:val="center"/>
            <w:hideMark/>
          </w:tcPr>
          <w:p w14:paraId="58F9397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2–7</w:t>
            </w:r>
          </w:p>
        </w:tc>
      </w:tr>
      <w:tr w:rsidR="002939D3" w:rsidRPr="006E2AB2" w14:paraId="7DF082DA" w14:textId="77777777" w:rsidTr="000915D9">
        <w:trPr>
          <w:trHeight w:val="259"/>
        </w:trPr>
        <w:tc>
          <w:tcPr>
            <w:tcW w:w="2961" w:type="dxa"/>
            <w:tcBorders>
              <w:top w:val="nil"/>
              <w:left w:val="nil"/>
              <w:bottom w:val="nil"/>
              <w:right w:val="nil"/>
            </w:tcBorders>
            <w:shd w:val="clear" w:color="000000" w:fill="F2F2F2"/>
            <w:noWrap/>
            <w:vAlign w:val="center"/>
            <w:hideMark/>
          </w:tcPr>
          <w:p w14:paraId="12127074"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TE</w:t>
            </w:r>
          </w:p>
        </w:tc>
        <w:tc>
          <w:tcPr>
            <w:tcW w:w="1449" w:type="dxa"/>
            <w:tcBorders>
              <w:top w:val="nil"/>
              <w:left w:val="single" w:sz="4" w:space="0" w:color="auto"/>
              <w:bottom w:val="nil"/>
              <w:right w:val="single" w:sz="4" w:space="0" w:color="auto"/>
            </w:tcBorders>
            <w:shd w:val="clear" w:color="auto" w:fill="auto"/>
            <w:noWrap/>
            <w:vAlign w:val="center"/>
            <w:hideMark/>
          </w:tcPr>
          <w:p w14:paraId="6870CFA8"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80.4 ± 15.6</w:t>
            </w:r>
          </w:p>
        </w:tc>
        <w:tc>
          <w:tcPr>
            <w:tcW w:w="1389" w:type="dxa"/>
            <w:tcBorders>
              <w:top w:val="nil"/>
              <w:left w:val="nil"/>
              <w:bottom w:val="nil"/>
              <w:right w:val="nil"/>
            </w:tcBorders>
            <w:shd w:val="clear" w:color="000000" w:fill="FFFFFF"/>
            <w:noWrap/>
            <w:vAlign w:val="center"/>
            <w:hideMark/>
          </w:tcPr>
          <w:p w14:paraId="4ADB3EBE"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83</w:t>
            </w:r>
          </w:p>
        </w:tc>
        <w:tc>
          <w:tcPr>
            <w:tcW w:w="1350" w:type="dxa"/>
            <w:tcBorders>
              <w:top w:val="nil"/>
              <w:left w:val="single" w:sz="4" w:space="0" w:color="auto"/>
              <w:bottom w:val="nil"/>
              <w:right w:val="nil"/>
            </w:tcBorders>
            <w:shd w:val="clear" w:color="auto" w:fill="auto"/>
            <w:noWrap/>
            <w:vAlign w:val="center"/>
            <w:hideMark/>
          </w:tcPr>
          <w:p w14:paraId="5802C947"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47–110</w:t>
            </w:r>
          </w:p>
        </w:tc>
      </w:tr>
      <w:tr w:rsidR="002939D3" w:rsidRPr="006E2AB2" w14:paraId="5D8EF5FA" w14:textId="77777777" w:rsidTr="000915D9">
        <w:trPr>
          <w:trHeight w:val="259"/>
        </w:trPr>
        <w:tc>
          <w:tcPr>
            <w:tcW w:w="2961" w:type="dxa"/>
            <w:tcBorders>
              <w:top w:val="nil"/>
              <w:left w:val="nil"/>
              <w:bottom w:val="nil"/>
              <w:right w:val="nil"/>
            </w:tcBorders>
            <w:shd w:val="clear" w:color="000000" w:fill="F2F2F2"/>
            <w:noWrap/>
            <w:vAlign w:val="center"/>
            <w:hideMark/>
          </w:tcPr>
          <w:p w14:paraId="0ED8F224"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TR</w:t>
            </w:r>
          </w:p>
        </w:tc>
        <w:tc>
          <w:tcPr>
            <w:tcW w:w="1449" w:type="dxa"/>
            <w:tcBorders>
              <w:top w:val="nil"/>
              <w:left w:val="single" w:sz="4" w:space="0" w:color="auto"/>
              <w:bottom w:val="nil"/>
              <w:right w:val="single" w:sz="4" w:space="0" w:color="auto"/>
            </w:tcBorders>
            <w:shd w:val="clear" w:color="auto" w:fill="auto"/>
            <w:noWrap/>
            <w:vAlign w:val="center"/>
            <w:hideMark/>
          </w:tcPr>
          <w:p w14:paraId="33CDF5D1"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6438 ± 2637</w:t>
            </w:r>
          </w:p>
        </w:tc>
        <w:tc>
          <w:tcPr>
            <w:tcW w:w="1389" w:type="dxa"/>
            <w:tcBorders>
              <w:top w:val="nil"/>
              <w:left w:val="nil"/>
              <w:bottom w:val="nil"/>
              <w:right w:val="nil"/>
            </w:tcBorders>
            <w:shd w:val="clear" w:color="000000" w:fill="FFFFFF"/>
            <w:noWrap/>
            <w:vAlign w:val="center"/>
            <w:hideMark/>
          </w:tcPr>
          <w:p w14:paraId="7F5C293D"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5622</w:t>
            </w:r>
          </w:p>
        </w:tc>
        <w:tc>
          <w:tcPr>
            <w:tcW w:w="1350" w:type="dxa"/>
            <w:tcBorders>
              <w:top w:val="nil"/>
              <w:left w:val="single" w:sz="4" w:space="0" w:color="auto"/>
              <w:bottom w:val="nil"/>
              <w:right w:val="nil"/>
            </w:tcBorders>
            <w:shd w:val="clear" w:color="auto" w:fill="auto"/>
            <w:noWrap/>
            <w:vAlign w:val="center"/>
            <w:hideMark/>
          </w:tcPr>
          <w:p w14:paraId="0DA712F5"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2800–13500</w:t>
            </w:r>
          </w:p>
        </w:tc>
      </w:tr>
      <w:tr w:rsidR="002939D3" w:rsidRPr="006E2AB2" w14:paraId="04D5D902" w14:textId="77777777" w:rsidTr="000915D9">
        <w:trPr>
          <w:trHeight w:val="259"/>
        </w:trPr>
        <w:tc>
          <w:tcPr>
            <w:tcW w:w="2961" w:type="dxa"/>
            <w:tcBorders>
              <w:top w:val="nil"/>
              <w:left w:val="nil"/>
              <w:bottom w:val="nil"/>
              <w:right w:val="nil"/>
            </w:tcBorders>
            <w:shd w:val="clear" w:color="000000" w:fill="F2F2F2"/>
            <w:noWrap/>
            <w:vAlign w:val="center"/>
            <w:hideMark/>
          </w:tcPr>
          <w:p w14:paraId="507F61C5"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Slice Thickness (ST)</w:t>
            </w:r>
          </w:p>
        </w:tc>
        <w:tc>
          <w:tcPr>
            <w:tcW w:w="1449" w:type="dxa"/>
            <w:tcBorders>
              <w:top w:val="nil"/>
              <w:left w:val="single" w:sz="4" w:space="0" w:color="auto"/>
              <w:bottom w:val="nil"/>
              <w:right w:val="single" w:sz="4" w:space="0" w:color="auto"/>
            </w:tcBorders>
            <w:shd w:val="clear" w:color="auto" w:fill="auto"/>
            <w:noWrap/>
            <w:vAlign w:val="center"/>
            <w:hideMark/>
          </w:tcPr>
          <w:p w14:paraId="41D69643"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3.4 ± 0.6</w:t>
            </w:r>
          </w:p>
        </w:tc>
        <w:tc>
          <w:tcPr>
            <w:tcW w:w="1389" w:type="dxa"/>
            <w:tcBorders>
              <w:top w:val="nil"/>
              <w:left w:val="nil"/>
              <w:bottom w:val="nil"/>
              <w:right w:val="nil"/>
            </w:tcBorders>
            <w:shd w:val="clear" w:color="000000" w:fill="FFFFFF"/>
            <w:noWrap/>
            <w:vAlign w:val="center"/>
            <w:hideMark/>
          </w:tcPr>
          <w:p w14:paraId="604F5E0E"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3.25</w:t>
            </w:r>
          </w:p>
        </w:tc>
        <w:tc>
          <w:tcPr>
            <w:tcW w:w="1350" w:type="dxa"/>
            <w:tcBorders>
              <w:top w:val="nil"/>
              <w:left w:val="single" w:sz="4" w:space="0" w:color="auto"/>
              <w:bottom w:val="nil"/>
              <w:right w:val="nil"/>
            </w:tcBorders>
            <w:shd w:val="clear" w:color="auto" w:fill="auto"/>
            <w:noWrap/>
            <w:vAlign w:val="center"/>
            <w:hideMark/>
          </w:tcPr>
          <w:p w14:paraId="5FD8377E"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2.7–6.0</w:t>
            </w:r>
          </w:p>
        </w:tc>
      </w:tr>
      <w:tr w:rsidR="002939D3" w:rsidRPr="006E2AB2" w14:paraId="14642648" w14:textId="77777777" w:rsidTr="000915D9">
        <w:trPr>
          <w:trHeight w:val="259"/>
        </w:trPr>
        <w:tc>
          <w:tcPr>
            <w:tcW w:w="2961" w:type="dxa"/>
            <w:tcBorders>
              <w:top w:val="nil"/>
              <w:left w:val="nil"/>
              <w:bottom w:val="nil"/>
              <w:right w:val="nil"/>
            </w:tcBorders>
            <w:shd w:val="clear" w:color="000000" w:fill="F2F2F2"/>
            <w:noWrap/>
            <w:vAlign w:val="center"/>
            <w:hideMark/>
          </w:tcPr>
          <w:p w14:paraId="1AF2DB59"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Field of View (FOV)</w:t>
            </w:r>
          </w:p>
        </w:tc>
        <w:tc>
          <w:tcPr>
            <w:tcW w:w="1449" w:type="dxa"/>
            <w:tcBorders>
              <w:top w:val="nil"/>
              <w:left w:val="single" w:sz="4" w:space="0" w:color="auto"/>
              <w:bottom w:val="nil"/>
              <w:right w:val="single" w:sz="4" w:space="0" w:color="auto"/>
            </w:tcBorders>
            <w:shd w:val="clear" w:color="auto" w:fill="auto"/>
            <w:noWrap/>
            <w:vAlign w:val="center"/>
            <w:hideMark/>
          </w:tcPr>
          <w:p w14:paraId="71D5B2F4"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232 ± 63</w:t>
            </w:r>
          </w:p>
        </w:tc>
        <w:tc>
          <w:tcPr>
            <w:tcW w:w="1389" w:type="dxa"/>
            <w:tcBorders>
              <w:top w:val="nil"/>
              <w:left w:val="nil"/>
              <w:bottom w:val="nil"/>
              <w:right w:val="nil"/>
            </w:tcBorders>
            <w:shd w:val="clear" w:color="000000" w:fill="FFFFFF"/>
            <w:noWrap/>
            <w:vAlign w:val="center"/>
            <w:hideMark/>
          </w:tcPr>
          <w:p w14:paraId="2E3F41BD"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250</w:t>
            </w:r>
          </w:p>
        </w:tc>
        <w:tc>
          <w:tcPr>
            <w:tcW w:w="1350" w:type="dxa"/>
            <w:tcBorders>
              <w:top w:val="nil"/>
              <w:left w:val="single" w:sz="4" w:space="0" w:color="auto"/>
              <w:bottom w:val="nil"/>
              <w:right w:val="nil"/>
            </w:tcBorders>
            <w:shd w:val="clear" w:color="auto" w:fill="auto"/>
            <w:noWrap/>
            <w:vAlign w:val="center"/>
            <w:hideMark/>
          </w:tcPr>
          <w:p w14:paraId="4BC9B651"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90–380</w:t>
            </w:r>
          </w:p>
        </w:tc>
      </w:tr>
      <w:tr w:rsidR="002939D3" w:rsidRPr="006E2AB2" w14:paraId="20FF8E35" w14:textId="77777777" w:rsidTr="000915D9">
        <w:trPr>
          <w:trHeight w:val="259"/>
        </w:trPr>
        <w:tc>
          <w:tcPr>
            <w:tcW w:w="2961" w:type="dxa"/>
            <w:tcBorders>
              <w:top w:val="nil"/>
              <w:left w:val="nil"/>
              <w:bottom w:val="nil"/>
              <w:right w:val="nil"/>
            </w:tcBorders>
            <w:shd w:val="clear" w:color="000000" w:fill="F2F2F2"/>
            <w:noWrap/>
            <w:vAlign w:val="center"/>
            <w:hideMark/>
          </w:tcPr>
          <w:p w14:paraId="611D5E5D"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in-plane</w:t>
            </w:r>
            <w:r>
              <w:rPr>
                <w:rFonts w:ascii="Times New Roman" w:eastAsia="Times New Roman" w:hAnsi="Times New Roman" w:cs="Times New Roman"/>
                <w:bCs/>
                <w:color w:val="000000"/>
                <w:sz w:val="20"/>
                <w:szCs w:val="20"/>
              </w:rPr>
              <w:t xml:space="preserve"> R</w:t>
            </w:r>
            <w:r w:rsidRPr="006E2AB2">
              <w:rPr>
                <w:rFonts w:ascii="Times New Roman" w:eastAsia="Times New Roman" w:hAnsi="Times New Roman" w:cs="Times New Roman"/>
                <w:bCs/>
                <w:color w:val="000000"/>
                <w:sz w:val="20"/>
                <w:szCs w:val="20"/>
              </w:rPr>
              <w:t xml:space="preserve">esolution </w:t>
            </w:r>
            <w:r>
              <w:rPr>
                <w:rFonts w:ascii="Times New Roman" w:eastAsia="Times New Roman" w:hAnsi="Times New Roman" w:cs="Times New Roman"/>
                <w:bCs/>
                <w:color w:val="000000"/>
                <w:sz w:val="20"/>
                <w:szCs w:val="20"/>
              </w:rPr>
              <w:t>(P</w:t>
            </w:r>
            <w:r w:rsidRPr="006E2AB2">
              <w:rPr>
                <w:rFonts w:ascii="Times New Roman" w:eastAsia="Times New Roman" w:hAnsi="Times New Roman" w:cs="Times New Roman"/>
                <w:bCs/>
                <w:color w:val="000000"/>
                <w:sz w:val="20"/>
                <w:szCs w:val="20"/>
              </w:rPr>
              <w:t>hase</w:t>
            </w:r>
            <w:r>
              <w:rPr>
                <w:rFonts w:ascii="Times New Roman" w:eastAsia="Times New Roman" w:hAnsi="Times New Roman" w:cs="Times New Roman"/>
                <w:bCs/>
                <w:color w:val="000000"/>
                <w:sz w:val="20"/>
                <w:szCs w:val="20"/>
              </w:rPr>
              <w:t>)</w:t>
            </w:r>
          </w:p>
        </w:tc>
        <w:tc>
          <w:tcPr>
            <w:tcW w:w="1449" w:type="dxa"/>
            <w:tcBorders>
              <w:top w:val="nil"/>
              <w:left w:val="single" w:sz="4" w:space="0" w:color="auto"/>
              <w:bottom w:val="nil"/>
              <w:right w:val="single" w:sz="4" w:space="0" w:color="auto"/>
            </w:tcBorders>
            <w:shd w:val="clear" w:color="auto" w:fill="auto"/>
            <w:noWrap/>
            <w:vAlign w:val="center"/>
            <w:hideMark/>
          </w:tcPr>
          <w:p w14:paraId="3EB9F731"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1.4 ± 0.5</w:t>
            </w:r>
          </w:p>
        </w:tc>
        <w:tc>
          <w:tcPr>
            <w:tcW w:w="1389" w:type="dxa"/>
            <w:tcBorders>
              <w:top w:val="nil"/>
              <w:left w:val="nil"/>
              <w:bottom w:val="nil"/>
              <w:right w:val="nil"/>
            </w:tcBorders>
            <w:shd w:val="clear" w:color="000000" w:fill="FFFFFF"/>
            <w:noWrap/>
            <w:vAlign w:val="center"/>
            <w:hideMark/>
          </w:tcPr>
          <w:p w14:paraId="7F4CF1BB"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1.3</w:t>
            </w:r>
          </w:p>
        </w:tc>
        <w:tc>
          <w:tcPr>
            <w:tcW w:w="1350" w:type="dxa"/>
            <w:tcBorders>
              <w:top w:val="nil"/>
              <w:left w:val="single" w:sz="4" w:space="0" w:color="auto"/>
              <w:bottom w:val="nil"/>
              <w:right w:val="nil"/>
            </w:tcBorders>
            <w:shd w:val="clear" w:color="auto" w:fill="auto"/>
            <w:noWrap/>
            <w:vAlign w:val="center"/>
            <w:hideMark/>
          </w:tcPr>
          <w:p w14:paraId="45E29875"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0.5–2.6</w:t>
            </w:r>
          </w:p>
        </w:tc>
      </w:tr>
      <w:tr w:rsidR="002939D3" w:rsidRPr="006E2AB2" w14:paraId="0E7021B5" w14:textId="77777777" w:rsidTr="000915D9">
        <w:trPr>
          <w:trHeight w:val="259"/>
        </w:trPr>
        <w:tc>
          <w:tcPr>
            <w:tcW w:w="2961" w:type="dxa"/>
            <w:tcBorders>
              <w:top w:val="nil"/>
              <w:left w:val="nil"/>
              <w:bottom w:val="nil"/>
              <w:right w:val="nil"/>
            </w:tcBorders>
            <w:shd w:val="clear" w:color="000000" w:fill="F2F2F2"/>
            <w:noWrap/>
            <w:vAlign w:val="center"/>
            <w:hideMark/>
          </w:tcPr>
          <w:p w14:paraId="06FF4898"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in-plane </w:t>
            </w:r>
            <w:r>
              <w:rPr>
                <w:rFonts w:ascii="Times New Roman" w:eastAsia="Times New Roman" w:hAnsi="Times New Roman" w:cs="Times New Roman"/>
                <w:bCs/>
                <w:color w:val="000000"/>
                <w:sz w:val="20"/>
                <w:szCs w:val="20"/>
              </w:rPr>
              <w:t>R</w:t>
            </w:r>
            <w:r w:rsidRPr="006E2AB2">
              <w:rPr>
                <w:rFonts w:ascii="Times New Roman" w:eastAsia="Times New Roman" w:hAnsi="Times New Roman" w:cs="Times New Roman"/>
                <w:bCs/>
                <w:color w:val="000000"/>
                <w:sz w:val="20"/>
                <w:szCs w:val="20"/>
              </w:rPr>
              <w:t xml:space="preserve">esolution </w:t>
            </w:r>
            <w:r>
              <w:rPr>
                <w:rFonts w:ascii="Times New Roman" w:eastAsia="Times New Roman" w:hAnsi="Times New Roman" w:cs="Times New Roman"/>
                <w:bCs/>
                <w:color w:val="000000"/>
                <w:sz w:val="20"/>
                <w:szCs w:val="20"/>
              </w:rPr>
              <w:t>(F</w:t>
            </w:r>
            <w:r w:rsidRPr="006E2AB2">
              <w:rPr>
                <w:rFonts w:ascii="Times New Roman" w:eastAsia="Times New Roman" w:hAnsi="Times New Roman" w:cs="Times New Roman"/>
                <w:bCs/>
                <w:color w:val="000000"/>
                <w:sz w:val="20"/>
                <w:szCs w:val="20"/>
              </w:rPr>
              <w:t>requency</w:t>
            </w:r>
            <w:r>
              <w:rPr>
                <w:rFonts w:ascii="Times New Roman" w:eastAsia="Times New Roman" w:hAnsi="Times New Roman" w:cs="Times New Roman"/>
                <w:bCs/>
                <w:color w:val="000000"/>
                <w:sz w:val="20"/>
                <w:szCs w:val="20"/>
              </w:rPr>
              <w:t>)</w:t>
            </w:r>
          </w:p>
        </w:tc>
        <w:tc>
          <w:tcPr>
            <w:tcW w:w="1449" w:type="dxa"/>
            <w:tcBorders>
              <w:top w:val="nil"/>
              <w:left w:val="single" w:sz="4" w:space="0" w:color="auto"/>
              <w:bottom w:val="nil"/>
              <w:right w:val="single" w:sz="4" w:space="0" w:color="auto"/>
            </w:tcBorders>
            <w:shd w:val="clear" w:color="auto" w:fill="auto"/>
            <w:noWrap/>
            <w:vAlign w:val="center"/>
            <w:hideMark/>
          </w:tcPr>
          <w:p w14:paraId="0A90B1A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1.4 ± 0.5</w:t>
            </w:r>
          </w:p>
        </w:tc>
        <w:tc>
          <w:tcPr>
            <w:tcW w:w="1389" w:type="dxa"/>
            <w:tcBorders>
              <w:top w:val="nil"/>
              <w:left w:val="nil"/>
              <w:bottom w:val="nil"/>
              <w:right w:val="nil"/>
            </w:tcBorders>
            <w:shd w:val="clear" w:color="000000" w:fill="FFFFFF"/>
            <w:noWrap/>
            <w:vAlign w:val="center"/>
            <w:hideMark/>
          </w:tcPr>
          <w:p w14:paraId="6BFD3E78"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1.3</w:t>
            </w:r>
          </w:p>
        </w:tc>
        <w:tc>
          <w:tcPr>
            <w:tcW w:w="1350" w:type="dxa"/>
            <w:tcBorders>
              <w:top w:val="nil"/>
              <w:left w:val="single" w:sz="4" w:space="0" w:color="auto"/>
              <w:bottom w:val="nil"/>
              <w:right w:val="nil"/>
            </w:tcBorders>
            <w:shd w:val="clear" w:color="auto" w:fill="auto"/>
            <w:noWrap/>
            <w:vAlign w:val="center"/>
            <w:hideMark/>
          </w:tcPr>
          <w:p w14:paraId="6D526EC3"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0.5–2.6</w:t>
            </w:r>
          </w:p>
        </w:tc>
      </w:tr>
      <w:tr w:rsidR="002939D3" w:rsidRPr="006E2AB2" w14:paraId="11C3E837" w14:textId="77777777" w:rsidTr="000915D9">
        <w:trPr>
          <w:trHeight w:val="259"/>
        </w:trPr>
        <w:tc>
          <w:tcPr>
            <w:tcW w:w="2961" w:type="dxa"/>
            <w:tcBorders>
              <w:top w:val="single" w:sz="4" w:space="0" w:color="auto"/>
              <w:left w:val="nil"/>
              <w:bottom w:val="nil"/>
              <w:right w:val="nil"/>
            </w:tcBorders>
            <w:shd w:val="clear" w:color="000000" w:fill="F2F2F2"/>
            <w:noWrap/>
            <w:vAlign w:val="center"/>
            <w:hideMark/>
          </w:tcPr>
          <w:p w14:paraId="7EC9E1C2"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Slice Gap</w:t>
            </w:r>
            <w:r>
              <w:rPr>
                <w:rFonts w:ascii="Times New Roman" w:eastAsia="Times New Roman" w:hAnsi="Times New Roman" w:cs="Times New Roman"/>
                <w:bCs/>
                <w:color w:val="000000"/>
                <w:sz w:val="20"/>
                <w:szCs w:val="20"/>
              </w:rPr>
              <w:t xml:space="preserve"> (SG)</w:t>
            </w:r>
          </w:p>
        </w:tc>
        <w:tc>
          <w:tcPr>
            <w:tcW w:w="1449" w:type="dxa"/>
            <w:tcBorders>
              <w:top w:val="single" w:sz="4" w:space="0" w:color="auto"/>
              <w:left w:val="single" w:sz="4" w:space="0" w:color="auto"/>
              <w:bottom w:val="nil"/>
              <w:right w:val="nil"/>
            </w:tcBorders>
            <w:shd w:val="clear" w:color="000000" w:fill="F2F2F2"/>
            <w:noWrap/>
            <w:vAlign w:val="center"/>
            <w:hideMark/>
          </w:tcPr>
          <w:p w14:paraId="21E6DAD8"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Mean ± SD</w:t>
            </w:r>
          </w:p>
        </w:tc>
        <w:tc>
          <w:tcPr>
            <w:tcW w:w="1389" w:type="dxa"/>
            <w:tcBorders>
              <w:top w:val="single" w:sz="4" w:space="0" w:color="auto"/>
              <w:left w:val="single" w:sz="4" w:space="0" w:color="auto"/>
              <w:bottom w:val="nil"/>
              <w:right w:val="nil"/>
            </w:tcBorders>
            <w:shd w:val="clear" w:color="000000" w:fill="F2F2F2"/>
            <w:noWrap/>
            <w:vAlign w:val="center"/>
            <w:hideMark/>
          </w:tcPr>
          <w:p w14:paraId="3066649D"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No. w/ gap</w:t>
            </w:r>
          </w:p>
        </w:tc>
        <w:tc>
          <w:tcPr>
            <w:tcW w:w="1350" w:type="dxa"/>
            <w:tcBorders>
              <w:top w:val="single" w:sz="4" w:space="0" w:color="auto"/>
              <w:left w:val="single" w:sz="4" w:space="0" w:color="auto"/>
              <w:bottom w:val="nil"/>
              <w:right w:val="nil"/>
            </w:tcBorders>
            <w:shd w:val="clear" w:color="000000" w:fill="F2F2F2"/>
            <w:noWrap/>
            <w:vAlign w:val="center"/>
            <w:hideMark/>
          </w:tcPr>
          <w:p w14:paraId="632EB433"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Mean Gap</w:t>
            </w:r>
            <w:r>
              <w:rPr>
                <w:rFonts w:ascii="Times New Roman" w:eastAsia="Times New Roman" w:hAnsi="Times New Roman" w:cs="Times New Roman"/>
                <w:b/>
                <w:bCs/>
                <w:color w:val="000000"/>
                <w:sz w:val="20"/>
                <w:szCs w:val="20"/>
              </w:rPr>
              <w:t>*</w:t>
            </w:r>
          </w:p>
        </w:tc>
      </w:tr>
      <w:tr w:rsidR="002939D3" w:rsidRPr="006E2AB2" w14:paraId="72FDF0BA" w14:textId="77777777" w:rsidTr="000915D9">
        <w:trPr>
          <w:trHeight w:val="259"/>
        </w:trPr>
        <w:tc>
          <w:tcPr>
            <w:tcW w:w="2961" w:type="dxa"/>
            <w:tcBorders>
              <w:top w:val="nil"/>
              <w:left w:val="nil"/>
              <w:bottom w:val="nil"/>
              <w:right w:val="nil"/>
            </w:tcBorders>
            <w:shd w:val="clear" w:color="000000" w:fill="F2F2F2"/>
            <w:noWrap/>
            <w:vAlign w:val="center"/>
            <w:hideMark/>
          </w:tcPr>
          <w:p w14:paraId="23B037BC"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w:t>
            </w:r>
          </w:p>
        </w:tc>
        <w:tc>
          <w:tcPr>
            <w:tcW w:w="1449" w:type="dxa"/>
            <w:tcBorders>
              <w:top w:val="nil"/>
              <w:left w:val="single" w:sz="4" w:space="0" w:color="auto"/>
              <w:bottom w:val="nil"/>
              <w:right w:val="nil"/>
            </w:tcBorders>
            <w:shd w:val="clear" w:color="000000" w:fill="FFFFFF"/>
            <w:noWrap/>
            <w:vAlign w:val="center"/>
            <w:hideMark/>
          </w:tcPr>
          <w:p w14:paraId="3A56F227"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0.1 ± 0.3</w:t>
            </w:r>
          </w:p>
        </w:tc>
        <w:tc>
          <w:tcPr>
            <w:tcW w:w="1389" w:type="dxa"/>
            <w:tcBorders>
              <w:top w:val="nil"/>
              <w:left w:val="single" w:sz="4" w:space="0" w:color="auto"/>
              <w:bottom w:val="nil"/>
              <w:right w:val="nil"/>
            </w:tcBorders>
            <w:shd w:val="clear" w:color="auto" w:fill="auto"/>
            <w:noWrap/>
            <w:vAlign w:val="center"/>
            <w:hideMark/>
          </w:tcPr>
          <w:p w14:paraId="34948741"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13</w:t>
            </w:r>
          </w:p>
        </w:tc>
        <w:tc>
          <w:tcPr>
            <w:tcW w:w="1350" w:type="dxa"/>
            <w:tcBorders>
              <w:top w:val="nil"/>
              <w:left w:val="single" w:sz="4" w:space="0" w:color="auto"/>
              <w:bottom w:val="nil"/>
              <w:right w:val="nil"/>
            </w:tcBorders>
            <w:shd w:val="clear" w:color="000000" w:fill="FFFFFF"/>
            <w:noWrap/>
            <w:vAlign w:val="center"/>
            <w:hideMark/>
          </w:tcPr>
          <w:p w14:paraId="41158E39"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0.58</w:t>
            </w:r>
          </w:p>
        </w:tc>
      </w:tr>
      <w:tr w:rsidR="002939D3" w:rsidRPr="006E2AB2" w14:paraId="249BCC13" w14:textId="77777777" w:rsidTr="000915D9">
        <w:trPr>
          <w:trHeight w:val="259"/>
        </w:trPr>
        <w:tc>
          <w:tcPr>
            <w:tcW w:w="2961" w:type="dxa"/>
            <w:tcBorders>
              <w:top w:val="single" w:sz="4" w:space="0" w:color="auto"/>
              <w:left w:val="nil"/>
              <w:bottom w:val="nil"/>
              <w:right w:val="nil"/>
            </w:tcBorders>
            <w:shd w:val="clear" w:color="000000" w:fill="F2F2F2"/>
            <w:noWrap/>
            <w:vAlign w:val="center"/>
            <w:hideMark/>
          </w:tcPr>
          <w:p w14:paraId="13090F7A"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Phase </w:t>
            </w:r>
            <w:r>
              <w:rPr>
                <w:rFonts w:ascii="Times New Roman" w:eastAsia="Times New Roman" w:hAnsi="Times New Roman" w:cs="Times New Roman"/>
                <w:bCs/>
                <w:color w:val="000000"/>
                <w:sz w:val="20"/>
                <w:szCs w:val="20"/>
              </w:rPr>
              <w:t>E</w:t>
            </w:r>
            <w:r w:rsidRPr="006E2AB2">
              <w:rPr>
                <w:rFonts w:ascii="Times New Roman" w:eastAsia="Times New Roman" w:hAnsi="Times New Roman" w:cs="Times New Roman"/>
                <w:bCs/>
                <w:color w:val="000000"/>
                <w:sz w:val="20"/>
                <w:szCs w:val="20"/>
              </w:rPr>
              <w:t xml:space="preserve">ncoding </w:t>
            </w:r>
            <w:r>
              <w:rPr>
                <w:rFonts w:ascii="Times New Roman" w:eastAsia="Times New Roman" w:hAnsi="Times New Roman" w:cs="Times New Roman"/>
                <w:bCs/>
                <w:color w:val="000000"/>
                <w:sz w:val="20"/>
                <w:szCs w:val="20"/>
              </w:rPr>
              <w:t>D</w:t>
            </w:r>
            <w:r w:rsidRPr="006E2AB2">
              <w:rPr>
                <w:rFonts w:ascii="Times New Roman" w:eastAsia="Times New Roman" w:hAnsi="Times New Roman" w:cs="Times New Roman"/>
                <w:bCs/>
                <w:color w:val="000000"/>
                <w:sz w:val="20"/>
                <w:szCs w:val="20"/>
              </w:rPr>
              <w:t>irection</w:t>
            </w:r>
          </w:p>
        </w:tc>
        <w:tc>
          <w:tcPr>
            <w:tcW w:w="1449" w:type="dxa"/>
            <w:tcBorders>
              <w:top w:val="single" w:sz="4" w:space="0" w:color="auto"/>
              <w:left w:val="single" w:sz="4" w:space="0" w:color="auto"/>
              <w:bottom w:val="nil"/>
              <w:right w:val="nil"/>
            </w:tcBorders>
            <w:shd w:val="clear" w:color="000000" w:fill="F2F2F2"/>
            <w:noWrap/>
            <w:vAlign w:val="center"/>
            <w:hideMark/>
          </w:tcPr>
          <w:p w14:paraId="5DA37131"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w:t>
            </w:r>
            <w:r w:rsidRPr="006E2AB2">
              <w:rPr>
                <w:rFonts w:ascii="Times New Roman" w:eastAsia="Times New Roman" w:hAnsi="Times New Roman" w:cs="Times New Roman"/>
                <w:b/>
                <w:bCs/>
                <w:color w:val="000000"/>
                <w:sz w:val="20"/>
                <w:szCs w:val="20"/>
              </w:rPr>
              <w:t xml:space="preserve"> </w:t>
            </w:r>
            <w:r>
              <w:rPr>
                <w:rFonts w:ascii="Times New Roman" w:eastAsia="Times New Roman" w:hAnsi="Times New Roman" w:cs="Times New Roman"/>
                <w:b/>
                <w:bCs/>
                <w:color w:val="000000"/>
                <w:sz w:val="20"/>
                <w:szCs w:val="20"/>
              </w:rPr>
              <w:t>Vertical</w:t>
            </w:r>
          </w:p>
        </w:tc>
        <w:tc>
          <w:tcPr>
            <w:tcW w:w="1389" w:type="dxa"/>
            <w:tcBorders>
              <w:top w:val="single" w:sz="4" w:space="0" w:color="auto"/>
              <w:left w:val="single" w:sz="4" w:space="0" w:color="auto"/>
              <w:bottom w:val="nil"/>
              <w:right w:val="nil"/>
            </w:tcBorders>
            <w:shd w:val="clear" w:color="000000" w:fill="F2F2F2"/>
            <w:noWrap/>
            <w:vAlign w:val="center"/>
            <w:hideMark/>
          </w:tcPr>
          <w:p w14:paraId="623A55A4"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Pr>
                <w:rFonts w:ascii="Times New Roman" w:eastAsia="Times New Roman" w:hAnsi="Times New Roman" w:cs="Times New Roman"/>
                <w:b/>
                <w:bCs/>
                <w:color w:val="000000"/>
                <w:sz w:val="20"/>
                <w:szCs w:val="20"/>
              </w:rPr>
              <w:t># Horizontal</w:t>
            </w:r>
          </w:p>
        </w:tc>
        <w:tc>
          <w:tcPr>
            <w:tcW w:w="1350" w:type="dxa"/>
            <w:tcBorders>
              <w:top w:val="single" w:sz="4" w:space="0" w:color="auto"/>
              <w:left w:val="single" w:sz="4" w:space="0" w:color="auto"/>
              <w:bottom w:val="nil"/>
              <w:right w:val="nil"/>
            </w:tcBorders>
            <w:shd w:val="clear" w:color="000000" w:fill="F2F2F2"/>
            <w:noWrap/>
            <w:vAlign w:val="center"/>
            <w:hideMark/>
          </w:tcPr>
          <w:p w14:paraId="72F4638B"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w:t>
            </w:r>
          </w:p>
        </w:tc>
      </w:tr>
      <w:tr w:rsidR="002939D3" w:rsidRPr="006E2AB2" w14:paraId="7BD84C40" w14:textId="77777777" w:rsidTr="000915D9">
        <w:trPr>
          <w:trHeight w:val="259"/>
        </w:trPr>
        <w:tc>
          <w:tcPr>
            <w:tcW w:w="2961" w:type="dxa"/>
            <w:tcBorders>
              <w:top w:val="nil"/>
              <w:left w:val="nil"/>
              <w:bottom w:val="single" w:sz="18" w:space="0" w:color="auto"/>
              <w:right w:val="nil"/>
            </w:tcBorders>
            <w:shd w:val="clear" w:color="000000" w:fill="F2F2F2"/>
            <w:noWrap/>
            <w:vAlign w:val="center"/>
            <w:hideMark/>
          </w:tcPr>
          <w:p w14:paraId="07F0C30E" w14:textId="77777777" w:rsidR="002939D3" w:rsidRPr="006E2AB2" w:rsidRDefault="002939D3" w:rsidP="000915D9">
            <w:pPr>
              <w:spacing w:after="0" w:line="240" w:lineRule="auto"/>
              <w:jc w:val="right"/>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 </w:t>
            </w:r>
          </w:p>
        </w:tc>
        <w:tc>
          <w:tcPr>
            <w:tcW w:w="1449" w:type="dxa"/>
            <w:tcBorders>
              <w:top w:val="nil"/>
              <w:left w:val="single" w:sz="4" w:space="0" w:color="auto"/>
              <w:bottom w:val="single" w:sz="18" w:space="0" w:color="auto"/>
              <w:right w:val="nil"/>
            </w:tcBorders>
            <w:shd w:val="clear" w:color="000000" w:fill="FFFFFF"/>
            <w:noWrap/>
            <w:vAlign w:val="center"/>
            <w:hideMark/>
          </w:tcPr>
          <w:p w14:paraId="3A77B4D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47</w:t>
            </w:r>
          </w:p>
        </w:tc>
        <w:tc>
          <w:tcPr>
            <w:tcW w:w="1389" w:type="dxa"/>
            <w:tcBorders>
              <w:top w:val="nil"/>
              <w:left w:val="single" w:sz="4" w:space="0" w:color="auto"/>
              <w:bottom w:val="single" w:sz="18" w:space="0" w:color="auto"/>
              <w:right w:val="nil"/>
            </w:tcBorders>
            <w:shd w:val="clear" w:color="auto" w:fill="auto"/>
            <w:noWrap/>
            <w:vAlign w:val="center"/>
            <w:hideMark/>
          </w:tcPr>
          <w:p w14:paraId="1D629F1D"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15</w:t>
            </w:r>
          </w:p>
        </w:tc>
        <w:tc>
          <w:tcPr>
            <w:tcW w:w="1350" w:type="dxa"/>
            <w:tcBorders>
              <w:top w:val="nil"/>
              <w:left w:val="single" w:sz="4" w:space="0" w:color="auto"/>
              <w:bottom w:val="single" w:sz="18" w:space="0" w:color="auto"/>
              <w:right w:val="nil"/>
            </w:tcBorders>
            <w:shd w:val="clear" w:color="auto" w:fill="auto"/>
            <w:noWrap/>
            <w:vAlign w:val="center"/>
            <w:hideMark/>
          </w:tcPr>
          <w:p w14:paraId="6B7ED5AD"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w:t>
            </w:r>
          </w:p>
        </w:tc>
      </w:tr>
      <w:tr w:rsidR="002939D3" w:rsidRPr="006E2AB2" w14:paraId="781AA4DB" w14:textId="77777777" w:rsidTr="000915D9">
        <w:trPr>
          <w:trHeight w:val="259"/>
        </w:trPr>
        <w:tc>
          <w:tcPr>
            <w:tcW w:w="2961" w:type="dxa"/>
            <w:tcBorders>
              <w:top w:val="single" w:sz="18" w:space="0" w:color="auto"/>
              <w:left w:val="nil"/>
              <w:bottom w:val="single" w:sz="4" w:space="0" w:color="auto"/>
              <w:right w:val="nil"/>
            </w:tcBorders>
            <w:shd w:val="clear" w:color="000000" w:fill="F2F2F2"/>
            <w:noWrap/>
            <w:vAlign w:val="center"/>
            <w:hideMark/>
          </w:tcPr>
          <w:p w14:paraId="33F21D93" w14:textId="77777777" w:rsidR="002939D3" w:rsidRPr="006E2AB2" w:rsidRDefault="002939D3" w:rsidP="000915D9">
            <w:pPr>
              <w:spacing w:after="0" w:line="240" w:lineRule="auto"/>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Machine Attributes</w:t>
            </w:r>
          </w:p>
        </w:tc>
        <w:tc>
          <w:tcPr>
            <w:tcW w:w="1449" w:type="dxa"/>
            <w:tcBorders>
              <w:top w:val="single" w:sz="18" w:space="0" w:color="auto"/>
              <w:left w:val="nil"/>
              <w:bottom w:val="single" w:sz="4" w:space="0" w:color="auto"/>
              <w:right w:val="nil"/>
            </w:tcBorders>
            <w:shd w:val="clear" w:color="000000" w:fill="F2F2F2"/>
            <w:noWrap/>
            <w:vAlign w:val="center"/>
            <w:hideMark/>
          </w:tcPr>
          <w:p w14:paraId="6A6560A6"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p>
        </w:tc>
        <w:tc>
          <w:tcPr>
            <w:tcW w:w="1389" w:type="dxa"/>
            <w:tcBorders>
              <w:top w:val="single" w:sz="18" w:space="0" w:color="auto"/>
              <w:left w:val="nil"/>
              <w:bottom w:val="single" w:sz="4" w:space="0" w:color="auto"/>
              <w:right w:val="nil"/>
            </w:tcBorders>
            <w:shd w:val="clear" w:color="000000" w:fill="F2F2F2"/>
            <w:noWrap/>
            <w:vAlign w:val="center"/>
            <w:hideMark/>
          </w:tcPr>
          <w:p w14:paraId="4E39AEC0"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p>
        </w:tc>
        <w:tc>
          <w:tcPr>
            <w:tcW w:w="1350" w:type="dxa"/>
            <w:tcBorders>
              <w:top w:val="single" w:sz="18" w:space="0" w:color="auto"/>
              <w:left w:val="nil"/>
              <w:bottom w:val="single" w:sz="4" w:space="0" w:color="auto"/>
              <w:right w:val="nil"/>
            </w:tcBorders>
            <w:shd w:val="clear" w:color="000000" w:fill="F2F2F2"/>
            <w:noWrap/>
            <w:vAlign w:val="center"/>
            <w:hideMark/>
          </w:tcPr>
          <w:p w14:paraId="15F1CB8D"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p>
        </w:tc>
      </w:tr>
      <w:tr w:rsidR="002939D3" w:rsidRPr="006E2AB2" w14:paraId="2FDE4F80" w14:textId="77777777" w:rsidTr="000915D9">
        <w:trPr>
          <w:trHeight w:val="259"/>
        </w:trPr>
        <w:tc>
          <w:tcPr>
            <w:tcW w:w="2961" w:type="dxa"/>
            <w:tcBorders>
              <w:top w:val="nil"/>
              <w:left w:val="nil"/>
              <w:bottom w:val="nil"/>
              <w:right w:val="nil"/>
            </w:tcBorders>
            <w:shd w:val="clear" w:color="000000" w:fill="F2F2F2"/>
            <w:noWrap/>
            <w:vAlign w:val="center"/>
            <w:hideMark/>
          </w:tcPr>
          <w:p w14:paraId="31334E16"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xml:space="preserve">Magnet </w:t>
            </w:r>
            <w:r>
              <w:rPr>
                <w:rFonts w:ascii="Times New Roman" w:eastAsia="Times New Roman" w:hAnsi="Times New Roman" w:cs="Times New Roman"/>
                <w:bCs/>
                <w:color w:val="000000"/>
                <w:sz w:val="20"/>
                <w:szCs w:val="20"/>
              </w:rPr>
              <w:t>S</w:t>
            </w:r>
            <w:r w:rsidRPr="006E2AB2">
              <w:rPr>
                <w:rFonts w:ascii="Times New Roman" w:eastAsia="Times New Roman" w:hAnsi="Times New Roman" w:cs="Times New Roman"/>
                <w:bCs/>
                <w:color w:val="000000"/>
                <w:sz w:val="20"/>
                <w:szCs w:val="20"/>
              </w:rPr>
              <w:t>trength</w:t>
            </w:r>
          </w:p>
        </w:tc>
        <w:tc>
          <w:tcPr>
            <w:tcW w:w="1449" w:type="dxa"/>
            <w:tcBorders>
              <w:top w:val="nil"/>
              <w:left w:val="single" w:sz="4" w:space="0" w:color="auto"/>
              <w:bottom w:val="nil"/>
              <w:right w:val="nil"/>
            </w:tcBorders>
            <w:shd w:val="clear" w:color="000000" w:fill="F2F2F2"/>
            <w:noWrap/>
            <w:vAlign w:val="center"/>
            <w:hideMark/>
          </w:tcPr>
          <w:p w14:paraId="18476475"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 of 1.5T</w:t>
            </w:r>
          </w:p>
        </w:tc>
        <w:tc>
          <w:tcPr>
            <w:tcW w:w="1389" w:type="dxa"/>
            <w:tcBorders>
              <w:top w:val="nil"/>
              <w:left w:val="single" w:sz="4" w:space="0" w:color="auto"/>
              <w:bottom w:val="nil"/>
              <w:right w:val="nil"/>
            </w:tcBorders>
            <w:shd w:val="clear" w:color="000000" w:fill="F2F2F2"/>
            <w:noWrap/>
            <w:vAlign w:val="center"/>
            <w:hideMark/>
          </w:tcPr>
          <w:p w14:paraId="05E59467"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 of 3T</w:t>
            </w:r>
          </w:p>
        </w:tc>
        <w:tc>
          <w:tcPr>
            <w:tcW w:w="1350" w:type="dxa"/>
            <w:tcBorders>
              <w:top w:val="nil"/>
              <w:left w:val="single" w:sz="4" w:space="0" w:color="auto"/>
              <w:bottom w:val="nil"/>
              <w:right w:val="nil"/>
            </w:tcBorders>
            <w:shd w:val="clear" w:color="000000" w:fill="F2F2F2"/>
            <w:noWrap/>
            <w:vAlign w:val="center"/>
            <w:hideMark/>
          </w:tcPr>
          <w:p w14:paraId="537AFA39"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w:t>
            </w:r>
          </w:p>
        </w:tc>
      </w:tr>
      <w:tr w:rsidR="002939D3" w:rsidRPr="006E2AB2" w14:paraId="2A504C76" w14:textId="77777777" w:rsidTr="000915D9">
        <w:trPr>
          <w:trHeight w:val="259"/>
        </w:trPr>
        <w:tc>
          <w:tcPr>
            <w:tcW w:w="2961" w:type="dxa"/>
            <w:tcBorders>
              <w:top w:val="nil"/>
              <w:left w:val="nil"/>
              <w:bottom w:val="nil"/>
              <w:right w:val="nil"/>
            </w:tcBorders>
            <w:shd w:val="clear" w:color="000000" w:fill="F2F2F2"/>
            <w:noWrap/>
            <w:vAlign w:val="center"/>
            <w:hideMark/>
          </w:tcPr>
          <w:p w14:paraId="7E9C9F76"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w:t>
            </w:r>
          </w:p>
        </w:tc>
        <w:tc>
          <w:tcPr>
            <w:tcW w:w="1449" w:type="dxa"/>
            <w:tcBorders>
              <w:top w:val="nil"/>
              <w:left w:val="single" w:sz="4" w:space="0" w:color="auto"/>
              <w:bottom w:val="nil"/>
              <w:right w:val="nil"/>
            </w:tcBorders>
            <w:shd w:val="clear" w:color="auto" w:fill="auto"/>
            <w:noWrap/>
            <w:vAlign w:val="center"/>
            <w:hideMark/>
          </w:tcPr>
          <w:p w14:paraId="599E7A63"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6</w:t>
            </w:r>
          </w:p>
        </w:tc>
        <w:tc>
          <w:tcPr>
            <w:tcW w:w="1389" w:type="dxa"/>
            <w:tcBorders>
              <w:top w:val="nil"/>
              <w:left w:val="single" w:sz="4" w:space="0" w:color="auto"/>
              <w:bottom w:val="nil"/>
              <w:right w:val="nil"/>
            </w:tcBorders>
            <w:shd w:val="clear" w:color="000000" w:fill="FFFFFF"/>
            <w:noWrap/>
            <w:vAlign w:val="center"/>
            <w:hideMark/>
          </w:tcPr>
          <w:p w14:paraId="2FC9FFDB"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56</w:t>
            </w:r>
          </w:p>
        </w:tc>
        <w:tc>
          <w:tcPr>
            <w:tcW w:w="1350" w:type="dxa"/>
            <w:tcBorders>
              <w:top w:val="nil"/>
              <w:left w:val="single" w:sz="4" w:space="0" w:color="auto"/>
              <w:bottom w:val="nil"/>
              <w:right w:val="nil"/>
            </w:tcBorders>
            <w:shd w:val="clear" w:color="auto" w:fill="auto"/>
            <w:noWrap/>
            <w:vAlign w:val="center"/>
            <w:hideMark/>
          </w:tcPr>
          <w:p w14:paraId="736950DE"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w:t>
            </w:r>
          </w:p>
        </w:tc>
      </w:tr>
      <w:tr w:rsidR="002939D3" w:rsidRPr="006E2AB2" w14:paraId="681A2CAC" w14:textId="77777777" w:rsidTr="000915D9">
        <w:trPr>
          <w:trHeight w:val="259"/>
        </w:trPr>
        <w:tc>
          <w:tcPr>
            <w:tcW w:w="2961" w:type="dxa"/>
            <w:tcBorders>
              <w:top w:val="single" w:sz="4" w:space="0" w:color="000000"/>
              <w:left w:val="nil"/>
              <w:bottom w:val="nil"/>
              <w:right w:val="nil"/>
            </w:tcBorders>
            <w:shd w:val="clear" w:color="000000" w:fill="F2F2F2"/>
            <w:noWrap/>
            <w:vAlign w:val="center"/>
            <w:hideMark/>
          </w:tcPr>
          <w:p w14:paraId="65920F6D"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Vendor</w:t>
            </w:r>
          </w:p>
        </w:tc>
        <w:tc>
          <w:tcPr>
            <w:tcW w:w="1449" w:type="dxa"/>
            <w:tcBorders>
              <w:top w:val="single" w:sz="4" w:space="0" w:color="000000"/>
              <w:left w:val="single" w:sz="4" w:space="0" w:color="auto"/>
              <w:bottom w:val="nil"/>
              <w:right w:val="single" w:sz="4" w:space="0" w:color="auto"/>
            </w:tcBorders>
            <w:shd w:val="clear" w:color="000000" w:fill="F2F2F2"/>
            <w:noWrap/>
            <w:vAlign w:val="center"/>
            <w:hideMark/>
          </w:tcPr>
          <w:p w14:paraId="2F66AA28"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GE</w:t>
            </w:r>
          </w:p>
        </w:tc>
        <w:tc>
          <w:tcPr>
            <w:tcW w:w="1389" w:type="dxa"/>
            <w:tcBorders>
              <w:top w:val="single" w:sz="4" w:space="0" w:color="000000"/>
              <w:left w:val="nil"/>
              <w:bottom w:val="nil"/>
              <w:right w:val="single" w:sz="4" w:space="0" w:color="auto"/>
            </w:tcBorders>
            <w:shd w:val="clear" w:color="000000" w:fill="F2F2F2"/>
            <w:noWrap/>
            <w:vAlign w:val="center"/>
            <w:hideMark/>
          </w:tcPr>
          <w:p w14:paraId="109A870B"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Siemens</w:t>
            </w:r>
          </w:p>
        </w:tc>
        <w:tc>
          <w:tcPr>
            <w:tcW w:w="1350" w:type="dxa"/>
            <w:tcBorders>
              <w:top w:val="single" w:sz="4" w:space="0" w:color="000000"/>
              <w:left w:val="nil"/>
              <w:bottom w:val="nil"/>
              <w:right w:val="nil"/>
            </w:tcBorders>
            <w:shd w:val="clear" w:color="000000" w:fill="F2F2F2"/>
            <w:noWrap/>
            <w:vAlign w:val="center"/>
            <w:hideMark/>
          </w:tcPr>
          <w:p w14:paraId="133B618D"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0"/>
                <w:szCs w:val="20"/>
              </w:rPr>
            </w:pPr>
            <w:r w:rsidRPr="006E2AB2">
              <w:rPr>
                <w:rFonts w:ascii="Times New Roman" w:eastAsia="Times New Roman" w:hAnsi="Times New Roman" w:cs="Times New Roman"/>
                <w:b/>
                <w:bCs/>
                <w:color w:val="000000"/>
                <w:sz w:val="20"/>
                <w:szCs w:val="20"/>
              </w:rPr>
              <w:t>Philips</w:t>
            </w:r>
          </w:p>
        </w:tc>
      </w:tr>
      <w:tr w:rsidR="002939D3" w:rsidRPr="006E2AB2" w14:paraId="2CF5E20A" w14:textId="77777777" w:rsidTr="000915D9">
        <w:trPr>
          <w:trHeight w:val="259"/>
        </w:trPr>
        <w:tc>
          <w:tcPr>
            <w:tcW w:w="2961" w:type="dxa"/>
            <w:tcBorders>
              <w:top w:val="nil"/>
              <w:left w:val="nil"/>
              <w:bottom w:val="single" w:sz="4" w:space="0" w:color="auto"/>
              <w:right w:val="nil"/>
            </w:tcBorders>
            <w:shd w:val="clear" w:color="000000" w:fill="F2F2F2"/>
            <w:noWrap/>
            <w:vAlign w:val="center"/>
            <w:hideMark/>
          </w:tcPr>
          <w:p w14:paraId="4F30A324" w14:textId="77777777" w:rsidR="002939D3" w:rsidRPr="006E2AB2" w:rsidRDefault="002939D3" w:rsidP="000915D9">
            <w:pPr>
              <w:spacing w:after="0" w:line="240" w:lineRule="auto"/>
              <w:jc w:val="right"/>
              <w:rPr>
                <w:rFonts w:ascii="Times New Roman" w:eastAsia="Times New Roman" w:hAnsi="Times New Roman" w:cs="Times New Roman"/>
                <w:bCs/>
                <w:color w:val="000000"/>
                <w:sz w:val="20"/>
                <w:szCs w:val="20"/>
              </w:rPr>
            </w:pPr>
            <w:r w:rsidRPr="006E2AB2">
              <w:rPr>
                <w:rFonts w:ascii="Times New Roman" w:eastAsia="Times New Roman" w:hAnsi="Times New Roman" w:cs="Times New Roman"/>
                <w:bCs/>
                <w:color w:val="000000"/>
                <w:sz w:val="20"/>
                <w:szCs w:val="20"/>
              </w:rPr>
              <w:t> </w:t>
            </w:r>
          </w:p>
        </w:tc>
        <w:tc>
          <w:tcPr>
            <w:tcW w:w="1449" w:type="dxa"/>
            <w:tcBorders>
              <w:top w:val="nil"/>
              <w:left w:val="single" w:sz="4" w:space="0" w:color="auto"/>
              <w:bottom w:val="single" w:sz="4" w:space="0" w:color="auto"/>
              <w:right w:val="single" w:sz="4" w:space="0" w:color="auto"/>
            </w:tcBorders>
            <w:shd w:val="clear" w:color="auto" w:fill="auto"/>
            <w:noWrap/>
            <w:vAlign w:val="center"/>
            <w:hideMark/>
          </w:tcPr>
          <w:p w14:paraId="17EF820F"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22</w:t>
            </w:r>
          </w:p>
        </w:tc>
        <w:tc>
          <w:tcPr>
            <w:tcW w:w="1389" w:type="dxa"/>
            <w:tcBorders>
              <w:top w:val="nil"/>
              <w:left w:val="nil"/>
              <w:bottom w:val="single" w:sz="4" w:space="0" w:color="auto"/>
              <w:right w:val="single" w:sz="4" w:space="0" w:color="auto"/>
            </w:tcBorders>
            <w:shd w:val="clear" w:color="000000" w:fill="FFFFFF"/>
            <w:noWrap/>
            <w:vAlign w:val="center"/>
            <w:hideMark/>
          </w:tcPr>
          <w:p w14:paraId="5A5D3517"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36</w:t>
            </w:r>
          </w:p>
        </w:tc>
        <w:tc>
          <w:tcPr>
            <w:tcW w:w="1350" w:type="dxa"/>
            <w:tcBorders>
              <w:top w:val="nil"/>
              <w:left w:val="nil"/>
              <w:bottom w:val="single" w:sz="4" w:space="0" w:color="auto"/>
              <w:right w:val="nil"/>
            </w:tcBorders>
            <w:shd w:val="clear" w:color="auto" w:fill="auto"/>
            <w:noWrap/>
            <w:vAlign w:val="center"/>
            <w:hideMark/>
          </w:tcPr>
          <w:p w14:paraId="44CAA3AC" w14:textId="77777777" w:rsidR="002939D3" w:rsidRPr="006E2AB2" w:rsidRDefault="002939D3" w:rsidP="000915D9">
            <w:pPr>
              <w:spacing w:after="0" w:line="240" w:lineRule="auto"/>
              <w:jc w:val="center"/>
              <w:rPr>
                <w:rFonts w:ascii="Times New Roman" w:eastAsia="Times New Roman" w:hAnsi="Times New Roman" w:cs="Times New Roman"/>
                <w:color w:val="000000"/>
                <w:sz w:val="20"/>
                <w:szCs w:val="20"/>
              </w:rPr>
            </w:pPr>
            <w:r w:rsidRPr="006E2AB2">
              <w:rPr>
                <w:rFonts w:ascii="Times New Roman" w:eastAsia="Times New Roman" w:hAnsi="Times New Roman" w:cs="Times New Roman"/>
                <w:color w:val="000000"/>
                <w:sz w:val="20"/>
                <w:szCs w:val="20"/>
              </w:rPr>
              <w:t>4</w:t>
            </w:r>
          </w:p>
        </w:tc>
      </w:tr>
    </w:tbl>
    <w:p w14:paraId="6FED6A54" w14:textId="77777777" w:rsidR="002939D3" w:rsidRPr="006E2AB2" w:rsidRDefault="002939D3" w:rsidP="002939D3">
      <w:pPr>
        <w:spacing w:after="0" w:line="240" w:lineRule="auto"/>
        <w:rPr>
          <w:rFonts w:ascii="Times New Roman" w:eastAsia="Times New Roman" w:hAnsi="Times New Roman" w:cs="Times New Roman"/>
          <w:color w:val="000000"/>
          <w:szCs w:val="20"/>
        </w:rPr>
      </w:pPr>
    </w:p>
    <w:p w14:paraId="02150A69" w14:textId="77777777" w:rsidR="002939D3" w:rsidRPr="006E2AB2" w:rsidRDefault="002939D3" w:rsidP="002939D3">
      <w:pPr>
        <w:spacing w:after="0" w:line="240" w:lineRule="auto"/>
        <w:rPr>
          <w:rFonts w:ascii="Times New Roman" w:eastAsia="Times New Roman" w:hAnsi="Times New Roman" w:cs="Times New Roman"/>
          <w:color w:val="000000"/>
          <w:szCs w:val="20"/>
        </w:rPr>
      </w:pPr>
    </w:p>
    <w:p w14:paraId="7C3D1537" w14:textId="77777777" w:rsidR="002939D3" w:rsidRPr="006E2AB2" w:rsidRDefault="002939D3" w:rsidP="002939D3">
      <w:pPr>
        <w:spacing w:after="0" w:line="240" w:lineRule="auto"/>
        <w:rPr>
          <w:rFonts w:ascii="Times New Roman" w:eastAsia="Times New Roman" w:hAnsi="Times New Roman" w:cs="Times New Roman"/>
          <w:color w:val="000000"/>
          <w:szCs w:val="20"/>
        </w:rPr>
      </w:pPr>
    </w:p>
    <w:p w14:paraId="4E63CC3A" w14:textId="77777777" w:rsidR="002939D3" w:rsidRPr="006E2AB2" w:rsidRDefault="002939D3" w:rsidP="002939D3">
      <w:pPr>
        <w:spacing w:after="0" w:line="240" w:lineRule="auto"/>
        <w:rPr>
          <w:rFonts w:ascii="Times New Roman" w:eastAsia="Times New Roman" w:hAnsi="Times New Roman" w:cs="Times New Roman"/>
          <w:color w:val="000000"/>
          <w:szCs w:val="20"/>
        </w:rPr>
      </w:pPr>
    </w:p>
    <w:p w14:paraId="659EB764" w14:textId="77777777" w:rsidR="002939D3" w:rsidRPr="006E2AB2" w:rsidRDefault="002939D3" w:rsidP="002939D3">
      <w:pPr>
        <w:spacing w:after="0" w:line="240" w:lineRule="auto"/>
        <w:rPr>
          <w:rFonts w:ascii="Times New Roman" w:eastAsia="Times New Roman" w:hAnsi="Times New Roman" w:cs="Times New Roman"/>
          <w:szCs w:val="20"/>
        </w:rPr>
      </w:pPr>
    </w:p>
    <w:p w14:paraId="14EE6DDE" w14:textId="77777777" w:rsidR="002939D3" w:rsidRPr="006E2AB2" w:rsidRDefault="002939D3" w:rsidP="002939D3">
      <w:pPr>
        <w:spacing w:after="0" w:line="240" w:lineRule="auto"/>
        <w:rPr>
          <w:rFonts w:ascii="Times New Roman" w:eastAsia="Times New Roman" w:hAnsi="Times New Roman" w:cs="Times New Roman"/>
          <w:szCs w:val="20"/>
        </w:rPr>
      </w:pPr>
    </w:p>
    <w:p w14:paraId="19F99EC4" w14:textId="77777777" w:rsidR="002939D3" w:rsidRPr="006E2AB2" w:rsidRDefault="002939D3" w:rsidP="002939D3">
      <w:pPr>
        <w:spacing w:after="0" w:line="240" w:lineRule="auto"/>
        <w:rPr>
          <w:rFonts w:ascii="Times New Roman" w:eastAsia="Times New Roman" w:hAnsi="Times New Roman" w:cs="Times New Roman"/>
          <w:szCs w:val="20"/>
        </w:rPr>
      </w:pPr>
    </w:p>
    <w:p w14:paraId="184C72C3" w14:textId="77777777" w:rsidR="002939D3" w:rsidRPr="006E2AB2" w:rsidRDefault="002939D3" w:rsidP="002939D3">
      <w:pPr>
        <w:spacing w:after="0" w:line="240" w:lineRule="auto"/>
        <w:rPr>
          <w:rFonts w:ascii="Times New Roman" w:eastAsia="Times New Roman" w:hAnsi="Times New Roman" w:cs="Times New Roman"/>
          <w:szCs w:val="20"/>
        </w:rPr>
      </w:pPr>
    </w:p>
    <w:p w14:paraId="47DB6719" w14:textId="77777777" w:rsidR="002939D3" w:rsidRPr="006E2AB2" w:rsidRDefault="002939D3" w:rsidP="002939D3">
      <w:pPr>
        <w:spacing w:after="0" w:line="240" w:lineRule="auto"/>
        <w:rPr>
          <w:rFonts w:ascii="Times New Roman" w:eastAsia="Times New Roman" w:hAnsi="Times New Roman" w:cs="Times New Roman"/>
          <w:szCs w:val="20"/>
        </w:rPr>
      </w:pPr>
    </w:p>
    <w:p w14:paraId="470F1621" w14:textId="77777777" w:rsidR="002939D3" w:rsidRPr="006E2AB2" w:rsidRDefault="002939D3" w:rsidP="002939D3">
      <w:pPr>
        <w:spacing w:after="0" w:line="240" w:lineRule="auto"/>
        <w:rPr>
          <w:rFonts w:ascii="Times New Roman" w:eastAsia="Times New Roman" w:hAnsi="Times New Roman" w:cs="Times New Roman"/>
          <w:szCs w:val="20"/>
        </w:rPr>
      </w:pPr>
    </w:p>
    <w:p w14:paraId="28D0C6FB" w14:textId="77777777" w:rsidR="002939D3" w:rsidRPr="006E2AB2" w:rsidRDefault="002939D3" w:rsidP="002939D3">
      <w:pPr>
        <w:spacing w:after="0" w:line="240" w:lineRule="auto"/>
        <w:rPr>
          <w:rFonts w:ascii="Times New Roman" w:eastAsia="Times New Roman" w:hAnsi="Times New Roman" w:cs="Times New Roman"/>
          <w:szCs w:val="20"/>
        </w:rPr>
      </w:pPr>
    </w:p>
    <w:p w14:paraId="6C6E6099" w14:textId="77777777" w:rsidR="002939D3" w:rsidRPr="006E2AB2" w:rsidRDefault="002939D3" w:rsidP="002939D3">
      <w:pPr>
        <w:spacing w:after="0" w:line="240" w:lineRule="auto"/>
        <w:rPr>
          <w:rFonts w:ascii="Times New Roman" w:eastAsia="Times New Roman" w:hAnsi="Times New Roman" w:cs="Times New Roman"/>
          <w:szCs w:val="20"/>
        </w:rPr>
      </w:pPr>
    </w:p>
    <w:p w14:paraId="617CD07B" w14:textId="77777777" w:rsidR="002939D3" w:rsidRPr="006E2AB2" w:rsidRDefault="002939D3" w:rsidP="002939D3">
      <w:pPr>
        <w:spacing w:after="0" w:line="240" w:lineRule="auto"/>
        <w:rPr>
          <w:rFonts w:ascii="Times New Roman" w:eastAsia="Times New Roman" w:hAnsi="Times New Roman" w:cs="Times New Roman"/>
          <w:szCs w:val="20"/>
        </w:rPr>
      </w:pPr>
    </w:p>
    <w:p w14:paraId="0C56E51D" w14:textId="77777777" w:rsidR="002939D3" w:rsidRPr="006E2AB2" w:rsidRDefault="002939D3" w:rsidP="002939D3">
      <w:pPr>
        <w:spacing w:after="0" w:line="240" w:lineRule="auto"/>
        <w:rPr>
          <w:rFonts w:ascii="Times New Roman" w:eastAsia="Times New Roman" w:hAnsi="Times New Roman" w:cs="Times New Roman"/>
          <w:szCs w:val="20"/>
        </w:rPr>
      </w:pPr>
    </w:p>
    <w:p w14:paraId="7CA0489F" w14:textId="77777777" w:rsidR="002939D3" w:rsidRPr="006E2AB2" w:rsidRDefault="002939D3" w:rsidP="002939D3">
      <w:pPr>
        <w:spacing w:after="0" w:line="240" w:lineRule="auto"/>
        <w:rPr>
          <w:rFonts w:ascii="Times New Roman" w:eastAsia="Times New Roman" w:hAnsi="Times New Roman" w:cs="Times New Roman"/>
          <w:szCs w:val="20"/>
        </w:rPr>
      </w:pPr>
    </w:p>
    <w:p w14:paraId="2C0EF9B8" w14:textId="77777777" w:rsidR="002939D3" w:rsidRPr="006E2AB2" w:rsidRDefault="002939D3" w:rsidP="002939D3">
      <w:pPr>
        <w:spacing w:after="0" w:line="240" w:lineRule="auto"/>
        <w:rPr>
          <w:rFonts w:ascii="Times New Roman" w:eastAsia="Times New Roman" w:hAnsi="Times New Roman" w:cs="Times New Roman"/>
          <w:szCs w:val="20"/>
        </w:rPr>
      </w:pPr>
    </w:p>
    <w:p w14:paraId="558EC85B" w14:textId="77777777" w:rsidR="002939D3" w:rsidRPr="006E2AB2" w:rsidRDefault="002939D3" w:rsidP="002939D3">
      <w:pPr>
        <w:spacing w:after="0" w:line="240" w:lineRule="auto"/>
        <w:rPr>
          <w:rFonts w:ascii="Times New Roman" w:eastAsia="Times New Roman" w:hAnsi="Times New Roman" w:cs="Times New Roman"/>
          <w:szCs w:val="20"/>
        </w:rPr>
      </w:pPr>
    </w:p>
    <w:p w14:paraId="61A933F5" w14:textId="77777777" w:rsidR="002939D3" w:rsidRPr="006E2AB2" w:rsidRDefault="002939D3" w:rsidP="002939D3">
      <w:pPr>
        <w:spacing w:after="0" w:line="240" w:lineRule="auto"/>
        <w:rPr>
          <w:rFonts w:ascii="Times New Roman" w:eastAsia="Times New Roman" w:hAnsi="Times New Roman" w:cs="Times New Roman"/>
          <w:szCs w:val="20"/>
        </w:rPr>
      </w:pPr>
    </w:p>
    <w:p w14:paraId="333B233C" w14:textId="77777777" w:rsidR="002939D3" w:rsidRPr="006E2AB2" w:rsidRDefault="002939D3" w:rsidP="002939D3">
      <w:pPr>
        <w:spacing w:after="0" w:line="240" w:lineRule="auto"/>
        <w:rPr>
          <w:rFonts w:ascii="Times New Roman" w:eastAsia="Times New Roman" w:hAnsi="Times New Roman" w:cs="Times New Roman"/>
          <w:szCs w:val="20"/>
        </w:rPr>
      </w:pPr>
    </w:p>
    <w:p w14:paraId="7EC3777B" w14:textId="77777777" w:rsidR="002939D3" w:rsidRPr="006E2AB2" w:rsidRDefault="002939D3" w:rsidP="002939D3">
      <w:pPr>
        <w:spacing w:after="0" w:line="240" w:lineRule="auto"/>
        <w:rPr>
          <w:rFonts w:ascii="Times New Roman" w:eastAsia="Times New Roman" w:hAnsi="Times New Roman" w:cs="Times New Roman"/>
          <w:szCs w:val="20"/>
        </w:rPr>
      </w:pPr>
    </w:p>
    <w:p w14:paraId="2BCB9CDA" w14:textId="77777777" w:rsidR="002939D3" w:rsidRPr="006E2AB2" w:rsidRDefault="002939D3" w:rsidP="002939D3">
      <w:pPr>
        <w:spacing w:after="0" w:line="240" w:lineRule="auto"/>
        <w:rPr>
          <w:rFonts w:ascii="Times New Roman" w:eastAsia="Times New Roman" w:hAnsi="Times New Roman" w:cs="Times New Roman"/>
          <w:szCs w:val="20"/>
        </w:rPr>
      </w:pPr>
    </w:p>
    <w:p w14:paraId="3D4D11B7" w14:textId="77777777" w:rsidR="002939D3" w:rsidRPr="006E2AB2" w:rsidRDefault="002939D3" w:rsidP="002939D3">
      <w:pPr>
        <w:spacing w:after="0" w:line="240" w:lineRule="auto"/>
        <w:rPr>
          <w:rFonts w:ascii="Times New Roman" w:eastAsia="Times New Roman" w:hAnsi="Times New Roman" w:cs="Times New Roman"/>
          <w:szCs w:val="20"/>
        </w:rPr>
      </w:pPr>
    </w:p>
    <w:p w14:paraId="50AD6E00" w14:textId="77777777" w:rsidR="002939D3" w:rsidRPr="006E2AB2" w:rsidRDefault="002939D3" w:rsidP="002939D3">
      <w:pPr>
        <w:spacing w:after="0" w:line="240" w:lineRule="auto"/>
        <w:rPr>
          <w:rFonts w:ascii="Times New Roman" w:eastAsia="Times New Roman" w:hAnsi="Times New Roman" w:cs="Times New Roman"/>
          <w:szCs w:val="20"/>
        </w:rPr>
      </w:pPr>
    </w:p>
    <w:p w14:paraId="2861CBA5" w14:textId="77777777" w:rsidR="002939D3" w:rsidRPr="006E2AB2" w:rsidRDefault="002939D3" w:rsidP="002939D3">
      <w:pPr>
        <w:spacing w:after="0" w:line="240" w:lineRule="auto"/>
        <w:rPr>
          <w:rFonts w:ascii="Times New Roman" w:eastAsia="Times New Roman" w:hAnsi="Times New Roman" w:cs="Times New Roman"/>
          <w:szCs w:val="20"/>
        </w:rPr>
      </w:pPr>
    </w:p>
    <w:p w14:paraId="4ACE4405" w14:textId="77777777" w:rsidR="002939D3" w:rsidRPr="006E2AB2" w:rsidRDefault="002939D3" w:rsidP="002939D3">
      <w:pPr>
        <w:spacing w:after="0" w:line="240" w:lineRule="auto"/>
        <w:rPr>
          <w:rFonts w:ascii="Times New Roman" w:eastAsia="Times New Roman" w:hAnsi="Times New Roman" w:cs="Times New Roman"/>
          <w:szCs w:val="20"/>
        </w:rPr>
      </w:pPr>
    </w:p>
    <w:p w14:paraId="66144DCE" w14:textId="77777777" w:rsidR="002939D3" w:rsidRDefault="002939D3" w:rsidP="002939D3">
      <w:pPr>
        <w:spacing w:after="0" w:line="240" w:lineRule="auto"/>
        <w:rPr>
          <w:rFonts w:ascii="Times New Roman" w:eastAsia="Times New Roman" w:hAnsi="Times New Roman" w:cs="Times New Roman"/>
          <w:color w:val="000000"/>
          <w:szCs w:val="20"/>
        </w:rPr>
      </w:pPr>
    </w:p>
    <w:p w14:paraId="33F9B772" w14:textId="77777777" w:rsidR="002939D3" w:rsidRPr="006E2AB2" w:rsidRDefault="002939D3" w:rsidP="002939D3">
      <w:pPr>
        <w:spacing w:after="0" w:line="240" w:lineRule="auto"/>
        <w:rPr>
          <w:rFonts w:ascii="Times New Roman" w:eastAsia="Times New Roman" w:hAnsi="Times New Roman" w:cs="Times New Roman"/>
          <w:color w:val="000000"/>
          <w:szCs w:val="20"/>
        </w:rPr>
      </w:pPr>
      <w:r>
        <w:rPr>
          <w:rFonts w:ascii="Times New Roman" w:eastAsia="Times New Roman" w:hAnsi="Times New Roman" w:cs="Times New Roman"/>
          <w:color w:val="000000"/>
          <w:szCs w:val="20"/>
        </w:rPr>
        <w:t>*</w:t>
      </w:r>
      <w:r w:rsidRPr="006E2AB2">
        <w:rPr>
          <w:rFonts w:ascii="Times New Roman" w:eastAsia="Times New Roman" w:hAnsi="Times New Roman" w:cs="Times New Roman"/>
          <w:color w:val="000000"/>
          <w:szCs w:val="20"/>
        </w:rPr>
        <w:t>Mean gap</w:t>
      </w:r>
      <w:r>
        <w:rPr>
          <w:rFonts w:ascii="Times New Roman" w:eastAsia="Times New Roman" w:hAnsi="Times New Roman" w:cs="Times New Roman"/>
          <w:color w:val="000000"/>
          <w:szCs w:val="20"/>
        </w:rPr>
        <w:t xml:space="preserve"> calculation</w:t>
      </w:r>
      <w:r w:rsidRPr="006E2AB2">
        <w:rPr>
          <w:rFonts w:ascii="Times New Roman" w:eastAsia="Times New Roman" w:hAnsi="Times New Roman" w:cs="Times New Roman"/>
          <w:color w:val="000000"/>
          <w:szCs w:val="20"/>
        </w:rPr>
        <w:t xml:space="preserve"> excludes all sequences with no gap</w:t>
      </w:r>
    </w:p>
    <w:p w14:paraId="0DFF6191" w14:textId="77777777" w:rsidR="002939D3" w:rsidRPr="006E2AB2" w:rsidRDefault="002939D3" w:rsidP="002939D3">
      <w:pPr>
        <w:spacing w:after="0" w:line="240" w:lineRule="auto"/>
        <w:rPr>
          <w:rFonts w:ascii="Times New Roman" w:eastAsia="Calibri" w:hAnsi="Times New Roman" w:cs="Times New Roman"/>
          <w:iCs/>
        </w:rPr>
      </w:pPr>
      <w:r w:rsidRPr="006E2AB2">
        <w:rPr>
          <w:rFonts w:ascii="Times New Roman" w:eastAsia="Calibri" w:hAnsi="Times New Roman" w:cs="Times New Roman"/>
          <w:b/>
          <w:iCs/>
        </w:rPr>
        <w:t>Table</w:t>
      </w:r>
      <w:r w:rsidRPr="006E2AB2">
        <w:rPr>
          <w:rFonts w:ascii="Times New Roman" w:eastAsia="Calibri" w:hAnsi="Times New Roman" w:cs="Times New Roman"/>
          <w:iCs/>
        </w:rPr>
        <w:t xml:space="preserve"> </w:t>
      </w:r>
      <w:r w:rsidRPr="006E2AB2">
        <w:rPr>
          <w:rFonts w:ascii="Times New Roman" w:eastAsia="Calibri" w:hAnsi="Times New Roman" w:cs="Times New Roman"/>
          <w:b/>
          <w:bCs/>
          <w:iCs/>
        </w:rPr>
        <w:t>1</w:t>
      </w:r>
      <w:r w:rsidRPr="006E2AB2">
        <w:rPr>
          <w:rFonts w:ascii="Times New Roman" w:eastAsia="Calibri" w:hAnsi="Times New Roman" w:cs="Times New Roman"/>
          <w:iCs/>
        </w:rPr>
        <w:t xml:space="preserve">: </w:t>
      </w:r>
      <w:r>
        <w:rPr>
          <w:rFonts w:ascii="Times New Roman" w:eastAsia="Calibri" w:hAnsi="Times New Roman" w:cs="Times New Roman"/>
          <w:iCs/>
        </w:rPr>
        <w:t>Summary of the range of p</w:t>
      </w:r>
      <w:r w:rsidRPr="006E2AB2">
        <w:rPr>
          <w:rFonts w:ascii="Times New Roman" w:eastAsia="Calibri" w:hAnsi="Times New Roman" w:cs="Times New Roman"/>
          <w:iCs/>
        </w:rPr>
        <w:t>rostate MRI acquisition parameters in th</w:t>
      </w:r>
      <w:r>
        <w:rPr>
          <w:rFonts w:ascii="Times New Roman" w:eastAsia="Calibri" w:hAnsi="Times New Roman" w:cs="Times New Roman"/>
          <w:iCs/>
        </w:rPr>
        <w:t>is</w:t>
      </w:r>
      <w:r w:rsidRPr="006E2AB2">
        <w:rPr>
          <w:rFonts w:ascii="Times New Roman" w:eastAsia="Calibri" w:hAnsi="Times New Roman" w:cs="Times New Roman"/>
          <w:iCs/>
        </w:rPr>
        <w:t xml:space="preserve"> study population</w:t>
      </w:r>
    </w:p>
    <w:p w14:paraId="194EA04A" w14:textId="77777777" w:rsidR="002939D3" w:rsidRPr="006E2AB2" w:rsidRDefault="002939D3" w:rsidP="002939D3">
      <w:pPr>
        <w:spacing w:after="0" w:line="240" w:lineRule="auto"/>
        <w:rPr>
          <w:rFonts w:ascii="Times New Roman" w:eastAsia="Times New Roman" w:hAnsi="Times New Roman" w:cs="Times New Roman"/>
          <w:iCs/>
          <w:color w:val="000000"/>
          <w:szCs w:val="20"/>
        </w:rPr>
      </w:pPr>
    </w:p>
    <w:p w14:paraId="7867FB97" w14:textId="77777777" w:rsidR="002939D3" w:rsidRPr="006E2AB2" w:rsidRDefault="002939D3" w:rsidP="002939D3">
      <w:pPr>
        <w:spacing w:after="0" w:line="240" w:lineRule="auto"/>
        <w:rPr>
          <w:rFonts w:ascii="Times New Roman" w:eastAsia="Calibri" w:hAnsi="Times New Roman" w:cs="Times New Roman"/>
        </w:rPr>
      </w:pPr>
      <w:r w:rsidRPr="006E2AB2">
        <w:rPr>
          <w:rFonts w:ascii="Times New Roman" w:eastAsia="Calibri" w:hAnsi="Times New Roman" w:cs="Times New Roman"/>
        </w:rPr>
        <w:br w:type="page"/>
      </w:r>
    </w:p>
    <w:p w14:paraId="482BBF59" w14:textId="77777777" w:rsidR="002939D3" w:rsidRPr="006E2AB2" w:rsidRDefault="002939D3" w:rsidP="002939D3">
      <w:pPr>
        <w:spacing w:line="240" w:lineRule="auto"/>
        <w:jc w:val="both"/>
        <w:rPr>
          <w:rFonts w:ascii="Times New Roman" w:eastAsia="Calibri" w:hAnsi="Times New Roman" w:cs="Times New Roman"/>
        </w:rPr>
      </w:pPr>
    </w:p>
    <w:p w14:paraId="51589DF6" w14:textId="77777777" w:rsidR="002939D3" w:rsidRPr="006E2AB2" w:rsidRDefault="002939D3" w:rsidP="002939D3">
      <w:pPr>
        <w:spacing w:after="0" w:line="240" w:lineRule="auto"/>
        <w:rPr>
          <w:rFonts w:ascii="Times New Roman" w:eastAsia="Calibri" w:hAnsi="Times New Roman" w:cs="Times New Roman"/>
          <w:b/>
          <w:i/>
        </w:rPr>
      </w:pPr>
    </w:p>
    <w:tbl>
      <w:tblPr>
        <w:tblpPr w:leftFromText="180" w:rightFromText="180" w:vertAnchor="text" w:horzAnchor="margin" w:tblpY="53"/>
        <w:tblW w:w="7807" w:type="dxa"/>
        <w:tblCellMar>
          <w:left w:w="0" w:type="dxa"/>
          <w:right w:w="0" w:type="dxa"/>
        </w:tblCellMar>
        <w:tblLook w:val="04A0" w:firstRow="1" w:lastRow="0" w:firstColumn="1" w:lastColumn="0" w:noHBand="0" w:noVBand="1"/>
      </w:tblPr>
      <w:tblGrid>
        <w:gridCol w:w="580"/>
        <w:gridCol w:w="2260"/>
        <w:gridCol w:w="1300"/>
        <w:gridCol w:w="1180"/>
        <w:gridCol w:w="1187"/>
        <w:gridCol w:w="1300"/>
      </w:tblGrid>
      <w:tr w:rsidR="002939D3" w:rsidRPr="006E2AB2" w14:paraId="36702FF2" w14:textId="77777777" w:rsidTr="000915D9">
        <w:trPr>
          <w:trHeight w:val="380"/>
        </w:trPr>
        <w:tc>
          <w:tcPr>
            <w:tcW w:w="580" w:type="dxa"/>
            <w:tcBorders>
              <w:top w:val="single" w:sz="18" w:space="0" w:color="auto"/>
              <w:left w:val="nil"/>
              <w:bottom w:val="single" w:sz="4" w:space="0" w:color="auto"/>
              <w:right w:val="nil"/>
            </w:tcBorders>
            <w:shd w:val="clear" w:color="000000" w:fill="E7E6E6"/>
            <w:noWrap/>
            <w:tcMar>
              <w:top w:w="15" w:type="dxa"/>
              <w:left w:w="15" w:type="dxa"/>
              <w:bottom w:w="0" w:type="dxa"/>
              <w:right w:w="15" w:type="dxa"/>
            </w:tcMar>
            <w:vAlign w:val="bottom"/>
            <w:hideMark/>
          </w:tcPr>
          <w:p w14:paraId="4FB0BE08"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 </w:t>
            </w:r>
          </w:p>
        </w:tc>
        <w:tc>
          <w:tcPr>
            <w:tcW w:w="2260" w:type="dxa"/>
            <w:tcBorders>
              <w:top w:val="single" w:sz="18" w:space="0" w:color="auto"/>
              <w:left w:val="nil"/>
              <w:bottom w:val="single" w:sz="4" w:space="0" w:color="auto"/>
              <w:right w:val="nil"/>
            </w:tcBorders>
            <w:shd w:val="clear" w:color="000000" w:fill="E7E6E6"/>
            <w:noWrap/>
            <w:tcMar>
              <w:top w:w="15" w:type="dxa"/>
              <w:left w:w="15" w:type="dxa"/>
              <w:bottom w:w="0" w:type="dxa"/>
              <w:right w:w="15" w:type="dxa"/>
            </w:tcMar>
            <w:vAlign w:val="bottom"/>
            <w:hideMark/>
          </w:tcPr>
          <w:p w14:paraId="4A7726AD" w14:textId="77777777" w:rsidR="002939D3" w:rsidRPr="006E2AB2" w:rsidRDefault="002939D3" w:rsidP="000915D9">
            <w:pPr>
              <w:spacing w:after="0" w:line="240" w:lineRule="auto"/>
              <w:jc w:val="center"/>
              <w:rPr>
                <w:rFonts w:ascii="Times New Roman" w:eastAsia="Calibri" w:hAnsi="Times New Roman" w:cs="Times New Roman"/>
                <w:b/>
                <w:bCs/>
                <w:color w:val="000000"/>
              </w:rPr>
            </w:pPr>
            <w:r w:rsidRPr="006E2AB2">
              <w:rPr>
                <w:rFonts w:ascii="Times New Roman" w:eastAsia="Calibri" w:hAnsi="Times New Roman" w:cs="Times New Roman"/>
                <w:b/>
                <w:bCs/>
                <w:color w:val="000000"/>
              </w:rPr>
              <w:t>Agreement Metric</w:t>
            </w:r>
          </w:p>
        </w:tc>
        <w:tc>
          <w:tcPr>
            <w:tcW w:w="1300" w:type="dxa"/>
            <w:tcBorders>
              <w:top w:val="single" w:sz="18" w:space="0" w:color="auto"/>
              <w:left w:val="nil"/>
              <w:bottom w:val="single" w:sz="4" w:space="0" w:color="auto"/>
              <w:right w:val="nil"/>
            </w:tcBorders>
            <w:shd w:val="clear" w:color="000000" w:fill="E7E6E6"/>
            <w:noWrap/>
            <w:tcMar>
              <w:top w:w="15" w:type="dxa"/>
              <w:left w:w="15" w:type="dxa"/>
              <w:bottom w:w="0" w:type="dxa"/>
              <w:right w:w="15" w:type="dxa"/>
            </w:tcMar>
            <w:vAlign w:val="bottom"/>
            <w:hideMark/>
          </w:tcPr>
          <w:p w14:paraId="581398A8" w14:textId="77777777" w:rsidR="002939D3" w:rsidRPr="006E2AB2" w:rsidRDefault="002939D3" w:rsidP="000915D9">
            <w:pPr>
              <w:spacing w:after="0" w:line="240" w:lineRule="auto"/>
              <w:jc w:val="center"/>
              <w:rPr>
                <w:rFonts w:ascii="Times New Roman" w:eastAsia="Calibri" w:hAnsi="Times New Roman" w:cs="Times New Roman"/>
                <w:b/>
                <w:bCs/>
                <w:color w:val="000000"/>
              </w:rPr>
            </w:pPr>
            <w:r w:rsidRPr="006E2AB2">
              <w:rPr>
                <w:rFonts w:ascii="Times New Roman" w:eastAsia="Calibri" w:hAnsi="Times New Roman" w:cs="Times New Roman"/>
                <w:b/>
                <w:bCs/>
                <w:color w:val="000000"/>
              </w:rPr>
              <w:t>Adequate</w:t>
            </w:r>
          </w:p>
        </w:tc>
        <w:tc>
          <w:tcPr>
            <w:tcW w:w="1180" w:type="dxa"/>
            <w:tcBorders>
              <w:top w:val="single" w:sz="18" w:space="0" w:color="auto"/>
              <w:left w:val="nil"/>
              <w:bottom w:val="single" w:sz="4" w:space="0" w:color="auto"/>
              <w:right w:val="nil"/>
            </w:tcBorders>
            <w:shd w:val="clear" w:color="000000" w:fill="E7E6E6"/>
            <w:noWrap/>
            <w:tcMar>
              <w:top w:w="15" w:type="dxa"/>
              <w:left w:w="15" w:type="dxa"/>
              <w:bottom w:w="0" w:type="dxa"/>
              <w:right w:w="15" w:type="dxa"/>
            </w:tcMar>
            <w:vAlign w:val="bottom"/>
            <w:hideMark/>
          </w:tcPr>
          <w:p w14:paraId="02D44EC2" w14:textId="77777777" w:rsidR="002939D3" w:rsidRPr="006E2AB2" w:rsidRDefault="002939D3" w:rsidP="000915D9">
            <w:pPr>
              <w:spacing w:after="0" w:line="240" w:lineRule="auto"/>
              <w:jc w:val="center"/>
              <w:rPr>
                <w:rFonts w:ascii="Times New Roman" w:eastAsia="Calibri" w:hAnsi="Times New Roman" w:cs="Times New Roman"/>
                <w:b/>
                <w:bCs/>
                <w:color w:val="000000"/>
              </w:rPr>
            </w:pPr>
            <w:r w:rsidRPr="006E2AB2">
              <w:rPr>
                <w:rFonts w:ascii="Times New Roman" w:eastAsia="Calibri" w:hAnsi="Times New Roman" w:cs="Times New Roman"/>
                <w:b/>
                <w:bCs/>
                <w:color w:val="000000"/>
              </w:rPr>
              <w:t>Quality</w:t>
            </w:r>
          </w:p>
        </w:tc>
        <w:tc>
          <w:tcPr>
            <w:tcW w:w="1187" w:type="dxa"/>
            <w:tcBorders>
              <w:top w:val="single" w:sz="18" w:space="0" w:color="auto"/>
              <w:left w:val="nil"/>
              <w:bottom w:val="single" w:sz="4" w:space="0" w:color="auto"/>
              <w:right w:val="nil"/>
            </w:tcBorders>
            <w:shd w:val="clear" w:color="000000" w:fill="E7E6E6"/>
            <w:noWrap/>
            <w:tcMar>
              <w:top w:w="15" w:type="dxa"/>
              <w:left w:w="15" w:type="dxa"/>
              <w:bottom w:w="0" w:type="dxa"/>
              <w:right w:w="15" w:type="dxa"/>
            </w:tcMar>
            <w:vAlign w:val="bottom"/>
            <w:hideMark/>
          </w:tcPr>
          <w:p w14:paraId="25DE2745" w14:textId="77777777" w:rsidR="002939D3" w:rsidRPr="006E2AB2" w:rsidRDefault="002939D3" w:rsidP="000915D9">
            <w:pPr>
              <w:spacing w:after="0" w:line="240" w:lineRule="auto"/>
              <w:jc w:val="center"/>
              <w:rPr>
                <w:rFonts w:ascii="Times New Roman" w:eastAsia="Calibri" w:hAnsi="Times New Roman" w:cs="Times New Roman"/>
                <w:b/>
                <w:bCs/>
                <w:color w:val="000000"/>
              </w:rPr>
            </w:pPr>
            <w:r w:rsidRPr="006E2AB2">
              <w:rPr>
                <w:rFonts w:ascii="Times New Roman" w:eastAsia="Calibri" w:hAnsi="Times New Roman" w:cs="Times New Roman"/>
                <w:b/>
                <w:bCs/>
                <w:color w:val="000000"/>
              </w:rPr>
              <w:t>Blurriness</w:t>
            </w:r>
          </w:p>
        </w:tc>
        <w:tc>
          <w:tcPr>
            <w:tcW w:w="1300" w:type="dxa"/>
            <w:tcBorders>
              <w:top w:val="single" w:sz="18" w:space="0" w:color="auto"/>
              <w:left w:val="nil"/>
              <w:bottom w:val="single" w:sz="4" w:space="0" w:color="auto"/>
              <w:right w:val="nil"/>
            </w:tcBorders>
            <w:shd w:val="clear" w:color="000000" w:fill="E7E6E6"/>
            <w:noWrap/>
            <w:tcMar>
              <w:top w:w="15" w:type="dxa"/>
              <w:left w:w="15" w:type="dxa"/>
              <w:bottom w:w="0" w:type="dxa"/>
              <w:right w:w="15" w:type="dxa"/>
            </w:tcMar>
            <w:vAlign w:val="bottom"/>
            <w:hideMark/>
          </w:tcPr>
          <w:p w14:paraId="56953DC9" w14:textId="77777777" w:rsidR="002939D3" w:rsidRPr="006E2AB2" w:rsidRDefault="002939D3" w:rsidP="000915D9">
            <w:pPr>
              <w:spacing w:after="0" w:line="240" w:lineRule="auto"/>
              <w:jc w:val="center"/>
              <w:rPr>
                <w:rFonts w:ascii="Times New Roman" w:eastAsia="Calibri" w:hAnsi="Times New Roman" w:cs="Times New Roman"/>
                <w:b/>
                <w:bCs/>
                <w:color w:val="000000"/>
              </w:rPr>
            </w:pPr>
            <w:r w:rsidRPr="006E2AB2">
              <w:rPr>
                <w:rFonts w:ascii="Times New Roman" w:eastAsia="Calibri" w:hAnsi="Times New Roman" w:cs="Times New Roman"/>
                <w:b/>
                <w:bCs/>
                <w:color w:val="000000"/>
              </w:rPr>
              <w:t>Contrast</w:t>
            </w:r>
          </w:p>
        </w:tc>
      </w:tr>
      <w:tr w:rsidR="002939D3" w:rsidRPr="006E2AB2" w14:paraId="3518D5FF" w14:textId="77777777" w:rsidTr="000915D9">
        <w:trPr>
          <w:trHeight w:val="340"/>
        </w:trPr>
        <w:tc>
          <w:tcPr>
            <w:tcW w:w="0" w:type="auto"/>
            <w:vMerge w:val="restart"/>
            <w:tcBorders>
              <w:top w:val="nil"/>
              <w:left w:val="nil"/>
              <w:bottom w:val="single" w:sz="8" w:space="0" w:color="000000"/>
              <w:right w:val="nil"/>
            </w:tcBorders>
            <w:shd w:val="clear" w:color="000000" w:fill="E7E6E6"/>
            <w:noWrap/>
            <w:tcMar>
              <w:top w:w="15" w:type="dxa"/>
              <w:left w:w="15" w:type="dxa"/>
              <w:bottom w:w="0" w:type="dxa"/>
              <w:right w:w="15" w:type="dxa"/>
            </w:tcMar>
            <w:vAlign w:val="center"/>
            <w:hideMark/>
          </w:tcPr>
          <w:p w14:paraId="08EC2E49" w14:textId="77777777" w:rsidR="002939D3" w:rsidRPr="006E2AB2" w:rsidRDefault="002939D3" w:rsidP="000915D9">
            <w:pPr>
              <w:spacing w:after="0" w:line="240" w:lineRule="auto"/>
              <w:jc w:val="center"/>
              <w:rPr>
                <w:rFonts w:ascii="Times New Roman" w:eastAsia="Calibri" w:hAnsi="Times New Roman" w:cs="Times New Roman"/>
                <w:b/>
                <w:bCs/>
                <w:color w:val="000000"/>
              </w:rPr>
            </w:pPr>
            <w:r w:rsidRPr="006E2AB2">
              <w:rPr>
                <w:rFonts w:ascii="Times New Roman" w:eastAsia="Calibri" w:hAnsi="Times New Roman" w:cs="Times New Roman"/>
                <w:b/>
                <w:bCs/>
                <w:color w:val="000000"/>
              </w:rPr>
              <w:t>T2</w:t>
            </w:r>
          </w:p>
        </w:tc>
        <w:tc>
          <w:tcPr>
            <w:tcW w:w="0" w:type="auto"/>
            <w:tcBorders>
              <w:top w:val="nil"/>
              <w:left w:val="nil"/>
              <w:bottom w:val="nil"/>
              <w:right w:val="single" w:sz="4" w:space="0" w:color="auto"/>
            </w:tcBorders>
            <w:shd w:val="clear" w:color="000000" w:fill="E7E6E6"/>
            <w:noWrap/>
            <w:tcMar>
              <w:top w:w="15" w:type="dxa"/>
              <w:left w:w="15" w:type="dxa"/>
              <w:bottom w:w="0" w:type="dxa"/>
              <w:right w:w="15" w:type="dxa"/>
            </w:tcMar>
            <w:vAlign w:val="bottom"/>
            <w:hideMark/>
          </w:tcPr>
          <w:p w14:paraId="67B8520D"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Complete Agreement*</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2530AB05"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58%</w:t>
            </w:r>
          </w:p>
        </w:tc>
        <w:tc>
          <w:tcPr>
            <w:tcW w:w="1180" w:type="dxa"/>
            <w:tcBorders>
              <w:top w:val="nil"/>
              <w:left w:val="nil"/>
              <w:bottom w:val="nil"/>
              <w:right w:val="nil"/>
            </w:tcBorders>
            <w:shd w:val="clear" w:color="auto" w:fill="auto"/>
            <w:noWrap/>
            <w:tcMar>
              <w:top w:w="15" w:type="dxa"/>
              <w:left w:w="15" w:type="dxa"/>
              <w:bottom w:w="0" w:type="dxa"/>
              <w:right w:w="15" w:type="dxa"/>
            </w:tcMar>
            <w:vAlign w:val="bottom"/>
            <w:hideMark/>
          </w:tcPr>
          <w:p w14:paraId="571DA0AD"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2%</w:t>
            </w:r>
          </w:p>
        </w:tc>
        <w:tc>
          <w:tcPr>
            <w:tcW w:w="1187" w:type="dxa"/>
            <w:tcBorders>
              <w:top w:val="nil"/>
              <w:left w:val="nil"/>
              <w:bottom w:val="nil"/>
              <w:right w:val="nil"/>
            </w:tcBorders>
            <w:shd w:val="clear" w:color="auto" w:fill="auto"/>
            <w:noWrap/>
            <w:tcMar>
              <w:top w:w="15" w:type="dxa"/>
              <w:left w:w="15" w:type="dxa"/>
              <w:bottom w:w="0" w:type="dxa"/>
              <w:right w:w="15" w:type="dxa"/>
            </w:tcMar>
            <w:vAlign w:val="bottom"/>
            <w:hideMark/>
          </w:tcPr>
          <w:p w14:paraId="26AA0017"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2D233C4"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3%</w:t>
            </w:r>
          </w:p>
        </w:tc>
      </w:tr>
      <w:tr w:rsidR="002939D3" w:rsidRPr="006E2AB2" w14:paraId="481D3A36" w14:textId="77777777" w:rsidTr="000915D9">
        <w:trPr>
          <w:trHeight w:val="340"/>
        </w:trPr>
        <w:tc>
          <w:tcPr>
            <w:tcW w:w="0" w:type="auto"/>
            <w:vMerge/>
            <w:tcBorders>
              <w:top w:val="nil"/>
              <w:left w:val="nil"/>
              <w:bottom w:val="single" w:sz="8" w:space="0" w:color="000000"/>
              <w:right w:val="nil"/>
            </w:tcBorders>
            <w:vAlign w:val="center"/>
            <w:hideMark/>
          </w:tcPr>
          <w:p w14:paraId="14D671C7" w14:textId="77777777" w:rsidR="002939D3" w:rsidRPr="006E2AB2" w:rsidRDefault="002939D3" w:rsidP="000915D9">
            <w:pPr>
              <w:spacing w:after="0" w:line="240" w:lineRule="auto"/>
              <w:rPr>
                <w:rFonts w:ascii="Times New Roman" w:eastAsia="Calibri" w:hAnsi="Times New Roman" w:cs="Times New Roman"/>
                <w:b/>
                <w:bCs/>
                <w:color w:val="000000"/>
              </w:rPr>
            </w:pPr>
          </w:p>
        </w:tc>
        <w:tc>
          <w:tcPr>
            <w:tcW w:w="0" w:type="auto"/>
            <w:tcBorders>
              <w:top w:val="nil"/>
              <w:left w:val="nil"/>
              <w:bottom w:val="nil"/>
              <w:right w:val="single" w:sz="4" w:space="0" w:color="auto"/>
            </w:tcBorders>
            <w:shd w:val="clear" w:color="000000" w:fill="E7E6E6"/>
            <w:noWrap/>
            <w:tcMar>
              <w:top w:w="15" w:type="dxa"/>
              <w:left w:w="15" w:type="dxa"/>
              <w:bottom w:w="0" w:type="dxa"/>
              <w:right w:w="15" w:type="dxa"/>
            </w:tcMar>
            <w:vAlign w:val="bottom"/>
            <w:hideMark/>
          </w:tcPr>
          <w:p w14:paraId="01D7A67B"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Majority Agreement*</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491A5F3A"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84%</w:t>
            </w:r>
          </w:p>
        </w:tc>
        <w:tc>
          <w:tcPr>
            <w:tcW w:w="1180" w:type="dxa"/>
            <w:tcBorders>
              <w:top w:val="nil"/>
              <w:left w:val="nil"/>
              <w:bottom w:val="nil"/>
              <w:right w:val="nil"/>
            </w:tcBorders>
            <w:shd w:val="clear" w:color="auto" w:fill="auto"/>
            <w:noWrap/>
            <w:tcMar>
              <w:top w:w="15" w:type="dxa"/>
              <w:left w:w="15" w:type="dxa"/>
              <w:bottom w:w="0" w:type="dxa"/>
              <w:right w:w="15" w:type="dxa"/>
            </w:tcMar>
            <w:vAlign w:val="bottom"/>
            <w:hideMark/>
          </w:tcPr>
          <w:p w14:paraId="13C403CD"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47%</w:t>
            </w:r>
          </w:p>
        </w:tc>
        <w:tc>
          <w:tcPr>
            <w:tcW w:w="1187" w:type="dxa"/>
            <w:tcBorders>
              <w:top w:val="nil"/>
              <w:left w:val="nil"/>
              <w:bottom w:val="nil"/>
              <w:right w:val="nil"/>
            </w:tcBorders>
            <w:shd w:val="clear" w:color="auto" w:fill="auto"/>
            <w:noWrap/>
            <w:tcMar>
              <w:top w:w="15" w:type="dxa"/>
              <w:left w:w="15" w:type="dxa"/>
              <w:bottom w:w="0" w:type="dxa"/>
              <w:right w:w="15" w:type="dxa"/>
            </w:tcMar>
            <w:vAlign w:val="bottom"/>
            <w:hideMark/>
          </w:tcPr>
          <w:p w14:paraId="61D27DC7"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50%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3301EDF"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50%</w:t>
            </w:r>
          </w:p>
        </w:tc>
      </w:tr>
      <w:tr w:rsidR="002939D3" w:rsidRPr="006E2AB2" w14:paraId="371B7087" w14:textId="77777777" w:rsidTr="000915D9">
        <w:trPr>
          <w:trHeight w:val="340"/>
        </w:trPr>
        <w:tc>
          <w:tcPr>
            <w:tcW w:w="0" w:type="auto"/>
            <w:vMerge/>
            <w:tcBorders>
              <w:top w:val="nil"/>
              <w:left w:val="nil"/>
              <w:bottom w:val="single" w:sz="8" w:space="0" w:color="000000"/>
              <w:right w:val="nil"/>
            </w:tcBorders>
            <w:vAlign w:val="center"/>
            <w:hideMark/>
          </w:tcPr>
          <w:p w14:paraId="244F045B" w14:textId="77777777" w:rsidR="002939D3" w:rsidRPr="006E2AB2" w:rsidRDefault="002939D3" w:rsidP="000915D9">
            <w:pPr>
              <w:spacing w:after="0" w:line="240" w:lineRule="auto"/>
              <w:rPr>
                <w:rFonts w:ascii="Times New Roman" w:eastAsia="Calibri" w:hAnsi="Times New Roman" w:cs="Times New Roman"/>
                <w:b/>
                <w:bCs/>
                <w:color w:val="000000"/>
              </w:rPr>
            </w:pPr>
          </w:p>
        </w:tc>
        <w:tc>
          <w:tcPr>
            <w:tcW w:w="0" w:type="auto"/>
            <w:tcBorders>
              <w:top w:val="nil"/>
              <w:left w:val="nil"/>
              <w:bottom w:val="nil"/>
              <w:right w:val="single" w:sz="4" w:space="0" w:color="auto"/>
            </w:tcBorders>
            <w:shd w:val="clear" w:color="000000" w:fill="E7E6E6"/>
            <w:noWrap/>
            <w:tcMar>
              <w:top w:w="15" w:type="dxa"/>
              <w:left w:w="15" w:type="dxa"/>
              <w:bottom w:w="0" w:type="dxa"/>
              <w:right w:w="15" w:type="dxa"/>
            </w:tcMar>
            <w:vAlign w:val="bottom"/>
            <w:hideMark/>
          </w:tcPr>
          <w:p w14:paraId="0666EFA1"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Fleiss’ Kappa (SE)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36039B6D"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0.40 (0.08)</w:t>
            </w:r>
          </w:p>
        </w:tc>
        <w:tc>
          <w:tcPr>
            <w:tcW w:w="1180" w:type="dxa"/>
            <w:tcBorders>
              <w:top w:val="nil"/>
              <w:left w:val="nil"/>
              <w:bottom w:val="nil"/>
              <w:right w:val="nil"/>
            </w:tcBorders>
            <w:shd w:val="clear" w:color="auto" w:fill="auto"/>
            <w:noWrap/>
            <w:tcMar>
              <w:top w:w="15" w:type="dxa"/>
              <w:left w:w="15" w:type="dxa"/>
              <w:bottom w:w="0" w:type="dxa"/>
              <w:right w:w="15" w:type="dxa"/>
            </w:tcMar>
            <w:vAlign w:val="bottom"/>
            <w:hideMark/>
          </w:tcPr>
          <w:p w14:paraId="436E7752"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0.17 (0.03)</w:t>
            </w:r>
          </w:p>
        </w:tc>
        <w:tc>
          <w:tcPr>
            <w:tcW w:w="1187" w:type="dxa"/>
            <w:tcBorders>
              <w:top w:val="nil"/>
              <w:left w:val="nil"/>
              <w:bottom w:val="nil"/>
              <w:right w:val="nil"/>
            </w:tcBorders>
            <w:shd w:val="clear" w:color="auto" w:fill="auto"/>
            <w:noWrap/>
            <w:tcMar>
              <w:top w:w="15" w:type="dxa"/>
              <w:left w:w="15" w:type="dxa"/>
              <w:bottom w:w="0" w:type="dxa"/>
              <w:right w:w="15" w:type="dxa"/>
            </w:tcMar>
            <w:vAlign w:val="bottom"/>
            <w:hideMark/>
          </w:tcPr>
          <w:p w14:paraId="7FE44CA4"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0.17 (0.03)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45D3732"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0.19 (0.03)</w:t>
            </w:r>
          </w:p>
        </w:tc>
      </w:tr>
      <w:tr w:rsidR="002939D3" w:rsidRPr="006E2AB2" w14:paraId="7BCC7F8B" w14:textId="77777777" w:rsidTr="000915D9">
        <w:trPr>
          <w:trHeight w:val="340"/>
        </w:trPr>
        <w:tc>
          <w:tcPr>
            <w:tcW w:w="0" w:type="auto"/>
            <w:vMerge/>
            <w:tcBorders>
              <w:top w:val="nil"/>
              <w:left w:val="nil"/>
              <w:bottom w:val="single" w:sz="18" w:space="0" w:color="auto"/>
              <w:right w:val="nil"/>
            </w:tcBorders>
            <w:vAlign w:val="center"/>
            <w:hideMark/>
          </w:tcPr>
          <w:p w14:paraId="32B8AC28" w14:textId="77777777" w:rsidR="002939D3" w:rsidRPr="006E2AB2" w:rsidRDefault="002939D3" w:rsidP="000915D9">
            <w:pPr>
              <w:spacing w:after="0" w:line="240" w:lineRule="auto"/>
              <w:rPr>
                <w:rFonts w:ascii="Times New Roman" w:eastAsia="Calibri" w:hAnsi="Times New Roman" w:cs="Times New Roman"/>
                <w:b/>
                <w:bCs/>
                <w:color w:val="000000"/>
              </w:rPr>
            </w:pPr>
          </w:p>
        </w:tc>
        <w:tc>
          <w:tcPr>
            <w:tcW w:w="0" w:type="auto"/>
            <w:tcBorders>
              <w:top w:val="nil"/>
              <w:left w:val="nil"/>
              <w:bottom w:val="single" w:sz="18" w:space="0" w:color="auto"/>
              <w:right w:val="single" w:sz="4" w:space="0" w:color="auto"/>
            </w:tcBorders>
            <w:shd w:val="clear" w:color="000000" w:fill="E7E6E6"/>
            <w:noWrap/>
            <w:tcMar>
              <w:top w:w="15" w:type="dxa"/>
              <w:left w:w="15" w:type="dxa"/>
              <w:bottom w:w="0" w:type="dxa"/>
              <w:right w:w="15" w:type="dxa"/>
            </w:tcMar>
            <w:vAlign w:val="bottom"/>
            <w:hideMark/>
          </w:tcPr>
          <w:p w14:paraId="71B14E73"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Conclusion</w:t>
            </w:r>
            <w:r w:rsidRPr="003A191A">
              <w:rPr>
                <w:rFonts w:ascii="Times New Roman" w:eastAsia="Calibri" w:hAnsi="Times New Roman" w:cs="Times New Roman"/>
                <w:color w:val="000000"/>
                <w:vertAlign w:val="superscript"/>
              </w:rPr>
              <w:t>†</w:t>
            </w:r>
          </w:p>
        </w:tc>
        <w:tc>
          <w:tcPr>
            <w:tcW w:w="0" w:type="auto"/>
            <w:tcBorders>
              <w:top w:val="nil"/>
              <w:left w:val="nil"/>
              <w:bottom w:val="single" w:sz="18" w:space="0" w:color="auto"/>
              <w:right w:val="nil"/>
            </w:tcBorders>
            <w:shd w:val="clear" w:color="auto" w:fill="auto"/>
            <w:noWrap/>
            <w:tcMar>
              <w:top w:w="15" w:type="dxa"/>
              <w:left w:w="15" w:type="dxa"/>
              <w:bottom w:w="0" w:type="dxa"/>
              <w:right w:w="15" w:type="dxa"/>
            </w:tcMar>
            <w:vAlign w:val="bottom"/>
            <w:hideMark/>
          </w:tcPr>
          <w:p w14:paraId="3A1B7C67"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Fair</w:t>
            </w:r>
          </w:p>
        </w:tc>
        <w:tc>
          <w:tcPr>
            <w:tcW w:w="1180" w:type="dxa"/>
            <w:tcBorders>
              <w:top w:val="nil"/>
              <w:left w:val="nil"/>
              <w:bottom w:val="single" w:sz="18" w:space="0" w:color="auto"/>
              <w:right w:val="nil"/>
            </w:tcBorders>
            <w:shd w:val="clear" w:color="auto" w:fill="auto"/>
            <w:noWrap/>
            <w:tcMar>
              <w:top w:w="15" w:type="dxa"/>
              <w:left w:w="15" w:type="dxa"/>
              <w:bottom w:w="0" w:type="dxa"/>
              <w:right w:w="15" w:type="dxa"/>
            </w:tcMar>
            <w:vAlign w:val="bottom"/>
            <w:hideMark/>
          </w:tcPr>
          <w:p w14:paraId="4B80412D"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Slight</w:t>
            </w:r>
          </w:p>
        </w:tc>
        <w:tc>
          <w:tcPr>
            <w:tcW w:w="1187" w:type="dxa"/>
            <w:tcBorders>
              <w:top w:val="nil"/>
              <w:left w:val="nil"/>
              <w:bottom w:val="single" w:sz="18" w:space="0" w:color="auto"/>
              <w:right w:val="nil"/>
            </w:tcBorders>
            <w:shd w:val="clear" w:color="auto" w:fill="auto"/>
            <w:noWrap/>
            <w:tcMar>
              <w:top w:w="15" w:type="dxa"/>
              <w:left w:w="15" w:type="dxa"/>
              <w:bottom w:w="0" w:type="dxa"/>
              <w:right w:w="15" w:type="dxa"/>
            </w:tcMar>
            <w:vAlign w:val="bottom"/>
            <w:hideMark/>
          </w:tcPr>
          <w:p w14:paraId="12513950"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Slight</w:t>
            </w:r>
          </w:p>
        </w:tc>
        <w:tc>
          <w:tcPr>
            <w:tcW w:w="0" w:type="auto"/>
            <w:tcBorders>
              <w:top w:val="nil"/>
              <w:left w:val="nil"/>
              <w:bottom w:val="single" w:sz="18" w:space="0" w:color="auto"/>
              <w:right w:val="nil"/>
            </w:tcBorders>
            <w:shd w:val="clear" w:color="auto" w:fill="auto"/>
            <w:noWrap/>
            <w:tcMar>
              <w:top w:w="15" w:type="dxa"/>
              <w:left w:w="15" w:type="dxa"/>
              <w:bottom w:w="0" w:type="dxa"/>
              <w:right w:w="15" w:type="dxa"/>
            </w:tcMar>
            <w:vAlign w:val="bottom"/>
            <w:hideMark/>
          </w:tcPr>
          <w:p w14:paraId="51105CFF"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Slight</w:t>
            </w:r>
          </w:p>
        </w:tc>
      </w:tr>
      <w:tr w:rsidR="002939D3" w:rsidRPr="006E2AB2" w14:paraId="3AF625BD" w14:textId="77777777" w:rsidTr="000915D9">
        <w:trPr>
          <w:trHeight w:val="340"/>
        </w:trPr>
        <w:tc>
          <w:tcPr>
            <w:tcW w:w="0" w:type="auto"/>
            <w:vMerge w:val="restart"/>
            <w:tcBorders>
              <w:top w:val="single" w:sz="18" w:space="0" w:color="auto"/>
              <w:left w:val="nil"/>
              <w:bottom w:val="nil"/>
              <w:right w:val="nil"/>
            </w:tcBorders>
            <w:shd w:val="clear" w:color="000000" w:fill="E7E6E6"/>
            <w:noWrap/>
            <w:tcMar>
              <w:top w:w="15" w:type="dxa"/>
              <w:left w:w="15" w:type="dxa"/>
              <w:bottom w:w="0" w:type="dxa"/>
              <w:right w:w="15" w:type="dxa"/>
            </w:tcMar>
            <w:vAlign w:val="center"/>
            <w:hideMark/>
          </w:tcPr>
          <w:p w14:paraId="6F4600B0" w14:textId="77777777" w:rsidR="002939D3" w:rsidRPr="006E2AB2" w:rsidRDefault="002939D3" w:rsidP="000915D9">
            <w:pPr>
              <w:spacing w:after="0" w:line="240" w:lineRule="auto"/>
              <w:jc w:val="center"/>
              <w:rPr>
                <w:rFonts w:ascii="Times New Roman" w:eastAsia="Calibri" w:hAnsi="Times New Roman" w:cs="Times New Roman"/>
                <w:b/>
                <w:bCs/>
                <w:color w:val="000000"/>
              </w:rPr>
            </w:pPr>
            <w:r w:rsidRPr="006E2AB2">
              <w:rPr>
                <w:rFonts w:ascii="Times New Roman" w:eastAsia="Calibri" w:hAnsi="Times New Roman" w:cs="Times New Roman"/>
                <w:b/>
                <w:bCs/>
                <w:color w:val="000000"/>
              </w:rPr>
              <w:t>DWI</w:t>
            </w:r>
          </w:p>
        </w:tc>
        <w:tc>
          <w:tcPr>
            <w:tcW w:w="0" w:type="auto"/>
            <w:tcBorders>
              <w:top w:val="single" w:sz="18" w:space="0" w:color="auto"/>
              <w:left w:val="nil"/>
              <w:bottom w:val="nil"/>
              <w:right w:val="single" w:sz="4" w:space="0" w:color="auto"/>
            </w:tcBorders>
            <w:shd w:val="clear" w:color="000000" w:fill="E7E6E6"/>
            <w:noWrap/>
            <w:tcMar>
              <w:top w:w="15" w:type="dxa"/>
              <w:left w:w="15" w:type="dxa"/>
              <w:bottom w:w="0" w:type="dxa"/>
              <w:right w:w="15" w:type="dxa"/>
            </w:tcMar>
            <w:vAlign w:val="bottom"/>
            <w:hideMark/>
          </w:tcPr>
          <w:p w14:paraId="6B955041"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Complete Agreement*</w:t>
            </w:r>
          </w:p>
        </w:tc>
        <w:tc>
          <w:tcPr>
            <w:tcW w:w="0" w:type="auto"/>
            <w:tcBorders>
              <w:top w:val="single" w:sz="18" w:space="0" w:color="auto"/>
              <w:left w:val="nil"/>
              <w:bottom w:val="nil"/>
              <w:right w:val="nil"/>
            </w:tcBorders>
            <w:shd w:val="clear" w:color="auto" w:fill="auto"/>
            <w:noWrap/>
            <w:tcMar>
              <w:top w:w="15" w:type="dxa"/>
              <w:left w:w="15" w:type="dxa"/>
              <w:bottom w:w="0" w:type="dxa"/>
              <w:right w:w="15" w:type="dxa"/>
            </w:tcMar>
            <w:vAlign w:val="bottom"/>
            <w:hideMark/>
          </w:tcPr>
          <w:p w14:paraId="5A34B23E"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29%</w:t>
            </w:r>
          </w:p>
        </w:tc>
        <w:tc>
          <w:tcPr>
            <w:tcW w:w="1180" w:type="dxa"/>
            <w:tcBorders>
              <w:top w:val="single" w:sz="18" w:space="0" w:color="auto"/>
              <w:left w:val="nil"/>
              <w:bottom w:val="nil"/>
              <w:right w:val="nil"/>
            </w:tcBorders>
            <w:shd w:val="clear" w:color="auto" w:fill="auto"/>
            <w:noWrap/>
            <w:tcMar>
              <w:top w:w="15" w:type="dxa"/>
              <w:left w:w="15" w:type="dxa"/>
              <w:bottom w:w="0" w:type="dxa"/>
              <w:right w:w="15" w:type="dxa"/>
            </w:tcMar>
            <w:vAlign w:val="bottom"/>
            <w:hideMark/>
          </w:tcPr>
          <w:p w14:paraId="32A6CC44"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5%</w:t>
            </w:r>
          </w:p>
        </w:tc>
        <w:tc>
          <w:tcPr>
            <w:tcW w:w="1187" w:type="dxa"/>
            <w:tcBorders>
              <w:top w:val="single" w:sz="18" w:space="0" w:color="auto"/>
              <w:left w:val="nil"/>
              <w:bottom w:val="nil"/>
              <w:right w:val="nil"/>
            </w:tcBorders>
            <w:shd w:val="clear" w:color="auto" w:fill="auto"/>
            <w:noWrap/>
            <w:tcMar>
              <w:top w:w="15" w:type="dxa"/>
              <w:left w:w="15" w:type="dxa"/>
              <w:bottom w:w="0" w:type="dxa"/>
              <w:right w:w="15" w:type="dxa"/>
            </w:tcMar>
            <w:vAlign w:val="bottom"/>
            <w:hideMark/>
          </w:tcPr>
          <w:p w14:paraId="43F71B14"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w:t>
            </w:r>
          </w:p>
        </w:tc>
        <w:tc>
          <w:tcPr>
            <w:tcW w:w="0" w:type="auto"/>
            <w:tcBorders>
              <w:top w:val="single" w:sz="18" w:space="0" w:color="auto"/>
              <w:left w:val="nil"/>
              <w:bottom w:val="nil"/>
              <w:right w:val="nil"/>
            </w:tcBorders>
            <w:shd w:val="clear" w:color="auto" w:fill="auto"/>
            <w:noWrap/>
            <w:tcMar>
              <w:top w:w="15" w:type="dxa"/>
              <w:left w:w="15" w:type="dxa"/>
              <w:bottom w:w="0" w:type="dxa"/>
              <w:right w:w="15" w:type="dxa"/>
            </w:tcMar>
            <w:vAlign w:val="bottom"/>
            <w:hideMark/>
          </w:tcPr>
          <w:p w14:paraId="79D6A7F4"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w:t>
            </w:r>
          </w:p>
        </w:tc>
      </w:tr>
      <w:tr w:rsidR="002939D3" w:rsidRPr="006E2AB2" w14:paraId="34FCF21B" w14:textId="77777777" w:rsidTr="000915D9">
        <w:trPr>
          <w:trHeight w:val="340"/>
        </w:trPr>
        <w:tc>
          <w:tcPr>
            <w:tcW w:w="0" w:type="auto"/>
            <w:vMerge/>
            <w:tcBorders>
              <w:top w:val="nil"/>
              <w:left w:val="nil"/>
              <w:bottom w:val="nil"/>
              <w:right w:val="nil"/>
            </w:tcBorders>
            <w:vAlign w:val="center"/>
            <w:hideMark/>
          </w:tcPr>
          <w:p w14:paraId="1012A54C" w14:textId="77777777" w:rsidR="002939D3" w:rsidRPr="006E2AB2" w:rsidRDefault="002939D3" w:rsidP="000915D9">
            <w:pPr>
              <w:spacing w:after="0" w:line="240" w:lineRule="auto"/>
              <w:rPr>
                <w:rFonts w:ascii="Times New Roman" w:eastAsia="Calibri" w:hAnsi="Times New Roman" w:cs="Times New Roman"/>
                <w:b/>
                <w:bCs/>
                <w:color w:val="000000"/>
              </w:rPr>
            </w:pPr>
          </w:p>
        </w:tc>
        <w:tc>
          <w:tcPr>
            <w:tcW w:w="0" w:type="auto"/>
            <w:tcBorders>
              <w:top w:val="nil"/>
              <w:left w:val="nil"/>
              <w:bottom w:val="nil"/>
              <w:right w:val="single" w:sz="4" w:space="0" w:color="auto"/>
            </w:tcBorders>
            <w:shd w:val="clear" w:color="000000" w:fill="E7E6E6"/>
            <w:noWrap/>
            <w:tcMar>
              <w:top w:w="15" w:type="dxa"/>
              <w:left w:w="15" w:type="dxa"/>
              <w:bottom w:w="0" w:type="dxa"/>
              <w:right w:w="15" w:type="dxa"/>
            </w:tcMar>
            <w:vAlign w:val="bottom"/>
            <w:hideMark/>
          </w:tcPr>
          <w:p w14:paraId="365BFBB9"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Majority Agreement*</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01D4BB02"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61%</w:t>
            </w:r>
          </w:p>
        </w:tc>
        <w:tc>
          <w:tcPr>
            <w:tcW w:w="1180" w:type="dxa"/>
            <w:tcBorders>
              <w:top w:val="nil"/>
              <w:left w:val="nil"/>
              <w:bottom w:val="nil"/>
              <w:right w:val="nil"/>
            </w:tcBorders>
            <w:shd w:val="clear" w:color="auto" w:fill="auto"/>
            <w:noWrap/>
            <w:tcMar>
              <w:top w:w="15" w:type="dxa"/>
              <w:left w:w="15" w:type="dxa"/>
              <w:bottom w:w="0" w:type="dxa"/>
              <w:right w:w="15" w:type="dxa"/>
            </w:tcMar>
            <w:vAlign w:val="bottom"/>
            <w:hideMark/>
          </w:tcPr>
          <w:p w14:paraId="5916E430"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47%</w:t>
            </w:r>
          </w:p>
        </w:tc>
        <w:tc>
          <w:tcPr>
            <w:tcW w:w="1187" w:type="dxa"/>
            <w:tcBorders>
              <w:top w:val="nil"/>
              <w:left w:val="nil"/>
              <w:bottom w:val="nil"/>
              <w:right w:val="nil"/>
            </w:tcBorders>
            <w:shd w:val="clear" w:color="auto" w:fill="auto"/>
            <w:noWrap/>
            <w:tcMar>
              <w:top w:w="15" w:type="dxa"/>
              <w:left w:w="15" w:type="dxa"/>
              <w:bottom w:w="0" w:type="dxa"/>
              <w:right w:w="15" w:type="dxa"/>
            </w:tcMar>
            <w:vAlign w:val="bottom"/>
            <w:hideMark/>
          </w:tcPr>
          <w:p w14:paraId="5E3CE293"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50%</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60CD09C7"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39%</w:t>
            </w:r>
          </w:p>
        </w:tc>
      </w:tr>
      <w:tr w:rsidR="002939D3" w:rsidRPr="006E2AB2" w14:paraId="13E53B33" w14:textId="77777777" w:rsidTr="000915D9">
        <w:trPr>
          <w:trHeight w:val="340"/>
        </w:trPr>
        <w:tc>
          <w:tcPr>
            <w:tcW w:w="0" w:type="auto"/>
            <w:vMerge/>
            <w:tcBorders>
              <w:top w:val="nil"/>
              <w:left w:val="nil"/>
              <w:bottom w:val="nil"/>
              <w:right w:val="nil"/>
            </w:tcBorders>
            <w:vAlign w:val="center"/>
            <w:hideMark/>
          </w:tcPr>
          <w:p w14:paraId="66E0D557" w14:textId="77777777" w:rsidR="002939D3" w:rsidRPr="006E2AB2" w:rsidRDefault="002939D3" w:rsidP="000915D9">
            <w:pPr>
              <w:spacing w:after="0" w:line="240" w:lineRule="auto"/>
              <w:rPr>
                <w:rFonts w:ascii="Times New Roman" w:eastAsia="Calibri" w:hAnsi="Times New Roman" w:cs="Times New Roman"/>
                <w:b/>
                <w:bCs/>
                <w:color w:val="000000"/>
              </w:rPr>
            </w:pPr>
          </w:p>
        </w:tc>
        <w:tc>
          <w:tcPr>
            <w:tcW w:w="0" w:type="auto"/>
            <w:tcBorders>
              <w:top w:val="nil"/>
              <w:left w:val="nil"/>
              <w:bottom w:val="nil"/>
              <w:right w:val="single" w:sz="4" w:space="0" w:color="auto"/>
            </w:tcBorders>
            <w:shd w:val="clear" w:color="000000" w:fill="E7E6E6"/>
            <w:noWrap/>
            <w:tcMar>
              <w:top w:w="15" w:type="dxa"/>
              <w:left w:w="15" w:type="dxa"/>
              <w:bottom w:w="0" w:type="dxa"/>
              <w:right w:w="15" w:type="dxa"/>
            </w:tcMar>
            <w:vAlign w:val="bottom"/>
            <w:hideMark/>
          </w:tcPr>
          <w:p w14:paraId="5A655B25"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Fleiss’ Kappa (SE)</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D6693E6"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0.39 (0.06)</w:t>
            </w:r>
          </w:p>
        </w:tc>
        <w:tc>
          <w:tcPr>
            <w:tcW w:w="1180" w:type="dxa"/>
            <w:tcBorders>
              <w:top w:val="nil"/>
              <w:left w:val="nil"/>
              <w:bottom w:val="nil"/>
              <w:right w:val="nil"/>
            </w:tcBorders>
            <w:shd w:val="clear" w:color="auto" w:fill="auto"/>
            <w:noWrap/>
            <w:tcMar>
              <w:top w:w="15" w:type="dxa"/>
              <w:left w:w="15" w:type="dxa"/>
              <w:bottom w:w="0" w:type="dxa"/>
              <w:right w:w="15" w:type="dxa"/>
            </w:tcMar>
            <w:vAlign w:val="bottom"/>
            <w:hideMark/>
          </w:tcPr>
          <w:p w14:paraId="6344C940"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0.21 (0.04)</w:t>
            </w:r>
          </w:p>
        </w:tc>
        <w:tc>
          <w:tcPr>
            <w:tcW w:w="1187" w:type="dxa"/>
            <w:tcBorders>
              <w:top w:val="nil"/>
              <w:left w:val="nil"/>
              <w:bottom w:val="nil"/>
              <w:right w:val="nil"/>
            </w:tcBorders>
            <w:shd w:val="clear" w:color="auto" w:fill="auto"/>
            <w:noWrap/>
            <w:tcMar>
              <w:top w:w="15" w:type="dxa"/>
              <w:left w:w="15" w:type="dxa"/>
              <w:bottom w:w="0" w:type="dxa"/>
              <w:right w:w="15" w:type="dxa"/>
            </w:tcMar>
            <w:vAlign w:val="bottom"/>
            <w:hideMark/>
          </w:tcPr>
          <w:p w14:paraId="60E98F43"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0.18 (0.03)</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B29F692"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0.14 (0.02)</w:t>
            </w:r>
          </w:p>
        </w:tc>
      </w:tr>
      <w:tr w:rsidR="002939D3" w:rsidRPr="006E2AB2" w14:paraId="6D08C5CC" w14:textId="77777777" w:rsidTr="000915D9">
        <w:trPr>
          <w:trHeight w:val="340"/>
        </w:trPr>
        <w:tc>
          <w:tcPr>
            <w:tcW w:w="0" w:type="auto"/>
            <w:vMerge/>
            <w:tcBorders>
              <w:top w:val="nil"/>
              <w:left w:val="nil"/>
              <w:bottom w:val="nil"/>
              <w:right w:val="nil"/>
            </w:tcBorders>
            <w:vAlign w:val="center"/>
            <w:hideMark/>
          </w:tcPr>
          <w:p w14:paraId="5C1CC641" w14:textId="77777777" w:rsidR="002939D3" w:rsidRPr="006E2AB2" w:rsidRDefault="002939D3" w:rsidP="000915D9">
            <w:pPr>
              <w:spacing w:after="0" w:line="240" w:lineRule="auto"/>
              <w:rPr>
                <w:rFonts w:ascii="Times New Roman" w:eastAsia="Calibri" w:hAnsi="Times New Roman" w:cs="Times New Roman"/>
                <w:b/>
                <w:bCs/>
                <w:color w:val="000000"/>
              </w:rPr>
            </w:pPr>
          </w:p>
        </w:tc>
        <w:tc>
          <w:tcPr>
            <w:tcW w:w="0" w:type="auto"/>
            <w:tcBorders>
              <w:top w:val="nil"/>
              <w:left w:val="nil"/>
              <w:bottom w:val="nil"/>
              <w:right w:val="single" w:sz="4" w:space="0" w:color="auto"/>
            </w:tcBorders>
            <w:shd w:val="clear" w:color="000000" w:fill="E7E6E6"/>
            <w:noWrap/>
            <w:tcMar>
              <w:top w:w="15" w:type="dxa"/>
              <w:left w:w="15" w:type="dxa"/>
              <w:bottom w:w="0" w:type="dxa"/>
              <w:right w:w="15" w:type="dxa"/>
            </w:tcMar>
            <w:vAlign w:val="bottom"/>
            <w:hideMark/>
          </w:tcPr>
          <w:p w14:paraId="56EE8454" w14:textId="77777777" w:rsidR="002939D3" w:rsidRPr="006E2AB2" w:rsidRDefault="002939D3" w:rsidP="000915D9">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Conclusion</w:t>
            </w:r>
            <w:r w:rsidRPr="003A191A">
              <w:rPr>
                <w:rFonts w:ascii="Times New Roman" w:eastAsia="Calibri" w:hAnsi="Times New Roman" w:cs="Times New Roman"/>
                <w:color w:val="000000"/>
                <w:vertAlign w:val="superscript"/>
              </w:rPr>
              <w:t>†</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175766C1"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Fair</w:t>
            </w:r>
          </w:p>
        </w:tc>
        <w:tc>
          <w:tcPr>
            <w:tcW w:w="1180" w:type="dxa"/>
            <w:tcBorders>
              <w:top w:val="nil"/>
              <w:left w:val="nil"/>
              <w:bottom w:val="nil"/>
              <w:right w:val="nil"/>
            </w:tcBorders>
            <w:shd w:val="clear" w:color="auto" w:fill="auto"/>
            <w:noWrap/>
            <w:tcMar>
              <w:top w:w="15" w:type="dxa"/>
              <w:left w:w="15" w:type="dxa"/>
              <w:bottom w:w="0" w:type="dxa"/>
              <w:right w:w="15" w:type="dxa"/>
            </w:tcMar>
            <w:vAlign w:val="bottom"/>
            <w:hideMark/>
          </w:tcPr>
          <w:p w14:paraId="0F0DC498"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Fair</w:t>
            </w:r>
          </w:p>
        </w:tc>
        <w:tc>
          <w:tcPr>
            <w:tcW w:w="1187" w:type="dxa"/>
            <w:tcBorders>
              <w:top w:val="nil"/>
              <w:left w:val="nil"/>
              <w:bottom w:val="nil"/>
              <w:right w:val="nil"/>
            </w:tcBorders>
            <w:shd w:val="clear" w:color="auto" w:fill="auto"/>
            <w:noWrap/>
            <w:tcMar>
              <w:top w:w="15" w:type="dxa"/>
              <w:left w:w="15" w:type="dxa"/>
              <w:bottom w:w="0" w:type="dxa"/>
              <w:right w:w="15" w:type="dxa"/>
            </w:tcMar>
            <w:vAlign w:val="bottom"/>
            <w:hideMark/>
          </w:tcPr>
          <w:p w14:paraId="1E3BC3D4"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Slight</w:t>
            </w:r>
          </w:p>
        </w:tc>
        <w:tc>
          <w:tcPr>
            <w:tcW w:w="0" w:type="auto"/>
            <w:tcBorders>
              <w:top w:val="nil"/>
              <w:left w:val="nil"/>
              <w:bottom w:val="nil"/>
              <w:right w:val="nil"/>
            </w:tcBorders>
            <w:shd w:val="clear" w:color="auto" w:fill="auto"/>
            <w:noWrap/>
            <w:tcMar>
              <w:top w:w="15" w:type="dxa"/>
              <w:left w:w="15" w:type="dxa"/>
              <w:bottom w:w="0" w:type="dxa"/>
              <w:right w:w="15" w:type="dxa"/>
            </w:tcMar>
            <w:vAlign w:val="bottom"/>
            <w:hideMark/>
          </w:tcPr>
          <w:p w14:paraId="75D44FDD" w14:textId="77777777" w:rsidR="002939D3" w:rsidRPr="006E2AB2" w:rsidRDefault="002939D3" w:rsidP="000915D9">
            <w:pPr>
              <w:spacing w:after="0" w:line="240" w:lineRule="auto"/>
              <w:jc w:val="center"/>
              <w:rPr>
                <w:rFonts w:ascii="Times New Roman" w:eastAsia="Calibri" w:hAnsi="Times New Roman" w:cs="Times New Roman"/>
                <w:color w:val="000000"/>
              </w:rPr>
            </w:pPr>
            <w:r w:rsidRPr="006E2AB2">
              <w:rPr>
                <w:rFonts w:ascii="Times New Roman" w:eastAsia="Calibri" w:hAnsi="Times New Roman" w:cs="Times New Roman"/>
                <w:color w:val="000000"/>
              </w:rPr>
              <w:t>Slight</w:t>
            </w:r>
          </w:p>
        </w:tc>
      </w:tr>
    </w:tbl>
    <w:p w14:paraId="04990E56" w14:textId="77777777" w:rsidR="002939D3" w:rsidRPr="006E2AB2" w:rsidRDefault="002939D3" w:rsidP="002939D3">
      <w:pPr>
        <w:spacing w:after="0" w:line="240" w:lineRule="auto"/>
        <w:rPr>
          <w:rFonts w:ascii="Times New Roman" w:eastAsia="Calibri" w:hAnsi="Times New Roman" w:cs="Times New Roman"/>
          <w:b/>
          <w:i/>
        </w:rPr>
      </w:pPr>
    </w:p>
    <w:p w14:paraId="7EC7AA04" w14:textId="77777777" w:rsidR="002939D3" w:rsidRPr="006E2AB2" w:rsidRDefault="002939D3" w:rsidP="002939D3">
      <w:pPr>
        <w:spacing w:after="0" w:line="240" w:lineRule="auto"/>
        <w:rPr>
          <w:rFonts w:ascii="Times New Roman" w:eastAsia="Calibri" w:hAnsi="Times New Roman" w:cs="Times New Roman"/>
          <w:b/>
          <w:i/>
        </w:rPr>
      </w:pPr>
    </w:p>
    <w:p w14:paraId="4CD2652C" w14:textId="77777777" w:rsidR="002939D3" w:rsidRPr="006E2AB2" w:rsidRDefault="002939D3" w:rsidP="002939D3">
      <w:pPr>
        <w:spacing w:after="0" w:line="240" w:lineRule="auto"/>
        <w:rPr>
          <w:rFonts w:ascii="Times New Roman" w:eastAsia="Calibri" w:hAnsi="Times New Roman" w:cs="Times New Roman"/>
          <w:b/>
          <w:i/>
        </w:rPr>
      </w:pPr>
    </w:p>
    <w:p w14:paraId="3E801D47" w14:textId="77777777" w:rsidR="002939D3" w:rsidRPr="006E2AB2" w:rsidRDefault="002939D3" w:rsidP="002939D3">
      <w:pPr>
        <w:spacing w:after="0" w:line="240" w:lineRule="auto"/>
        <w:rPr>
          <w:rFonts w:ascii="Times New Roman" w:eastAsia="Calibri" w:hAnsi="Times New Roman" w:cs="Times New Roman"/>
          <w:b/>
          <w:i/>
        </w:rPr>
      </w:pPr>
    </w:p>
    <w:p w14:paraId="53F013E5" w14:textId="77777777" w:rsidR="002939D3" w:rsidRPr="006E2AB2" w:rsidRDefault="002939D3" w:rsidP="002939D3">
      <w:pPr>
        <w:spacing w:after="0" w:line="240" w:lineRule="auto"/>
        <w:rPr>
          <w:rFonts w:ascii="Times New Roman" w:eastAsia="Calibri" w:hAnsi="Times New Roman" w:cs="Times New Roman"/>
          <w:b/>
          <w:i/>
        </w:rPr>
      </w:pPr>
    </w:p>
    <w:p w14:paraId="3C380FA2" w14:textId="77777777" w:rsidR="002939D3" w:rsidRPr="006E2AB2" w:rsidRDefault="002939D3" w:rsidP="002939D3">
      <w:pPr>
        <w:spacing w:after="0" w:line="240" w:lineRule="auto"/>
        <w:rPr>
          <w:rFonts w:ascii="Times New Roman" w:eastAsia="Calibri" w:hAnsi="Times New Roman" w:cs="Times New Roman"/>
          <w:b/>
          <w:i/>
        </w:rPr>
      </w:pPr>
    </w:p>
    <w:p w14:paraId="4DBC92B7" w14:textId="77777777" w:rsidR="002939D3" w:rsidRPr="006E2AB2" w:rsidRDefault="002939D3" w:rsidP="002939D3">
      <w:pPr>
        <w:spacing w:after="0" w:line="240" w:lineRule="auto"/>
        <w:rPr>
          <w:rFonts w:ascii="Times New Roman" w:eastAsia="Calibri" w:hAnsi="Times New Roman" w:cs="Times New Roman"/>
          <w:b/>
          <w:i/>
        </w:rPr>
      </w:pPr>
    </w:p>
    <w:p w14:paraId="565560A7" w14:textId="77777777" w:rsidR="002939D3" w:rsidRPr="006E2AB2" w:rsidRDefault="002939D3" w:rsidP="002939D3">
      <w:pPr>
        <w:spacing w:after="0" w:line="240" w:lineRule="auto"/>
        <w:rPr>
          <w:rFonts w:ascii="Times New Roman" w:eastAsia="Calibri" w:hAnsi="Times New Roman" w:cs="Times New Roman"/>
          <w:b/>
          <w:i/>
        </w:rPr>
      </w:pPr>
    </w:p>
    <w:p w14:paraId="2469CF45" w14:textId="77777777" w:rsidR="002939D3" w:rsidRPr="006E2AB2" w:rsidRDefault="002939D3" w:rsidP="002939D3">
      <w:pPr>
        <w:spacing w:after="0" w:line="240" w:lineRule="auto"/>
        <w:rPr>
          <w:rFonts w:ascii="Times New Roman" w:eastAsia="Calibri" w:hAnsi="Times New Roman" w:cs="Times New Roman"/>
          <w:b/>
          <w:i/>
        </w:rPr>
      </w:pPr>
    </w:p>
    <w:p w14:paraId="0A41536D" w14:textId="77777777" w:rsidR="002939D3" w:rsidRPr="006E2AB2" w:rsidRDefault="002939D3" w:rsidP="002939D3">
      <w:pPr>
        <w:spacing w:after="0" w:line="240" w:lineRule="auto"/>
        <w:rPr>
          <w:rFonts w:ascii="Times New Roman" w:eastAsia="Calibri" w:hAnsi="Times New Roman" w:cs="Times New Roman"/>
          <w:b/>
          <w:i/>
        </w:rPr>
      </w:pPr>
    </w:p>
    <w:p w14:paraId="072A2969" w14:textId="77777777" w:rsidR="002939D3" w:rsidRPr="006E2AB2" w:rsidRDefault="002939D3" w:rsidP="002939D3">
      <w:pPr>
        <w:spacing w:after="0" w:line="240" w:lineRule="auto"/>
        <w:rPr>
          <w:rFonts w:ascii="Times New Roman" w:eastAsia="Calibri" w:hAnsi="Times New Roman" w:cs="Times New Roman"/>
          <w:b/>
          <w:i/>
        </w:rPr>
      </w:pPr>
    </w:p>
    <w:p w14:paraId="77834615" w14:textId="77777777" w:rsidR="002939D3" w:rsidRPr="006E2AB2" w:rsidRDefault="002939D3" w:rsidP="002939D3">
      <w:pPr>
        <w:spacing w:after="0" w:line="240" w:lineRule="auto"/>
        <w:rPr>
          <w:rFonts w:ascii="Times New Roman" w:eastAsia="Calibri" w:hAnsi="Times New Roman" w:cs="Times New Roman"/>
          <w:b/>
          <w:i/>
        </w:rPr>
      </w:pPr>
    </w:p>
    <w:p w14:paraId="02248287" w14:textId="77777777" w:rsidR="002939D3" w:rsidRPr="006E2AB2" w:rsidRDefault="002939D3" w:rsidP="002939D3">
      <w:pPr>
        <w:spacing w:after="0" w:line="240" w:lineRule="auto"/>
        <w:rPr>
          <w:rFonts w:ascii="Times New Roman" w:eastAsia="Calibri" w:hAnsi="Times New Roman" w:cs="Times New Roman"/>
          <w:color w:val="000000"/>
        </w:rPr>
      </w:pPr>
    </w:p>
    <w:p w14:paraId="4DB021ED" w14:textId="77777777" w:rsidR="002939D3" w:rsidRDefault="002939D3" w:rsidP="002939D3">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b/>
          <w:iCs/>
        </w:rPr>
        <w:t>Table 2</w:t>
      </w:r>
      <w:r w:rsidRPr="006E2AB2">
        <w:rPr>
          <w:rFonts w:ascii="Times New Roman" w:eastAsia="Calibri" w:hAnsi="Times New Roman" w:cs="Times New Roman"/>
          <w:iCs/>
        </w:rPr>
        <w:t>: Reader agreement on Subjective Image Quality Survey</w:t>
      </w:r>
    </w:p>
    <w:p w14:paraId="7912535E" w14:textId="77777777" w:rsidR="002939D3" w:rsidRDefault="002939D3" w:rsidP="002939D3">
      <w:pPr>
        <w:spacing w:after="0" w:line="240" w:lineRule="auto"/>
        <w:rPr>
          <w:rFonts w:ascii="Times New Roman" w:eastAsia="Calibri" w:hAnsi="Times New Roman" w:cs="Times New Roman"/>
          <w:color w:val="000000"/>
        </w:rPr>
      </w:pPr>
      <w:r w:rsidRPr="006E2AB2">
        <w:rPr>
          <w:rFonts w:ascii="Times New Roman" w:eastAsia="Calibri" w:hAnsi="Times New Roman" w:cs="Times New Roman"/>
          <w:color w:val="000000"/>
        </w:rPr>
        <w:t xml:space="preserve">*Complete Agreement defined as % of cases where all readers agreed on score, Majority agreement defined as % of cases where the majority of readers agreed on score. </w:t>
      </w:r>
    </w:p>
    <w:p w14:paraId="4F153EEC" w14:textId="77777777" w:rsidR="002939D3" w:rsidRPr="007B02FC" w:rsidRDefault="002939D3" w:rsidP="002939D3">
      <w:pPr>
        <w:spacing w:after="0" w:line="240" w:lineRule="auto"/>
        <w:rPr>
          <w:rFonts w:ascii="Times New Roman" w:eastAsia="Calibri" w:hAnsi="Times New Roman" w:cs="Times New Roman"/>
          <w:color w:val="000000"/>
        </w:rPr>
      </w:pPr>
      <w:r w:rsidRPr="003A191A">
        <w:rPr>
          <w:rFonts w:ascii="Times New Roman" w:eastAsia="Calibri" w:hAnsi="Times New Roman" w:cs="Times New Roman"/>
          <w:color w:val="000000"/>
          <w:vertAlign w:val="superscript"/>
        </w:rPr>
        <w:t>†</w:t>
      </w:r>
      <w:r w:rsidRPr="006E2AB2">
        <w:rPr>
          <w:rFonts w:ascii="Times New Roman" w:eastAsia="Calibri" w:hAnsi="Times New Roman" w:cs="Times New Roman"/>
          <w:color w:val="000000"/>
        </w:rPr>
        <w:t>Conclusion determined by Kappa score: Moderate ≥ 0.41, Fair ≥ 0.21, and Slight ≤ 0.20</w:t>
      </w:r>
    </w:p>
    <w:p w14:paraId="7D1BD4A6" w14:textId="77777777" w:rsidR="002939D3" w:rsidRPr="006E2AB2" w:rsidRDefault="002939D3" w:rsidP="002939D3">
      <w:pPr>
        <w:spacing w:after="0" w:line="240" w:lineRule="auto"/>
        <w:rPr>
          <w:rFonts w:ascii="Times New Roman" w:eastAsia="Calibri" w:hAnsi="Times New Roman" w:cs="Times New Roman"/>
          <w:i/>
        </w:rPr>
      </w:pPr>
    </w:p>
    <w:p w14:paraId="2FB9DA3E" w14:textId="77777777" w:rsidR="002939D3" w:rsidRPr="006E2AB2" w:rsidRDefault="002939D3" w:rsidP="002939D3">
      <w:pPr>
        <w:spacing w:after="0" w:line="240" w:lineRule="auto"/>
        <w:rPr>
          <w:rFonts w:ascii="Times New Roman" w:eastAsia="Calibri" w:hAnsi="Times New Roman" w:cs="Times New Roman"/>
        </w:rPr>
      </w:pPr>
      <w:r w:rsidRPr="006E2AB2">
        <w:rPr>
          <w:rFonts w:ascii="Times New Roman" w:eastAsia="Times New Roman" w:hAnsi="Times New Roman" w:cs="Times New Roman"/>
          <w:iCs/>
          <w:color w:val="000000"/>
          <w:szCs w:val="20"/>
        </w:rPr>
        <w:br w:type="page"/>
      </w:r>
    </w:p>
    <w:tbl>
      <w:tblPr>
        <w:tblpPr w:leftFromText="180" w:rightFromText="180" w:vertAnchor="text" w:horzAnchor="margin" w:tblpY="-378"/>
        <w:tblW w:w="5760" w:type="dxa"/>
        <w:tblLook w:val="04A0" w:firstRow="1" w:lastRow="0" w:firstColumn="1" w:lastColumn="0" w:noHBand="0" w:noVBand="1"/>
      </w:tblPr>
      <w:tblGrid>
        <w:gridCol w:w="3040"/>
        <w:gridCol w:w="1820"/>
        <w:gridCol w:w="900"/>
      </w:tblGrid>
      <w:tr w:rsidR="002939D3" w:rsidRPr="006E2AB2" w14:paraId="2AA3565D" w14:textId="77777777" w:rsidTr="000915D9">
        <w:trPr>
          <w:trHeight w:val="320"/>
        </w:trPr>
        <w:tc>
          <w:tcPr>
            <w:tcW w:w="3040" w:type="dxa"/>
            <w:tcBorders>
              <w:top w:val="single" w:sz="18" w:space="0" w:color="auto"/>
              <w:left w:val="nil"/>
              <w:bottom w:val="single" w:sz="4" w:space="0" w:color="000000"/>
              <w:right w:val="nil"/>
            </w:tcBorders>
            <w:shd w:val="clear" w:color="auto" w:fill="auto"/>
            <w:noWrap/>
            <w:vAlign w:val="bottom"/>
            <w:hideMark/>
          </w:tcPr>
          <w:p w14:paraId="07F6529F" w14:textId="77777777" w:rsidR="002939D3" w:rsidRPr="006E2AB2" w:rsidRDefault="002939D3" w:rsidP="000915D9">
            <w:pPr>
              <w:spacing w:after="0" w:line="240" w:lineRule="auto"/>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lastRenderedPageBreak/>
              <w:t>T2W Technical Standards</w:t>
            </w:r>
          </w:p>
        </w:tc>
        <w:tc>
          <w:tcPr>
            <w:tcW w:w="2720" w:type="dxa"/>
            <w:gridSpan w:val="2"/>
            <w:tcBorders>
              <w:top w:val="single" w:sz="18" w:space="0" w:color="auto"/>
              <w:left w:val="nil"/>
              <w:bottom w:val="single" w:sz="4" w:space="0" w:color="000000"/>
              <w:right w:val="nil"/>
            </w:tcBorders>
            <w:shd w:val="clear" w:color="auto" w:fill="auto"/>
            <w:vAlign w:val="bottom"/>
          </w:tcPr>
          <w:p w14:paraId="0FCC45ED" w14:textId="77777777" w:rsidR="002939D3" w:rsidRPr="006E2AB2" w:rsidRDefault="002939D3" w:rsidP="000915D9">
            <w:pPr>
              <w:spacing w:after="0" w:line="240" w:lineRule="auto"/>
              <w:jc w:val="right"/>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 Adherence</w:t>
            </w:r>
          </w:p>
        </w:tc>
      </w:tr>
      <w:tr w:rsidR="002939D3" w:rsidRPr="006E2AB2" w14:paraId="501323C8" w14:textId="77777777" w:rsidTr="000915D9">
        <w:trPr>
          <w:trHeight w:val="320"/>
        </w:trPr>
        <w:tc>
          <w:tcPr>
            <w:tcW w:w="4860" w:type="dxa"/>
            <w:gridSpan w:val="2"/>
            <w:tcBorders>
              <w:top w:val="nil"/>
              <w:left w:val="nil"/>
              <w:bottom w:val="nil"/>
              <w:right w:val="nil"/>
            </w:tcBorders>
            <w:shd w:val="clear" w:color="E7E6E6" w:fill="E7E6E6"/>
            <w:noWrap/>
            <w:vAlign w:val="bottom"/>
            <w:hideMark/>
          </w:tcPr>
          <w:p w14:paraId="5734E947"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magnet strength ≥ 1.5T</w:t>
            </w:r>
          </w:p>
        </w:tc>
        <w:tc>
          <w:tcPr>
            <w:tcW w:w="900" w:type="dxa"/>
            <w:tcBorders>
              <w:top w:val="nil"/>
              <w:left w:val="nil"/>
              <w:bottom w:val="nil"/>
              <w:right w:val="nil"/>
            </w:tcBorders>
            <w:shd w:val="clear" w:color="E7E6E6" w:fill="E7E6E6"/>
            <w:noWrap/>
            <w:vAlign w:val="bottom"/>
            <w:hideMark/>
          </w:tcPr>
          <w:p w14:paraId="23E62B2D"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100%</w:t>
            </w:r>
          </w:p>
        </w:tc>
      </w:tr>
      <w:tr w:rsidR="002939D3" w:rsidRPr="006E2AB2" w14:paraId="5005AB05" w14:textId="77777777" w:rsidTr="000915D9">
        <w:trPr>
          <w:trHeight w:val="320"/>
        </w:trPr>
        <w:tc>
          <w:tcPr>
            <w:tcW w:w="4860" w:type="dxa"/>
            <w:gridSpan w:val="2"/>
            <w:tcBorders>
              <w:top w:val="nil"/>
              <w:left w:val="nil"/>
              <w:bottom w:val="nil"/>
              <w:right w:val="nil"/>
            </w:tcBorders>
            <w:shd w:val="clear" w:color="auto" w:fill="auto"/>
            <w:noWrap/>
            <w:vAlign w:val="bottom"/>
            <w:hideMark/>
          </w:tcPr>
          <w:p w14:paraId="09507F9C"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 xml:space="preserve">slice thickness (ST) ≤ 3mm </w:t>
            </w:r>
          </w:p>
        </w:tc>
        <w:tc>
          <w:tcPr>
            <w:tcW w:w="900" w:type="dxa"/>
            <w:tcBorders>
              <w:top w:val="nil"/>
              <w:left w:val="nil"/>
              <w:bottom w:val="nil"/>
              <w:right w:val="nil"/>
            </w:tcBorders>
            <w:shd w:val="clear" w:color="auto" w:fill="auto"/>
            <w:noWrap/>
            <w:vAlign w:val="bottom"/>
            <w:hideMark/>
          </w:tcPr>
          <w:p w14:paraId="703C2FE1"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92%</w:t>
            </w:r>
          </w:p>
        </w:tc>
      </w:tr>
      <w:tr w:rsidR="002939D3" w:rsidRPr="006E2AB2" w14:paraId="6EC26DD1" w14:textId="77777777" w:rsidTr="000915D9">
        <w:trPr>
          <w:trHeight w:val="320"/>
        </w:trPr>
        <w:tc>
          <w:tcPr>
            <w:tcW w:w="4860" w:type="dxa"/>
            <w:gridSpan w:val="2"/>
            <w:tcBorders>
              <w:top w:val="nil"/>
              <w:left w:val="nil"/>
              <w:bottom w:val="nil"/>
              <w:right w:val="nil"/>
            </w:tcBorders>
            <w:shd w:val="clear" w:color="E7E6E6" w:fill="E7E6E6"/>
            <w:noWrap/>
            <w:vAlign w:val="bottom"/>
            <w:hideMark/>
          </w:tcPr>
          <w:p w14:paraId="047EC865"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no inter-slice gap</w:t>
            </w:r>
          </w:p>
        </w:tc>
        <w:tc>
          <w:tcPr>
            <w:tcW w:w="900" w:type="dxa"/>
            <w:tcBorders>
              <w:top w:val="nil"/>
              <w:left w:val="nil"/>
              <w:bottom w:val="nil"/>
              <w:right w:val="nil"/>
            </w:tcBorders>
            <w:shd w:val="clear" w:color="E7E6E6" w:fill="E7E6E6"/>
            <w:noWrap/>
            <w:vAlign w:val="bottom"/>
            <w:hideMark/>
          </w:tcPr>
          <w:p w14:paraId="0EDA7B8C"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61%</w:t>
            </w:r>
          </w:p>
        </w:tc>
      </w:tr>
      <w:tr w:rsidR="002939D3" w:rsidRPr="006E2AB2" w14:paraId="245B2AE4" w14:textId="77777777" w:rsidTr="000915D9">
        <w:trPr>
          <w:trHeight w:val="320"/>
        </w:trPr>
        <w:tc>
          <w:tcPr>
            <w:tcW w:w="4860" w:type="dxa"/>
            <w:gridSpan w:val="2"/>
            <w:tcBorders>
              <w:top w:val="nil"/>
              <w:left w:val="nil"/>
              <w:bottom w:val="nil"/>
              <w:right w:val="nil"/>
            </w:tcBorders>
            <w:shd w:val="clear" w:color="auto" w:fill="auto"/>
            <w:noWrap/>
            <w:vAlign w:val="bottom"/>
            <w:hideMark/>
          </w:tcPr>
          <w:p w14:paraId="33FBE177"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field of view lower limit (FOV LL) ≥ 120mm</w:t>
            </w:r>
          </w:p>
        </w:tc>
        <w:tc>
          <w:tcPr>
            <w:tcW w:w="900" w:type="dxa"/>
            <w:tcBorders>
              <w:top w:val="nil"/>
              <w:left w:val="nil"/>
              <w:bottom w:val="nil"/>
              <w:right w:val="nil"/>
            </w:tcBorders>
            <w:shd w:val="clear" w:color="auto" w:fill="auto"/>
            <w:noWrap/>
            <w:vAlign w:val="bottom"/>
            <w:hideMark/>
          </w:tcPr>
          <w:p w14:paraId="61055357"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100%</w:t>
            </w:r>
          </w:p>
        </w:tc>
      </w:tr>
      <w:tr w:rsidR="002939D3" w:rsidRPr="006E2AB2" w14:paraId="342727A0" w14:textId="77777777" w:rsidTr="000915D9">
        <w:trPr>
          <w:trHeight w:val="320"/>
        </w:trPr>
        <w:tc>
          <w:tcPr>
            <w:tcW w:w="4860" w:type="dxa"/>
            <w:gridSpan w:val="2"/>
            <w:tcBorders>
              <w:top w:val="nil"/>
              <w:left w:val="nil"/>
              <w:bottom w:val="nil"/>
              <w:right w:val="nil"/>
            </w:tcBorders>
            <w:shd w:val="clear" w:color="E7E6E6" w:fill="E7E6E6"/>
            <w:noWrap/>
            <w:vAlign w:val="bottom"/>
            <w:hideMark/>
          </w:tcPr>
          <w:p w14:paraId="58893116"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field of view upper limit (FOV UL) ≤ 200mm</w:t>
            </w:r>
          </w:p>
        </w:tc>
        <w:tc>
          <w:tcPr>
            <w:tcW w:w="900" w:type="dxa"/>
            <w:tcBorders>
              <w:top w:val="nil"/>
              <w:left w:val="nil"/>
              <w:bottom w:val="nil"/>
              <w:right w:val="nil"/>
            </w:tcBorders>
            <w:shd w:val="clear" w:color="E7E6E6" w:fill="E7E6E6"/>
            <w:noWrap/>
            <w:vAlign w:val="bottom"/>
            <w:hideMark/>
          </w:tcPr>
          <w:p w14:paraId="222D050A"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82%</w:t>
            </w:r>
          </w:p>
        </w:tc>
      </w:tr>
      <w:tr w:rsidR="002939D3" w:rsidRPr="006E2AB2" w14:paraId="2486B043" w14:textId="77777777" w:rsidTr="000915D9">
        <w:trPr>
          <w:trHeight w:val="320"/>
        </w:trPr>
        <w:tc>
          <w:tcPr>
            <w:tcW w:w="4860" w:type="dxa"/>
            <w:gridSpan w:val="2"/>
            <w:tcBorders>
              <w:top w:val="nil"/>
              <w:left w:val="nil"/>
              <w:bottom w:val="nil"/>
              <w:right w:val="nil"/>
            </w:tcBorders>
            <w:shd w:val="clear" w:color="auto" w:fill="auto"/>
            <w:noWrap/>
            <w:vAlign w:val="bottom"/>
            <w:hideMark/>
          </w:tcPr>
          <w:p w14:paraId="5D27FA8B"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in-plane resolution phase (IPRP) ≤ 0.7mm</w:t>
            </w:r>
          </w:p>
        </w:tc>
        <w:tc>
          <w:tcPr>
            <w:tcW w:w="900" w:type="dxa"/>
            <w:tcBorders>
              <w:top w:val="nil"/>
              <w:left w:val="nil"/>
              <w:bottom w:val="nil"/>
              <w:right w:val="nil"/>
            </w:tcBorders>
            <w:shd w:val="clear" w:color="auto" w:fill="auto"/>
            <w:noWrap/>
            <w:vAlign w:val="bottom"/>
            <w:hideMark/>
          </w:tcPr>
          <w:p w14:paraId="61C38308"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92%</w:t>
            </w:r>
          </w:p>
        </w:tc>
      </w:tr>
      <w:tr w:rsidR="002939D3" w:rsidRPr="006E2AB2" w14:paraId="4DF0F831" w14:textId="77777777" w:rsidTr="000915D9">
        <w:trPr>
          <w:trHeight w:val="340"/>
        </w:trPr>
        <w:tc>
          <w:tcPr>
            <w:tcW w:w="4860" w:type="dxa"/>
            <w:gridSpan w:val="2"/>
            <w:tcBorders>
              <w:top w:val="nil"/>
              <w:left w:val="nil"/>
              <w:bottom w:val="single" w:sz="18" w:space="0" w:color="auto"/>
              <w:right w:val="nil"/>
            </w:tcBorders>
            <w:shd w:val="clear" w:color="E7E6E6" w:fill="E7E6E6"/>
            <w:noWrap/>
            <w:vAlign w:val="bottom"/>
            <w:hideMark/>
          </w:tcPr>
          <w:p w14:paraId="5E24B276"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in-plane resolution frequency (IPRF) ≤ 0.4mm</w:t>
            </w:r>
          </w:p>
        </w:tc>
        <w:tc>
          <w:tcPr>
            <w:tcW w:w="900" w:type="dxa"/>
            <w:tcBorders>
              <w:top w:val="nil"/>
              <w:left w:val="nil"/>
              <w:bottom w:val="single" w:sz="18" w:space="0" w:color="auto"/>
              <w:right w:val="nil"/>
            </w:tcBorders>
            <w:shd w:val="clear" w:color="E7E6E6" w:fill="E7E6E6"/>
            <w:noWrap/>
            <w:vAlign w:val="bottom"/>
            <w:hideMark/>
          </w:tcPr>
          <w:p w14:paraId="40DF3494"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52%</w:t>
            </w:r>
          </w:p>
        </w:tc>
      </w:tr>
      <w:tr w:rsidR="002939D3" w:rsidRPr="006E2AB2" w14:paraId="32C88FB2" w14:textId="77777777" w:rsidTr="000915D9">
        <w:trPr>
          <w:trHeight w:val="320"/>
        </w:trPr>
        <w:tc>
          <w:tcPr>
            <w:tcW w:w="3040" w:type="dxa"/>
            <w:tcBorders>
              <w:top w:val="single" w:sz="18" w:space="0" w:color="auto"/>
              <w:left w:val="nil"/>
              <w:bottom w:val="single" w:sz="4" w:space="0" w:color="000000"/>
              <w:right w:val="nil"/>
            </w:tcBorders>
            <w:shd w:val="clear" w:color="auto" w:fill="auto"/>
            <w:noWrap/>
            <w:vAlign w:val="bottom"/>
            <w:hideMark/>
          </w:tcPr>
          <w:p w14:paraId="306E5541" w14:textId="77777777" w:rsidR="002939D3" w:rsidRPr="006E2AB2" w:rsidRDefault="002939D3" w:rsidP="000915D9">
            <w:pPr>
              <w:spacing w:after="0" w:line="240" w:lineRule="auto"/>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DWI Technical Standards</w:t>
            </w:r>
          </w:p>
        </w:tc>
        <w:tc>
          <w:tcPr>
            <w:tcW w:w="2720" w:type="dxa"/>
            <w:gridSpan w:val="2"/>
            <w:tcBorders>
              <w:top w:val="single" w:sz="18" w:space="0" w:color="auto"/>
              <w:left w:val="nil"/>
              <w:bottom w:val="single" w:sz="4" w:space="0" w:color="000000"/>
              <w:right w:val="nil"/>
            </w:tcBorders>
            <w:shd w:val="clear" w:color="auto" w:fill="auto"/>
            <w:vAlign w:val="bottom"/>
          </w:tcPr>
          <w:p w14:paraId="13C97635" w14:textId="77777777" w:rsidR="002939D3" w:rsidRPr="006E2AB2" w:rsidRDefault="002939D3" w:rsidP="000915D9">
            <w:pPr>
              <w:spacing w:after="0" w:line="240" w:lineRule="auto"/>
              <w:jc w:val="right"/>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 Adherence</w:t>
            </w:r>
          </w:p>
        </w:tc>
      </w:tr>
      <w:tr w:rsidR="002939D3" w:rsidRPr="006E2AB2" w14:paraId="38ED1455" w14:textId="77777777" w:rsidTr="000915D9">
        <w:trPr>
          <w:trHeight w:val="320"/>
        </w:trPr>
        <w:tc>
          <w:tcPr>
            <w:tcW w:w="4860" w:type="dxa"/>
            <w:gridSpan w:val="2"/>
            <w:tcBorders>
              <w:top w:val="nil"/>
              <w:left w:val="nil"/>
              <w:bottom w:val="nil"/>
              <w:right w:val="nil"/>
            </w:tcBorders>
            <w:shd w:val="clear" w:color="E7E6E6" w:fill="E7E6E6"/>
            <w:noWrap/>
            <w:vAlign w:val="bottom"/>
            <w:hideMark/>
          </w:tcPr>
          <w:p w14:paraId="533D5B3B"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magnet strength ≥ 1.5T</w:t>
            </w:r>
          </w:p>
        </w:tc>
        <w:tc>
          <w:tcPr>
            <w:tcW w:w="900" w:type="dxa"/>
            <w:tcBorders>
              <w:top w:val="nil"/>
              <w:left w:val="nil"/>
              <w:bottom w:val="nil"/>
              <w:right w:val="nil"/>
            </w:tcBorders>
            <w:shd w:val="clear" w:color="E7E6E6" w:fill="E7E6E6"/>
            <w:noWrap/>
            <w:vAlign w:val="bottom"/>
            <w:hideMark/>
          </w:tcPr>
          <w:p w14:paraId="73E1CFC8"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100%</w:t>
            </w:r>
          </w:p>
        </w:tc>
      </w:tr>
      <w:tr w:rsidR="002939D3" w:rsidRPr="006E2AB2" w14:paraId="1613011F" w14:textId="77777777" w:rsidTr="000915D9">
        <w:trPr>
          <w:trHeight w:val="320"/>
        </w:trPr>
        <w:tc>
          <w:tcPr>
            <w:tcW w:w="4860" w:type="dxa"/>
            <w:gridSpan w:val="2"/>
            <w:tcBorders>
              <w:top w:val="nil"/>
              <w:left w:val="nil"/>
              <w:bottom w:val="nil"/>
              <w:right w:val="nil"/>
            </w:tcBorders>
            <w:shd w:val="clear" w:color="auto" w:fill="auto"/>
            <w:noWrap/>
            <w:vAlign w:val="bottom"/>
            <w:hideMark/>
          </w:tcPr>
          <w:p w14:paraId="7A31D146"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High b-value images ≥1400s/mm2</w:t>
            </w:r>
          </w:p>
        </w:tc>
        <w:tc>
          <w:tcPr>
            <w:tcW w:w="900" w:type="dxa"/>
            <w:tcBorders>
              <w:top w:val="nil"/>
              <w:left w:val="nil"/>
              <w:bottom w:val="nil"/>
              <w:right w:val="nil"/>
            </w:tcBorders>
            <w:shd w:val="clear" w:color="auto" w:fill="auto"/>
            <w:noWrap/>
            <w:vAlign w:val="bottom"/>
            <w:hideMark/>
          </w:tcPr>
          <w:p w14:paraId="643666CF"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50%</w:t>
            </w:r>
          </w:p>
        </w:tc>
      </w:tr>
      <w:tr w:rsidR="002939D3" w:rsidRPr="006E2AB2" w14:paraId="58DDA336" w14:textId="77777777" w:rsidTr="000915D9">
        <w:trPr>
          <w:trHeight w:val="340"/>
        </w:trPr>
        <w:tc>
          <w:tcPr>
            <w:tcW w:w="4860" w:type="dxa"/>
            <w:gridSpan w:val="2"/>
            <w:tcBorders>
              <w:top w:val="nil"/>
              <w:left w:val="nil"/>
              <w:bottom w:val="nil"/>
              <w:right w:val="nil"/>
            </w:tcBorders>
            <w:shd w:val="clear" w:color="E7E6E6" w:fill="E7E6E6"/>
            <w:noWrap/>
            <w:vAlign w:val="bottom"/>
            <w:hideMark/>
          </w:tcPr>
          <w:p w14:paraId="721EC7A5"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TR ≥ 3000ms</w:t>
            </w:r>
          </w:p>
        </w:tc>
        <w:tc>
          <w:tcPr>
            <w:tcW w:w="900" w:type="dxa"/>
            <w:tcBorders>
              <w:top w:val="nil"/>
              <w:left w:val="nil"/>
              <w:bottom w:val="nil"/>
              <w:right w:val="nil"/>
            </w:tcBorders>
            <w:shd w:val="clear" w:color="E7E6E6" w:fill="E7E6E6"/>
            <w:noWrap/>
            <w:vAlign w:val="bottom"/>
            <w:hideMark/>
          </w:tcPr>
          <w:p w14:paraId="21DDE66D"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94%</w:t>
            </w:r>
          </w:p>
        </w:tc>
      </w:tr>
      <w:tr w:rsidR="002939D3" w:rsidRPr="006E2AB2" w14:paraId="2F7BC7D2" w14:textId="77777777" w:rsidTr="000915D9">
        <w:trPr>
          <w:trHeight w:val="320"/>
        </w:trPr>
        <w:tc>
          <w:tcPr>
            <w:tcW w:w="4860" w:type="dxa"/>
            <w:gridSpan w:val="2"/>
            <w:tcBorders>
              <w:top w:val="nil"/>
              <w:left w:val="nil"/>
              <w:bottom w:val="nil"/>
              <w:right w:val="nil"/>
            </w:tcBorders>
            <w:shd w:val="clear" w:color="auto" w:fill="auto"/>
            <w:noWrap/>
            <w:vAlign w:val="bottom"/>
            <w:hideMark/>
          </w:tcPr>
          <w:p w14:paraId="49CB30A0"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TE ≤ 90ms</w:t>
            </w:r>
          </w:p>
        </w:tc>
        <w:tc>
          <w:tcPr>
            <w:tcW w:w="900" w:type="dxa"/>
            <w:tcBorders>
              <w:top w:val="nil"/>
              <w:left w:val="nil"/>
              <w:bottom w:val="nil"/>
              <w:right w:val="nil"/>
            </w:tcBorders>
            <w:shd w:val="clear" w:color="auto" w:fill="auto"/>
            <w:noWrap/>
            <w:vAlign w:val="bottom"/>
            <w:hideMark/>
          </w:tcPr>
          <w:p w14:paraId="13153415"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73%</w:t>
            </w:r>
          </w:p>
        </w:tc>
      </w:tr>
      <w:tr w:rsidR="002939D3" w:rsidRPr="006E2AB2" w14:paraId="6836D21F" w14:textId="77777777" w:rsidTr="000915D9">
        <w:trPr>
          <w:trHeight w:val="320"/>
        </w:trPr>
        <w:tc>
          <w:tcPr>
            <w:tcW w:w="4860" w:type="dxa"/>
            <w:gridSpan w:val="2"/>
            <w:tcBorders>
              <w:top w:val="nil"/>
              <w:left w:val="nil"/>
              <w:bottom w:val="nil"/>
              <w:right w:val="nil"/>
            </w:tcBorders>
            <w:shd w:val="clear" w:color="E7E6E6" w:fill="E7E6E6"/>
            <w:noWrap/>
            <w:vAlign w:val="bottom"/>
            <w:hideMark/>
          </w:tcPr>
          <w:p w14:paraId="3AAD93FD"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slice thickness ≤ 4mm</w:t>
            </w:r>
          </w:p>
        </w:tc>
        <w:tc>
          <w:tcPr>
            <w:tcW w:w="900" w:type="dxa"/>
            <w:tcBorders>
              <w:top w:val="nil"/>
              <w:left w:val="nil"/>
              <w:bottom w:val="nil"/>
              <w:right w:val="nil"/>
            </w:tcBorders>
            <w:shd w:val="clear" w:color="E7E6E6" w:fill="E7E6E6"/>
            <w:noWrap/>
            <w:vAlign w:val="bottom"/>
            <w:hideMark/>
          </w:tcPr>
          <w:p w14:paraId="30131C70"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97%</w:t>
            </w:r>
          </w:p>
        </w:tc>
      </w:tr>
      <w:tr w:rsidR="002939D3" w:rsidRPr="006E2AB2" w14:paraId="5C2CC5F8" w14:textId="77777777" w:rsidTr="000915D9">
        <w:trPr>
          <w:trHeight w:val="320"/>
        </w:trPr>
        <w:tc>
          <w:tcPr>
            <w:tcW w:w="4860" w:type="dxa"/>
            <w:gridSpan w:val="2"/>
            <w:tcBorders>
              <w:top w:val="nil"/>
              <w:left w:val="nil"/>
              <w:bottom w:val="nil"/>
              <w:right w:val="nil"/>
            </w:tcBorders>
            <w:shd w:val="clear" w:color="auto" w:fill="auto"/>
            <w:noWrap/>
            <w:vAlign w:val="bottom"/>
            <w:hideMark/>
          </w:tcPr>
          <w:p w14:paraId="1A27DC83"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no inter-slice gap</w:t>
            </w:r>
          </w:p>
        </w:tc>
        <w:tc>
          <w:tcPr>
            <w:tcW w:w="900" w:type="dxa"/>
            <w:tcBorders>
              <w:top w:val="nil"/>
              <w:left w:val="nil"/>
              <w:bottom w:val="nil"/>
              <w:right w:val="nil"/>
            </w:tcBorders>
            <w:shd w:val="clear" w:color="auto" w:fill="auto"/>
            <w:noWrap/>
            <w:vAlign w:val="bottom"/>
            <w:hideMark/>
          </w:tcPr>
          <w:p w14:paraId="06433AA0"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79%</w:t>
            </w:r>
          </w:p>
        </w:tc>
      </w:tr>
      <w:tr w:rsidR="002939D3" w:rsidRPr="006E2AB2" w14:paraId="5501EAD8" w14:textId="77777777" w:rsidTr="000915D9">
        <w:trPr>
          <w:trHeight w:val="320"/>
        </w:trPr>
        <w:tc>
          <w:tcPr>
            <w:tcW w:w="4860" w:type="dxa"/>
            <w:gridSpan w:val="2"/>
            <w:tcBorders>
              <w:top w:val="nil"/>
              <w:left w:val="nil"/>
              <w:bottom w:val="nil"/>
              <w:right w:val="nil"/>
            </w:tcBorders>
            <w:shd w:val="clear" w:color="E7E6E6" w:fill="E7E6E6"/>
            <w:noWrap/>
            <w:vAlign w:val="bottom"/>
            <w:hideMark/>
          </w:tcPr>
          <w:p w14:paraId="3CB39DA0"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field of view lower limit (FOV LL) ≥ 160mm</w:t>
            </w:r>
          </w:p>
        </w:tc>
        <w:tc>
          <w:tcPr>
            <w:tcW w:w="900" w:type="dxa"/>
            <w:tcBorders>
              <w:top w:val="nil"/>
              <w:left w:val="nil"/>
              <w:bottom w:val="nil"/>
              <w:right w:val="nil"/>
            </w:tcBorders>
            <w:shd w:val="clear" w:color="E7E6E6" w:fill="E7E6E6"/>
            <w:noWrap/>
            <w:vAlign w:val="bottom"/>
            <w:hideMark/>
          </w:tcPr>
          <w:p w14:paraId="51B2D77E"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87%</w:t>
            </w:r>
          </w:p>
        </w:tc>
      </w:tr>
      <w:tr w:rsidR="002939D3" w:rsidRPr="006E2AB2" w14:paraId="28C4AB6A" w14:textId="77777777" w:rsidTr="000915D9">
        <w:trPr>
          <w:trHeight w:val="320"/>
        </w:trPr>
        <w:tc>
          <w:tcPr>
            <w:tcW w:w="4860" w:type="dxa"/>
            <w:gridSpan w:val="2"/>
            <w:tcBorders>
              <w:top w:val="nil"/>
              <w:left w:val="nil"/>
              <w:bottom w:val="nil"/>
              <w:right w:val="nil"/>
            </w:tcBorders>
            <w:shd w:val="clear" w:color="auto" w:fill="auto"/>
            <w:noWrap/>
            <w:vAlign w:val="bottom"/>
            <w:hideMark/>
          </w:tcPr>
          <w:p w14:paraId="459B33CA"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field of view upper limit (FOV UL) ≤ 220 mm</w:t>
            </w:r>
          </w:p>
        </w:tc>
        <w:tc>
          <w:tcPr>
            <w:tcW w:w="900" w:type="dxa"/>
            <w:tcBorders>
              <w:top w:val="nil"/>
              <w:left w:val="nil"/>
              <w:bottom w:val="nil"/>
              <w:right w:val="nil"/>
            </w:tcBorders>
            <w:shd w:val="clear" w:color="auto" w:fill="auto"/>
            <w:noWrap/>
            <w:vAlign w:val="bottom"/>
            <w:hideMark/>
          </w:tcPr>
          <w:p w14:paraId="6E1EA59F"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35%</w:t>
            </w:r>
          </w:p>
        </w:tc>
      </w:tr>
      <w:tr w:rsidR="002939D3" w:rsidRPr="006E2AB2" w14:paraId="62D43747" w14:textId="77777777" w:rsidTr="000915D9">
        <w:trPr>
          <w:trHeight w:val="320"/>
        </w:trPr>
        <w:tc>
          <w:tcPr>
            <w:tcW w:w="4860" w:type="dxa"/>
            <w:gridSpan w:val="2"/>
            <w:tcBorders>
              <w:top w:val="nil"/>
              <w:left w:val="nil"/>
              <w:bottom w:val="nil"/>
              <w:right w:val="nil"/>
            </w:tcBorders>
            <w:shd w:val="clear" w:color="E7E6E6" w:fill="E7E6E6"/>
            <w:noWrap/>
            <w:vAlign w:val="bottom"/>
            <w:hideMark/>
          </w:tcPr>
          <w:p w14:paraId="1BF0D581"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in-plane resolution phase (IPRP) ≤ 2.5mm</w:t>
            </w:r>
          </w:p>
        </w:tc>
        <w:tc>
          <w:tcPr>
            <w:tcW w:w="900" w:type="dxa"/>
            <w:tcBorders>
              <w:top w:val="nil"/>
              <w:left w:val="nil"/>
              <w:bottom w:val="nil"/>
              <w:right w:val="nil"/>
            </w:tcBorders>
            <w:shd w:val="clear" w:color="E7E6E6" w:fill="E7E6E6"/>
            <w:noWrap/>
            <w:vAlign w:val="bottom"/>
            <w:hideMark/>
          </w:tcPr>
          <w:p w14:paraId="013B8118"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98%</w:t>
            </w:r>
          </w:p>
        </w:tc>
      </w:tr>
      <w:tr w:rsidR="002939D3" w:rsidRPr="006E2AB2" w14:paraId="3E79CBEA" w14:textId="77777777" w:rsidTr="000915D9">
        <w:trPr>
          <w:trHeight w:val="320"/>
        </w:trPr>
        <w:tc>
          <w:tcPr>
            <w:tcW w:w="4860" w:type="dxa"/>
            <w:gridSpan w:val="2"/>
            <w:tcBorders>
              <w:top w:val="nil"/>
              <w:left w:val="nil"/>
              <w:bottom w:val="single" w:sz="4" w:space="0" w:color="000000"/>
              <w:right w:val="nil"/>
            </w:tcBorders>
            <w:shd w:val="clear" w:color="auto" w:fill="auto"/>
            <w:noWrap/>
            <w:vAlign w:val="bottom"/>
            <w:hideMark/>
          </w:tcPr>
          <w:p w14:paraId="02599C87"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in-plane resolution frequency (IPRF) ≤ 2.5mm</w:t>
            </w:r>
          </w:p>
        </w:tc>
        <w:tc>
          <w:tcPr>
            <w:tcW w:w="900" w:type="dxa"/>
            <w:tcBorders>
              <w:top w:val="nil"/>
              <w:left w:val="nil"/>
              <w:bottom w:val="single" w:sz="4" w:space="0" w:color="000000"/>
              <w:right w:val="nil"/>
            </w:tcBorders>
            <w:shd w:val="clear" w:color="auto" w:fill="auto"/>
            <w:noWrap/>
            <w:vAlign w:val="bottom"/>
            <w:hideMark/>
          </w:tcPr>
          <w:p w14:paraId="42D69E0A"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98%</w:t>
            </w:r>
          </w:p>
        </w:tc>
      </w:tr>
    </w:tbl>
    <w:p w14:paraId="61909829" w14:textId="77777777" w:rsidR="002939D3" w:rsidRPr="006E2AB2" w:rsidRDefault="002939D3" w:rsidP="002939D3">
      <w:pPr>
        <w:spacing w:after="0" w:line="240" w:lineRule="auto"/>
        <w:rPr>
          <w:rFonts w:ascii="Times New Roman" w:eastAsia="Times New Roman" w:hAnsi="Times New Roman" w:cs="Times New Roman"/>
          <w:color w:val="000000"/>
          <w:szCs w:val="20"/>
        </w:rPr>
      </w:pPr>
    </w:p>
    <w:p w14:paraId="032A5A07" w14:textId="77777777" w:rsidR="002939D3" w:rsidRPr="006E2AB2" w:rsidRDefault="002939D3" w:rsidP="002939D3">
      <w:pPr>
        <w:spacing w:after="0" w:line="240" w:lineRule="auto"/>
        <w:rPr>
          <w:rFonts w:ascii="Times New Roman" w:eastAsia="Times New Roman" w:hAnsi="Times New Roman" w:cs="Times New Roman"/>
          <w:color w:val="000000"/>
          <w:szCs w:val="20"/>
        </w:rPr>
      </w:pPr>
    </w:p>
    <w:p w14:paraId="0ACC7F0F" w14:textId="77777777" w:rsidR="002939D3" w:rsidRPr="006E2AB2" w:rsidRDefault="002939D3" w:rsidP="002939D3">
      <w:pPr>
        <w:spacing w:after="0" w:line="240" w:lineRule="auto"/>
        <w:rPr>
          <w:rFonts w:ascii="Times New Roman" w:eastAsia="Calibri" w:hAnsi="Times New Roman" w:cs="Times New Roman"/>
        </w:rPr>
      </w:pPr>
    </w:p>
    <w:p w14:paraId="623324FC" w14:textId="77777777" w:rsidR="002939D3" w:rsidRPr="006E2AB2" w:rsidRDefault="002939D3" w:rsidP="002939D3">
      <w:pPr>
        <w:spacing w:after="0" w:line="240" w:lineRule="auto"/>
        <w:rPr>
          <w:rFonts w:ascii="Calibri" w:eastAsia="Calibri" w:hAnsi="Calibri" w:cs="Times New Roman"/>
        </w:rPr>
      </w:pPr>
    </w:p>
    <w:p w14:paraId="5F1ED3C4" w14:textId="77777777" w:rsidR="002939D3" w:rsidRPr="006E2AB2" w:rsidRDefault="002939D3" w:rsidP="002939D3">
      <w:pPr>
        <w:spacing w:after="0" w:line="240" w:lineRule="auto"/>
        <w:rPr>
          <w:rFonts w:ascii="Times New Roman" w:eastAsia="Calibri" w:hAnsi="Times New Roman" w:cs="Times New Roman"/>
          <w:b/>
          <w:i/>
        </w:rPr>
      </w:pPr>
    </w:p>
    <w:p w14:paraId="3CAEFD44" w14:textId="77777777" w:rsidR="002939D3" w:rsidRPr="006E2AB2" w:rsidRDefault="002939D3" w:rsidP="002939D3">
      <w:pPr>
        <w:spacing w:after="0" w:line="240" w:lineRule="auto"/>
        <w:rPr>
          <w:rFonts w:ascii="Calibri" w:eastAsia="Calibri" w:hAnsi="Calibri" w:cs="Times New Roman"/>
        </w:rPr>
      </w:pPr>
    </w:p>
    <w:p w14:paraId="2036E53C" w14:textId="77777777" w:rsidR="002939D3" w:rsidRPr="006E2AB2" w:rsidRDefault="002939D3" w:rsidP="002939D3">
      <w:pPr>
        <w:spacing w:after="0" w:line="240" w:lineRule="auto"/>
        <w:rPr>
          <w:rFonts w:ascii="Calibri" w:eastAsia="Calibri" w:hAnsi="Calibri" w:cs="Times New Roman"/>
        </w:rPr>
      </w:pPr>
    </w:p>
    <w:p w14:paraId="7504E5DE" w14:textId="77777777" w:rsidR="002939D3" w:rsidRPr="006E2AB2" w:rsidRDefault="002939D3" w:rsidP="002939D3">
      <w:pPr>
        <w:spacing w:after="0" w:line="240" w:lineRule="auto"/>
        <w:rPr>
          <w:rFonts w:ascii="Calibri" w:eastAsia="Calibri" w:hAnsi="Calibri" w:cs="Times New Roman"/>
        </w:rPr>
      </w:pPr>
    </w:p>
    <w:p w14:paraId="57F362E5" w14:textId="77777777" w:rsidR="002939D3" w:rsidRPr="006E2AB2" w:rsidRDefault="002939D3" w:rsidP="002939D3">
      <w:pPr>
        <w:spacing w:after="0" w:line="240" w:lineRule="auto"/>
        <w:rPr>
          <w:rFonts w:ascii="Calibri" w:eastAsia="Calibri" w:hAnsi="Calibri" w:cs="Times New Roman"/>
        </w:rPr>
      </w:pPr>
    </w:p>
    <w:p w14:paraId="2F25BE97" w14:textId="77777777" w:rsidR="002939D3" w:rsidRPr="006E2AB2" w:rsidRDefault="002939D3" w:rsidP="002939D3">
      <w:pPr>
        <w:spacing w:after="0" w:line="240" w:lineRule="auto"/>
        <w:rPr>
          <w:rFonts w:ascii="Calibri" w:eastAsia="Calibri" w:hAnsi="Calibri" w:cs="Times New Roman"/>
        </w:rPr>
      </w:pPr>
    </w:p>
    <w:p w14:paraId="560D60B3" w14:textId="77777777" w:rsidR="002939D3" w:rsidRPr="006E2AB2" w:rsidRDefault="002939D3" w:rsidP="002939D3">
      <w:pPr>
        <w:spacing w:after="0" w:line="240" w:lineRule="auto"/>
        <w:rPr>
          <w:rFonts w:ascii="Calibri" w:eastAsia="Calibri" w:hAnsi="Calibri" w:cs="Times New Roman"/>
        </w:rPr>
      </w:pPr>
    </w:p>
    <w:p w14:paraId="5A43958F" w14:textId="77777777" w:rsidR="002939D3" w:rsidRPr="006E2AB2" w:rsidRDefault="002939D3" w:rsidP="002939D3">
      <w:pPr>
        <w:spacing w:after="0" w:line="240" w:lineRule="auto"/>
        <w:rPr>
          <w:rFonts w:ascii="Calibri" w:eastAsia="Calibri" w:hAnsi="Calibri" w:cs="Times New Roman"/>
        </w:rPr>
      </w:pPr>
    </w:p>
    <w:p w14:paraId="6DCD6351" w14:textId="77777777" w:rsidR="002939D3" w:rsidRPr="006E2AB2" w:rsidRDefault="002939D3" w:rsidP="002939D3">
      <w:pPr>
        <w:spacing w:after="0" w:line="240" w:lineRule="auto"/>
        <w:rPr>
          <w:rFonts w:ascii="Calibri" w:eastAsia="Calibri" w:hAnsi="Calibri" w:cs="Times New Roman"/>
        </w:rPr>
      </w:pPr>
    </w:p>
    <w:p w14:paraId="7B68087E" w14:textId="77777777" w:rsidR="002939D3" w:rsidRPr="006E2AB2" w:rsidRDefault="002939D3" w:rsidP="002939D3">
      <w:pPr>
        <w:spacing w:after="0" w:line="240" w:lineRule="auto"/>
        <w:rPr>
          <w:rFonts w:ascii="Calibri" w:eastAsia="Calibri" w:hAnsi="Calibri" w:cs="Times New Roman"/>
        </w:rPr>
      </w:pPr>
    </w:p>
    <w:p w14:paraId="611AC388" w14:textId="77777777" w:rsidR="002939D3" w:rsidRPr="006E2AB2" w:rsidRDefault="002939D3" w:rsidP="002939D3">
      <w:pPr>
        <w:spacing w:after="0" w:line="240" w:lineRule="auto"/>
        <w:rPr>
          <w:rFonts w:ascii="Calibri" w:eastAsia="Calibri" w:hAnsi="Calibri" w:cs="Times New Roman"/>
        </w:rPr>
      </w:pPr>
    </w:p>
    <w:p w14:paraId="5ACC18B0" w14:textId="77777777" w:rsidR="002939D3" w:rsidRPr="006E2AB2" w:rsidRDefault="002939D3" w:rsidP="002939D3">
      <w:pPr>
        <w:spacing w:after="0" w:line="240" w:lineRule="auto"/>
        <w:rPr>
          <w:rFonts w:ascii="Calibri" w:eastAsia="Calibri" w:hAnsi="Calibri" w:cs="Times New Roman"/>
        </w:rPr>
      </w:pPr>
    </w:p>
    <w:p w14:paraId="62DC016F" w14:textId="77777777" w:rsidR="002939D3" w:rsidRPr="006E2AB2" w:rsidRDefault="002939D3" w:rsidP="002939D3">
      <w:pPr>
        <w:spacing w:after="0" w:line="240" w:lineRule="auto"/>
        <w:rPr>
          <w:rFonts w:ascii="Calibri" w:eastAsia="Calibri" w:hAnsi="Calibri" w:cs="Times New Roman"/>
        </w:rPr>
      </w:pPr>
    </w:p>
    <w:p w14:paraId="2D2FF5F0" w14:textId="77777777" w:rsidR="002939D3" w:rsidRPr="006E2AB2" w:rsidRDefault="002939D3" w:rsidP="002939D3">
      <w:pPr>
        <w:spacing w:after="0" w:line="240" w:lineRule="auto"/>
        <w:rPr>
          <w:rFonts w:ascii="Calibri" w:eastAsia="Calibri" w:hAnsi="Calibri" w:cs="Times New Roman"/>
        </w:rPr>
      </w:pPr>
    </w:p>
    <w:p w14:paraId="23FAC045" w14:textId="77777777" w:rsidR="002939D3" w:rsidRPr="006E2AB2" w:rsidRDefault="002939D3" w:rsidP="002939D3">
      <w:pPr>
        <w:spacing w:after="0" w:line="240" w:lineRule="auto"/>
        <w:rPr>
          <w:rFonts w:ascii="Calibri" w:eastAsia="Calibri" w:hAnsi="Calibri" w:cs="Times New Roman"/>
        </w:rPr>
      </w:pPr>
    </w:p>
    <w:p w14:paraId="65AEE6DD" w14:textId="77777777" w:rsidR="002939D3" w:rsidRPr="006E2AB2" w:rsidRDefault="002939D3" w:rsidP="002939D3">
      <w:pPr>
        <w:spacing w:after="0" w:line="240" w:lineRule="auto"/>
        <w:rPr>
          <w:rFonts w:ascii="Calibri" w:eastAsia="Calibri" w:hAnsi="Calibri" w:cs="Times New Roman"/>
        </w:rPr>
      </w:pPr>
    </w:p>
    <w:p w14:paraId="01DB9749" w14:textId="77777777" w:rsidR="002939D3" w:rsidRPr="006E2AB2" w:rsidRDefault="002939D3" w:rsidP="002939D3">
      <w:pPr>
        <w:spacing w:after="0" w:line="240" w:lineRule="auto"/>
        <w:rPr>
          <w:rFonts w:ascii="Calibri" w:eastAsia="Calibri" w:hAnsi="Calibri" w:cs="Times New Roman"/>
        </w:rPr>
      </w:pPr>
    </w:p>
    <w:p w14:paraId="60478DAE" w14:textId="77777777" w:rsidR="002939D3" w:rsidRDefault="002939D3" w:rsidP="002939D3">
      <w:pPr>
        <w:spacing w:after="0" w:line="240" w:lineRule="auto"/>
        <w:rPr>
          <w:rFonts w:ascii="Calibri" w:eastAsia="Calibri" w:hAnsi="Calibri" w:cs="Times New Roman"/>
          <w:iCs/>
        </w:rPr>
      </w:pPr>
      <w:r w:rsidRPr="006E2AB2">
        <w:rPr>
          <w:rFonts w:ascii="Times New Roman" w:eastAsia="Calibri" w:hAnsi="Times New Roman" w:cs="Times New Roman"/>
          <w:b/>
          <w:iCs/>
        </w:rPr>
        <w:t xml:space="preserve">Table </w:t>
      </w:r>
      <w:r w:rsidRPr="006E2AB2">
        <w:rPr>
          <w:rFonts w:ascii="Times New Roman" w:eastAsia="Calibri" w:hAnsi="Times New Roman" w:cs="Times New Roman"/>
          <w:b/>
          <w:bCs/>
          <w:iCs/>
        </w:rPr>
        <w:t>3</w:t>
      </w:r>
      <w:r w:rsidRPr="006E2AB2">
        <w:rPr>
          <w:rFonts w:ascii="Times New Roman" w:eastAsia="Calibri" w:hAnsi="Times New Roman" w:cs="Times New Roman"/>
          <w:iCs/>
        </w:rPr>
        <w:t xml:space="preserve">. </w:t>
      </w:r>
      <w:r>
        <w:rPr>
          <w:rFonts w:ascii="Times New Roman" w:eastAsia="Calibri" w:hAnsi="Times New Roman" w:cs="Times New Roman"/>
          <w:iCs/>
        </w:rPr>
        <w:t>Summary of overall r</w:t>
      </w:r>
      <w:r w:rsidRPr="006E2AB2">
        <w:rPr>
          <w:rFonts w:ascii="Times New Roman" w:eastAsia="Calibri" w:hAnsi="Times New Roman" w:cs="Times New Roman"/>
          <w:iCs/>
        </w:rPr>
        <w:t xml:space="preserve">ates of adherence to PIRADSv2 </w:t>
      </w:r>
      <w:r>
        <w:rPr>
          <w:rFonts w:ascii="Times New Roman" w:eastAsia="Calibri" w:hAnsi="Times New Roman" w:cs="Times New Roman"/>
          <w:iCs/>
        </w:rPr>
        <w:t>Minimum Technical Standards (MTS</w:t>
      </w:r>
      <w:r>
        <w:rPr>
          <w:rFonts w:ascii="Calibri" w:eastAsia="Calibri" w:hAnsi="Calibri" w:cs="Times New Roman"/>
          <w:iCs/>
        </w:rPr>
        <w:t>)</w:t>
      </w:r>
    </w:p>
    <w:p w14:paraId="341334F7" w14:textId="77777777" w:rsidR="002939D3" w:rsidRPr="006E2AB2" w:rsidRDefault="002939D3" w:rsidP="002939D3">
      <w:pPr>
        <w:spacing w:line="240" w:lineRule="auto"/>
        <w:rPr>
          <w:rFonts w:ascii="Times New Roman" w:eastAsia="Calibri" w:hAnsi="Times New Roman" w:cs="Times New Roman"/>
          <w:iCs/>
        </w:rPr>
      </w:pPr>
      <w:r>
        <w:rPr>
          <w:rFonts w:ascii="Calibri" w:eastAsia="Calibri" w:hAnsi="Calibri" w:cs="Times New Roman"/>
          <w:iCs/>
        </w:rPr>
        <w:br w:type="page"/>
      </w:r>
    </w:p>
    <w:p w14:paraId="5FE3AFA9" w14:textId="77777777" w:rsidR="002939D3" w:rsidRPr="006E2AB2" w:rsidRDefault="002939D3" w:rsidP="002939D3">
      <w:pPr>
        <w:spacing w:line="240" w:lineRule="auto"/>
        <w:jc w:val="both"/>
        <w:rPr>
          <w:rFonts w:ascii="Times New Roman" w:eastAsia="Times New Roman" w:hAnsi="Times New Roman" w:cs="Times New Roman"/>
          <w:color w:val="000000"/>
        </w:rPr>
      </w:pPr>
    </w:p>
    <w:tbl>
      <w:tblPr>
        <w:tblpPr w:leftFromText="180" w:rightFromText="180" w:vertAnchor="text" w:horzAnchor="margin" w:tblpXSpec="center" w:tblpY="270"/>
        <w:tblW w:w="11293" w:type="dxa"/>
        <w:tblCellMar>
          <w:left w:w="29" w:type="dxa"/>
          <w:right w:w="29" w:type="dxa"/>
        </w:tblCellMar>
        <w:tblLook w:val="04A0" w:firstRow="1" w:lastRow="0" w:firstColumn="1" w:lastColumn="0" w:noHBand="0" w:noVBand="1"/>
      </w:tblPr>
      <w:tblGrid>
        <w:gridCol w:w="336"/>
        <w:gridCol w:w="565"/>
        <w:gridCol w:w="1079"/>
        <w:gridCol w:w="1205"/>
        <w:gridCol w:w="1195"/>
        <w:gridCol w:w="1158"/>
        <w:gridCol w:w="1158"/>
        <w:gridCol w:w="1122"/>
        <w:gridCol w:w="1085"/>
        <w:gridCol w:w="1195"/>
        <w:gridCol w:w="1195"/>
      </w:tblGrid>
      <w:tr w:rsidR="002939D3" w:rsidRPr="006E2AB2" w14:paraId="22A22791" w14:textId="77777777" w:rsidTr="000915D9">
        <w:trPr>
          <w:trHeight w:val="349"/>
        </w:trPr>
        <w:tc>
          <w:tcPr>
            <w:tcW w:w="336" w:type="dxa"/>
            <w:tcBorders>
              <w:top w:val="single" w:sz="18" w:space="0" w:color="auto"/>
              <w:left w:val="nil"/>
              <w:right w:val="nil"/>
            </w:tcBorders>
            <w:shd w:val="clear" w:color="auto" w:fill="E7E6E6"/>
            <w:textDirection w:val="btLr"/>
          </w:tcPr>
          <w:p w14:paraId="3CD6CE9F" w14:textId="77777777" w:rsidR="002939D3" w:rsidRPr="006E2AB2" w:rsidRDefault="002939D3" w:rsidP="000915D9">
            <w:pPr>
              <w:spacing w:after="0" w:line="240" w:lineRule="auto"/>
              <w:ind w:left="113" w:right="113"/>
              <w:rPr>
                <w:rFonts w:ascii="Times New Roman" w:eastAsia="Times New Roman" w:hAnsi="Times New Roman" w:cs="Times New Roman"/>
                <w:b/>
                <w:bCs/>
                <w:color w:val="000000"/>
                <w:sz w:val="22"/>
                <w:szCs w:val="28"/>
              </w:rPr>
            </w:pPr>
          </w:p>
        </w:tc>
        <w:tc>
          <w:tcPr>
            <w:tcW w:w="565" w:type="dxa"/>
            <w:tcBorders>
              <w:top w:val="single" w:sz="18" w:space="0" w:color="auto"/>
              <w:left w:val="nil"/>
              <w:right w:val="nil"/>
            </w:tcBorders>
            <w:shd w:val="clear" w:color="auto" w:fill="E7E6E6"/>
            <w:vAlign w:val="center"/>
            <w:hideMark/>
          </w:tcPr>
          <w:p w14:paraId="17C176A4"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szCs w:val="28"/>
              </w:rPr>
            </w:pPr>
            <w:r w:rsidRPr="006E2AB2">
              <w:rPr>
                <w:rFonts w:ascii="Times New Roman" w:eastAsia="Times New Roman" w:hAnsi="Times New Roman" w:cs="Times New Roman"/>
                <w:b/>
                <w:bCs/>
                <w:color w:val="000000"/>
                <w:sz w:val="22"/>
                <w:szCs w:val="28"/>
              </w:rPr>
              <w:t> </w:t>
            </w:r>
          </w:p>
        </w:tc>
        <w:tc>
          <w:tcPr>
            <w:tcW w:w="1079" w:type="dxa"/>
            <w:tcBorders>
              <w:top w:val="single" w:sz="18" w:space="0" w:color="auto"/>
              <w:left w:val="nil"/>
              <w:right w:val="nil"/>
            </w:tcBorders>
            <w:shd w:val="clear" w:color="auto" w:fill="E7E6E6"/>
            <w:vAlign w:val="center"/>
          </w:tcPr>
          <w:p w14:paraId="73F132FD"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szCs w:val="28"/>
              </w:rPr>
            </w:pPr>
          </w:p>
        </w:tc>
        <w:tc>
          <w:tcPr>
            <w:tcW w:w="1205" w:type="dxa"/>
            <w:tcBorders>
              <w:top w:val="single" w:sz="18" w:space="0" w:color="auto"/>
              <w:left w:val="nil"/>
              <w:right w:val="nil"/>
            </w:tcBorders>
            <w:shd w:val="clear" w:color="auto" w:fill="E7E6E6"/>
          </w:tcPr>
          <w:p w14:paraId="073E03B5"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p>
        </w:tc>
        <w:tc>
          <w:tcPr>
            <w:tcW w:w="1195" w:type="dxa"/>
            <w:tcBorders>
              <w:top w:val="single" w:sz="18" w:space="0" w:color="auto"/>
              <w:left w:val="nil"/>
              <w:right w:val="nil"/>
            </w:tcBorders>
            <w:shd w:val="clear" w:color="auto" w:fill="E7E6E6"/>
            <w:noWrap/>
            <w:vAlign w:val="center"/>
            <w:hideMark/>
          </w:tcPr>
          <w:p w14:paraId="7120EA87"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p>
        </w:tc>
        <w:tc>
          <w:tcPr>
            <w:tcW w:w="4523" w:type="dxa"/>
            <w:gridSpan w:val="4"/>
            <w:tcBorders>
              <w:top w:val="single" w:sz="18" w:space="0" w:color="auto"/>
              <w:left w:val="nil"/>
              <w:right w:val="nil"/>
            </w:tcBorders>
            <w:shd w:val="clear" w:color="auto" w:fill="E7E6E6"/>
            <w:noWrap/>
            <w:vAlign w:val="center"/>
            <w:hideMark/>
          </w:tcPr>
          <w:p w14:paraId="16D22A97"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Perceived Artifacts</w:t>
            </w:r>
          </w:p>
        </w:tc>
        <w:tc>
          <w:tcPr>
            <w:tcW w:w="2390" w:type="dxa"/>
            <w:gridSpan w:val="2"/>
            <w:tcBorders>
              <w:top w:val="single" w:sz="18" w:space="0" w:color="auto"/>
              <w:left w:val="nil"/>
              <w:right w:val="nil"/>
            </w:tcBorders>
            <w:shd w:val="clear" w:color="auto" w:fill="E7E6E6"/>
            <w:noWrap/>
            <w:vAlign w:val="center"/>
            <w:hideMark/>
          </w:tcPr>
          <w:p w14:paraId="17B8ABC3"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 xml:space="preserve">Visual </w:t>
            </w:r>
            <w:r>
              <w:rPr>
                <w:rFonts w:ascii="Times New Roman" w:eastAsia="Times New Roman" w:hAnsi="Times New Roman" w:cs="Times New Roman"/>
                <w:b/>
                <w:bCs/>
                <w:color w:val="000000"/>
                <w:sz w:val="22"/>
              </w:rPr>
              <w:t>C</w:t>
            </w:r>
            <w:r w:rsidRPr="006E2AB2">
              <w:rPr>
                <w:rFonts w:ascii="Times New Roman" w:eastAsia="Times New Roman" w:hAnsi="Times New Roman" w:cs="Times New Roman"/>
                <w:b/>
                <w:bCs/>
                <w:color w:val="000000"/>
                <w:sz w:val="22"/>
              </w:rPr>
              <w:t>haracteristics</w:t>
            </w:r>
          </w:p>
        </w:tc>
      </w:tr>
      <w:tr w:rsidR="002939D3" w:rsidRPr="006E2AB2" w14:paraId="5DD39E22" w14:textId="77777777" w:rsidTr="000915D9">
        <w:trPr>
          <w:trHeight w:val="349"/>
        </w:trPr>
        <w:tc>
          <w:tcPr>
            <w:tcW w:w="336" w:type="dxa"/>
            <w:tcBorders>
              <w:left w:val="nil"/>
              <w:bottom w:val="single" w:sz="12" w:space="0" w:color="auto"/>
              <w:right w:val="nil"/>
            </w:tcBorders>
            <w:shd w:val="clear" w:color="auto" w:fill="E7E6E6"/>
          </w:tcPr>
          <w:p w14:paraId="41D4A358"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p>
        </w:tc>
        <w:tc>
          <w:tcPr>
            <w:tcW w:w="565" w:type="dxa"/>
            <w:tcBorders>
              <w:left w:val="nil"/>
              <w:bottom w:val="single" w:sz="12" w:space="0" w:color="auto"/>
              <w:right w:val="nil"/>
            </w:tcBorders>
            <w:shd w:val="clear" w:color="auto" w:fill="E7E6E6"/>
            <w:vAlign w:val="center"/>
            <w:hideMark/>
          </w:tcPr>
          <w:p w14:paraId="158B2D41"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p>
        </w:tc>
        <w:tc>
          <w:tcPr>
            <w:tcW w:w="1079" w:type="dxa"/>
            <w:tcBorders>
              <w:left w:val="nil"/>
              <w:bottom w:val="single" w:sz="12" w:space="0" w:color="auto"/>
              <w:right w:val="nil"/>
            </w:tcBorders>
            <w:shd w:val="clear" w:color="auto" w:fill="E7E6E6"/>
            <w:vAlign w:val="center"/>
          </w:tcPr>
          <w:p w14:paraId="1753D8A1"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Statistic</w:t>
            </w:r>
          </w:p>
        </w:tc>
        <w:tc>
          <w:tcPr>
            <w:tcW w:w="1205" w:type="dxa"/>
            <w:tcBorders>
              <w:left w:val="nil"/>
              <w:bottom w:val="single" w:sz="12" w:space="0" w:color="auto"/>
              <w:right w:val="nil"/>
            </w:tcBorders>
            <w:shd w:val="clear" w:color="auto" w:fill="E7E6E6"/>
            <w:vAlign w:val="center"/>
          </w:tcPr>
          <w:p w14:paraId="06AA4CF1"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Adequacy</w:t>
            </w:r>
          </w:p>
        </w:tc>
        <w:tc>
          <w:tcPr>
            <w:tcW w:w="1195" w:type="dxa"/>
            <w:tcBorders>
              <w:top w:val="nil"/>
              <w:left w:val="nil"/>
              <w:bottom w:val="single" w:sz="12" w:space="0" w:color="auto"/>
              <w:right w:val="single" w:sz="4" w:space="0" w:color="auto"/>
            </w:tcBorders>
            <w:shd w:val="clear" w:color="auto" w:fill="E7E6E6"/>
            <w:noWrap/>
            <w:vAlign w:val="center"/>
            <w:hideMark/>
          </w:tcPr>
          <w:p w14:paraId="4E5672B8"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Quality</w:t>
            </w:r>
          </w:p>
        </w:tc>
        <w:tc>
          <w:tcPr>
            <w:tcW w:w="1158" w:type="dxa"/>
            <w:tcBorders>
              <w:top w:val="nil"/>
              <w:left w:val="nil"/>
              <w:bottom w:val="single" w:sz="12" w:space="0" w:color="auto"/>
              <w:right w:val="nil"/>
            </w:tcBorders>
            <w:shd w:val="clear" w:color="auto" w:fill="E7E6E6"/>
            <w:noWrap/>
            <w:vAlign w:val="center"/>
            <w:hideMark/>
          </w:tcPr>
          <w:p w14:paraId="657BED62"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Noise</w:t>
            </w:r>
          </w:p>
        </w:tc>
        <w:tc>
          <w:tcPr>
            <w:tcW w:w="1158" w:type="dxa"/>
            <w:tcBorders>
              <w:top w:val="nil"/>
              <w:left w:val="nil"/>
              <w:bottom w:val="single" w:sz="12" w:space="0" w:color="auto"/>
              <w:right w:val="nil"/>
            </w:tcBorders>
            <w:shd w:val="clear" w:color="auto" w:fill="E7E6E6"/>
            <w:noWrap/>
            <w:vAlign w:val="center"/>
            <w:hideMark/>
          </w:tcPr>
          <w:p w14:paraId="5E4EC20F"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Motion</w:t>
            </w:r>
          </w:p>
        </w:tc>
        <w:tc>
          <w:tcPr>
            <w:tcW w:w="1122" w:type="dxa"/>
            <w:tcBorders>
              <w:top w:val="nil"/>
              <w:left w:val="nil"/>
              <w:bottom w:val="single" w:sz="12" w:space="0" w:color="auto"/>
              <w:right w:val="nil"/>
            </w:tcBorders>
            <w:shd w:val="clear" w:color="auto" w:fill="E7E6E6"/>
            <w:noWrap/>
            <w:vAlign w:val="center"/>
            <w:hideMark/>
          </w:tcPr>
          <w:p w14:paraId="0E77A427"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Distortion</w:t>
            </w:r>
          </w:p>
        </w:tc>
        <w:tc>
          <w:tcPr>
            <w:tcW w:w="1085" w:type="dxa"/>
            <w:tcBorders>
              <w:top w:val="nil"/>
              <w:left w:val="nil"/>
              <w:bottom w:val="single" w:sz="12" w:space="0" w:color="auto"/>
              <w:right w:val="single" w:sz="4" w:space="0" w:color="auto"/>
            </w:tcBorders>
            <w:shd w:val="clear" w:color="auto" w:fill="E7E6E6"/>
            <w:noWrap/>
            <w:vAlign w:val="center"/>
            <w:hideMark/>
          </w:tcPr>
          <w:p w14:paraId="1EE11275"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Aliasing</w:t>
            </w:r>
          </w:p>
        </w:tc>
        <w:tc>
          <w:tcPr>
            <w:tcW w:w="1195" w:type="dxa"/>
            <w:tcBorders>
              <w:top w:val="nil"/>
              <w:left w:val="nil"/>
              <w:bottom w:val="single" w:sz="12" w:space="0" w:color="auto"/>
              <w:right w:val="nil"/>
            </w:tcBorders>
            <w:shd w:val="clear" w:color="auto" w:fill="E7E6E6"/>
            <w:noWrap/>
            <w:vAlign w:val="center"/>
            <w:hideMark/>
          </w:tcPr>
          <w:p w14:paraId="3B8DE560"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Blurriness</w:t>
            </w:r>
          </w:p>
        </w:tc>
        <w:tc>
          <w:tcPr>
            <w:tcW w:w="1195" w:type="dxa"/>
            <w:tcBorders>
              <w:top w:val="nil"/>
              <w:left w:val="nil"/>
              <w:bottom w:val="single" w:sz="12" w:space="0" w:color="auto"/>
              <w:right w:val="nil"/>
            </w:tcBorders>
            <w:shd w:val="clear" w:color="auto" w:fill="E7E6E6"/>
            <w:noWrap/>
            <w:vAlign w:val="center"/>
            <w:hideMark/>
          </w:tcPr>
          <w:p w14:paraId="4DA569AB"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Contrast</w:t>
            </w:r>
          </w:p>
        </w:tc>
      </w:tr>
      <w:tr w:rsidR="002939D3" w:rsidRPr="006E2AB2" w14:paraId="344BAC2E" w14:textId="77777777" w:rsidTr="000915D9">
        <w:trPr>
          <w:trHeight w:val="319"/>
        </w:trPr>
        <w:tc>
          <w:tcPr>
            <w:tcW w:w="336" w:type="dxa"/>
            <w:vMerge w:val="restart"/>
            <w:tcBorders>
              <w:top w:val="single" w:sz="12" w:space="0" w:color="auto"/>
              <w:left w:val="nil"/>
              <w:right w:val="nil"/>
            </w:tcBorders>
            <w:shd w:val="clear" w:color="auto" w:fill="E7E6E6"/>
            <w:textDirection w:val="btLr"/>
          </w:tcPr>
          <w:p w14:paraId="1A667677"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r>
              <w:rPr>
                <w:rFonts w:ascii="Times New Roman" w:eastAsia="Times New Roman" w:hAnsi="Times New Roman" w:cs="Times New Roman"/>
                <w:b/>
                <w:bCs/>
                <w:color w:val="000000"/>
                <w:sz w:val="22"/>
                <w:szCs w:val="28"/>
              </w:rPr>
              <w:t>Adherence</w:t>
            </w:r>
          </w:p>
        </w:tc>
        <w:tc>
          <w:tcPr>
            <w:tcW w:w="565" w:type="dxa"/>
            <w:tcBorders>
              <w:top w:val="single" w:sz="12" w:space="0" w:color="auto"/>
              <w:left w:val="nil"/>
              <w:bottom w:val="nil"/>
              <w:right w:val="nil"/>
            </w:tcBorders>
            <w:shd w:val="clear" w:color="auto" w:fill="E7E6E6"/>
            <w:noWrap/>
            <w:vAlign w:val="center"/>
            <w:hideMark/>
          </w:tcPr>
          <w:p w14:paraId="67DB6D39" w14:textId="77777777" w:rsidR="002939D3" w:rsidRPr="006E2AB2" w:rsidRDefault="002939D3" w:rsidP="000915D9">
            <w:pPr>
              <w:spacing w:after="0" w:line="240" w:lineRule="auto"/>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 xml:space="preserve">T2 </w:t>
            </w:r>
          </w:p>
        </w:tc>
        <w:tc>
          <w:tcPr>
            <w:tcW w:w="1079" w:type="dxa"/>
            <w:tcBorders>
              <w:top w:val="single" w:sz="12" w:space="0" w:color="auto"/>
              <w:left w:val="nil"/>
              <w:bottom w:val="nil"/>
              <w:right w:val="single" w:sz="4" w:space="0" w:color="auto"/>
            </w:tcBorders>
            <w:shd w:val="clear" w:color="auto" w:fill="E7E6E6"/>
            <w:noWrap/>
            <w:vAlign w:val="center"/>
            <w:hideMark/>
          </w:tcPr>
          <w:p w14:paraId="67FA142C" w14:textId="77777777" w:rsidR="002939D3" w:rsidRPr="006E2AB2" w:rsidRDefault="002939D3" w:rsidP="000915D9">
            <w:pPr>
              <w:spacing w:after="0" w:line="240" w:lineRule="auto"/>
              <w:jc w:val="right"/>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tau-b (SE)</w:t>
            </w:r>
          </w:p>
        </w:tc>
        <w:tc>
          <w:tcPr>
            <w:tcW w:w="1205" w:type="dxa"/>
            <w:tcBorders>
              <w:top w:val="single" w:sz="12" w:space="0" w:color="auto"/>
              <w:left w:val="nil"/>
              <w:bottom w:val="nil"/>
              <w:right w:val="nil"/>
            </w:tcBorders>
          </w:tcPr>
          <w:p w14:paraId="7FE4CE79"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w:t>
            </w:r>
          </w:p>
        </w:tc>
        <w:tc>
          <w:tcPr>
            <w:tcW w:w="1195" w:type="dxa"/>
            <w:tcBorders>
              <w:top w:val="single" w:sz="12" w:space="0" w:color="auto"/>
              <w:left w:val="nil"/>
              <w:bottom w:val="nil"/>
              <w:right w:val="single" w:sz="4" w:space="0" w:color="auto"/>
            </w:tcBorders>
            <w:shd w:val="clear" w:color="auto" w:fill="auto"/>
            <w:noWrap/>
            <w:vAlign w:val="center"/>
            <w:hideMark/>
          </w:tcPr>
          <w:p w14:paraId="07D1E6C8"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0.22(0.08)†</w:t>
            </w:r>
          </w:p>
        </w:tc>
        <w:tc>
          <w:tcPr>
            <w:tcW w:w="1158" w:type="dxa"/>
            <w:tcBorders>
              <w:top w:val="single" w:sz="12" w:space="0" w:color="auto"/>
              <w:left w:val="nil"/>
              <w:bottom w:val="nil"/>
              <w:right w:val="single" w:sz="4" w:space="0" w:color="auto"/>
            </w:tcBorders>
            <w:shd w:val="clear" w:color="auto" w:fill="auto"/>
            <w:noWrap/>
            <w:vAlign w:val="center"/>
            <w:hideMark/>
          </w:tcPr>
          <w:p w14:paraId="1A8F2CA6"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0.19(0.07)</w:t>
            </w:r>
          </w:p>
        </w:tc>
        <w:tc>
          <w:tcPr>
            <w:tcW w:w="1158" w:type="dxa"/>
            <w:tcBorders>
              <w:top w:val="single" w:sz="12" w:space="0" w:color="auto"/>
              <w:left w:val="nil"/>
              <w:bottom w:val="nil"/>
              <w:right w:val="single" w:sz="4" w:space="0" w:color="auto"/>
            </w:tcBorders>
            <w:shd w:val="clear" w:color="auto" w:fill="auto"/>
            <w:noWrap/>
            <w:vAlign w:val="center"/>
            <w:hideMark/>
          </w:tcPr>
          <w:p w14:paraId="01B0934E"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0.1(0.07)</w:t>
            </w:r>
          </w:p>
        </w:tc>
        <w:tc>
          <w:tcPr>
            <w:tcW w:w="1122" w:type="dxa"/>
            <w:tcBorders>
              <w:top w:val="single" w:sz="12" w:space="0" w:color="auto"/>
              <w:left w:val="nil"/>
              <w:bottom w:val="nil"/>
              <w:right w:val="single" w:sz="4" w:space="0" w:color="auto"/>
            </w:tcBorders>
            <w:shd w:val="clear" w:color="auto" w:fill="auto"/>
            <w:noWrap/>
            <w:vAlign w:val="center"/>
            <w:hideMark/>
          </w:tcPr>
          <w:p w14:paraId="6E0FD73F"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0.17(0.06)</w:t>
            </w:r>
          </w:p>
        </w:tc>
        <w:tc>
          <w:tcPr>
            <w:tcW w:w="1085" w:type="dxa"/>
            <w:tcBorders>
              <w:top w:val="single" w:sz="12" w:space="0" w:color="auto"/>
              <w:left w:val="nil"/>
              <w:bottom w:val="nil"/>
              <w:right w:val="single" w:sz="4" w:space="0" w:color="auto"/>
            </w:tcBorders>
            <w:shd w:val="clear" w:color="auto" w:fill="auto"/>
            <w:noWrap/>
            <w:vAlign w:val="center"/>
            <w:hideMark/>
          </w:tcPr>
          <w:p w14:paraId="70C189C4"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0.14(0.06)</w:t>
            </w:r>
          </w:p>
        </w:tc>
        <w:tc>
          <w:tcPr>
            <w:tcW w:w="1195" w:type="dxa"/>
            <w:tcBorders>
              <w:top w:val="single" w:sz="12" w:space="0" w:color="auto"/>
              <w:left w:val="nil"/>
              <w:bottom w:val="nil"/>
              <w:right w:val="single" w:sz="4" w:space="0" w:color="auto"/>
            </w:tcBorders>
            <w:shd w:val="clear" w:color="auto" w:fill="auto"/>
            <w:noWrap/>
            <w:vAlign w:val="center"/>
            <w:hideMark/>
          </w:tcPr>
          <w:p w14:paraId="4BCF1AF7"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0.23(0.09)†</w:t>
            </w:r>
          </w:p>
        </w:tc>
        <w:tc>
          <w:tcPr>
            <w:tcW w:w="1195" w:type="dxa"/>
            <w:tcBorders>
              <w:top w:val="single" w:sz="12" w:space="0" w:color="auto"/>
              <w:left w:val="nil"/>
              <w:bottom w:val="nil"/>
              <w:right w:val="nil"/>
            </w:tcBorders>
            <w:shd w:val="clear" w:color="auto" w:fill="auto"/>
            <w:noWrap/>
            <w:vAlign w:val="center"/>
            <w:hideMark/>
          </w:tcPr>
          <w:p w14:paraId="634A4BD2"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0.22(0.08)†</w:t>
            </w:r>
          </w:p>
        </w:tc>
      </w:tr>
      <w:tr w:rsidR="002939D3" w:rsidRPr="006E2AB2" w14:paraId="2B98980A" w14:textId="77777777" w:rsidTr="000915D9">
        <w:trPr>
          <w:trHeight w:val="319"/>
        </w:trPr>
        <w:tc>
          <w:tcPr>
            <w:tcW w:w="336" w:type="dxa"/>
            <w:vMerge/>
            <w:tcBorders>
              <w:left w:val="nil"/>
              <w:right w:val="nil"/>
            </w:tcBorders>
            <w:shd w:val="clear" w:color="auto" w:fill="E7E6E6"/>
          </w:tcPr>
          <w:p w14:paraId="561921F9"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p>
        </w:tc>
        <w:tc>
          <w:tcPr>
            <w:tcW w:w="565" w:type="dxa"/>
            <w:tcBorders>
              <w:top w:val="nil"/>
              <w:left w:val="nil"/>
              <w:bottom w:val="single" w:sz="4" w:space="0" w:color="auto"/>
              <w:right w:val="nil"/>
            </w:tcBorders>
            <w:shd w:val="clear" w:color="auto" w:fill="E7E6E6"/>
            <w:noWrap/>
            <w:vAlign w:val="center"/>
            <w:hideMark/>
          </w:tcPr>
          <w:p w14:paraId="1D392F51" w14:textId="77777777" w:rsidR="002939D3" w:rsidRPr="006E2AB2" w:rsidRDefault="002939D3" w:rsidP="000915D9">
            <w:pPr>
              <w:spacing w:after="0" w:line="240" w:lineRule="auto"/>
              <w:jc w:val="right"/>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 </w:t>
            </w:r>
          </w:p>
        </w:tc>
        <w:tc>
          <w:tcPr>
            <w:tcW w:w="1079" w:type="dxa"/>
            <w:tcBorders>
              <w:top w:val="nil"/>
              <w:left w:val="nil"/>
              <w:bottom w:val="single" w:sz="4" w:space="0" w:color="auto"/>
              <w:right w:val="single" w:sz="4" w:space="0" w:color="auto"/>
            </w:tcBorders>
            <w:shd w:val="clear" w:color="auto" w:fill="E7E6E6"/>
            <w:noWrap/>
            <w:vAlign w:val="center"/>
            <w:hideMark/>
          </w:tcPr>
          <w:p w14:paraId="35D8F272" w14:textId="77777777" w:rsidR="002939D3" w:rsidRPr="006E2AB2" w:rsidRDefault="002939D3" w:rsidP="000915D9">
            <w:pPr>
              <w:spacing w:after="0" w:line="240" w:lineRule="auto"/>
              <w:jc w:val="right"/>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p-value</w:t>
            </w:r>
          </w:p>
        </w:tc>
        <w:tc>
          <w:tcPr>
            <w:tcW w:w="1205" w:type="dxa"/>
            <w:tcBorders>
              <w:top w:val="nil"/>
              <w:left w:val="nil"/>
              <w:bottom w:val="single" w:sz="4" w:space="0" w:color="auto"/>
              <w:right w:val="nil"/>
            </w:tcBorders>
            <w:vAlign w:val="bottom"/>
          </w:tcPr>
          <w:p w14:paraId="5ED9C5D8"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0.227</w:t>
            </w:r>
          </w:p>
        </w:tc>
        <w:tc>
          <w:tcPr>
            <w:tcW w:w="1195" w:type="dxa"/>
            <w:tcBorders>
              <w:top w:val="nil"/>
              <w:left w:val="nil"/>
              <w:bottom w:val="single" w:sz="4" w:space="0" w:color="auto"/>
              <w:right w:val="single" w:sz="4" w:space="0" w:color="auto"/>
            </w:tcBorders>
            <w:shd w:val="clear" w:color="auto" w:fill="auto"/>
            <w:noWrap/>
            <w:vAlign w:val="center"/>
            <w:hideMark/>
          </w:tcPr>
          <w:p w14:paraId="6387E5C7"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0.01</w:t>
            </w:r>
            <w:r>
              <w:rPr>
                <w:rFonts w:ascii="Times New Roman" w:eastAsia="Times New Roman" w:hAnsi="Times New Roman" w:cs="Times New Roman"/>
                <w:color w:val="000000"/>
                <w:sz w:val="22"/>
              </w:rPr>
              <w:t>0</w:t>
            </w:r>
            <w:r w:rsidRPr="006E2AB2">
              <w:rPr>
                <w:rFonts w:ascii="Times New Roman" w:eastAsia="Times New Roman" w:hAnsi="Times New Roman" w:cs="Times New Roman"/>
                <w:color w:val="000000"/>
                <w:sz w:val="22"/>
              </w:rPr>
              <w:t>*</w:t>
            </w:r>
          </w:p>
        </w:tc>
        <w:tc>
          <w:tcPr>
            <w:tcW w:w="1158" w:type="dxa"/>
            <w:tcBorders>
              <w:top w:val="nil"/>
              <w:left w:val="nil"/>
              <w:bottom w:val="single" w:sz="4" w:space="0" w:color="auto"/>
              <w:right w:val="single" w:sz="4" w:space="0" w:color="auto"/>
            </w:tcBorders>
            <w:shd w:val="clear" w:color="auto" w:fill="auto"/>
            <w:noWrap/>
            <w:vAlign w:val="center"/>
            <w:hideMark/>
          </w:tcPr>
          <w:p w14:paraId="6F86FC3A"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0.012*</w:t>
            </w:r>
          </w:p>
        </w:tc>
        <w:tc>
          <w:tcPr>
            <w:tcW w:w="1158" w:type="dxa"/>
            <w:tcBorders>
              <w:top w:val="nil"/>
              <w:left w:val="nil"/>
              <w:bottom w:val="single" w:sz="4" w:space="0" w:color="auto"/>
              <w:right w:val="single" w:sz="4" w:space="0" w:color="auto"/>
            </w:tcBorders>
            <w:shd w:val="clear" w:color="auto" w:fill="auto"/>
            <w:noWrap/>
            <w:vAlign w:val="center"/>
            <w:hideMark/>
          </w:tcPr>
          <w:p w14:paraId="28871D5B"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0.133</w:t>
            </w:r>
          </w:p>
        </w:tc>
        <w:tc>
          <w:tcPr>
            <w:tcW w:w="1122" w:type="dxa"/>
            <w:tcBorders>
              <w:top w:val="nil"/>
              <w:left w:val="nil"/>
              <w:bottom w:val="single" w:sz="4" w:space="0" w:color="auto"/>
              <w:right w:val="single" w:sz="4" w:space="0" w:color="auto"/>
            </w:tcBorders>
            <w:shd w:val="clear" w:color="auto" w:fill="auto"/>
            <w:noWrap/>
            <w:vAlign w:val="center"/>
            <w:hideMark/>
          </w:tcPr>
          <w:p w14:paraId="627DEF44"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0.005*</w:t>
            </w:r>
          </w:p>
        </w:tc>
        <w:tc>
          <w:tcPr>
            <w:tcW w:w="1085" w:type="dxa"/>
            <w:tcBorders>
              <w:top w:val="nil"/>
              <w:left w:val="nil"/>
              <w:bottom w:val="single" w:sz="4" w:space="0" w:color="auto"/>
              <w:right w:val="single" w:sz="4" w:space="0" w:color="auto"/>
            </w:tcBorders>
            <w:shd w:val="clear" w:color="auto" w:fill="auto"/>
            <w:noWrap/>
            <w:vAlign w:val="center"/>
            <w:hideMark/>
          </w:tcPr>
          <w:p w14:paraId="14510149"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0.017*</w:t>
            </w:r>
          </w:p>
        </w:tc>
        <w:tc>
          <w:tcPr>
            <w:tcW w:w="1195" w:type="dxa"/>
            <w:tcBorders>
              <w:top w:val="nil"/>
              <w:left w:val="nil"/>
              <w:bottom w:val="single" w:sz="4" w:space="0" w:color="auto"/>
              <w:right w:val="single" w:sz="4" w:space="0" w:color="auto"/>
            </w:tcBorders>
            <w:shd w:val="clear" w:color="auto" w:fill="auto"/>
            <w:noWrap/>
            <w:vAlign w:val="center"/>
            <w:hideMark/>
          </w:tcPr>
          <w:p w14:paraId="02AB117C"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0.008*</w:t>
            </w:r>
          </w:p>
        </w:tc>
        <w:tc>
          <w:tcPr>
            <w:tcW w:w="1195" w:type="dxa"/>
            <w:tcBorders>
              <w:top w:val="nil"/>
              <w:left w:val="nil"/>
              <w:bottom w:val="single" w:sz="4" w:space="0" w:color="auto"/>
              <w:right w:val="nil"/>
            </w:tcBorders>
            <w:shd w:val="clear" w:color="auto" w:fill="auto"/>
            <w:noWrap/>
            <w:vAlign w:val="center"/>
            <w:hideMark/>
          </w:tcPr>
          <w:p w14:paraId="77CA6BDB"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0.009*</w:t>
            </w:r>
          </w:p>
        </w:tc>
      </w:tr>
      <w:tr w:rsidR="002939D3" w:rsidRPr="006E2AB2" w14:paraId="2D4979D2" w14:textId="77777777" w:rsidTr="000915D9">
        <w:trPr>
          <w:trHeight w:val="319"/>
        </w:trPr>
        <w:tc>
          <w:tcPr>
            <w:tcW w:w="336" w:type="dxa"/>
            <w:vMerge/>
            <w:tcBorders>
              <w:left w:val="nil"/>
              <w:right w:val="nil"/>
            </w:tcBorders>
            <w:shd w:val="clear" w:color="auto" w:fill="E7E6E6"/>
          </w:tcPr>
          <w:p w14:paraId="180D7C32" w14:textId="77777777" w:rsidR="002939D3" w:rsidRPr="006E2AB2" w:rsidRDefault="002939D3" w:rsidP="000915D9">
            <w:pPr>
              <w:spacing w:after="0" w:line="240" w:lineRule="auto"/>
              <w:jc w:val="center"/>
              <w:rPr>
                <w:rFonts w:ascii="Times New Roman" w:eastAsia="Times New Roman" w:hAnsi="Times New Roman" w:cs="Times New Roman"/>
                <w:b/>
                <w:bCs/>
                <w:color w:val="000000"/>
                <w:sz w:val="22"/>
              </w:rPr>
            </w:pPr>
          </w:p>
        </w:tc>
        <w:tc>
          <w:tcPr>
            <w:tcW w:w="565" w:type="dxa"/>
            <w:tcBorders>
              <w:top w:val="nil"/>
              <w:left w:val="nil"/>
              <w:bottom w:val="nil"/>
              <w:right w:val="nil"/>
            </w:tcBorders>
            <w:shd w:val="clear" w:color="auto" w:fill="E7E6E6"/>
            <w:noWrap/>
            <w:vAlign w:val="center"/>
            <w:hideMark/>
          </w:tcPr>
          <w:p w14:paraId="5862455B" w14:textId="77777777" w:rsidR="002939D3" w:rsidRPr="006E2AB2" w:rsidRDefault="002939D3" w:rsidP="000915D9">
            <w:pPr>
              <w:spacing w:after="0" w:line="240" w:lineRule="auto"/>
              <w:rPr>
                <w:rFonts w:ascii="Times New Roman" w:eastAsia="Times New Roman" w:hAnsi="Times New Roman" w:cs="Times New Roman"/>
                <w:b/>
                <w:bCs/>
                <w:color w:val="000000"/>
                <w:sz w:val="22"/>
              </w:rPr>
            </w:pPr>
            <w:r w:rsidRPr="006E2AB2">
              <w:rPr>
                <w:rFonts w:ascii="Times New Roman" w:eastAsia="Times New Roman" w:hAnsi="Times New Roman" w:cs="Times New Roman"/>
                <w:b/>
                <w:bCs/>
                <w:color w:val="000000"/>
                <w:sz w:val="22"/>
              </w:rPr>
              <w:t xml:space="preserve">DWI </w:t>
            </w:r>
          </w:p>
        </w:tc>
        <w:tc>
          <w:tcPr>
            <w:tcW w:w="1079" w:type="dxa"/>
            <w:tcBorders>
              <w:top w:val="nil"/>
              <w:left w:val="nil"/>
              <w:bottom w:val="nil"/>
              <w:right w:val="single" w:sz="4" w:space="0" w:color="auto"/>
            </w:tcBorders>
            <w:shd w:val="clear" w:color="auto" w:fill="E7E6E6"/>
            <w:noWrap/>
            <w:vAlign w:val="center"/>
            <w:hideMark/>
          </w:tcPr>
          <w:p w14:paraId="4D0BA0EE" w14:textId="77777777" w:rsidR="002939D3" w:rsidRPr="006E2AB2" w:rsidRDefault="002939D3" w:rsidP="000915D9">
            <w:pPr>
              <w:spacing w:after="0" w:line="240" w:lineRule="auto"/>
              <w:jc w:val="right"/>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tau-b (SE)</w:t>
            </w:r>
          </w:p>
        </w:tc>
        <w:tc>
          <w:tcPr>
            <w:tcW w:w="1205" w:type="dxa"/>
            <w:tcBorders>
              <w:top w:val="nil"/>
              <w:left w:val="nil"/>
              <w:bottom w:val="nil"/>
              <w:right w:val="nil"/>
            </w:tcBorders>
            <w:vAlign w:val="bottom"/>
          </w:tcPr>
          <w:p w14:paraId="5229A161"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w:t>
            </w:r>
          </w:p>
        </w:tc>
        <w:tc>
          <w:tcPr>
            <w:tcW w:w="1195" w:type="dxa"/>
            <w:tcBorders>
              <w:top w:val="nil"/>
              <w:left w:val="nil"/>
              <w:bottom w:val="nil"/>
              <w:right w:val="single" w:sz="4" w:space="0" w:color="auto"/>
            </w:tcBorders>
            <w:shd w:val="clear" w:color="auto" w:fill="auto"/>
            <w:noWrap/>
            <w:vAlign w:val="center"/>
            <w:hideMark/>
          </w:tcPr>
          <w:p w14:paraId="2220D4B1"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-0.01(0.08)</w:t>
            </w:r>
          </w:p>
        </w:tc>
        <w:tc>
          <w:tcPr>
            <w:tcW w:w="1158" w:type="dxa"/>
            <w:tcBorders>
              <w:top w:val="nil"/>
              <w:left w:val="nil"/>
              <w:bottom w:val="nil"/>
              <w:right w:val="single" w:sz="4" w:space="0" w:color="auto"/>
            </w:tcBorders>
            <w:shd w:val="clear" w:color="auto" w:fill="auto"/>
            <w:noWrap/>
            <w:vAlign w:val="center"/>
            <w:hideMark/>
          </w:tcPr>
          <w:p w14:paraId="608C4498"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-0.06(0.08)</w:t>
            </w:r>
          </w:p>
        </w:tc>
        <w:tc>
          <w:tcPr>
            <w:tcW w:w="1158" w:type="dxa"/>
            <w:tcBorders>
              <w:top w:val="nil"/>
              <w:left w:val="nil"/>
              <w:bottom w:val="nil"/>
              <w:right w:val="single" w:sz="4" w:space="0" w:color="auto"/>
            </w:tcBorders>
            <w:shd w:val="clear" w:color="auto" w:fill="auto"/>
            <w:noWrap/>
            <w:vAlign w:val="center"/>
            <w:hideMark/>
          </w:tcPr>
          <w:p w14:paraId="00306133"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-0.02(0.05)</w:t>
            </w:r>
          </w:p>
        </w:tc>
        <w:tc>
          <w:tcPr>
            <w:tcW w:w="1122" w:type="dxa"/>
            <w:tcBorders>
              <w:top w:val="nil"/>
              <w:left w:val="nil"/>
              <w:bottom w:val="nil"/>
              <w:right w:val="single" w:sz="4" w:space="0" w:color="auto"/>
            </w:tcBorders>
            <w:shd w:val="clear" w:color="auto" w:fill="auto"/>
            <w:noWrap/>
            <w:vAlign w:val="center"/>
            <w:hideMark/>
          </w:tcPr>
          <w:p w14:paraId="5B0D9D2B"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0.04(0.08)</w:t>
            </w:r>
          </w:p>
        </w:tc>
        <w:tc>
          <w:tcPr>
            <w:tcW w:w="1085" w:type="dxa"/>
            <w:tcBorders>
              <w:top w:val="nil"/>
              <w:left w:val="nil"/>
              <w:bottom w:val="nil"/>
              <w:right w:val="single" w:sz="4" w:space="0" w:color="auto"/>
            </w:tcBorders>
            <w:shd w:val="clear" w:color="auto" w:fill="auto"/>
            <w:noWrap/>
            <w:vAlign w:val="center"/>
            <w:hideMark/>
          </w:tcPr>
          <w:p w14:paraId="34536AF1"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0.02(0.06)</w:t>
            </w:r>
          </w:p>
        </w:tc>
        <w:tc>
          <w:tcPr>
            <w:tcW w:w="1195" w:type="dxa"/>
            <w:tcBorders>
              <w:top w:val="nil"/>
              <w:left w:val="nil"/>
              <w:bottom w:val="nil"/>
              <w:right w:val="single" w:sz="4" w:space="0" w:color="auto"/>
            </w:tcBorders>
            <w:shd w:val="clear" w:color="auto" w:fill="auto"/>
            <w:noWrap/>
            <w:vAlign w:val="center"/>
            <w:hideMark/>
          </w:tcPr>
          <w:p w14:paraId="7F3A6C20"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-0.04(0.08)</w:t>
            </w:r>
          </w:p>
        </w:tc>
        <w:tc>
          <w:tcPr>
            <w:tcW w:w="1195" w:type="dxa"/>
            <w:tcBorders>
              <w:top w:val="nil"/>
              <w:left w:val="nil"/>
              <w:bottom w:val="nil"/>
              <w:right w:val="nil"/>
            </w:tcBorders>
            <w:shd w:val="clear" w:color="auto" w:fill="auto"/>
            <w:noWrap/>
            <w:vAlign w:val="center"/>
            <w:hideMark/>
          </w:tcPr>
          <w:p w14:paraId="7F52F9E3"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-0.04(0.09)</w:t>
            </w:r>
          </w:p>
        </w:tc>
      </w:tr>
      <w:tr w:rsidR="002939D3" w:rsidRPr="006E2AB2" w14:paraId="4BEB5EF1" w14:textId="77777777" w:rsidTr="000915D9">
        <w:trPr>
          <w:trHeight w:val="319"/>
        </w:trPr>
        <w:tc>
          <w:tcPr>
            <w:tcW w:w="336" w:type="dxa"/>
            <w:vMerge/>
            <w:tcBorders>
              <w:left w:val="nil"/>
              <w:bottom w:val="nil"/>
              <w:right w:val="nil"/>
            </w:tcBorders>
            <w:shd w:val="clear" w:color="auto" w:fill="E7E6E6"/>
          </w:tcPr>
          <w:p w14:paraId="76D3269B"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p>
        </w:tc>
        <w:tc>
          <w:tcPr>
            <w:tcW w:w="565" w:type="dxa"/>
            <w:tcBorders>
              <w:top w:val="nil"/>
              <w:left w:val="nil"/>
              <w:bottom w:val="nil"/>
              <w:right w:val="nil"/>
            </w:tcBorders>
            <w:shd w:val="clear" w:color="auto" w:fill="E7E6E6"/>
            <w:noWrap/>
            <w:vAlign w:val="center"/>
            <w:hideMark/>
          </w:tcPr>
          <w:p w14:paraId="1D7D06CA" w14:textId="77777777" w:rsidR="002939D3" w:rsidRPr="006E2AB2" w:rsidRDefault="002939D3" w:rsidP="000915D9">
            <w:pPr>
              <w:spacing w:after="0" w:line="240" w:lineRule="auto"/>
              <w:jc w:val="right"/>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 </w:t>
            </w:r>
          </w:p>
        </w:tc>
        <w:tc>
          <w:tcPr>
            <w:tcW w:w="1079" w:type="dxa"/>
            <w:tcBorders>
              <w:top w:val="nil"/>
              <w:left w:val="nil"/>
              <w:bottom w:val="nil"/>
              <w:right w:val="single" w:sz="4" w:space="0" w:color="auto"/>
            </w:tcBorders>
            <w:shd w:val="clear" w:color="auto" w:fill="E7E6E6"/>
            <w:noWrap/>
            <w:vAlign w:val="center"/>
            <w:hideMark/>
          </w:tcPr>
          <w:p w14:paraId="607A3E3C" w14:textId="77777777" w:rsidR="002939D3" w:rsidRPr="006E2AB2" w:rsidRDefault="002939D3" w:rsidP="000915D9">
            <w:pPr>
              <w:spacing w:after="0" w:line="240" w:lineRule="auto"/>
              <w:jc w:val="right"/>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p-value</w:t>
            </w:r>
          </w:p>
        </w:tc>
        <w:tc>
          <w:tcPr>
            <w:tcW w:w="1205" w:type="dxa"/>
            <w:tcBorders>
              <w:top w:val="nil"/>
              <w:left w:val="nil"/>
              <w:bottom w:val="nil"/>
              <w:right w:val="nil"/>
            </w:tcBorders>
          </w:tcPr>
          <w:p w14:paraId="4CB26F3E"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0.304</w:t>
            </w:r>
          </w:p>
        </w:tc>
        <w:tc>
          <w:tcPr>
            <w:tcW w:w="1195" w:type="dxa"/>
            <w:tcBorders>
              <w:top w:val="nil"/>
              <w:left w:val="nil"/>
              <w:bottom w:val="nil"/>
              <w:right w:val="single" w:sz="4" w:space="0" w:color="auto"/>
            </w:tcBorders>
            <w:shd w:val="clear" w:color="auto" w:fill="auto"/>
            <w:noWrap/>
            <w:vAlign w:val="center"/>
            <w:hideMark/>
          </w:tcPr>
          <w:p w14:paraId="7462897E"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0.943</w:t>
            </w:r>
          </w:p>
        </w:tc>
        <w:tc>
          <w:tcPr>
            <w:tcW w:w="1158" w:type="dxa"/>
            <w:tcBorders>
              <w:top w:val="nil"/>
              <w:left w:val="nil"/>
              <w:bottom w:val="nil"/>
              <w:right w:val="single" w:sz="4" w:space="0" w:color="auto"/>
            </w:tcBorders>
            <w:shd w:val="clear" w:color="auto" w:fill="auto"/>
            <w:noWrap/>
            <w:vAlign w:val="center"/>
            <w:hideMark/>
          </w:tcPr>
          <w:p w14:paraId="03419D2A"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0.457</w:t>
            </w:r>
          </w:p>
        </w:tc>
        <w:tc>
          <w:tcPr>
            <w:tcW w:w="1158" w:type="dxa"/>
            <w:tcBorders>
              <w:top w:val="nil"/>
              <w:left w:val="nil"/>
              <w:bottom w:val="nil"/>
              <w:right w:val="single" w:sz="4" w:space="0" w:color="auto"/>
            </w:tcBorders>
            <w:shd w:val="clear" w:color="auto" w:fill="auto"/>
            <w:noWrap/>
            <w:vAlign w:val="center"/>
            <w:hideMark/>
          </w:tcPr>
          <w:p w14:paraId="07370770"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0.659</w:t>
            </w:r>
          </w:p>
        </w:tc>
        <w:tc>
          <w:tcPr>
            <w:tcW w:w="1122" w:type="dxa"/>
            <w:tcBorders>
              <w:top w:val="nil"/>
              <w:left w:val="nil"/>
              <w:bottom w:val="nil"/>
              <w:right w:val="single" w:sz="4" w:space="0" w:color="auto"/>
            </w:tcBorders>
            <w:shd w:val="clear" w:color="auto" w:fill="auto"/>
            <w:noWrap/>
            <w:vAlign w:val="center"/>
            <w:hideMark/>
          </w:tcPr>
          <w:p w14:paraId="6525097D"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0.616</w:t>
            </w:r>
          </w:p>
        </w:tc>
        <w:tc>
          <w:tcPr>
            <w:tcW w:w="1085" w:type="dxa"/>
            <w:tcBorders>
              <w:top w:val="nil"/>
              <w:left w:val="nil"/>
              <w:bottom w:val="nil"/>
              <w:right w:val="single" w:sz="4" w:space="0" w:color="auto"/>
            </w:tcBorders>
            <w:shd w:val="clear" w:color="auto" w:fill="auto"/>
            <w:noWrap/>
            <w:vAlign w:val="center"/>
            <w:hideMark/>
          </w:tcPr>
          <w:p w14:paraId="58E9DAEA"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0.754</w:t>
            </w:r>
          </w:p>
        </w:tc>
        <w:tc>
          <w:tcPr>
            <w:tcW w:w="1195" w:type="dxa"/>
            <w:tcBorders>
              <w:top w:val="nil"/>
              <w:left w:val="nil"/>
              <w:bottom w:val="nil"/>
              <w:right w:val="single" w:sz="4" w:space="0" w:color="auto"/>
            </w:tcBorders>
            <w:shd w:val="clear" w:color="auto" w:fill="auto"/>
            <w:noWrap/>
            <w:vAlign w:val="center"/>
            <w:hideMark/>
          </w:tcPr>
          <w:p w14:paraId="1E801DC0"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0.634</w:t>
            </w:r>
          </w:p>
        </w:tc>
        <w:tc>
          <w:tcPr>
            <w:tcW w:w="1195" w:type="dxa"/>
            <w:tcBorders>
              <w:top w:val="nil"/>
              <w:left w:val="nil"/>
              <w:bottom w:val="nil"/>
              <w:right w:val="nil"/>
            </w:tcBorders>
            <w:shd w:val="clear" w:color="auto" w:fill="auto"/>
            <w:noWrap/>
            <w:vAlign w:val="center"/>
            <w:hideMark/>
          </w:tcPr>
          <w:p w14:paraId="340200F4" w14:textId="77777777" w:rsidR="002939D3" w:rsidRPr="006E2AB2" w:rsidRDefault="002939D3" w:rsidP="000915D9">
            <w:pPr>
              <w:spacing w:after="0" w:line="240" w:lineRule="auto"/>
              <w:jc w:val="center"/>
              <w:rPr>
                <w:rFonts w:ascii="Times New Roman" w:eastAsia="Times New Roman" w:hAnsi="Times New Roman" w:cs="Times New Roman"/>
                <w:color w:val="000000"/>
                <w:sz w:val="22"/>
              </w:rPr>
            </w:pPr>
            <w:r w:rsidRPr="006E2AB2">
              <w:rPr>
                <w:rFonts w:ascii="Times New Roman" w:eastAsia="Times New Roman" w:hAnsi="Times New Roman" w:cs="Times New Roman"/>
                <w:color w:val="000000"/>
                <w:sz w:val="22"/>
              </w:rPr>
              <w:t>0.685</w:t>
            </w:r>
          </w:p>
        </w:tc>
      </w:tr>
    </w:tbl>
    <w:p w14:paraId="1FA61646" w14:textId="77777777" w:rsidR="002939D3" w:rsidRPr="006E2AB2" w:rsidRDefault="002939D3" w:rsidP="002939D3">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*Significant results with p-value ≤ 0.05</w:t>
      </w:r>
    </w:p>
    <w:p w14:paraId="41B14349" w14:textId="77777777" w:rsidR="002939D3" w:rsidRPr="006E2AB2" w:rsidRDefault="002939D3" w:rsidP="002939D3">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†Kendall Rank Tau-b ≥ 0.2 indicates presence of weak correlation</w:t>
      </w:r>
    </w:p>
    <w:p w14:paraId="486F28C7" w14:textId="77777777" w:rsidR="002939D3" w:rsidRPr="006E2AB2" w:rsidRDefault="002939D3" w:rsidP="002939D3">
      <w:pPr>
        <w:spacing w:line="240" w:lineRule="auto"/>
        <w:jc w:val="both"/>
        <w:rPr>
          <w:rFonts w:ascii="Times New Roman" w:eastAsia="Calibri" w:hAnsi="Times New Roman" w:cs="Times New Roman"/>
          <w:b/>
          <w:i/>
        </w:rPr>
      </w:pPr>
    </w:p>
    <w:p w14:paraId="6B7C2B4A" w14:textId="77777777" w:rsidR="002939D3" w:rsidRPr="006E2AB2" w:rsidRDefault="002939D3" w:rsidP="002939D3">
      <w:pPr>
        <w:spacing w:line="240" w:lineRule="auto"/>
        <w:jc w:val="both"/>
        <w:rPr>
          <w:rFonts w:ascii="Times New Roman" w:eastAsia="Times New Roman" w:hAnsi="Times New Roman" w:cs="Times New Roman"/>
          <w:iCs/>
          <w:color w:val="000000"/>
        </w:rPr>
      </w:pPr>
      <w:r w:rsidRPr="006E2AB2">
        <w:rPr>
          <w:rFonts w:ascii="Times New Roman" w:eastAsia="Calibri" w:hAnsi="Times New Roman" w:cs="Times New Roman"/>
          <w:b/>
          <w:iCs/>
        </w:rPr>
        <w:t>Table</w:t>
      </w:r>
      <w:r w:rsidRPr="006E2AB2">
        <w:rPr>
          <w:rFonts w:ascii="Times New Roman" w:eastAsia="Calibri" w:hAnsi="Times New Roman" w:cs="Times New Roman"/>
          <w:b/>
          <w:bCs/>
          <w:iCs/>
        </w:rPr>
        <w:t xml:space="preserve"> 4</w:t>
      </w:r>
      <w:r w:rsidRPr="006E2AB2">
        <w:rPr>
          <w:rFonts w:ascii="Times New Roman" w:eastAsia="Calibri" w:hAnsi="Times New Roman" w:cs="Times New Roman"/>
          <w:iCs/>
        </w:rPr>
        <w:t xml:space="preserve">: </w:t>
      </w:r>
      <w:r>
        <w:rPr>
          <w:rFonts w:ascii="Times New Roman" w:eastAsia="Calibri" w:hAnsi="Times New Roman" w:cs="Times New Roman"/>
          <w:iCs/>
        </w:rPr>
        <w:t xml:space="preserve">Summary of results of statistical analysis of </w:t>
      </w:r>
      <w:r w:rsidRPr="006E2AB2">
        <w:rPr>
          <w:rFonts w:ascii="Times New Roman" w:eastAsia="Times New Roman" w:hAnsi="Times New Roman" w:cs="Times New Roman"/>
          <w:iCs/>
          <w:color w:val="000000"/>
        </w:rPr>
        <w:t xml:space="preserve">PIRADSv2 </w:t>
      </w:r>
      <w:r>
        <w:rPr>
          <w:rFonts w:ascii="Times New Roman" w:eastAsia="Times New Roman" w:hAnsi="Times New Roman" w:cs="Times New Roman"/>
          <w:iCs/>
          <w:color w:val="000000"/>
        </w:rPr>
        <w:t xml:space="preserve">Minimum Technical Standards adherence </w:t>
      </w:r>
      <w:r>
        <w:rPr>
          <w:rFonts w:ascii="Times New Roman" w:eastAsia="Calibri" w:hAnsi="Times New Roman" w:cs="Times New Roman"/>
          <w:iCs/>
        </w:rPr>
        <w:t>association</w:t>
      </w:r>
      <w:r>
        <w:rPr>
          <w:rFonts w:ascii="Times New Roman" w:eastAsia="Times New Roman" w:hAnsi="Times New Roman" w:cs="Times New Roman"/>
          <w:iCs/>
          <w:color w:val="000000"/>
        </w:rPr>
        <w:t xml:space="preserve"> </w:t>
      </w:r>
      <w:r>
        <w:rPr>
          <w:rFonts w:ascii="Times New Roman" w:eastAsia="Calibri" w:hAnsi="Times New Roman" w:cs="Times New Roman"/>
          <w:iCs/>
        </w:rPr>
        <w:t xml:space="preserve">with image adequacy using </w:t>
      </w:r>
      <w:r w:rsidRPr="006E2AB2">
        <w:rPr>
          <w:rFonts w:ascii="Times New Roman" w:eastAsia="Times New Roman" w:hAnsi="Times New Roman" w:cs="Times New Roman"/>
          <w:iCs/>
          <w:color w:val="000000"/>
        </w:rPr>
        <w:t>Wilcoxon</w:t>
      </w:r>
      <w:r>
        <w:rPr>
          <w:rFonts w:ascii="Times New Roman" w:eastAsia="Times New Roman" w:hAnsi="Times New Roman" w:cs="Times New Roman"/>
          <w:iCs/>
          <w:color w:val="000000"/>
        </w:rPr>
        <w:t xml:space="preserve"> Rank Sum</w:t>
      </w:r>
      <w:r w:rsidRPr="006E2AB2">
        <w:rPr>
          <w:rFonts w:ascii="Times New Roman" w:eastAsia="Times New Roman" w:hAnsi="Times New Roman" w:cs="Times New Roman"/>
          <w:iCs/>
          <w:color w:val="000000"/>
        </w:rPr>
        <w:t xml:space="preserve"> </w:t>
      </w:r>
      <w:r>
        <w:rPr>
          <w:rFonts w:ascii="Times New Roman" w:eastAsia="Times New Roman" w:hAnsi="Times New Roman" w:cs="Times New Roman"/>
          <w:iCs/>
          <w:color w:val="000000"/>
        </w:rPr>
        <w:t>T</w:t>
      </w:r>
      <w:r w:rsidRPr="006E2AB2">
        <w:rPr>
          <w:rFonts w:ascii="Times New Roman" w:eastAsia="Times New Roman" w:hAnsi="Times New Roman" w:cs="Times New Roman"/>
          <w:iCs/>
          <w:color w:val="000000"/>
        </w:rPr>
        <w:t>est</w:t>
      </w:r>
      <w:r>
        <w:rPr>
          <w:rFonts w:ascii="Times New Roman" w:eastAsia="Times New Roman" w:hAnsi="Times New Roman" w:cs="Times New Roman"/>
          <w:iCs/>
          <w:color w:val="000000"/>
        </w:rPr>
        <w:t xml:space="preserve"> and with image quality </w:t>
      </w:r>
      <w:r w:rsidRPr="006E2AB2">
        <w:rPr>
          <w:rFonts w:ascii="Times New Roman" w:eastAsia="Times New Roman" w:hAnsi="Times New Roman" w:cs="Times New Roman"/>
          <w:iCs/>
          <w:color w:val="000000"/>
        </w:rPr>
        <w:t>and perceived artifact</w:t>
      </w:r>
      <w:r>
        <w:rPr>
          <w:rFonts w:ascii="Times New Roman" w:eastAsia="Times New Roman" w:hAnsi="Times New Roman" w:cs="Times New Roman"/>
          <w:iCs/>
          <w:color w:val="000000"/>
        </w:rPr>
        <w:t xml:space="preserve">s using </w:t>
      </w:r>
      <w:r w:rsidRPr="006E2AB2">
        <w:rPr>
          <w:rFonts w:ascii="Times New Roman" w:eastAsia="Calibri" w:hAnsi="Times New Roman" w:cs="Times New Roman"/>
          <w:iCs/>
        </w:rPr>
        <w:t xml:space="preserve">Kendall </w:t>
      </w:r>
      <w:r w:rsidRPr="006E2AB2">
        <w:rPr>
          <w:rFonts w:ascii="Times New Roman" w:eastAsia="Times New Roman" w:hAnsi="Times New Roman" w:cs="Times New Roman"/>
          <w:iCs/>
          <w:color w:val="000000"/>
        </w:rPr>
        <w:t>Rank Correlation</w:t>
      </w:r>
      <w:r>
        <w:rPr>
          <w:rFonts w:ascii="Times New Roman" w:eastAsia="Times New Roman" w:hAnsi="Times New Roman" w:cs="Times New Roman"/>
          <w:iCs/>
          <w:color w:val="000000"/>
        </w:rPr>
        <w:t>.</w:t>
      </w:r>
      <w:r w:rsidRPr="006E2AB2">
        <w:rPr>
          <w:rFonts w:ascii="Times New Roman" w:eastAsia="Times New Roman" w:hAnsi="Times New Roman" w:cs="Times New Roman"/>
          <w:iCs/>
          <w:color w:val="000000"/>
        </w:rPr>
        <w:t xml:space="preserve"> </w:t>
      </w:r>
    </w:p>
    <w:p w14:paraId="15959D49" w14:textId="77777777" w:rsidR="002939D3" w:rsidRPr="006E2AB2" w:rsidRDefault="002939D3" w:rsidP="002939D3">
      <w:pPr>
        <w:spacing w:after="0" w:line="240" w:lineRule="auto"/>
        <w:rPr>
          <w:rFonts w:ascii="Times New Roman" w:eastAsia="Calibri" w:hAnsi="Times New Roman" w:cs="Times New Roman"/>
        </w:rPr>
      </w:pPr>
      <w:r w:rsidRPr="006E2AB2">
        <w:rPr>
          <w:rFonts w:ascii="Times New Roman" w:eastAsia="Calibri" w:hAnsi="Times New Roman" w:cs="Times New Roman"/>
        </w:rPr>
        <w:br w:type="page"/>
      </w:r>
    </w:p>
    <w:tbl>
      <w:tblPr>
        <w:tblpPr w:leftFromText="180" w:rightFromText="180" w:vertAnchor="text" w:horzAnchor="margin" w:tblpY="-15"/>
        <w:tblW w:w="7108" w:type="dxa"/>
        <w:tblLayout w:type="fixed"/>
        <w:tblCellMar>
          <w:left w:w="72" w:type="dxa"/>
          <w:right w:w="72" w:type="dxa"/>
        </w:tblCellMar>
        <w:tblLook w:val="04A0" w:firstRow="1" w:lastRow="0" w:firstColumn="1" w:lastColumn="0" w:noHBand="0" w:noVBand="1"/>
      </w:tblPr>
      <w:tblGrid>
        <w:gridCol w:w="2620"/>
        <w:gridCol w:w="1497"/>
        <w:gridCol w:w="1364"/>
        <w:gridCol w:w="1627"/>
      </w:tblGrid>
      <w:tr w:rsidR="002939D3" w:rsidRPr="006E2AB2" w14:paraId="07694459" w14:textId="77777777" w:rsidTr="000915D9">
        <w:trPr>
          <w:cantSplit/>
          <w:trHeight w:val="225"/>
        </w:trPr>
        <w:tc>
          <w:tcPr>
            <w:tcW w:w="2620" w:type="dxa"/>
            <w:vMerge w:val="restart"/>
            <w:tcBorders>
              <w:top w:val="single" w:sz="18" w:space="0" w:color="auto"/>
              <w:left w:val="nil"/>
              <w:right w:val="nil"/>
            </w:tcBorders>
            <w:shd w:val="clear" w:color="auto" w:fill="auto"/>
            <w:noWrap/>
            <w:vAlign w:val="center"/>
            <w:hideMark/>
          </w:tcPr>
          <w:p w14:paraId="27BFC679"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b/>
                <w:bCs/>
                <w:color w:val="000000"/>
                <w:sz w:val="22"/>
                <w:szCs w:val="22"/>
              </w:rPr>
              <w:lastRenderedPageBreak/>
              <w:t>T2W Technical</w:t>
            </w:r>
            <w:r>
              <w:rPr>
                <w:rFonts w:ascii="Times New Roman" w:eastAsia="Times New Roman" w:hAnsi="Times New Roman" w:cs="Times New Roman"/>
                <w:b/>
                <w:bCs/>
                <w:color w:val="000000"/>
                <w:sz w:val="22"/>
                <w:szCs w:val="22"/>
              </w:rPr>
              <w:t xml:space="preserve"> </w:t>
            </w:r>
            <w:r w:rsidRPr="006E2AB2">
              <w:rPr>
                <w:rFonts w:ascii="Times New Roman" w:eastAsia="Times New Roman" w:hAnsi="Times New Roman" w:cs="Times New Roman"/>
                <w:b/>
                <w:bCs/>
                <w:color w:val="000000"/>
                <w:sz w:val="22"/>
                <w:szCs w:val="22"/>
              </w:rPr>
              <w:t>Standards</w:t>
            </w:r>
          </w:p>
        </w:tc>
        <w:tc>
          <w:tcPr>
            <w:tcW w:w="1497" w:type="dxa"/>
            <w:tcBorders>
              <w:top w:val="single" w:sz="18" w:space="0" w:color="auto"/>
              <w:left w:val="nil"/>
              <w:bottom w:val="nil"/>
              <w:right w:val="nil"/>
            </w:tcBorders>
            <w:shd w:val="clear" w:color="auto" w:fill="auto"/>
            <w:noWrap/>
            <w:hideMark/>
          </w:tcPr>
          <w:p w14:paraId="032DD858"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Adequacy†</w:t>
            </w:r>
          </w:p>
        </w:tc>
        <w:tc>
          <w:tcPr>
            <w:tcW w:w="1364" w:type="dxa"/>
            <w:tcBorders>
              <w:top w:val="single" w:sz="18" w:space="0" w:color="auto"/>
              <w:left w:val="nil"/>
              <w:bottom w:val="nil"/>
              <w:right w:val="nil"/>
            </w:tcBorders>
            <w:shd w:val="clear" w:color="auto" w:fill="auto"/>
            <w:noWrap/>
            <w:hideMark/>
          </w:tcPr>
          <w:p w14:paraId="10D146EB"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Quality††</w:t>
            </w:r>
          </w:p>
        </w:tc>
        <w:tc>
          <w:tcPr>
            <w:tcW w:w="1627" w:type="dxa"/>
            <w:tcBorders>
              <w:top w:val="single" w:sz="18" w:space="0" w:color="auto"/>
              <w:left w:val="nil"/>
              <w:bottom w:val="nil"/>
              <w:right w:val="nil"/>
            </w:tcBorders>
            <w:shd w:val="clear" w:color="auto" w:fill="auto"/>
            <w:noWrap/>
            <w:hideMark/>
          </w:tcPr>
          <w:p w14:paraId="479A5986"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Distortion††</w:t>
            </w:r>
          </w:p>
        </w:tc>
      </w:tr>
      <w:tr w:rsidR="002939D3" w:rsidRPr="006E2AB2" w14:paraId="4D30031B" w14:textId="77777777" w:rsidTr="000915D9">
        <w:trPr>
          <w:cantSplit/>
          <w:trHeight w:val="285"/>
        </w:trPr>
        <w:tc>
          <w:tcPr>
            <w:tcW w:w="2620" w:type="dxa"/>
            <w:vMerge/>
            <w:tcBorders>
              <w:left w:val="nil"/>
              <w:bottom w:val="single" w:sz="4" w:space="0" w:color="auto"/>
              <w:right w:val="nil"/>
            </w:tcBorders>
            <w:shd w:val="clear" w:color="auto" w:fill="auto"/>
            <w:noWrap/>
            <w:hideMark/>
          </w:tcPr>
          <w:p w14:paraId="6C6FB590" w14:textId="77777777" w:rsidR="002939D3" w:rsidRPr="006E2AB2" w:rsidRDefault="002939D3" w:rsidP="000915D9">
            <w:pPr>
              <w:spacing w:after="0" w:line="240" w:lineRule="auto"/>
              <w:rPr>
                <w:rFonts w:ascii="Times New Roman" w:eastAsia="Times New Roman" w:hAnsi="Times New Roman" w:cs="Times New Roman"/>
                <w:b/>
                <w:bCs/>
                <w:color w:val="000000"/>
                <w:sz w:val="22"/>
                <w:szCs w:val="22"/>
              </w:rPr>
            </w:pPr>
          </w:p>
        </w:tc>
        <w:tc>
          <w:tcPr>
            <w:tcW w:w="1497" w:type="dxa"/>
            <w:tcBorders>
              <w:top w:val="nil"/>
              <w:left w:val="nil"/>
              <w:bottom w:val="single" w:sz="4" w:space="0" w:color="auto"/>
              <w:right w:val="nil"/>
            </w:tcBorders>
            <w:shd w:val="clear" w:color="auto" w:fill="auto"/>
            <w:noWrap/>
            <w:hideMark/>
          </w:tcPr>
          <w:p w14:paraId="14954E1A"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p-value</w:t>
            </w:r>
          </w:p>
        </w:tc>
        <w:tc>
          <w:tcPr>
            <w:tcW w:w="1364" w:type="dxa"/>
            <w:tcBorders>
              <w:top w:val="nil"/>
              <w:left w:val="nil"/>
              <w:bottom w:val="single" w:sz="4" w:space="0" w:color="auto"/>
              <w:right w:val="nil"/>
            </w:tcBorders>
            <w:shd w:val="clear" w:color="auto" w:fill="auto"/>
            <w:noWrap/>
            <w:hideMark/>
          </w:tcPr>
          <w:p w14:paraId="3EE1E76E"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p-value</w:t>
            </w:r>
          </w:p>
        </w:tc>
        <w:tc>
          <w:tcPr>
            <w:tcW w:w="1627" w:type="dxa"/>
            <w:tcBorders>
              <w:top w:val="nil"/>
              <w:left w:val="nil"/>
              <w:bottom w:val="single" w:sz="4" w:space="0" w:color="auto"/>
              <w:right w:val="nil"/>
            </w:tcBorders>
            <w:shd w:val="clear" w:color="auto" w:fill="auto"/>
            <w:noWrap/>
            <w:hideMark/>
          </w:tcPr>
          <w:p w14:paraId="7B783256"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p-value</w:t>
            </w:r>
          </w:p>
        </w:tc>
      </w:tr>
      <w:tr w:rsidR="002939D3" w:rsidRPr="006E2AB2" w14:paraId="31B4E5D3" w14:textId="77777777" w:rsidTr="000915D9">
        <w:trPr>
          <w:cantSplit/>
          <w:trHeight w:val="336"/>
        </w:trPr>
        <w:tc>
          <w:tcPr>
            <w:tcW w:w="2620" w:type="dxa"/>
            <w:tcBorders>
              <w:top w:val="nil"/>
              <w:left w:val="nil"/>
              <w:bottom w:val="nil"/>
              <w:right w:val="nil"/>
            </w:tcBorders>
            <w:shd w:val="clear" w:color="000000" w:fill="E7E6E6"/>
            <w:noWrap/>
            <w:hideMark/>
          </w:tcPr>
          <w:p w14:paraId="45F3F202"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Slice Thickness</w:t>
            </w:r>
          </w:p>
        </w:tc>
        <w:tc>
          <w:tcPr>
            <w:tcW w:w="1497" w:type="dxa"/>
            <w:tcBorders>
              <w:top w:val="nil"/>
              <w:left w:val="nil"/>
              <w:bottom w:val="nil"/>
              <w:right w:val="nil"/>
            </w:tcBorders>
            <w:shd w:val="clear" w:color="000000" w:fill="E7E6E6"/>
            <w:noWrap/>
            <w:hideMark/>
          </w:tcPr>
          <w:p w14:paraId="3A981057"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0.436</w:t>
            </w:r>
          </w:p>
        </w:tc>
        <w:tc>
          <w:tcPr>
            <w:tcW w:w="1364" w:type="dxa"/>
            <w:tcBorders>
              <w:top w:val="nil"/>
              <w:left w:val="nil"/>
              <w:bottom w:val="nil"/>
              <w:right w:val="nil"/>
            </w:tcBorders>
            <w:shd w:val="clear" w:color="000000" w:fill="E7E6E6"/>
            <w:noWrap/>
            <w:hideMark/>
          </w:tcPr>
          <w:p w14:paraId="76B7BCBC"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0.276</w:t>
            </w:r>
          </w:p>
        </w:tc>
        <w:tc>
          <w:tcPr>
            <w:tcW w:w="1627" w:type="dxa"/>
            <w:tcBorders>
              <w:top w:val="nil"/>
              <w:left w:val="nil"/>
              <w:bottom w:val="nil"/>
              <w:right w:val="nil"/>
            </w:tcBorders>
            <w:shd w:val="clear" w:color="000000" w:fill="E7E6E6"/>
            <w:noWrap/>
            <w:hideMark/>
          </w:tcPr>
          <w:p w14:paraId="01D05E0E"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0.310</w:t>
            </w:r>
          </w:p>
        </w:tc>
      </w:tr>
      <w:tr w:rsidR="002939D3" w:rsidRPr="006E2AB2" w14:paraId="127E1B7A" w14:textId="77777777" w:rsidTr="000915D9">
        <w:trPr>
          <w:cantSplit/>
          <w:trHeight w:val="336"/>
        </w:trPr>
        <w:tc>
          <w:tcPr>
            <w:tcW w:w="2620" w:type="dxa"/>
            <w:tcBorders>
              <w:top w:val="nil"/>
              <w:left w:val="nil"/>
              <w:bottom w:val="nil"/>
              <w:right w:val="nil"/>
            </w:tcBorders>
            <w:shd w:val="clear" w:color="auto" w:fill="auto"/>
            <w:noWrap/>
            <w:hideMark/>
          </w:tcPr>
          <w:p w14:paraId="03E1A5FA"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Slice Gap</w:t>
            </w:r>
          </w:p>
        </w:tc>
        <w:tc>
          <w:tcPr>
            <w:tcW w:w="1497" w:type="dxa"/>
            <w:tcBorders>
              <w:top w:val="nil"/>
              <w:left w:val="nil"/>
              <w:bottom w:val="nil"/>
              <w:right w:val="nil"/>
            </w:tcBorders>
            <w:shd w:val="clear" w:color="auto" w:fill="auto"/>
            <w:noWrap/>
            <w:hideMark/>
          </w:tcPr>
          <w:p w14:paraId="02A91588"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0.416</w:t>
            </w:r>
          </w:p>
        </w:tc>
        <w:tc>
          <w:tcPr>
            <w:tcW w:w="1364" w:type="dxa"/>
            <w:tcBorders>
              <w:top w:val="nil"/>
              <w:left w:val="nil"/>
              <w:bottom w:val="nil"/>
              <w:right w:val="nil"/>
            </w:tcBorders>
            <w:shd w:val="clear" w:color="auto" w:fill="auto"/>
            <w:noWrap/>
            <w:hideMark/>
          </w:tcPr>
          <w:p w14:paraId="2BABAE3E"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0.123</w:t>
            </w:r>
          </w:p>
        </w:tc>
        <w:tc>
          <w:tcPr>
            <w:tcW w:w="1627" w:type="dxa"/>
            <w:tcBorders>
              <w:top w:val="nil"/>
              <w:left w:val="nil"/>
              <w:bottom w:val="nil"/>
              <w:right w:val="nil"/>
            </w:tcBorders>
            <w:shd w:val="clear" w:color="auto" w:fill="auto"/>
            <w:noWrap/>
            <w:hideMark/>
          </w:tcPr>
          <w:p w14:paraId="74483DF7"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0.366</w:t>
            </w:r>
          </w:p>
        </w:tc>
      </w:tr>
      <w:tr w:rsidR="002939D3" w:rsidRPr="006E2AB2" w14:paraId="798A2D11" w14:textId="77777777" w:rsidTr="000915D9">
        <w:trPr>
          <w:cantSplit/>
          <w:trHeight w:val="336"/>
        </w:trPr>
        <w:tc>
          <w:tcPr>
            <w:tcW w:w="2620" w:type="dxa"/>
            <w:tcBorders>
              <w:top w:val="nil"/>
              <w:left w:val="nil"/>
              <w:bottom w:val="nil"/>
              <w:right w:val="nil"/>
            </w:tcBorders>
            <w:shd w:val="clear" w:color="000000" w:fill="E7E6E6"/>
            <w:noWrap/>
            <w:hideMark/>
          </w:tcPr>
          <w:p w14:paraId="0AF0DCA2"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 xml:space="preserve">FOV </w:t>
            </w:r>
            <w:r>
              <w:rPr>
                <w:rFonts w:ascii="Times New Roman" w:eastAsia="Times New Roman" w:hAnsi="Times New Roman" w:cs="Times New Roman"/>
                <w:color w:val="000000"/>
              </w:rPr>
              <w:t>Upper Limit</w:t>
            </w:r>
          </w:p>
        </w:tc>
        <w:tc>
          <w:tcPr>
            <w:tcW w:w="1497" w:type="dxa"/>
            <w:tcBorders>
              <w:top w:val="nil"/>
              <w:left w:val="nil"/>
              <w:bottom w:val="nil"/>
              <w:right w:val="nil"/>
            </w:tcBorders>
            <w:shd w:val="clear" w:color="000000" w:fill="E7E6E6"/>
            <w:noWrap/>
            <w:hideMark/>
          </w:tcPr>
          <w:p w14:paraId="554CE700"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0.596</w:t>
            </w:r>
          </w:p>
        </w:tc>
        <w:tc>
          <w:tcPr>
            <w:tcW w:w="1364" w:type="dxa"/>
            <w:tcBorders>
              <w:top w:val="nil"/>
              <w:left w:val="nil"/>
              <w:bottom w:val="nil"/>
              <w:right w:val="nil"/>
            </w:tcBorders>
            <w:shd w:val="clear" w:color="000000" w:fill="E7E6E6"/>
            <w:noWrap/>
            <w:hideMark/>
          </w:tcPr>
          <w:p w14:paraId="0246D507"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0.258</w:t>
            </w:r>
          </w:p>
        </w:tc>
        <w:tc>
          <w:tcPr>
            <w:tcW w:w="1627" w:type="dxa"/>
            <w:tcBorders>
              <w:top w:val="nil"/>
              <w:left w:val="nil"/>
              <w:bottom w:val="nil"/>
              <w:right w:val="nil"/>
            </w:tcBorders>
            <w:shd w:val="clear" w:color="000000" w:fill="E7E6E6"/>
            <w:noWrap/>
            <w:hideMark/>
          </w:tcPr>
          <w:p w14:paraId="726721D7"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*0.003</w:t>
            </w:r>
          </w:p>
        </w:tc>
      </w:tr>
      <w:tr w:rsidR="002939D3" w:rsidRPr="006E2AB2" w14:paraId="066529EC" w14:textId="77777777" w:rsidTr="000915D9">
        <w:trPr>
          <w:cantSplit/>
          <w:trHeight w:val="336"/>
        </w:trPr>
        <w:tc>
          <w:tcPr>
            <w:tcW w:w="2620" w:type="dxa"/>
            <w:tcBorders>
              <w:top w:val="nil"/>
              <w:left w:val="nil"/>
              <w:bottom w:val="nil"/>
              <w:right w:val="nil"/>
            </w:tcBorders>
            <w:shd w:val="clear" w:color="auto" w:fill="auto"/>
            <w:noWrap/>
            <w:hideMark/>
          </w:tcPr>
          <w:p w14:paraId="44EFCE9A"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IPRP</w:t>
            </w:r>
          </w:p>
        </w:tc>
        <w:tc>
          <w:tcPr>
            <w:tcW w:w="1497" w:type="dxa"/>
            <w:tcBorders>
              <w:top w:val="nil"/>
              <w:left w:val="nil"/>
              <w:bottom w:val="nil"/>
              <w:right w:val="nil"/>
            </w:tcBorders>
            <w:shd w:val="clear" w:color="auto" w:fill="auto"/>
            <w:noWrap/>
            <w:hideMark/>
          </w:tcPr>
          <w:p w14:paraId="3ED5B34D"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0.970</w:t>
            </w:r>
          </w:p>
        </w:tc>
        <w:tc>
          <w:tcPr>
            <w:tcW w:w="1364" w:type="dxa"/>
            <w:tcBorders>
              <w:top w:val="nil"/>
              <w:left w:val="nil"/>
              <w:bottom w:val="nil"/>
              <w:right w:val="nil"/>
            </w:tcBorders>
            <w:shd w:val="clear" w:color="auto" w:fill="auto"/>
            <w:noWrap/>
            <w:hideMark/>
          </w:tcPr>
          <w:p w14:paraId="274C6425"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0.885</w:t>
            </w:r>
          </w:p>
        </w:tc>
        <w:tc>
          <w:tcPr>
            <w:tcW w:w="1627" w:type="dxa"/>
            <w:tcBorders>
              <w:top w:val="nil"/>
              <w:left w:val="nil"/>
              <w:bottom w:val="nil"/>
              <w:right w:val="nil"/>
            </w:tcBorders>
            <w:shd w:val="clear" w:color="auto" w:fill="auto"/>
            <w:noWrap/>
            <w:hideMark/>
          </w:tcPr>
          <w:p w14:paraId="38AAAABF"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0.528</w:t>
            </w:r>
          </w:p>
        </w:tc>
      </w:tr>
      <w:tr w:rsidR="002939D3" w:rsidRPr="006E2AB2" w14:paraId="47B80250" w14:textId="77777777" w:rsidTr="000915D9">
        <w:trPr>
          <w:cantSplit/>
          <w:trHeight w:val="336"/>
        </w:trPr>
        <w:tc>
          <w:tcPr>
            <w:tcW w:w="2620" w:type="dxa"/>
            <w:tcBorders>
              <w:top w:val="nil"/>
              <w:left w:val="nil"/>
              <w:bottom w:val="nil"/>
              <w:right w:val="nil"/>
            </w:tcBorders>
            <w:shd w:val="clear" w:color="000000" w:fill="E7E6E6"/>
            <w:noWrap/>
            <w:hideMark/>
          </w:tcPr>
          <w:p w14:paraId="7205EF9D"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IPRF</w:t>
            </w:r>
          </w:p>
        </w:tc>
        <w:tc>
          <w:tcPr>
            <w:tcW w:w="1497" w:type="dxa"/>
            <w:tcBorders>
              <w:top w:val="nil"/>
              <w:left w:val="nil"/>
              <w:bottom w:val="nil"/>
              <w:right w:val="nil"/>
            </w:tcBorders>
            <w:shd w:val="clear" w:color="000000" w:fill="E7E6E6"/>
            <w:noWrap/>
            <w:hideMark/>
          </w:tcPr>
          <w:p w14:paraId="68C652AB"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0.996</w:t>
            </w:r>
          </w:p>
        </w:tc>
        <w:tc>
          <w:tcPr>
            <w:tcW w:w="1364" w:type="dxa"/>
            <w:tcBorders>
              <w:top w:val="nil"/>
              <w:left w:val="nil"/>
              <w:bottom w:val="nil"/>
              <w:right w:val="nil"/>
            </w:tcBorders>
            <w:shd w:val="clear" w:color="000000" w:fill="E7E6E6"/>
            <w:noWrap/>
            <w:hideMark/>
          </w:tcPr>
          <w:p w14:paraId="1B5E54E5"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0.184</w:t>
            </w:r>
          </w:p>
        </w:tc>
        <w:tc>
          <w:tcPr>
            <w:tcW w:w="1627" w:type="dxa"/>
            <w:tcBorders>
              <w:top w:val="nil"/>
              <w:left w:val="nil"/>
              <w:bottom w:val="nil"/>
              <w:right w:val="nil"/>
            </w:tcBorders>
            <w:shd w:val="clear" w:color="000000" w:fill="E7E6E6"/>
            <w:noWrap/>
            <w:hideMark/>
          </w:tcPr>
          <w:p w14:paraId="0CEBA8D1"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0.256</w:t>
            </w:r>
          </w:p>
        </w:tc>
      </w:tr>
      <w:tr w:rsidR="002939D3" w:rsidRPr="006E2AB2" w14:paraId="42C1BD19" w14:textId="77777777" w:rsidTr="000915D9">
        <w:trPr>
          <w:cantSplit/>
          <w:trHeight w:val="336"/>
        </w:trPr>
        <w:tc>
          <w:tcPr>
            <w:tcW w:w="2620" w:type="dxa"/>
            <w:tcBorders>
              <w:top w:val="nil"/>
              <w:left w:val="nil"/>
              <w:bottom w:val="single" w:sz="18" w:space="0" w:color="auto"/>
              <w:right w:val="nil"/>
            </w:tcBorders>
            <w:shd w:val="clear" w:color="auto" w:fill="auto"/>
            <w:noWrap/>
            <w:hideMark/>
          </w:tcPr>
          <w:p w14:paraId="793D8D3A"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Phase Encoding Dir</w:t>
            </w:r>
            <w:r>
              <w:rPr>
                <w:rFonts w:ascii="Times New Roman" w:eastAsia="Times New Roman" w:hAnsi="Times New Roman" w:cs="Times New Roman"/>
                <w:color w:val="000000"/>
              </w:rPr>
              <w:t>.</w:t>
            </w:r>
          </w:p>
        </w:tc>
        <w:tc>
          <w:tcPr>
            <w:tcW w:w="1497" w:type="dxa"/>
            <w:tcBorders>
              <w:top w:val="nil"/>
              <w:left w:val="nil"/>
              <w:bottom w:val="single" w:sz="18" w:space="0" w:color="auto"/>
              <w:right w:val="nil"/>
            </w:tcBorders>
            <w:shd w:val="clear" w:color="auto" w:fill="auto"/>
            <w:noWrap/>
            <w:hideMark/>
          </w:tcPr>
          <w:p w14:paraId="495FE5ED"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0.069</w:t>
            </w:r>
          </w:p>
        </w:tc>
        <w:tc>
          <w:tcPr>
            <w:tcW w:w="1364" w:type="dxa"/>
            <w:tcBorders>
              <w:top w:val="nil"/>
              <w:left w:val="nil"/>
              <w:bottom w:val="single" w:sz="18" w:space="0" w:color="auto"/>
              <w:right w:val="nil"/>
            </w:tcBorders>
            <w:shd w:val="clear" w:color="auto" w:fill="auto"/>
            <w:noWrap/>
            <w:hideMark/>
          </w:tcPr>
          <w:p w14:paraId="7F0498AD"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*0.032</w:t>
            </w:r>
          </w:p>
        </w:tc>
        <w:tc>
          <w:tcPr>
            <w:tcW w:w="1627" w:type="dxa"/>
            <w:tcBorders>
              <w:top w:val="nil"/>
              <w:left w:val="nil"/>
              <w:bottom w:val="single" w:sz="18" w:space="0" w:color="auto"/>
              <w:right w:val="nil"/>
            </w:tcBorders>
            <w:shd w:val="clear" w:color="auto" w:fill="auto"/>
            <w:noWrap/>
            <w:hideMark/>
          </w:tcPr>
          <w:p w14:paraId="6E620E0B"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*0.004</w:t>
            </w:r>
          </w:p>
        </w:tc>
      </w:tr>
      <w:tr w:rsidR="002939D3" w:rsidRPr="006E2AB2" w14:paraId="3A029E77" w14:textId="77777777" w:rsidTr="000915D9">
        <w:trPr>
          <w:cantSplit/>
          <w:trHeight w:val="336"/>
        </w:trPr>
        <w:tc>
          <w:tcPr>
            <w:tcW w:w="2620" w:type="dxa"/>
            <w:tcBorders>
              <w:top w:val="single" w:sz="18" w:space="0" w:color="auto"/>
              <w:left w:val="nil"/>
              <w:bottom w:val="single" w:sz="4" w:space="0" w:color="auto"/>
              <w:right w:val="nil"/>
            </w:tcBorders>
            <w:shd w:val="clear" w:color="auto" w:fill="auto"/>
            <w:noWrap/>
            <w:vAlign w:val="center"/>
            <w:hideMark/>
          </w:tcPr>
          <w:p w14:paraId="1D8040BA" w14:textId="77777777" w:rsidR="002939D3" w:rsidRPr="006E2AB2" w:rsidRDefault="002939D3" w:rsidP="000915D9">
            <w:pPr>
              <w:spacing w:after="0" w:line="240" w:lineRule="auto"/>
              <w:rPr>
                <w:rFonts w:ascii="Times New Roman" w:eastAsia="Times New Roman" w:hAnsi="Times New Roman" w:cs="Times New Roman"/>
                <w:b/>
                <w:bCs/>
                <w:color w:val="000000"/>
                <w:sz w:val="22"/>
                <w:szCs w:val="22"/>
              </w:rPr>
            </w:pPr>
            <w:r w:rsidRPr="006E2AB2">
              <w:rPr>
                <w:rFonts w:ascii="Times New Roman" w:eastAsia="Times New Roman" w:hAnsi="Times New Roman" w:cs="Times New Roman"/>
                <w:b/>
                <w:bCs/>
                <w:color w:val="000000"/>
                <w:sz w:val="22"/>
                <w:szCs w:val="22"/>
              </w:rPr>
              <w:t>DWI Technical Standards</w:t>
            </w:r>
          </w:p>
        </w:tc>
        <w:tc>
          <w:tcPr>
            <w:tcW w:w="1497" w:type="dxa"/>
            <w:tcBorders>
              <w:top w:val="single" w:sz="18" w:space="0" w:color="auto"/>
              <w:left w:val="nil"/>
              <w:bottom w:val="single" w:sz="4" w:space="0" w:color="auto"/>
              <w:right w:val="nil"/>
            </w:tcBorders>
            <w:shd w:val="clear" w:color="auto" w:fill="auto"/>
            <w:noWrap/>
            <w:hideMark/>
          </w:tcPr>
          <w:p w14:paraId="5C3FCE79"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p-value</w:t>
            </w:r>
          </w:p>
        </w:tc>
        <w:tc>
          <w:tcPr>
            <w:tcW w:w="1364" w:type="dxa"/>
            <w:tcBorders>
              <w:top w:val="single" w:sz="18" w:space="0" w:color="auto"/>
              <w:left w:val="nil"/>
              <w:bottom w:val="single" w:sz="4" w:space="0" w:color="auto"/>
              <w:right w:val="nil"/>
            </w:tcBorders>
            <w:shd w:val="clear" w:color="auto" w:fill="auto"/>
            <w:noWrap/>
            <w:hideMark/>
          </w:tcPr>
          <w:p w14:paraId="16E0ECEC"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p-value</w:t>
            </w:r>
          </w:p>
        </w:tc>
        <w:tc>
          <w:tcPr>
            <w:tcW w:w="1627" w:type="dxa"/>
            <w:tcBorders>
              <w:top w:val="single" w:sz="18" w:space="0" w:color="auto"/>
              <w:left w:val="nil"/>
              <w:bottom w:val="single" w:sz="4" w:space="0" w:color="auto"/>
              <w:right w:val="nil"/>
            </w:tcBorders>
            <w:shd w:val="clear" w:color="auto" w:fill="auto"/>
            <w:noWrap/>
            <w:hideMark/>
          </w:tcPr>
          <w:p w14:paraId="4DEDE1F7"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p-value</w:t>
            </w:r>
          </w:p>
        </w:tc>
      </w:tr>
      <w:tr w:rsidR="002939D3" w:rsidRPr="006E2AB2" w14:paraId="5149DD61" w14:textId="77777777" w:rsidTr="000915D9">
        <w:trPr>
          <w:cantSplit/>
          <w:trHeight w:val="336"/>
        </w:trPr>
        <w:tc>
          <w:tcPr>
            <w:tcW w:w="2620" w:type="dxa"/>
            <w:tcBorders>
              <w:top w:val="nil"/>
              <w:left w:val="nil"/>
              <w:bottom w:val="nil"/>
              <w:right w:val="nil"/>
            </w:tcBorders>
            <w:shd w:val="clear" w:color="000000" w:fill="E7E6E6"/>
            <w:noWrap/>
            <w:hideMark/>
          </w:tcPr>
          <w:p w14:paraId="11861DFD"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High B value</w:t>
            </w:r>
          </w:p>
        </w:tc>
        <w:tc>
          <w:tcPr>
            <w:tcW w:w="1497" w:type="dxa"/>
            <w:tcBorders>
              <w:top w:val="nil"/>
              <w:left w:val="nil"/>
              <w:bottom w:val="nil"/>
              <w:right w:val="nil"/>
            </w:tcBorders>
            <w:shd w:val="clear" w:color="000000" w:fill="E7E6E6"/>
            <w:noWrap/>
            <w:hideMark/>
          </w:tcPr>
          <w:p w14:paraId="613935D2"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0.610</w:t>
            </w:r>
          </w:p>
        </w:tc>
        <w:tc>
          <w:tcPr>
            <w:tcW w:w="1364" w:type="dxa"/>
            <w:tcBorders>
              <w:top w:val="nil"/>
              <w:left w:val="nil"/>
              <w:bottom w:val="nil"/>
              <w:right w:val="nil"/>
            </w:tcBorders>
            <w:shd w:val="clear" w:color="000000" w:fill="E7E6E6"/>
            <w:noWrap/>
            <w:hideMark/>
          </w:tcPr>
          <w:p w14:paraId="6AD29AFE"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0.078</w:t>
            </w:r>
          </w:p>
        </w:tc>
        <w:tc>
          <w:tcPr>
            <w:tcW w:w="1627" w:type="dxa"/>
            <w:tcBorders>
              <w:top w:val="nil"/>
              <w:left w:val="nil"/>
              <w:bottom w:val="nil"/>
              <w:right w:val="nil"/>
            </w:tcBorders>
            <w:shd w:val="clear" w:color="000000" w:fill="E7E6E6"/>
            <w:noWrap/>
            <w:hideMark/>
          </w:tcPr>
          <w:p w14:paraId="2C90FD15"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0.479</w:t>
            </w:r>
          </w:p>
        </w:tc>
      </w:tr>
      <w:tr w:rsidR="002939D3" w:rsidRPr="006E2AB2" w14:paraId="03F19E06" w14:textId="77777777" w:rsidTr="000915D9">
        <w:trPr>
          <w:cantSplit/>
          <w:trHeight w:val="336"/>
        </w:trPr>
        <w:tc>
          <w:tcPr>
            <w:tcW w:w="2620" w:type="dxa"/>
            <w:tcBorders>
              <w:top w:val="nil"/>
              <w:left w:val="nil"/>
              <w:bottom w:val="nil"/>
              <w:right w:val="nil"/>
            </w:tcBorders>
            <w:shd w:val="clear" w:color="auto" w:fill="auto"/>
            <w:noWrap/>
            <w:hideMark/>
          </w:tcPr>
          <w:p w14:paraId="19BEA869"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TE</w:t>
            </w:r>
          </w:p>
        </w:tc>
        <w:tc>
          <w:tcPr>
            <w:tcW w:w="1497" w:type="dxa"/>
            <w:tcBorders>
              <w:top w:val="nil"/>
              <w:left w:val="nil"/>
              <w:bottom w:val="nil"/>
              <w:right w:val="nil"/>
            </w:tcBorders>
            <w:shd w:val="clear" w:color="auto" w:fill="auto"/>
            <w:noWrap/>
            <w:hideMark/>
          </w:tcPr>
          <w:p w14:paraId="424F7346"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0.123</w:t>
            </w:r>
          </w:p>
        </w:tc>
        <w:tc>
          <w:tcPr>
            <w:tcW w:w="1364" w:type="dxa"/>
            <w:tcBorders>
              <w:top w:val="nil"/>
              <w:left w:val="nil"/>
              <w:bottom w:val="nil"/>
              <w:right w:val="nil"/>
            </w:tcBorders>
            <w:shd w:val="clear" w:color="auto" w:fill="auto"/>
            <w:noWrap/>
            <w:hideMark/>
          </w:tcPr>
          <w:p w14:paraId="7D0627EE"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0.628</w:t>
            </w:r>
          </w:p>
        </w:tc>
        <w:tc>
          <w:tcPr>
            <w:tcW w:w="1627" w:type="dxa"/>
            <w:tcBorders>
              <w:top w:val="nil"/>
              <w:left w:val="nil"/>
              <w:bottom w:val="nil"/>
              <w:right w:val="nil"/>
            </w:tcBorders>
            <w:shd w:val="clear" w:color="auto" w:fill="auto"/>
            <w:noWrap/>
            <w:hideMark/>
          </w:tcPr>
          <w:p w14:paraId="7036DE0D"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0.866</w:t>
            </w:r>
          </w:p>
        </w:tc>
      </w:tr>
      <w:tr w:rsidR="002939D3" w:rsidRPr="006E2AB2" w14:paraId="5035316C" w14:textId="77777777" w:rsidTr="000915D9">
        <w:trPr>
          <w:cantSplit/>
          <w:trHeight w:val="336"/>
        </w:trPr>
        <w:tc>
          <w:tcPr>
            <w:tcW w:w="2620" w:type="dxa"/>
            <w:tcBorders>
              <w:top w:val="nil"/>
              <w:left w:val="nil"/>
              <w:bottom w:val="nil"/>
              <w:right w:val="nil"/>
            </w:tcBorders>
            <w:shd w:val="clear" w:color="000000" w:fill="E7E6E6"/>
            <w:noWrap/>
            <w:hideMark/>
          </w:tcPr>
          <w:p w14:paraId="6748050C"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TR</w:t>
            </w:r>
          </w:p>
        </w:tc>
        <w:tc>
          <w:tcPr>
            <w:tcW w:w="1497" w:type="dxa"/>
            <w:tcBorders>
              <w:top w:val="nil"/>
              <w:left w:val="nil"/>
              <w:bottom w:val="nil"/>
              <w:right w:val="nil"/>
            </w:tcBorders>
            <w:shd w:val="clear" w:color="000000" w:fill="E7E6E6"/>
            <w:noWrap/>
            <w:hideMark/>
          </w:tcPr>
          <w:p w14:paraId="50F69864"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0.162</w:t>
            </w:r>
          </w:p>
        </w:tc>
        <w:tc>
          <w:tcPr>
            <w:tcW w:w="1364" w:type="dxa"/>
            <w:tcBorders>
              <w:top w:val="nil"/>
              <w:left w:val="nil"/>
              <w:bottom w:val="nil"/>
              <w:right w:val="nil"/>
            </w:tcBorders>
            <w:shd w:val="clear" w:color="000000" w:fill="E7E6E6"/>
            <w:noWrap/>
            <w:hideMark/>
          </w:tcPr>
          <w:p w14:paraId="1F4117E9"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0.074</w:t>
            </w:r>
          </w:p>
        </w:tc>
        <w:tc>
          <w:tcPr>
            <w:tcW w:w="1627" w:type="dxa"/>
            <w:tcBorders>
              <w:top w:val="nil"/>
              <w:left w:val="nil"/>
              <w:bottom w:val="nil"/>
              <w:right w:val="nil"/>
            </w:tcBorders>
            <w:shd w:val="clear" w:color="000000" w:fill="E7E6E6"/>
            <w:noWrap/>
            <w:hideMark/>
          </w:tcPr>
          <w:p w14:paraId="1F3F087C"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*0.033</w:t>
            </w:r>
          </w:p>
        </w:tc>
      </w:tr>
      <w:tr w:rsidR="002939D3" w:rsidRPr="006E2AB2" w14:paraId="141B6BF1" w14:textId="77777777" w:rsidTr="000915D9">
        <w:trPr>
          <w:cantSplit/>
          <w:trHeight w:val="336"/>
        </w:trPr>
        <w:tc>
          <w:tcPr>
            <w:tcW w:w="2620" w:type="dxa"/>
            <w:tcBorders>
              <w:top w:val="nil"/>
              <w:left w:val="nil"/>
              <w:bottom w:val="nil"/>
              <w:right w:val="nil"/>
            </w:tcBorders>
            <w:shd w:val="clear" w:color="auto" w:fill="auto"/>
            <w:noWrap/>
            <w:hideMark/>
          </w:tcPr>
          <w:p w14:paraId="23B5D4CD"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Slice Thickness</w:t>
            </w:r>
          </w:p>
        </w:tc>
        <w:tc>
          <w:tcPr>
            <w:tcW w:w="1497" w:type="dxa"/>
            <w:tcBorders>
              <w:top w:val="nil"/>
              <w:left w:val="nil"/>
              <w:bottom w:val="nil"/>
              <w:right w:val="nil"/>
            </w:tcBorders>
            <w:shd w:val="clear" w:color="auto" w:fill="auto"/>
            <w:noWrap/>
            <w:hideMark/>
          </w:tcPr>
          <w:p w14:paraId="11B18AC7"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0.982</w:t>
            </w:r>
          </w:p>
        </w:tc>
        <w:tc>
          <w:tcPr>
            <w:tcW w:w="1364" w:type="dxa"/>
            <w:tcBorders>
              <w:top w:val="nil"/>
              <w:left w:val="nil"/>
              <w:bottom w:val="nil"/>
              <w:right w:val="nil"/>
            </w:tcBorders>
            <w:shd w:val="clear" w:color="auto" w:fill="auto"/>
            <w:noWrap/>
            <w:hideMark/>
          </w:tcPr>
          <w:p w14:paraId="6325A0A6"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0.643</w:t>
            </w:r>
          </w:p>
        </w:tc>
        <w:tc>
          <w:tcPr>
            <w:tcW w:w="1627" w:type="dxa"/>
            <w:tcBorders>
              <w:top w:val="nil"/>
              <w:left w:val="nil"/>
              <w:bottom w:val="nil"/>
              <w:right w:val="nil"/>
            </w:tcBorders>
            <w:shd w:val="clear" w:color="auto" w:fill="auto"/>
            <w:noWrap/>
            <w:hideMark/>
          </w:tcPr>
          <w:p w14:paraId="3590EE86"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0.924</w:t>
            </w:r>
          </w:p>
        </w:tc>
      </w:tr>
      <w:tr w:rsidR="002939D3" w:rsidRPr="006E2AB2" w14:paraId="2F7B8FDF" w14:textId="77777777" w:rsidTr="000915D9">
        <w:trPr>
          <w:cantSplit/>
          <w:trHeight w:val="336"/>
        </w:trPr>
        <w:tc>
          <w:tcPr>
            <w:tcW w:w="2620" w:type="dxa"/>
            <w:tcBorders>
              <w:top w:val="nil"/>
              <w:left w:val="nil"/>
              <w:bottom w:val="nil"/>
              <w:right w:val="nil"/>
            </w:tcBorders>
            <w:shd w:val="clear" w:color="000000" w:fill="E7E6E6"/>
            <w:noWrap/>
            <w:hideMark/>
          </w:tcPr>
          <w:p w14:paraId="7B08A72F"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Slice Gap</w:t>
            </w:r>
          </w:p>
        </w:tc>
        <w:tc>
          <w:tcPr>
            <w:tcW w:w="1497" w:type="dxa"/>
            <w:tcBorders>
              <w:top w:val="nil"/>
              <w:left w:val="nil"/>
              <w:bottom w:val="nil"/>
              <w:right w:val="nil"/>
            </w:tcBorders>
            <w:shd w:val="clear" w:color="000000" w:fill="E7E6E6"/>
            <w:noWrap/>
            <w:hideMark/>
          </w:tcPr>
          <w:p w14:paraId="16029D7A"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0.930</w:t>
            </w:r>
          </w:p>
        </w:tc>
        <w:tc>
          <w:tcPr>
            <w:tcW w:w="1364" w:type="dxa"/>
            <w:tcBorders>
              <w:top w:val="nil"/>
              <w:left w:val="nil"/>
              <w:bottom w:val="nil"/>
              <w:right w:val="nil"/>
            </w:tcBorders>
            <w:shd w:val="clear" w:color="000000" w:fill="E7E6E6"/>
            <w:noWrap/>
            <w:hideMark/>
          </w:tcPr>
          <w:p w14:paraId="7D601E45"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0.347</w:t>
            </w:r>
          </w:p>
        </w:tc>
        <w:tc>
          <w:tcPr>
            <w:tcW w:w="1627" w:type="dxa"/>
            <w:tcBorders>
              <w:top w:val="nil"/>
              <w:left w:val="nil"/>
              <w:bottom w:val="nil"/>
              <w:right w:val="nil"/>
            </w:tcBorders>
            <w:shd w:val="clear" w:color="000000" w:fill="E7E6E6"/>
            <w:noWrap/>
            <w:hideMark/>
          </w:tcPr>
          <w:p w14:paraId="6B762BCF"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0.473</w:t>
            </w:r>
          </w:p>
        </w:tc>
      </w:tr>
      <w:tr w:rsidR="002939D3" w:rsidRPr="006E2AB2" w14:paraId="0DBE075E" w14:textId="77777777" w:rsidTr="000915D9">
        <w:trPr>
          <w:cantSplit/>
          <w:trHeight w:val="336"/>
        </w:trPr>
        <w:tc>
          <w:tcPr>
            <w:tcW w:w="2620" w:type="dxa"/>
            <w:tcBorders>
              <w:top w:val="nil"/>
              <w:left w:val="nil"/>
              <w:bottom w:val="nil"/>
              <w:right w:val="nil"/>
            </w:tcBorders>
            <w:shd w:val="clear" w:color="auto" w:fill="auto"/>
            <w:noWrap/>
            <w:hideMark/>
          </w:tcPr>
          <w:p w14:paraId="324B389A"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FOV</w:t>
            </w:r>
            <w:r>
              <w:rPr>
                <w:rFonts w:ascii="Times New Roman" w:eastAsia="Times New Roman" w:hAnsi="Times New Roman" w:cs="Times New Roman"/>
                <w:color w:val="000000"/>
              </w:rPr>
              <w:t xml:space="preserve"> Lower Limit</w:t>
            </w:r>
          </w:p>
        </w:tc>
        <w:tc>
          <w:tcPr>
            <w:tcW w:w="1497" w:type="dxa"/>
            <w:tcBorders>
              <w:top w:val="nil"/>
              <w:left w:val="nil"/>
              <w:bottom w:val="nil"/>
              <w:right w:val="nil"/>
            </w:tcBorders>
            <w:shd w:val="clear" w:color="auto" w:fill="auto"/>
            <w:noWrap/>
            <w:hideMark/>
          </w:tcPr>
          <w:p w14:paraId="0AC73694"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0.777</w:t>
            </w:r>
          </w:p>
        </w:tc>
        <w:tc>
          <w:tcPr>
            <w:tcW w:w="1364" w:type="dxa"/>
            <w:tcBorders>
              <w:top w:val="nil"/>
              <w:left w:val="nil"/>
              <w:bottom w:val="nil"/>
              <w:right w:val="nil"/>
            </w:tcBorders>
            <w:shd w:val="clear" w:color="auto" w:fill="auto"/>
            <w:noWrap/>
            <w:hideMark/>
          </w:tcPr>
          <w:p w14:paraId="17857BF3"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0.741</w:t>
            </w:r>
          </w:p>
        </w:tc>
        <w:tc>
          <w:tcPr>
            <w:tcW w:w="1627" w:type="dxa"/>
            <w:tcBorders>
              <w:top w:val="nil"/>
              <w:left w:val="nil"/>
              <w:bottom w:val="nil"/>
              <w:right w:val="nil"/>
            </w:tcBorders>
            <w:shd w:val="clear" w:color="auto" w:fill="auto"/>
            <w:noWrap/>
            <w:hideMark/>
          </w:tcPr>
          <w:p w14:paraId="76F0C4E2"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0.982</w:t>
            </w:r>
          </w:p>
        </w:tc>
      </w:tr>
      <w:tr w:rsidR="002939D3" w:rsidRPr="006E2AB2" w14:paraId="2716DE3F" w14:textId="77777777" w:rsidTr="000915D9">
        <w:trPr>
          <w:cantSplit/>
          <w:trHeight w:val="336"/>
        </w:trPr>
        <w:tc>
          <w:tcPr>
            <w:tcW w:w="2620" w:type="dxa"/>
            <w:tcBorders>
              <w:top w:val="nil"/>
              <w:left w:val="nil"/>
              <w:bottom w:val="nil"/>
              <w:right w:val="nil"/>
            </w:tcBorders>
            <w:shd w:val="clear" w:color="000000" w:fill="E7E6E6"/>
            <w:noWrap/>
            <w:hideMark/>
          </w:tcPr>
          <w:p w14:paraId="4E2D5EF7"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FOV</w:t>
            </w:r>
            <w:r>
              <w:rPr>
                <w:rFonts w:ascii="Times New Roman" w:eastAsia="Times New Roman" w:hAnsi="Times New Roman" w:cs="Times New Roman"/>
                <w:color w:val="000000"/>
              </w:rPr>
              <w:t xml:space="preserve"> Upper Limit</w:t>
            </w:r>
          </w:p>
        </w:tc>
        <w:tc>
          <w:tcPr>
            <w:tcW w:w="1497" w:type="dxa"/>
            <w:tcBorders>
              <w:top w:val="nil"/>
              <w:left w:val="nil"/>
              <w:bottom w:val="nil"/>
              <w:right w:val="nil"/>
            </w:tcBorders>
            <w:shd w:val="clear" w:color="000000" w:fill="E7E6E6"/>
            <w:noWrap/>
            <w:hideMark/>
          </w:tcPr>
          <w:p w14:paraId="3DA0FDF3"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0.864</w:t>
            </w:r>
          </w:p>
        </w:tc>
        <w:tc>
          <w:tcPr>
            <w:tcW w:w="1364" w:type="dxa"/>
            <w:tcBorders>
              <w:top w:val="nil"/>
              <w:left w:val="nil"/>
              <w:bottom w:val="nil"/>
              <w:right w:val="nil"/>
            </w:tcBorders>
            <w:shd w:val="clear" w:color="000000" w:fill="E7E6E6"/>
            <w:noWrap/>
            <w:hideMark/>
          </w:tcPr>
          <w:p w14:paraId="643B3369"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0.354</w:t>
            </w:r>
          </w:p>
        </w:tc>
        <w:tc>
          <w:tcPr>
            <w:tcW w:w="1627" w:type="dxa"/>
            <w:tcBorders>
              <w:top w:val="nil"/>
              <w:left w:val="nil"/>
              <w:bottom w:val="nil"/>
              <w:right w:val="nil"/>
            </w:tcBorders>
            <w:shd w:val="clear" w:color="000000" w:fill="E7E6E6"/>
            <w:noWrap/>
            <w:hideMark/>
          </w:tcPr>
          <w:p w14:paraId="4E301EB5"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0.446</w:t>
            </w:r>
          </w:p>
        </w:tc>
      </w:tr>
      <w:tr w:rsidR="002939D3" w:rsidRPr="006E2AB2" w14:paraId="53DBE068" w14:textId="77777777" w:rsidTr="000915D9">
        <w:trPr>
          <w:cantSplit/>
          <w:trHeight w:val="336"/>
        </w:trPr>
        <w:tc>
          <w:tcPr>
            <w:tcW w:w="2620" w:type="dxa"/>
            <w:tcBorders>
              <w:top w:val="nil"/>
              <w:left w:val="nil"/>
              <w:bottom w:val="nil"/>
              <w:right w:val="nil"/>
            </w:tcBorders>
            <w:shd w:val="clear" w:color="auto" w:fill="auto"/>
            <w:noWrap/>
            <w:hideMark/>
          </w:tcPr>
          <w:p w14:paraId="3358DE38"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IPRP</w:t>
            </w:r>
          </w:p>
        </w:tc>
        <w:tc>
          <w:tcPr>
            <w:tcW w:w="1497" w:type="dxa"/>
            <w:tcBorders>
              <w:top w:val="nil"/>
              <w:left w:val="nil"/>
              <w:bottom w:val="nil"/>
              <w:right w:val="nil"/>
            </w:tcBorders>
            <w:shd w:val="clear" w:color="auto" w:fill="auto"/>
            <w:noWrap/>
            <w:hideMark/>
          </w:tcPr>
          <w:p w14:paraId="7351E12F"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0.313</w:t>
            </w:r>
          </w:p>
        </w:tc>
        <w:tc>
          <w:tcPr>
            <w:tcW w:w="1364" w:type="dxa"/>
            <w:tcBorders>
              <w:top w:val="nil"/>
              <w:left w:val="nil"/>
              <w:bottom w:val="nil"/>
              <w:right w:val="nil"/>
            </w:tcBorders>
            <w:shd w:val="clear" w:color="auto" w:fill="auto"/>
            <w:noWrap/>
            <w:hideMark/>
          </w:tcPr>
          <w:p w14:paraId="2738B5EC"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0.335</w:t>
            </w:r>
          </w:p>
        </w:tc>
        <w:tc>
          <w:tcPr>
            <w:tcW w:w="1627" w:type="dxa"/>
            <w:tcBorders>
              <w:top w:val="nil"/>
              <w:left w:val="nil"/>
              <w:bottom w:val="nil"/>
              <w:right w:val="nil"/>
            </w:tcBorders>
            <w:shd w:val="clear" w:color="auto" w:fill="auto"/>
            <w:noWrap/>
            <w:hideMark/>
          </w:tcPr>
          <w:p w14:paraId="45A7DD26"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0.123</w:t>
            </w:r>
          </w:p>
        </w:tc>
      </w:tr>
      <w:tr w:rsidR="002939D3" w:rsidRPr="006E2AB2" w14:paraId="43E8E5F1" w14:textId="77777777" w:rsidTr="000915D9">
        <w:trPr>
          <w:cantSplit/>
          <w:trHeight w:val="336"/>
        </w:trPr>
        <w:tc>
          <w:tcPr>
            <w:tcW w:w="2620" w:type="dxa"/>
            <w:tcBorders>
              <w:top w:val="nil"/>
              <w:left w:val="nil"/>
              <w:bottom w:val="nil"/>
              <w:right w:val="nil"/>
            </w:tcBorders>
            <w:shd w:val="clear" w:color="000000" w:fill="E7E6E6"/>
            <w:noWrap/>
            <w:hideMark/>
          </w:tcPr>
          <w:p w14:paraId="353CDB4F"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IPRF</w:t>
            </w:r>
          </w:p>
        </w:tc>
        <w:tc>
          <w:tcPr>
            <w:tcW w:w="1497" w:type="dxa"/>
            <w:tcBorders>
              <w:top w:val="nil"/>
              <w:left w:val="nil"/>
              <w:bottom w:val="nil"/>
              <w:right w:val="nil"/>
            </w:tcBorders>
            <w:shd w:val="clear" w:color="000000" w:fill="E7E6E6"/>
            <w:noWrap/>
            <w:hideMark/>
          </w:tcPr>
          <w:p w14:paraId="7AB64441"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0.313</w:t>
            </w:r>
          </w:p>
        </w:tc>
        <w:tc>
          <w:tcPr>
            <w:tcW w:w="1364" w:type="dxa"/>
            <w:tcBorders>
              <w:top w:val="nil"/>
              <w:left w:val="nil"/>
              <w:bottom w:val="nil"/>
              <w:right w:val="nil"/>
            </w:tcBorders>
            <w:shd w:val="clear" w:color="000000" w:fill="E7E6E6"/>
            <w:noWrap/>
            <w:hideMark/>
          </w:tcPr>
          <w:p w14:paraId="3D657AA8"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0.335</w:t>
            </w:r>
          </w:p>
        </w:tc>
        <w:tc>
          <w:tcPr>
            <w:tcW w:w="1627" w:type="dxa"/>
            <w:tcBorders>
              <w:top w:val="nil"/>
              <w:left w:val="nil"/>
              <w:bottom w:val="nil"/>
              <w:right w:val="nil"/>
            </w:tcBorders>
            <w:shd w:val="clear" w:color="000000" w:fill="E7E6E6"/>
            <w:noWrap/>
            <w:hideMark/>
          </w:tcPr>
          <w:p w14:paraId="791F6169"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0.123</w:t>
            </w:r>
          </w:p>
        </w:tc>
      </w:tr>
      <w:tr w:rsidR="002939D3" w:rsidRPr="006E2AB2" w14:paraId="273077A2" w14:textId="77777777" w:rsidTr="000915D9">
        <w:trPr>
          <w:cantSplit/>
          <w:trHeight w:val="336"/>
        </w:trPr>
        <w:tc>
          <w:tcPr>
            <w:tcW w:w="2620" w:type="dxa"/>
            <w:tcBorders>
              <w:top w:val="nil"/>
              <w:left w:val="nil"/>
              <w:bottom w:val="single" w:sz="4" w:space="0" w:color="auto"/>
              <w:right w:val="nil"/>
            </w:tcBorders>
            <w:shd w:val="clear" w:color="auto" w:fill="auto"/>
            <w:noWrap/>
            <w:hideMark/>
          </w:tcPr>
          <w:p w14:paraId="58CA1E80"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Phase Encoding Dir</w:t>
            </w:r>
            <w:r>
              <w:rPr>
                <w:rFonts w:ascii="Times New Roman" w:eastAsia="Times New Roman" w:hAnsi="Times New Roman" w:cs="Times New Roman"/>
                <w:color w:val="000000"/>
              </w:rPr>
              <w:t>.</w:t>
            </w:r>
          </w:p>
        </w:tc>
        <w:tc>
          <w:tcPr>
            <w:tcW w:w="1497" w:type="dxa"/>
            <w:tcBorders>
              <w:top w:val="nil"/>
              <w:left w:val="nil"/>
              <w:bottom w:val="single" w:sz="4" w:space="0" w:color="auto"/>
              <w:right w:val="nil"/>
            </w:tcBorders>
            <w:shd w:val="clear" w:color="auto" w:fill="auto"/>
            <w:noWrap/>
            <w:hideMark/>
          </w:tcPr>
          <w:p w14:paraId="5D00E712"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0.576</w:t>
            </w:r>
          </w:p>
        </w:tc>
        <w:tc>
          <w:tcPr>
            <w:tcW w:w="1364" w:type="dxa"/>
            <w:tcBorders>
              <w:top w:val="nil"/>
              <w:left w:val="nil"/>
              <w:bottom w:val="single" w:sz="4" w:space="0" w:color="auto"/>
              <w:right w:val="nil"/>
            </w:tcBorders>
            <w:shd w:val="clear" w:color="auto" w:fill="auto"/>
            <w:noWrap/>
            <w:hideMark/>
          </w:tcPr>
          <w:p w14:paraId="06AD7DD3"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0.350</w:t>
            </w:r>
          </w:p>
        </w:tc>
        <w:tc>
          <w:tcPr>
            <w:tcW w:w="1627" w:type="dxa"/>
            <w:tcBorders>
              <w:top w:val="nil"/>
              <w:left w:val="nil"/>
              <w:bottom w:val="single" w:sz="4" w:space="0" w:color="auto"/>
              <w:right w:val="nil"/>
            </w:tcBorders>
            <w:shd w:val="clear" w:color="auto" w:fill="auto"/>
            <w:noWrap/>
            <w:hideMark/>
          </w:tcPr>
          <w:p w14:paraId="48C0CACA"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0.779</w:t>
            </w:r>
          </w:p>
        </w:tc>
      </w:tr>
    </w:tbl>
    <w:p w14:paraId="096A49F0" w14:textId="77777777" w:rsidR="002939D3" w:rsidRPr="006E2AB2" w:rsidRDefault="002939D3" w:rsidP="002939D3">
      <w:pPr>
        <w:spacing w:after="0" w:line="240" w:lineRule="auto"/>
        <w:rPr>
          <w:rFonts w:ascii="Calibri" w:eastAsia="Calibri" w:hAnsi="Calibri" w:cs="Times New Roman"/>
        </w:rPr>
      </w:pPr>
    </w:p>
    <w:p w14:paraId="4DA3259F" w14:textId="77777777" w:rsidR="002939D3" w:rsidRPr="006E2AB2" w:rsidRDefault="002939D3" w:rsidP="002939D3">
      <w:pPr>
        <w:spacing w:after="0" w:line="240" w:lineRule="auto"/>
        <w:rPr>
          <w:rFonts w:ascii="Calibri" w:eastAsia="Calibri" w:hAnsi="Calibri" w:cs="Times New Roman"/>
        </w:rPr>
      </w:pPr>
    </w:p>
    <w:p w14:paraId="06E72FC3" w14:textId="77777777" w:rsidR="002939D3" w:rsidRPr="006E2AB2" w:rsidRDefault="002939D3" w:rsidP="002939D3">
      <w:pPr>
        <w:spacing w:after="0" w:line="240" w:lineRule="auto"/>
        <w:rPr>
          <w:rFonts w:ascii="Calibri" w:eastAsia="Calibri" w:hAnsi="Calibri" w:cs="Times New Roman"/>
        </w:rPr>
      </w:pPr>
    </w:p>
    <w:p w14:paraId="6E200E00" w14:textId="77777777" w:rsidR="002939D3" w:rsidRPr="006E2AB2" w:rsidRDefault="002939D3" w:rsidP="002939D3">
      <w:pPr>
        <w:spacing w:after="0" w:line="240" w:lineRule="auto"/>
        <w:rPr>
          <w:rFonts w:ascii="Calibri" w:eastAsia="Calibri" w:hAnsi="Calibri" w:cs="Times New Roman"/>
        </w:rPr>
      </w:pPr>
    </w:p>
    <w:p w14:paraId="5EC5FEC0" w14:textId="77777777" w:rsidR="002939D3" w:rsidRPr="006E2AB2" w:rsidRDefault="002939D3" w:rsidP="002939D3">
      <w:pPr>
        <w:spacing w:after="0" w:line="240" w:lineRule="auto"/>
        <w:rPr>
          <w:rFonts w:ascii="Calibri" w:eastAsia="Calibri" w:hAnsi="Calibri" w:cs="Times New Roman"/>
        </w:rPr>
      </w:pPr>
    </w:p>
    <w:p w14:paraId="6CCAE30A" w14:textId="77777777" w:rsidR="002939D3" w:rsidRPr="006E2AB2" w:rsidRDefault="002939D3" w:rsidP="002939D3">
      <w:pPr>
        <w:spacing w:after="0" w:line="240" w:lineRule="auto"/>
        <w:rPr>
          <w:rFonts w:ascii="Calibri" w:eastAsia="Calibri" w:hAnsi="Calibri" w:cs="Times New Roman"/>
        </w:rPr>
      </w:pPr>
    </w:p>
    <w:p w14:paraId="3E74E7ED" w14:textId="77777777" w:rsidR="002939D3" w:rsidRPr="006E2AB2" w:rsidRDefault="002939D3" w:rsidP="002939D3">
      <w:pPr>
        <w:spacing w:after="0" w:line="240" w:lineRule="auto"/>
        <w:rPr>
          <w:rFonts w:ascii="Calibri" w:eastAsia="Calibri" w:hAnsi="Calibri" w:cs="Times New Roman"/>
        </w:rPr>
      </w:pPr>
    </w:p>
    <w:p w14:paraId="25F23B27" w14:textId="77777777" w:rsidR="002939D3" w:rsidRPr="006E2AB2" w:rsidRDefault="002939D3" w:rsidP="002939D3">
      <w:pPr>
        <w:spacing w:after="0" w:line="240" w:lineRule="auto"/>
        <w:rPr>
          <w:rFonts w:ascii="Calibri" w:eastAsia="Calibri" w:hAnsi="Calibri" w:cs="Times New Roman"/>
        </w:rPr>
      </w:pPr>
    </w:p>
    <w:p w14:paraId="58D408A7" w14:textId="77777777" w:rsidR="002939D3" w:rsidRPr="006E2AB2" w:rsidRDefault="002939D3" w:rsidP="002939D3">
      <w:pPr>
        <w:spacing w:after="0" w:line="240" w:lineRule="auto"/>
        <w:rPr>
          <w:rFonts w:ascii="Calibri" w:eastAsia="Calibri" w:hAnsi="Calibri" w:cs="Times New Roman"/>
        </w:rPr>
      </w:pPr>
    </w:p>
    <w:p w14:paraId="595CE56E" w14:textId="77777777" w:rsidR="002939D3" w:rsidRPr="006E2AB2" w:rsidRDefault="002939D3" w:rsidP="002939D3">
      <w:pPr>
        <w:spacing w:after="0" w:line="240" w:lineRule="auto"/>
        <w:rPr>
          <w:rFonts w:ascii="Calibri" w:eastAsia="Calibri" w:hAnsi="Calibri" w:cs="Times New Roman"/>
        </w:rPr>
      </w:pPr>
    </w:p>
    <w:p w14:paraId="5BDA82FA" w14:textId="77777777" w:rsidR="002939D3" w:rsidRPr="006E2AB2" w:rsidRDefault="002939D3" w:rsidP="002939D3">
      <w:pPr>
        <w:spacing w:after="0" w:line="240" w:lineRule="auto"/>
        <w:rPr>
          <w:rFonts w:ascii="Calibri" w:eastAsia="Calibri" w:hAnsi="Calibri" w:cs="Times New Roman"/>
        </w:rPr>
      </w:pPr>
    </w:p>
    <w:p w14:paraId="68DF9EBD" w14:textId="77777777" w:rsidR="002939D3" w:rsidRPr="006E2AB2" w:rsidRDefault="002939D3" w:rsidP="002939D3">
      <w:pPr>
        <w:spacing w:after="0" w:line="240" w:lineRule="auto"/>
        <w:rPr>
          <w:rFonts w:ascii="Calibri" w:eastAsia="Calibri" w:hAnsi="Calibri" w:cs="Times New Roman"/>
        </w:rPr>
      </w:pPr>
    </w:p>
    <w:p w14:paraId="65D9A468" w14:textId="77777777" w:rsidR="002939D3" w:rsidRPr="006E2AB2" w:rsidRDefault="002939D3" w:rsidP="002939D3">
      <w:pPr>
        <w:spacing w:after="0" w:line="240" w:lineRule="auto"/>
        <w:rPr>
          <w:rFonts w:ascii="Calibri" w:eastAsia="Calibri" w:hAnsi="Calibri" w:cs="Times New Roman"/>
        </w:rPr>
      </w:pPr>
    </w:p>
    <w:p w14:paraId="69850B43" w14:textId="77777777" w:rsidR="002939D3" w:rsidRPr="006E2AB2" w:rsidRDefault="002939D3" w:rsidP="002939D3">
      <w:pPr>
        <w:spacing w:after="0" w:line="240" w:lineRule="auto"/>
        <w:rPr>
          <w:rFonts w:ascii="Calibri" w:eastAsia="Calibri" w:hAnsi="Calibri" w:cs="Times New Roman"/>
        </w:rPr>
      </w:pPr>
    </w:p>
    <w:p w14:paraId="300DEF3E" w14:textId="77777777" w:rsidR="002939D3" w:rsidRPr="006E2AB2" w:rsidRDefault="002939D3" w:rsidP="002939D3">
      <w:pPr>
        <w:spacing w:after="0" w:line="240" w:lineRule="auto"/>
        <w:rPr>
          <w:rFonts w:ascii="Calibri" w:eastAsia="Calibri" w:hAnsi="Calibri" w:cs="Times New Roman"/>
        </w:rPr>
      </w:pPr>
    </w:p>
    <w:p w14:paraId="219FF890" w14:textId="77777777" w:rsidR="002939D3" w:rsidRPr="006E2AB2" w:rsidRDefault="002939D3" w:rsidP="002939D3">
      <w:pPr>
        <w:spacing w:after="0" w:line="240" w:lineRule="auto"/>
        <w:rPr>
          <w:rFonts w:ascii="Calibri" w:eastAsia="Calibri" w:hAnsi="Calibri" w:cs="Times New Roman"/>
        </w:rPr>
      </w:pPr>
    </w:p>
    <w:p w14:paraId="110F7A64" w14:textId="77777777" w:rsidR="002939D3" w:rsidRPr="006E2AB2" w:rsidRDefault="002939D3" w:rsidP="002939D3">
      <w:pPr>
        <w:spacing w:after="0" w:line="240" w:lineRule="auto"/>
        <w:rPr>
          <w:rFonts w:ascii="Calibri" w:eastAsia="Calibri" w:hAnsi="Calibri" w:cs="Times New Roman"/>
        </w:rPr>
      </w:pPr>
    </w:p>
    <w:p w14:paraId="19D70C26" w14:textId="77777777" w:rsidR="002939D3" w:rsidRPr="006E2AB2" w:rsidRDefault="002939D3" w:rsidP="002939D3">
      <w:pPr>
        <w:spacing w:after="0" w:line="240" w:lineRule="auto"/>
        <w:rPr>
          <w:rFonts w:ascii="Calibri" w:eastAsia="Calibri" w:hAnsi="Calibri" w:cs="Times New Roman"/>
        </w:rPr>
      </w:pPr>
    </w:p>
    <w:p w14:paraId="69F9BBA9" w14:textId="77777777" w:rsidR="002939D3" w:rsidRPr="006E2AB2" w:rsidRDefault="002939D3" w:rsidP="002939D3">
      <w:pPr>
        <w:spacing w:after="0" w:line="240" w:lineRule="auto"/>
        <w:rPr>
          <w:rFonts w:ascii="Calibri" w:eastAsia="Calibri" w:hAnsi="Calibri" w:cs="Times New Roman"/>
        </w:rPr>
      </w:pPr>
    </w:p>
    <w:p w14:paraId="2CA12287" w14:textId="77777777" w:rsidR="002939D3" w:rsidRPr="006E2AB2" w:rsidRDefault="002939D3" w:rsidP="002939D3">
      <w:pPr>
        <w:spacing w:after="0" w:line="240" w:lineRule="auto"/>
        <w:rPr>
          <w:rFonts w:ascii="Calibri" w:eastAsia="Calibri" w:hAnsi="Calibri" w:cs="Times New Roman"/>
        </w:rPr>
      </w:pPr>
    </w:p>
    <w:p w14:paraId="3CB6709B" w14:textId="77777777" w:rsidR="002939D3" w:rsidRPr="006E2AB2" w:rsidRDefault="002939D3" w:rsidP="002939D3">
      <w:pPr>
        <w:spacing w:after="0" w:line="240" w:lineRule="auto"/>
        <w:rPr>
          <w:rFonts w:ascii="Calibri" w:eastAsia="Calibri" w:hAnsi="Calibri" w:cs="Times New Roman"/>
        </w:rPr>
      </w:pPr>
    </w:p>
    <w:p w14:paraId="3E0AC2CD" w14:textId="77777777" w:rsidR="002939D3" w:rsidRPr="006E2AB2" w:rsidRDefault="002939D3" w:rsidP="002939D3">
      <w:pPr>
        <w:spacing w:after="0" w:line="240" w:lineRule="auto"/>
        <w:rPr>
          <w:rFonts w:ascii="Calibri" w:eastAsia="Calibri" w:hAnsi="Calibri" w:cs="Times New Roman"/>
        </w:rPr>
      </w:pPr>
    </w:p>
    <w:p w14:paraId="3DDFF9CE" w14:textId="77777777" w:rsidR="002939D3" w:rsidRPr="00C42EE4" w:rsidRDefault="002939D3" w:rsidP="002939D3">
      <w:pPr>
        <w:spacing w:after="0" w:line="240" w:lineRule="auto"/>
        <w:jc w:val="both"/>
        <w:rPr>
          <w:rFonts w:ascii="Times New Roman" w:eastAsia="Times New Roman" w:hAnsi="Times New Roman" w:cs="Times New Roman"/>
          <w:iCs/>
          <w:color w:val="000000"/>
        </w:rPr>
      </w:pPr>
      <w:r w:rsidRPr="00C42EE4">
        <w:rPr>
          <w:rFonts w:ascii="Times New Roman" w:eastAsia="Times New Roman" w:hAnsi="Times New Roman" w:cs="Times New Roman"/>
          <w:iCs/>
          <w:color w:val="000000"/>
        </w:rPr>
        <w:t>*significant findings with p-value ≤ 0.5</w:t>
      </w:r>
    </w:p>
    <w:p w14:paraId="547F2AAD" w14:textId="77777777" w:rsidR="002939D3" w:rsidRPr="00C42EE4" w:rsidRDefault="002939D3" w:rsidP="002939D3">
      <w:pPr>
        <w:spacing w:after="0" w:line="240" w:lineRule="auto"/>
        <w:jc w:val="both"/>
        <w:rPr>
          <w:rFonts w:ascii="Times New Roman" w:eastAsia="Times New Roman" w:hAnsi="Times New Roman" w:cs="Times New Roman"/>
          <w:iCs/>
          <w:color w:val="000000"/>
        </w:rPr>
      </w:pPr>
      <w:r w:rsidRPr="00C42EE4">
        <w:rPr>
          <w:rFonts w:ascii="Times New Roman" w:eastAsia="Times New Roman" w:hAnsi="Times New Roman" w:cs="Times New Roman"/>
          <w:iCs/>
          <w:color w:val="000000"/>
        </w:rPr>
        <w:t>†Chi-</w:t>
      </w:r>
      <w:r>
        <w:rPr>
          <w:rFonts w:ascii="Times New Roman" w:eastAsia="Times New Roman" w:hAnsi="Times New Roman" w:cs="Times New Roman"/>
          <w:iCs/>
          <w:color w:val="000000"/>
        </w:rPr>
        <w:t>S</w:t>
      </w:r>
      <w:r w:rsidRPr="00C42EE4">
        <w:rPr>
          <w:rFonts w:ascii="Times New Roman" w:eastAsia="Times New Roman" w:hAnsi="Times New Roman" w:cs="Times New Roman"/>
          <w:iCs/>
          <w:color w:val="000000"/>
        </w:rPr>
        <w:t xml:space="preserve">quare </w:t>
      </w:r>
      <w:r>
        <w:rPr>
          <w:rFonts w:ascii="Times New Roman" w:eastAsia="Times New Roman" w:hAnsi="Times New Roman" w:cs="Times New Roman"/>
          <w:iCs/>
          <w:color w:val="000000"/>
        </w:rPr>
        <w:t>T</w:t>
      </w:r>
      <w:r w:rsidRPr="00C42EE4">
        <w:rPr>
          <w:rFonts w:ascii="Times New Roman" w:eastAsia="Times New Roman" w:hAnsi="Times New Roman" w:cs="Times New Roman"/>
          <w:iCs/>
          <w:color w:val="000000"/>
        </w:rPr>
        <w:t>est</w:t>
      </w:r>
    </w:p>
    <w:p w14:paraId="2D951CB2" w14:textId="77777777" w:rsidR="002939D3" w:rsidRPr="00C42EE4" w:rsidRDefault="002939D3" w:rsidP="002939D3">
      <w:pPr>
        <w:spacing w:after="0" w:line="240" w:lineRule="auto"/>
        <w:jc w:val="both"/>
        <w:rPr>
          <w:rFonts w:ascii="Times New Roman" w:eastAsia="Times New Roman" w:hAnsi="Times New Roman" w:cs="Times New Roman"/>
          <w:iCs/>
          <w:color w:val="000000"/>
        </w:rPr>
      </w:pPr>
      <w:r w:rsidRPr="00C42EE4">
        <w:rPr>
          <w:rFonts w:ascii="Times New Roman" w:eastAsia="Times New Roman" w:hAnsi="Times New Roman" w:cs="Times New Roman"/>
          <w:iCs/>
          <w:color w:val="000000"/>
        </w:rPr>
        <w:t xml:space="preserve">††Wilcoxon </w:t>
      </w:r>
      <w:r>
        <w:rPr>
          <w:rFonts w:ascii="Times New Roman" w:eastAsia="Times New Roman" w:hAnsi="Times New Roman" w:cs="Times New Roman"/>
          <w:iCs/>
          <w:color w:val="000000"/>
        </w:rPr>
        <w:t>Rank Sum Test</w:t>
      </w:r>
    </w:p>
    <w:p w14:paraId="4C7A9714" w14:textId="77777777" w:rsidR="002939D3" w:rsidRDefault="002939D3" w:rsidP="002939D3">
      <w:pPr>
        <w:spacing w:after="0" w:line="240" w:lineRule="auto"/>
        <w:jc w:val="both"/>
        <w:rPr>
          <w:rFonts w:ascii="Times New Roman" w:eastAsia="Times New Roman" w:hAnsi="Times New Roman" w:cs="Times New Roman"/>
          <w:iCs/>
          <w:color w:val="000000"/>
        </w:rPr>
      </w:pPr>
      <w:r w:rsidRPr="00C42EE4">
        <w:rPr>
          <w:rFonts w:ascii="Times New Roman" w:eastAsia="Times New Roman" w:hAnsi="Times New Roman" w:cs="Times New Roman"/>
          <w:iCs/>
          <w:color w:val="000000"/>
        </w:rPr>
        <w:t>Abbreviations: FOV UL=field-of-view upper limit, FOV LL=field-of-view lower limit, IPRP=in-plane resolution phase, IPRF=in-plane resolution frequency</w:t>
      </w:r>
    </w:p>
    <w:p w14:paraId="1602BFDF" w14:textId="77777777" w:rsidR="002939D3" w:rsidRPr="00C42EE4" w:rsidRDefault="002939D3" w:rsidP="002939D3">
      <w:pPr>
        <w:spacing w:after="0" w:line="240" w:lineRule="auto"/>
        <w:jc w:val="both"/>
        <w:rPr>
          <w:rFonts w:ascii="Times New Roman" w:eastAsia="Times New Roman" w:hAnsi="Times New Roman" w:cs="Times New Roman"/>
          <w:iCs/>
          <w:color w:val="000000"/>
        </w:rPr>
      </w:pPr>
    </w:p>
    <w:p w14:paraId="02878D2E" w14:textId="77777777" w:rsidR="002939D3" w:rsidRPr="006E2AB2" w:rsidRDefault="002939D3" w:rsidP="002939D3">
      <w:pPr>
        <w:spacing w:after="0" w:line="240" w:lineRule="auto"/>
        <w:rPr>
          <w:rFonts w:ascii="Times New Roman" w:eastAsia="Calibri" w:hAnsi="Times New Roman" w:cs="Times New Roman"/>
          <w:iCs/>
        </w:rPr>
      </w:pPr>
      <w:r w:rsidRPr="006E2AB2">
        <w:rPr>
          <w:rFonts w:ascii="Times New Roman" w:eastAsia="Calibri" w:hAnsi="Times New Roman" w:cs="Times New Roman"/>
          <w:b/>
          <w:iCs/>
        </w:rPr>
        <w:t>Table</w:t>
      </w:r>
      <w:r w:rsidRPr="006E2AB2">
        <w:rPr>
          <w:rFonts w:ascii="Times New Roman" w:eastAsia="Calibri" w:hAnsi="Times New Roman" w:cs="Times New Roman"/>
          <w:iCs/>
        </w:rPr>
        <w:t xml:space="preserve"> </w:t>
      </w:r>
      <w:r w:rsidRPr="006E2AB2">
        <w:rPr>
          <w:rFonts w:ascii="Times New Roman" w:eastAsia="Calibri" w:hAnsi="Times New Roman" w:cs="Times New Roman"/>
          <w:b/>
          <w:bCs/>
          <w:iCs/>
        </w:rPr>
        <w:t>5</w:t>
      </w:r>
      <w:r w:rsidRPr="006E2AB2">
        <w:rPr>
          <w:rFonts w:ascii="Times New Roman" w:eastAsia="Calibri" w:hAnsi="Times New Roman" w:cs="Times New Roman"/>
          <w:iCs/>
        </w:rPr>
        <w:t xml:space="preserve">: </w:t>
      </w:r>
      <w:r>
        <w:rPr>
          <w:rFonts w:ascii="Times New Roman" w:eastAsia="Calibri" w:hAnsi="Times New Roman" w:cs="Times New Roman"/>
          <w:iCs/>
        </w:rPr>
        <w:t>Summary of association</w:t>
      </w:r>
      <w:r w:rsidRPr="006E2AB2">
        <w:rPr>
          <w:rFonts w:ascii="Times New Roman" w:eastAsia="Calibri" w:hAnsi="Times New Roman" w:cs="Times New Roman"/>
          <w:iCs/>
        </w:rPr>
        <w:t xml:space="preserve"> of </w:t>
      </w:r>
      <w:r>
        <w:rPr>
          <w:rFonts w:ascii="Times New Roman" w:eastAsia="Calibri" w:hAnsi="Times New Roman" w:cs="Times New Roman"/>
          <w:iCs/>
        </w:rPr>
        <w:t xml:space="preserve">adherence to </w:t>
      </w:r>
      <w:r w:rsidRPr="006E2AB2">
        <w:rPr>
          <w:rFonts w:ascii="Times New Roman" w:eastAsia="Calibri" w:hAnsi="Times New Roman" w:cs="Times New Roman"/>
          <w:iCs/>
        </w:rPr>
        <w:t xml:space="preserve">individual PIRADSv2 </w:t>
      </w:r>
      <w:r>
        <w:rPr>
          <w:rFonts w:ascii="Times New Roman" w:eastAsia="Calibri" w:hAnsi="Times New Roman" w:cs="Times New Roman"/>
          <w:iCs/>
        </w:rPr>
        <w:t xml:space="preserve">Minimum </w:t>
      </w:r>
      <w:r w:rsidRPr="006E2AB2">
        <w:rPr>
          <w:rFonts w:ascii="Times New Roman" w:eastAsia="Calibri" w:hAnsi="Times New Roman" w:cs="Times New Roman"/>
          <w:iCs/>
        </w:rPr>
        <w:t>Technical Standards</w:t>
      </w:r>
      <w:r>
        <w:rPr>
          <w:rFonts w:ascii="Times New Roman" w:eastAsia="Calibri" w:hAnsi="Times New Roman" w:cs="Times New Roman"/>
          <w:iCs/>
        </w:rPr>
        <w:t xml:space="preserve"> </w:t>
      </w:r>
      <w:r w:rsidRPr="006E2AB2">
        <w:rPr>
          <w:rFonts w:ascii="Times New Roman" w:eastAsia="Calibri" w:hAnsi="Times New Roman" w:cs="Times New Roman"/>
          <w:iCs/>
        </w:rPr>
        <w:t xml:space="preserve">and phase encoding direction </w:t>
      </w:r>
      <w:r>
        <w:rPr>
          <w:rFonts w:ascii="Times New Roman" w:eastAsia="Calibri" w:hAnsi="Times New Roman" w:cs="Times New Roman"/>
          <w:iCs/>
        </w:rPr>
        <w:t>with</w:t>
      </w:r>
      <w:r w:rsidRPr="006E2AB2">
        <w:rPr>
          <w:rFonts w:ascii="Times New Roman" w:eastAsia="Calibri" w:hAnsi="Times New Roman" w:cs="Times New Roman"/>
          <w:iCs/>
        </w:rPr>
        <w:t xml:space="preserve"> diagnostic adequacy, quality and distortion </w:t>
      </w:r>
      <w:r>
        <w:rPr>
          <w:rFonts w:ascii="Times New Roman" w:eastAsia="Calibri" w:hAnsi="Times New Roman" w:cs="Times New Roman"/>
          <w:iCs/>
        </w:rPr>
        <w:t>in</w:t>
      </w:r>
      <w:r w:rsidRPr="006E2AB2">
        <w:rPr>
          <w:rFonts w:ascii="Times New Roman" w:eastAsia="Calibri" w:hAnsi="Times New Roman" w:cs="Times New Roman"/>
          <w:iCs/>
        </w:rPr>
        <w:t xml:space="preserve"> prostate MRI</w:t>
      </w:r>
      <w:r>
        <w:rPr>
          <w:rFonts w:ascii="Times New Roman" w:eastAsia="Calibri" w:hAnsi="Times New Roman" w:cs="Times New Roman"/>
          <w:iCs/>
        </w:rPr>
        <w:t xml:space="preserve"> as measured by the Chi-square and Wilcoxon Rank Sum tests for association.</w:t>
      </w:r>
    </w:p>
    <w:p w14:paraId="253FD5E9" w14:textId="77777777" w:rsidR="002939D3" w:rsidRPr="006E2AB2" w:rsidRDefault="002939D3" w:rsidP="002939D3">
      <w:pPr>
        <w:spacing w:after="0" w:line="240" w:lineRule="auto"/>
        <w:rPr>
          <w:rFonts w:ascii="Calibri" w:eastAsia="Calibri" w:hAnsi="Calibri" w:cs="Times New Roman"/>
        </w:rPr>
      </w:pPr>
      <w:r w:rsidRPr="006E2AB2">
        <w:rPr>
          <w:rFonts w:ascii="Calibri" w:eastAsia="Calibri" w:hAnsi="Calibri" w:cs="Times New Roman"/>
        </w:rPr>
        <w:br w:type="page"/>
      </w:r>
    </w:p>
    <w:p w14:paraId="1CFE07F7" w14:textId="77777777" w:rsidR="002939D3" w:rsidRPr="006E2AB2" w:rsidRDefault="002939D3" w:rsidP="002939D3">
      <w:pPr>
        <w:spacing w:after="0" w:line="240" w:lineRule="auto"/>
        <w:rPr>
          <w:rFonts w:ascii="Times New Roman" w:eastAsia="Calibri" w:hAnsi="Times New Roman" w:cs="Times New Roman"/>
          <w:b/>
          <w:i/>
        </w:rPr>
      </w:pPr>
    </w:p>
    <w:p w14:paraId="588461AD" w14:textId="77777777" w:rsidR="002939D3" w:rsidRPr="006E2AB2" w:rsidRDefault="002939D3" w:rsidP="002939D3">
      <w:pPr>
        <w:spacing w:after="0" w:line="240" w:lineRule="auto"/>
        <w:rPr>
          <w:rFonts w:ascii="Times New Roman" w:eastAsia="Calibri" w:hAnsi="Times New Roman" w:cs="Times New Roman"/>
          <w:b/>
          <w:iCs/>
        </w:rPr>
      </w:pPr>
    </w:p>
    <w:p w14:paraId="69A4069B" w14:textId="77777777" w:rsidR="002939D3" w:rsidRDefault="002939D3" w:rsidP="002939D3">
      <w:pPr>
        <w:spacing w:after="0" w:line="240" w:lineRule="auto"/>
        <w:rPr>
          <w:rFonts w:ascii="Times New Roman" w:hAnsi="Times New Roman" w:cs="Times New Roman"/>
          <w:noProof/>
        </w:rPr>
      </w:pPr>
    </w:p>
    <w:tbl>
      <w:tblPr>
        <w:tblpPr w:leftFromText="180" w:rightFromText="180" w:vertAnchor="text" w:horzAnchor="margin" w:tblpY="62"/>
        <w:tblW w:w="9674" w:type="dxa"/>
        <w:tblLook w:val="04A0" w:firstRow="1" w:lastRow="0" w:firstColumn="1" w:lastColumn="0" w:noHBand="0" w:noVBand="1"/>
      </w:tblPr>
      <w:tblGrid>
        <w:gridCol w:w="720"/>
        <w:gridCol w:w="506"/>
        <w:gridCol w:w="2351"/>
        <w:gridCol w:w="1516"/>
        <w:gridCol w:w="1396"/>
        <w:gridCol w:w="1516"/>
        <w:gridCol w:w="1677"/>
      </w:tblGrid>
      <w:tr w:rsidR="002939D3" w:rsidRPr="006E2AB2" w14:paraId="561CD04B" w14:textId="77777777" w:rsidTr="000915D9">
        <w:trPr>
          <w:trHeight w:val="316"/>
        </w:trPr>
        <w:tc>
          <w:tcPr>
            <w:tcW w:w="720" w:type="dxa"/>
            <w:tcBorders>
              <w:top w:val="single" w:sz="18" w:space="0" w:color="000000"/>
              <w:left w:val="nil"/>
              <w:bottom w:val="nil"/>
              <w:right w:val="nil"/>
            </w:tcBorders>
            <w:shd w:val="clear" w:color="000000" w:fill="E7E6E6"/>
            <w:noWrap/>
            <w:vAlign w:val="bottom"/>
            <w:hideMark/>
          </w:tcPr>
          <w:p w14:paraId="549E6391"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 </w:t>
            </w:r>
          </w:p>
        </w:tc>
        <w:tc>
          <w:tcPr>
            <w:tcW w:w="498" w:type="dxa"/>
            <w:tcBorders>
              <w:top w:val="single" w:sz="18" w:space="0" w:color="000000"/>
              <w:left w:val="nil"/>
              <w:bottom w:val="nil"/>
              <w:right w:val="nil"/>
            </w:tcBorders>
            <w:shd w:val="clear" w:color="000000" w:fill="E7E6E6"/>
            <w:noWrap/>
            <w:vAlign w:val="bottom"/>
            <w:hideMark/>
          </w:tcPr>
          <w:p w14:paraId="5B5E83CC"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 </w:t>
            </w:r>
          </w:p>
        </w:tc>
        <w:tc>
          <w:tcPr>
            <w:tcW w:w="2351" w:type="dxa"/>
            <w:tcBorders>
              <w:top w:val="single" w:sz="18" w:space="0" w:color="000000"/>
              <w:left w:val="nil"/>
              <w:bottom w:val="nil"/>
            </w:tcBorders>
            <w:shd w:val="clear" w:color="000000" w:fill="E7E6E6"/>
            <w:noWrap/>
            <w:vAlign w:val="bottom"/>
            <w:hideMark/>
          </w:tcPr>
          <w:p w14:paraId="53F305F2"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 </w:t>
            </w:r>
          </w:p>
        </w:tc>
        <w:tc>
          <w:tcPr>
            <w:tcW w:w="6105" w:type="dxa"/>
            <w:gridSpan w:val="4"/>
            <w:tcBorders>
              <w:top w:val="single" w:sz="18" w:space="0" w:color="000000"/>
              <w:left w:val="nil"/>
              <w:bottom w:val="nil"/>
              <w:right w:val="nil"/>
            </w:tcBorders>
            <w:shd w:val="clear" w:color="000000" w:fill="E7E6E6"/>
            <w:noWrap/>
            <w:vAlign w:val="center"/>
            <w:hideMark/>
          </w:tcPr>
          <w:p w14:paraId="2D37F0C7"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Perceived Artifact</w:t>
            </w:r>
          </w:p>
        </w:tc>
      </w:tr>
      <w:tr w:rsidR="002939D3" w:rsidRPr="006E2AB2" w14:paraId="0C6A11C1" w14:textId="77777777" w:rsidTr="000915D9">
        <w:trPr>
          <w:trHeight w:val="316"/>
        </w:trPr>
        <w:tc>
          <w:tcPr>
            <w:tcW w:w="720" w:type="dxa"/>
            <w:tcBorders>
              <w:top w:val="nil"/>
              <w:left w:val="nil"/>
              <w:bottom w:val="single" w:sz="8" w:space="0" w:color="000000"/>
              <w:right w:val="nil"/>
            </w:tcBorders>
            <w:shd w:val="clear" w:color="000000" w:fill="E7E6E6"/>
            <w:noWrap/>
            <w:vAlign w:val="bottom"/>
            <w:hideMark/>
          </w:tcPr>
          <w:p w14:paraId="2A6FAA75"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 </w:t>
            </w:r>
          </w:p>
        </w:tc>
        <w:tc>
          <w:tcPr>
            <w:tcW w:w="498" w:type="dxa"/>
            <w:tcBorders>
              <w:top w:val="nil"/>
              <w:left w:val="nil"/>
              <w:bottom w:val="single" w:sz="8" w:space="0" w:color="000000"/>
              <w:right w:val="nil"/>
            </w:tcBorders>
            <w:shd w:val="clear" w:color="000000" w:fill="E7E6E6"/>
            <w:noWrap/>
            <w:vAlign w:val="bottom"/>
            <w:hideMark/>
          </w:tcPr>
          <w:p w14:paraId="18EB22D9" w14:textId="77777777" w:rsidR="002939D3" w:rsidRPr="006E2AB2" w:rsidRDefault="002939D3" w:rsidP="000915D9">
            <w:pPr>
              <w:spacing w:after="0" w:line="240" w:lineRule="auto"/>
              <w:rPr>
                <w:rFonts w:ascii="Times New Roman" w:eastAsia="Times New Roman" w:hAnsi="Times New Roman" w:cs="Times New Roman"/>
                <w:color w:val="000000"/>
              </w:rPr>
            </w:pPr>
            <w:r w:rsidRPr="006E2AB2">
              <w:rPr>
                <w:rFonts w:ascii="Times New Roman" w:eastAsia="Times New Roman" w:hAnsi="Times New Roman" w:cs="Times New Roman"/>
                <w:color w:val="000000"/>
              </w:rPr>
              <w:t> </w:t>
            </w:r>
          </w:p>
        </w:tc>
        <w:tc>
          <w:tcPr>
            <w:tcW w:w="2351" w:type="dxa"/>
            <w:tcBorders>
              <w:top w:val="nil"/>
              <w:left w:val="nil"/>
              <w:bottom w:val="single" w:sz="8" w:space="0" w:color="000000"/>
            </w:tcBorders>
            <w:shd w:val="clear" w:color="000000" w:fill="E7E6E6"/>
            <w:noWrap/>
            <w:vAlign w:val="bottom"/>
            <w:hideMark/>
          </w:tcPr>
          <w:p w14:paraId="0FA4983B" w14:textId="77777777" w:rsidR="002939D3" w:rsidRPr="006E2AB2" w:rsidRDefault="002939D3" w:rsidP="000915D9">
            <w:pPr>
              <w:spacing w:after="0" w:line="240" w:lineRule="auto"/>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tau-b (SE)</w:t>
            </w:r>
          </w:p>
        </w:tc>
        <w:tc>
          <w:tcPr>
            <w:tcW w:w="1516" w:type="dxa"/>
            <w:tcBorders>
              <w:top w:val="nil"/>
              <w:left w:val="nil"/>
              <w:bottom w:val="single" w:sz="8" w:space="0" w:color="000000"/>
              <w:right w:val="nil"/>
            </w:tcBorders>
            <w:shd w:val="clear" w:color="000000" w:fill="E7E6E6"/>
            <w:vAlign w:val="bottom"/>
            <w:hideMark/>
          </w:tcPr>
          <w:p w14:paraId="3870C828"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Noise</w:t>
            </w:r>
          </w:p>
        </w:tc>
        <w:tc>
          <w:tcPr>
            <w:tcW w:w="1396" w:type="dxa"/>
            <w:tcBorders>
              <w:top w:val="nil"/>
              <w:left w:val="nil"/>
              <w:bottom w:val="single" w:sz="8" w:space="0" w:color="000000"/>
              <w:right w:val="nil"/>
            </w:tcBorders>
            <w:shd w:val="clear" w:color="000000" w:fill="E7E6E6"/>
            <w:vAlign w:val="bottom"/>
            <w:hideMark/>
          </w:tcPr>
          <w:p w14:paraId="59BB6D43"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Motion</w:t>
            </w:r>
          </w:p>
        </w:tc>
        <w:tc>
          <w:tcPr>
            <w:tcW w:w="1516" w:type="dxa"/>
            <w:tcBorders>
              <w:top w:val="nil"/>
              <w:left w:val="nil"/>
              <w:bottom w:val="single" w:sz="8" w:space="0" w:color="000000"/>
              <w:right w:val="nil"/>
            </w:tcBorders>
            <w:shd w:val="clear" w:color="000000" w:fill="E7E6E6"/>
            <w:vAlign w:val="bottom"/>
            <w:hideMark/>
          </w:tcPr>
          <w:p w14:paraId="065B8F2A"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Distortion</w:t>
            </w:r>
          </w:p>
        </w:tc>
        <w:tc>
          <w:tcPr>
            <w:tcW w:w="1677" w:type="dxa"/>
            <w:tcBorders>
              <w:top w:val="nil"/>
              <w:left w:val="nil"/>
              <w:bottom w:val="single" w:sz="8" w:space="0" w:color="000000"/>
              <w:right w:val="nil"/>
            </w:tcBorders>
            <w:shd w:val="clear" w:color="000000" w:fill="E7E6E6"/>
            <w:vAlign w:val="bottom"/>
            <w:hideMark/>
          </w:tcPr>
          <w:p w14:paraId="01900059"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Aliasing</w:t>
            </w:r>
          </w:p>
        </w:tc>
      </w:tr>
      <w:tr w:rsidR="002939D3" w:rsidRPr="006E2AB2" w14:paraId="36941757" w14:textId="77777777" w:rsidTr="000915D9">
        <w:trPr>
          <w:trHeight w:val="364"/>
        </w:trPr>
        <w:tc>
          <w:tcPr>
            <w:tcW w:w="720" w:type="dxa"/>
            <w:vMerge w:val="restart"/>
            <w:tcBorders>
              <w:top w:val="single" w:sz="8" w:space="0" w:color="000000"/>
              <w:left w:val="nil"/>
              <w:bottom w:val="nil"/>
              <w:right w:val="nil"/>
            </w:tcBorders>
            <w:shd w:val="clear" w:color="000000" w:fill="E7E6E6"/>
            <w:noWrap/>
            <w:textDirection w:val="btLr"/>
            <w:vAlign w:val="center"/>
            <w:hideMark/>
          </w:tcPr>
          <w:p w14:paraId="5C37CE2A"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Visual Characteristics</w:t>
            </w:r>
          </w:p>
        </w:tc>
        <w:tc>
          <w:tcPr>
            <w:tcW w:w="498" w:type="dxa"/>
            <w:vMerge w:val="restart"/>
            <w:tcBorders>
              <w:top w:val="single" w:sz="8" w:space="0" w:color="000000"/>
              <w:left w:val="nil"/>
              <w:right w:val="nil"/>
            </w:tcBorders>
            <w:shd w:val="clear" w:color="000000" w:fill="E7E6E6"/>
            <w:noWrap/>
            <w:textDirection w:val="btLr"/>
            <w:vAlign w:val="center"/>
            <w:hideMark/>
          </w:tcPr>
          <w:p w14:paraId="63ECF750"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T2</w:t>
            </w:r>
          </w:p>
        </w:tc>
        <w:tc>
          <w:tcPr>
            <w:tcW w:w="2351" w:type="dxa"/>
            <w:tcBorders>
              <w:top w:val="single" w:sz="8" w:space="0" w:color="000000"/>
              <w:left w:val="nil"/>
              <w:bottom w:val="nil"/>
              <w:right w:val="single" w:sz="4" w:space="0" w:color="auto"/>
            </w:tcBorders>
            <w:shd w:val="clear" w:color="000000" w:fill="E7E6E6"/>
            <w:noWrap/>
            <w:vAlign w:val="center"/>
            <w:hideMark/>
          </w:tcPr>
          <w:p w14:paraId="14D89653"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Quality</w:t>
            </w:r>
          </w:p>
        </w:tc>
        <w:tc>
          <w:tcPr>
            <w:tcW w:w="1516" w:type="dxa"/>
            <w:tcBorders>
              <w:top w:val="single" w:sz="8" w:space="0" w:color="000000"/>
              <w:left w:val="nil"/>
              <w:bottom w:val="nil"/>
              <w:right w:val="single" w:sz="4" w:space="0" w:color="auto"/>
            </w:tcBorders>
            <w:shd w:val="clear" w:color="auto" w:fill="auto"/>
            <w:noWrap/>
            <w:vAlign w:val="center"/>
            <w:hideMark/>
          </w:tcPr>
          <w:p w14:paraId="540BB4F5"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0.58* (0.09)</w:t>
            </w:r>
          </w:p>
        </w:tc>
        <w:tc>
          <w:tcPr>
            <w:tcW w:w="1396" w:type="dxa"/>
            <w:tcBorders>
              <w:top w:val="single" w:sz="8" w:space="0" w:color="000000"/>
              <w:left w:val="nil"/>
              <w:bottom w:val="nil"/>
              <w:right w:val="single" w:sz="4" w:space="0" w:color="auto"/>
            </w:tcBorders>
            <w:shd w:val="clear" w:color="auto" w:fill="auto"/>
            <w:noWrap/>
            <w:vAlign w:val="center"/>
            <w:hideMark/>
          </w:tcPr>
          <w:p w14:paraId="602A0DCB"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0.38 (0.07)</w:t>
            </w:r>
          </w:p>
        </w:tc>
        <w:tc>
          <w:tcPr>
            <w:tcW w:w="1516" w:type="dxa"/>
            <w:tcBorders>
              <w:top w:val="single" w:sz="8" w:space="0" w:color="000000"/>
              <w:left w:val="nil"/>
              <w:bottom w:val="nil"/>
              <w:right w:val="single" w:sz="4" w:space="0" w:color="auto"/>
            </w:tcBorders>
            <w:shd w:val="clear" w:color="auto" w:fill="auto"/>
            <w:noWrap/>
            <w:vAlign w:val="center"/>
            <w:hideMark/>
          </w:tcPr>
          <w:p w14:paraId="48600913"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0.31 (0.07)</w:t>
            </w:r>
          </w:p>
        </w:tc>
        <w:tc>
          <w:tcPr>
            <w:tcW w:w="1677" w:type="dxa"/>
            <w:tcBorders>
              <w:top w:val="single" w:sz="8" w:space="0" w:color="000000"/>
              <w:left w:val="nil"/>
              <w:bottom w:val="nil"/>
              <w:right w:val="single" w:sz="4" w:space="0" w:color="auto"/>
            </w:tcBorders>
            <w:shd w:val="clear" w:color="auto" w:fill="auto"/>
            <w:noWrap/>
            <w:vAlign w:val="center"/>
            <w:hideMark/>
          </w:tcPr>
          <w:p w14:paraId="2749000F"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0.30 (0.07)</w:t>
            </w:r>
          </w:p>
        </w:tc>
      </w:tr>
      <w:tr w:rsidR="002939D3" w:rsidRPr="006E2AB2" w14:paraId="7DCFC537" w14:textId="77777777" w:rsidTr="000915D9">
        <w:trPr>
          <w:trHeight w:val="364"/>
        </w:trPr>
        <w:tc>
          <w:tcPr>
            <w:tcW w:w="720" w:type="dxa"/>
            <w:vMerge/>
            <w:tcBorders>
              <w:top w:val="nil"/>
              <w:left w:val="nil"/>
              <w:bottom w:val="nil"/>
              <w:right w:val="nil"/>
            </w:tcBorders>
            <w:vAlign w:val="center"/>
            <w:hideMark/>
          </w:tcPr>
          <w:p w14:paraId="6A5040EA"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498" w:type="dxa"/>
            <w:vMerge/>
            <w:tcBorders>
              <w:left w:val="nil"/>
              <w:right w:val="nil"/>
            </w:tcBorders>
            <w:vAlign w:val="center"/>
            <w:hideMark/>
          </w:tcPr>
          <w:p w14:paraId="23D748D2"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2351" w:type="dxa"/>
            <w:tcBorders>
              <w:top w:val="nil"/>
              <w:left w:val="nil"/>
              <w:right w:val="single" w:sz="4" w:space="0" w:color="auto"/>
            </w:tcBorders>
            <w:shd w:val="clear" w:color="000000" w:fill="E7E6E6"/>
            <w:noWrap/>
            <w:vAlign w:val="center"/>
            <w:hideMark/>
          </w:tcPr>
          <w:p w14:paraId="151164C7"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Blurriness</w:t>
            </w:r>
          </w:p>
        </w:tc>
        <w:tc>
          <w:tcPr>
            <w:tcW w:w="1516" w:type="dxa"/>
            <w:tcBorders>
              <w:top w:val="nil"/>
              <w:left w:val="nil"/>
              <w:right w:val="single" w:sz="4" w:space="0" w:color="auto"/>
            </w:tcBorders>
            <w:shd w:val="clear" w:color="auto" w:fill="auto"/>
            <w:noWrap/>
            <w:vAlign w:val="center"/>
            <w:hideMark/>
          </w:tcPr>
          <w:p w14:paraId="5753DA84"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0.58 (0.09)</w:t>
            </w:r>
          </w:p>
        </w:tc>
        <w:tc>
          <w:tcPr>
            <w:tcW w:w="1396" w:type="dxa"/>
            <w:tcBorders>
              <w:top w:val="nil"/>
              <w:left w:val="nil"/>
              <w:right w:val="single" w:sz="4" w:space="0" w:color="auto"/>
            </w:tcBorders>
            <w:shd w:val="clear" w:color="auto" w:fill="auto"/>
            <w:noWrap/>
            <w:vAlign w:val="center"/>
            <w:hideMark/>
          </w:tcPr>
          <w:p w14:paraId="46F2EAF2"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0.34 (0.07)</w:t>
            </w:r>
          </w:p>
        </w:tc>
        <w:tc>
          <w:tcPr>
            <w:tcW w:w="1516" w:type="dxa"/>
            <w:tcBorders>
              <w:top w:val="nil"/>
              <w:left w:val="nil"/>
              <w:right w:val="single" w:sz="4" w:space="0" w:color="auto"/>
            </w:tcBorders>
            <w:shd w:val="clear" w:color="auto" w:fill="auto"/>
            <w:noWrap/>
            <w:vAlign w:val="center"/>
            <w:hideMark/>
          </w:tcPr>
          <w:p w14:paraId="702C1C74"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0.25 (0.07)</w:t>
            </w:r>
          </w:p>
        </w:tc>
        <w:tc>
          <w:tcPr>
            <w:tcW w:w="1677" w:type="dxa"/>
            <w:tcBorders>
              <w:top w:val="nil"/>
              <w:left w:val="nil"/>
              <w:right w:val="single" w:sz="4" w:space="0" w:color="auto"/>
            </w:tcBorders>
            <w:shd w:val="clear" w:color="auto" w:fill="auto"/>
            <w:noWrap/>
            <w:vAlign w:val="center"/>
            <w:hideMark/>
          </w:tcPr>
          <w:p w14:paraId="674C8679"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0.24 (0.06)</w:t>
            </w:r>
          </w:p>
        </w:tc>
      </w:tr>
      <w:tr w:rsidR="002939D3" w:rsidRPr="006E2AB2" w14:paraId="55A537BA" w14:textId="77777777" w:rsidTr="000915D9">
        <w:trPr>
          <w:trHeight w:val="364"/>
        </w:trPr>
        <w:tc>
          <w:tcPr>
            <w:tcW w:w="720" w:type="dxa"/>
            <w:vMerge/>
            <w:tcBorders>
              <w:top w:val="nil"/>
              <w:left w:val="nil"/>
              <w:bottom w:val="nil"/>
              <w:right w:val="nil"/>
            </w:tcBorders>
            <w:vAlign w:val="center"/>
            <w:hideMark/>
          </w:tcPr>
          <w:p w14:paraId="26CDD973"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498" w:type="dxa"/>
            <w:vMerge/>
            <w:tcBorders>
              <w:left w:val="nil"/>
              <w:right w:val="nil"/>
            </w:tcBorders>
            <w:vAlign w:val="center"/>
            <w:hideMark/>
          </w:tcPr>
          <w:p w14:paraId="421BDE07"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2351" w:type="dxa"/>
            <w:tcBorders>
              <w:top w:val="nil"/>
              <w:left w:val="nil"/>
              <w:right w:val="single" w:sz="4" w:space="0" w:color="auto"/>
            </w:tcBorders>
            <w:shd w:val="clear" w:color="000000" w:fill="E7E6E6"/>
            <w:noWrap/>
            <w:vAlign w:val="center"/>
            <w:hideMark/>
          </w:tcPr>
          <w:p w14:paraId="422196CC"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Contrast</w:t>
            </w:r>
          </w:p>
        </w:tc>
        <w:tc>
          <w:tcPr>
            <w:tcW w:w="1516" w:type="dxa"/>
            <w:tcBorders>
              <w:top w:val="nil"/>
              <w:left w:val="nil"/>
              <w:right w:val="single" w:sz="4" w:space="0" w:color="auto"/>
            </w:tcBorders>
            <w:shd w:val="clear" w:color="auto" w:fill="auto"/>
            <w:noWrap/>
            <w:vAlign w:val="center"/>
            <w:hideMark/>
          </w:tcPr>
          <w:p w14:paraId="1DA2EB4D"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0.57 (0.09)</w:t>
            </w:r>
          </w:p>
        </w:tc>
        <w:tc>
          <w:tcPr>
            <w:tcW w:w="1396" w:type="dxa"/>
            <w:tcBorders>
              <w:top w:val="nil"/>
              <w:left w:val="nil"/>
              <w:right w:val="single" w:sz="4" w:space="0" w:color="auto"/>
            </w:tcBorders>
            <w:shd w:val="clear" w:color="auto" w:fill="auto"/>
            <w:noWrap/>
            <w:vAlign w:val="center"/>
            <w:hideMark/>
          </w:tcPr>
          <w:p w14:paraId="0E299EA0"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0.30 (0.07)</w:t>
            </w:r>
          </w:p>
        </w:tc>
        <w:tc>
          <w:tcPr>
            <w:tcW w:w="1516" w:type="dxa"/>
            <w:tcBorders>
              <w:top w:val="nil"/>
              <w:left w:val="nil"/>
              <w:right w:val="single" w:sz="4" w:space="0" w:color="auto"/>
            </w:tcBorders>
            <w:shd w:val="clear" w:color="auto" w:fill="auto"/>
            <w:noWrap/>
            <w:vAlign w:val="center"/>
            <w:hideMark/>
          </w:tcPr>
          <w:p w14:paraId="6DB715B2"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0.26 (0.07)</w:t>
            </w:r>
          </w:p>
        </w:tc>
        <w:tc>
          <w:tcPr>
            <w:tcW w:w="1677" w:type="dxa"/>
            <w:tcBorders>
              <w:top w:val="nil"/>
              <w:left w:val="nil"/>
              <w:right w:val="single" w:sz="4" w:space="0" w:color="auto"/>
            </w:tcBorders>
            <w:shd w:val="clear" w:color="auto" w:fill="auto"/>
            <w:noWrap/>
            <w:vAlign w:val="center"/>
            <w:hideMark/>
          </w:tcPr>
          <w:p w14:paraId="23C84900"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0.25 (0.06)</w:t>
            </w:r>
          </w:p>
        </w:tc>
      </w:tr>
      <w:tr w:rsidR="002939D3" w:rsidRPr="006E2AB2" w14:paraId="27633F2D" w14:textId="77777777" w:rsidTr="000915D9">
        <w:trPr>
          <w:trHeight w:val="364"/>
        </w:trPr>
        <w:tc>
          <w:tcPr>
            <w:tcW w:w="720" w:type="dxa"/>
            <w:vMerge/>
            <w:tcBorders>
              <w:top w:val="nil"/>
              <w:left w:val="nil"/>
              <w:bottom w:val="nil"/>
              <w:right w:val="nil"/>
            </w:tcBorders>
            <w:vAlign w:val="center"/>
          </w:tcPr>
          <w:p w14:paraId="3E57B349"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498" w:type="dxa"/>
            <w:vMerge/>
            <w:tcBorders>
              <w:left w:val="nil"/>
              <w:bottom w:val="single" w:sz="4" w:space="0" w:color="000000"/>
              <w:right w:val="nil"/>
            </w:tcBorders>
            <w:vAlign w:val="center"/>
          </w:tcPr>
          <w:p w14:paraId="4585D3C2"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2351" w:type="dxa"/>
            <w:tcBorders>
              <w:left w:val="nil"/>
              <w:bottom w:val="single" w:sz="4" w:space="0" w:color="auto"/>
              <w:right w:val="single" w:sz="4" w:space="0" w:color="auto"/>
            </w:tcBorders>
            <w:shd w:val="clear" w:color="000000" w:fill="E7E6E6"/>
            <w:noWrap/>
            <w:vAlign w:val="center"/>
          </w:tcPr>
          <w:p w14:paraId="3A1983F5"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 Reader Scores &lt; 3</w:t>
            </w:r>
          </w:p>
        </w:tc>
        <w:tc>
          <w:tcPr>
            <w:tcW w:w="1516" w:type="dxa"/>
            <w:tcBorders>
              <w:left w:val="nil"/>
              <w:bottom w:val="single" w:sz="4" w:space="0" w:color="auto"/>
              <w:right w:val="single" w:sz="4" w:space="0" w:color="auto"/>
            </w:tcBorders>
            <w:shd w:val="clear" w:color="auto" w:fill="auto"/>
            <w:noWrap/>
            <w:vAlign w:val="center"/>
          </w:tcPr>
          <w:p w14:paraId="7FE8169B"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Times New Roman" w:hAnsi="Times New Roman" w:cs="Times New Roman"/>
                <w:color w:val="000000" w:themeColor="text1"/>
              </w:rPr>
              <w:t>19%</w:t>
            </w:r>
          </w:p>
        </w:tc>
        <w:tc>
          <w:tcPr>
            <w:tcW w:w="1396" w:type="dxa"/>
            <w:tcBorders>
              <w:left w:val="nil"/>
              <w:bottom w:val="single" w:sz="4" w:space="0" w:color="auto"/>
              <w:right w:val="single" w:sz="4" w:space="0" w:color="auto"/>
            </w:tcBorders>
            <w:shd w:val="clear" w:color="auto" w:fill="auto"/>
            <w:noWrap/>
            <w:vAlign w:val="center"/>
          </w:tcPr>
          <w:p w14:paraId="05B838E4"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13%</w:t>
            </w:r>
          </w:p>
        </w:tc>
        <w:tc>
          <w:tcPr>
            <w:tcW w:w="1516" w:type="dxa"/>
            <w:tcBorders>
              <w:left w:val="nil"/>
              <w:bottom w:val="single" w:sz="4" w:space="0" w:color="auto"/>
              <w:right w:val="single" w:sz="4" w:space="0" w:color="auto"/>
            </w:tcBorders>
            <w:shd w:val="clear" w:color="auto" w:fill="auto"/>
            <w:noWrap/>
            <w:vAlign w:val="center"/>
          </w:tcPr>
          <w:p w14:paraId="076B2A9E"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6%</w:t>
            </w:r>
          </w:p>
        </w:tc>
        <w:tc>
          <w:tcPr>
            <w:tcW w:w="1677" w:type="dxa"/>
            <w:tcBorders>
              <w:left w:val="nil"/>
              <w:bottom w:val="single" w:sz="4" w:space="0" w:color="auto"/>
              <w:right w:val="single" w:sz="4" w:space="0" w:color="auto"/>
            </w:tcBorders>
            <w:shd w:val="clear" w:color="auto" w:fill="auto"/>
            <w:noWrap/>
            <w:vAlign w:val="center"/>
          </w:tcPr>
          <w:p w14:paraId="354EB42F"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t>8%</w:t>
            </w:r>
          </w:p>
        </w:tc>
      </w:tr>
      <w:tr w:rsidR="002939D3" w:rsidRPr="006E2AB2" w14:paraId="49313DBE" w14:textId="77777777" w:rsidTr="000915D9">
        <w:trPr>
          <w:trHeight w:val="364"/>
        </w:trPr>
        <w:tc>
          <w:tcPr>
            <w:tcW w:w="720" w:type="dxa"/>
            <w:vMerge/>
            <w:tcBorders>
              <w:top w:val="nil"/>
              <w:left w:val="nil"/>
              <w:bottom w:val="nil"/>
              <w:right w:val="nil"/>
            </w:tcBorders>
            <w:vAlign w:val="center"/>
            <w:hideMark/>
          </w:tcPr>
          <w:p w14:paraId="257B5B7E"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498" w:type="dxa"/>
            <w:vMerge w:val="restart"/>
            <w:tcBorders>
              <w:top w:val="nil"/>
              <w:left w:val="nil"/>
              <w:right w:val="nil"/>
            </w:tcBorders>
            <w:shd w:val="clear" w:color="000000" w:fill="E7E6E6"/>
            <w:noWrap/>
            <w:textDirection w:val="btLr"/>
            <w:vAlign w:val="center"/>
            <w:hideMark/>
          </w:tcPr>
          <w:p w14:paraId="0871C8D1" w14:textId="77777777" w:rsidR="002939D3" w:rsidRPr="006E2AB2" w:rsidRDefault="002939D3" w:rsidP="000915D9">
            <w:pPr>
              <w:spacing w:after="0" w:line="240" w:lineRule="auto"/>
              <w:jc w:val="center"/>
              <w:rPr>
                <w:rFonts w:ascii="Times New Roman" w:eastAsia="Times New Roman" w:hAnsi="Times New Roman" w:cs="Times New Roman"/>
                <w:b/>
                <w:bCs/>
                <w:color w:val="000000"/>
              </w:rPr>
            </w:pPr>
            <w:r w:rsidRPr="006E2AB2">
              <w:rPr>
                <w:rFonts w:ascii="Times New Roman" w:eastAsia="Times New Roman" w:hAnsi="Times New Roman" w:cs="Times New Roman"/>
                <w:b/>
                <w:bCs/>
                <w:color w:val="000000"/>
              </w:rPr>
              <w:t>DWI</w:t>
            </w:r>
          </w:p>
        </w:tc>
        <w:tc>
          <w:tcPr>
            <w:tcW w:w="2351" w:type="dxa"/>
            <w:tcBorders>
              <w:top w:val="nil"/>
              <w:left w:val="nil"/>
              <w:bottom w:val="nil"/>
              <w:right w:val="single" w:sz="4" w:space="0" w:color="auto"/>
            </w:tcBorders>
            <w:shd w:val="clear" w:color="000000" w:fill="E7E6E6"/>
            <w:noWrap/>
            <w:vAlign w:val="center"/>
            <w:hideMark/>
          </w:tcPr>
          <w:p w14:paraId="1031BDD0"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Quality</w:t>
            </w:r>
          </w:p>
        </w:tc>
        <w:tc>
          <w:tcPr>
            <w:tcW w:w="1516" w:type="dxa"/>
            <w:tcBorders>
              <w:top w:val="nil"/>
              <w:left w:val="nil"/>
              <w:bottom w:val="nil"/>
              <w:right w:val="single" w:sz="4" w:space="0" w:color="auto"/>
            </w:tcBorders>
            <w:shd w:val="clear" w:color="auto" w:fill="auto"/>
            <w:noWrap/>
            <w:vAlign w:val="center"/>
            <w:hideMark/>
          </w:tcPr>
          <w:p w14:paraId="5F4B9DC4"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0.61* (0.09)</w:t>
            </w:r>
          </w:p>
        </w:tc>
        <w:tc>
          <w:tcPr>
            <w:tcW w:w="1396" w:type="dxa"/>
            <w:tcBorders>
              <w:top w:val="nil"/>
              <w:left w:val="nil"/>
              <w:bottom w:val="nil"/>
              <w:right w:val="single" w:sz="4" w:space="0" w:color="auto"/>
            </w:tcBorders>
            <w:shd w:val="clear" w:color="auto" w:fill="auto"/>
            <w:noWrap/>
            <w:vAlign w:val="center"/>
            <w:hideMark/>
          </w:tcPr>
          <w:p w14:paraId="72F053CC"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0.31 (0.06)</w:t>
            </w:r>
          </w:p>
        </w:tc>
        <w:tc>
          <w:tcPr>
            <w:tcW w:w="1516" w:type="dxa"/>
            <w:tcBorders>
              <w:top w:val="nil"/>
              <w:left w:val="nil"/>
              <w:bottom w:val="nil"/>
              <w:right w:val="single" w:sz="4" w:space="0" w:color="auto"/>
            </w:tcBorders>
            <w:shd w:val="clear" w:color="auto" w:fill="auto"/>
            <w:noWrap/>
            <w:vAlign w:val="center"/>
            <w:hideMark/>
          </w:tcPr>
          <w:p w14:paraId="08CBB305"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0.54* (0.09)</w:t>
            </w:r>
          </w:p>
        </w:tc>
        <w:tc>
          <w:tcPr>
            <w:tcW w:w="1677" w:type="dxa"/>
            <w:tcBorders>
              <w:top w:val="nil"/>
              <w:left w:val="nil"/>
              <w:bottom w:val="nil"/>
              <w:right w:val="single" w:sz="4" w:space="0" w:color="auto"/>
            </w:tcBorders>
            <w:shd w:val="clear" w:color="auto" w:fill="auto"/>
            <w:noWrap/>
            <w:vAlign w:val="center"/>
            <w:hideMark/>
          </w:tcPr>
          <w:p w14:paraId="099F8EAD"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0.40 (0.07)</w:t>
            </w:r>
          </w:p>
        </w:tc>
      </w:tr>
      <w:tr w:rsidR="002939D3" w:rsidRPr="006E2AB2" w14:paraId="4DBC8C10" w14:textId="77777777" w:rsidTr="000915D9">
        <w:trPr>
          <w:trHeight w:val="364"/>
        </w:trPr>
        <w:tc>
          <w:tcPr>
            <w:tcW w:w="720" w:type="dxa"/>
            <w:vMerge/>
            <w:tcBorders>
              <w:top w:val="nil"/>
              <w:left w:val="nil"/>
              <w:bottom w:val="nil"/>
              <w:right w:val="nil"/>
            </w:tcBorders>
            <w:vAlign w:val="center"/>
            <w:hideMark/>
          </w:tcPr>
          <w:p w14:paraId="011A7306"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498" w:type="dxa"/>
            <w:vMerge/>
            <w:tcBorders>
              <w:left w:val="nil"/>
              <w:right w:val="nil"/>
            </w:tcBorders>
            <w:vAlign w:val="center"/>
            <w:hideMark/>
          </w:tcPr>
          <w:p w14:paraId="6EBB6E37"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2351" w:type="dxa"/>
            <w:tcBorders>
              <w:top w:val="nil"/>
              <w:left w:val="nil"/>
              <w:bottom w:val="nil"/>
              <w:right w:val="single" w:sz="4" w:space="0" w:color="auto"/>
            </w:tcBorders>
            <w:shd w:val="clear" w:color="000000" w:fill="E7E6E6"/>
            <w:noWrap/>
            <w:vAlign w:val="center"/>
            <w:hideMark/>
          </w:tcPr>
          <w:p w14:paraId="2780274C"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Blurriness</w:t>
            </w:r>
          </w:p>
        </w:tc>
        <w:tc>
          <w:tcPr>
            <w:tcW w:w="1516" w:type="dxa"/>
            <w:tcBorders>
              <w:top w:val="nil"/>
              <w:left w:val="nil"/>
              <w:bottom w:val="nil"/>
              <w:right w:val="single" w:sz="4" w:space="0" w:color="auto"/>
            </w:tcBorders>
            <w:shd w:val="clear" w:color="auto" w:fill="auto"/>
            <w:noWrap/>
            <w:vAlign w:val="center"/>
            <w:hideMark/>
          </w:tcPr>
          <w:p w14:paraId="7A706273"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0.61 (0.09)</w:t>
            </w:r>
          </w:p>
        </w:tc>
        <w:tc>
          <w:tcPr>
            <w:tcW w:w="1396" w:type="dxa"/>
            <w:tcBorders>
              <w:top w:val="nil"/>
              <w:left w:val="nil"/>
              <w:bottom w:val="nil"/>
              <w:right w:val="single" w:sz="4" w:space="0" w:color="auto"/>
            </w:tcBorders>
            <w:shd w:val="clear" w:color="auto" w:fill="auto"/>
            <w:noWrap/>
            <w:vAlign w:val="center"/>
            <w:hideMark/>
          </w:tcPr>
          <w:p w14:paraId="447DDFCC"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0.29 (0.06)</w:t>
            </w:r>
          </w:p>
        </w:tc>
        <w:tc>
          <w:tcPr>
            <w:tcW w:w="1516" w:type="dxa"/>
            <w:tcBorders>
              <w:top w:val="nil"/>
              <w:left w:val="nil"/>
              <w:bottom w:val="nil"/>
              <w:right w:val="single" w:sz="4" w:space="0" w:color="auto"/>
            </w:tcBorders>
            <w:shd w:val="clear" w:color="auto" w:fill="auto"/>
            <w:noWrap/>
            <w:vAlign w:val="center"/>
            <w:hideMark/>
          </w:tcPr>
          <w:p w14:paraId="2BFF5EEA"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0.50 (0.08)</w:t>
            </w:r>
          </w:p>
        </w:tc>
        <w:tc>
          <w:tcPr>
            <w:tcW w:w="1677" w:type="dxa"/>
            <w:tcBorders>
              <w:top w:val="nil"/>
              <w:left w:val="nil"/>
              <w:bottom w:val="nil"/>
              <w:right w:val="single" w:sz="4" w:space="0" w:color="auto"/>
            </w:tcBorders>
            <w:shd w:val="clear" w:color="auto" w:fill="auto"/>
            <w:noWrap/>
            <w:vAlign w:val="center"/>
            <w:hideMark/>
          </w:tcPr>
          <w:p w14:paraId="7EE90D9F"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0.34 (0.06)</w:t>
            </w:r>
          </w:p>
        </w:tc>
      </w:tr>
      <w:tr w:rsidR="002939D3" w:rsidRPr="006E2AB2" w14:paraId="7A23BB1C" w14:textId="77777777" w:rsidTr="000915D9">
        <w:trPr>
          <w:trHeight w:val="364"/>
        </w:trPr>
        <w:tc>
          <w:tcPr>
            <w:tcW w:w="720" w:type="dxa"/>
            <w:vMerge/>
            <w:tcBorders>
              <w:top w:val="nil"/>
              <w:left w:val="nil"/>
              <w:bottom w:val="nil"/>
              <w:right w:val="nil"/>
            </w:tcBorders>
            <w:vAlign w:val="center"/>
            <w:hideMark/>
          </w:tcPr>
          <w:p w14:paraId="55563307"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498" w:type="dxa"/>
            <w:vMerge/>
            <w:tcBorders>
              <w:left w:val="nil"/>
              <w:right w:val="nil"/>
            </w:tcBorders>
            <w:vAlign w:val="center"/>
            <w:hideMark/>
          </w:tcPr>
          <w:p w14:paraId="66F07EFD"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2351" w:type="dxa"/>
            <w:tcBorders>
              <w:top w:val="nil"/>
              <w:left w:val="nil"/>
              <w:bottom w:val="nil"/>
              <w:right w:val="single" w:sz="4" w:space="0" w:color="auto"/>
            </w:tcBorders>
            <w:shd w:val="clear" w:color="000000" w:fill="E7E6E6"/>
            <w:noWrap/>
            <w:vAlign w:val="center"/>
            <w:hideMark/>
          </w:tcPr>
          <w:p w14:paraId="33449BE2"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sidRPr="006E2AB2">
              <w:rPr>
                <w:rFonts w:ascii="Times New Roman" w:eastAsia="Times New Roman" w:hAnsi="Times New Roman" w:cs="Times New Roman"/>
                <w:color w:val="000000"/>
              </w:rPr>
              <w:t>Contrast</w:t>
            </w:r>
          </w:p>
        </w:tc>
        <w:tc>
          <w:tcPr>
            <w:tcW w:w="1516" w:type="dxa"/>
            <w:tcBorders>
              <w:top w:val="nil"/>
              <w:left w:val="nil"/>
              <w:bottom w:val="nil"/>
              <w:right w:val="single" w:sz="4" w:space="0" w:color="auto"/>
            </w:tcBorders>
            <w:shd w:val="clear" w:color="auto" w:fill="auto"/>
            <w:noWrap/>
            <w:vAlign w:val="center"/>
            <w:hideMark/>
          </w:tcPr>
          <w:p w14:paraId="6A1CFD1F"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0.60 (0.09)</w:t>
            </w:r>
          </w:p>
        </w:tc>
        <w:tc>
          <w:tcPr>
            <w:tcW w:w="1396" w:type="dxa"/>
            <w:tcBorders>
              <w:top w:val="nil"/>
              <w:left w:val="nil"/>
              <w:bottom w:val="nil"/>
              <w:right w:val="single" w:sz="4" w:space="0" w:color="auto"/>
            </w:tcBorders>
            <w:shd w:val="clear" w:color="auto" w:fill="auto"/>
            <w:noWrap/>
            <w:vAlign w:val="center"/>
            <w:hideMark/>
          </w:tcPr>
          <w:p w14:paraId="75278E29"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0.25 (0.05)</w:t>
            </w:r>
          </w:p>
        </w:tc>
        <w:tc>
          <w:tcPr>
            <w:tcW w:w="1516" w:type="dxa"/>
            <w:tcBorders>
              <w:top w:val="nil"/>
              <w:left w:val="nil"/>
              <w:bottom w:val="nil"/>
              <w:right w:val="single" w:sz="4" w:space="0" w:color="auto"/>
            </w:tcBorders>
            <w:shd w:val="clear" w:color="auto" w:fill="auto"/>
            <w:noWrap/>
            <w:vAlign w:val="center"/>
            <w:hideMark/>
          </w:tcPr>
          <w:p w14:paraId="0985BD6C"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0.46 (0.08)</w:t>
            </w:r>
          </w:p>
        </w:tc>
        <w:tc>
          <w:tcPr>
            <w:tcW w:w="1677" w:type="dxa"/>
            <w:tcBorders>
              <w:top w:val="nil"/>
              <w:left w:val="nil"/>
              <w:bottom w:val="nil"/>
              <w:right w:val="single" w:sz="4" w:space="0" w:color="auto"/>
            </w:tcBorders>
            <w:shd w:val="clear" w:color="auto" w:fill="auto"/>
            <w:noWrap/>
            <w:vAlign w:val="center"/>
            <w:hideMark/>
          </w:tcPr>
          <w:p w14:paraId="6AC09BBE"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sidRPr="006E2AB2">
              <w:rPr>
                <w:rFonts w:ascii="Times New Roman" w:eastAsia="Times New Roman" w:hAnsi="Times New Roman" w:cs="Times New Roman"/>
                <w:color w:val="000000"/>
              </w:rPr>
              <w:t>0.28 (0.06)</w:t>
            </w:r>
          </w:p>
        </w:tc>
      </w:tr>
      <w:tr w:rsidR="002939D3" w:rsidRPr="006E2AB2" w14:paraId="653A4A6F" w14:textId="77777777" w:rsidTr="000915D9">
        <w:trPr>
          <w:trHeight w:val="364"/>
        </w:trPr>
        <w:tc>
          <w:tcPr>
            <w:tcW w:w="720" w:type="dxa"/>
            <w:tcBorders>
              <w:top w:val="nil"/>
              <w:left w:val="nil"/>
              <w:bottom w:val="nil"/>
              <w:right w:val="nil"/>
            </w:tcBorders>
            <w:shd w:val="clear" w:color="auto" w:fill="E5E5E5"/>
            <w:vAlign w:val="center"/>
          </w:tcPr>
          <w:p w14:paraId="47CE2160"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498" w:type="dxa"/>
            <w:vMerge/>
            <w:tcBorders>
              <w:left w:val="nil"/>
              <w:bottom w:val="nil"/>
              <w:right w:val="nil"/>
            </w:tcBorders>
            <w:vAlign w:val="center"/>
          </w:tcPr>
          <w:p w14:paraId="49E3319F" w14:textId="77777777" w:rsidR="002939D3" w:rsidRPr="006E2AB2" w:rsidRDefault="002939D3" w:rsidP="000915D9">
            <w:pPr>
              <w:spacing w:after="0" w:line="240" w:lineRule="auto"/>
              <w:rPr>
                <w:rFonts w:ascii="Times New Roman" w:eastAsia="Times New Roman" w:hAnsi="Times New Roman" w:cs="Times New Roman"/>
                <w:b/>
                <w:bCs/>
                <w:color w:val="000000"/>
              </w:rPr>
            </w:pPr>
          </w:p>
        </w:tc>
        <w:tc>
          <w:tcPr>
            <w:tcW w:w="2351" w:type="dxa"/>
            <w:tcBorders>
              <w:top w:val="nil"/>
              <w:left w:val="nil"/>
              <w:bottom w:val="nil"/>
              <w:right w:val="single" w:sz="4" w:space="0" w:color="auto"/>
            </w:tcBorders>
            <w:shd w:val="clear" w:color="000000" w:fill="E7E6E6"/>
            <w:noWrap/>
            <w:vAlign w:val="center"/>
          </w:tcPr>
          <w:p w14:paraId="2BF3811F" w14:textId="77777777" w:rsidR="002939D3" w:rsidRPr="006E2AB2" w:rsidRDefault="002939D3" w:rsidP="000915D9">
            <w:pPr>
              <w:spacing w:after="0" w:line="240" w:lineRule="auto"/>
              <w:jc w:val="right"/>
              <w:rPr>
                <w:rFonts w:ascii="Times New Roman" w:eastAsia="Times New Roman" w:hAnsi="Times New Roman" w:cs="Times New Roman"/>
                <w:color w:val="000000"/>
              </w:rPr>
            </w:pPr>
            <w:r>
              <w:rPr>
                <w:rFonts w:ascii="Times New Roman" w:eastAsia="Times New Roman" w:hAnsi="Times New Roman" w:cs="Times New Roman"/>
                <w:color w:val="000000"/>
              </w:rPr>
              <w:t>% Reader Scores &lt; 3</w:t>
            </w:r>
          </w:p>
        </w:tc>
        <w:tc>
          <w:tcPr>
            <w:tcW w:w="1516" w:type="dxa"/>
            <w:tcBorders>
              <w:top w:val="nil"/>
              <w:left w:val="nil"/>
              <w:bottom w:val="nil"/>
              <w:right w:val="single" w:sz="4" w:space="0" w:color="auto"/>
            </w:tcBorders>
            <w:shd w:val="clear" w:color="auto" w:fill="auto"/>
            <w:noWrap/>
            <w:vAlign w:val="center"/>
          </w:tcPr>
          <w:p w14:paraId="37AD4C5E"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Calibri" w:hAnsi="Calibri"/>
                <w:color w:val="000000"/>
              </w:rPr>
              <w:t>30%</w:t>
            </w:r>
          </w:p>
        </w:tc>
        <w:tc>
          <w:tcPr>
            <w:tcW w:w="1396" w:type="dxa"/>
            <w:tcBorders>
              <w:top w:val="nil"/>
              <w:left w:val="nil"/>
              <w:bottom w:val="nil"/>
              <w:right w:val="single" w:sz="4" w:space="0" w:color="auto"/>
            </w:tcBorders>
            <w:shd w:val="clear" w:color="auto" w:fill="auto"/>
            <w:noWrap/>
            <w:vAlign w:val="center"/>
          </w:tcPr>
          <w:p w14:paraId="0E577E47"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Calibri" w:hAnsi="Calibri"/>
                <w:color w:val="000000"/>
              </w:rPr>
              <w:t>10%</w:t>
            </w:r>
          </w:p>
        </w:tc>
        <w:tc>
          <w:tcPr>
            <w:tcW w:w="1516" w:type="dxa"/>
            <w:tcBorders>
              <w:top w:val="nil"/>
              <w:left w:val="nil"/>
              <w:bottom w:val="nil"/>
              <w:right w:val="single" w:sz="4" w:space="0" w:color="auto"/>
            </w:tcBorders>
            <w:shd w:val="clear" w:color="auto" w:fill="auto"/>
            <w:noWrap/>
            <w:vAlign w:val="center"/>
          </w:tcPr>
          <w:p w14:paraId="4D943240"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Calibri" w:hAnsi="Calibri"/>
                <w:color w:val="000000"/>
              </w:rPr>
              <w:t>27%</w:t>
            </w:r>
          </w:p>
        </w:tc>
        <w:tc>
          <w:tcPr>
            <w:tcW w:w="1677" w:type="dxa"/>
            <w:tcBorders>
              <w:top w:val="nil"/>
              <w:left w:val="nil"/>
              <w:bottom w:val="nil"/>
              <w:right w:val="single" w:sz="4" w:space="0" w:color="auto"/>
            </w:tcBorders>
            <w:shd w:val="clear" w:color="auto" w:fill="auto"/>
            <w:noWrap/>
            <w:vAlign w:val="center"/>
          </w:tcPr>
          <w:p w14:paraId="49588D87" w14:textId="77777777" w:rsidR="002939D3" w:rsidRPr="006E2AB2" w:rsidRDefault="002939D3" w:rsidP="000915D9">
            <w:pPr>
              <w:spacing w:after="0" w:line="240" w:lineRule="auto"/>
              <w:jc w:val="center"/>
              <w:rPr>
                <w:rFonts w:ascii="Times New Roman" w:eastAsia="Times New Roman" w:hAnsi="Times New Roman" w:cs="Times New Roman"/>
                <w:color w:val="000000"/>
              </w:rPr>
            </w:pPr>
            <w:r>
              <w:rPr>
                <w:rFonts w:ascii="Calibri" w:hAnsi="Calibri"/>
                <w:color w:val="000000"/>
              </w:rPr>
              <w:t>26%</w:t>
            </w:r>
          </w:p>
        </w:tc>
      </w:tr>
    </w:tbl>
    <w:p w14:paraId="08466EBA" w14:textId="77777777" w:rsidR="002939D3" w:rsidRDefault="002939D3" w:rsidP="002939D3">
      <w:pPr>
        <w:widowControl w:val="0"/>
        <w:autoSpaceDE w:val="0"/>
        <w:autoSpaceDN w:val="0"/>
        <w:adjustRightInd w:val="0"/>
        <w:spacing w:after="0" w:line="240" w:lineRule="auto"/>
        <w:ind w:left="640" w:hanging="640"/>
        <w:rPr>
          <w:rFonts w:ascii="Times New Roman" w:eastAsia="Calibri" w:hAnsi="Times New Roman" w:cs="Times New Roman"/>
          <w:b/>
          <w:iCs/>
        </w:rPr>
      </w:pPr>
    </w:p>
    <w:p w14:paraId="1112865A" w14:textId="77777777" w:rsidR="002939D3" w:rsidRPr="004837F6" w:rsidRDefault="002939D3" w:rsidP="002939D3">
      <w:pPr>
        <w:widowControl w:val="0"/>
        <w:autoSpaceDE w:val="0"/>
        <w:autoSpaceDN w:val="0"/>
        <w:adjustRightInd w:val="0"/>
        <w:spacing w:after="0" w:line="240" w:lineRule="auto"/>
        <w:ind w:left="640" w:hanging="640"/>
        <w:rPr>
          <w:rFonts w:ascii="Times New Roman" w:hAnsi="Times New Roman" w:cs="Times New Roman"/>
          <w:noProof/>
        </w:rPr>
      </w:pPr>
      <w:r w:rsidRPr="006E2AB2">
        <w:rPr>
          <w:rFonts w:ascii="Times New Roman" w:eastAsia="Calibri" w:hAnsi="Times New Roman" w:cs="Times New Roman"/>
          <w:b/>
          <w:iCs/>
        </w:rPr>
        <w:t>Table 6.</w:t>
      </w:r>
      <w:r w:rsidRPr="006E2AB2">
        <w:rPr>
          <w:rFonts w:ascii="Times New Roman" w:eastAsia="Calibri" w:hAnsi="Times New Roman" w:cs="Times New Roman"/>
          <w:iCs/>
        </w:rPr>
        <w:t xml:space="preserve"> Kendall Rank Tau-b correlation statistics for Visual Characteristics with Perceived Artifacts</w:t>
      </w:r>
      <w:r>
        <w:rPr>
          <w:rFonts w:ascii="Times New Roman" w:eastAsia="Calibri" w:hAnsi="Times New Roman" w:cs="Times New Roman"/>
          <w:iCs/>
        </w:rPr>
        <w:t xml:space="preserve"> and frequency of Reader Scores &lt; 3 (</w:t>
      </w:r>
      <w:r>
        <w:rPr>
          <w:rFonts w:ascii="Times New Roman" w:hAnsi="Times New Roman" w:cs="Times New Roman"/>
          <w:color w:val="000000" w:themeColor="text1"/>
        </w:rPr>
        <w:t>interpretation difficult or impossible)</w:t>
      </w:r>
      <w:r>
        <w:rPr>
          <w:rFonts w:ascii="Times New Roman" w:eastAsia="Calibri" w:hAnsi="Times New Roman" w:cs="Times New Roman"/>
          <w:iCs/>
        </w:rPr>
        <w:t xml:space="preserve"> for each type of artifact.</w:t>
      </w:r>
    </w:p>
    <w:p w14:paraId="5459C76B" w14:textId="5E7BBC36" w:rsidR="00342D15" w:rsidRDefault="00342D15" w:rsidP="002939D3">
      <w:pPr>
        <w:rPr>
          <w:rFonts w:ascii="Times New Roman" w:hAnsi="Times New Roman" w:cs="Times New Roman"/>
          <w:color w:val="000000" w:themeColor="text1"/>
        </w:rPr>
      </w:pPr>
    </w:p>
    <w:sectPr w:rsidR="00342D15" w:rsidSect="00033C66">
      <w:headerReference w:type="even" r:id="rId9"/>
      <w:headerReference w:type="default" r:id="rId10"/>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4F755A3" w14:textId="77777777" w:rsidR="00A21B17" w:rsidRDefault="00A21B17" w:rsidP="00564095">
      <w:r>
        <w:separator/>
      </w:r>
    </w:p>
  </w:endnote>
  <w:endnote w:type="continuationSeparator" w:id="0">
    <w:p w14:paraId="6229615B" w14:textId="77777777" w:rsidR="00A21B17" w:rsidRDefault="00A21B17" w:rsidP="00564095">
      <w:r>
        <w:continuationSeparator/>
      </w:r>
    </w:p>
  </w:endnote>
  <w:endnote w:type="continuationNotice" w:id="1">
    <w:p w14:paraId="6327BD81" w14:textId="77777777" w:rsidR="00A21B17" w:rsidRDefault="00A21B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kappa">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8E3EEB" w14:textId="77777777" w:rsidR="00A21B17" w:rsidRDefault="00A21B17" w:rsidP="00564095">
      <w:r>
        <w:separator/>
      </w:r>
    </w:p>
  </w:footnote>
  <w:footnote w:type="continuationSeparator" w:id="0">
    <w:p w14:paraId="3A530BAD" w14:textId="77777777" w:rsidR="00A21B17" w:rsidRDefault="00A21B17" w:rsidP="00564095">
      <w:r>
        <w:continuationSeparator/>
      </w:r>
    </w:p>
  </w:footnote>
  <w:footnote w:type="continuationNotice" w:id="1">
    <w:p w14:paraId="0A976FBB" w14:textId="77777777" w:rsidR="00A21B17" w:rsidRDefault="00A21B17">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645587368"/>
      <w:docPartObj>
        <w:docPartGallery w:val="Page Numbers (Top of Page)"/>
        <w:docPartUnique/>
      </w:docPartObj>
    </w:sdtPr>
    <w:sdtEndPr>
      <w:rPr>
        <w:rStyle w:val="PageNumber"/>
      </w:rPr>
    </w:sdtEndPr>
    <w:sdtContent>
      <w:p w14:paraId="7CF411DF" w14:textId="5B91D5D3" w:rsidR="003A3E4C" w:rsidRDefault="003A3E4C" w:rsidP="00766FE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0932CD21" w14:textId="77777777" w:rsidR="003A3E4C" w:rsidRDefault="003A3E4C" w:rsidP="000D3B35">
    <w:pPr>
      <w:pStyle w:val="Header"/>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Style w:val="PageNumber"/>
      </w:rPr>
      <w:id w:val="1479111095"/>
      <w:docPartObj>
        <w:docPartGallery w:val="Page Numbers (Top of Page)"/>
        <w:docPartUnique/>
      </w:docPartObj>
    </w:sdtPr>
    <w:sdtEndPr>
      <w:rPr>
        <w:rStyle w:val="PageNumber"/>
      </w:rPr>
    </w:sdtEndPr>
    <w:sdtContent>
      <w:p w14:paraId="23F56BD4" w14:textId="36146DB7" w:rsidR="003A3E4C" w:rsidRDefault="003A3E4C" w:rsidP="00766FE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2939D3">
          <w:rPr>
            <w:rStyle w:val="PageNumber"/>
            <w:noProof/>
          </w:rPr>
          <w:t>2</w:t>
        </w:r>
        <w:r>
          <w:rPr>
            <w:rStyle w:val="PageNumber"/>
          </w:rPr>
          <w:fldChar w:fldCharType="end"/>
        </w:r>
      </w:p>
    </w:sdtContent>
  </w:sdt>
  <w:p w14:paraId="3F5B1305" w14:textId="77777777" w:rsidR="003A3E4C" w:rsidRDefault="003A3E4C" w:rsidP="000D3B35">
    <w:pPr>
      <w:pStyle w:val="Header"/>
      <w:ind w:right="36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35EB5"/>
    <w:multiLevelType w:val="hybridMultilevel"/>
    <w:tmpl w:val="8714A5D2"/>
    <w:lvl w:ilvl="0" w:tplc="A8E4DB24">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60C4E9F"/>
    <w:multiLevelType w:val="hybridMultilevel"/>
    <w:tmpl w:val="6CFA3246"/>
    <w:lvl w:ilvl="0" w:tplc="96C81BE4">
      <w:start w:val="1"/>
      <w:numFmt w:val="decimal"/>
      <w:lvlText w:val="%1."/>
      <w:lvlJc w:val="left"/>
      <w:pPr>
        <w:ind w:left="1000" w:hanging="10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isplayBackgroundShape/>
  <w:defaultTabStop w:val="720"/>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22837"/>
    <w:rsid w:val="0000049B"/>
    <w:rsid w:val="00000B0E"/>
    <w:rsid w:val="00002C0B"/>
    <w:rsid w:val="0000570F"/>
    <w:rsid w:val="000066D6"/>
    <w:rsid w:val="00007840"/>
    <w:rsid w:val="00013077"/>
    <w:rsid w:val="00017979"/>
    <w:rsid w:val="00020D19"/>
    <w:rsid w:val="00021AC0"/>
    <w:rsid w:val="000263A1"/>
    <w:rsid w:val="00031644"/>
    <w:rsid w:val="0003243A"/>
    <w:rsid w:val="0003365F"/>
    <w:rsid w:val="00033C66"/>
    <w:rsid w:val="00037A3A"/>
    <w:rsid w:val="000415E3"/>
    <w:rsid w:val="00047398"/>
    <w:rsid w:val="0004747D"/>
    <w:rsid w:val="00050431"/>
    <w:rsid w:val="000506DC"/>
    <w:rsid w:val="00052D00"/>
    <w:rsid w:val="00054781"/>
    <w:rsid w:val="00054B84"/>
    <w:rsid w:val="00056789"/>
    <w:rsid w:val="00057A13"/>
    <w:rsid w:val="00063912"/>
    <w:rsid w:val="00063FC6"/>
    <w:rsid w:val="00073ADD"/>
    <w:rsid w:val="00083756"/>
    <w:rsid w:val="00084999"/>
    <w:rsid w:val="00084A68"/>
    <w:rsid w:val="000A0511"/>
    <w:rsid w:val="000A1521"/>
    <w:rsid w:val="000A164D"/>
    <w:rsid w:val="000A3D85"/>
    <w:rsid w:val="000B0AAF"/>
    <w:rsid w:val="000B2461"/>
    <w:rsid w:val="000B4356"/>
    <w:rsid w:val="000B55B1"/>
    <w:rsid w:val="000C09CC"/>
    <w:rsid w:val="000C1A87"/>
    <w:rsid w:val="000C29E4"/>
    <w:rsid w:val="000C42D2"/>
    <w:rsid w:val="000C5FC5"/>
    <w:rsid w:val="000D0540"/>
    <w:rsid w:val="000D11A9"/>
    <w:rsid w:val="000D3B35"/>
    <w:rsid w:val="000D535E"/>
    <w:rsid w:val="000E3FAB"/>
    <w:rsid w:val="000E7112"/>
    <w:rsid w:val="000F1D80"/>
    <w:rsid w:val="000F3D92"/>
    <w:rsid w:val="000F41C2"/>
    <w:rsid w:val="000F7648"/>
    <w:rsid w:val="000F76CB"/>
    <w:rsid w:val="000F7A68"/>
    <w:rsid w:val="0010190F"/>
    <w:rsid w:val="00104809"/>
    <w:rsid w:val="00104EFA"/>
    <w:rsid w:val="0010537C"/>
    <w:rsid w:val="00105D30"/>
    <w:rsid w:val="00107D4B"/>
    <w:rsid w:val="001102B5"/>
    <w:rsid w:val="00110554"/>
    <w:rsid w:val="001204A6"/>
    <w:rsid w:val="001217D5"/>
    <w:rsid w:val="0012204D"/>
    <w:rsid w:val="00130833"/>
    <w:rsid w:val="00135BAA"/>
    <w:rsid w:val="0014218E"/>
    <w:rsid w:val="00144297"/>
    <w:rsid w:val="0014433E"/>
    <w:rsid w:val="0014445C"/>
    <w:rsid w:val="001472C7"/>
    <w:rsid w:val="00150102"/>
    <w:rsid w:val="00150C05"/>
    <w:rsid w:val="0015190B"/>
    <w:rsid w:val="00153109"/>
    <w:rsid w:val="001550A3"/>
    <w:rsid w:val="001638D7"/>
    <w:rsid w:val="001640FC"/>
    <w:rsid w:val="001653D4"/>
    <w:rsid w:val="00184224"/>
    <w:rsid w:val="0018452B"/>
    <w:rsid w:val="00185FDD"/>
    <w:rsid w:val="00186409"/>
    <w:rsid w:val="00187C71"/>
    <w:rsid w:val="00193213"/>
    <w:rsid w:val="00193A3E"/>
    <w:rsid w:val="001944C7"/>
    <w:rsid w:val="00195703"/>
    <w:rsid w:val="001970E9"/>
    <w:rsid w:val="001A26F1"/>
    <w:rsid w:val="001A387A"/>
    <w:rsid w:val="001A6DB8"/>
    <w:rsid w:val="001B1DBA"/>
    <w:rsid w:val="001B27D9"/>
    <w:rsid w:val="001B3DBA"/>
    <w:rsid w:val="001B733E"/>
    <w:rsid w:val="001B737C"/>
    <w:rsid w:val="001C11E4"/>
    <w:rsid w:val="001C2776"/>
    <w:rsid w:val="001C31CE"/>
    <w:rsid w:val="001C323F"/>
    <w:rsid w:val="001C4D24"/>
    <w:rsid w:val="001C7A1B"/>
    <w:rsid w:val="001C7ECA"/>
    <w:rsid w:val="001D0511"/>
    <w:rsid w:val="001D1870"/>
    <w:rsid w:val="001D2490"/>
    <w:rsid w:val="001D42D5"/>
    <w:rsid w:val="001D5655"/>
    <w:rsid w:val="001E6579"/>
    <w:rsid w:val="001E6672"/>
    <w:rsid w:val="001F00D7"/>
    <w:rsid w:val="001F084B"/>
    <w:rsid w:val="001F206D"/>
    <w:rsid w:val="001F364A"/>
    <w:rsid w:val="001F466A"/>
    <w:rsid w:val="001F4767"/>
    <w:rsid w:val="001F555E"/>
    <w:rsid w:val="001F5B02"/>
    <w:rsid w:val="0020228A"/>
    <w:rsid w:val="00212D06"/>
    <w:rsid w:val="002204A3"/>
    <w:rsid w:val="00220832"/>
    <w:rsid w:val="00221B6F"/>
    <w:rsid w:val="0022209C"/>
    <w:rsid w:val="00223D6B"/>
    <w:rsid w:val="002248E2"/>
    <w:rsid w:val="0023022A"/>
    <w:rsid w:val="00232972"/>
    <w:rsid w:val="00234049"/>
    <w:rsid w:val="002356D6"/>
    <w:rsid w:val="00236E2E"/>
    <w:rsid w:val="0024113C"/>
    <w:rsid w:val="00244F1F"/>
    <w:rsid w:val="00246333"/>
    <w:rsid w:val="00252591"/>
    <w:rsid w:val="0025347A"/>
    <w:rsid w:val="00262684"/>
    <w:rsid w:val="00262714"/>
    <w:rsid w:val="002636CE"/>
    <w:rsid w:val="00263A65"/>
    <w:rsid w:val="00264BE2"/>
    <w:rsid w:val="0027213E"/>
    <w:rsid w:val="00273946"/>
    <w:rsid w:val="00273B21"/>
    <w:rsid w:val="002769BE"/>
    <w:rsid w:val="00277478"/>
    <w:rsid w:val="00283EC0"/>
    <w:rsid w:val="0028580A"/>
    <w:rsid w:val="0028597C"/>
    <w:rsid w:val="002874F7"/>
    <w:rsid w:val="00292A03"/>
    <w:rsid w:val="00293212"/>
    <w:rsid w:val="002939D3"/>
    <w:rsid w:val="00294BC8"/>
    <w:rsid w:val="0029622F"/>
    <w:rsid w:val="002966CE"/>
    <w:rsid w:val="00296EC8"/>
    <w:rsid w:val="002A13B3"/>
    <w:rsid w:val="002A2B45"/>
    <w:rsid w:val="002A329F"/>
    <w:rsid w:val="002A3F8C"/>
    <w:rsid w:val="002A56E1"/>
    <w:rsid w:val="002B0C31"/>
    <w:rsid w:val="002B5925"/>
    <w:rsid w:val="002B62DC"/>
    <w:rsid w:val="002B6D34"/>
    <w:rsid w:val="002C06F4"/>
    <w:rsid w:val="002C69C0"/>
    <w:rsid w:val="002D0564"/>
    <w:rsid w:val="002D10B2"/>
    <w:rsid w:val="002D1410"/>
    <w:rsid w:val="002D4EF8"/>
    <w:rsid w:val="002E1F52"/>
    <w:rsid w:val="002E4169"/>
    <w:rsid w:val="002E68BB"/>
    <w:rsid w:val="002E6B63"/>
    <w:rsid w:val="002E6FB5"/>
    <w:rsid w:val="002F0ED6"/>
    <w:rsid w:val="002F29B8"/>
    <w:rsid w:val="002F3CDB"/>
    <w:rsid w:val="002F5360"/>
    <w:rsid w:val="002F58D2"/>
    <w:rsid w:val="003002A3"/>
    <w:rsid w:val="00302A80"/>
    <w:rsid w:val="00304617"/>
    <w:rsid w:val="00312B6A"/>
    <w:rsid w:val="00313B3B"/>
    <w:rsid w:val="00313B6C"/>
    <w:rsid w:val="00320FA6"/>
    <w:rsid w:val="00321255"/>
    <w:rsid w:val="00326477"/>
    <w:rsid w:val="003302D7"/>
    <w:rsid w:val="00333762"/>
    <w:rsid w:val="00334C97"/>
    <w:rsid w:val="003412F5"/>
    <w:rsid w:val="003426BA"/>
    <w:rsid w:val="00342D15"/>
    <w:rsid w:val="00343036"/>
    <w:rsid w:val="003440DE"/>
    <w:rsid w:val="003446EE"/>
    <w:rsid w:val="003449E1"/>
    <w:rsid w:val="00350B34"/>
    <w:rsid w:val="00357F2B"/>
    <w:rsid w:val="00362EEB"/>
    <w:rsid w:val="00363072"/>
    <w:rsid w:val="00380FB2"/>
    <w:rsid w:val="00387670"/>
    <w:rsid w:val="0039175B"/>
    <w:rsid w:val="00391B7A"/>
    <w:rsid w:val="0039295F"/>
    <w:rsid w:val="00393397"/>
    <w:rsid w:val="00393933"/>
    <w:rsid w:val="00393D71"/>
    <w:rsid w:val="003949FA"/>
    <w:rsid w:val="00394B29"/>
    <w:rsid w:val="0039637D"/>
    <w:rsid w:val="00396AEF"/>
    <w:rsid w:val="003A191A"/>
    <w:rsid w:val="003A1FF6"/>
    <w:rsid w:val="003A3E4C"/>
    <w:rsid w:val="003A4CCE"/>
    <w:rsid w:val="003A4DA1"/>
    <w:rsid w:val="003A603E"/>
    <w:rsid w:val="003B10EB"/>
    <w:rsid w:val="003B129D"/>
    <w:rsid w:val="003B45EA"/>
    <w:rsid w:val="003B5F36"/>
    <w:rsid w:val="003B5FAD"/>
    <w:rsid w:val="003B6BE7"/>
    <w:rsid w:val="003C0B9B"/>
    <w:rsid w:val="003C2AF1"/>
    <w:rsid w:val="003C4DBB"/>
    <w:rsid w:val="003C7B53"/>
    <w:rsid w:val="003D48E5"/>
    <w:rsid w:val="003E04C9"/>
    <w:rsid w:val="003E0F64"/>
    <w:rsid w:val="003E4E90"/>
    <w:rsid w:val="003E546B"/>
    <w:rsid w:val="003E5B8D"/>
    <w:rsid w:val="003E7600"/>
    <w:rsid w:val="003F4349"/>
    <w:rsid w:val="003F4FAA"/>
    <w:rsid w:val="003F65C2"/>
    <w:rsid w:val="003F7BB3"/>
    <w:rsid w:val="00410904"/>
    <w:rsid w:val="004111A7"/>
    <w:rsid w:val="0041167A"/>
    <w:rsid w:val="0041684C"/>
    <w:rsid w:val="00417DA9"/>
    <w:rsid w:val="00424172"/>
    <w:rsid w:val="004354A1"/>
    <w:rsid w:val="00435622"/>
    <w:rsid w:val="004372E0"/>
    <w:rsid w:val="00443F9A"/>
    <w:rsid w:val="004454BE"/>
    <w:rsid w:val="00451488"/>
    <w:rsid w:val="00451904"/>
    <w:rsid w:val="00451C2A"/>
    <w:rsid w:val="00452F9A"/>
    <w:rsid w:val="00454E87"/>
    <w:rsid w:val="0045573C"/>
    <w:rsid w:val="00457CA0"/>
    <w:rsid w:val="0046044E"/>
    <w:rsid w:val="0046168D"/>
    <w:rsid w:val="00461DE4"/>
    <w:rsid w:val="00465D09"/>
    <w:rsid w:val="00465E4D"/>
    <w:rsid w:val="00466DF6"/>
    <w:rsid w:val="00470FF0"/>
    <w:rsid w:val="0047138F"/>
    <w:rsid w:val="00474FEC"/>
    <w:rsid w:val="00477FDA"/>
    <w:rsid w:val="0048197E"/>
    <w:rsid w:val="004837F6"/>
    <w:rsid w:val="00486758"/>
    <w:rsid w:val="0048678D"/>
    <w:rsid w:val="004932AA"/>
    <w:rsid w:val="00496B52"/>
    <w:rsid w:val="004A2823"/>
    <w:rsid w:val="004A4CCF"/>
    <w:rsid w:val="004A4F33"/>
    <w:rsid w:val="004B50D0"/>
    <w:rsid w:val="004B61EA"/>
    <w:rsid w:val="004B7046"/>
    <w:rsid w:val="004B7583"/>
    <w:rsid w:val="004C2A5B"/>
    <w:rsid w:val="004C4F7E"/>
    <w:rsid w:val="004C5538"/>
    <w:rsid w:val="004C66F8"/>
    <w:rsid w:val="004C6E97"/>
    <w:rsid w:val="004C76AA"/>
    <w:rsid w:val="004D0340"/>
    <w:rsid w:val="004D122E"/>
    <w:rsid w:val="004D5300"/>
    <w:rsid w:val="004E2D37"/>
    <w:rsid w:val="004E2E12"/>
    <w:rsid w:val="004E32A7"/>
    <w:rsid w:val="004E384D"/>
    <w:rsid w:val="004E39BC"/>
    <w:rsid w:val="004E5A94"/>
    <w:rsid w:val="004F026F"/>
    <w:rsid w:val="004F1A50"/>
    <w:rsid w:val="004F463D"/>
    <w:rsid w:val="004F5A4E"/>
    <w:rsid w:val="005005AE"/>
    <w:rsid w:val="0050078A"/>
    <w:rsid w:val="00502D56"/>
    <w:rsid w:val="00505084"/>
    <w:rsid w:val="00506BBF"/>
    <w:rsid w:val="00507D2B"/>
    <w:rsid w:val="00510362"/>
    <w:rsid w:val="00511B1F"/>
    <w:rsid w:val="00513220"/>
    <w:rsid w:val="005135A6"/>
    <w:rsid w:val="00520397"/>
    <w:rsid w:val="00520F50"/>
    <w:rsid w:val="0052287C"/>
    <w:rsid w:val="00523906"/>
    <w:rsid w:val="00524143"/>
    <w:rsid w:val="00524FA6"/>
    <w:rsid w:val="00527E03"/>
    <w:rsid w:val="00527F18"/>
    <w:rsid w:val="005307F3"/>
    <w:rsid w:val="00530B84"/>
    <w:rsid w:val="00531320"/>
    <w:rsid w:val="00534006"/>
    <w:rsid w:val="00537877"/>
    <w:rsid w:val="00541472"/>
    <w:rsid w:val="005441AE"/>
    <w:rsid w:val="0054560B"/>
    <w:rsid w:val="005477C2"/>
    <w:rsid w:val="005510E3"/>
    <w:rsid w:val="0055443B"/>
    <w:rsid w:val="0055450F"/>
    <w:rsid w:val="00564095"/>
    <w:rsid w:val="00564CB3"/>
    <w:rsid w:val="00571E92"/>
    <w:rsid w:val="0057408E"/>
    <w:rsid w:val="00580B47"/>
    <w:rsid w:val="00582D5B"/>
    <w:rsid w:val="0058760B"/>
    <w:rsid w:val="005939AF"/>
    <w:rsid w:val="005A0980"/>
    <w:rsid w:val="005A0FC1"/>
    <w:rsid w:val="005A1DA9"/>
    <w:rsid w:val="005A75BA"/>
    <w:rsid w:val="005B0781"/>
    <w:rsid w:val="005B1887"/>
    <w:rsid w:val="005B56A5"/>
    <w:rsid w:val="005B74EC"/>
    <w:rsid w:val="005C1DFE"/>
    <w:rsid w:val="005C3738"/>
    <w:rsid w:val="005C5756"/>
    <w:rsid w:val="005C5B94"/>
    <w:rsid w:val="005C6CDB"/>
    <w:rsid w:val="005C70EC"/>
    <w:rsid w:val="005D292F"/>
    <w:rsid w:val="005D2DBD"/>
    <w:rsid w:val="005E03D9"/>
    <w:rsid w:val="005E2287"/>
    <w:rsid w:val="005E269A"/>
    <w:rsid w:val="005E4BF6"/>
    <w:rsid w:val="005E5969"/>
    <w:rsid w:val="005E69B7"/>
    <w:rsid w:val="005E6C0F"/>
    <w:rsid w:val="005E769A"/>
    <w:rsid w:val="005F30D5"/>
    <w:rsid w:val="005F323C"/>
    <w:rsid w:val="006004B4"/>
    <w:rsid w:val="00601FC5"/>
    <w:rsid w:val="0060333A"/>
    <w:rsid w:val="00603A80"/>
    <w:rsid w:val="0060469A"/>
    <w:rsid w:val="00606688"/>
    <w:rsid w:val="00614ED2"/>
    <w:rsid w:val="00617B6A"/>
    <w:rsid w:val="00622837"/>
    <w:rsid w:val="00624F83"/>
    <w:rsid w:val="0062530C"/>
    <w:rsid w:val="0062532D"/>
    <w:rsid w:val="00625405"/>
    <w:rsid w:val="006266BD"/>
    <w:rsid w:val="00630D25"/>
    <w:rsid w:val="00631933"/>
    <w:rsid w:val="006324C1"/>
    <w:rsid w:val="006327B2"/>
    <w:rsid w:val="00634253"/>
    <w:rsid w:val="0063684A"/>
    <w:rsid w:val="00637180"/>
    <w:rsid w:val="00641968"/>
    <w:rsid w:val="00642632"/>
    <w:rsid w:val="00646A12"/>
    <w:rsid w:val="00647421"/>
    <w:rsid w:val="006503E0"/>
    <w:rsid w:val="00650581"/>
    <w:rsid w:val="00650FA9"/>
    <w:rsid w:val="00652623"/>
    <w:rsid w:val="00655534"/>
    <w:rsid w:val="00672119"/>
    <w:rsid w:val="00672A27"/>
    <w:rsid w:val="00673CCC"/>
    <w:rsid w:val="00673D2C"/>
    <w:rsid w:val="006741C3"/>
    <w:rsid w:val="006742E3"/>
    <w:rsid w:val="00674B8E"/>
    <w:rsid w:val="00676AD9"/>
    <w:rsid w:val="00680156"/>
    <w:rsid w:val="0068308D"/>
    <w:rsid w:val="00684A22"/>
    <w:rsid w:val="00684D88"/>
    <w:rsid w:val="0068736F"/>
    <w:rsid w:val="00690EC3"/>
    <w:rsid w:val="00691087"/>
    <w:rsid w:val="006919CF"/>
    <w:rsid w:val="00692013"/>
    <w:rsid w:val="00694A4F"/>
    <w:rsid w:val="006A247C"/>
    <w:rsid w:val="006A2623"/>
    <w:rsid w:val="006A269E"/>
    <w:rsid w:val="006B24DB"/>
    <w:rsid w:val="006B341C"/>
    <w:rsid w:val="006B41F9"/>
    <w:rsid w:val="006B4268"/>
    <w:rsid w:val="006B42AE"/>
    <w:rsid w:val="006B71C5"/>
    <w:rsid w:val="006C39B4"/>
    <w:rsid w:val="006C45FC"/>
    <w:rsid w:val="006C4B79"/>
    <w:rsid w:val="006C540E"/>
    <w:rsid w:val="006C711C"/>
    <w:rsid w:val="006D008A"/>
    <w:rsid w:val="006D283B"/>
    <w:rsid w:val="006D4A21"/>
    <w:rsid w:val="006D76C8"/>
    <w:rsid w:val="006E097E"/>
    <w:rsid w:val="006E0A10"/>
    <w:rsid w:val="006E2AB2"/>
    <w:rsid w:val="006E3928"/>
    <w:rsid w:val="006E67A0"/>
    <w:rsid w:val="006F1868"/>
    <w:rsid w:val="006F30BF"/>
    <w:rsid w:val="006F36BC"/>
    <w:rsid w:val="006F4C30"/>
    <w:rsid w:val="006F76B1"/>
    <w:rsid w:val="007017B3"/>
    <w:rsid w:val="00702F25"/>
    <w:rsid w:val="007031D7"/>
    <w:rsid w:val="00703345"/>
    <w:rsid w:val="00713CE8"/>
    <w:rsid w:val="00715F15"/>
    <w:rsid w:val="00717A5D"/>
    <w:rsid w:val="00720A93"/>
    <w:rsid w:val="00722C1E"/>
    <w:rsid w:val="00723CA5"/>
    <w:rsid w:val="00723FF4"/>
    <w:rsid w:val="00727663"/>
    <w:rsid w:val="007340C0"/>
    <w:rsid w:val="007353BD"/>
    <w:rsid w:val="00740EAB"/>
    <w:rsid w:val="00742060"/>
    <w:rsid w:val="00743104"/>
    <w:rsid w:val="00744180"/>
    <w:rsid w:val="0074483C"/>
    <w:rsid w:val="0074498C"/>
    <w:rsid w:val="00744C3E"/>
    <w:rsid w:val="00747E44"/>
    <w:rsid w:val="0075257A"/>
    <w:rsid w:val="00752665"/>
    <w:rsid w:val="00752A2B"/>
    <w:rsid w:val="00755560"/>
    <w:rsid w:val="00757A65"/>
    <w:rsid w:val="00761898"/>
    <w:rsid w:val="00761CAC"/>
    <w:rsid w:val="00766DF4"/>
    <w:rsid w:val="00766FEA"/>
    <w:rsid w:val="00771272"/>
    <w:rsid w:val="00772534"/>
    <w:rsid w:val="007726D7"/>
    <w:rsid w:val="007730EB"/>
    <w:rsid w:val="00775DC6"/>
    <w:rsid w:val="00776D07"/>
    <w:rsid w:val="00783676"/>
    <w:rsid w:val="00790A12"/>
    <w:rsid w:val="00790EA3"/>
    <w:rsid w:val="00791728"/>
    <w:rsid w:val="007A12DE"/>
    <w:rsid w:val="007A1547"/>
    <w:rsid w:val="007A1C9A"/>
    <w:rsid w:val="007A2AB7"/>
    <w:rsid w:val="007A3175"/>
    <w:rsid w:val="007A3750"/>
    <w:rsid w:val="007A5FCF"/>
    <w:rsid w:val="007B02FC"/>
    <w:rsid w:val="007B1910"/>
    <w:rsid w:val="007B3DDE"/>
    <w:rsid w:val="007C203A"/>
    <w:rsid w:val="007C3FEA"/>
    <w:rsid w:val="007D04B0"/>
    <w:rsid w:val="007D1BD4"/>
    <w:rsid w:val="007D20B6"/>
    <w:rsid w:val="007D319F"/>
    <w:rsid w:val="007D4894"/>
    <w:rsid w:val="007D4D21"/>
    <w:rsid w:val="007D7225"/>
    <w:rsid w:val="007E1791"/>
    <w:rsid w:val="007E42F7"/>
    <w:rsid w:val="007E5138"/>
    <w:rsid w:val="007F2533"/>
    <w:rsid w:val="007F385F"/>
    <w:rsid w:val="007F4C4A"/>
    <w:rsid w:val="007F7950"/>
    <w:rsid w:val="00801367"/>
    <w:rsid w:val="00802876"/>
    <w:rsid w:val="00803159"/>
    <w:rsid w:val="008067AD"/>
    <w:rsid w:val="0081032F"/>
    <w:rsid w:val="008134E1"/>
    <w:rsid w:val="008161CC"/>
    <w:rsid w:val="008241F8"/>
    <w:rsid w:val="00827E22"/>
    <w:rsid w:val="008345F1"/>
    <w:rsid w:val="00843505"/>
    <w:rsid w:val="00845258"/>
    <w:rsid w:val="00845EF3"/>
    <w:rsid w:val="0085201B"/>
    <w:rsid w:val="00854EE1"/>
    <w:rsid w:val="00855B75"/>
    <w:rsid w:val="00860CEF"/>
    <w:rsid w:val="0086208F"/>
    <w:rsid w:val="0086495B"/>
    <w:rsid w:val="008670A8"/>
    <w:rsid w:val="00870DF5"/>
    <w:rsid w:val="00872740"/>
    <w:rsid w:val="008818DA"/>
    <w:rsid w:val="008835D4"/>
    <w:rsid w:val="008839E5"/>
    <w:rsid w:val="00887ACE"/>
    <w:rsid w:val="00890D34"/>
    <w:rsid w:val="00893326"/>
    <w:rsid w:val="008936EA"/>
    <w:rsid w:val="00894F11"/>
    <w:rsid w:val="00897335"/>
    <w:rsid w:val="00897B8E"/>
    <w:rsid w:val="008A1E3B"/>
    <w:rsid w:val="008A3B39"/>
    <w:rsid w:val="008A6CAD"/>
    <w:rsid w:val="008B7A2E"/>
    <w:rsid w:val="008C6D6D"/>
    <w:rsid w:val="008C6E5F"/>
    <w:rsid w:val="008D0170"/>
    <w:rsid w:val="008D2F8F"/>
    <w:rsid w:val="008D511B"/>
    <w:rsid w:val="008E50CB"/>
    <w:rsid w:val="008F5D1A"/>
    <w:rsid w:val="00900A0D"/>
    <w:rsid w:val="0090189F"/>
    <w:rsid w:val="00905D2E"/>
    <w:rsid w:val="00907B29"/>
    <w:rsid w:val="00912383"/>
    <w:rsid w:val="009155EB"/>
    <w:rsid w:val="00916B0F"/>
    <w:rsid w:val="00917827"/>
    <w:rsid w:val="00917C2E"/>
    <w:rsid w:val="00917D1A"/>
    <w:rsid w:val="00917E70"/>
    <w:rsid w:val="0092381E"/>
    <w:rsid w:val="00926842"/>
    <w:rsid w:val="009342EA"/>
    <w:rsid w:val="0093659C"/>
    <w:rsid w:val="009507A3"/>
    <w:rsid w:val="00951D4C"/>
    <w:rsid w:val="009622D6"/>
    <w:rsid w:val="009626D0"/>
    <w:rsid w:val="009630E6"/>
    <w:rsid w:val="00966D73"/>
    <w:rsid w:val="00972703"/>
    <w:rsid w:val="00980E0D"/>
    <w:rsid w:val="009830BD"/>
    <w:rsid w:val="00983622"/>
    <w:rsid w:val="00984D2C"/>
    <w:rsid w:val="00986B9E"/>
    <w:rsid w:val="00992C78"/>
    <w:rsid w:val="00993DDE"/>
    <w:rsid w:val="00995A7E"/>
    <w:rsid w:val="00996DFA"/>
    <w:rsid w:val="00997FDE"/>
    <w:rsid w:val="009A0EFC"/>
    <w:rsid w:val="009A1B50"/>
    <w:rsid w:val="009A39FE"/>
    <w:rsid w:val="009A5544"/>
    <w:rsid w:val="009A5BC2"/>
    <w:rsid w:val="009B29FA"/>
    <w:rsid w:val="009B4232"/>
    <w:rsid w:val="009B44D5"/>
    <w:rsid w:val="009B4682"/>
    <w:rsid w:val="009B5747"/>
    <w:rsid w:val="009B75D9"/>
    <w:rsid w:val="009C0686"/>
    <w:rsid w:val="009C10D5"/>
    <w:rsid w:val="009C4E9F"/>
    <w:rsid w:val="009C5E24"/>
    <w:rsid w:val="009C69EF"/>
    <w:rsid w:val="009C73F2"/>
    <w:rsid w:val="009D1365"/>
    <w:rsid w:val="009D3234"/>
    <w:rsid w:val="009D4387"/>
    <w:rsid w:val="009D495B"/>
    <w:rsid w:val="009D744F"/>
    <w:rsid w:val="009E2E0B"/>
    <w:rsid w:val="009F0A86"/>
    <w:rsid w:val="009F4194"/>
    <w:rsid w:val="009F6446"/>
    <w:rsid w:val="009F6BB4"/>
    <w:rsid w:val="00A04AB6"/>
    <w:rsid w:val="00A04C4F"/>
    <w:rsid w:val="00A051D2"/>
    <w:rsid w:val="00A06261"/>
    <w:rsid w:val="00A064E1"/>
    <w:rsid w:val="00A07D14"/>
    <w:rsid w:val="00A1208C"/>
    <w:rsid w:val="00A14F79"/>
    <w:rsid w:val="00A15249"/>
    <w:rsid w:val="00A17920"/>
    <w:rsid w:val="00A21B17"/>
    <w:rsid w:val="00A23D0D"/>
    <w:rsid w:val="00A241D1"/>
    <w:rsid w:val="00A30FAA"/>
    <w:rsid w:val="00A31AF4"/>
    <w:rsid w:val="00A33105"/>
    <w:rsid w:val="00A41B2D"/>
    <w:rsid w:val="00A421F2"/>
    <w:rsid w:val="00A43DD0"/>
    <w:rsid w:val="00A53431"/>
    <w:rsid w:val="00A5641B"/>
    <w:rsid w:val="00A571D9"/>
    <w:rsid w:val="00A5773C"/>
    <w:rsid w:val="00A60541"/>
    <w:rsid w:val="00A6133A"/>
    <w:rsid w:val="00A6560C"/>
    <w:rsid w:val="00A734DC"/>
    <w:rsid w:val="00A75A1A"/>
    <w:rsid w:val="00A77012"/>
    <w:rsid w:val="00A80F58"/>
    <w:rsid w:val="00A82074"/>
    <w:rsid w:val="00A846BE"/>
    <w:rsid w:val="00A90D10"/>
    <w:rsid w:val="00A919DB"/>
    <w:rsid w:val="00A91B29"/>
    <w:rsid w:val="00A91E14"/>
    <w:rsid w:val="00A937B4"/>
    <w:rsid w:val="00A97C7E"/>
    <w:rsid w:val="00A97FF6"/>
    <w:rsid w:val="00AA181A"/>
    <w:rsid w:val="00AA2DFD"/>
    <w:rsid w:val="00AA3747"/>
    <w:rsid w:val="00AA3902"/>
    <w:rsid w:val="00AA72BD"/>
    <w:rsid w:val="00AB23B0"/>
    <w:rsid w:val="00AB2E5B"/>
    <w:rsid w:val="00AB3CB1"/>
    <w:rsid w:val="00AB5AF4"/>
    <w:rsid w:val="00AB7BC4"/>
    <w:rsid w:val="00AC2BBC"/>
    <w:rsid w:val="00AC2CF7"/>
    <w:rsid w:val="00AC3C38"/>
    <w:rsid w:val="00AC50A0"/>
    <w:rsid w:val="00AD023A"/>
    <w:rsid w:val="00AD51CC"/>
    <w:rsid w:val="00AE1BFB"/>
    <w:rsid w:val="00AE49DB"/>
    <w:rsid w:val="00AE7459"/>
    <w:rsid w:val="00AF3115"/>
    <w:rsid w:val="00AF36ED"/>
    <w:rsid w:val="00AF757B"/>
    <w:rsid w:val="00AF7B27"/>
    <w:rsid w:val="00B000AC"/>
    <w:rsid w:val="00B13FA5"/>
    <w:rsid w:val="00B17158"/>
    <w:rsid w:val="00B2413F"/>
    <w:rsid w:val="00B278CE"/>
    <w:rsid w:val="00B30175"/>
    <w:rsid w:val="00B313BC"/>
    <w:rsid w:val="00B321CE"/>
    <w:rsid w:val="00B32D1F"/>
    <w:rsid w:val="00B3321D"/>
    <w:rsid w:val="00B33C9A"/>
    <w:rsid w:val="00B353EA"/>
    <w:rsid w:val="00B35D2B"/>
    <w:rsid w:val="00B4063D"/>
    <w:rsid w:val="00B41F51"/>
    <w:rsid w:val="00B44BD7"/>
    <w:rsid w:val="00B45E70"/>
    <w:rsid w:val="00B46669"/>
    <w:rsid w:val="00B50148"/>
    <w:rsid w:val="00B51806"/>
    <w:rsid w:val="00B53ADA"/>
    <w:rsid w:val="00B555B1"/>
    <w:rsid w:val="00B602F0"/>
    <w:rsid w:val="00B606C8"/>
    <w:rsid w:val="00B71885"/>
    <w:rsid w:val="00B763D9"/>
    <w:rsid w:val="00B84205"/>
    <w:rsid w:val="00B8448D"/>
    <w:rsid w:val="00B92193"/>
    <w:rsid w:val="00B97A00"/>
    <w:rsid w:val="00BA2647"/>
    <w:rsid w:val="00BA372A"/>
    <w:rsid w:val="00BA3E27"/>
    <w:rsid w:val="00BA51F6"/>
    <w:rsid w:val="00BA6BA6"/>
    <w:rsid w:val="00BB07C1"/>
    <w:rsid w:val="00BB0DB3"/>
    <w:rsid w:val="00BB100A"/>
    <w:rsid w:val="00BB229B"/>
    <w:rsid w:val="00BB7294"/>
    <w:rsid w:val="00BC01E9"/>
    <w:rsid w:val="00BC3A85"/>
    <w:rsid w:val="00BC5EF5"/>
    <w:rsid w:val="00BC73DD"/>
    <w:rsid w:val="00BD1124"/>
    <w:rsid w:val="00BD52C6"/>
    <w:rsid w:val="00BD6807"/>
    <w:rsid w:val="00BE0DE8"/>
    <w:rsid w:val="00BE10BD"/>
    <w:rsid w:val="00BF11EA"/>
    <w:rsid w:val="00C00328"/>
    <w:rsid w:val="00C025E8"/>
    <w:rsid w:val="00C03828"/>
    <w:rsid w:val="00C07286"/>
    <w:rsid w:val="00C117C5"/>
    <w:rsid w:val="00C131D2"/>
    <w:rsid w:val="00C1702F"/>
    <w:rsid w:val="00C20405"/>
    <w:rsid w:val="00C21915"/>
    <w:rsid w:val="00C26010"/>
    <w:rsid w:val="00C2708A"/>
    <w:rsid w:val="00C30AB0"/>
    <w:rsid w:val="00C334F4"/>
    <w:rsid w:val="00C34A57"/>
    <w:rsid w:val="00C3593C"/>
    <w:rsid w:val="00C3629B"/>
    <w:rsid w:val="00C401F0"/>
    <w:rsid w:val="00C40311"/>
    <w:rsid w:val="00C408E7"/>
    <w:rsid w:val="00C41753"/>
    <w:rsid w:val="00C41842"/>
    <w:rsid w:val="00C41BDB"/>
    <w:rsid w:val="00C42EE4"/>
    <w:rsid w:val="00C44774"/>
    <w:rsid w:val="00C4564E"/>
    <w:rsid w:val="00C57B35"/>
    <w:rsid w:val="00C57E4F"/>
    <w:rsid w:val="00C64353"/>
    <w:rsid w:val="00C6725E"/>
    <w:rsid w:val="00C67885"/>
    <w:rsid w:val="00C70726"/>
    <w:rsid w:val="00C72707"/>
    <w:rsid w:val="00C75A0B"/>
    <w:rsid w:val="00C76C98"/>
    <w:rsid w:val="00C8523F"/>
    <w:rsid w:val="00CA00CB"/>
    <w:rsid w:val="00CA1583"/>
    <w:rsid w:val="00CB008F"/>
    <w:rsid w:val="00CB17BC"/>
    <w:rsid w:val="00CB3683"/>
    <w:rsid w:val="00CB4873"/>
    <w:rsid w:val="00CB4D7E"/>
    <w:rsid w:val="00CB7569"/>
    <w:rsid w:val="00CB760B"/>
    <w:rsid w:val="00CC3D13"/>
    <w:rsid w:val="00CC56E7"/>
    <w:rsid w:val="00CC671C"/>
    <w:rsid w:val="00CC6CDC"/>
    <w:rsid w:val="00CC77B6"/>
    <w:rsid w:val="00CD3EB0"/>
    <w:rsid w:val="00CD5094"/>
    <w:rsid w:val="00CD7E02"/>
    <w:rsid w:val="00CE2FAA"/>
    <w:rsid w:val="00CE2FE9"/>
    <w:rsid w:val="00CE37C1"/>
    <w:rsid w:val="00CE3ADF"/>
    <w:rsid w:val="00CE6652"/>
    <w:rsid w:val="00CE72CD"/>
    <w:rsid w:val="00CE72E7"/>
    <w:rsid w:val="00CF2B66"/>
    <w:rsid w:val="00CF5630"/>
    <w:rsid w:val="00D022E1"/>
    <w:rsid w:val="00D06D7A"/>
    <w:rsid w:val="00D06F19"/>
    <w:rsid w:val="00D072AA"/>
    <w:rsid w:val="00D10DF8"/>
    <w:rsid w:val="00D1163D"/>
    <w:rsid w:val="00D13EBE"/>
    <w:rsid w:val="00D145E3"/>
    <w:rsid w:val="00D15309"/>
    <w:rsid w:val="00D15BCE"/>
    <w:rsid w:val="00D24855"/>
    <w:rsid w:val="00D24BA0"/>
    <w:rsid w:val="00D318D1"/>
    <w:rsid w:val="00D328D2"/>
    <w:rsid w:val="00D32EFD"/>
    <w:rsid w:val="00D42CFB"/>
    <w:rsid w:val="00D449E2"/>
    <w:rsid w:val="00D4534C"/>
    <w:rsid w:val="00D506DD"/>
    <w:rsid w:val="00D51C49"/>
    <w:rsid w:val="00D52F79"/>
    <w:rsid w:val="00D538B0"/>
    <w:rsid w:val="00D55B3B"/>
    <w:rsid w:val="00D572D1"/>
    <w:rsid w:val="00D600FE"/>
    <w:rsid w:val="00D62E3D"/>
    <w:rsid w:val="00D67361"/>
    <w:rsid w:val="00D67EE8"/>
    <w:rsid w:val="00D70211"/>
    <w:rsid w:val="00D717F6"/>
    <w:rsid w:val="00D734F8"/>
    <w:rsid w:val="00D752C0"/>
    <w:rsid w:val="00D85423"/>
    <w:rsid w:val="00D91EF8"/>
    <w:rsid w:val="00DA1A29"/>
    <w:rsid w:val="00DA1D6B"/>
    <w:rsid w:val="00DA252A"/>
    <w:rsid w:val="00DA3E71"/>
    <w:rsid w:val="00DA45F3"/>
    <w:rsid w:val="00DB3A13"/>
    <w:rsid w:val="00DB6593"/>
    <w:rsid w:val="00DC217B"/>
    <w:rsid w:val="00DC4A17"/>
    <w:rsid w:val="00DC5F39"/>
    <w:rsid w:val="00DD06B1"/>
    <w:rsid w:val="00DD1EE8"/>
    <w:rsid w:val="00DD258E"/>
    <w:rsid w:val="00DD273C"/>
    <w:rsid w:val="00DD4CD4"/>
    <w:rsid w:val="00DD55E9"/>
    <w:rsid w:val="00DD6709"/>
    <w:rsid w:val="00DD7944"/>
    <w:rsid w:val="00DE0FC7"/>
    <w:rsid w:val="00DE3591"/>
    <w:rsid w:val="00DE3ED5"/>
    <w:rsid w:val="00DE593F"/>
    <w:rsid w:val="00DE6254"/>
    <w:rsid w:val="00DE7337"/>
    <w:rsid w:val="00DE7455"/>
    <w:rsid w:val="00DF0B23"/>
    <w:rsid w:val="00DF62B9"/>
    <w:rsid w:val="00E02B81"/>
    <w:rsid w:val="00E055EF"/>
    <w:rsid w:val="00E14C71"/>
    <w:rsid w:val="00E166B2"/>
    <w:rsid w:val="00E17A5E"/>
    <w:rsid w:val="00E17BCB"/>
    <w:rsid w:val="00E17CF3"/>
    <w:rsid w:val="00E2100C"/>
    <w:rsid w:val="00E2581B"/>
    <w:rsid w:val="00E26150"/>
    <w:rsid w:val="00E30118"/>
    <w:rsid w:val="00E3089C"/>
    <w:rsid w:val="00E3273A"/>
    <w:rsid w:val="00E32B30"/>
    <w:rsid w:val="00E33F8A"/>
    <w:rsid w:val="00E34BAD"/>
    <w:rsid w:val="00E37720"/>
    <w:rsid w:val="00E40730"/>
    <w:rsid w:val="00E416EA"/>
    <w:rsid w:val="00E4191E"/>
    <w:rsid w:val="00E42D81"/>
    <w:rsid w:val="00E47778"/>
    <w:rsid w:val="00E505D9"/>
    <w:rsid w:val="00E54A59"/>
    <w:rsid w:val="00E54D74"/>
    <w:rsid w:val="00E55844"/>
    <w:rsid w:val="00E60AF1"/>
    <w:rsid w:val="00E61761"/>
    <w:rsid w:val="00E61CAC"/>
    <w:rsid w:val="00E62CC6"/>
    <w:rsid w:val="00E649F5"/>
    <w:rsid w:val="00E66E2E"/>
    <w:rsid w:val="00E72F72"/>
    <w:rsid w:val="00E755C8"/>
    <w:rsid w:val="00E75AF4"/>
    <w:rsid w:val="00E75C3F"/>
    <w:rsid w:val="00E77B69"/>
    <w:rsid w:val="00E80DA5"/>
    <w:rsid w:val="00E82074"/>
    <w:rsid w:val="00E83644"/>
    <w:rsid w:val="00E87E14"/>
    <w:rsid w:val="00E904DE"/>
    <w:rsid w:val="00E922B5"/>
    <w:rsid w:val="00E94C68"/>
    <w:rsid w:val="00E95DD4"/>
    <w:rsid w:val="00E96E73"/>
    <w:rsid w:val="00E9729D"/>
    <w:rsid w:val="00E97D2D"/>
    <w:rsid w:val="00EA188F"/>
    <w:rsid w:val="00EA1DEA"/>
    <w:rsid w:val="00EA407B"/>
    <w:rsid w:val="00EA63EC"/>
    <w:rsid w:val="00EB1D4F"/>
    <w:rsid w:val="00EB2457"/>
    <w:rsid w:val="00EB4D1D"/>
    <w:rsid w:val="00EB5D46"/>
    <w:rsid w:val="00EB7405"/>
    <w:rsid w:val="00EC5391"/>
    <w:rsid w:val="00EC6E84"/>
    <w:rsid w:val="00ED2C57"/>
    <w:rsid w:val="00ED5094"/>
    <w:rsid w:val="00EE2961"/>
    <w:rsid w:val="00EF4217"/>
    <w:rsid w:val="00EF56E7"/>
    <w:rsid w:val="00F019C3"/>
    <w:rsid w:val="00F01A30"/>
    <w:rsid w:val="00F022C9"/>
    <w:rsid w:val="00F02C27"/>
    <w:rsid w:val="00F056FC"/>
    <w:rsid w:val="00F166B2"/>
    <w:rsid w:val="00F16A95"/>
    <w:rsid w:val="00F17733"/>
    <w:rsid w:val="00F243D3"/>
    <w:rsid w:val="00F27337"/>
    <w:rsid w:val="00F2745E"/>
    <w:rsid w:val="00F2747C"/>
    <w:rsid w:val="00F32377"/>
    <w:rsid w:val="00F3556D"/>
    <w:rsid w:val="00F370B6"/>
    <w:rsid w:val="00F372F2"/>
    <w:rsid w:val="00F40BAA"/>
    <w:rsid w:val="00F42246"/>
    <w:rsid w:val="00F45191"/>
    <w:rsid w:val="00F53F9F"/>
    <w:rsid w:val="00F55A5A"/>
    <w:rsid w:val="00F72E65"/>
    <w:rsid w:val="00F73F0D"/>
    <w:rsid w:val="00F73FCB"/>
    <w:rsid w:val="00F742C0"/>
    <w:rsid w:val="00F75D47"/>
    <w:rsid w:val="00F75DA7"/>
    <w:rsid w:val="00F76BC2"/>
    <w:rsid w:val="00F8094C"/>
    <w:rsid w:val="00F82C7E"/>
    <w:rsid w:val="00F85881"/>
    <w:rsid w:val="00F86F6F"/>
    <w:rsid w:val="00F87830"/>
    <w:rsid w:val="00F9117C"/>
    <w:rsid w:val="00F92E20"/>
    <w:rsid w:val="00F938BA"/>
    <w:rsid w:val="00F93902"/>
    <w:rsid w:val="00F97E27"/>
    <w:rsid w:val="00FA24F2"/>
    <w:rsid w:val="00FA6CBA"/>
    <w:rsid w:val="00FB091D"/>
    <w:rsid w:val="00FB1991"/>
    <w:rsid w:val="00FB60F2"/>
    <w:rsid w:val="00FB711C"/>
    <w:rsid w:val="00FC0B91"/>
    <w:rsid w:val="00FC2DE7"/>
    <w:rsid w:val="00FC5ABE"/>
    <w:rsid w:val="00FD07C2"/>
    <w:rsid w:val="00FD1072"/>
    <w:rsid w:val="00FD2382"/>
    <w:rsid w:val="00FD63AC"/>
    <w:rsid w:val="00FD729C"/>
    <w:rsid w:val="00FE01CE"/>
    <w:rsid w:val="00FE13CE"/>
    <w:rsid w:val="00FE596E"/>
    <w:rsid w:val="00FE6B81"/>
    <w:rsid w:val="00FF256B"/>
    <w:rsid w:val="00FF2B21"/>
    <w:rsid w:val="00FF3494"/>
    <w:rsid w:val="00FF40E6"/>
    <w:rsid w:val="00FF5161"/>
    <w:rsid w:val="00FF7C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E84D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4"/>
        <w:szCs w:val="24"/>
        <w:lang w:val="en-US" w:eastAsia="en-US" w:bidi="ar-SA"/>
      </w:rPr>
    </w:rPrDefault>
    <w:pPrDefault>
      <w:pPr>
        <w:spacing w:after="16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66CE"/>
    <w:rPr>
      <w:color w:val="9454C3" w:themeColor="hyperlink"/>
      <w:u w:val="single"/>
    </w:rPr>
  </w:style>
  <w:style w:type="character" w:styleId="CommentReference">
    <w:name w:val="annotation reference"/>
    <w:basedOn w:val="DefaultParagraphFont"/>
    <w:uiPriority w:val="99"/>
    <w:semiHidden/>
    <w:unhideWhenUsed/>
    <w:rsid w:val="002966CE"/>
    <w:rPr>
      <w:sz w:val="16"/>
      <w:szCs w:val="16"/>
    </w:rPr>
  </w:style>
  <w:style w:type="paragraph" w:styleId="CommentText">
    <w:name w:val="annotation text"/>
    <w:basedOn w:val="Normal"/>
    <w:link w:val="CommentTextChar"/>
    <w:uiPriority w:val="99"/>
    <w:semiHidden/>
    <w:unhideWhenUsed/>
    <w:rsid w:val="002966CE"/>
    <w:rPr>
      <w:sz w:val="20"/>
      <w:szCs w:val="20"/>
    </w:rPr>
  </w:style>
  <w:style w:type="character" w:customStyle="1" w:styleId="CommentTextChar">
    <w:name w:val="Comment Text Char"/>
    <w:basedOn w:val="DefaultParagraphFont"/>
    <w:link w:val="CommentText"/>
    <w:uiPriority w:val="99"/>
    <w:semiHidden/>
    <w:rsid w:val="002966CE"/>
    <w:rPr>
      <w:sz w:val="20"/>
      <w:szCs w:val="20"/>
    </w:rPr>
  </w:style>
  <w:style w:type="paragraph" w:styleId="NormalWeb">
    <w:name w:val="Normal (Web)"/>
    <w:basedOn w:val="Normal"/>
    <w:uiPriority w:val="99"/>
    <w:unhideWhenUsed/>
    <w:rsid w:val="002966CE"/>
    <w:pPr>
      <w:spacing w:before="100" w:beforeAutospacing="1" w:after="100" w:afterAutospacing="1"/>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2966C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966CE"/>
    <w:rPr>
      <w:rFonts w:ascii="Times New Roman" w:hAnsi="Times New Roman" w:cs="Times New Roman"/>
      <w:sz w:val="18"/>
      <w:szCs w:val="18"/>
    </w:rPr>
  </w:style>
  <w:style w:type="character" w:styleId="LineNumber">
    <w:name w:val="line number"/>
    <w:basedOn w:val="DefaultParagraphFont"/>
    <w:uiPriority w:val="99"/>
    <w:semiHidden/>
    <w:unhideWhenUsed/>
    <w:rsid w:val="001E6672"/>
  </w:style>
  <w:style w:type="paragraph" w:styleId="Header">
    <w:name w:val="header"/>
    <w:basedOn w:val="Normal"/>
    <w:link w:val="HeaderChar"/>
    <w:uiPriority w:val="99"/>
    <w:unhideWhenUsed/>
    <w:rsid w:val="00564095"/>
    <w:pPr>
      <w:tabs>
        <w:tab w:val="center" w:pos="4680"/>
        <w:tab w:val="right" w:pos="9360"/>
      </w:tabs>
    </w:pPr>
  </w:style>
  <w:style w:type="character" w:customStyle="1" w:styleId="HeaderChar">
    <w:name w:val="Header Char"/>
    <w:basedOn w:val="DefaultParagraphFont"/>
    <w:link w:val="Header"/>
    <w:uiPriority w:val="99"/>
    <w:rsid w:val="00564095"/>
  </w:style>
  <w:style w:type="paragraph" w:styleId="Footer">
    <w:name w:val="footer"/>
    <w:basedOn w:val="Normal"/>
    <w:link w:val="FooterChar"/>
    <w:uiPriority w:val="99"/>
    <w:unhideWhenUsed/>
    <w:rsid w:val="00564095"/>
    <w:pPr>
      <w:tabs>
        <w:tab w:val="center" w:pos="4680"/>
        <w:tab w:val="right" w:pos="9360"/>
      </w:tabs>
    </w:pPr>
  </w:style>
  <w:style w:type="character" w:customStyle="1" w:styleId="FooterChar">
    <w:name w:val="Footer Char"/>
    <w:basedOn w:val="DefaultParagraphFont"/>
    <w:link w:val="Footer"/>
    <w:uiPriority w:val="99"/>
    <w:rsid w:val="00564095"/>
  </w:style>
  <w:style w:type="table" w:styleId="TableGrid">
    <w:name w:val="Table Grid"/>
    <w:basedOn w:val="TableNormal"/>
    <w:uiPriority w:val="39"/>
    <w:rsid w:val="006B3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72703"/>
    <w:pPr>
      <w:ind w:left="720"/>
      <w:contextualSpacing/>
    </w:pPr>
  </w:style>
  <w:style w:type="table" w:customStyle="1" w:styleId="GridTable1Light">
    <w:name w:val="Grid Table 1 Light"/>
    <w:basedOn w:val="TableNormal"/>
    <w:uiPriority w:val="46"/>
    <w:rsid w:val="0012204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8A6CAD"/>
  </w:style>
  <w:style w:type="paragraph" w:styleId="Caption">
    <w:name w:val="caption"/>
    <w:basedOn w:val="Normal"/>
    <w:next w:val="Normal"/>
    <w:uiPriority w:val="35"/>
    <w:unhideWhenUsed/>
    <w:qFormat/>
    <w:rsid w:val="00033C66"/>
    <w:pPr>
      <w:spacing w:after="200" w:line="240" w:lineRule="auto"/>
    </w:pPr>
    <w:rPr>
      <w:i/>
      <w:iCs/>
      <w:color w:val="1F282E" w:themeColor="text2"/>
      <w:sz w:val="18"/>
      <w:szCs w:val="18"/>
    </w:rPr>
  </w:style>
  <w:style w:type="paragraph" w:styleId="CommentSubject">
    <w:name w:val="annotation subject"/>
    <w:basedOn w:val="CommentText"/>
    <w:next w:val="CommentText"/>
    <w:link w:val="CommentSubjectChar"/>
    <w:uiPriority w:val="99"/>
    <w:semiHidden/>
    <w:unhideWhenUsed/>
    <w:rsid w:val="00000B0E"/>
    <w:pPr>
      <w:spacing w:line="240" w:lineRule="auto"/>
    </w:pPr>
    <w:rPr>
      <w:b/>
      <w:bCs/>
    </w:rPr>
  </w:style>
  <w:style w:type="character" w:customStyle="1" w:styleId="CommentSubjectChar">
    <w:name w:val="Comment Subject Char"/>
    <w:basedOn w:val="CommentTextChar"/>
    <w:link w:val="CommentSubject"/>
    <w:uiPriority w:val="99"/>
    <w:semiHidden/>
    <w:rsid w:val="00000B0E"/>
    <w:rPr>
      <w:b/>
      <w:bCs/>
      <w:sz w:val="20"/>
      <w:szCs w:val="20"/>
    </w:rPr>
  </w:style>
  <w:style w:type="character" w:styleId="FollowedHyperlink">
    <w:name w:val="FollowedHyperlink"/>
    <w:basedOn w:val="DefaultParagraphFont"/>
    <w:uiPriority w:val="99"/>
    <w:semiHidden/>
    <w:unhideWhenUsed/>
    <w:rsid w:val="000B55B1"/>
    <w:rPr>
      <w:color w:val="3EBBF0" w:themeColor="followedHyperlink"/>
      <w:u w:val="single"/>
    </w:rPr>
  </w:style>
  <w:style w:type="table" w:customStyle="1" w:styleId="GridTable1Light1">
    <w:name w:val="Grid Table 1 Light1"/>
    <w:basedOn w:val="TableNormal"/>
    <w:next w:val="GridTable1Light"/>
    <w:uiPriority w:val="46"/>
    <w:rsid w:val="007C203A"/>
    <w:pPr>
      <w:spacing w:after="0"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nresolvedMention">
    <w:name w:val="Unresolved Mention"/>
    <w:basedOn w:val="DefaultParagraphFont"/>
    <w:uiPriority w:val="99"/>
    <w:semiHidden/>
    <w:unhideWhenUsed/>
    <w:rsid w:val="00907B29"/>
    <w:rPr>
      <w:color w:val="605E5C"/>
      <w:shd w:val="clear" w:color="auto" w:fill="E1DFDD"/>
    </w:rPr>
  </w:style>
  <w:style w:type="character" w:styleId="PageNumber">
    <w:name w:val="page number"/>
    <w:basedOn w:val="DefaultParagraphFont"/>
    <w:uiPriority w:val="99"/>
    <w:semiHidden/>
    <w:unhideWhenUsed/>
    <w:rsid w:val="000D3B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4"/>
        <w:szCs w:val="24"/>
        <w:lang w:val="en-US" w:eastAsia="en-US" w:bidi="ar-SA"/>
      </w:rPr>
    </w:rPrDefault>
    <w:pPrDefault>
      <w:pPr>
        <w:spacing w:after="160" w:line="48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66CE"/>
    <w:rPr>
      <w:color w:val="9454C3" w:themeColor="hyperlink"/>
      <w:u w:val="single"/>
    </w:rPr>
  </w:style>
  <w:style w:type="character" w:styleId="CommentReference">
    <w:name w:val="annotation reference"/>
    <w:basedOn w:val="DefaultParagraphFont"/>
    <w:uiPriority w:val="99"/>
    <w:semiHidden/>
    <w:unhideWhenUsed/>
    <w:rsid w:val="002966CE"/>
    <w:rPr>
      <w:sz w:val="16"/>
      <w:szCs w:val="16"/>
    </w:rPr>
  </w:style>
  <w:style w:type="paragraph" w:styleId="CommentText">
    <w:name w:val="annotation text"/>
    <w:basedOn w:val="Normal"/>
    <w:link w:val="CommentTextChar"/>
    <w:uiPriority w:val="99"/>
    <w:semiHidden/>
    <w:unhideWhenUsed/>
    <w:rsid w:val="002966CE"/>
    <w:rPr>
      <w:sz w:val="20"/>
      <w:szCs w:val="20"/>
    </w:rPr>
  </w:style>
  <w:style w:type="character" w:customStyle="1" w:styleId="CommentTextChar">
    <w:name w:val="Comment Text Char"/>
    <w:basedOn w:val="DefaultParagraphFont"/>
    <w:link w:val="CommentText"/>
    <w:uiPriority w:val="99"/>
    <w:semiHidden/>
    <w:rsid w:val="002966CE"/>
    <w:rPr>
      <w:sz w:val="20"/>
      <w:szCs w:val="20"/>
    </w:rPr>
  </w:style>
  <w:style w:type="paragraph" w:styleId="NormalWeb">
    <w:name w:val="Normal (Web)"/>
    <w:basedOn w:val="Normal"/>
    <w:uiPriority w:val="99"/>
    <w:unhideWhenUsed/>
    <w:rsid w:val="002966CE"/>
    <w:pPr>
      <w:spacing w:before="100" w:beforeAutospacing="1" w:after="100" w:afterAutospacing="1"/>
    </w:pPr>
    <w:rPr>
      <w:rFonts w:ascii="Times New Roman" w:eastAsia="Times New Roman" w:hAnsi="Times New Roman" w:cs="Times New Roman"/>
    </w:rPr>
  </w:style>
  <w:style w:type="paragraph" w:styleId="BalloonText">
    <w:name w:val="Balloon Text"/>
    <w:basedOn w:val="Normal"/>
    <w:link w:val="BalloonTextChar"/>
    <w:uiPriority w:val="99"/>
    <w:semiHidden/>
    <w:unhideWhenUsed/>
    <w:rsid w:val="002966CE"/>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2966CE"/>
    <w:rPr>
      <w:rFonts w:ascii="Times New Roman" w:hAnsi="Times New Roman" w:cs="Times New Roman"/>
      <w:sz w:val="18"/>
      <w:szCs w:val="18"/>
    </w:rPr>
  </w:style>
  <w:style w:type="character" w:styleId="LineNumber">
    <w:name w:val="line number"/>
    <w:basedOn w:val="DefaultParagraphFont"/>
    <w:uiPriority w:val="99"/>
    <w:semiHidden/>
    <w:unhideWhenUsed/>
    <w:rsid w:val="001E6672"/>
  </w:style>
  <w:style w:type="paragraph" w:styleId="Header">
    <w:name w:val="header"/>
    <w:basedOn w:val="Normal"/>
    <w:link w:val="HeaderChar"/>
    <w:uiPriority w:val="99"/>
    <w:unhideWhenUsed/>
    <w:rsid w:val="00564095"/>
    <w:pPr>
      <w:tabs>
        <w:tab w:val="center" w:pos="4680"/>
        <w:tab w:val="right" w:pos="9360"/>
      </w:tabs>
    </w:pPr>
  </w:style>
  <w:style w:type="character" w:customStyle="1" w:styleId="HeaderChar">
    <w:name w:val="Header Char"/>
    <w:basedOn w:val="DefaultParagraphFont"/>
    <w:link w:val="Header"/>
    <w:uiPriority w:val="99"/>
    <w:rsid w:val="00564095"/>
  </w:style>
  <w:style w:type="paragraph" w:styleId="Footer">
    <w:name w:val="footer"/>
    <w:basedOn w:val="Normal"/>
    <w:link w:val="FooterChar"/>
    <w:uiPriority w:val="99"/>
    <w:unhideWhenUsed/>
    <w:rsid w:val="00564095"/>
    <w:pPr>
      <w:tabs>
        <w:tab w:val="center" w:pos="4680"/>
        <w:tab w:val="right" w:pos="9360"/>
      </w:tabs>
    </w:pPr>
  </w:style>
  <w:style w:type="character" w:customStyle="1" w:styleId="FooterChar">
    <w:name w:val="Footer Char"/>
    <w:basedOn w:val="DefaultParagraphFont"/>
    <w:link w:val="Footer"/>
    <w:uiPriority w:val="99"/>
    <w:rsid w:val="00564095"/>
  </w:style>
  <w:style w:type="table" w:styleId="TableGrid">
    <w:name w:val="Table Grid"/>
    <w:basedOn w:val="TableNormal"/>
    <w:uiPriority w:val="39"/>
    <w:rsid w:val="006B34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972703"/>
    <w:pPr>
      <w:ind w:left="720"/>
      <w:contextualSpacing/>
    </w:pPr>
  </w:style>
  <w:style w:type="table" w:customStyle="1" w:styleId="GridTable1Light">
    <w:name w:val="Grid Table 1 Light"/>
    <w:basedOn w:val="TableNormal"/>
    <w:uiPriority w:val="46"/>
    <w:rsid w:val="0012204D"/>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Revision">
    <w:name w:val="Revision"/>
    <w:hidden/>
    <w:uiPriority w:val="99"/>
    <w:semiHidden/>
    <w:rsid w:val="008A6CAD"/>
  </w:style>
  <w:style w:type="paragraph" w:styleId="Caption">
    <w:name w:val="caption"/>
    <w:basedOn w:val="Normal"/>
    <w:next w:val="Normal"/>
    <w:uiPriority w:val="35"/>
    <w:unhideWhenUsed/>
    <w:qFormat/>
    <w:rsid w:val="00033C66"/>
    <w:pPr>
      <w:spacing w:after="200" w:line="240" w:lineRule="auto"/>
    </w:pPr>
    <w:rPr>
      <w:i/>
      <w:iCs/>
      <w:color w:val="1F282E" w:themeColor="text2"/>
      <w:sz w:val="18"/>
      <w:szCs w:val="18"/>
    </w:rPr>
  </w:style>
  <w:style w:type="paragraph" w:styleId="CommentSubject">
    <w:name w:val="annotation subject"/>
    <w:basedOn w:val="CommentText"/>
    <w:next w:val="CommentText"/>
    <w:link w:val="CommentSubjectChar"/>
    <w:uiPriority w:val="99"/>
    <w:semiHidden/>
    <w:unhideWhenUsed/>
    <w:rsid w:val="00000B0E"/>
    <w:pPr>
      <w:spacing w:line="240" w:lineRule="auto"/>
    </w:pPr>
    <w:rPr>
      <w:b/>
      <w:bCs/>
    </w:rPr>
  </w:style>
  <w:style w:type="character" w:customStyle="1" w:styleId="CommentSubjectChar">
    <w:name w:val="Comment Subject Char"/>
    <w:basedOn w:val="CommentTextChar"/>
    <w:link w:val="CommentSubject"/>
    <w:uiPriority w:val="99"/>
    <w:semiHidden/>
    <w:rsid w:val="00000B0E"/>
    <w:rPr>
      <w:b/>
      <w:bCs/>
      <w:sz w:val="20"/>
      <w:szCs w:val="20"/>
    </w:rPr>
  </w:style>
  <w:style w:type="character" w:styleId="FollowedHyperlink">
    <w:name w:val="FollowedHyperlink"/>
    <w:basedOn w:val="DefaultParagraphFont"/>
    <w:uiPriority w:val="99"/>
    <w:semiHidden/>
    <w:unhideWhenUsed/>
    <w:rsid w:val="000B55B1"/>
    <w:rPr>
      <w:color w:val="3EBBF0" w:themeColor="followedHyperlink"/>
      <w:u w:val="single"/>
    </w:rPr>
  </w:style>
  <w:style w:type="table" w:customStyle="1" w:styleId="GridTable1Light1">
    <w:name w:val="Grid Table 1 Light1"/>
    <w:basedOn w:val="TableNormal"/>
    <w:next w:val="GridTable1Light"/>
    <w:uiPriority w:val="46"/>
    <w:rsid w:val="007C203A"/>
    <w:pPr>
      <w:spacing w:after="0" w:line="240" w:lineRule="auto"/>
    </w:p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UnresolvedMention">
    <w:name w:val="Unresolved Mention"/>
    <w:basedOn w:val="DefaultParagraphFont"/>
    <w:uiPriority w:val="99"/>
    <w:semiHidden/>
    <w:unhideWhenUsed/>
    <w:rsid w:val="00907B29"/>
    <w:rPr>
      <w:color w:val="605E5C"/>
      <w:shd w:val="clear" w:color="auto" w:fill="E1DFDD"/>
    </w:rPr>
  </w:style>
  <w:style w:type="character" w:styleId="PageNumber">
    <w:name w:val="page number"/>
    <w:basedOn w:val="DefaultParagraphFont"/>
    <w:uiPriority w:val="99"/>
    <w:semiHidden/>
    <w:unhideWhenUsed/>
    <w:rsid w:val="000D3B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0183329">
      <w:bodyDiv w:val="1"/>
      <w:marLeft w:val="0"/>
      <w:marRight w:val="0"/>
      <w:marTop w:val="0"/>
      <w:marBottom w:val="0"/>
      <w:divBdr>
        <w:top w:val="none" w:sz="0" w:space="0" w:color="auto"/>
        <w:left w:val="none" w:sz="0" w:space="0" w:color="auto"/>
        <w:bottom w:val="none" w:sz="0" w:space="0" w:color="auto"/>
        <w:right w:val="none" w:sz="0" w:space="0" w:color="auto"/>
      </w:divBdr>
    </w:div>
    <w:div w:id="63766836">
      <w:bodyDiv w:val="1"/>
      <w:marLeft w:val="0"/>
      <w:marRight w:val="0"/>
      <w:marTop w:val="0"/>
      <w:marBottom w:val="0"/>
      <w:divBdr>
        <w:top w:val="none" w:sz="0" w:space="0" w:color="auto"/>
        <w:left w:val="none" w:sz="0" w:space="0" w:color="auto"/>
        <w:bottom w:val="none" w:sz="0" w:space="0" w:color="auto"/>
        <w:right w:val="none" w:sz="0" w:space="0" w:color="auto"/>
      </w:divBdr>
    </w:div>
    <w:div w:id="114756310">
      <w:bodyDiv w:val="1"/>
      <w:marLeft w:val="0"/>
      <w:marRight w:val="0"/>
      <w:marTop w:val="0"/>
      <w:marBottom w:val="0"/>
      <w:divBdr>
        <w:top w:val="none" w:sz="0" w:space="0" w:color="auto"/>
        <w:left w:val="none" w:sz="0" w:space="0" w:color="auto"/>
        <w:bottom w:val="none" w:sz="0" w:space="0" w:color="auto"/>
        <w:right w:val="none" w:sz="0" w:space="0" w:color="auto"/>
      </w:divBdr>
    </w:div>
    <w:div w:id="130027442">
      <w:bodyDiv w:val="1"/>
      <w:marLeft w:val="0"/>
      <w:marRight w:val="0"/>
      <w:marTop w:val="0"/>
      <w:marBottom w:val="0"/>
      <w:divBdr>
        <w:top w:val="none" w:sz="0" w:space="0" w:color="auto"/>
        <w:left w:val="none" w:sz="0" w:space="0" w:color="auto"/>
        <w:bottom w:val="none" w:sz="0" w:space="0" w:color="auto"/>
        <w:right w:val="none" w:sz="0" w:space="0" w:color="auto"/>
      </w:divBdr>
    </w:div>
    <w:div w:id="134104317">
      <w:bodyDiv w:val="1"/>
      <w:marLeft w:val="0"/>
      <w:marRight w:val="0"/>
      <w:marTop w:val="0"/>
      <w:marBottom w:val="0"/>
      <w:divBdr>
        <w:top w:val="none" w:sz="0" w:space="0" w:color="auto"/>
        <w:left w:val="none" w:sz="0" w:space="0" w:color="auto"/>
        <w:bottom w:val="none" w:sz="0" w:space="0" w:color="auto"/>
        <w:right w:val="none" w:sz="0" w:space="0" w:color="auto"/>
      </w:divBdr>
    </w:div>
    <w:div w:id="134757042">
      <w:bodyDiv w:val="1"/>
      <w:marLeft w:val="0"/>
      <w:marRight w:val="0"/>
      <w:marTop w:val="0"/>
      <w:marBottom w:val="0"/>
      <w:divBdr>
        <w:top w:val="none" w:sz="0" w:space="0" w:color="auto"/>
        <w:left w:val="none" w:sz="0" w:space="0" w:color="auto"/>
        <w:bottom w:val="none" w:sz="0" w:space="0" w:color="auto"/>
        <w:right w:val="none" w:sz="0" w:space="0" w:color="auto"/>
      </w:divBdr>
    </w:div>
    <w:div w:id="181746561">
      <w:bodyDiv w:val="1"/>
      <w:marLeft w:val="0"/>
      <w:marRight w:val="0"/>
      <w:marTop w:val="0"/>
      <w:marBottom w:val="0"/>
      <w:divBdr>
        <w:top w:val="none" w:sz="0" w:space="0" w:color="auto"/>
        <w:left w:val="none" w:sz="0" w:space="0" w:color="auto"/>
        <w:bottom w:val="none" w:sz="0" w:space="0" w:color="auto"/>
        <w:right w:val="none" w:sz="0" w:space="0" w:color="auto"/>
      </w:divBdr>
    </w:div>
    <w:div w:id="196167837">
      <w:bodyDiv w:val="1"/>
      <w:marLeft w:val="0"/>
      <w:marRight w:val="0"/>
      <w:marTop w:val="0"/>
      <w:marBottom w:val="0"/>
      <w:divBdr>
        <w:top w:val="none" w:sz="0" w:space="0" w:color="auto"/>
        <w:left w:val="none" w:sz="0" w:space="0" w:color="auto"/>
        <w:bottom w:val="none" w:sz="0" w:space="0" w:color="auto"/>
        <w:right w:val="none" w:sz="0" w:space="0" w:color="auto"/>
      </w:divBdr>
    </w:div>
    <w:div w:id="369498552">
      <w:bodyDiv w:val="1"/>
      <w:marLeft w:val="0"/>
      <w:marRight w:val="0"/>
      <w:marTop w:val="0"/>
      <w:marBottom w:val="0"/>
      <w:divBdr>
        <w:top w:val="none" w:sz="0" w:space="0" w:color="auto"/>
        <w:left w:val="none" w:sz="0" w:space="0" w:color="auto"/>
        <w:bottom w:val="none" w:sz="0" w:space="0" w:color="auto"/>
        <w:right w:val="none" w:sz="0" w:space="0" w:color="auto"/>
      </w:divBdr>
    </w:div>
    <w:div w:id="390616044">
      <w:bodyDiv w:val="1"/>
      <w:marLeft w:val="0"/>
      <w:marRight w:val="0"/>
      <w:marTop w:val="0"/>
      <w:marBottom w:val="0"/>
      <w:divBdr>
        <w:top w:val="none" w:sz="0" w:space="0" w:color="auto"/>
        <w:left w:val="none" w:sz="0" w:space="0" w:color="auto"/>
        <w:bottom w:val="none" w:sz="0" w:space="0" w:color="auto"/>
        <w:right w:val="none" w:sz="0" w:space="0" w:color="auto"/>
      </w:divBdr>
    </w:div>
    <w:div w:id="415593679">
      <w:bodyDiv w:val="1"/>
      <w:marLeft w:val="0"/>
      <w:marRight w:val="0"/>
      <w:marTop w:val="0"/>
      <w:marBottom w:val="0"/>
      <w:divBdr>
        <w:top w:val="none" w:sz="0" w:space="0" w:color="auto"/>
        <w:left w:val="none" w:sz="0" w:space="0" w:color="auto"/>
        <w:bottom w:val="none" w:sz="0" w:space="0" w:color="auto"/>
        <w:right w:val="none" w:sz="0" w:space="0" w:color="auto"/>
      </w:divBdr>
    </w:div>
    <w:div w:id="423191911">
      <w:bodyDiv w:val="1"/>
      <w:marLeft w:val="0"/>
      <w:marRight w:val="0"/>
      <w:marTop w:val="0"/>
      <w:marBottom w:val="0"/>
      <w:divBdr>
        <w:top w:val="none" w:sz="0" w:space="0" w:color="auto"/>
        <w:left w:val="none" w:sz="0" w:space="0" w:color="auto"/>
        <w:bottom w:val="none" w:sz="0" w:space="0" w:color="auto"/>
        <w:right w:val="none" w:sz="0" w:space="0" w:color="auto"/>
      </w:divBdr>
      <w:divsChild>
        <w:div w:id="116158432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42338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172548">
      <w:bodyDiv w:val="1"/>
      <w:marLeft w:val="0"/>
      <w:marRight w:val="0"/>
      <w:marTop w:val="0"/>
      <w:marBottom w:val="0"/>
      <w:divBdr>
        <w:top w:val="none" w:sz="0" w:space="0" w:color="auto"/>
        <w:left w:val="none" w:sz="0" w:space="0" w:color="auto"/>
        <w:bottom w:val="none" w:sz="0" w:space="0" w:color="auto"/>
        <w:right w:val="none" w:sz="0" w:space="0" w:color="auto"/>
      </w:divBdr>
    </w:div>
    <w:div w:id="508451661">
      <w:bodyDiv w:val="1"/>
      <w:marLeft w:val="0"/>
      <w:marRight w:val="0"/>
      <w:marTop w:val="0"/>
      <w:marBottom w:val="0"/>
      <w:divBdr>
        <w:top w:val="none" w:sz="0" w:space="0" w:color="auto"/>
        <w:left w:val="none" w:sz="0" w:space="0" w:color="auto"/>
        <w:bottom w:val="none" w:sz="0" w:space="0" w:color="auto"/>
        <w:right w:val="none" w:sz="0" w:space="0" w:color="auto"/>
      </w:divBdr>
    </w:div>
    <w:div w:id="578976817">
      <w:bodyDiv w:val="1"/>
      <w:marLeft w:val="0"/>
      <w:marRight w:val="0"/>
      <w:marTop w:val="0"/>
      <w:marBottom w:val="0"/>
      <w:divBdr>
        <w:top w:val="none" w:sz="0" w:space="0" w:color="auto"/>
        <w:left w:val="none" w:sz="0" w:space="0" w:color="auto"/>
        <w:bottom w:val="none" w:sz="0" w:space="0" w:color="auto"/>
        <w:right w:val="none" w:sz="0" w:space="0" w:color="auto"/>
      </w:divBdr>
    </w:div>
    <w:div w:id="584343282">
      <w:bodyDiv w:val="1"/>
      <w:marLeft w:val="0"/>
      <w:marRight w:val="0"/>
      <w:marTop w:val="0"/>
      <w:marBottom w:val="0"/>
      <w:divBdr>
        <w:top w:val="none" w:sz="0" w:space="0" w:color="auto"/>
        <w:left w:val="none" w:sz="0" w:space="0" w:color="auto"/>
        <w:bottom w:val="none" w:sz="0" w:space="0" w:color="auto"/>
        <w:right w:val="none" w:sz="0" w:space="0" w:color="auto"/>
      </w:divBdr>
    </w:div>
    <w:div w:id="609434284">
      <w:bodyDiv w:val="1"/>
      <w:marLeft w:val="0"/>
      <w:marRight w:val="0"/>
      <w:marTop w:val="0"/>
      <w:marBottom w:val="0"/>
      <w:divBdr>
        <w:top w:val="none" w:sz="0" w:space="0" w:color="auto"/>
        <w:left w:val="none" w:sz="0" w:space="0" w:color="auto"/>
        <w:bottom w:val="none" w:sz="0" w:space="0" w:color="auto"/>
        <w:right w:val="none" w:sz="0" w:space="0" w:color="auto"/>
      </w:divBdr>
    </w:div>
    <w:div w:id="610476466">
      <w:bodyDiv w:val="1"/>
      <w:marLeft w:val="0"/>
      <w:marRight w:val="0"/>
      <w:marTop w:val="0"/>
      <w:marBottom w:val="0"/>
      <w:divBdr>
        <w:top w:val="none" w:sz="0" w:space="0" w:color="auto"/>
        <w:left w:val="none" w:sz="0" w:space="0" w:color="auto"/>
        <w:bottom w:val="none" w:sz="0" w:space="0" w:color="auto"/>
        <w:right w:val="none" w:sz="0" w:space="0" w:color="auto"/>
      </w:divBdr>
    </w:div>
    <w:div w:id="634483967">
      <w:bodyDiv w:val="1"/>
      <w:marLeft w:val="0"/>
      <w:marRight w:val="0"/>
      <w:marTop w:val="0"/>
      <w:marBottom w:val="0"/>
      <w:divBdr>
        <w:top w:val="none" w:sz="0" w:space="0" w:color="auto"/>
        <w:left w:val="none" w:sz="0" w:space="0" w:color="auto"/>
        <w:bottom w:val="none" w:sz="0" w:space="0" w:color="auto"/>
        <w:right w:val="none" w:sz="0" w:space="0" w:color="auto"/>
      </w:divBdr>
    </w:div>
    <w:div w:id="700014367">
      <w:bodyDiv w:val="1"/>
      <w:marLeft w:val="0"/>
      <w:marRight w:val="0"/>
      <w:marTop w:val="0"/>
      <w:marBottom w:val="0"/>
      <w:divBdr>
        <w:top w:val="none" w:sz="0" w:space="0" w:color="auto"/>
        <w:left w:val="none" w:sz="0" w:space="0" w:color="auto"/>
        <w:bottom w:val="none" w:sz="0" w:space="0" w:color="auto"/>
        <w:right w:val="none" w:sz="0" w:space="0" w:color="auto"/>
      </w:divBdr>
    </w:div>
    <w:div w:id="714816788">
      <w:bodyDiv w:val="1"/>
      <w:marLeft w:val="0"/>
      <w:marRight w:val="0"/>
      <w:marTop w:val="0"/>
      <w:marBottom w:val="0"/>
      <w:divBdr>
        <w:top w:val="none" w:sz="0" w:space="0" w:color="auto"/>
        <w:left w:val="none" w:sz="0" w:space="0" w:color="auto"/>
        <w:bottom w:val="none" w:sz="0" w:space="0" w:color="auto"/>
        <w:right w:val="none" w:sz="0" w:space="0" w:color="auto"/>
      </w:divBdr>
    </w:div>
    <w:div w:id="724641586">
      <w:bodyDiv w:val="1"/>
      <w:marLeft w:val="0"/>
      <w:marRight w:val="0"/>
      <w:marTop w:val="0"/>
      <w:marBottom w:val="0"/>
      <w:divBdr>
        <w:top w:val="none" w:sz="0" w:space="0" w:color="auto"/>
        <w:left w:val="none" w:sz="0" w:space="0" w:color="auto"/>
        <w:bottom w:val="none" w:sz="0" w:space="0" w:color="auto"/>
        <w:right w:val="none" w:sz="0" w:space="0" w:color="auto"/>
      </w:divBdr>
    </w:div>
    <w:div w:id="793601162">
      <w:bodyDiv w:val="1"/>
      <w:marLeft w:val="0"/>
      <w:marRight w:val="0"/>
      <w:marTop w:val="0"/>
      <w:marBottom w:val="0"/>
      <w:divBdr>
        <w:top w:val="none" w:sz="0" w:space="0" w:color="auto"/>
        <w:left w:val="none" w:sz="0" w:space="0" w:color="auto"/>
        <w:bottom w:val="none" w:sz="0" w:space="0" w:color="auto"/>
        <w:right w:val="none" w:sz="0" w:space="0" w:color="auto"/>
      </w:divBdr>
    </w:div>
    <w:div w:id="820196343">
      <w:bodyDiv w:val="1"/>
      <w:marLeft w:val="0"/>
      <w:marRight w:val="0"/>
      <w:marTop w:val="0"/>
      <w:marBottom w:val="0"/>
      <w:divBdr>
        <w:top w:val="none" w:sz="0" w:space="0" w:color="auto"/>
        <w:left w:val="none" w:sz="0" w:space="0" w:color="auto"/>
        <w:bottom w:val="none" w:sz="0" w:space="0" w:color="auto"/>
        <w:right w:val="none" w:sz="0" w:space="0" w:color="auto"/>
      </w:divBdr>
    </w:div>
    <w:div w:id="913513713">
      <w:bodyDiv w:val="1"/>
      <w:marLeft w:val="0"/>
      <w:marRight w:val="0"/>
      <w:marTop w:val="0"/>
      <w:marBottom w:val="0"/>
      <w:divBdr>
        <w:top w:val="none" w:sz="0" w:space="0" w:color="auto"/>
        <w:left w:val="none" w:sz="0" w:space="0" w:color="auto"/>
        <w:bottom w:val="none" w:sz="0" w:space="0" w:color="auto"/>
        <w:right w:val="none" w:sz="0" w:space="0" w:color="auto"/>
      </w:divBdr>
    </w:div>
    <w:div w:id="961888699">
      <w:bodyDiv w:val="1"/>
      <w:marLeft w:val="0"/>
      <w:marRight w:val="0"/>
      <w:marTop w:val="0"/>
      <w:marBottom w:val="0"/>
      <w:divBdr>
        <w:top w:val="none" w:sz="0" w:space="0" w:color="auto"/>
        <w:left w:val="none" w:sz="0" w:space="0" w:color="auto"/>
        <w:bottom w:val="none" w:sz="0" w:space="0" w:color="auto"/>
        <w:right w:val="none" w:sz="0" w:space="0" w:color="auto"/>
      </w:divBdr>
      <w:divsChild>
        <w:div w:id="41025617">
          <w:marLeft w:val="0"/>
          <w:marRight w:val="0"/>
          <w:marTop w:val="0"/>
          <w:marBottom w:val="0"/>
          <w:divBdr>
            <w:top w:val="none" w:sz="0" w:space="0" w:color="auto"/>
            <w:left w:val="none" w:sz="0" w:space="0" w:color="auto"/>
            <w:bottom w:val="none" w:sz="0" w:space="0" w:color="auto"/>
            <w:right w:val="none" w:sz="0" w:space="0" w:color="auto"/>
          </w:divBdr>
          <w:divsChild>
            <w:div w:id="272984935">
              <w:marLeft w:val="0"/>
              <w:marRight w:val="0"/>
              <w:marTop w:val="0"/>
              <w:marBottom w:val="0"/>
              <w:divBdr>
                <w:top w:val="none" w:sz="0" w:space="0" w:color="auto"/>
                <w:left w:val="none" w:sz="0" w:space="0" w:color="auto"/>
                <w:bottom w:val="none" w:sz="0" w:space="0" w:color="auto"/>
                <w:right w:val="none" w:sz="0" w:space="0" w:color="auto"/>
              </w:divBdr>
              <w:divsChild>
                <w:div w:id="1904944598">
                  <w:marLeft w:val="0"/>
                  <w:marRight w:val="0"/>
                  <w:marTop w:val="0"/>
                  <w:marBottom w:val="0"/>
                  <w:divBdr>
                    <w:top w:val="none" w:sz="0" w:space="0" w:color="auto"/>
                    <w:left w:val="none" w:sz="0" w:space="0" w:color="auto"/>
                    <w:bottom w:val="none" w:sz="0" w:space="0" w:color="auto"/>
                    <w:right w:val="none" w:sz="0" w:space="0" w:color="auto"/>
                  </w:divBdr>
                  <w:divsChild>
                    <w:div w:id="1914701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6033127">
      <w:bodyDiv w:val="1"/>
      <w:marLeft w:val="0"/>
      <w:marRight w:val="0"/>
      <w:marTop w:val="0"/>
      <w:marBottom w:val="0"/>
      <w:divBdr>
        <w:top w:val="none" w:sz="0" w:space="0" w:color="auto"/>
        <w:left w:val="none" w:sz="0" w:space="0" w:color="auto"/>
        <w:bottom w:val="none" w:sz="0" w:space="0" w:color="auto"/>
        <w:right w:val="none" w:sz="0" w:space="0" w:color="auto"/>
      </w:divBdr>
    </w:div>
    <w:div w:id="1005934807">
      <w:bodyDiv w:val="1"/>
      <w:marLeft w:val="0"/>
      <w:marRight w:val="0"/>
      <w:marTop w:val="0"/>
      <w:marBottom w:val="0"/>
      <w:divBdr>
        <w:top w:val="none" w:sz="0" w:space="0" w:color="auto"/>
        <w:left w:val="none" w:sz="0" w:space="0" w:color="auto"/>
        <w:bottom w:val="none" w:sz="0" w:space="0" w:color="auto"/>
        <w:right w:val="none" w:sz="0" w:space="0" w:color="auto"/>
      </w:divBdr>
    </w:div>
    <w:div w:id="1014498208">
      <w:bodyDiv w:val="1"/>
      <w:marLeft w:val="0"/>
      <w:marRight w:val="0"/>
      <w:marTop w:val="0"/>
      <w:marBottom w:val="0"/>
      <w:divBdr>
        <w:top w:val="none" w:sz="0" w:space="0" w:color="auto"/>
        <w:left w:val="none" w:sz="0" w:space="0" w:color="auto"/>
        <w:bottom w:val="none" w:sz="0" w:space="0" w:color="auto"/>
        <w:right w:val="none" w:sz="0" w:space="0" w:color="auto"/>
      </w:divBdr>
    </w:div>
    <w:div w:id="1018235643">
      <w:bodyDiv w:val="1"/>
      <w:marLeft w:val="0"/>
      <w:marRight w:val="0"/>
      <w:marTop w:val="0"/>
      <w:marBottom w:val="0"/>
      <w:divBdr>
        <w:top w:val="none" w:sz="0" w:space="0" w:color="auto"/>
        <w:left w:val="none" w:sz="0" w:space="0" w:color="auto"/>
        <w:bottom w:val="none" w:sz="0" w:space="0" w:color="auto"/>
        <w:right w:val="none" w:sz="0" w:space="0" w:color="auto"/>
      </w:divBdr>
    </w:div>
    <w:div w:id="1099568319">
      <w:bodyDiv w:val="1"/>
      <w:marLeft w:val="0"/>
      <w:marRight w:val="0"/>
      <w:marTop w:val="0"/>
      <w:marBottom w:val="0"/>
      <w:divBdr>
        <w:top w:val="none" w:sz="0" w:space="0" w:color="auto"/>
        <w:left w:val="none" w:sz="0" w:space="0" w:color="auto"/>
        <w:bottom w:val="none" w:sz="0" w:space="0" w:color="auto"/>
        <w:right w:val="none" w:sz="0" w:space="0" w:color="auto"/>
      </w:divBdr>
    </w:div>
    <w:div w:id="1118454660">
      <w:bodyDiv w:val="1"/>
      <w:marLeft w:val="0"/>
      <w:marRight w:val="0"/>
      <w:marTop w:val="0"/>
      <w:marBottom w:val="0"/>
      <w:divBdr>
        <w:top w:val="none" w:sz="0" w:space="0" w:color="auto"/>
        <w:left w:val="none" w:sz="0" w:space="0" w:color="auto"/>
        <w:bottom w:val="none" w:sz="0" w:space="0" w:color="auto"/>
        <w:right w:val="none" w:sz="0" w:space="0" w:color="auto"/>
      </w:divBdr>
    </w:div>
    <w:div w:id="1189687091">
      <w:bodyDiv w:val="1"/>
      <w:marLeft w:val="0"/>
      <w:marRight w:val="0"/>
      <w:marTop w:val="0"/>
      <w:marBottom w:val="0"/>
      <w:divBdr>
        <w:top w:val="none" w:sz="0" w:space="0" w:color="auto"/>
        <w:left w:val="none" w:sz="0" w:space="0" w:color="auto"/>
        <w:bottom w:val="none" w:sz="0" w:space="0" w:color="auto"/>
        <w:right w:val="none" w:sz="0" w:space="0" w:color="auto"/>
      </w:divBdr>
    </w:div>
    <w:div w:id="1293484566">
      <w:bodyDiv w:val="1"/>
      <w:marLeft w:val="0"/>
      <w:marRight w:val="0"/>
      <w:marTop w:val="0"/>
      <w:marBottom w:val="0"/>
      <w:divBdr>
        <w:top w:val="none" w:sz="0" w:space="0" w:color="auto"/>
        <w:left w:val="none" w:sz="0" w:space="0" w:color="auto"/>
        <w:bottom w:val="none" w:sz="0" w:space="0" w:color="auto"/>
        <w:right w:val="none" w:sz="0" w:space="0" w:color="auto"/>
      </w:divBdr>
    </w:div>
    <w:div w:id="1304196255">
      <w:bodyDiv w:val="1"/>
      <w:marLeft w:val="0"/>
      <w:marRight w:val="0"/>
      <w:marTop w:val="0"/>
      <w:marBottom w:val="0"/>
      <w:divBdr>
        <w:top w:val="none" w:sz="0" w:space="0" w:color="auto"/>
        <w:left w:val="none" w:sz="0" w:space="0" w:color="auto"/>
        <w:bottom w:val="none" w:sz="0" w:space="0" w:color="auto"/>
        <w:right w:val="none" w:sz="0" w:space="0" w:color="auto"/>
      </w:divBdr>
    </w:div>
    <w:div w:id="1344286623">
      <w:bodyDiv w:val="1"/>
      <w:marLeft w:val="0"/>
      <w:marRight w:val="0"/>
      <w:marTop w:val="0"/>
      <w:marBottom w:val="0"/>
      <w:divBdr>
        <w:top w:val="none" w:sz="0" w:space="0" w:color="auto"/>
        <w:left w:val="none" w:sz="0" w:space="0" w:color="auto"/>
        <w:bottom w:val="none" w:sz="0" w:space="0" w:color="auto"/>
        <w:right w:val="none" w:sz="0" w:space="0" w:color="auto"/>
      </w:divBdr>
    </w:div>
    <w:div w:id="1351031943">
      <w:bodyDiv w:val="1"/>
      <w:marLeft w:val="0"/>
      <w:marRight w:val="0"/>
      <w:marTop w:val="0"/>
      <w:marBottom w:val="0"/>
      <w:divBdr>
        <w:top w:val="none" w:sz="0" w:space="0" w:color="auto"/>
        <w:left w:val="none" w:sz="0" w:space="0" w:color="auto"/>
        <w:bottom w:val="none" w:sz="0" w:space="0" w:color="auto"/>
        <w:right w:val="none" w:sz="0" w:space="0" w:color="auto"/>
      </w:divBdr>
    </w:div>
    <w:div w:id="1372462402">
      <w:bodyDiv w:val="1"/>
      <w:marLeft w:val="0"/>
      <w:marRight w:val="0"/>
      <w:marTop w:val="0"/>
      <w:marBottom w:val="0"/>
      <w:divBdr>
        <w:top w:val="none" w:sz="0" w:space="0" w:color="auto"/>
        <w:left w:val="none" w:sz="0" w:space="0" w:color="auto"/>
        <w:bottom w:val="none" w:sz="0" w:space="0" w:color="auto"/>
        <w:right w:val="none" w:sz="0" w:space="0" w:color="auto"/>
      </w:divBdr>
    </w:div>
    <w:div w:id="1375929328">
      <w:bodyDiv w:val="1"/>
      <w:marLeft w:val="0"/>
      <w:marRight w:val="0"/>
      <w:marTop w:val="0"/>
      <w:marBottom w:val="0"/>
      <w:divBdr>
        <w:top w:val="none" w:sz="0" w:space="0" w:color="auto"/>
        <w:left w:val="none" w:sz="0" w:space="0" w:color="auto"/>
        <w:bottom w:val="none" w:sz="0" w:space="0" w:color="auto"/>
        <w:right w:val="none" w:sz="0" w:space="0" w:color="auto"/>
      </w:divBdr>
    </w:div>
    <w:div w:id="1377466035">
      <w:bodyDiv w:val="1"/>
      <w:marLeft w:val="0"/>
      <w:marRight w:val="0"/>
      <w:marTop w:val="0"/>
      <w:marBottom w:val="0"/>
      <w:divBdr>
        <w:top w:val="none" w:sz="0" w:space="0" w:color="auto"/>
        <w:left w:val="none" w:sz="0" w:space="0" w:color="auto"/>
        <w:bottom w:val="none" w:sz="0" w:space="0" w:color="auto"/>
        <w:right w:val="none" w:sz="0" w:space="0" w:color="auto"/>
      </w:divBdr>
    </w:div>
    <w:div w:id="1384910829">
      <w:bodyDiv w:val="1"/>
      <w:marLeft w:val="0"/>
      <w:marRight w:val="0"/>
      <w:marTop w:val="0"/>
      <w:marBottom w:val="0"/>
      <w:divBdr>
        <w:top w:val="none" w:sz="0" w:space="0" w:color="auto"/>
        <w:left w:val="none" w:sz="0" w:space="0" w:color="auto"/>
        <w:bottom w:val="none" w:sz="0" w:space="0" w:color="auto"/>
        <w:right w:val="none" w:sz="0" w:space="0" w:color="auto"/>
      </w:divBdr>
    </w:div>
    <w:div w:id="1399479814">
      <w:bodyDiv w:val="1"/>
      <w:marLeft w:val="0"/>
      <w:marRight w:val="0"/>
      <w:marTop w:val="0"/>
      <w:marBottom w:val="0"/>
      <w:divBdr>
        <w:top w:val="none" w:sz="0" w:space="0" w:color="auto"/>
        <w:left w:val="none" w:sz="0" w:space="0" w:color="auto"/>
        <w:bottom w:val="none" w:sz="0" w:space="0" w:color="auto"/>
        <w:right w:val="none" w:sz="0" w:space="0" w:color="auto"/>
      </w:divBdr>
    </w:div>
    <w:div w:id="1406302608">
      <w:bodyDiv w:val="1"/>
      <w:marLeft w:val="0"/>
      <w:marRight w:val="0"/>
      <w:marTop w:val="0"/>
      <w:marBottom w:val="0"/>
      <w:divBdr>
        <w:top w:val="none" w:sz="0" w:space="0" w:color="auto"/>
        <w:left w:val="none" w:sz="0" w:space="0" w:color="auto"/>
        <w:bottom w:val="none" w:sz="0" w:space="0" w:color="auto"/>
        <w:right w:val="none" w:sz="0" w:space="0" w:color="auto"/>
      </w:divBdr>
    </w:div>
    <w:div w:id="1431127377">
      <w:bodyDiv w:val="1"/>
      <w:marLeft w:val="0"/>
      <w:marRight w:val="0"/>
      <w:marTop w:val="0"/>
      <w:marBottom w:val="0"/>
      <w:divBdr>
        <w:top w:val="none" w:sz="0" w:space="0" w:color="auto"/>
        <w:left w:val="none" w:sz="0" w:space="0" w:color="auto"/>
        <w:bottom w:val="none" w:sz="0" w:space="0" w:color="auto"/>
        <w:right w:val="none" w:sz="0" w:space="0" w:color="auto"/>
      </w:divBdr>
    </w:div>
    <w:div w:id="1456095433">
      <w:bodyDiv w:val="1"/>
      <w:marLeft w:val="0"/>
      <w:marRight w:val="0"/>
      <w:marTop w:val="0"/>
      <w:marBottom w:val="0"/>
      <w:divBdr>
        <w:top w:val="none" w:sz="0" w:space="0" w:color="auto"/>
        <w:left w:val="none" w:sz="0" w:space="0" w:color="auto"/>
        <w:bottom w:val="none" w:sz="0" w:space="0" w:color="auto"/>
        <w:right w:val="none" w:sz="0" w:space="0" w:color="auto"/>
      </w:divBdr>
    </w:div>
    <w:div w:id="1457288360">
      <w:bodyDiv w:val="1"/>
      <w:marLeft w:val="0"/>
      <w:marRight w:val="0"/>
      <w:marTop w:val="0"/>
      <w:marBottom w:val="0"/>
      <w:divBdr>
        <w:top w:val="none" w:sz="0" w:space="0" w:color="auto"/>
        <w:left w:val="none" w:sz="0" w:space="0" w:color="auto"/>
        <w:bottom w:val="none" w:sz="0" w:space="0" w:color="auto"/>
        <w:right w:val="none" w:sz="0" w:space="0" w:color="auto"/>
      </w:divBdr>
    </w:div>
    <w:div w:id="1474636109">
      <w:bodyDiv w:val="1"/>
      <w:marLeft w:val="0"/>
      <w:marRight w:val="0"/>
      <w:marTop w:val="0"/>
      <w:marBottom w:val="0"/>
      <w:divBdr>
        <w:top w:val="none" w:sz="0" w:space="0" w:color="auto"/>
        <w:left w:val="none" w:sz="0" w:space="0" w:color="auto"/>
        <w:bottom w:val="none" w:sz="0" w:space="0" w:color="auto"/>
        <w:right w:val="none" w:sz="0" w:space="0" w:color="auto"/>
      </w:divBdr>
      <w:divsChild>
        <w:div w:id="2051956905">
          <w:marLeft w:val="144"/>
          <w:marRight w:val="0"/>
          <w:marTop w:val="240"/>
          <w:marBottom w:val="40"/>
          <w:divBdr>
            <w:top w:val="none" w:sz="0" w:space="0" w:color="auto"/>
            <w:left w:val="none" w:sz="0" w:space="0" w:color="auto"/>
            <w:bottom w:val="none" w:sz="0" w:space="0" w:color="auto"/>
            <w:right w:val="none" w:sz="0" w:space="0" w:color="auto"/>
          </w:divBdr>
        </w:div>
        <w:div w:id="594048557">
          <w:marLeft w:val="418"/>
          <w:marRight w:val="0"/>
          <w:marTop w:val="40"/>
          <w:marBottom w:val="80"/>
          <w:divBdr>
            <w:top w:val="none" w:sz="0" w:space="0" w:color="auto"/>
            <w:left w:val="none" w:sz="0" w:space="0" w:color="auto"/>
            <w:bottom w:val="none" w:sz="0" w:space="0" w:color="auto"/>
            <w:right w:val="none" w:sz="0" w:space="0" w:color="auto"/>
          </w:divBdr>
        </w:div>
        <w:div w:id="157430965">
          <w:marLeft w:val="144"/>
          <w:marRight w:val="0"/>
          <w:marTop w:val="240"/>
          <w:marBottom w:val="40"/>
          <w:divBdr>
            <w:top w:val="none" w:sz="0" w:space="0" w:color="auto"/>
            <w:left w:val="none" w:sz="0" w:space="0" w:color="auto"/>
            <w:bottom w:val="none" w:sz="0" w:space="0" w:color="auto"/>
            <w:right w:val="none" w:sz="0" w:space="0" w:color="auto"/>
          </w:divBdr>
        </w:div>
        <w:div w:id="825824116">
          <w:marLeft w:val="418"/>
          <w:marRight w:val="0"/>
          <w:marTop w:val="40"/>
          <w:marBottom w:val="80"/>
          <w:divBdr>
            <w:top w:val="none" w:sz="0" w:space="0" w:color="auto"/>
            <w:left w:val="none" w:sz="0" w:space="0" w:color="auto"/>
            <w:bottom w:val="none" w:sz="0" w:space="0" w:color="auto"/>
            <w:right w:val="none" w:sz="0" w:space="0" w:color="auto"/>
          </w:divBdr>
        </w:div>
        <w:div w:id="504978847">
          <w:marLeft w:val="418"/>
          <w:marRight w:val="0"/>
          <w:marTop w:val="40"/>
          <w:marBottom w:val="80"/>
          <w:divBdr>
            <w:top w:val="none" w:sz="0" w:space="0" w:color="auto"/>
            <w:left w:val="none" w:sz="0" w:space="0" w:color="auto"/>
            <w:bottom w:val="none" w:sz="0" w:space="0" w:color="auto"/>
            <w:right w:val="none" w:sz="0" w:space="0" w:color="auto"/>
          </w:divBdr>
        </w:div>
        <w:div w:id="1247111688">
          <w:marLeft w:val="144"/>
          <w:marRight w:val="0"/>
          <w:marTop w:val="240"/>
          <w:marBottom w:val="40"/>
          <w:divBdr>
            <w:top w:val="none" w:sz="0" w:space="0" w:color="auto"/>
            <w:left w:val="none" w:sz="0" w:space="0" w:color="auto"/>
            <w:bottom w:val="none" w:sz="0" w:space="0" w:color="auto"/>
            <w:right w:val="none" w:sz="0" w:space="0" w:color="auto"/>
          </w:divBdr>
        </w:div>
        <w:div w:id="408815118">
          <w:marLeft w:val="144"/>
          <w:marRight w:val="0"/>
          <w:marTop w:val="240"/>
          <w:marBottom w:val="40"/>
          <w:divBdr>
            <w:top w:val="none" w:sz="0" w:space="0" w:color="auto"/>
            <w:left w:val="none" w:sz="0" w:space="0" w:color="auto"/>
            <w:bottom w:val="none" w:sz="0" w:space="0" w:color="auto"/>
            <w:right w:val="none" w:sz="0" w:space="0" w:color="auto"/>
          </w:divBdr>
        </w:div>
        <w:div w:id="1805074106">
          <w:marLeft w:val="418"/>
          <w:marRight w:val="0"/>
          <w:marTop w:val="40"/>
          <w:marBottom w:val="80"/>
          <w:divBdr>
            <w:top w:val="none" w:sz="0" w:space="0" w:color="auto"/>
            <w:left w:val="none" w:sz="0" w:space="0" w:color="auto"/>
            <w:bottom w:val="none" w:sz="0" w:space="0" w:color="auto"/>
            <w:right w:val="none" w:sz="0" w:space="0" w:color="auto"/>
          </w:divBdr>
        </w:div>
        <w:div w:id="1811750238">
          <w:marLeft w:val="418"/>
          <w:marRight w:val="0"/>
          <w:marTop w:val="40"/>
          <w:marBottom w:val="80"/>
          <w:divBdr>
            <w:top w:val="none" w:sz="0" w:space="0" w:color="auto"/>
            <w:left w:val="none" w:sz="0" w:space="0" w:color="auto"/>
            <w:bottom w:val="none" w:sz="0" w:space="0" w:color="auto"/>
            <w:right w:val="none" w:sz="0" w:space="0" w:color="auto"/>
          </w:divBdr>
        </w:div>
        <w:div w:id="871067892">
          <w:marLeft w:val="418"/>
          <w:marRight w:val="0"/>
          <w:marTop w:val="40"/>
          <w:marBottom w:val="80"/>
          <w:divBdr>
            <w:top w:val="none" w:sz="0" w:space="0" w:color="auto"/>
            <w:left w:val="none" w:sz="0" w:space="0" w:color="auto"/>
            <w:bottom w:val="none" w:sz="0" w:space="0" w:color="auto"/>
            <w:right w:val="none" w:sz="0" w:space="0" w:color="auto"/>
          </w:divBdr>
        </w:div>
      </w:divsChild>
    </w:div>
    <w:div w:id="1491600663">
      <w:bodyDiv w:val="1"/>
      <w:marLeft w:val="0"/>
      <w:marRight w:val="0"/>
      <w:marTop w:val="0"/>
      <w:marBottom w:val="0"/>
      <w:divBdr>
        <w:top w:val="none" w:sz="0" w:space="0" w:color="auto"/>
        <w:left w:val="none" w:sz="0" w:space="0" w:color="auto"/>
        <w:bottom w:val="none" w:sz="0" w:space="0" w:color="auto"/>
        <w:right w:val="none" w:sz="0" w:space="0" w:color="auto"/>
      </w:divBdr>
    </w:div>
    <w:div w:id="1495489710">
      <w:bodyDiv w:val="1"/>
      <w:marLeft w:val="0"/>
      <w:marRight w:val="0"/>
      <w:marTop w:val="0"/>
      <w:marBottom w:val="0"/>
      <w:divBdr>
        <w:top w:val="none" w:sz="0" w:space="0" w:color="auto"/>
        <w:left w:val="none" w:sz="0" w:space="0" w:color="auto"/>
        <w:bottom w:val="none" w:sz="0" w:space="0" w:color="auto"/>
        <w:right w:val="none" w:sz="0" w:space="0" w:color="auto"/>
      </w:divBdr>
    </w:div>
    <w:div w:id="1497964582">
      <w:bodyDiv w:val="1"/>
      <w:marLeft w:val="0"/>
      <w:marRight w:val="0"/>
      <w:marTop w:val="0"/>
      <w:marBottom w:val="0"/>
      <w:divBdr>
        <w:top w:val="none" w:sz="0" w:space="0" w:color="auto"/>
        <w:left w:val="none" w:sz="0" w:space="0" w:color="auto"/>
        <w:bottom w:val="none" w:sz="0" w:space="0" w:color="auto"/>
        <w:right w:val="none" w:sz="0" w:space="0" w:color="auto"/>
      </w:divBdr>
    </w:div>
    <w:div w:id="1537501554">
      <w:bodyDiv w:val="1"/>
      <w:marLeft w:val="0"/>
      <w:marRight w:val="0"/>
      <w:marTop w:val="0"/>
      <w:marBottom w:val="0"/>
      <w:divBdr>
        <w:top w:val="none" w:sz="0" w:space="0" w:color="auto"/>
        <w:left w:val="none" w:sz="0" w:space="0" w:color="auto"/>
        <w:bottom w:val="none" w:sz="0" w:space="0" w:color="auto"/>
        <w:right w:val="none" w:sz="0" w:space="0" w:color="auto"/>
      </w:divBdr>
    </w:div>
    <w:div w:id="1548682097">
      <w:bodyDiv w:val="1"/>
      <w:marLeft w:val="0"/>
      <w:marRight w:val="0"/>
      <w:marTop w:val="0"/>
      <w:marBottom w:val="0"/>
      <w:divBdr>
        <w:top w:val="none" w:sz="0" w:space="0" w:color="auto"/>
        <w:left w:val="none" w:sz="0" w:space="0" w:color="auto"/>
        <w:bottom w:val="none" w:sz="0" w:space="0" w:color="auto"/>
        <w:right w:val="none" w:sz="0" w:space="0" w:color="auto"/>
      </w:divBdr>
    </w:div>
    <w:div w:id="1589535045">
      <w:bodyDiv w:val="1"/>
      <w:marLeft w:val="0"/>
      <w:marRight w:val="0"/>
      <w:marTop w:val="0"/>
      <w:marBottom w:val="0"/>
      <w:divBdr>
        <w:top w:val="none" w:sz="0" w:space="0" w:color="auto"/>
        <w:left w:val="none" w:sz="0" w:space="0" w:color="auto"/>
        <w:bottom w:val="none" w:sz="0" w:space="0" w:color="auto"/>
        <w:right w:val="none" w:sz="0" w:space="0" w:color="auto"/>
      </w:divBdr>
    </w:div>
    <w:div w:id="1628777146">
      <w:bodyDiv w:val="1"/>
      <w:marLeft w:val="0"/>
      <w:marRight w:val="0"/>
      <w:marTop w:val="0"/>
      <w:marBottom w:val="0"/>
      <w:divBdr>
        <w:top w:val="none" w:sz="0" w:space="0" w:color="auto"/>
        <w:left w:val="none" w:sz="0" w:space="0" w:color="auto"/>
        <w:bottom w:val="none" w:sz="0" w:space="0" w:color="auto"/>
        <w:right w:val="none" w:sz="0" w:space="0" w:color="auto"/>
      </w:divBdr>
    </w:div>
    <w:div w:id="1639606206">
      <w:bodyDiv w:val="1"/>
      <w:marLeft w:val="0"/>
      <w:marRight w:val="0"/>
      <w:marTop w:val="0"/>
      <w:marBottom w:val="0"/>
      <w:divBdr>
        <w:top w:val="none" w:sz="0" w:space="0" w:color="auto"/>
        <w:left w:val="none" w:sz="0" w:space="0" w:color="auto"/>
        <w:bottom w:val="none" w:sz="0" w:space="0" w:color="auto"/>
        <w:right w:val="none" w:sz="0" w:space="0" w:color="auto"/>
      </w:divBdr>
    </w:div>
    <w:div w:id="1653679942">
      <w:bodyDiv w:val="1"/>
      <w:marLeft w:val="0"/>
      <w:marRight w:val="0"/>
      <w:marTop w:val="0"/>
      <w:marBottom w:val="0"/>
      <w:divBdr>
        <w:top w:val="none" w:sz="0" w:space="0" w:color="auto"/>
        <w:left w:val="none" w:sz="0" w:space="0" w:color="auto"/>
        <w:bottom w:val="none" w:sz="0" w:space="0" w:color="auto"/>
        <w:right w:val="none" w:sz="0" w:space="0" w:color="auto"/>
      </w:divBdr>
    </w:div>
    <w:div w:id="1657953366">
      <w:bodyDiv w:val="1"/>
      <w:marLeft w:val="0"/>
      <w:marRight w:val="0"/>
      <w:marTop w:val="0"/>
      <w:marBottom w:val="0"/>
      <w:divBdr>
        <w:top w:val="none" w:sz="0" w:space="0" w:color="auto"/>
        <w:left w:val="none" w:sz="0" w:space="0" w:color="auto"/>
        <w:bottom w:val="none" w:sz="0" w:space="0" w:color="auto"/>
        <w:right w:val="none" w:sz="0" w:space="0" w:color="auto"/>
      </w:divBdr>
    </w:div>
    <w:div w:id="1705326522">
      <w:bodyDiv w:val="1"/>
      <w:marLeft w:val="0"/>
      <w:marRight w:val="0"/>
      <w:marTop w:val="0"/>
      <w:marBottom w:val="0"/>
      <w:divBdr>
        <w:top w:val="none" w:sz="0" w:space="0" w:color="auto"/>
        <w:left w:val="none" w:sz="0" w:space="0" w:color="auto"/>
        <w:bottom w:val="none" w:sz="0" w:space="0" w:color="auto"/>
        <w:right w:val="none" w:sz="0" w:space="0" w:color="auto"/>
      </w:divBdr>
    </w:div>
    <w:div w:id="1742366675">
      <w:bodyDiv w:val="1"/>
      <w:marLeft w:val="0"/>
      <w:marRight w:val="0"/>
      <w:marTop w:val="0"/>
      <w:marBottom w:val="0"/>
      <w:divBdr>
        <w:top w:val="none" w:sz="0" w:space="0" w:color="auto"/>
        <w:left w:val="none" w:sz="0" w:space="0" w:color="auto"/>
        <w:bottom w:val="none" w:sz="0" w:space="0" w:color="auto"/>
        <w:right w:val="none" w:sz="0" w:space="0" w:color="auto"/>
      </w:divBdr>
    </w:div>
    <w:div w:id="1789423972">
      <w:bodyDiv w:val="1"/>
      <w:marLeft w:val="0"/>
      <w:marRight w:val="0"/>
      <w:marTop w:val="0"/>
      <w:marBottom w:val="0"/>
      <w:divBdr>
        <w:top w:val="none" w:sz="0" w:space="0" w:color="auto"/>
        <w:left w:val="none" w:sz="0" w:space="0" w:color="auto"/>
        <w:bottom w:val="none" w:sz="0" w:space="0" w:color="auto"/>
        <w:right w:val="none" w:sz="0" w:space="0" w:color="auto"/>
      </w:divBdr>
    </w:div>
    <w:div w:id="1798986957">
      <w:bodyDiv w:val="1"/>
      <w:marLeft w:val="0"/>
      <w:marRight w:val="0"/>
      <w:marTop w:val="0"/>
      <w:marBottom w:val="0"/>
      <w:divBdr>
        <w:top w:val="none" w:sz="0" w:space="0" w:color="auto"/>
        <w:left w:val="none" w:sz="0" w:space="0" w:color="auto"/>
        <w:bottom w:val="none" w:sz="0" w:space="0" w:color="auto"/>
        <w:right w:val="none" w:sz="0" w:space="0" w:color="auto"/>
      </w:divBdr>
    </w:div>
    <w:div w:id="1814834472">
      <w:bodyDiv w:val="1"/>
      <w:marLeft w:val="0"/>
      <w:marRight w:val="0"/>
      <w:marTop w:val="0"/>
      <w:marBottom w:val="0"/>
      <w:divBdr>
        <w:top w:val="none" w:sz="0" w:space="0" w:color="auto"/>
        <w:left w:val="none" w:sz="0" w:space="0" w:color="auto"/>
        <w:bottom w:val="none" w:sz="0" w:space="0" w:color="auto"/>
        <w:right w:val="none" w:sz="0" w:space="0" w:color="auto"/>
      </w:divBdr>
      <w:divsChild>
        <w:div w:id="1676690959">
          <w:marLeft w:val="144"/>
          <w:marRight w:val="0"/>
          <w:marTop w:val="240"/>
          <w:marBottom w:val="40"/>
          <w:divBdr>
            <w:top w:val="none" w:sz="0" w:space="0" w:color="auto"/>
            <w:left w:val="none" w:sz="0" w:space="0" w:color="auto"/>
            <w:bottom w:val="none" w:sz="0" w:space="0" w:color="auto"/>
            <w:right w:val="none" w:sz="0" w:space="0" w:color="auto"/>
          </w:divBdr>
        </w:div>
        <w:div w:id="1183711735">
          <w:marLeft w:val="418"/>
          <w:marRight w:val="0"/>
          <w:marTop w:val="40"/>
          <w:marBottom w:val="80"/>
          <w:divBdr>
            <w:top w:val="none" w:sz="0" w:space="0" w:color="auto"/>
            <w:left w:val="none" w:sz="0" w:space="0" w:color="auto"/>
            <w:bottom w:val="none" w:sz="0" w:space="0" w:color="auto"/>
            <w:right w:val="none" w:sz="0" w:space="0" w:color="auto"/>
          </w:divBdr>
        </w:div>
        <w:div w:id="1966883499">
          <w:marLeft w:val="144"/>
          <w:marRight w:val="0"/>
          <w:marTop w:val="240"/>
          <w:marBottom w:val="40"/>
          <w:divBdr>
            <w:top w:val="none" w:sz="0" w:space="0" w:color="auto"/>
            <w:left w:val="none" w:sz="0" w:space="0" w:color="auto"/>
            <w:bottom w:val="none" w:sz="0" w:space="0" w:color="auto"/>
            <w:right w:val="none" w:sz="0" w:space="0" w:color="auto"/>
          </w:divBdr>
        </w:div>
        <w:div w:id="1165128072">
          <w:marLeft w:val="418"/>
          <w:marRight w:val="0"/>
          <w:marTop w:val="40"/>
          <w:marBottom w:val="80"/>
          <w:divBdr>
            <w:top w:val="none" w:sz="0" w:space="0" w:color="auto"/>
            <w:left w:val="none" w:sz="0" w:space="0" w:color="auto"/>
            <w:bottom w:val="none" w:sz="0" w:space="0" w:color="auto"/>
            <w:right w:val="none" w:sz="0" w:space="0" w:color="auto"/>
          </w:divBdr>
        </w:div>
        <w:div w:id="1281837537">
          <w:marLeft w:val="418"/>
          <w:marRight w:val="0"/>
          <w:marTop w:val="40"/>
          <w:marBottom w:val="80"/>
          <w:divBdr>
            <w:top w:val="none" w:sz="0" w:space="0" w:color="auto"/>
            <w:left w:val="none" w:sz="0" w:space="0" w:color="auto"/>
            <w:bottom w:val="none" w:sz="0" w:space="0" w:color="auto"/>
            <w:right w:val="none" w:sz="0" w:space="0" w:color="auto"/>
          </w:divBdr>
        </w:div>
        <w:div w:id="795097789">
          <w:marLeft w:val="144"/>
          <w:marRight w:val="0"/>
          <w:marTop w:val="240"/>
          <w:marBottom w:val="40"/>
          <w:divBdr>
            <w:top w:val="none" w:sz="0" w:space="0" w:color="auto"/>
            <w:left w:val="none" w:sz="0" w:space="0" w:color="auto"/>
            <w:bottom w:val="none" w:sz="0" w:space="0" w:color="auto"/>
            <w:right w:val="none" w:sz="0" w:space="0" w:color="auto"/>
          </w:divBdr>
        </w:div>
        <w:div w:id="1619339909">
          <w:marLeft w:val="144"/>
          <w:marRight w:val="0"/>
          <w:marTop w:val="240"/>
          <w:marBottom w:val="40"/>
          <w:divBdr>
            <w:top w:val="none" w:sz="0" w:space="0" w:color="auto"/>
            <w:left w:val="none" w:sz="0" w:space="0" w:color="auto"/>
            <w:bottom w:val="none" w:sz="0" w:space="0" w:color="auto"/>
            <w:right w:val="none" w:sz="0" w:space="0" w:color="auto"/>
          </w:divBdr>
        </w:div>
        <w:div w:id="119692304">
          <w:marLeft w:val="418"/>
          <w:marRight w:val="0"/>
          <w:marTop w:val="40"/>
          <w:marBottom w:val="80"/>
          <w:divBdr>
            <w:top w:val="none" w:sz="0" w:space="0" w:color="auto"/>
            <w:left w:val="none" w:sz="0" w:space="0" w:color="auto"/>
            <w:bottom w:val="none" w:sz="0" w:space="0" w:color="auto"/>
            <w:right w:val="none" w:sz="0" w:space="0" w:color="auto"/>
          </w:divBdr>
        </w:div>
        <w:div w:id="1980768081">
          <w:marLeft w:val="418"/>
          <w:marRight w:val="0"/>
          <w:marTop w:val="40"/>
          <w:marBottom w:val="80"/>
          <w:divBdr>
            <w:top w:val="none" w:sz="0" w:space="0" w:color="auto"/>
            <w:left w:val="none" w:sz="0" w:space="0" w:color="auto"/>
            <w:bottom w:val="none" w:sz="0" w:space="0" w:color="auto"/>
            <w:right w:val="none" w:sz="0" w:space="0" w:color="auto"/>
          </w:divBdr>
        </w:div>
        <w:div w:id="107160341">
          <w:marLeft w:val="418"/>
          <w:marRight w:val="0"/>
          <w:marTop w:val="40"/>
          <w:marBottom w:val="80"/>
          <w:divBdr>
            <w:top w:val="none" w:sz="0" w:space="0" w:color="auto"/>
            <w:left w:val="none" w:sz="0" w:space="0" w:color="auto"/>
            <w:bottom w:val="none" w:sz="0" w:space="0" w:color="auto"/>
            <w:right w:val="none" w:sz="0" w:space="0" w:color="auto"/>
          </w:divBdr>
        </w:div>
      </w:divsChild>
    </w:div>
    <w:div w:id="1814902636">
      <w:bodyDiv w:val="1"/>
      <w:marLeft w:val="0"/>
      <w:marRight w:val="0"/>
      <w:marTop w:val="0"/>
      <w:marBottom w:val="0"/>
      <w:divBdr>
        <w:top w:val="none" w:sz="0" w:space="0" w:color="auto"/>
        <w:left w:val="none" w:sz="0" w:space="0" w:color="auto"/>
        <w:bottom w:val="none" w:sz="0" w:space="0" w:color="auto"/>
        <w:right w:val="none" w:sz="0" w:space="0" w:color="auto"/>
      </w:divBdr>
    </w:div>
    <w:div w:id="1815873318">
      <w:bodyDiv w:val="1"/>
      <w:marLeft w:val="0"/>
      <w:marRight w:val="0"/>
      <w:marTop w:val="0"/>
      <w:marBottom w:val="0"/>
      <w:divBdr>
        <w:top w:val="none" w:sz="0" w:space="0" w:color="auto"/>
        <w:left w:val="none" w:sz="0" w:space="0" w:color="auto"/>
        <w:bottom w:val="none" w:sz="0" w:space="0" w:color="auto"/>
        <w:right w:val="none" w:sz="0" w:space="0" w:color="auto"/>
      </w:divBdr>
    </w:div>
    <w:div w:id="1848596957">
      <w:bodyDiv w:val="1"/>
      <w:marLeft w:val="0"/>
      <w:marRight w:val="0"/>
      <w:marTop w:val="0"/>
      <w:marBottom w:val="0"/>
      <w:divBdr>
        <w:top w:val="none" w:sz="0" w:space="0" w:color="auto"/>
        <w:left w:val="none" w:sz="0" w:space="0" w:color="auto"/>
        <w:bottom w:val="none" w:sz="0" w:space="0" w:color="auto"/>
        <w:right w:val="none" w:sz="0" w:space="0" w:color="auto"/>
      </w:divBdr>
    </w:div>
    <w:div w:id="1853640394">
      <w:bodyDiv w:val="1"/>
      <w:marLeft w:val="0"/>
      <w:marRight w:val="0"/>
      <w:marTop w:val="0"/>
      <w:marBottom w:val="0"/>
      <w:divBdr>
        <w:top w:val="none" w:sz="0" w:space="0" w:color="auto"/>
        <w:left w:val="none" w:sz="0" w:space="0" w:color="auto"/>
        <w:bottom w:val="none" w:sz="0" w:space="0" w:color="auto"/>
        <w:right w:val="none" w:sz="0" w:space="0" w:color="auto"/>
      </w:divBdr>
    </w:div>
    <w:div w:id="1863474311">
      <w:bodyDiv w:val="1"/>
      <w:marLeft w:val="0"/>
      <w:marRight w:val="0"/>
      <w:marTop w:val="0"/>
      <w:marBottom w:val="0"/>
      <w:divBdr>
        <w:top w:val="none" w:sz="0" w:space="0" w:color="auto"/>
        <w:left w:val="none" w:sz="0" w:space="0" w:color="auto"/>
        <w:bottom w:val="none" w:sz="0" w:space="0" w:color="auto"/>
        <w:right w:val="none" w:sz="0" w:space="0" w:color="auto"/>
      </w:divBdr>
    </w:div>
    <w:div w:id="1994676638">
      <w:bodyDiv w:val="1"/>
      <w:marLeft w:val="0"/>
      <w:marRight w:val="0"/>
      <w:marTop w:val="0"/>
      <w:marBottom w:val="0"/>
      <w:divBdr>
        <w:top w:val="none" w:sz="0" w:space="0" w:color="auto"/>
        <w:left w:val="none" w:sz="0" w:space="0" w:color="auto"/>
        <w:bottom w:val="none" w:sz="0" w:space="0" w:color="auto"/>
        <w:right w:val="none" w:sz="0" w:space="0" w:color="auto"/>
      </w:divBdr>
    </w:div>
    <w:div w:id="2001032755">
      <w:bodyDiv w:val="1"/>
      <w:marLeft w:val="0"/>
      <w:marRight w:val="0"/>
      <w:marTop w:val="0"/>
      <w:marBottom w:val="0"/>
      <w:divBdr>
        <w:top w:val="none" w:sz="0" w:space="0" w:color="auto"/>
        <w:left w:val="none" w:sz="0" w:space="0" w:color="auto"/>
        <w:bottom w:val="none" w:sz="0" w:space="0" w:color="auto"/>
        <w:right w:val="none" w:sz="0" w:space="0" w:color="auto"/>
      </w:divBdr>
    </w:div>
    <w:div w:id="2005694643">
      <w:bodyDiv w:val="1"/>
      <w:marLeft w:val="0"/>
      <w:marRight w:val="0"/>
      <w:marTop w:val="0"/>
      <w:marBottom w:val="0"/>
      <w:divBdr>
        <w:top w:val="none" w:sz="0" w:space="0" w:color="auto"/>
        <w:left w:val="none" w:sz="0" w:space="0" w:color="auto"/>
        <w:bottom w:val="none" w:sz="0" w:space="0" w:color="auto"/>
        <w:right w:val="none" w:sz="0" w:space="0" w:color="auto"/>
      </w:divBdr>
    </w:div>
    <w:div w:id="2059862512">
      <w:bodyDiv w:val="1"/>
      <w:marLeft w:val="0"/>
      <w:marRight w:val="0"/>
      <w:marTop w:val="0"/>
      <w:marBottom w:val="0"/>
      <w:divBdr>
        <w:top w:val="none" w:sz="0" w:space="0" w:color="auto"/>
        <w:left w:val="none" w:sz="0" w:space="0" w:color="auto"/>
        <w:bottom w:val="none" w:sz="0" w:space="0" w:color="auto"/>
        <w:right w:val="none" w:sz="0" w:space="0" w:color="auto"/>
      </w:divBdr>
    </w:div>
    <w:div w:id="2094469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Custom 6">
      <a:dk1>
        <a:srgbClr val="000000"/>
      </a:dk1>
      <a:lt1>
        <a:srgbClr val="FFFFFF"/>
      </a:lt1>
      <a:dk2>
        <a:srgbClr val="1F282E"/>
      </a:dk2>
      <a:lt2>
        <a:srgbClr val="788EAE"/>
      </a:lt2>
      <a:accent1>
        <a:srgbClr val="4A66AC"/>
      </a:accent1>
      <a:accent2>
        <a:srgbClr val="5E99CB"/>
      </a:accent2>
      <a:accent3>
        <a:srgbClr val="4B83BC"/>
      </a:accent3>
      <a:accent4>
        <a:srgbClr val="7F8FA9"/>
      </a:accent4>
      <a:accent5>
        <a:srgbClr val="5AA2AE"/>
      </a:accent5>
      <a:accent6>
        <a:srgbClr val="9D90A0"/>
      </a:accent6>
      <a:hlink>
        <a:srgbClr val="9454C3"/>
      </a:hlink>
      <a:folHlink>
        <a:srgbClr val="3EBBF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9B77F9-30DB-42CA-8701-464D3EAFC2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Pages>
  <Words>24321</Words>
  <Characters>138636</Characters>
  <Application>Microsoft Office Word</Application>
  <DocSecurity>0</DocSecurity>
  <Lines>1155</Lines>
  <Paragraphs>325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Sackett, Jonathan (NIH/CC/OD) [F]</dc:creator>
  <cp:lastModifiedBy>Tristan</cp:lastModifiedBy>
  <cp:revision>2</cp:revision>
  <cp:lastPrinted>2019-10-18T17:09:00Z</cp:lastPrinted>
  <dcterms:created xsi:type="dcterms:W3CDTF">2020-02-27T09:31:00Z</dcterms:created>
  <dcterms:modified xsi:type="dcterms:W3CDTF">2020-02-27T09:31:00Z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http://www.zotero.org/styles/harvard-cite-them-right</vt:lpwstr>
  </property>
  <property fmtid="{D5CDD505-2E9C-101B-9397-08002B2CF9AE}" pid="11" name="Mendeley Recent Style Name 4_1">
    <vt:lpwstr>Cite Them Right 10th edition - Harvard</vt:lpwstr>
  </property>
  <property fmtid="{D5CDD505-2E9C-101B-9397-08002B2CF9AE}" pid="12" name="Mendeley Recent Style Id 5_1">
    <vt:lpwstr>http://www.zotero.org/styles/ieee</vt:lpwstr>
  </property>
  <property fmtid="{D5CDD505-2E9C-101B-9397-08002B2CF9AE}" pid="13" name="Mendeley Recent Style Name 5_1">
    <vt:lpwstr>IEEE</vt:lpwstr>
  </property>
  <property fmtid="{D5CDD505-2E9C-101B-9397-08002B2CF9AE}" pid="14" name="Mendeley Recent Style Id 6_1">
    <vt:lpwstr>http://www.zotero.org/styles/journal-of-magnetic-resonance-imaging</vt:lpwstr>
  </property>
  <property fmtid="{D5CDD505-2E9C-101B-9397-08002B2CF9AE}" pid="15" name="Mendeley Recent Style Name 6_1">
    <vt:lpwstr>Journal Of Magnetic Resonance Imaging</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http://www.zotero.org/styles/radiology</vt:lpwstr>
  </property>
  <property fmtid="{D5CDD505-2E9C-101B-9397-08002B2CF9AE}" pid="21" name="Mendeley Recent Style Name 9_1">
    <vt:lpwstr>Radiology</vt:lpwstr>
  </property>
  <property fmtid="{D5CDD505-2E9C-101B-9397-08002B2CF9AE}" pid="22" name="Mendeley Document_1">
    <vt:lpwstr>True</vt:lpwstr>
  </property>
  <property fmtid="{D5CDD505-2E9C-101B-9397-08002B2CF9AE}" pid="23" name="Mendeley Unique User Id_1">
    <vt:lpwstr>e449e4d5-c032-322a-9f4d-92ba15059170</vt:lpwstr>
  </property>
  <property fmtid="{D5CDD505-2E9C-101B-9397-08002B2CF9AE}" pid="24" name="Mendeley Citation Style_1">
    <vt:lpwstr>http://www.zotero.org/styles/journal-of-magnetic-resonance-imaging</vt:lpwstr>
  </property>
</Properties>
</file>