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7701E0" w14:textId="25DEA6ED" w:rsidR="004067DA" w:rsidRDefault="006F2155" w:rsidP="004067DA">
      <w:pPr>
        <w:pStyle w:val="Title"/>
      </w:pPr>
      <w:r>
        <w:t>A Possible</w:t>
      </w:r>
      <w:r w:rsidR="003222BF" w:rsidRPr="00B247AD">
        <w:t xml:space="preserve"> European Monetary Fund </w:t>
      </w:r>
    </w:p>
    <w:p w14:paraId="3BEF26AA" w14:textId="2D8FCA04" w:rsidR="00304AE2" w:rsidRPr="00B247AD" w:rsidRDefault="003222BF" w:rsidP="004067DA">
      <w:pPr>
        <w:pStyle w:val="Title"/>
      </w:pPr>
      <w:proofErr w:type="gramStart"/>
      <w:r w:rsidRPr="00B247AD">
        <w:t>and</w:t>
      </w:r>
      <w:proofErr w:type="gramEnd"/>
      <w:r w:rsidRPr="00B247AD">
        <w:t xml:space="preserve"> the Future of the Euro Area</w:t>
      </w:r>
    </w:p>
    <w:p w14:paraId="60AB0C77" w14:textId="5BBEC45D" w:rsidR="003222BF" w:rsidRDefault="004067DA" w:rsidP="004067DA">
      <w:r w:rsidRPr="004067DA">
        <w:t xml:space="preserve">Alicia </w:t>
      </w:r>
      <w:proofErr w:type="spellStart"/>
      <w:r w:rsidR="003222BF" w:rsidRPr="004067DA">
        <w:t>Hinarejos</w:t>
      </w:r>
      <w:proofErr w:type="spellEnd"/>
      <w:r w:rsidR="00D90A49">
        <w:rPr>
          <w:rStyle w:val="FootnoteReference"/>
        </w:rPr>
        <w:footnoteReference w:customMarkFollows="1" w:id="1"/>
        <w:t>*</w:t>
      </w:r>
    </w:p>
    <w:p w14:paraId="0779F9B4" w14:textId="111AB16A" w:rsidR="007726E0" w:rsidRPr="007726E0" w:rsidRDefault="007726E0" w:rsidP="004067DA">
      <w:pPr>
        <w:rPr>
          <w:i/>
        </w:rPr>
      </w:pPr>
      <w:r w:rsidRPr="007726E0">
        <w:rPr>
          <w:i/>
        </w:rPr>
        <w:t>[Draft – Please do not quote or circulate</w:t>
      </w:r>
      <w:r w:rsidR="00210752">
        <w:rPr>
          <w:i/>
        </w:rPr>
        <w:t>. This paper has been accepted for publication in the Yearbook of European Law; please refer to the YEL version</w:t>
      </w:r>
      <w:bookmarkStart w:id="0" w:name="_GoBack"/>
      <w:bookmarkEnd w:id="0"/>
      <w:r w:rsidRPr="007726E0">
        <w:rPr>
          <w:i/>
        </w:rPr>
        <w:t>]</w:t>
      </w:r>
    </w:p>
    <w:p w14:paraId="198C0A04" w14:textId="77777777" w:rsidR="002B1114" w:rsidRDefault="002B1114" w:rsidP="003222BF">
      <w:pPr>
        <w:rPr>
          <w:b/>
        </w:rPr>
      </w:pPr>
    </w:p>
    <w:p w14:paraId="36240710" w14:textId="77777777" w:rsidR="00FB4307" w:rsidRDefault="00844D12">
      <w:pPr>
        <w:pStyle w:val="TOC1"/>
        <w:tabs>
          <w:tab w:val="left" w:pos="382"/>
          <w:tab w:val="right" w:leader="dot" w:pos="8290"/>
        </w:tabs>
        <w:rPr>
          <w:b w:val="0"/>
          <w:noProof/>
          <w:lang w:eastAsia="ja-JP"/>
        </w:rPr>
      </w:pPr>
      <w:r>
        <w:rPr>
          <w:b w:val="0"/>
        </w:rPr>
        <w:fldChar w:fldCharType="begin"/>
      </w:r>
      <w:r>
        <w:rPr>
          <w:b w:val="0"/>
        </w:rPr>
        <w:instrText xml:space="preserve"> TOC \o "1-5" </w:instrText>
      </w:r>
      <w:r>
        <w:rPr>
          <w:b w:val="0"/>
        </w:rPr>
        <w:fldChar w:fldCharType="separate"/>
      </w:r>
      <w:r w:rsidR="00FB4307" w:rsidRPr="00304AAE">
        <w:rPr>
          <w:noProof/>
        </w:rPr>
        <w:t>1</w:t>
      </w:r>
      <w:r w:rsidR="00FB4307">
        <w:rPr>
          <w:b w:val="0"/>
          <w:noProof/>
          <w:lang w:eastAsia="ja-JP"/>
        </w:rPr>
        <w:tab/>
      </w:r>
      <w:r w:rsidR="00FB4307">
        <w:rPr>
          <w:noProof/>
        </w:rPr>
        <w:t>Introduction</w:t>
      </w:r>
      <w:r w:rsidR="00FB4307">
        <w:rPr>
          <w:noProof/>
        </w:rPr>
        <w:tab/>
      </w:r>
      <w:r w:rsidR="00FB4307">
        <w:rPr>
          <w:noProof/>
        </w:rPr>
        <w:fldChar w:fldCharType="begin"/>
      </w:r>
      <w:r w:rsidR="00FB4307">
        <w:rPr>
          <w:noProof/>
        </w:rPr>
        <w:instrText xml:space="preserve"> PAGEREF _Toc405228143 \h </w:instrText>
      </w:r>
      <w:r w:rsidR="00FB4307">
        <w:rPr>
          <w:noProof/>
        </w:rPr>
      </w:r>
      <w:r w:rsidR="00FB4307">
        <w:rPr>
          <w:noProof/>
        </w:rPr>
        <w:fldChar w:fldCharType="separate"/>
      </w:r>
      <w:r w:rsidR="0051242F">
        <w:rPr>
          <w:noProof/>
        </w:rPr>
        <w:t>2</w:t>
      </w:r>
      <w:r w:rsidR="00FB4307">
        <w:rPr>
          <w:noProof/>
        </w:rPr>
        <w:fldChar w:fldCharType="end"/>
      </w:r>
    </w:p>
    <w:p w14:paraId="1F2FB41A" w14:textId="77777777" w:rsidR="00FB4307" w:rsidRDefault="00FB4307">
      <w:pPr>
        <w:pStyle w:val="TOC1"/>
        <w:tabs>
          <w:tab w:val="left" w:pos="382"/>
          <w:tab w:val="right" w:leader="dot" w:pos="8290"/>
        </w:tabs>
        <w:rPr>
          <w:b w:val="0"/>
          <w:noProof/>
          <w:lang w:eastAsia="ja-JP"/>
        </w:rPr>
      </w:pPr>
      <w:r>
        <w:rPr>
          <w:noProof/>
        </w:rPr>
        <w:t>2</w:t>
      </w:r>
      <w:r>
        <w:rPr>
          <w:b w:val="0"/>
          <w:noProof/>
          <w:lang w:eastAsia="ja-JP"/>
        </w:rPr>
        <w:tab/>
      </w:r>
      <w:r>
        <w:rPr>
          <w:noProof/>
        </w:rPr>
        <w:t>The European Stability Mechanism as a Starting Point</w:t>
      </w:r>
      <w:r>
        <w:rPr>
          <w:noProof/>
        </w:rPr>
        <w:tab/>
      </w:r>
      <w:r>
        <w:rPr>
          <w:noProof/>
        </w:rPr>
        <w:fldChar w:fldCharType="begin"/>
      </w:r>
      <w:r>
        <w:rPr>
          <w:noProof/>
        </w:rPr>
        <w:instrText xml:space="preserve"> PAGEREF _Toc405228144 \h </w:instrText>
      </w:r>
      <w:r>
        <w:rPr>
          <w:noProof/>
        </w:rPr>
      </w:r>
      <w:r>
        <w:rPr>
          <w:noProof/>
        </w:rPr>
        <w:fldChar w:fldCharType="separate"/>
      </w:r>
      <w:r w:rsidR="0051242F">
        <w:rPr>
          <w:noProof/>
        </w:rPr>
        <w:t>2</w:t>
      </w:r>
      <w:r>
        <w:rPr>
          <w:noProof/>
        </w:rPr>
        <w:fldChar w:fldCharType="end"/>
      </w:r>
    </w:p>
    <w:p w14:paraId="041D0145" w14:textId="77777777" w:rsidR="00FB4307" w:rsidRDefault="00FB4307">
      <w:pPr>
        <w:pStyle w:val="TOC1"/>
        <w:tabs>
          <w:tab w:val="left" w:pos="382"/>
          <w:tab w:val="right" w:leader="dot" w:pos="8290"/>
        </w:tabs>
        <w:rPr>
          <w:b w:val="0"/>
          <w:noProof/>
          <w:lang w:eastAsia="ja-JP"/>
        </w:rPr>
      </w:pPr>
      <w:r>
        <w:rPr>
          <w:noProof/>
        </w:rPr>
        <w:t>3</w:t>
      </w:r>
      <w:r>
        <w:rPr>
          <w:b w:val="0"/>
          <w:noProof/>
          <w:lang w:eastAsia="ja-JP"/>
        </w:rPr>
        <w:tab/>
      </w:r>
      <w:r>
        <w:rPr>
          <w:noProof/>
        </w:rPr>
        <w:t>Reasons for Transforming the ESM into the EMF</w:t>
      </w:r>
      <w:r>
        <w:rPr>
          <w:noProof/>
        </w:rPr>
        <w:tab/>
      </w:r>
      <w:r>
        <w:rPr>
          <w:noProof/>
        </w:rPr>
        <w:fldChar w:fldCharType="begin"/>
      </w:r>
      <w:r>
        <w:rPr>
          <w:noProof/>
        </w:rPr>
        <w:instrText xml:space="preserve"> PAGEREF _Toc405228145 \h </w:instrText>
      </w:r>
      <w:r>
        <w:rPr>
          <w:noProof/>
        </w:rPr>
      </w:r>
      <w:r>
        <w:rPr>
          <w:noProof/>
        </w:rPr>
        <w:fldChar w:fldCharType="separate"/>
      </w:r>
      <w:r w:rsidR="0051242F">
        <w:rPr>
          <w:noProof/>
        </w:rPr>
        <w:t>5</w:t>
      </w:r>
      <w:r>
        <w:rPr>
          <w:noProof/>
        </w:rPr>
        <w:fldChar w:fldCharType="end"/>
      </w:r>
    </w:p>
    <w:p w14:paraId="67C673E7" w14:textId="77777777" w:rsidR="00FB4307" w:rsidRDefault="00FB4307">
      <w:pPr>
        <w:pStyle w:val="TOC2"/>
        <w:tabs>
          <w:tab w:val="left" w:pos="792"/>
          <w:tab w:val="right" w:leader="dot" w:pos="8290"/>
        </w:tabs>
        <w:rPr>
          <w:b w:val="0"/>
          <w:noProof/>
          <w:sz w:val="24"/>
          <w:szCs w:val="24"/>
          <w:lang w:eastAsia="ja-JP"/>
        </w:rPr>
      </w:pPr>
      <w:r>
        <w:rPr>
          <w:noProof/>
        </w:rPr>
        <w:t>3.1</w:t>
      </w:r>
      <w:r>
        <w:rPr>
          <w:b w:val="0"/>
          <w:noProof/>
          <w:sz w:val="24"/>
          <w:szCs w:val="24"/>
          <w:lang w:eastAsia="ja-JP"/>
        </w:rPr>
        <w:tab/>
      </w:r>
      <w:r>
        <w:rPr>
          <w:noProof/>
        </w:rPr>
        <w:t>Reasons for an extension of powers</w:t>
      </w:r>
      <w:r>
        <w:rPr>
          <w:noProof/>
        </w:rPr>
        <w:tab/>
      </w:r>
      <w:r>
        <w:rPr>
          <w:noProof/>
        </w:rPr>
        <w:fldChar w:fldCharType="begin"/>
      </w:r>
      <w:r>
        <w:rPr>
          <w:noProof/>
        </w:rPr>
        <w:instrText xml:space="preserve"> PAGEREF _Toc405228146 \h </w:instrText>
      </w:r>
      <w:r>
        <w:rPr>
          <w:noProof/>
        </w:rPr>
      </w:r>
      <w:r>
        <w:rPr>
          <w:noProof/>
        </w:rPr>
        <w:fldChar w:fldCharType="separate"/>
      </w:r>
      <w:r w:rsidR="0051242F">
        <w:rPr>
          <w:noProof/>
        </w:rPr>
        <w:t>5</w:t>
      </w:r>
      <w:r>
        <w:rPr>
          <w:noProof/>
        </w:rPr>
        <w:fldChar w:fldCharType="end"/>
      </w:r>
    </w:p>
    <w:p w14:paraId="43595BD4" w14:textId="77777777" w:rsidR="00FB4307" w:rsidRDefault="00FB4307">
      <w:pPr>
        <w:pStyle w:val="TOC2"/>
        <w:tabs>
          <w:tab w:val="left" w:pos="792"/>
          <w:tab w:val="right" w:leader="dot" w:pos="8290"/>
        </w:tabs>
        <w:rPr>
          <w:b w:val="0"/>
          <w:noProof/>
          <w:sz w:val="24"/>
          <w:szCs w:val="24"/>
          <w:lang w:eastAsia="ja-JP"/>
        </w:rPr>
      </w:pPr>
      <w:r>
        <w:rPr>
          <w:noProof/>
        </w:rPr>
        <w:t>3.2</w:t>
      </w:r>
      <w:r>
        <w:rPr>
          <w:b w:val="0"/>
          <w:noProof/>
          <w:sz w:val="24"/>
          <w:szCs w:val="24"/>
          <w:lang w:eastAsia="ja-JP"/>
        </w:rPr>
        <w:tab/>
      </w:r>
      <w:r>
        <w:rPr>
          <w:noProof/>
        </w:rPr>
        <w:t>Reasons to change the institutional setting</w:t>
      </w:r>
      <w:r>
        <w:rPr>
          <w:noProof/>
        </w:rPr>
        <w:tab/>
      </w:r>
      <w:r>
        <w:rPr>
          <w:noProof/>
        </w:rPr>
        <w:fldChar w:fldCharType="begin"/>
      </w:r>
      <w:r>
        <w:rPr>
          <w:noProof/>
        </w:rPr>
        <w:instrText xml:space="preserve"> PAGEREF _Toc405228147 \h </w:instrText>
      </w:r>
      <w:r>
        <w:rPr>
          <w:noProof/>
        </w:rPr>
      </w:r>
      <w:r>
        <w:rPr>
          <w:noProof/>
        </w:rPr>
        <w:fldChar w:fldCharType="separate"/>
      </w:r>
      <w:r w:rsidR="0051242F">
        <w:rPr>
          <w:noProof/>
        </w:rPr>
        <w:t>8</w:t>
      </w:r>
      <w:r>
        <w:rPr>
          <w:noProof/>
        </w:rPr>
        <w:fldChar w:fldCharType="end"/>
      </w:r>
    </w:p>
    <w:p w14:paraId="5624B7F8" w14:textId="77777777" w:rsidR="00FB4307" w:rsidRDefault="00FB4307">
      <w:pPr>
        <w:pStyle w:val="TOC1"/>
        <w:tabs>
          <w:tab w:val="left" w:pos="382"/>
          <w:tab w:val="right" w:leader="dot" w:pos="8290"/>
        </w:tabs>
        <w:rPr>
          <w:b w:val="0"/>
          <w:noProof/>
          <w:lang w:eastAsia="ja-JP"/>
        </w:rPr>
      </w:pPr>
      <w:r>
        <w:rPr>
          <w:noProof/>
        </w:rPr>
        <w:t>4</w:t>
      </w:r>
      <w:r>
        <w:rPr>
          <w:b w:val="0"/>
          <w:noProof/>
          <w:lang w:eastAsia="ja-JP"/>
        </w:rPr>
        <w:tab/>
      </w:r>
      <w:r>
        <w:rPr>
          <w:noProof/>
        </w:rPr>
        <w:t>Fundamental Choices: Powers and Institutional Setting</w:t>
      </w:r>
      <w:r>
        <w:rPr>
          <w:noProof/>
        </w:rPr>
        <w:tab/>
      </w:r>
      <w:r>
        <w:rPr>
          <w:noProof/>
        </w:rPr>
        <w:fldChar w:fldCharType="begin"/>
      </w:r>
      <w:r>
        <w:rPr>
          <w:noProof/>
        </w:rPr>
        <w:instrText xml:space="preserve"> PAGEREF _Toc405228148 \h </w:instrText>
      </w:r>
      <w:r>
        <w:rPr>
          <w:noProof/>
        </w:rPr>
      </w:r>
      <w:r>
        <w:rPr>
          <w:noProof/>
        </w:rPr>
        <w:fldChar w:fldCharType="separate"/>
      </w:r>
      <w:r w:rsidR="0051242F">
        <w:rPr>
          <w:noProof/>
        </w:rPr>
        <w:t>8</w:t>
      </w:r>
      <w:r>
        <w:rPr>
          <w:noProof/>
        </w:rPr>
        <w:fldChar w:fldCharType="end"/>
      </w:r>
    </w:p>
    <w:p w14:paraId="59B28AC5" w14:textId="77777777" w:rsidR="00FB4307" w:rsidRDefault="00FB4307">
      <w:pPr>
        <w:pStyle w:val="TOC1"/>
        <w:tabs>
          <w:tab w:val="left" w:pos="382"/>
          <w:tab w:val="right" w:leader="dot" w:pos="8290"/>
        </w:tabs>
        <w:rPr>
          <w:b w:val="0"/>
          <w:noProof/>
          <w:lang w:eastAsia="ja-JP"/>
        </w:rPr>
      </w:pPr>
      <w:r>
        <w:rPr>
          <w:noProof/>
        </w:rPr>
        <w:t>5</w:t>
      </w:r>
      <w:r>
        <w:rPr>
          <w:b w:val="0"/>
          <w:noProof/>
          <w:lang w:eastAsia="ja-JP"/>
        </w:rPr>
        <w:tab/>
      </w:r>
      <w:r>
        <w:rPr>
          <w:noProof/>
        </w:rPr>
        <w:t>Questions of Competence</w:t>
      </w:r>
      <w:r>
        <w:rPr>
          <w:noProof/>
        </w:rPr>
        <w:tab/>
      </w:r>
      <w:r>
        <w:rPr>
          <w:noProof/>
        </w:rPr>
        <w:fldChar w:fldCharType="begin"/>
      </w:r>
      <w:r>
        <w:rPr>
          <w:noProof/>
        </w:rPr>
        <w:instrText xml:space="preserve"> PAGEREF _Toc405228149 \h </w:instrText>
      </w:r>
      <w:r>
        <w:rPr>
          <w:noProof/>
        </w:rPr>
      </w:r>
      <w:r>
        <w:rPr>
          <w:noProof/>
        </w:rPr>
        <w:fldChar w:fldCharType="separate"/>
      </w:r>
      <w:r w:rsidR="0051242F">
        <w:rPr>
          <w:noProof/>
        </w:rPr>
        <w:t>12</w:t>
      </w:r>
      <w:r>
        <w:rPr>
          <w:noProof/>
        </w:rPr>
        <w:fldChar w:fldCharType="end"/>
      </w:r>
    </w:p>
    <w:p w14:paraId="31829410" w14:textId="77777777" w:rsidR="00FB4307" w:rsidRDefault="00FB4307">
      <w:pPr>
        <w:pStyle w:val="TOC2"/>
        <w:tabs>
          <w:tab w:val="left" w:pos="792"/>
          <w:tab w:val="right" w:leader="dot" w:pos="8290"/>
        </w:tabs>
        <w:rPr>
          <w:b w:val="0"/>
          <w:noProof/>
          <w:sz w:val="24"/>
          <w:szCs w:val="24"/>
          <w:lang w:eastAsia="ja-JP"/>
        </w:rPr>
      </w:pPr>
      <w:r w:rsidRPr="00304AAE">
        <w:rPr>
          <w:noProof/>
          <w:lang w:val="en-US"/>
        </w:rPr>
        <w:t>5.1</w:t>
      </w:r>
      <w:r>
        <w:rPr>
          <w:b w:val="0"/>
          <w:noProof/>
          <w:sz w:val="24"/>
          <w:szCs w:val="24"/>
          <w:lang w:eastAsia="ja-JP"/>
        </w:rPr>
        <w:tab/>
      </w:r>
      <w:r w:rsidRPr="00304AAE">
        <w:rPr>
          <w:noProof/>
          <w:lang w:val="en-US"/>
        </w:rPr>
        <w:t>An EMF outside the EU legal order</w:t>
      </w:r>
      <w:r>
        <w:rPr>
          <w:noProof/>
        </w:rPr>
        <w:tab/>
      </w:r>
      <w:r>
        <w:rPr>
          <w:noProof/>
        </w:rPr>
        <w:fldChar w:fldCharType="begin"/>
      </w:r>
      <w:r>
        <w:rPr>
          <w:noProof/>
        </w:rPr>
        <w:instrText xml:space="preserve"> PAGEREF _Toc405228150 \h </w:instrText>
      </w:r>
      <w:r>
        <w:rPr>
          <w:noProof/>
        </w:rPr>
      </w:r>
      <w:r>
        <w:rPr>
          <w:noProof/>
        </w:rPr>
        <w:fldChar w:fldCharType="separate"/>
      </w:r>
      <w:r w:rsidR="0051242F">
        <w:rPr>
          <w:noProof/>
        </w:rPr>
        <w:t>12</w:t>
      </w:r>
      <w:r>
        <w:rPr>
          <w:noProof/>
        </w:rPr>
        <w:fldChar w:fldCharType="end"/>
      </w:r>
    </w:p>
    <w:p w14:paraId="7977043F" w14:textId="77777777" w:rsidR="00FB4307" w:rsidRDefault="00FB4307">
      <w:pPr>
        <w:pStyle w:val="TOC2"/>
        <w:tabs>
          <w:tab w:val="left" w:pos="792"/>
          <w:tab w:val="right" w:leader="dot" w:pos="8290"/>
        </w:tabs>
        <w:rPr>
          <w:b w:val="0"/>
          <w:noProof/>
          <w:sz w:val="24"/>
          <w:szCs w:val="24"/>
          <w:lang w:eastAsia="ja-JP"/>
        </w:rPr>
      </w:pPr>
      <w:r>
        <w:rPr>
          <w:noProof/>
        </w:rPr>
        <w:t>5.2</w:t>
      </w:r>
      <w:r>
        <w:rPr>
          <w:b w:val="0"/>
          <w:noProof/>
          <w:sz w:val="24"/>
          <w:szCs w:val="24"/>
          <w:lang w:eastAsia="ja-JP"/>
        </w:rPr>
        <w:tab/>
      </w:r>
      <w:r>
        <w:rPr>
          <w:noProof/>
        </w:rPr>
        <w:t>An EMF within the EU legal order: legal basis</w:t>
      </w:r>
      <w:r>
        <w:rPr>
          <w:noProof/>
        </w:rPr>
        <w:tab/>
      </w:r>
      <w:r>
        <w:rPr>
          <w:noProof/>
        </w:rPr>
        <w:fldChar w:fldCharType="begin"/>
      </w:r>
      <w:r>
        <w:rPr>
          <w:noProof/>
        </w:rPr>
        <w:instrText xml:space="preserve"> PAGEREF _Toc405228151 \h </w:instrText>
      </w:r>
      <w:r>
        <w:rPr>
          <w:noProof/>
        </w:rPr>
      </w:r>
      <w:r>
        <w:rPr>
          <w:noProof/>
        </w:rPr>
        <w:fldChar w:fldCharType="separate"/>
      </w:r>
      <w:r w:rsidR="0051242F">
        <w:rPr>
          <w:noProof/>
        </w:rPr>
        <w:t>18</w:t>
      </w:r>
      <w:r>
        <w:rPr>
          <w:noProof/>
        </w:rPr>
        <w:fldChar w:fldCharType="end"/>
      </w:r>
    </w:p>
    <w:p w14:paraId="65EAEE4E" w14:textId="77777777" w:rsidR="00FB4307" w:rsidRDefault="00FB4307">
      <w:pPr>
        <w:pStyle w:val="TOC2"/>
        <w:tabs>
          <w:tab w:val="left" w:pos="792"/>
          <w:tab w:val="right" w:leader="dot" w:pos="8290"/>
        </w:tabs>
        <w:rPr>
          <w:b w:val="0"/>
          <w:noProof/>
          <w:sz w:val="24"/>
          <w:szCs w:val="24"/>
          <w:lang w:eastAsia="ja-JP"/>
        </w:rPr>
      </w:pPr>
      <w:r>
        <w:rPr>
          <w:noProof/>
        </w:rPr>
        <w:t>5.3</w:t>
      </w:r>
      <w:r>
        <w:rPr>
          <w:b w:val="0"/>
          <w:noProof/>
          <w:sz w:val="24"/>
          <w:szCs w:val="24"/>
          <w:lang w:eastAsia="ja-JP"/>
        </w:rPr>
        <w:tab/>
      </w:r>
      <w:r>
        <w:rPr>
          <w:noProof/>
        </w:rPr>
        <w:t>An EMF within the EU legal order: limits to delegation</w:t>
      </w:r>
      <w:r>
        <w:rPr>
          <w:noProof/>
        </w:rPr>
        <w:tab/>
      </w:r>
      <w:r>
        <w:rPr>
          <w:noProof/>
        </w:rPr>
        <w:fldChar w:fldCharType="begin"/>
      </w:r>
      <w:r>
        <w:rPr>
          <w:noProof/>
        </w:rPr>
        <w:instrText xml:space="preserve"> PAGEREF _Toc405228152 \h </w:instrText>
      </w:r>
      <w:r>
        <w:rPr>
          <w:noProof/>
        </w:rPr>
      </w:r>
      <w:r>
        <w:rPr>
          <w:noProof/>
        </w:rPr>
        <w:fldChar w:fldCharType="separate"/>
      </w:r>
      <w:r w:rsidR="0051242F">
        <w:rPr>
          <w:noProof/>
        </w:rPr>
        <w:t>22</w:t>
      </w:r>
      <w:r>
        <w:rPr>
          <w:noProof/>
        </w:rPr>
        <w:fldChar w:fldCharType="end"/>
      </w:r>
    </w:p>
    <w:p w14:paraId="00C50546" w14:textId="77777777" w:rsidR="00FB4307" w:rsidRDefault="00FB4307">
      <w:pPr>
        <w:pStyle w:val="TOC1"/>
        <w:tabs>
          <w:tab w:val="left" w:pos="382"/>
          <w:tab w:val="right" w:leader="dot" w:pos="8290"/>
        </w:tabs>
        <w:rPr>
          <w:b w:val="0"/>
          <w:noProof/>
          <w:lang w:eastAsia="ja-JP"/>
        </w:rPr>
      </w:pPr>
      <w:r>
        <w:rPr>
          <w:noProof/>
        </w:rPr>
        <w:t>6</w:t>
      </w:r>
      <w:r>
        <w:rPr>
          <w:b w:val="0"/>
          <w:noProof/>
          <w:lang w:eastAsia="ja-JP"/>
        </w:rPr>
        <w:tab/>
      </w:r>
      <w:r w:rsidRPr="00304AAE">
        <w:rPr>
          <w:noProof/>
          <w:lang w:val="en-US"/>
        </w:rPr>
        <w:t>Questions of National Constitutional Law</w:t>
      </w:r>
      <w:r>
        <w:rPr>
          <w:noProof/>
        </w:rPr>
        <w:tab/>
      </w:r>
      <w:r>
        <w:rPr>
          <w:noProof/>
        </w:rPr>
        <w:fldChar w:fldCharType="begin"/>
      </w:r>
      <w:r>
        <w:rPr>
          <w:noProof/>
        </w:rPr>
        <w:instrText xml:space="preserve"> PAGEREF _Toc405228153 \h </w:instrText>
      </w:r>
      <w:r>
        <w:rPr>
          <w:noProof/>
        </w:rPr>
      </w:r>
      <w:r>
        <w:rPr>
          <w:noProof/>
        </w:rPr>
        <w:fldChar w:fldCharType="separate"/>
      </w:r>
      <w:r w:rsidR="0051242F">
        <w:rPr>
          <w:noProof/>
        </w:rPr>
        <w:t>25</w:t>
      </w:r>
      <w:r>
        <w:rPr>
          <w:noProof/>
        </w:rPr>
        <w:fldChar w:fldCharType="end"/>
      </w:r>
    </w:p>
    <w:p w14:paraId="2168073A" w14:textId="77777777" w:rsidR="00FB4307" w:rsidRDefault="00FB4307">
      <w:pPr>
        <w:pStyle w:val="TOC2"/>
        <w:tabs>
          <w:tab w:val="left" w:pos="792"/>
          <w:tab w:val="right" w:leader="dot" w:pos="8290"/>
        </w:tabs>
        <w:rPr>
          <w:b w:val="0"/>
          <w:noProof/>
          <w:sz w:val="24"/>
          <w:szCs w:val="24"/>
          <w:lang w:eastAsia="ja-JP"/>
        </w:rPr>
      </w:pPr>
      <w:r w:rsidRPr="00304AAE">
        <w:rPr>
          <w:noProof/>
          <w:lang w:val="en-US"/>
        </w:rPr>
        <w:t>6.1</w:t>
      </w:r>
      <w:r>
        <w:rPr>
          <w:b w:val="0"/>
          <w:noProof/>
          <w:sz w:val="24"/>
          <w:szCs w:val="24"/>
          <w:lang w:eastAsia="ja-JP"/>
        </w:rPr>
        <w:tab/>
      </w:r>
      <w:r w:rsidRPr="00304AAE">
        <w:rPr>
          <w:noProof/>
          <w:lang w:val="en-US"/>
        </w:rPr>
        <w:t>The current ESM and national constitutional courts</w:t>
      </w:r>
      <w:r>
        <w:rPr>
          <w:noProof/>
        </w:rPr>
        <w:tab/>
      </w:r>
      <w:r>
        <w:rPr>
          <w:noProof/>
        </w:rPr>
        <w:fldChar w:fldCharType="begin"/>
      </w:r>
      <w:r>
        <w:rPr>
          <w:noProof/>
        </w:rPr>
        <w:instrText xml:space="preserve"> PAGEREF _Toc405228154 \h </w:instrText>
      </w:r>
      <w:r>
        <w:rPr>
          <w:noProof/>
        </w:rPr>
      </w:r>
      <w:r>
        <w:rPr>
          <w:noProof/>
        </w:rPr>
        <w:fldChar w:fldCharType="separate"/>
      </w:r>
      <w:r w:rsidR="0051242F">
        <w:rPr>
          <w:noProof/>
        </w:rPr>
        <w:t>25</w:t>
      </w:r>
      <w:r>
        <w:rPr>
          <w:noProof/>
        </w:rPr>
        <w:fldChar w:fldCharType="end"/>
      </w:r>
    </w:p>
    <w:p w14:paraId="2EEA09C6" w14:textId="77777777" w:rsidR="00FB4307" w:rsidRDefault="00FB4307">
      <w:pPr>
        <w:pStyle w:val="TOC2"/>
        <w:tabs>
          <w:tab w:val="left" w:pos="792"/>
          <w:tab w:val="right" w:leader="dot" w:pos="8290"/>
        </w:tabs>
        <w:rPr>
          <w:b w:val="0"/>
          <w:noProof/>
          <w:sz w:val="24"/>
          <w:szCs w:val="24"/>
          <w:lang w:eastAsia="ja-JP"/>
        </w:rPr>
      </w:pPr>
      <w:r w:rsidRPr="00304AAE">
        <w:rPr>
          <w:noProof/>
          <w:lang w:val="en-US"/>
        </w:rPr>
        <w:t>6.2</w:t>
      </w:r>
      <w:r>
        <w:rPr>
          <w:b w:val="0"/>
          <w:noProof/>
          <w:sz w:val="24"/>
          <w:szCs w:val="24"/>
          <w:lang w:eastAsia="ja-JP"/>
        </w:rPr>
        <w:tab/>
      </w:r>
      <w:r w:rsidRPr="00304AAE">
        <w:rPr>
          <w:noProof/>
          <w:lang w:val="en-US"/>
        </w:rPr>
        <w:t>A future EMF and national constitutional courts</w:t>
      </w:r>
      <w:r>
        <w:rPr>
          <w:noProof/>
        </w:rPr>
        <w:tab/>
      </w:r>
      <w:r>
        <w:rPr>
          <w:noProof/>
        </w:rPr>
        <w:fldChar w:fldCharType="begin"/>
      </w:r>
      <w:r>
        <w:rPr>
          <w:noProof/>
        </w:rPr>
        <w:instrText xml:space="preserve"> PAGEREF _Toc405228155 \h </w:instrText>
      </w:r>
      <w:r>
        <w:rPr>
          <w:noProof/>
        </w:rPr>
      </w:r>
      <w:r>
        <w:rPr>
          <w:noProof/>
        </w:rPr>
        <w:fldChar w:fldCharType="separate"/>
      </w:r>
      <w:r w:rsidR="0051242F">
        <w:rPr>
          <w:noProof/>
        </w:rPr>
        <w:t>30</w:t>
      </w:r>
      <w:r>
        <w:rPr>
          <w:noProof/>
        </w:rPr>
        <w:fldChar w:fldCharType="end"/>
      </w:r>
    </w:p>
    <w:p w14:paraId="6385BDC4" w14:textId="77777777" w:rsidR="00FB4307" w:rsidRDefault="00FB4307">
      <w:pPr>
        <w:pStyle w:val="TOC1"/>
        <w:tabs>
          <w:tab w:val="left" w:pos="382"/>
          <w:tab w:val="right" w:leader="dot" w:pos="8290"/>
        </w:tabs>
        <w:rPr>
          <w:b w:val="0"/>
          <w:noProof/>
          <w:lang w:eastAsia="ja-JP"/>
        </w:rPr>
      </w:pPr>
      <w:r w:rsidRPr="00304AAE">
        <w:rPr>
          <w:noProof/>
          <w:lang w:val="en-US"/>
        </w:rPr>
        <w:t>7</w:t>
      </w:r>
      <w:r>
        <w:rPr>
          <w:b w:val="0"/>
          <w:noProof/>
          <w:lang w:eastAsia="ja-JP"/>
        </w:rPr>
        <w:tab/>
      </w:r>
      <w:r w:rsidRPr="00304AAE">
        <w:rPr>
          <w:noProof/>
          <w:lang w:val="en-US"/>
        </w:rPr>
        <w:t>Judicial Control, Accountability and Legitimacy</w:t>
      </w:r>
      <w:r>
        <w:rPr>
          <w:noProof/>
        </w:rPr>
        <w:tab/>
      </w:r>
      <w:r>
        <w:rPr>
          <w:noProof/>
        </w:rPr>
        <w:fldChar w:fldCharType="begin"/>
      </w:r>
      <w:r>
        <w:rPr>
          <w:noProof/>
        </w:rPr>
        <w:instrText xml:space="preserve"> PAGEREF _Toc405228156 \h </w:instrText>
      </w:r>
      <w:r>
        <w:rPr>
          <w:noProof/>
        </w:rPr>
      </w:r>
      <w:r>
        <w:rPr>
          <w:noProof/>
        </w:rPr>
        <w:fldChar w:fldCharType="separate"/>
      </w:r>
      <w:r w:rsidR="0051242F">
        <w:rPr>
          <w:noProof/>
        </w:rPr>
        <w:t>33</w:t>
      </w:r>
      <w:r>
        <w:rPr>
          <w:noProof/>
        </w:rPr>
        <w:fldChar w:fldCharType="end"/>
      </w:r>
    </w:p>
    <w:p w14:paraId="1CCDFFAE" w14:textId="77777777" w:rsidR="00FB4307" w:rsidRDefault="00FB4307">
      <w:pPr>
        <w:pStyle w:val="TOC1"/>
        <w:tabs>
          <w:tab w:val="left" w:pos="382"/>
          <w:tab w:val="right" w:leader="dot" w:pos="8290"/>
        </w:tabs>
        <w:rPr>
          <w:b w:val="0"/>
          <w:noProof/>
          <w:lang w:eastAsia="ja-JP"/>
        </w:rPr>
      </w:pPr>
      <w:r>
        <w:rPr>
          <w:noProof/>
        </w:rPr>
        <w:t>8</w:t>
      </w:r>
      <w:r>
        <w:rPr>
          <w:b w:val="0"/>
          <w:noProof/>
          <w:lang w:eastAsia="ja-JP"/>
        </w:rPr>
        <w:tab/>
      </w:r>
      <w:r>
        <w:rPr>
          <w:noProof/>
        </w:rPr>
        <w:t>Final Remarks</w:t>
      </w:r>
      <w:r>
        <w:rPr>
          <w:noProof/>
        </w:rPr>
        <w:tab/>
      </w:r>
      <w:r>
        <w:rPr>
          <w:noProof/>
        </w:rPr>
        <w:fldChar w:fldCharType="begin"/>
      </w:r>
      <w:r>
        <w:rPr>
          <w:noProof/>
        </w:rPr>
        <w:instrText xml:space="preserve"> PAGEREF _Toc405228157 \h </w:instrText>
      </w:r>
      <w:r>
        <w:rPr>
          <w:noProof/>
        </w:rPr>
      </w:r>
      <w:r>
        <w:rPr>
          <w:noProof/>
        </w:rPr>
        <w:fldChar w:fldCharType="separate"/>
      </w:r>
      <w:r w:rsidR="0051242F">
        <w:rPr>
          <w:noProof/>
        </w:rPr>
        <w:t>38</w:t>
      </w:r>
      <w:r>
        <w:rPr>
          <w:noProof/>
        </w:rPr>
        <w:fldChar w:fldCharType="end"/>
      </w:r>
    </w:p>
    <w:p w14:paraId="6347860B" w14:textId="703A39EC" w:rsidR="002B1114" w:rsidRDefault="00844D12" w:rsidP="003222BF">
      <w:pPr>
        <w:rPr>
          <w:b/>
        </w:rPr>
      </w:pPr>
      <w:r>
        <w:rPr>
          <w:b/>
        </w:rPr>
        <w:fldChar w:fldCharType="end"/>
      </w:r>
    </w:p>
    <w:p w14:paraId="04CD0142" w14:textId="77777777" w:rsidR="002B1114" w:rsidRDefault="002B1114">
      <w:pPr>
        <w:spacing w:line="240" w:lineRule="auto"/>
        <w:jc w:val="left"/>
        <w:rPr>
          <w:b/>
        </w:rPr>
      </w:pPr>
      <w:r>
        <w:rPr>
          <w:b/>
        </w:rPr>
        <w:br w:type="page"/>
      </w:r>
    </w:p>
    <w:p w14:paraId="53E76C80" w14:textId="77777777" w:rsidR="00844D12" w:rsidRDefault="00844D12" w:rsidP="003222BF"/>
    <w:p w14:paraId="696B2E4A" w14:textId="77777777" w:rsidR="00B247AD" w:rsidRPr="00B247AD" w:rsidRDefault="00B247AD" w:rsidP="00505CBD">
      <w:pPr>
        <w:pStyle w:val="Heading1"/>
        <w:rPr>
          <w:rFonts w:asciiTheme="minorHAnsi" w:hAnsiTheme="minorHAnsi"/>
        </w:rPr>
      </w:pPr>
      <w:bookmarkStart w:id="1" w:name="_Toc395952784"/>
      <w:bookmarkStart w:id="2" w:name="_Toc405228143"/>
      <w:r>
        <w:t>Introduction</w:t>
      </w:r>
      <w:bookmarkEnd w:id="1"/>
      <w:bookmarkEnd w:id="2"/>
    </w:p>
    <w:p w14:paraId="4FDBB2DC" w14:textId="77777777" w:rsidR="003222BF" w:rsidRPr="00B247AD" w:rsidRDefault="003222BF" w:rsidP="003222BF"/>
    <w:p w14:paraId="08B606AB" w14:textId="0B804F07" w:rsidR="006A59CB" w:rsidRDefault="00B247AD" w:rsidP="00B247AD">
      <w:r w:rsidRPr="00B247AD">
        <w:t xml:space="preserve">There is </w:t>
      </w:r>
      <w:r w:rsidR="006C55C2">
        <w:t xml:space="preserve">considerable discussion </w:t>
      </w:r>
      <w:r w:rsidR="008A4B21">
        <w:t>regarding</w:t>
      </w:r>
      <w:r w:rsidRPr="00B247AD">
        <w:t xml:space="preserve"> the</w:t>
      </w:r>
      <w:r w:rsidR="00EB39C4">
        <w:t xml:space="preserve"> future of the European Stability Mechanism (ESM) and, more specifically, on the</w:t>
      </w:r>
      <w:r w:rsidRPr="00B247AD">
        <w:t xml:space="preserve"> desirability of transforming </w:t>
      </w:r>
      <w:r w:rsidR="00EB39C4">
        <w:t>it</w:t>
      </w:r>
      <w:r w:rsidRPr="00B247AD">
        <w:t xml:space="preserve"> into a European Monetary Fund</w:t>
      </w:r>
      <w:r w:rsidR="00732603">
        <w:t xml:space="preserve"> (EMF)</w:t>
      </w:r>
      <w:r w:rsidRPr="00B247AD">
        <w:t xml:space="preserve">, a new entity destined to play a </w:t>
      </w:r>
      <w:r w:rsidR="00591E54">
        <w:t>broader</w:t>
      </w:r>
      <w:r w:rsidRPr="00B247AD">
        <w:t xml:space="preserve"> role in the economic governance of the future euro area. Exactly what that role </w:t>
      </w:r>
      <w:r w:rsidR="00591E54">
        <w:t>may</w:t>
      </w:r>
      <w:r w:rsidRPr="00B247AD">
        <w:t xml:space="preserve"> entail</w:t>
      </w:r>
      <w:r w:rsidR="00591E54">
        <w:t xml:space="preserve"> remains, however, undetermined, as there is little common ground </w:t>
      </w:r>
      <w:r w:rsidR="00360EB0">
        <w:t>between the various proposals in the area. Two crucial matters remain highly contested</w:t>
      </w:r>
      <w:r w:rsidRPr="00B247AD">
        <w:t xml:space="preserve">: one, what the EMF’s new competences should include, and two, whether the </w:t>
      </w:r>
      <w:r w:rsidR="00732603">
        <w:t>EMF</w:t>
      </w:r>
      <w:r w:rsidRPr="00B247AD">
        <w:t xml:space="preserve">, like the ESM before it, should be intergovernmental in nature and/or exist outside the legal framework of the EU. The two issues are, of course, closely connected. </w:t>
      </w:r>
    </w:p>
    <w:p w14:paraId="5987359A" w14:textId="77777777" w:rsidR="006A59CB" w:rsidRDefault="006A59CB" w:rsidP="00B247AD"/>
    <w:p w14:paraId="3A6983EE" w14:textId="40F062A4" w:rsidR="00B247AD" w:rsidRPr="00B247AD" w:rsidRDefault="00445875" w:rsidP="00B247AD">
      <w:r>
        <w:t xml:space="preserve">This paper will analyse the underlying disagreements in this </w:t>
      </w:r>
      <w:r w:rsidR="00732603">
        <w:t>discussion</w:t>
      </w:r>
      <w:r>
        <w:t xml:space="preserve"> and</w:t>
      </w:r>
      <w:r w:rsidR="006A59CB">
        <w:t xml:space="preserve"> what they tell us about the more general debate </w:t>
      </w:r>
      <w:r w:rsidR="00732603">
        <w:t>on</w:t>
      </w:r>
      <w:r w:rsidR="006A59CB">
        <w:t xml:space="preserve"> the future of the euro area. It will also</w:t>
      </w:r>
      <w:r>
        <w:t xml:space="preserve"> sketch out the constitutional framework within which political</w:t>
      </w:r>
      <w:r w:rsidR="006A59CB">
        <w:t xml:space="preserve"> actors </w:t>
      </w:r>
      <w:r w:rsidR="002853D5">
        <w:t>can</w:t>
      </w:r>
      <w:r w:rsidR="006A59CB">
        <w:t xml:space="preserve"> move </w:t>
      </w:r>
      <w:r w:rsidR="002853D5">
        <w:t xml:space="preserve">in </w:t>
      </w:r>
      <w:r w:rsidR="006A59CB">
        <w:t>designing a future EMF</w:t>
      </w:r>
      <w:r w:rsidR="00650FE8">
        <w:t xml:space="preserve"> (or, indeed, in reforming the ESM substa</w:t>
      </w:r>
      <w:r w:rsidR="00650FE8">
        <w:t>n</w:t>
      </w:r>
      <w:r w:rsidR="00650FE8">
        <w:t>tially).</w:t>
      </w:r>
      <w:r w:rsidR="006A59CB">
        <w:t xml:space="preserve"> Necessary background on the current ESM, starting point of this debate, will be provided in Section 2; Section 3 will consider the reasons for transfor</w:t>
      </w:r>
      <w:r w:rsidR="006A59CB">
        <w:t>m</w:t>
      </w:r>
      <w:r w:rsidR="00732603">
        <w:t>ing the current ESM into an EMF</w:t>
      </w:r>
      <w:r w:rsidR="002853D5">
        <w:t>—or, indeed for merely reforming the current ESM</w:t>
      </w:r>
      <w:r w:rsidR="003C6956">
        <w:t xml:space="preserve">. </w:t>
      </w:r>
      <w:r w:rsidR="006A59CB">
        <w:t xml:space="preserve">Section 4 will elaborate on the fundamental disagreement at heart of the discussion on </w:t>
      </w:r>
      <w:r w:rsidR="003C6956">
        <w:t>ESM reform and the</w:t>
      </w:r>
      <w:r w:rsidR="006A59CB">
        <w:t xml:space="preserve"> futu</w:t>
      </w:r>
      <w:r w:rsidR="00732603">
        <w:t>re nature and powers of the EMF,</w:t>
      </w:r>
      <w:r w:rsidR="003C6956">
        <w:t xml:space="preserve"> and will briefly introduce the proposals made in this regard (including</w:t>
      </w:r>
      <w:r w:rsidR="00B81F66">
        <w:t>, most recently,</w:t>
      </w:r>
      <w:r w:rsidR="003C6956">
        <w:t xml:space="preserve"> by the Commission and the Euro Summit). </w:t>
      </w:r>
      <w:r w:rsidR="00732603">
        <w:t xml:space="preserve"> </w:t>
      </w:r>
      <w:r w:rsidR="00D94500">
        <w:t>S</w:t>
      </w:r>
      <w:r w:rsidR="000876EE">
        <w:t>ections 5 to 7 will focus on selected e</w:t>
      </w:r>
      <w:r w:rsidR="000876EE">
        <w:t>l</w:t>
      </w:r>
      <w:r w:rsidR="000876EE">
        <w:t xml:space="preserve">ements of the constitutional </w:t>
      </w:r>
      <w:proofErr w:type="gramStart"/>
      <w:r w:rsidR="000876EE">
        <w:t xml:space="preserve">framework </w:t>
      </w:r>
      <w:r w:rsidR="002853D5">
        <w:t>which act as</w:t>
      </w:r>
      <w:proofErr w:type="gramEnd"/>
      <w:r w:rsidR="002853D5">
        <w:t xml:space="preserve"> constraints on the design of a future</w:t>
      </w:r>
      <w:r w:rsidR="000876EE">
        <w:t xml:space="preserve"> EMF: </w:t>
      </w:r>
      <w:r>
        <w:t>questions of competence; requirements of national constitutional law; and questions of judicial protection, accountability and democratic legitim</w:t>
      </w:r>
      <w:r>
        <w:t>a</w:t>
      </w:r>
      <w:r>
        <w:t xml:space="preserve">cy. </w:t>
      </w:r>
      <w:r w:rsidR="000876EE">
        <w:t>Section 8 will provide final remarks.</w:t>
      </w:r>
    </w:p>
    <w:p w14:paraId="2C7DC610" w14:textId="77777777" w:rsidR="00B247AD" w:rsidRDefault="00B247AD" w:rsidP="003222BF"/>
    <w:p w14:paraId="30663A34" w14:textId="3D364239" w:rsidR="009F5D76" w:rsidRDefault="009F5D76" w:rsidP="009F5D76">
      <w:pPr>
        <w:pStyle w:val="Heading1"/>
      </w:pPr>
      <w:bookmarkStart w:id="3" w:name="_Toc395952785"/>
      <w:bookmarkStart w:id="4" w:name="_Toc405228144"/>
      <w:r>
        <w:lastRenderedPageBreak/>
        <w:t>The European Stability Mechanism as a Starting Point</w:t>
      </w:r>
      <w:bookmarkEnd w:id="3"/>
      <w:bookmarkEnd w:id="4"/>
    </w:p>
    <w:p w14:paraId="5CD39CE1" w14:textId="77777777" w:rsidR="009F5D76" w:rsidRDefault="009F5D76" w:rsidP="003222BF"/>
    <w:p w14:paraId="702424A8" w14:textId="76E3977A" w:rsidR="005F6DD2" w:rsidRPr="00B247AD" w:rsidRDefault="00B247AD" w:rsidP="005F6DD2">
      <w:r>
        <w:t>The European Stability Mechanism is a permanent mechanism of financial assi</w:t>
      </w:r>
      <w:r>
        <w:t>s</w:t>
      </w:r>
      <w:r>
        <w:t>tance created in the wake of the euro area sovereign debt crisis. It is intergo</w:t>
      </w:r>
      <w:r>
        <w:t>v</w:t>
      </w:r>
      <w:r>
        <w:t>ernmental, both in the way it was created and</w:t>
      </w:r>
      <w:r w:rsidR="00732603">
        <w:t xml:space="preserve"> in</w:t>
      </w:r>
      <w:r>
        <w:t xml:space="preserve"> the way it operates. </w:t>
      </w:r>
      <w:r w:rsidR="005F6DD2">
        <w:t>As for its creation: i</w:t>
      </w:r>
      <w:r w:rsidR="005F6DD2" w:rsidRPr="00B247AD">
        <w:t>n March 2011, the European Council amended Article 136 TFEU using a simplified amendment procedure, introducing a new paragraph (3) that a</w:t>
      </w:r>
      <w:r w:rsidR="005F6DD2" w:rsidRPr="00B247AD">
        <w:t>f</w:t>
      </w:r>
      <w:r w:rsidR="005F6DD2" w:rsidRPr="00B247AD">
        <w:t>firmed the Member States’ power to create a permanent crisis mechanism to safeguard the stability of the euro.</w:t>
      </w:r>
      <w:r w:rsidR="005F6DD2" w:rsidRPr="00B247AD">
        <w:rPr>
          <w:vertAlign w:val="superscript"/>
        </w:rPr>
        <w:footnoteReference w:id="2"/>
      </w:r>
      <w:r w:rsidR="005F6DD2" w:rsidRPr="00B247AD">
        <w:t xml:space="preserve"> Even before this amendment was ratified, the members of the euro area had already signed an international agreement crea</w:t>
      </w:r>
      <w:r w:rsidR="005F6DD2" w:rsidRPr="00B247AD">
        <w:t>t</w:t>
      </w:r>
      <w:r w:rsidR="005F6DD2" w:rsidRPr="00B247AD">
        <w:t>ing the Eur</w:t>
      </w:r>
      <w:r w:rsidR="005F6DD2">
        <w:t>opean Stability Mechanism (ESM), an entity of public international law that stands outside the EU legal framework, albeit with significant ties to it.</w:t>
      </w:r>
      <w:r w:rsidR="00E17015" w:rsidRPr="00B65A96">
        <w:rPr>
          <w:rStyle w:val="FootnoteReference"/>
        </w:rPr>
        <w:footnoteReference w:id="3"/>
      </w:r>
      <w:r w:rsidR="005F6DD2" w:rsidRPr="00B247AD">
        <w:t xml:space="preserve"> </w:t>
      </w:r>
      <w:r w:rsidR="008A535B">
        <w:t>Moreover, the ESM is also intergovernmental in the way it operates, as it does so</w:t>
      </w:r>
      <w:r w:rsidR="00B12798">
        <w:t xml:space="preserve"> under the control of national governments</w:t>
      </w:r>
      <w:r w:rsidR="009F5D76">
        <w:t>, and without a strong involvement of the EU institutions</w:t>
      </w:r>
      <w:r w:rsidR="00E17015">
        <w:t>.</w:t>
      </w:r>
      <w:r w:rsidR="009F5D76" w:rsidRPr="00B65A96">
        <w:rPr>
          <w:rStyle w:val="FootnoteReference"/>
        </w:rPr>
        <w:footnoteReference w:id="4"/>
      </w:r>
      <w:r w:rsidR="00E17015">
        <w:t xml:space="preserve"> </w:t>
      </w:r>
      <w:r w:rsidR="008A535B">
        <w:t>There</w:t>
      </w:r>
      <w:r w:rsidR="00E17015">
        <w:t xml:space="preserve"> is limited involvement of the Commission and the ECB when negotiating and designing a programme of financial assistance, and very limited judicial control on the part of the Court of Justice of the EU. We will r</w:t>
      </w:r>
      <w:r w:rsidR="00E17015">
        <w:t>e</w:t>
      </w:r>
      <w:r w:rsidR="00E17015">
        <w:t xml:space="preserve">turn to these matters later on in the discussion. </w:t>
      </w:r>
    </w:p>
    <w:p w14:paraId="359F40DC" w14:textId="77777777" w:rsidR="00B247AD" w:rsidRDefault="00B247AD" w:rsidP="003222BF"/>
    <w:p w14:paraId="2DC3A48A" w14:textId="77777777" w:rsidR="00B247AD" w:rsidRPr="00B247AD" w:rsidRDefault="00B247AD" w:rsidP="00B247AD"/>
    <w:p w14:paraId="2AF1EC26" w14:textId="57C3D0A2" w:rsidR="00B247AD" w:rsidRPr="00B247AD" w:rsidRDefault="00B247AD" w:rsidP="00B247AD">
      <w:r w:rsidRPr="00B247AD">
        <w:t>The intergovernmental nature of the ESM is a manifestation of a wider trend since the beginning of the crisis: that of Member States attempting to address di</w:t>
      </w:r>
      <w:r w:rsidRPr="00B247AD">
        <w:t>f</w:t>
      </w:r>
      <w:r w:rsidRPr="00B247AD">
        <w:t>ferent aspects of the sovereign debt crisis through intergovernmental means, at times completely outside the EU legal order, yet still making use of the EU inst</w:t>
      </w:r>
      <w:r w:rsidRPr="00B247AD">
        <w:t>i</w:t>
      </w:r>
      <w:r w:rsidRPr="00B247AD">
        <w:t>tutions.</w:t>
      </w:r>
      <w:r w:rsidRPr="00B247AD">
        <w:rPr>
          <w:vertAlign w:val="superscript"/>
        </w:rPr>
        <w:footnoteReference w:id="5"/>
      </w:r>
      <w:r w:rsidRPr="00B247AD">
        <w:t xml:space="preserve"> The rise of this brand of </w:t>
      </w:r>
      <w:proofErr w:type="spellStart"/>
      <w:r w:rsidRPr="00B247AD">
        <w:t>intergovernmentalism</w:t>
      </w:r>
      <w:proofErr w:type="spellEnd"/>
      <w:r w:rsidRPr="00B247AD">
        <w:t xml:space="preserve"> has </w:t>
      </w:r>
      <w:r w:rsidR="007B3278">
        <w:t xml:space="preserve">prompted a range of concerns, most notably due to the </w:t>
      </w:r>
      <w:r w:rsidRPr="00B247AD">
        <w:t>lack of transparency, judicial control, and democratic legitimacy</w:t>
      </w:r>
      <w:r w:rsidR="00C860BC">
        <w:t>.</w:t>
      </w:r>
      <w:r w:rsidRPr="00B247AD">
        <w:t xml:space="preserve"> </w:t>
      </w:r>
      <w:r w:rsidR="00C860BC">
        <w:t>While a</w:t>
      </w:r>
      <w:r w:rsidR="007B3278" w:rsidRPr="00515830">
        <w:t xml:space="preserve"> certain predominance of the executive power in the context of the EU is nothing new,</w:t>
      </w:r>
      <w:r w:rsidR="007B3278" w:rsidRPr="00B65A96">
        <w:rPr>
          <w:rStyle w:val="FootnoteReference"/>
        </w:rPr>
        <w:footnoteReference w:id="6"/>
      </w:r>
      <w:r w:rsidR="00C860BC">
        <w:t xml:space="preserve"> </w:t>
      </w:r>
      <w:r w:rsidR="007B3278" w:rsidRPr="00515830">
        <w:t xml:space="preserve">the resurgence of </w:t>
      </w:r>
      <w:proofErr w:type="spellStart"/>
      <w:r w:rsidR="007B3278" w:rsidRPr="00515830">
        <w:t>intergovernmentalism</w:t>
      </w:r>
      <w:proofErr w:type="spellEnd"/>
      <w:r w:rsidR="007B3278" w:rsidRPr="00515830">
        <w:t xml:space="preserve"> in the aftermath of the crisis has exacerbated these concerns,</w:t>
      </w:r>
      <w:bookmarkStart w:id="5" w:name="_Ref277162077"/>
      <w:r w:rsidR="007B3278" w:rsidRPr="00B65A96">
        <w:rPr>
          <w:rStyle w:val="FootnoteReference"/>
        </w:rPr>
        <w:footnoteReference w:id="7"/>
      </w:r>
      <w:bookmarkEnd w:id="5"/>
      <w:r w:rsidR="007B3278" w:rsidRPr="00515830">
        <w:t xml:space="preserve"> as the shunning of the Community method resulted in considerable migration of economic exec</w:t>
      </w:r>
      <w:r w:rsidR="007B3278" w:rsidRPr="00515830">
        <w:t>u</w:t>
      </w:r>
      <w:r w:rsidR="007B3278" w:rsidRPr="00515830">
        <w:t>tive powers from the national sphere</w:t>
      </w:r>
      <w:r w:rsidR="00E91952">
        <w:t xml:space="preserve"> </w:t>
      </w:r>
      <w:r w:rsidR="007B3278" w:rsidRPr="00515830">
        <w:t>without extending democratic oversight at the EU level substantially.</w:t>
      </w:r>
      <w:r w:rsidR="00E91952">
        <w:rPr>
          <w:rStyle w:val="FootnoteReference"/>
        </w:rPr>
        <w:footnoteReference w:id="8"/>
      </w:r>
      <w:r w:rsidR="007B3278">
        <w:t xml:space="preserve"> </w:t>
      </w:r>
      <w:r w:rsidRPr="00B247AD">
        <w:t>Indeed, the legality of the ESM Treaty has been cha</w:t>
      </w:r>
      <w:r w:rsidRPr="00B247AD">
        <w:t>l</w:t>
      </w:r>
      <w:r w:rsidRPr="00B247AD">
        <w:t xml:space="preserve">lenged </w:t>
      </w:r>
      <w:r w:rsidR="00171D58">
        <w:t>before</w:t>
      </w:r>
      <w:r w:rsidRPr="00B247AD">
        <w:t xml:space="preserve"> national </w:t>
      </w:r>
      <w:r w:rsidR="00171D58">
        <w:t xml:space="preserve">and EU </w:t>
      </w:r>
      <w:r w:rsidRPr="00B247AD">
        <w:t>courts</w:t>
      </w:r>
      <w:r w:rsidR="00FC462F">
        <w:t>,</w:t>
      </w:r>
      <w:bookmarkStart w:id="6" w:name="_Ref415828070"/>
      <w:r w:rsidR="00C860BC">
        <w:rPr>
          <w:rStyle w:val="FootnoteReference"/>
        </w:rPr>
        <w:footnoteReference w:id="9"/>
      </w:r>
      <w:bookmarkEnd w:id="6"/>
      <w:r w:rsidR="00FC462F">
        <w:t xml:space="preserve"> often because of what was perceived as a </w:t>
      </w:r>
      <w:r w:rsidR="00FC462F">
        <w:lastRenderedPageBreak/>
        <w:t>conflict between its intergovernmental nature and constitutional requirements at national and EU levels.</w:t>
      </w:r>
      <w:r w:rsidR="005511D6">
        <w:t xml:space="preserve"> The ESM withstood these judicial challenges and went on to play a central role in tackling the sovereign debt crisis.</w:t>
      </w:r>
    </w:p>
    <w:p w14:paraId="1DFD2B06" w14:textId="77777777" w:rsidR="00B247AD" w:rsidRDefault="00B247AD" w:rsidP="003222BF"/>
    <w:p w14:paraId="5C3198B1" w14:textId="51D77BBE" w:rsidR="00090E54" w:rsidRDefault="00B30AA2" w:rsidP="00090E54">
      <w:pPr>
        <w:pStyle w:val="Heading1"/>
      </w:pPr>
      <w:bookmarkStart w:id="10" w:name="_Toc395952786"/>
      <w:bookmarkStart w:id="11" w:name="_Toc405228145"/>
      <w:r>
        <w:t>Reasons for T</w:t>
      </w:r>
      <w:r w:rsidR="00090E54">
        <w:t>ransforming the ESM into the EMF</w:t>
      </w:r>
      <w:bookmarkEnd w:id="10"/>
      <w:bookmarkEnd w:id="11"/>
    </w:p>
    <w:p w14:paraId="0E4C6A12" w14:textId="0036D384" w:rsidR="00BD3590" w:rsidRDefault="00BD3590" w:rsidP="009264A0"/>
    <w:p w14:paraId="0EEF52E9" w14:textId="77777777" w:rsidR="00BD3590" w:rsidRDefault="00BD3590" w:rsidP="009264A0"/>
    <w:p w14:paraId="273298A2" w14:textId="73253E16" w:rsidR="005D46A7" w:rsidRDefault="005511D6" w:rsidP="009264A0">
      <w:r>
        <w:t>Indeed, t</w:t>
      </w:r>
      <w:r w:rsidR="005D46A7">
        <w:t xml:space="preserve">he ESM has played a crucial </w:t>
      </w:r>
      <w:r>
        <w:t>part</w:t>
      </w:r>
      <w:r w:rsidR="005D46A7">
        <w:t xml:space="preserve"> in the wake of the euro area’s sove</w:t>
      </w:r>
      <w:r w:rsidR="005D46A7">
        <w:t>r</w:t>
      </w:r>
      <w:r w:rsidR="005D46A7">
        <w:t xml:space="preserve">eign debt crisis. At the same time, </w:t>
      </w:r>
      <w:r w:rsidR="006C55C2">
        <w:t>many actors are of the view</w:t>
      </w:r>
      <w:r w:rsidR="005D46A7">
        <w:t xml:space="preserve"> that the current set-up can and should be improved upon, </w:t>
      </w:r>
      <w:r w:rsidR="00A12930">
        <w:t>by turning the ESM into a so-called E</w:t>
      </w:r>
      <w:r w:rsidR="00A12930">
        <w:t>u</w:t>
      </w:r>
      <w:r w:rsidR="00A12930">
        <w:t>ropean Monetary Fund (EMF)</w:t>
      </w:r>
      <w:bookmarkStart w:id="12" w:name="_Ref395868693"/>
      <w:r w:rsidR="00A12930" w:rsidRPr="00B65A96">
        <w:rPr>
          <w:rStyle w:val="FootnoteReference"/>
        </w:rPr>
        <w:footnoteReference w:id="10"/>
      </w:r>
      <w:bookmarkEnd w:id="12"/>
      <w:r w:rsidR="002D3834">
        <w:t xml:space="preserve"> or, at least, by reforming the current ESM,</w:t>
      </w:r>
      <w:r w:rsidR="00A12930">
        <w:t xml:space="preserve"> </w:t>
      </w:r>
      <w:r w:rsidR="005D46A7">
        <w:t>for a variety of reasons</w:t>
      </w:r>
      <w:r w:rsidR="000F4A13">
        <w:t xml:space="preserve">. This </w:t>
      </w:r>
      <w:r w:rsidR="001064FD">
        <w:t>section</w:t>
      </w:r>
      <w:r w:rsidR="000F4A13">
        <w:t xml:space="preserve"> will consider, first, reasons for an extension of the powers currently wielded by the ESM and, second, reasons for changes to its institutional setting (i.e. decision-making and possible integration into the EU legal system).</w:t>
      </w:r>
    </w:p>
    <w:p w14:paraId="0B19E637" w14:textId="77777777" w:rsidR="005D46A7" w:rsidRDefault="005D46A7" w:rsidP="009264A0"/>
    <w:p w14:paraId="0973C862" w14:textId="39DB1917" w:rsidR="000F4A13" w:rsidRDefault="000F4A13" w:rsidP="001064FD">
      <w:pPr>
        <w:pStyle w:val="Heading2"/>
      </w:pPr>
      <w:bookmarkStart w:id="13" w:name="_Toc405228146"/>
      <w:r>
        <w:t>Reasons for an extension of powers</w:t>
      </w:r>
      <w:bookmarkEnd w:id="13"/>
    </w:p>
    <w:p w14:paraId="33C6B221" w14:textId="77777777" w:rsidR="00801056" w:rsidRDefault="00801056" w:rsidP="009264A0"/>
    <w:p w14:paraId="00D230AE" w14:textId="73B78148" w:rsidR="00A674DC" w:rsidRDefault="00D233F2" w:rsidP="009264A0">
      <w:r>
        <w:t xml:space="preserve">In broad terms, all arguments for broadening ESM powers arise </w:t>
      </w:r>
      <w:r w:rsidR="00F10065">
        <w:t>as</w:t>
      </w:r>
      <w:r>
        <w:t xml:space="preserve"> an attempt to address</w:t>
      </w:r>
      <w:r w:rsidR="00F10065">
        <w:t>, or contribute to address,</w:t>
      </w:r>
      <w:r>
        <w:t xml:space="preserve"> </w:t>
      </w:r>
      <w:r w:rsidR="00F10065">
        <w:t>the perceived flaws of EMU.</w:t>
      </w:r>
      <w:r>
        <w:t xml:space="preserve"> There</w:t>
      </w:r>
      <w:r w:rsidR="005D46A7">
        <w:t xml:space="preserve"> is a general feeling that further changes are necessary for the architecture of EMU to be </w:t>
      </w:r>
      <w:r>
        <w:t xml:space="preserve">more effective </w:t>
      </w:r>
      <w:r w:rsidR="005D46A7">
        <w:t>and resistant to future crises,</w:t>
      </w:r>
      <w:r w:rsidR="005E2A7A" w:rsidRPr="00B65A96">
        <w:rPr>
          <w:rStyle w:val="FootnoteReference"/>
        </w:rPr>
        <w:footnoteReference w:id="11"/>
      </w:r>
      <w:r w:rsidR="005D46A7">
        <w:t xml:space="preserve"> and some of these changes relate to the </w:t>
      </w:r>
      <w:r w:rsidR="005D46A7">
        <w:lastRenderedPageBreak/>
        <w:t xml:space="preserve">nature and powers of the ESM. </w:t>
      </w:r>
      <w:r w:rsidR="00A674DC">
        <w:t>The latter’s current role is defined rather narro</w:t>
      </w:r>
      <w:r w:rsidR="00A674DC">
        <w:t>w</w:t>
      </w:r>
      <w:r w:rsidR="00A674DC">
        <w:t xml:space="preserve">ly: it provides fiscal support to </w:t>
      </w:r>
      <w:r w:rsidR="00245C45">
        <w:t>euro countries</w:t>
      </w:r>
      <w:r w:rsidR="00A674DC">
        <w:t xml:space="preserve"> that have, or are threatened by, severe financial problems, and when this fiscal support is necessary to safeguard the financial stability of the euro area as a whole, and of its Member States.</w:t>
      </w:r>
      <w:r w:rsidR="00A674DC" w:rsidRPr="00B65A96">
        <w:rPr>
          <w:rStyle w:val="FootnoteReference"/>
        </w:rPr>
        <w:footnoteReference w:id="12"/>
      </w:r>
      <w:r w:rsidR="006E3E5C">
        <w:t xml:space="preserve"> For assistance to be granted, t</w:t>
      </w:r>
      <w:r w:rsidR="00A674DC">
        <w:t>he</w:t>
      </w:r>
      <w:r w:rsidR="00F8231D">
        <w:t xml:space="preserve"> applicant’s</w:t>
      </w:r>
      <w:r w:rsidR="00A674DC">
        <w:t xml:space="preserve"> debt </w:t>
      </w:r>
      <w:r w:rsidR="006E3E5C">
        <w:t xml:space="preserve">also </w:t>
      </w:r>
      <w:r w:rsidR="00A674DC">
        <w:t>nee</w:t>
      </w:r>
      <w:r w:rsidR="00CB401B">
        <w:t>ds to be considered su</w:t>
      </w:r>
      <w:r w:rsidR="00CB401B">
        <w:t>s</w:t>
      </w:r>
      <w:r w:rsidR="00CB401B">
        <w:t>tainable.</w:t>
      </w:r>
      <w:r w:rsidR="00CB401B" w:rsidRPr="00B65A96">
        <w:rPr>
          <w:rStyle w:val="FootnoteReference"/>
        </w:rPr>
        <w:footnoteReference w:id="13"/>
      </w:r>
      <w:r w:rsidR="00A674DC">
        <w:t xml:space="preserve"> </w:t>
      </w:r>
      <w:r w:rsidR="0081393F">
        <w:t xml:space="preserve">There are different views on how the ESM’s role should be widened, depending on one’s views on how EMU should be improved and the order in which these </w:t>
      </w:r>
      <w:r w:rsidR="002D5EC1">
        <w:t>changes should be tackled.</w:t>
      </w:r>
    </w:p>
    <w:p w14:paraId="706116E6" w14:textId="77777777" w:rsidR="00F8231D" w:rsidRDefault="00F8231D" w:rsidP="009264A0"/>
    <w:p w14:paraId="6CC20B83" w14:textId="61E79500" w:rsidR="0001468E" w:rsidRDefault="001E6D0C" w:rsidP="009264A0">
      <w:pPr>
        <w:rPr>
          <w:rFonts w:cs="Times New Roman"/>
        </w:rPr>
      </w:pPr>
      <w:r>
        <w:t>First, there is</w:t>
      </w:r>
      <w:r w:rsidR="00D60265">
        <w:t xml:space="preserve"> a</w:t>
      </w:r>
      <w:r>
        <w:t xml:space="preserve"> </w:t>
      </w:r>
      <w:r w:rsidR="00396123">
        <w:t>general</w:t>
      </w:r>
      <w:r>
        <w:t xml:space="preserve"> </w:t>
      </w:r>
      <w:r w:rsidR="00396123">
        <w:t>understanding</w:t>
      </w:r>
      <w:r>
        <w:t xml:space="preserve"> that the euro area would benefit from i</w:t>
      </w:r>
      <w:r>
        <w:t>m</w:t>
      </w:r>
      <w:r>
        <w:t xml:space="preserve">proving its framework for bank crisis management and resolution; to that end, </w:t>
      </w:r>
      <w:r w:rsidR="00396123">
        <w:t xml:space="preserve">it has been proposed that </w:t>
      </w:r>
      <w:r>
        <w:t>the ESM</w:t>
      </w:r>
      <w:r w:rsidR="00795A41">
        <w:t>—or its successor—</w:t>
      </w:r>
      <w:r>
        <w:t>should act as a backstop to the Single Resolution Fund</w:t>
      </w:r>
      <w:r w:rsidR="0081393F">
        <w:t xml:space="preserve"> (SRF)</w:t>
      </w:r>
      <w:r>
        <w:t>.</w:t>
      </w:r>
      <w:bookmarkStart w:id="14" w:name="_Ref429819273"/>
      <w:r w:rsidRPr="00B65A96">
        <w:rPr>
          <w:rStyle w:val="FootnoteReference"/>
        </w:rPr>
        <w:footnoteReference w:id="14"/>
      </w:r>
      <w:bookmarkEnd w:id="14"/>
      <w:r w:rsidR="00F009BF">
        <w:t xml:space="preserve"> </w:t>
      </w:r>
      <w:r w:rsidR="00D60265" w:rsidRPr="006F07BA">
        <w:t xml:space="preserve">This </w:t>
      </w:r>
      <w:r w:rsidR="00BB67BD" w:rsidRPr="006F07BA">
        <w:t>is one of the few points on which</w:t>
      </w:r>
      <w:r w:rsidR="00396123" w:rsidRPr="006F07BA">
        <w:t xml:space="preserve"> there </w:t>
      </w:r>
      <w:r w:rsidR="0078505A" w:rsidRPr="006F07BA">
        <w:t>has long been a cautious</w:t>
      </w:r>
      <w:r w:rsidR="00BB67BD" w:rsidRPr="006F07BA">
        <w:t xml:space="preserve"> </w:t>
      </w:r>
      <w:r w:rsidR="00396123" w:rsidRPr="006F07BA">
        <w:t>agreement</w:t>
      </w:r>
      <w:r w:rsidR="00795A41" w:rsidRPr="006F07BA">
        <w:t xml:space="preserve"> in the </w:t>
      </w:r>
      <w:r w:rsidR="00BB67BD">
        <w:t>debate</w:t>
      </w:r>
      <w:r w:rsidR="0078505A">
        <w:t>;</w:t>
      </w:r>
      <w:bookmarkStart w:id="17" w:name="_Ref429819287"/>
      <w:r w:rsidR="00396123">
        <w:rPr>
          <w:rStyle w:val="FootnoteReference"/>
        </w:rPr>
        <w:footnoteReference w:id="15"/>
      </w:r>
      <w:bookmarkEnd w:id="17"/>
      <w:r w:rsidR="0078505A">
        <w:t xml:space="preserve"> indeed, this was part of the package of proposals for ESM reform that was put forward by the </w:t>
      </w:r>
      <w:proofErr w:type="spellStart"/>
      <w:r w:rsidR="0078505A">
        <w:t>Eurogroup</w:t>
      </w:r>
      <w:proofErr w:type="spellEnd"/>
      <w:r w:rsidR="0078505A">
        <w:t xml:space="preserve"> and was endorsed by the Euro Summit in December 2018</w:t>
      </w:r>
      <w:bookmarkStart w:id="18" w:name="_Ref415307206"/>
      <w:r w:rsidR="0078505A">
        <w:rPr>
          <w:rStyle w:val="FootnoteReference"/>
        </w:rPr>
        <w:footnoteReference w:id="16"/>
      </w:r>
      <w:bookmarkEnd w:id="18"/>
      <w:r w:rsidR="0078505A">
        <w:t>.</w:t>
      </w:r>
      <w:r w:rsidR="00D60265">
        <w:t xml:space="preserve"> </w:t>
      </w:r>
      <w:r w:rsidR="00600C3F">
        <w:t xml:space="preserve"> The SRF is part of the </w:t>
      </w:r>
      <w:r w:rsidR="00600C3F">
        <w:lastRenderedPageBreak/>
        <w:t xml:space="preserve">second pillar of the Banking Union, the Single Resolution Mechanism, and its aim is to </w:t>
      </w:r>
      <w:r w:rsidR="00600C3F" w:rsidRPr="00515830">
        <w:rPr>
          <w:rFonts w:cs="Times New Roman"/>
        </w:rPr>
        <w:t>deal with the failure of banks within the eu</w:t>
      </w:r>
      <w:r w:rsidR="00600C3F">
        <w:rPr>
          <w:rFonts w:cs="Times New Roman"/>
        </w:rPr>
        <w:t xml:space="preserve">ro area in a centralized manner. The </w:t>
      </w:r>
      <w:r w:rsidR="0078505A">
        <w:rPr>
          <w:rFonts w:cs="Times New Roman"/>
        </w:rPr>
        <w:t>ESM is set to</w:t>
      </w:r>
      <w:r w:rsidR="00600C3F">
        <w:rPr>
          <w:rFonts w:cs="Times New Roman"/>
        </w:rPr>
        <w:t xml:space="preserve"> provide a credit line or guarantees that would act as a common backstop to this Fund.</w:t>
      </w:r>
      <w:r w:rsidR="00600C3F" w:rsidRPr="00B65A96">
        <w:rPr>
          <w:rStyle w:val="FootnoteReference"/>
        </w:rPr>
        <w:footnoteReference w:id="17"/>
      </w:r>
      <w:r w:rsidR="00600C3F">
        <w:rPr>
          <w:rFonts w:cs="Times New Roman"/>
        </w:rPr>
        <w:t xml:space="preserve"> </w:t>
      </w:r>
    </w:p>
    <w:p w14:paraId="2540AD4A" w14:textId="77777777" w:rsidR="0001468E" w:rsidRDefault="0001468E" w:rsidP="009264A0">
      <w:pPr>
        <w:rPr>
          <w:rFonts w:cs="Times New Roman"/>
        </w:rPr>
      </w:pPr>
    </w:p>
    <w:p w14:paraId="3D44C96C" w14:textId="4A107042" w:rsidR="0001468E" w:rsidRDefault="00F009BF" w:rsidP="009264A0">
      <w:r>
        <w:t xml:space="preserve">Second, </w:t>
      </w:r>
      <w:r w:rsidR="008A6DA2">
        <w:t>some</w:t>
      </w:r>
      <w:r>
        <w:t xml:space="preserve"> would argue that </w:t>
      </w:r>
      <w:r w:rsidR="001E6D0C">
        <w:t>EMU needs to</w:t>
      </w:r>
      <w:r w:rsidR="006F07BA">
        <w:t xml:space="preserve"> </w:t>
      </w:r>
      <w:r w:rsidR="00D15057">
        <w:t>foster</w:t>
      </w:r>
      <w:r w:rsidR="006F07BA">
        <w:t xml:space="preserve"> </w:t>
      </w:r>
      <w:r w:rsidR="00945D63">
        <w:t>risk prevention</w:t>
      </w:r>
      <w:r w:rsidR="006F07BA">
        <w:t xml:space="preserve"> and</w:t>
      </w:r>
      <w:r w:rsidR="001E6D0C">
        <w:t xml:space="preserve"> </w:t>
      </w:r>
      <w:r>
        <w:t>fiscal discipline further:</w:t>
      </w:r>
      <w:r w:rsidR="00D15057">
        <w:t xml:space="preserve"> this has led to arguments that the ESM should have </w:t>
      </w:r>
      <w:r w:rsidRPr="00C07C24">
        <w:t>wider powers of</w:t>
      </w:r>
      <w:r w:rsidR="00AC4222" w:rsidRPr="00C07C24">
        <w:t xml:space="preserve"> risk monitoring and</w:t>
      </w:r>
      <w:r w:rsidRPr="00C07C24">
        <w:t xml:space="preserve"> fiscal surveillance</w:t>
      </w:r>
      <w:r w:rsidR="00267526">
        <w:t xml:space="preserve">: </w:t>
      </w:r>
      <w:r w:rsidR="00AC4222" w:rsidRPr="00C07C24">
        <w:t xml:space="preserve">in some of the proposals, </w:t>
      </w:r>
      <w:r w:rsidR="00267526">
        <w:t xml:space="preserve">this </w:t>
      </w:r>
      <w:r w:rsidR="00AC4222" w:rsidRPr="00C07C24">
        <w:t>would</w:t>
      </w:r>
      <w:r w:rsidR="00267526">
        <w:t xml:space="preserve"> even</w:t>
      </w:r>
      <w:r w:rsidR="00AC4222" w:rsidRPr="00C07C24">
        <w:t xml:space="preserve"> include monitoring compliance with the Fiscal Compact and, event</w:t>
      </w:r>
      <w:r w:rsidR="00AC4222" w:rsidRPr="00C07C24">
        <w:t>u</w:t>
      </w:r>
      <w:r w:rsidR="00AC4222" w:rsidRPr="00C07C24">
        <w:t>ally the Stability and Growth Pact</w:t>
      </w:r>
      <w:r w:rsidRPr="00C07C24">
        <w:t>.</w:t>
      </w:r>
      <w:r w:rsidR="00AC4222" w:rsidRPr="00B65A96">
        <w:rPr>
          <w:rStyle w:val="FootnoteReference"/>
        </w:rPr>
        <w:footnoteReference w:id="18"/>
      </w:r>
      <w:r w:rsidR="00F6332B" w:rsidRPr="00C07C24">
        <w:t xml:space="preserve"> </w:t>
      </w:r>
    </w:p>
    <w:p w14:paraId="1EB1DC91" w14:textId="77777777" w:rsidR="0001468E" w:rsidRDefault="0001468E" w:rsidP="009264A0"/>
    <w:p w14:paraId="0D833DDF" w14:textId="7DCCA477" w:rsidR="0093361F" w:rsidRDefault="00F6332B" w:rsidP="009264A0">
      <w:r w:rsidRPr="00C07C24">
        <w:t>Third, others w</w:t>
      </w:r>
      <w:r>
        <w:t>ould argue that the euro area is in need of</w:t>
      </w:r>
      <w:r w:rsidR="001D3C6F">
        <w:t xml:space="preserve"> fiscal</w:t>
      </w:r>
      <w:r>
        <w:t xml:space="preserve"> stabilisation tools</w:t>
      </w:r>
      <w:r w:rsidR="001D3C6F">
        <w:t xml:space="preserve"> to deal with large economic shocks</w:t>
      </w:r>
      <w:r w:rsidR="00765DA7">
        <w:t xml:space="preserve"> (a particular variety of ‘risk sharing’ among euro countries)</w:t>
      </w:r>
      <w:r>
        <w:t>: this leads to arguments that the ESM should be allowed</w:t>
      </w:r>
      <w:r w:rsidR="00622929">
        <w:t xml:space="preserve"> to d</w:t>
      </w:r>
      <w:r w:rsidR="00622929">
        <w:t>e</w:t>
      </w:r>
      <w:r w:rsidR="00622929">
        <w:t xml:space="preserve">velop and use </w:t>
      </w:r>
      <w:r w:rsidR="004E10CC">
        <w:t>tools of this kind</w:t>
      </w:r>
      <w:r w:rsidR="008522E8">
        <w:t>—</w:t>
      </w:r>
      <w:r w:rsidR="003733C3">
        <w:t>for example,</w:t>
      </w:r>
      <w:r w:rsidR="008522E8">
        <w:t xml:space="preserve"> that it should have the capacity to lend to countries that are not in risk of losing access to the markets, and that have a good record in terms of economic policy and compliance with the fiscal rules.</w:t>
      </w:r>
      <w:bookmarkStart w:id="19" w:name="_Ref405283524"/>
      <w:r w:rsidR="008522E8" w:rsidRPr="00B65A96">
        <w:rPr>
          <w:rStyle w:val="FootnoteReference"/>
        </w:rPr>
        <w:footnoteReference w:id="19"/>
      </w:r>
      <w:bookmarkEnd w:id="19"/>
      <w:r w:rsidR="008522E8">
        <w:t xml:space="preserve"> </w:t>
      </w:r>
      <w:r w:rsidR="003733C3">
        <w:t>A particular version of this capacity was included in the package of pr</w:t>
      </w:r>
      <w:r w:rsidR="003733C3">
        <w:t>o</w:t>
      </w:r>
      <w:r w:rsidR="003733C3">
        <w:t xml:space="preserve">posals put forward by the </w:t>
      </w:r>
      <w:proofErr w:type="spellStart"/>
      <w:r w:rsidR="003733C3">
        <w:t>Eurogroup</w:t>
      </w:r>
      <w:proofErr w:type="spellEnd"/>
      <w:r w:rsidR="003733C3">
        <w:t xml:space="preserve"> and endorsed by the Euro Summit in D</w:t>
      </w:r>
      <w:r w:rsidR="003733C3">
        <w:t>e</w:t>
      </w:r>
      <w:r w:rsidR="003733C3">
        <w:t>cember 2018.</w:t>
      </w:r>
      <w:r w:rsidR="003733C3">
        <w:rPr>
          <w:rStyle w:val="FootnoteReference"/>
        </w:rPr>
        <w:footnoteReference w:id="20"/>
      </w:r>
      <w:r w:rsidR="003733C3">
        <w:t xml:space="preserve"> </w:t>
      </w:r>
      <w:r w:rsidR="00D3790C" w:rsidRPr="00D3790C">
        <w:rPr>
          <w:lang w:val="en-US"/>
        </w:rPr>
        <w:t>A further possibility was that the ESM, or future EMF, may be able to fund more ambitious instruments such as a deposit scheme or une</w:t>
      </w:r>
      <w:r w:rsidR="00D3790C" w:rsidRPr="00D3790C">
        <w:rPr>
          <w:lang w:val="en-US"/>
        </w:rPr>
        <w:t>m</w:t>
      </w:r>
      <w:r w:rsidR="00D3790C" w:rsidRPr="00D3790C">
        <w:rPr>
          <w:lang w:val="en-US"/>
        </w:rPr>
        <w:t>ployment insurance, giving it a central role in a much more significant pooling of resources (This was, unsurprisingly, not part of the agreement reached at the Euro Summit).</w:t>
      </w:r>
      <w:r w:rsidR="00D3790C">
        <w:rPr>
          <w:lang w:val="en-US"/>
        </w:rPr>
        <w:t xml:space="preserve"> </w:t>
      </w:r>
      <w:r w:rsidR="00765DA7">
        <w:t xml:space="preserve">It should be noted that, </w:t>
      </w:r>
      <w:r w:rsidR="00E7201F">
        <w:t>if or when the ESM (or a future</w:t>
      </w:r>
      <w:r w:rsidR="00765DA7">
        <w:t xml:space="preserve"> EMF</w:t>
      </w:r>
      <w:r w:rsidR="00E7201F">
        <w:t xml:space="preserve">) </w:t>
      </w:r>
      <w:r w:rsidR="00765DA7">
        <w:t>a</w:t>
      </w:r>
      <w:r w:rsidR="00765DA7">
        <w:t>c</w:t>
      </w:r>
      <w:r w:rsidR="00765DA7">
        <w:lastRenderedPageBreak/>
        <w:t xml:space="preserve">quire such macroeconomic stabilisation tools, </w:t>
      </w:r>
      <w:r w:rsidR="00E7201F">
        <w:t xml:space="preserve">these </w:t>
      </w:r>
      <w:proofErr w:type="gramStart"/>
      <w:r w:rsidR="00765DA7">
        <w:t>may</w:t>
      </w:r>
      <w:proofErr w:type="gramEnd"/>
      <w:r w:rsidR="00765DA7">
        <w:t xml:space="preserve"> be joined by other risk-sharing</w:t>
      </w:r>
      <w:r w:rsidR="00812028">
        <w:t>,</w:t>
      </w:r>
      <w:r w:rsidR="00765DA7">
        <w:t xml:space="preserve"> </w:t>
      </w:r>
      <w:r w:rsidR="00812028">
        <w:t xml:space="preserve">stabilisation </w:t>
      </w:r>
      <w:r w:rsidR="00765DA7">
        <w:t>schemes proposed by the Commission, such as a European Investment Protection Scheme.</w:t>
      </w:r>
      <w:r w:rsidR="00765DA7" w:rsidRPr="00B65A96">
        <w:rPr>
          <w:rStyle w:val="FootnoteReference"/>
        </w:rPr>
        <w:footnoteReference w:id="21"/>
      </w:r>
      <w:r w:rsidR="00765DA7">
        <w:t xml:space="preserve"> </w:t>
      </w:r>
    </w:p>
    <w:p w14:paraId="754F546E" w14:textId="77777777" w:rsidR="00090569" w:rsidRDefault="00090569" w:rsidP="00090569"/>
    <w:p w14:paraId="4EAEE9EF" w14:textId="0F1D37F3" w:rsidR="00F7002E" w:rsidRDefault="00F7002E" w:rsidP="00F7002E">
      <w:r>
        <w:t>Finally, many would argue that the way in which financial assistance pr</w:t>
      </w:r>
      <w:r>
        <w:t>o</w:t>
      </w:r>
      <w:r>
        <w:t>grammes are designed and managed could be improved upon, for reasons of e</w:t>
      </w:r>
      <w:r>
        <w:t>f</w:t>
      </w:r>
      <w:r>
        <w:t>fectiveness</w:t>
      </w:r>
      <w:r w:rsidR="00D233F2">
        <w:t>,</w:t>
      </w:r>
      <w:r>
        <w:t xml:space="preserve"> on the one hand, or of accountability and independence, on the ot</w:t>
      </w:r>
      <w:r>
        <w:t>h</w:t>
      </w:r>
      <w:r>
        <w:t xml:space="preserve">er. This has led to </w:t>
      </w:r>
      <w:r w:rsidR="002D3D4D">
        <w:t>suggestions</w:t>
      </w:r>
      <w:r>
        <w:t xml:space="preserve"> that the ESM—or future EMF—should </w:t>
      </w:r>
      <w:r w:rsidRPr="00C07C24">
        <w:t xml:space="preserve">play a </w:t>
      </w:r>
      <w:r>
        <w:t>greater</w:t>
      </w:r>
      <w:r w:rsidRPr="00C07C24">
        <w:t xml:space="preserve"> role in ensuring</w:t>
      </w:r>
      <w:r>
        <w:t xml:space="preserve"> debt sustainability (perhaps playing a role in</w:t>
      </w:r>
      <w:r w:rsidRPr="00C07C24">
        <w:t xml:space="preserve"> debt-restructuring before</w:t>
      </w:r>
      <w:r>
        <w:t xml:space="preserve"> a state</w:t>
      </w:r>
      <w:r w:rsidRPr="00C07C24">
        <w:t xml:space="preserve"> </w:t>
      </w:r>
      <w:r>
        <w:t>has</w:t>
      </w:r>
      <w:r w:rsidRPr="00C07C24">
        <w:t xml:space="preserve"> access to financial support</w:t>
      </w:r>
      <w:r>
        <w:t>)</w:t>
      </w:r>
      <w:r w:rsidRPr="00B65A96">
        <w:rPr>
          <w:rStyle w:val="FootnoteReference"/>
        </w:rPr>
        <w:footnoteReference w:id="22"/>
      </w:r>
      <w:r>
        <w:t xml:space="preserve"> and, more genera</w:t>
      </w:r>
      <w:r>
        <w:t>l</w:t>
      </w:r>
      <w:r>
        <w:t>ly, that the ESM/EMF should have a greater role in designing and negotiating conditionality programmes. The proposals in this respect have ranged from merely giving the EMF a role in this process—alongside the Commission and the ECB</w:t>
      </w:r>
      <w:r w:rsidRPr="00B65A96">
        <w:rPr>
          <w:rStyle w:val="FootnoteReference"/>
        </w:rPr>
        <w:footnoteReference w:id="23"/>
      </w:r>
      <w:r>
        <w:t>—to giving the EMF sole responsibility, excluding any other actors.</w:t>
      </w:r>
      <w:r w:rsidRPr="00B65A96">
        <w:rPr>
          <w:rStyle w:val="FootnoteReference"/>
        </w:rPr>
        <w:footnoteReference w:id="24"/>
      </w:r>
      <w:r>
        <w:t xml:space="preserve"> In November 2018, the ESM and the Commission agreed on a joint position with regard to their future cooperation.</w:t>
      </w:r>
      <w:r>
        <w:rPr>
          <w:rStyle w:val="FootnoteReference"/>
        </w:rPr>
        <w:footnoteReference w:id="25"/>
      </w:r>
      <w:r>
        <w:t xml:space="preserve"> This joint position, which has now been e</w:t>
      </w:r>
      <w:r>
        <w:t>n</w:t>
      </w:r>
      <w:r>
        <w:lastRenderedPageBreak/>
        <w:t>dorsed by the Euro Summit,</w:t>
      </w:r>
      <w:r>
        <w:rPr>
          <w:rStyle w:val="FootnoteReference"/>
        </w:rPr>
        <w:footnoteReference w:id="26"/>
      </w:r>
      <w:r>
        <w:t xml:space="preserve"> foresees that the ESM will be more involved in d</w:t>
      </w:r>
      <w:r>
        <w:t>e</w:t>
      </w:r>
      <w:r>
        <w:t xml:space="preserve">signing conditionality programmes and assessing debt sustainability. </w:t>
      </w:r>
    </w:p>
    <w:p w14:paraId="11DB20C8" w14:textId="77777777" w:rsidR="00895EAF" w:rsidRDefault="00895EAF" w:rsidP="009264A0"/>
    <w:p w14:paraId="4CF8EF9A" w14:textId="0723127A" w:rsidR="000F4A13" w:rsidRDefault="000F4A13" w:rsidP="001064FD">
      <w:pPr>
        <w:pStyle w:val="Heading2"/>
      </w:pPr>
      <w:bookmarkStart w:id="20" w:name="_Toc405228147"/>
      <w:r>
        <w:t>Reasons to change the institutional setting</w:t>
      </w:r>
      <w:bookmarkEnd w:id="20"/>
    </w:p>
    <w:p w14:paraId="2FE1DE8A" w14:textId="77777777" w:rsidR="000F4A13" w:rsidRDefault="000F4A13" w:rsidP="009264A0"/>
    <w:p w14:paraId="492A1D40" w14:textId="522D98E0" w:rsidR="004E10CC" w:rsidRDefault="004828D5" w:rsidP="009264A0">
      <w:r>
        <w:t xml:space="preserve">Finally, some of the proposals affect not what powers the EMF might wield, </w:t>
      </w:r>
      <w:r w:rsidR="00485E4A">
        <w:t xml:space="preserve">but how it can reach decisions and, in general, its </w:t>
      </w:r>
      <w:r w:rsidR="00485E4A" w:rsidRPr="00260B4D">
        <w:t>institutional setting</w:t>
      </w:r>
      <w:r w:rsidR="00485E4A">
        <w:t xml:space="preserve">. </w:t>
      </w:r>
      <w:r>
        <w:t>It has been a</w:t>
      </w:r>
      <w:r>
        <w:t>r</w:t>
      </w:r>
      <w:r>
        <w:t>gued that EMU needs to act more swiftly when the circumstances demand it: fo</w:t>
      </w:r>
      <w:r>
        <w:t>l</w:t>
      </w:r>
      <w:r>
        <w:t xml:space="preserve">lowing that rationale, the Commission has </w:t>
      </w:r>
      <w:r w:rsidR="00F62BDF">
        <w:t>proposed</w:t>
      </w:r>
      <w:r>
        <w:t xml:space="preserve"> that the EMF </w:t>
      </w:r>
      <w:r w:rsidR="006D447A">
        <w:t>move away from unanimous decision-making, acting</w:t>
      </w:r>
      <w:r>
        <w:t xml:space="preserve"> by reinforced qualified majority voting in certain urgent situations.</w:t>
      </w:r>
      <w:r w:rsidRPr="00B65A96">
        <w:rPr>
          <w:rStyle w:val="FootnoteReference"/>
        </w:rPr>
        <w:footnoteReference w:id="27"/>
      </w:r>
      <w:r w:rsidR="00485E4A">
        <w:t xml:space="preserve"> </w:t>
      </w:r>
      <w:r w:rsidR="006D447A">
        <w:t>More generally</w:t>
      </w:r>
      <w:r w:rsidR="00485E4A">
        <w:t>, the Commission has argued that the EMF should be integrated into the EU legal framework to avoid ‘a complex landscape where judicial protection, respect for fundamental rights and dem</w:t>
      </w:r>
      <w:r w:rsidR="00485E4A">
        <w:t>o</w:t>
      </w:r>
      <w:r w:rsidR="00485E4A">
        <w:t>cratic accountability are</w:t>
      </w:r>
      <w:r w:rsidR="00B17105">
        <w:t xml:space="preserve"> fragmented</w:t>
      </w:r>
      <w:r w:rsidR="00485E4A">
        <w:t xml:space="preserve"> </w:t>
      </w:r>
      <w:r w:rsidR="00383F85">
        <w:t xml:space="preserve">and </w:t>
      </w:r>
      <w:r w:rsidR="00485E4A">
        <w:t>unevenly implemented</w:t>
      </w:r>
      <w:r w:rsidR="00B17105">
        <w:t>.</w:t>
      </w:r>
      <w:r w:rsidR="00485E4A">
        <w:t>’</w:t>
      </w:r>
      <w:r w:rsidR="00B17105" w:rsidRPr="00B65A96">
        <w:rPr>
          <w:rStyle w:val="FootnoteReference"/>
        </w:rPr>
        <w:footnoteReference w:id="28"/>
      </w:r>
      <w:r w:rsidR="009A7257">
        <w:t xml:space="preserve"> </w:t>
      </w:r>
      <w:r w:rsidR="00643238">
        <w:t xml:space="preserve">The eventual integration of the current ESM into the framework of the Treaties </w:t>
      </w:r>
      <w:r w:rsidR="005511D6">
        <w:t xml:space="preserve">was already </w:t>
      </w:r>
      <w:r w:rsidR="008B1B16">
        <w:t>envisaged in the Five Presidents’ Report.</w:t>
      </w:r>
      <w:r w:rsidR="008B1B16" w:rsidRPr="00B65A96">
        <w:rPr>
          <w:rStyle w:val="FootnoteReference"/>
        </w:rPr>
        <w:footnoteReference w:id="29"/>
      </w:r>
      <w:r w:rsidR="00643238">
        <w:t xml:space="preserve"> </w:t>
      </w:r>
    </w:p>
    <w:p w14:paraId="698A24FC" w14:textId="77777777" w:rsidR="009A7257" w:rsidRDefault="009A7257" w:rsidP="009264A0"/>
    <w:p w14:paraId="59DDB040" w14:textId="2B717744" w:rsidR="0093361F" w:rsidRPr="00D14F9A" w:rsidRDefault="009A7257" w:rsidP="009264A0">
      <w:r w:rsidRPr="00F32109">
        <w:t>The picture is, then, a fragmented and complex one:</w:t>
      </w:r>
      <w:r w:rsidR="00360EB0" w:rsidRPr="004D11BE">
        <w:t xml:space="preserve"> there </w:t>
      </w:r>
      <w:r w:rsidR="00D146B6" w:rsidRPr="004D11BE">
        <w:t>is an</w:t>
      </w:r>
      <w:r w:rsidR="00360EB0" w:rsidRPr="00F32109">
        <w:t xml:space="preserve"> interest in r</w:t>
      </w:r>
      <w:r w:rsidR="00360EB0" w:rsidRPr="004D11BE">
        <w:t>e</w:t>
      </w:r>
      <w:r w:rsidR="00360EB0" w:rsidRPr="004D11BE">
        <w:t>forming the ESM and various actors have expressed a desire to</w:t>
      </w:r>
      <w:r w:rsidR="00123D57" w:rsidRPr="004D11BE">
        <w:t xml:space="preserve"> overhaul it co</w:t>
      </w:r>
      <w:r w:rsidR="00123D57" w:rsidRPr="004D11BE">
        <w:t>m</w:t>
      </w:r>
      <w:r w:rsidR="00123D57" w:rsidRPr="004D11BE">
        <w:t>pletely and</w:t>
      </w:r>
      <w:r w:rsidR="00360EB0" w:rsidRPr="00F32109">
        <w:t xml:space="preserve"> replace it with a new body</w:t>
      </w:r>
      <w:r w:rsidR="00F43AF8" w:rsidRPr="004D11BE">
        <w:t>, or</w:t>
      </w:r>
      <w:r w:rsidR="00360EB0" w:rsidRPr="00F32109">
        <w:t xml:space="preserve"> </w:t>
      </w:r>
      <w:r w:rsidR="00360EB0" w:rsidRPr="004D11BE">
        <w:t>EMF</w:t>
      </w:r>
      <w:r w:rsidR="00F43AF8" w:rsidRPr="004D11BE">
        <w:t>,</w:t>
      </w:r>
      <w:r w:rsidR="00272F26" w:rsidRPr="004D11BE">
        <w:rPr>
          <w:rStyle w:val="FootnoteReference"/>
        </w:rPr>
        <w:footnoteReference w:id="30"/>
      </w:r>
      <w:r w:rsidR="00360EB0" w:rsidRPr="004D11BE">
        <w:t xml:space="preserve"> that builds on the current ESM and acquires greater powers</w:t>
      </w:r>
      <w:r w:rsidR="00D146B6" w:rsidRPr="004D11BE">
        <w:t xml:space="preserve">. </w:t>
      </w:r>
      <w:r w:rsidR="00123D57" w:rsidRPr="004D11BE">
        <w:t>There</w:t>
      </w:r>
      <w:r w:rsidR="00D146B6" w:rsidRPr="004D11BE">
        <w:t xml:space="preserve"> is</w:t>
      </w:r>
      <w:r w:rsidR="00123D57" w:rsidRPr="004D11BE">
        <w:t>, however,</w:t>
      </w:r>
      <w:r w:rsidR="00D146B6" w:rsidRPr="004D11BE">
        <w:t xml:space="preserve"> very little that all actors can agree on, </w:t>
      </w:r>
      <w:r w:rsidR="00123D57" w:rsidRPr="004D11BE">
        <w:t xml:space="preserve">whether </w:t>
      </w:r>
      <w:r w:rsidR="00D146B6" w:rsidRPr="004D11BE">
        <w:t xml:space="preserve">in relation to </w:t>
      </w:r>
      <w:r w:rsidR="00123D57" w:rsidRPr="004D11BE">
        <w:t>the future powers or the institutional setting of a hypothetical EMF. As a result,</w:t>
      </w:r>
      <w:r w:rsidR="00F43AF8" w:rsidRPr="004D11BE">
        <w:t xml:space="preserve"> </w:t>
      </w:r>
      <w:r w:rsidR="00123D57" w:rsidRPr="004D11BE">
        <w:t>there has only been a cautious political agreement</w:t>
      </w:r>
      <w:r w:rsidR="00F43AF8" w:rsidRPr="004D11BE">
        <w:t xml:space="preserve"> so far</w:t>
      </w:r>
      <w:r w:rsidR="00123D57" w:rsidRPr="004D11BE">
        <w:t xml:space="preserve"> to pursue a very limited reform of the current ESM, the most significant result of which will be that the ESM will act as a backstop to the SRF. This is not </w:t>
      </w:r>
      <w:r w:rsidR="00123D57" w:rsidRPr="004D11BE">
        <w:lastRenderedPageBreak/>
        <w:t xml:space="preserve">surprising, given the fundamental disagreements that underlie the debate; the </w:t>
      </w:r>
      <w:r w:rsidR="00AF1291" w:rsidRPr="004D11BE">
        <w:t>next sec</w:t>
      </w:r>
      <w:r w:rsidR="00AF1291" w:rsidRPr="00D14F9A">
        <w:t>tion will attempt to get at the heart of this disagreement.</w:t>
      </w:r>
    </w:p>
    <w:p w14:paraId="08AC6226" w14:textId="77777777" w:rsidR="00AF1291" w:rsidRDefault="00AF1291" w:rsidP="009264A0"/>
    <w:p w14:paraId="12499F7A" w14:textId="4725458E" w:rsidR="00090E54" w:rsidRDefault="00E273C2" w:rsidP="00E273C2">
      <w:pPr>
        <w:pStyle w:val="Heading1"/>
      </w:pPr>
      <w:bookmarkStart w:id="21" w:name="_Toc395952787"/>
      <w:bookmarkStart w:id="22" w:name="_Toc405228148"/>
      <w:r>
        <w:t>Fundamental Choices: Powers and Institutional Setting</w:t>
      </w:r>
      <w:bookmarkEnd w:id="21"/>
      <w:bookmarkEnd w:id="22"/>
    </w:p>
    <w:p w14:paraId="6638F8C3" w14:textId="77777777" w:rsidR="00BA3F41" w:rsidRDefault="00BA3F41" w:rsidP="00BA3F41"/>
    <w:p w14:paraId="5F0F402A" w14:textId="26CC48F8" w:rsidR="00090E54" w:rsidRDefault="00E273C2" w:rsidP="009A7257">
      <w:r w:rsidRPr="00BA3F41">
        <w:t xml:space="preserve">There are two fundamental disagreements underlying </w:t>
      </w:r>
      <w:r w:rsidR="009A7257">
        <w:t>all</w:t>
      </w:r>
      <w:r w:rsidRPr="00BA3F41">
        <w:t xml:space="preserve"> proposals</w:t>
      </w:r>
      <w:r w:rsidR="009A7257">
        <w:t xml:space="preserve"> and discu</w:t>
      </w:r>
      <w:r w:rsidR="009A7257">
        <w:t>s</w:t>
      </w:r>
      <w:r w:rsidR="009A7257">
        <w:t>sion concerning a hypothetical EMF</w:t>
      </w:r>
      <w:r w:rsidRPr="00BA3F41">
        <w:t xml:space="preserve">: </w:t>
      </w:r>
      <w:r w:rsidR="009A7257">
        <w:t xml:space="preserve">about </w:t>
      </w:r>
      <w:r w:rsidRPr="00BA3F41">
        <w:t xml:space="preserve">what powers </w:t>
      </w:r>
      <w:r w:rsidR="009A7257">
        <w:t xml:space="preserve">the EMF </w:t>
      </w:r>
      <w:r w:rsidRPr="00BA3F41">
        <w:t xml:space="preserve">should </w:t>
      </w:r>
      <w:r w:rsidR="009A7257">
        <w:t>have</w:t>
      </w:r>
      <w:r w:rsidRPr="00BA3F41">
        <w:t xml:space="preserve">, and </w:t>
      </w:r>
      <w:r w:rsidR="009A7257">
        <w:t xml:space="preserve">about what </w:t>
      </w:r>
      <w:r w:rsidRPr="00BA3F41">
        <w:t xml:space="preserve">its </w:t>
      </w:r>
      <w:r w:rsidR="009A7257">
        <w:t>institutional setting should be—i.e. whether it should remain intergovernmental in nature and outside the EU legal system, like the ESM before it.</w:t>
      </w:r>
      <w:r w:rsidR="00230050" w:rsidRPr="00B65A96">
        <w:rPr>
          <w:rStyle w:val="FootnoteReference"/>
        </w:rPr>
        <w:footnoteReference w:id="31"/>
      </w:r>
      <w:r w:rsidR="009A7257">
        <w:t xml:space="preserve"> These two questions are, of course, closely connected.</w:t>
      </w:r>
      <w:r>
        <w:t xml:space="preserve"> The way in which we answer these questions </w:t>
      </w:r>
      <w:r w:rsidRPr="00BA3F41">
        <w:t>will define the future nature of a</w:t>
      </w:r>
      <w:r w:rsidR="00050C28">
        <w:t>n</w:t>
      </w:r>
      <w:r w:rsidRPr="00BA3F41">
        <w:t xml:space="preserve"> </w:t>
      </w:r>
      <w:r w:rsidR="00C0415B">
        <w:t xml:space="preserve">EMF </w:t>
      </w:r>
      <w:r w:rsidRPr="00BA3F41">
        <w:t>and</w:t>
      </w:r>
      <w:r w:rsidR="00D464C0">
        <w:t xml:space="preserve"> will have a bearing on the</w:t>
      </w:r>
      <w:r w:rsidRPr="00BA3F41">
        <w:t xml:space="preserve"> way in which integration takes place within the euro area for years to come. </w:t>
      </w:r>
    </w:p>
    <w:p w14:paraId="1A0971EA" w14:textId="77777777" w:rsidR="009A7257" w:rsidRDefault="009A7257" w:rsidP="009A7257"/>
    <w:p w14:paraId="4C374A68" w14:textId="4125345B" w:rsidR="009A7257" w:rsidRDefault="000A6474" w:rsidP="009A7257">
      <w:r>
        <w:t>When it comes to its institutional arrangements, the main disagreement is whether the EMF should be embedded within the EU legal system and thus brought closer to the supranational ‘Community method’ in terms of its decision-making and of involvement of EU institutions, or remain outside the EU legal sy</w:t>
      </w:r>
      <w:r>
        <w:t>s</w:t>
      </w:r>
      <w:r>
        <w:t>tem and continue to be fully intergovernmental in nature—and thus controlled by national governments. Not surprisingly, attitudes towards the supranatio</w:t>
      </w:r>
      <w:r>
        <w:t>n</w:t>
      </w:r>
      <w:r>
        <w:t xml:space="preserve">al/intergovernmental question are closely connected to the question of what new powers a future EMF should have. On this point, the main disagreement is whether </w:t>
      </w:r>
      <w:r w:rsidR="0015503E">
        <w:t>the EMF</w:t>
      </w:r>
      <w:r>
        <w:t xml:space="preserve"> should </w:t>
      </w:r>
      <w:r w:rsidR="0015503E">
        <w:t xml:space="preserve">acquire new powers relating to fiscal surveillance and discipline, </w:t>
      </w:r>
      <w:r w:rsidR="00F52F29">
        <w:t>or</w:t>
      </w:r>
      <w:r w:rsidR="0015503E">
        <w:t xml:space="preserve"> whether it should become a ve</w:t>
      </w:r>
      <w:r w:rsidR="00A373D0">
        <w:t xml:space="preserve">hicle for further risk-sharing, </w:t>
      </w:r>
      <w:r w:rsidR="0015503E">
        <w:t>through new tools</w:t>
      </w:r>
      <w:r w:rsidR="00A373D0">
        <w:t xml:space="preserve"> of macroeconomic stabilisation</w:t>
      </w:r>
      <w:r w:rsidR="0015503E">
        <w:t xml:space="preserve">. </w:t>
      </w:r>
    </w:p>
    <w:p w14:paraId="5F0F91AE" w14:textId="77777777" w:rsidR="0015503E" w:rsidRDefault="0015503E" w:rsidP="009A7257"/>
    <w:p w14:paraId="7E5309F3" w14:textId="31BC6284" w:rsidR="00E51BBB" w:rsidRDefault="0015503E" w:rsidP="009A7257">
      <w:proofErr w:type="gramStart"/>
      <w:r>
        <w:t>The two ends of the spectrum are represented, in the discussion, by the Commi</w:t>
      </w:r>
      <w:r>
        <w:t>s</w:t>
      </w:r>
      <w:r>
        <w:t>sion’s 2017 Proposal and the Ger</w:t>
      </w:r>
      <w:r w:rsidR="00F52F29">
        <w:t>man</w:t>
      </w:r>
      <w:r w:rsidR="005D1153">
        <w:t xml:space="preserve"> ‘</w:t>
      </w:r>
      <w:r w:rsidR="00F52F29">
        <w:t>non-paper</w:t>
      </w:r>
      <w:r w:rsidR="005D1153">
        <w:t>’</w:t>
      </w:r>
      <w:proofErr w:type="gramEnd"/>
      <w:r w:rsidR="00F52F29">
        <w:t xml:space="preserve"> (which may be considered the </w:t>
      </w:r>
      <w:r w:rsidR="00F52F29">
        <w:lastRenderedPageBreak/>
        <w:t>‘pinnacle’ of the intergovernmental</w:t>
      </w:r>
      <w:r w:rsidR="00245C45">
        <w:t xml:space="preserve"> approach).</w:t>
      </w:r>
      <w:r w:rsidR="00D3790C">
        <w:rPr>
          <w:rStyle w:val="FootnoteReference"/>
        </w:rPr>
        <w:footnoteReference w:id="32"/>
      </w:r>
      <w:r w:rsidR="00245C45">
        <w:t xml:space="preserve"> In 2017</w:t>
      </w:r>
      <w:r w:rsidR="00F52F29">
        <w:t xml:space="preserve">, </w:t>
      </w:r>
      <w:r w:rsidR="0098611A">
        <w:t>the G</w:t>
      </w:r>
      <w:r w:rsidR="00D464C0">
        <w:t>erman ex-finance minister, Wolfgang</w:t>
      </w:r>
      <w:r w:rsidR="0098611A">
        <w:t xml:space="preserve"> </w:t>
      </w:r>
      <w:proofErr w:type="spellStart"/>
      <w:r w:rsidR="00F52F29">
        <w:t>Schäuble</w:t>
      </w:r>
      <w:proofErr w:type="spellEnd"/>
      <w:r w:rsidR="00F52F29">
        <w:t xml:space="preserve"> produced a short non-paper that set out the inte</w:t>
      </w:r>
      <w:r w:rsidR="00F52F29">
        <w:t>r</w:t>
      </w:r>
      <w:r w:rsidR="00F52F29">
        <w:t>governmental approach to a future EMF. Since then, the German government’s views may have shifted slightly, but it is fair to say that they are still intergo</w:t>
      </w:r>
      <w:r w:rsidR="00F52F29">
        <w:t>v</w:t>
      </w:r>
      <w:r w:rsidR="00F52F29">
        <w:t xml:space="preserve">ernmental in nature. </w:t>
      </w:r>
      <w:proofErr w:type="gramStart"/>
      <w:r w:rsidR="0098611A">
        <w:t>These views are</w:t>
      </w:r>
      <w:r w:rsidR="005D1153">
        <w:t>, at least in part,</w:t>
      </w:r>
      <w:r w:rsidR="0098611A">
        <w:t xml:space="preserve"> shared by other gover</w:t>
      </w:r>
      <w:r w:rsidR="0098611A">
        <w:t>n</w:t>
      </w:r>
      <w:r w:rsidR="0098611A">
        <w:t>ments in the euro area</w:t>
      </w:r>
      <w:r w:rsidR="0019791D">
        <w:t>, notably those in the so-called ‘New Hanseatic League’</w:t>
      </w:r>
      <w:proofErr w:type="gramEnd"/>
      <w:r w:rsidR="0019791D">
        <w:t>.</w:t>
      </w:r>
      <w:r w:rsidR="0098611A" w:rsidRPr="00B65A96">
        <w:rPr>
          <w:rStyle w:val="FootnoteReference"/>
        </w:rPr>
        <w:footnoteReference w:id="33"/>
      </w:r>
      <w:r w:rsidR="0098611A">
        <w:t xml:space="preserve"> </w:t>
      </w:r>
      <w:r w:rsidR="00F52F29">
        <w:t xml:space="preserve">In any case, the intergovernmental approach comes together with a wish to have the EMF be </w:t>
      </w:r>
      <w:r w:rsidR="00272F26">
        <w:t>an external</w:t>
      </w:r>
      <w:r w:rsidR="00F52F29">
        <w:t xml:space="preserve"> enforcer of fiscal </w:t>
      </w:r>
      <w:r w:rsidR="003461B4">
        <w:t>rules and discipline (going so</w:t>
      </w:r>
      <w:r w:rsidR="00136AA5">
        <w:t xml:space="preserve"> far as</w:t>
      </w:r>
      <w:r w:rsidR="003461B4">
        <w:t xml:space="preserve"> proposing, in the case of </w:t>
      </w:r>
      <w:proofErr w:type="spellStart"/>
      <w:r w:rsidR="003461B4">
        <w:t>Schäuble’s</w:t>
      </w:r>
      <w:proofErr w:type="spellEnd"/>
      <w:r w:rsidR="003461B4">
        <w:t xml:space="preserve"> non-paper, that the EMF should</w:t>
      </w:r>
      <w:r w:rsidR="00136AA5">
        <w:t xml:space="preserve"> </w:t>
      </w:r>
      <w:r w:rsidR="0019791D">
        <w:t xml:space="preserve">come to </w:t>
      </w:r>
      <w:r w:rsidR="00136AA5">
        <w:t>e</w:t>
      </w:r>
      <w:r w:rsidR="00136AA5">
        <w:t>n</w:t>
      </w:r>
      <w:r w:rsidR="00136AA5">
        <w:t>force the Fiscal Compact and the Stability and Growth Pact</w:t>
      </w:r>
      <w:r w:rsidR="0019791D">
        <w:t>; more recently, the New Hanseatic League has proposed that the ESM have full access information on the economic and financial situation of all euro states</w:t>
      </w:r>
      <w:r w:rsidR="00136AA5">
        <w:t>),</w:t>
      </w:r>
      <w:bookmarkStart w:id="23" w:name="_Ref415749701"/>
      <w:r w:rsidR="0019791D">
        <w:rPr>
          <w:rStyle w:val="FootnoteReference"/>
        </w:rPr>
        <w:footnoteReference w:id="34"/>
      </w:r>
      <w:bookmarkEnd w:id="23"/>
      <w:r w:rsidR="00136AA5">
        <w:t xml:space="preserve"> while the supran</w:t>
      </w:r>
      <w:r w:rsidR="00136AA5">
        <w:t>a</w:t>
      </w:r>
      <w:r w:rsidR="00136AA5">
        <w:t>tional approach comes together with a wish to enlarge the policy-making powers of the EMF and increase risk-sharing within the euro area. The intergovernme</w:t>
      </w:r>
      <w:r w:rsidR="00136AA5">
        <w:t>n</w:t>
      </w:r>
      <w:r w:rsidR="00136AA5">
        <w:t>tal approach is concerned with keeping control at the national level, both in terms of EMF decision-making but also in terms of EMU integration, more gene</w:t>
      </w:r>
      <w:r w:rsidR="00136AA5">
        <w:t>r</w:t>
      </w:r>
      <w:r w:rsidR="00136AA5">
        <w:t>ally; there is a long-standing emphasis on rule-based integration as opposed to allowing for more policy-making, discretion and risk-sharing at EU level. The la</w:t>
      </w:r>
      <w:r w:rsidR="00136AA5">
        <w:t>t</w:t>
      </w:r>
      <w:r w:rsidR="00136AA5">
        <w:t>ter</w:t>
      </w:r>
      <w:r w:rsidR="000900C2">
        <w:t>, the argument goes,</w:t>
      </w:r>
      <w:r w:rsidR="00136AA5">
        <w:t xml:space="preserve"> would necessitate a pooling of sovereignty</w:t>
      </w:r>
      <w:r w:rsidR="001829BA">
        <w:t>—</w:t>
      </w:r>
      <w:r w:rsidR="000900C2">
        <w:t>and thus of democratic legitimacy</w:t>
      </w:r>
      <w:r w:rsidR="001829BA">
        <w:t>—</w:t>
      </w:r>
      <w:r w:rsidR="000900C2">
        <w:t xml:space="preserve">in </w:t>
      </w:r>
      <w:r w:rsidR="00136AA5">
        <w:t xml:space="preserve">the euro area </w:t>
      </w:r>
      <w:r w:rsidR="000900C2">
        <w:t>for which the conditions are not yet right.</w:t>
      </w:r>
      <w:r w:rsidR="00136AA5">
        <w:t xml:space="preserve"> </w:t>
      </w:r>
      <w:r w:rsidR="00E51BBB">
        <w:t>In the particular case of the EMF proposals, there is not only a continuing emphasis on rules, but also a mistrust of the Commission as a neutral and effe</w:t>
      </w:r>
      <w:r w:rsidR="00E51BBB">
        <w:t>c</w:t>
      </w:r>
      <w:r w:rsidR="00E51BBB">
        <w:t>tive enforcer of those rules; hence the insistence on having the EMF enforce fi</w:t>
      </w:r>
      <w:r w:rsidR="00E51BBB">
        <w:t>s</w:t>
      </w:r>
      <w:r w:rsidR="00E51BBB">
        <w:t>cal discipline from its position outside the EU legal framework.</w:t>
      </w:r>
    </w:p>
    <w:p w14:paraId="04F0BB82" w14:textId="77777777" w:rsidR="00E51BBB" w:rsidRDefault="00E51BBB" w:rsidP="009A7257"/>
    <w:p w14:paraId="73549F84" w14:textId="7EA54DD1" w:rsidR="0015503E" w:rsidRDefault="000900C2" w:rsidP="009A7257">
      <w:r>
        <w:lastRenderedPageBreak/>
        <w:t>At the other end of the spectrum, the Commission’s supranational approach is more open to taking control away from governments and wielding it through EU institutions, granting those institutions more policy-making powers and discr</w:t>
      </w:r>
      <w:r>
        <w:t>e</w:t>
      </w:r>
      <w:r>
        <w:t xml:space="preserve">tion. </w:t>
      </w:r>
      <w:r w:rsidR="00E51BBB">
        <w:t>It is also, unsurprisingly, more concerned about the coherence of the EU l</w:t>
      </w:r>
      <w:r w:rsidR="00E51BBB">
        <w:t>e</w:t>
      </w:r>
      <w:r w:rsidR="00E51BBB">
        <w:t>gal system and its institutional balance, and does not consider it necessary—or, one would assume, even feasible—to give up part of its role as an enforcer of fi</w:t>
      </w:r>
      <w:r w:rsidR="00E51BBB">
        <w:t>s</w:t>
      </w:r>
      <w:r w:rsidR="00E51BBB">
        <w:t>cal discipline to an out-of-the-EU actor.</w:t>
      </w:r>
      <w:r w:rsidR="003461B4">
        <w:t xml:space="preserve"> </w:t>
      </w:r>
    </w:p>
    <w:p w14:paraId="7A3281AA" w14:textId="77777777" w:rsidR="003461B4" w:rsidRDefault="003461B4" w:rsidP="009A7257"/>
    <w:p w14:paraId="26A73CE5" w14:textId="05D7D064" w:rsidR="003461B4" w:rsidRDefault="003461B4" w:rsidP="009A7257">
      <w:r>
        <w:t>As mentioned above, these two positions may be considered opposite sides of a spectrum. There are, of course, voices in the debate that appear to fall som</w:t>
      </w:r>
      <w:r>
        <w:t>e</w:t>
      </w:r>
      <w:r>
        <w:t>where in the middle of said spectrum: the current German government, for e</w:t>
      </w:r>
      <w:r>
        <w:t>x</w:t>
      </w:r>
      <w:r>
        <w:t xml:space="preserve">ample, </w:t>
      </w:r>
      <w:r w:rsidR="00874392">
        <w:t xml:space="preserve">remains convinced of the desirability of an intergovernmental EMF, but </w:t>
      </w:r>
      <w:r>
        <w:t xml:space="preserve">appears to have given up on the idea of having the EMF enforce the </w:t>
      </w:r>
      <w:r w:rsidR="00A1053F">
        <w:t>Fiscal Co</w:t>
      </w:r>
      <w:r w:rsidR="00A1053F">
        <w:t>m</w:t>
      </w:r>
      <w:r w:rsidR="00A1053F">
        <w:t>pact and the Stability and Growth Pact; similarly, the current Managing Director of the ESM</w:t>
      </w:r>
      <w:r w:rsidR="00A373D0">
        <w:t xml:space="preserve">, Klaus </w:t>
      </w:r>
      <w:proofErr w:type="spellStart"/>
      <w:r w:rsidR="00A373D0">
        <w:t>Regling</w:t>
      </w:r>
      <w:proofErr w:type="spellEnd"/>
      <w:r w:rsidR="00A373D0">
        <w:t>,</w:t>
      </w:r>
      <w:r w:rsidR="00A1053F">
        <w:t xml:space="preserve"> believes that the future EMF should</w:t>
      </w:r>
      <w:r w:rsidR="00874392">
        <w:t xml:space="preserve"> remain outside the framework of the EU and</w:t>
      </w:r>
      <w:r w:rsidR="00A1053F">
        <w:t xml:space="preserve"> have a broader </w:t>
      </w:r>
      <w:r w:rsidR="00866BE1">
        <w:t>monitoring</w:t>
      </w:r>
      <w:r w:rsidR="00A1053F">
        <w:t xml:space="preserve"> role</w:t>
      </w:r>
      <w:r w:rsidR="00866BE1">
        <w:t xml:space="preserve"> in order to be able to act at short notice</w:t>
      </w:r>
      <w:r w:rsidR="00A1053F">
        <w:t>,</w:t>
      </w:r>
      <w:r w:rsidR="009E3251" w:rsidRPr="00B65A96">
        <w:rPr>
          <w:rStyle w:val="FootnoteReference"/>
        </w:rPr>
        <w:footnoteReference w:id="35"/>
      </w:r>
      <w:r w:rsidR="00A1053F">
        <w:t xml:space="preserve"> but he has emphasised that this should not mean ‘giving the EMF a role in the economic policy coordination under the Stability Growth Pact or the Macroeconomic Imbalances Procedure, which is entrusted to the Commission’</w:t>
      </w:r>
      <w:r w:rsidR="00353C51">
        <w:t>;</w:t>
      </w:r>
      <w:r w:rsidR="00A1053F" w:rsidRPr="00B65A96">
        <w:rPr>
          <w:rStyle w:val="FootnoteReference"/>
        </w:rPr>
        <w:footnoteReference w:id="36"/>
      </w:r>
      <w:r w:rsidR="00353C51">
        <w:t xml:space="preserve"> at the same time, </w:t>
      </w:r>
      <w:proofErr w:type="spellStart"/>
      <w:r w:rsidR="00353C51">
        <w:t>Regling</w:t>
      </w:r>
      <w:proofErr w:type="spellEnd"/>
      <w:r w:rsidR="00353C51">
        <w:t xml:space="preserve"> has also advocated for more risk-sharing in the euro area through stabilisation tools wielded by the EMF (specif</w:t>
      </w:r>
      <w:r w:rsidR="00353C51">
        <w:t>i</w:t>
      </w:r>
      <w:r w:rsidR="00353C51">
        <w:t>cally, shorter-term loans with lighter conditionality</w:t>
      </w:r>
      <w:r w:rsidR="001829BA">
        <w:t>.</w:t>
      </w:r>
      <w:r w:rsidR="00353C51">
        <w:t>)</w:t>
      </w:r>
      <w:r w:rsidR="00353C51" w:rsidRPr="00B65A96">
        <w:rPr>
          <w:rStyle w:val="FootnoteReference"/>
        </w:rPr>
        <w:footnoteReference w:id="37"/>
      </w:r>
      <w:r w:rsidR="00353C51">
        <w:t xml:space="preserve"> </w:t>
      </w:r>
      <w:r w:rsidR="00874392">
        <w:t xml:space="preserve"> Other proposals have stayed away from the question whether the EMF should remain intergovernme</w:t>
      </w:r>
      <w:r w:rsidR="00874392">
        <w:t>n</w:t>
      </w:r>
      <w:r w:rsidR="00874392">
        <w:t>tal or be integrated into the EU legal sys</w:t>
      </w:r>
      <w:r w:rsidR="005D1153">
        <w:t>tem: the recent ‘Fourteen E</w:t>
      </w:r>
      <w:r w:rsidR="00874392">
        <w:t>xperts</w:t>
      </w:r>
      <w:r w:rsidR="005D1153">
        <w:t>’ R</w:t>
      </w:r>
      <w:r w:rsidR="00874392">
        <w:t>e</w:t>
      </w:r>
      <w:r w:rsidR="00874392">
        <w:t>port</w:t>
      </w:r>
      <w:r w:rsidR="005D1153">
        <w:t>’</w:t>
      </w:r>
      <w:r w:rsidR="00874392">
        <w:t xml:space="preserve"> focuses only on the</w:t>
      </w:r>
      <w:r w:rsidR="004F19A6">
        <w:t xml:space="preserve"> </w:t>
      </w:r>
      <w:r w:rsidR="00874392">
        <w:t xml:space="preserve">new powers that an EMF should have, on the basis of </w:t>
      </w:r>
      <w:r w:rsidR="00874392">
        <w:lastRenderedPageBreak/>
        <w:t>effectiveness, transparency</w:t>
      </w:r>
      <w:r w:rsidR="00B17D94">
        <w:t xml:space="preserve"> and independence—it is for those reasons, they a</w:t>
      </w:r>
      <w:r w:rsidR="00B17D94">
        <w:t>r</w:t>
      </w:r>
      <w:r w:rsidR="00B17D94">
        <w:t xml:space="preserve">gue, that the EMF should have sole responsibility for negotiating and designing </w:t>
      </w:r>
      <w:r w:rsidR="004F19A6">
        <w:t>financial assistance programmes—without making claims as to its position wit</w:t>
      </w:r>
      <w:r w:rsidR="004F19A6">
        <w:t>h</w:t>
      </w:r>
      <w:r w:rsidR="004F19A6">
        <w:t>in or without the EU legal system.</w:t>
      </w:r>
      <w:r w:rsidR="005D1153" w:rsidRPr="00B65A96">
        <w:rPr>
          <w:rStyle w:val="FootnoteReference"/>
        </w:rPr>
        <w:footnoteReference w:id="38"/>
      </w:r>
      <w:r w:rsidR="007F1E89">
        <w:t xml:space="preserve"> Most recently,</w:t>
      </w:r>
      <w:r w:rsidR="00596BA9">
        <w:t xml:space="preserve"> </w:t>
      </w:r>
      <w:r w:rsidR="007F1E89">
        <w:t xml:space="preserve">the proposals agreed by the </w:t>
      </w:r>
      <w:proofErr w:type="spellStart"/>
      <w:r w:rsidR="007F1E89">
        <w:t>Eurogroup</w:t>
      </w:r>
      <w:proofErr w:type="spellEnd"/>
      <w:r w:rsidR="007F1E89">
        <w:t xml:space="preserve"> and endorsed by the Euro Summit in December 2018 would</w:t>
      </w:r>
      <w:r w:rsidR="006406C8">
        <w:t xml:space="preserve"> </w:t>
      </w:r>
      <w:r w:rsidR="00596BA9">
        <w:t>amount to</w:t>
      </w:r>
      <w:r w:rsidR="007F1E89">
        <w:t xml:space="preserve"> a very cautious and partial reform</w:t>
      </w:r>
      <w:r w:rsidR="00596BA9">
        <w:t xml:space="preserve"> of the ESM.</w:t>
      </w:r>
      <w:r w:rsidR="006406C8">
        <w:rPr>
          <w:rStyle w:val="FootnoteReference"/>
        </w:rPr>
        <w:footnoteReference w:id="39"/>
      </w:r>
      <w:r w:rsidR="00596BA9">
        <w:t xml:space="preserve"> The lack of political agre</w:t>
      </w:r>
      <w:r w:rsidR="00596BA9">
        <w:t>e</w:t>
      </w:r>
      <w:r w:rsidR="00596BA9">
        <w:t xml:space="preserve">ment to undertake a more significant overhaul should, of course, come as no surprise. The proposals foresee </w:t>
      </w:r>
      <w:r w:rsidR="007F1E89">
        <w:t>no change t</w:t>
      </w:r>
      <w:r w:rsidR="006406C8">
        <w:t xml:space="preserve">o </w:t>
      </w:r>
      <w:r w:rsidR="00596BA9">
        <w:t>the ESM’s</w:t>
      </w:r>
      <w:r w:rsidR="006406C8">
        <w:t xml:space="preserve"> intergovernmental n</w:t>
      </w:r>
      <w:r w:rsidR="006406C8">
        <w:t>a</w:t>
      </w:r>
      <w:r w:rsidR="006406C8">
        <w:t>ture—</w:t>
      </w:r>
      <w:r w:rsidR="007F1E89">
        <w:t>or</w:t>
      </w:r>
      <w:r w:rsidR="006406C8">
        <w:t>, indeed, name—</w:t>
      </w:r>
      <w:r w:rsidR="007F1E89">
        <w:t xml:space="preserve">and only a </w:t>
      </w:r>
      <w:r w:rsidR="006406C8">
        <w:t>limited</w:t>
      </w:r>
      <w:r w:rsidR="007F1E89">
        <w:t xml:space="preserve"> extension of its competences (as</w:t>
      </w:r>
      <w:r w:rsidR="006406C8">
        <w:t xml:space="preserve"> backstop to the SRF, as</w:t>
      </w:r>
      <w:r w:rsidR="007F1E89">
        <w:t xml:space="preserve"> regards </w:t>
      </w:r>
      <w:r w:rsidR="006406C8">
        <w:t>the use of precautionary credit lines as stabilis</w:t>
      </w:r>
      <w:r w:rsidR="006406C8">
        <w:t>a</w:t>
      </w:r>
      <w:r w:rsidR="006406C8">
        <w:t>tion tools, and in designing conditionality programmes in collaboration with the Commission</w:t>
      </w:r>
      <w:r w:rsidR="001829BA">
        <w:t>.</w:t>
      </w:r>
      <w:r w:rsidR="006406C8">
        <w:t>)</w:t>
      </w:r>
    </w:p>
    <w:p w14:paraId="018285EE" w14:textId="77777777" w:rsidR="001472F9" w:rsidRDefault="001472F9" w:rsidP="009A7257"/>
    <w:p w14:paraId="235D4182" w14:textId="695F4567" w:rsidR="00090E54" w:rsidRDefault="00D51445" w:rsidP="00D329E2">
      <w:r>
        <w:t xml:space="preserve">This is, then, the state of the debate at the time of writing. </w:t>
      </w:r>
      <w:r w:rsidR="004F19A6">
        <w:t>Unlike the fundame</w:t>
      </w:r>
      <w:r w:rsidR="004F19A6">
        <w:t>n</w:t>
      </w:r>
      <w:r w:rsidR="004F19A6">
        <w:t xml:space="preserve">tal disagreements underlying </w:t>
      </w:r>
      <w:r>
        <w:t>said</w:t>
      </w:r>
      <w:r w:rsidR="004F19A6">
        <w:t xml:space="preserve"> debate, the specific proposals on the table are often sparse on details and, at the moment at least, still a moving target. It is for that reason that the current article will focus, not on the minutiae of </w:t>
      </w:r>
      <w:r w:rsidR="004B2974">
        <w:t xml:space="preserve">any </w:t>
      </w:r>
      <w:r w:rsidR="004F19A6">
        <w:t>specific proposal, but on sketching the constitutional framework within which the polit</w:t>
      </w:r>
      <w:r w:rsidR="004F19A6">
        <w:t>i</w:t>
      </w:r>
      <w:r w:rsidR="004F19A6">
        <w:t>cal actors may move when designing a future European Monetary Fund</w:t>
      </w:r>
      <w:r w:rsidR="00013C61">
        <w:t xml:space="preserve"> or, i</w:t>
      </w:r>
      <w:r w:rsidR="00013C61">
        <w:t>n</w:t>
      </w:r>
      <w:r w:rsidR="00013C61">
        <w:t>deed, when reforming the current ESM.</w:t>
      </w:r>
      <w:r>
        <w:t xml:space="preserve"> </w:t>
      </w:r>
      <w:r w:rsidR="008D72B8">
        <w:t xml:space="preserve">The following sections will focus on </w:t>
      </w:r>
      <w:r w:rsidR="001656BE">
        <w:t>s</w:t>
      </w:r>
      <w:r w:rsidR="001656BE">
        <w:t>e</w:t>
      </w:r>
      <w:r w:rsidR="001656BE">
        <w:t xml:space="preserve">lected questions that define that constitutional framework, starting with matters of competence, and following with requirements of national constitutional law, and matters of judicial review, accountability and legitimacy. </w:t>
      </w:r>
      <w:r w:rsidR="008D72B8">
        <w:t xml:space="preserve"> </w:t>
      </w:r>
    </w:p>
    <w:p w14:paraId="4BA6DCA3" w14:textId="36B1E019" w:rsidR="00090E54" w:rsidRPr="00090E54" w:rsidRDefault="00B30AA2" w:rsidP="00505CBD">
      <w:pPr>
        <w:pStyle w:val="Heading1"/>
      </w:pPr>
      <w:bookmarkStart w:id="24" w:name="_Toc395952788"/>
      <w:bookmarkStart w:id="25" w:name="_Toc405228149"/>
      <w:r>
        <w:t>Questions of C</w:t>
      </w:r>
      <w:r w:rsidR="00090E54">
        <w:t>ompetence</w:t>
      </w:r>
      <w:bookmarkEnd w:id="24"/>
      <w:bookmarkEnd w:id="25"/>
    </w:p>
    <w:p w14:paraId="6C3D5C0E" w14:textId="77777777" w:rsidR="00072043" w:rsidRDefault="00072043" w:rsidP="00072043">
      <w:pPr>
        <w:rPr>
          <w:lang w:val="en-US"/>
        </w:rPr>
      </w:pPr>
    </w:p>
    <w:p w14:paraId="49925522" w14:textId="4E42CD08" w:rsidR="00C2546E" w:rsidRDefault="004B617B" w:rsidP="00072043">
      <w:pPr>
        <w:rPr>
          <w:lang w:val="en-US"/>
        </w:rPr>
      </w:pPr>
      <w:r>
        <w:rPr>
          <w:lang w:val="en-US"/>
        </w:rPr>
        <w:lastRenderedPageBreak/>
        <w:t xml:space="preserve">The first set of questions that need to be </w:t>
      </w:r>
      <w:r w:rsidR="00755945">
        <w:rPr>
          <w:lang w:val="en-US"/>
        </w:rPr>
        <w:t>considered</w:t>
      </w:r>
      <w:r>
        <w:rPr>
          <w:lang w:val="en-US"/>
        </w:rPr>
        <w:t xml:space="preserve"> in order to sketch the above-mentioned constitutional framework co</w:t>
      </w:r>
      <w:r w:rsidR="00C2546E">
        <w:rPr>
          <w:lang w:val="en-US"/>
        </w:rPr>
        <w:t>ncerns competence. Specifically, this se</w:t>
      </w:r>
      <w:r w:rsidR="00C2546E">
        <w:rPr>
          <w:lang w:val="en-US"/>
        </w:rPr>
        <w:t>c</w:t>
      </w:r>
      <w:r w:rsidR="00C2546E">
        <w:rPr>
          <w:lang w:val="en-US"/>
        </w:rPr>
        <w:t xml:space="preserve">tion will consider: </w:t>
      </w:r>
      <w:r w:rsidR="009156EF">
        <w:rPr>
          <w:lang w:val="en-US"/>
        </w:rPr>
        <w:t>(1) whether it would be possible to keep a newly-created EMF outside the framework of the EU legal system, while at the same time increasing its powers; (2</w:t>
      </w:r>
      <w:r w:rsidR="00C2546E">
        <w:rPr>
          <w:lang w:val="en-US"/>
        </w:rPr>
        <w:t xml:space="preserve">), whether it would be possible, according to the EU Treaties, to create the EMF within the framework of EU law and on what basis; </w:t>
      </w:r>
      <w:r w:rsidR="009156EF">
        <w:rPr>
          <w:lang w:val="en-US"/>
        </w:rPr>
        <w:t>(3</w:t>
      </w:r>
      <w:r w:rsidR="00C2546E">
        <w:rPr>
          <w:lang w:val="en-US"/>
        </w:rPr>
        <w:t>) what li</w:t>
      </w:r>
      <w:r w:rsidR="00C2546E">
        <w:rPr>
          <w:lang w:val="en-US"/>
        </w:rPr>
        <w:t>m</w:t>
      </w:r>
      <w:r w:rsidR="00C2546E">
        <w:rPr>
          <w:lang w:val="en-US"/>
        </w:rPr>
        <w:t>its the EU Treaties would impose when delegating powe</w:t>
      </w:r>
      <w:r w:rsidR="009156EF">
        <w:rPr>
          <w:lang w:val="en-US"/>
        </w:rPr>
        <w:t>rs to such an</w:t>
      </w:r>
      <w:r w:rsidR="000343ED">
        <w:rPr>
          <w:lang w:val="en-US"/>
        </w:rPr>
        <w:t xml:space="preserve"> EU</w:t>
      </w:r>
      <w:r w:rsidR="009156EF">
        <w:rPr>
          <w:lang w:val="en-US"/>
        </w:rPr>
        <w:t xml:space="preserve"> </w:t>
      </w:r>
      <w:r w:rsidR="000343ED">
        <w:rPr>
          <w:lang w:val="en-US"/>
        </w:rPr>
        <w:t>body</w:t>
      </w:r>
      <w:r w:rsidR="009156EF">
        <w:rPr>
          <w:lang w:val="en-US"/>
        </w:rPr>
        <w:t>.</w:t>
      </w:r>
    </w:p>
    <w:p w14:paraId="741EF638" w14:textId="77777777" w:rsidR="009156EF" w:rsidRDefault="009156EF" w:rsidP="00072043">
      <w:pPr>
        <w:rPr>
          <w:lang w:val="en-US"/>
        </w:rPr>
      </w:pPr>
    </w:p>
    <w:p w14:paraId="52D748B6" w14:textId="3C786CA7" w:rsidR="00C2546E" w:rsidRDefault="009156EF" w:rsidP="00505CBD">
      <w:pPr>
        <w:pStyle w:val="Heading2"/>
        <w:rPr>
          <w:lang w:val="en-US"/>
        </w:rPr>
      </w:pPr>
      <w:bookmarkStart w:id="26" w:name="_Toc395952789"/>
      <w:bookmarkStart w:id="27" w:name="_Toc405228150"/>
      <w:r>
        <w:rPr>
          <w:lang w:val="en-US"/>
        </w:rPr>
        <w:t>An</w:t>
      </w:r>
      <w:r w:rsidR="00C2546E">
        <w:rPr>
          <w:lang w:val="en-US"/>
        </w:rPr>
        <w:t xml:space="preserve"> EMF </w:t>
      </w:r>
      <w:r>
        <w:rPr>
          <w:lang w:val="en-US"/>
        </w:rPr>
        <w:t>outside the EU legal order</w:t>
      </w:r>
      <w:bookmarkEnd w:id="26"/>
      <w:bookmarkEnd w:id="27"/>
    </w:p>
    <w:p w14:paraId="4A7992A2" w14:textId="77777777" w:rsidR="00072043" w:rsidRDefault="00072043" w:rsidP="00072043">
      <w:pPr>
        <w:rPr>
          <w:lang w:val="en-US"/>
        </w:rPr>
      </w:pPr>
    </w:p>
    <w:p w14:paraId="74207878" w14:textId="77777777" w:rsidR="000C53DB" w:rsidRDefault="000C53DB" w:rsidP="000C53DB">
      <w:pPr>
        <w:rPr>
          <w:lang w:val="en-US"/>
        </w:rPr>
      </w:pPr>
      <w:r>
        <w:rPr>
          <w:lang w:val="en-US"/>
        </w:rPr>
        <w:t>A future EMF would build upon the current ESM; unsurprisingly, then, the star</w:t>
      </w:r>
      <w:r>
        <w:rPr>
          <w:lang w:val="en-US"/>
        </w:rPr>
        <w:t>t</w:t>
      </w:r>
      <w:r>
        <w:rPr>
          <w:lang w:val="en-US"/>
        </w:rPr>
        <w:t>ing point for any discussion of matters of competence is the Court of Justice’s d</w:t>
      </w:r>
      <w:r>
        <w:rPr>
          <w:lang w:val="en-US"/>
        </w:rPr>
        <w:t>e</w:t>
      </w:r>
      <w:r>
        <w:rPr>
          <w:lang w:val="en-US"/>
        </w:rPr>
        <w:t xml:space="preserve">cision in </w:t>
      </w:r>
      <w:r w:rsidRPr="009156EF">
        <w:rPr>
          <w:i/>
          <w:lang w:val="en-US"/>
        </w:rPr>
        <w:t>Pringle</w:t>
      </w:r>
      <w:r>
        <w:rPr>
          <w:lang w:val="en-US"/>
        </w:rPr>
        <w:t>.</w:t>
      </w:r>
      <w:bookmarkStart w:id="28" w:name="_Ref405283597"/>
      <w:r w:rsidRPr="00B65A96">
        <w:rPr>
          <w:rStyle w:val="FootnoteReference"/>
        </w:rPr>
        <w:footnoteReference w:id="40"/>
      </w:r>
      <w:bookmarkEnd w:id="28"/>
      <w:r>
        <w:rPr>
          <w:lang w:val="en-US"/>
        </w:rPr>
        <w:t xml:space="preserve"> </w:t>
      </w:r>
    </w:p>
    <w:p w14:paraId="1CBA97EB" w14:textId="77777777" w:rsidR="000C53DB" w:rsidRDefault="000C53DB" w:rsidP="000C53DB">
      <w:pPr>
        <w:rPr>
          <w:lang w:val="en-US"/>
        </w:rPr>
      </w:pPr>
    </w:p>
    <w:p w14:paraId="3D62E3D2" w14:textId="7CF32C43" w:rsidR="000C53DB" w:rsidRPr="00765D58" w:rsidRDefault="000C53DB" w:rsidP="000C53DB">
      <w:pPr>
        <w:rPr>
          <w:lang w:val="en-US"/>
        </w:rPr>
      </w:pPr>
      <w:r w:rsidRPr="009F6EFF">
        <w:rPr>
          <w:lang w:val="en-US"/>
        </w:rPr>
        <w:t>In</w:t>
      </w:r>
      <w:r>
        <w:rPr>
          <w:i/>
          <w:lang w:val="en-US"/>
        </w:rPr>
        <w:t xml:space="preserve"> </w:t>
      </w:r>
      <w:r w:rsidRPr="009F6EFF">
        <w:rPr>
          <w:i/>
          <w:lang w:val="en-US"/>
        </w:rPr>
        <w:t>Pringle</w:t>
      </w:r>
      <w:r>
        <w:rPr>
          <w:i/>
          <w:lang w:val="en-US"/>
        </w:rPr>
        <w:t xml:space="preserve">, </w:t>
      </w:r>
      <w:r>
        <w:rPr>
          <w:lang w:val="en-US"/>
        </w:rPr>
        <w:t xml:space="preserve">the Court was asked whether the Treaties precluded Member States from creating a mechanism such as the ESM outside the EU framework. First, the plaintiffs argued that the ESM was an instrument of monetary policy, which is one of the EU’s exclusive </w:t>
      </w:r>
      <w:r w:rsidR="00DB3441">
        <w:rPr>
          <w:lang w:val="en-US"/>
        </w:rPr>
        <w:t>competences</w:t>
      </w:r>
      <w:r>
        <w:rPr>
          <w:lang w:val="en-US"/>
        </w:rPr>
        <w:t xml:space="preserve">. The Court, having due regard to the ESM’s </w:t>
      </w:r>
      <w:r w:rsidRPr="00E52210">
        <w:rPr>
          <w:lang w:val="en-US"/>
        </w:rPr>
        <w:t xml:space="preserve">aims and means, considered that it was an instrument of economic, not monetary, policy. </w:t>
      </w:r>
      <w:r w:rsidRPr="00E52210">
        <w:rPr>
          <w:lang w:val="en-CA"/>
        </w:rPr>
        <w:t xml:space="preserve">The </w:t>
      </w:r>
      <w:r>
        <w:rPr>
          <w:lang w:val="en-CA"/>
        </w:rPr>
        <w:t>purpose</w:t>
      </w:r>
      <w:r w:rsidRPr="00E52210">
        <w:rPr>
          <w:lang w:val="en-CA"/>
        </w:rPr>
        <w:t xml:space="preserve"> of the ESM is the safeguarding of the stability of the euro area, </w:t>
      </w:r>
      <w:r>
        <w:rPr>
          <w:lang w:val="en-CA"/>
        </w:rPr>
        <w:t>which differs from the objective</w:t>
      </w:r>
      <w:r w:rsidRPr="00E52210">
        <w:rPr>
          <w:lang w:val="en-CA"/>
        </w:rPr>
        <w:t xml:space="preserve"> of the EU’s monetary policy</w:t>
      </w:r>
      <w:r>
        <w:rPr>
          <w:lang w:val="en-CA"/>
        </w:rPr>
        <w:t>, namely</w:t>
      </w:r>
      <w:r w:rsidRPr="00E52210">
        <w:rPr>
          <w:lang w:val="en-CA"/>
        </w:rPr>
        <w:t xml:space="preserve"> price stability.</w:t>
      </w:r>
      <w:r>
        <w:rPr>
          <w:lang w:val="en-CA"/>
        </w:rPr>
        <w:t xml:space="preserve"> </w:t>
      </w:r>
    </w:p>
    <w:p w14:paraId="15CAB3C7" w14:textId="77777777" w:rsidR="000C53DB" w:rsidRDefault="000C53DB" w:rsidP="000C53DB">
      <w:pPr>
        <w:rPr>
          <w:lang w:val="en-CA"/>
        </w:rPr>
      </w:pPr>
    </w:p>
    <w:p w14:paraId="1C5F8D85" w14:textId="74EB4B47" w:rsidR="000C53DB" w:rsidRPr="00765D58" w:rsidRDefault="000C53DB" w:rsidP="000C53DB">
      <w:r>
        <w:rPr>
          <w:lang w:val="en-CA"/>
        </w:rPr>
        <w:t xml:space="preserve">Second, </w:t>
      </w:r>
      <w:r>
        <w:t>h</w:t>
      </w:r>
      <w:r w:rsidRPr="00C27261">
        <w:t xml:space="preserve">aving decided that the ESM was an instrument of economic policy, the Court went on to find that this </w:t>
      </w:r>
      <w:r>
        <w:t>mechanism complements</w:t>
      </w:r>
      <w:r w:rsidRPr="00535549">
        <w:t xml:space="preserve"> the EU’s competence in economic p</w:t>
      </w:r>
      <w:r>
        <w:t>olicy without encroaching on it.</w:t>
      </w:r>
      <w:r w:rsidRPr="00C27261">
        <w:t xml:space="preserve"> This is because the Union only has a coordinating competence in the area, </w:t>
      </w:r>
      <w:r w:rsidRPr="00580A7E">
        <w:t>and it would lack the specific competence to establish a permanent emergency mechanism like the ESM.</w:t>
      </w:r>
      <w:r w:rsidRPr="00580A7E">
        <w:rPr>
          <w:vertAlign w:val="superscript"/>
        </w:rPr>
        <w:footnoteReference w:id="41"/>
      </w:r>
      <w:r>
        <w:t xml:space="preserve"> Moreover, the </w:t>
      </w:r>
      <w:r>
        <w:lastRenderedPageBreak/>
        <w:t>ESM does not subvert or undermine the EU’s coordinating competence in ec</w:t>
      </w:r>
      <w:r>
        <w:t>o</w:t>
      </w:r>
      <w:r>
        <w:t>nomic policy because</w:t>
      </w:r>
      <w:r w:rsidR="00A373D0">
        <w:t xml:space="preserve"> </w:t>
      </w:r>
      <w:r>
        <w:t>it is a financial mechanism, not a mechanism for the coo</w:t>
      </w:r>
      <w:r>
        <w:t>r</w:t>
      </w:r>
      <w:r>
        <w:t xml:space="preserve">dination of economic policies; and </w:t>
      </w:r>
      <w:r w:rsidR="00A373D0">
        <w:t xml:space="preserve">because </w:t>
      </w:r>
      <w:r>
        <w:t>the aim of the conditionality attached to ESM assistance is not to coordinate national economic policies but, in fact, to ensure compliance with EU law (in particular, the no bailout clause in Article 125 TFEU and EU measures of economic coordination)</w:t>
      </w:r>
      <w:r w:rsidRPr="00535549">
        <w:t>.</w:t>
      </w:r>
      <w:r w:rsidRPr="00535549">
        <w:rPr>
          <w:vertAlign w:val="superscript"/>
        </w:rPr>
        <w:footnoteReference w:id="42"/>
      </w:r>
      <w:r>
        <w:t xml:space="preserve"> This was indeed essential, as Member States have to comply with EU law even when acting outside its framework. </w:t>
      </w:r>
      <w:r w:rsidRPr="00C27261">
        <w:t xml:space="preserve">The Court was satisfied that this compliance with EU law </w:t>
      </w:r>
      <w:r>
        <w:t>wa</w:t>
      </w:r>
      <w:r w:rsidRPr="00C27261">
        <w:t>s e</w:t>
      </w:r>
      <w:r w:rsidRPr="00C27261">
        <w:t>n</w:t>
      </w:r>
      <w:r w:rsidRPr="00C27261">
        <w:t>sured by the fact that financial assistance</w:t>
      </w:r>
      <w:r>
        <w:t xml:space="preserve"> from the ESM would</w:t>
      </w:r>
      <w:r w:rsidRPr="00C27261">
        <w:t xml:space="preserve"> only be granted following compliance with strict conditions by the relevant Member States. </w:t>
      </w:r>
    </w:p>
    <w:p w14:paraId="18C4F1F3" w14:textId="77777777" w:rsidR="000C53DB" w:rsidRDefault="000C53DB" w:rsidP="000C53DB"/>
    <w:p w14:paraId="5682A775" w14:textId="6D0B0D1F" w:rsidR="000C53DB" w:rsidRDefault="000C53DB" w:rsidP="000C53DB">
      <w:r>
        <w:t xml:space="preserve">Turning now to the future, it is clear that </w:t>
      </w:r>
      <w:r w:rsidRPr="00AF213E">
        <w:rPr>
          <w:i/>
        </w:rPr>
        <w:t>Pringle</w:t>
      </w:r>
      <w:r>
        <w:t xml:space="preserve"> would provide the broad blu</w:t>
      </w:r>
      <w:r>
        <w:t>e</w:t>
      </w:r>
      <w:r>
        <w:t>print for an intergovernmental EMF, in that such a body would have to remain, primarily, a financial mechanism that falls within the area of economic policy, does not encroach upon the EU’s coordinating competence in this area or is li</w:t>
      </w:r>
      <w:r>
        <w:t>a</w:t>
      </w:r>
      <w:r>
        <w:t>ble to undermin</w:t>
      </w:r>
      <w:r w:rsidR="00A373D0">
        <w:t>e it, and complies with EU law, including</w:t>
      </w:r>
      <w:r>
        <w:t xml:space="preserve"> the no bailout clause and EU me</w:t>
      </w:r>
      <w:r w:rsidR="00A373D0">
        <w:t>asures of economic coordination</w:t>
      </w:r>
      <w:r>
        <w:t>.</w:t>
      </w:r>
    </w:p>
    <w:p w14:paraId="6D5F0579" w14:textId="77777777" w:rsidR="000C53DB" w:rsidRDefault="000C53DB" w:rsidP="000C53DB"/>
    <w:p w14:paraId="7161E838" w14:textId="3818F7CC" w:rsidR="000C53DB" w:rsidRDefault="000C53DB" w:rsidP="000C53DB">
      <w:r>
        <w:t>First, the purpose of</w:t>
      </w:r>
      <w:r w:rsidRPr="00E52210">
        <w:t xml:space="preserve"> a future EMF would </w:t>
      </w:r>
      <w:r>
        <w:t>be central in its classification as</w:t>
      </w:r>
      <w:r w:rsidRPr="00E52210">
        <w:t xml:space="preserve"> mon</w:t>
      </w:r>
      <w:r w:rsidRPr="00E52210">
        <w:t>e</w:t>
      </w:r>
      <w:r w:rsidRPr="00E52210">
        <w:t>tar</w:t>
      </w:r>
      <w:r>
        <w:t xml:space="preserve">y or economic policy. In </w:t>
      </w:r>
      <w:r w:rsidRPr="005A4BFF">
        <w:rPr>
          <w:i/>
        </w:rPr>
        <w:t>Pringle</w:t>
      </w:r>
      <w:r>
        <w:t>, the Court considered that the aims of the ESM—the safeguarding of the financial stability of the euro area—were suff</w:t>
      </w:r>
      <w:r>
        <w:t>i</w:t>
      </w:r>
      <w:r>
        <w:t>ciently different from those of the EU’s monetary policy, namely price stability. The aims of a future EMF, even one with expanded powers, are likely to remain substantially similar to those of the current ESM and, in any case, sufficiently di</w:t>
      </w:r>
      <w:r>
        <w:t>f</w:t>
      </w:r>
      <w:r>
        <w:t xml:space="preserve">ferent from the aim of maintaining price stability. Equally, the means deployed </w:t>
      </w:r>
      <w:r>
        <w:lastRenderedPageBreak/>
        <w:t xml:space="preserve">by a future EMF </w:t>
      </w:r>
      <w:r w:rsidR="00013C61">
        <w:t xml:space="preserve">would </w:t>
      </w:r>
      <w:r>
        <w:t xml:space="preserve">still </w:t>
      </w:r>
      <w:proofErr w:type="gramStart"/>
      <w:r>
        <w:t>be</w:t>
      </w:r>
      <w:proofErr w:type="gramEnd"/>
      <w:r>
        <w:t xml:space="preserve"> more connected to economic policy than to mon</w:t>
      </w:r>
      <w:r>
        <w:t>e</w:t>
      </w:r>
      <w:r>
        <w:t>tary policy.  It is fair to assume, then, that a future EMF</w:t>
      </w:r>
      <w:r w:rsidR="00013C61">
        <w:t>—or a broadly reformed ESM—</w:t>
      </w:r>
      <w:r>
        <w:t>would also</w:t>
      </w:r>
      <w:r w:rsidR="00013C61">
        <w:t xml:space="preserve"> or still</w:t>
      </w:r>
      <w:r>
        <w:t xml:space="preserve"> be considered an instrument of economic policy, and as such not falling within the EU’s exclusive monetary policy. </w:t>
      </w:r>
    </w:p>
    <w:p w14:paraId="54169086" w14:textId="77777777" w:rsidR="000C53DB" w:rsidRDefault="000C53DB" w:rsidP="000C53DB"/>
    <w:p w14:paraId="00B338FA" w14:textId="31F8B2C3" w:rsidR="000C53DB" w:rsidRDefault="000C53DB" w:rsidP="000C53DB">
      <w:r>
        <w:t xml:space="preserve">Second, it was a deciding factor in </w:t>
      </w:r>
      <w:r w:rsidRPr="005A4BFF">
        <w:rPr>
          <w:i/>
        </w:rPr>
        <w:t>Pringle</w:t>
      </w:r>
      <w:r>
        <w:t xml:space="preserve"> that the ESM, while being an instr</w:t>
      </w:r>
      <w:r>
        <w:t>u</w:t>
      </w:r>
      <w:r>
        <w:t>ment of economic policy, complemented the EU’s competence in this area wit</w:t>
      </w:r>
      <w:r>
        <w:t>h</w:t>
      </w:r>
      <w:r>
        <w:t>out encroaching on it. While the Court held that the Union did not have the sp</w:t>
      </w:r>
      <w:r>
        <w:t>e</w:t>
      </w:r>
      <w:r>
        <w:t>cific competence to create a mechanism of financial assistance such as the ESM, it left open the matter of whether Article 352 TFEU could have been used for that purpose—something we will return to in the next sub-section. In any event, the lack of a specific power in the Treaties (as opposed to the flexibility clause in A</w:t>
      </w:r>
      <w:r>
        <w:t>r</w:t>
      </w:r>
      <w:r>
        <w:t xml:space="preserve">ticle 352) meant the lack of a duty for Member States to create the ESM within the framework of EU law. There has been no Treaty reform since </w:t>
      </w:r>
      <w:r w:rsidRPr="008E50CE">
        <w:rPr>
          <w:i/>
        </w:rPr>
        <w:t>Pringle</w:t>
      </w:r>
      <w:r>
        <w:t xml:space="preserve"> to cr</w:t>
      </w:r>
      <w:r>
        <w:t>e</w:t>
      </w:r>
      <w:r>
        <w:t>ate a specific Union power—and thus a corresponding duty—to create a mech</w:t>
      </w:r>
      <w:r>
        <w:t>a</w:t>
      </w:r>
      <w:r>
        <w:t xml:space="preserve">nism such as the current ESM within the Treaty framework. </w:t>
      </w:r>
      <w:r w:rsidR="004A1A3D">
        <w:t>It</w:t>
      </w:r>
      <w:r w:rsidR="00587357">
        <w:t xml:space="preserve"> would remain the case that there is no specific power in the Treaties </w:t>
      </w:r>
      <w:r>
        <w:t xml:space="preserve">even if the future </w:t>
      </w:r>
      <w:r w:rsidR="00013C61">
        <w:t>ESM/</w:t>
      </w:r>
      <w:r>
        <w:t xml:space="preserve">EMF were given a more significant role in the negotiation and design of assistance programmes; arguably, this would not affect the primary character of the EMF as an instrument of financial assistance, rather than one of economic coordination. The same could be argued if the </w:t>
      </w:r>
      <w:r w:rsidR="00013C61">
        <w:t>ESM/</w:t>
      </w:r>
      <w:r>
        <w:t xml:space="preserve">EMF were allowed to develop a degree of </w:t>
      </w:r>
      <w:proofErr w:type="gramStart"/>
      <w:r>
        <w:t>risk-sharing</w:t>
      </w:r>
      <w:proofErr w:type="gramEnd"/>
      <w:r>
        <w:t xml:space="preserve"> through tools of macroeconomic stabilisation (for example, through shorter-term loans to help tackle smaller crises).</w:t>
      </w:r>
      <w:r w:rsidR="00DB3441">
        <w:rPr>
          <w:rStyle w:val="FootnoteReference"/>
        </w:rPr>
        <w:footnoteReference w:id="43"/>
      </w:r>
      <w:r>
        <w:t xml:space="preserve"> </w:t>
      </w:r>
    </w:p>
    <w:p w14:paraId="769D8F8E" w14:textId="77777777" w:rsidR="000C53DB" w:rsidRDefault="000C53DB" w:rsidP="000C53DB"/>
    <w:p w14:paraId="15993865" w14:textId="700DEA44" w:rsidR="000C53DB" w:rsidRDefault="000C53DB" w:rsidP="000C53DB">
      <w:r w:rsidRPr="004C531F">
        <w:lastRenderedPageBreak/>
        <w:t>Conversely, if the EMF were to be given a preventive role, monitoring the ec</w:t>
      </w:r>
      <w:r w:rsidRPr="004C531F">
        <w:t>o</w:t>
      </w:r>
      <w:r w:rsidRPr="00E959C7">
        <w:t xml:space="preserve">nomic situation in </w:t>
      </w:r>
      <w:r w:rsidR="00746868">
        <w:t>all euro countries—</w:t>
      </w:r>
      <w:r w:rsidR="008A3F24">
        <w:t>not just current or former programme ones—</w:t>
      </w:r>
      <w:r w:rsidRPr="00E959C7">
        <w:t>matters may be less straightforward. Whether this new role would e</w:t>
      </w:r>
      <w:r w:rsidRPr="00E959C7">
        <w:t>n</w:t>
      </w:r>
      <w:r w:rsidRPr="00E959C7">
        <w:t xml:space="preserve">croach upon the EU’s coordinating policy in economic policy would then be a question of degree: if the envisaged duties in this area </w:t>
      </w:r>
      <w:r w:rsidR="008A3F24">
        <w:t>we</w:t>
      </w:r>
      <w:r w:rsidRPr="00E959C7">
        <w:t xml:space="preserve">re </w:t>
      </w:r>
      <w:r w:rsidR="008A3F24">
        <w:t>very</w:t>
      </w:r>
      <w:r w:rsidR="004C531F">
        <w:t xml:space="preserve"> limited</w:t>
      </w:r>
      <w:r w:rsidRPr="004C531F">
        <w:t xml:space="preserve"> and to be discharged in cooperation with the Commission, it </w:t>
      </w:r>
      <w:r w:rsidR="008A3F24">
        <w:t>would be</w:t>
      </w:r>
      <w:r w:rsidRPr="004C531F">
        <w:t xml:space="preserve"> possible to argue that these (economic policy monitoring) duties would be secondary to the EMF’s main role as a mechanism of financial assistance, i.e. existing with the sole pu</w:t>
      </w:r>
      <w:r w:rsidRPr="004C531F">
        <w:t>r</w:t>
      </w:r>
      <w:r w:rsidRPr="004C531F">
        <w:t>pose of allowing the EMF to discharge its main function, to provide assistance, in an effective and speedy manner. This</w:t>
      </w:r>
      <w:r>
        <w:t xml:space="preserve"> is, incidentally, the sort of set-up and just</w:t>
      </w:r>
      <w:r>
        <w:t>i</w:t>
      </w:r>
      <w:r>
        <w:t xml:space="preserve">fication </w:t>
      </w:r>
      <w:r w:rsidR="00E959C7">
        <w:t xml:space="preserve">proposed by </w:t>
      </w:r>
      <w:r>
        <w:t>the current Managing Director of the ESM.</w:t>
      </w:r>
      <w:r w:rsidRPr="00B65A96">
        <w:rPr>
          <w:rStyle w:val="FootnoteReference"/>
        </w:rPr>
        <w:footnoteReference w:id="44"/>
      </w:r>
      <w:r>
        <w:t xml:space="preserve"> On the contr</w:t>
      </w:r>
      <w:r>
        <w:t>a</w:t>
      </w:r>
      <w:r>
        <w:t>ry, a hypothetical monitoring role that would extend to giving the EMF substa</w:t>
      </w:r>
      <w:r>
        <w:t>n</w:t>
      </w:r>
      <w:r>
        <w:t xml:space="preserve">tial duties in the enforcement of the Fiscal Compact and the Stability and Growth Pact—a proposal that was made, most notoriously, in W. </w:t>
      </w:r>
      <w:proofErr w:type="spellStart"/>
      <w:r>
        <w:t>Schäuble’s</w:t>
      </w:r>
      <w:proofErr w:type="spellEnd"/>
      <w:r>
        <w:t xml:space="preserve"> non-paper—would seem out of the question, as that would turn the EMF, in part, into a mec</w:t>
      </w:r>
      <w:r>
        <w:t>h</w:t>
      </w:r>
      <w:r>
        <w:t>anism for the coordination of national economic policies, something for which there is a specific power in the EU Treaties (i.e. Arts 119-121 and 126 TFEU), and thus a corresponding duty for the Member States to create such a mechanism within the framework of the EU Treaties rather than outside of it.</w:t>
      </w:r>
    </w:p>
    <w:p w14:paraId="321538CF" w14:textId="77777777" w:rsidR="000C53DB" w:rsidRDefault="000C53DB" w:rsidP="000C53DB"/>
    <w:p w14:paraId="733126ED" w14:textId="1E8E53B6" w:rsidR="000C53DB" w:rsidRDefault="000C53DB" w:rsidP="000C53DB">
      <w:r>
        <w:t xml:space="preserve">Finally, in </w:t>
      </w:r>
      <w:r w:rsidRPr="000672F1">
        <w:rPr>
          <w:i/>
        </w:rPr>
        <w:t>Pringle</w:t>
      </w:r>
      <w:r>
        <w:t>, the Court had to answer a connected but slightly different question: whether the activities of the ESM would, in some form, endanger or diminish the effectiveness of the EU’s coordinating economic measures and the no-bailout clause.</w:t>
      </w:r>
      <w:r w:rsidRPr="00535549">
        <w:rPr>
          <w:vertAlign w:val="superscript"/>
        </w:rPr>
        <w:footnoteReference w:id="45"/>
      </w:r>
      <w:r>
        <w:t xml:space="preserve"> The Court concluded that the conditionality attached to ESM assistance ensured compliance with those EU measures; in a way, the ESM fe</w:t>
      </w:r>
      <w:r>
        <w:t>a</w:t>
      </w:r>
      <w:r>
        <w:t xml:space="preserve">tures that made it initially ‘suspect’ as regards competence (being able to impose conditionality that seeks to influence national economic policy) turned out to be </w:t>
      </w:r>
      <w:r>
        <w:lastRenderedPageBreak/>
        <w:t xml:space="preserve">its saving grace, as that conditionality ensured compliance with </w:t>
      </w:r>
      <w:r w:rsidRPr="00535549">
        <w:t>the EU’s coord</w:t>
      </w:r>
      <w:r w:rsidRPr="00535549">
        <w:t>i</w:t>
      </w:r>
      <w:r w:rsidRPr="00535549">
        <w:t>nating economic measures, and with the EU Treaties’ no-bailout clause.</w:t>
      </w:r>
      <w:r>
        <w:t xml:space="preserve"> This</w:t>
      </w:r>
      <w:r w:rsidR="00E959C7">
        <w:t xml:space="preserve"> reading of the Treaties</w:t>
      </w:r>
      <w:r>
        <w:t xml:space="preserve"> would, again, impose limits on the powers granted to a future intergovernmental EMF, over and above those of the current ESM. </w:t>
      </w:r>
    </w:p>
    <w:p w14:paraId="3FAF481C" w14:textId="77777777" w:rsidR="000C53DB" w:rsidRDefault="000C53DB" w:rsidP="000C53DB"/>
    <w:p w14:paraId="426E374F" w14:textId="0CD4BC49" w:rsidR="000C53DB" w:rsidRDefault="000C53DB" w:rsidP="000C53DB">
      <w:r>
        <w:t xml:space="preserve">In this respect, it would not seem problematic in itself to give the future EMF a more significant role in the negotiation and design of assistance programmes. The same could be argued if the EMF were allowed to develop a degree of </w:t>
      </w:r>
      <w:proofErr w:type="gramStart"/>
      <w:r>
        <w:t>risk-sharing</w:t>
      </w:r>
      <w:proofErr w:type="gramEnd"/>
      <w:r>
        <w:t xml:space="preserve"> through tools of macroeconomic stabilisation (for example, through shorter-term loans to help tackle smaller crises).</w:t>
      </w:r>
      <w:r w:rsidR="00746868">
        <w:rPr>
          <w:rStyle w:val="FootnoteReference"/>
        </w:rPr>
        <w:footnoteReference w:id="46"/>
      </w:r>
      <w:r>
        <w:t xml:space="preserve"> In both cases, any assistance would still have to be subject to conditionality, so as not to remove Member States’ incentive to conduct a prudent budgetary policy and follow EU measures adopted within the framework for economic coordination. Furthermore, the i</w:t>
      </w:r>
      <w:r>
        <w:t>n</w:t>
      </w:r>
      <w:r>
        <w:t xml:space="preserve">volvement of the Commission would remain necessary. </w:t>
      </w:r>
      <w:r w:rsidR="00DB3441">
        <w:t>Indeed</w:t>
      </w:r>
      <w:r>
        <w:t xml:space="preserve">, it was important to the Court’s assessment in </w:t>
      </w:r>
      <w:r w:rsidRPr="00DC6C43">
        <w:rPr>
          <w:i/>
        </w:rPr>
        <w:t>Pringle</w:t>
      </w:r>
      <w:r>
        <w:t xml:space="preserve"> that, within the ESM framework, the Co</w:t>
      </w:r>
      <w:r>
        <w:t>m</w:t>
      </w:r>
      <w:r>
        <w:t>mission would be able ‘to check, before signing the MoU defining the conditiona</w:t>
      </w:r>
      <w:r>
        <w:t>l</w:t>
      </w:r>
      <w:r>
        <w:t>ity attached to stability support, that the conditions imposed are fully consistent with the measures of economic policy coordination.’</w:t>
      </w:r>
      <w:r w:rsidRPr="00B65A96">
        <w:rPr>
          <w:rStyle w:val="FootnoteReference"/>
        </w:rPr>
        <w:footnoteReference w:id="47"/>
      </w:r>
      <w:r>
        <w:t xml:space="preserve"> </w:t>
      </w:r>
      <w:r w:rsidR="00DB3441">
        <w:t>In other words, t</w:t>
      </w:r>
      <w:r>
        <w:t xml:space="preserve">he Court considered the Commission’s involvement </w:t>
      </w:r>
      <w:r w:rsidR="00DB3441">
        <w:t>essential</w:t>
      </w:r>
      <w:r>
        <w:t xml:space="preserve"> in order to ensure that the ESM conditionality would not interfere with EU coordinating measures unduly. The same argument would apply if the EMF were to acquire preventive or mon</w:t>
      </w:r>
      <w:r>
        <w:t>i</w:t>
      </w:r>
      <w:r>
        <w:t>toring tasks: it was already established above that these would have to be li</w:t>
      </w:r>
      <w:r>
        <w:t>m</w:t>
      </w:r>
      <w:r>
        <w:t>ited, so as not to encroach upon the EU’s specific powers in this regard—but they would also have to be discharged in coordination with EU institutions, namely the Commission. In that way, it would be possible to argue that a limited role for the EMF in this area seeks to further ensure compliance with EU coordinating measures and the no-bailout clause.</w:t>
      </w:r>
      <w:r w:rsidR="00E959C7">
        <w:t xml:space="preserve"> This is, unsurprisingly, the approach adop</w:t>
      </w:r>
      <w:r w:rsidR="00E959C7">
        <w:t>t</w:t>
      </w:r>
      <w:r w:rsidR="00E959C7">
        <w:t>ed by the ESM and the Commission in their recent joint position on future coo</w:t>
      </w:r>
      <w:r w:rsidR="00E959C7">
        <w:t>p</w:t>
      </w:r>
      <w:r w:rsidR="00E959C7">
        <w:lastRenderedPageBreak/>
        <w:t>eration.</w:t>
      </w:r>
      <w:r w:rsidR="00E959C7">
        <w:rPr>
          <w:rStyle w:val="FootnoteReference"/>
        </w:rPr>
        <w:footnoteReference w:id="48"/>
      </w:r>
      <w:r w:rsidR="00E959C7">
        <w:t xml:space="preserve"> </w:t>
      </w:r>
      <w:r>
        <w:t xml:space="preserve"> On the contrary, giving an intergovernmental EMF substantial preve</w:t>
      </w:r>
      <w:r>
        <w:t>n</w:t>
      </w:r>
      <w:r>
        <w:t xml:space="preserve">tive or </w:t>
      </w:r>
      <w:r w:rsidRPr="001D46C6">
        <w:t>monitoring powers, and/or allowing it to exercise such powers without the Commission’s input, would, arguably, amount to a threat to the effectiveness of EU economic coordination rules, or to the monopoly of their interpretation and application.</w:t>
      </w:r>
      <w:r w:rsidRPr="00B65A96">
        <w:rPr>
          <w:rStyle w:val="FootnoteReference"/>
        </w:rPr>
        <w:footnoteReference w:id="49"/>
      </w:r>
      <w:r w:rsidRPr="001D46C6">
        <w:t xml:space="preserve">  </w:t>
      </w:r>
      <w:r>
        <w:t>In any case</w:t>
      </w:r>
      <w:r w:rsidRPr="001D46C6">
        <w:t xml:space="preserve">, </w:t>
      </w:r>
      <w:r>
        <w:t>any</w:t>
      </w:r>
      <w:r w:rsidRPr="001D46C6">
        <w:t xml:space="preserve"> role given to EU institutions within an inte</w:t>
      </w:r>
      <w:r w:rsidRPr="001D46C6">
        <w:t>r</w:t>
      </w:r>
      <w:r w:rsidRPr="001D46C6">
        <w:t>governmental setup—or, indeed, the powers exercised by an intergovernmental EMF—could not alter the EU institutions’ essential powers under the Treaties.</w:t>
      </w:r>
      <w:r w:rsidRPr="00B65A96">
        <w:rPr>
          <w:rStyle w:val="FootnoteReference"/>
        </w:rPr>
        <w:footnoteReference w:id="50"/>
      </w:r>
    </w:p>
    <w:p w14:paraId="4E8D6094" w14:textId="77777777" w:rsidR="000C53DB" w:rsidRDefault="000C53DB" w:rsidP="000C53DB"/>
    <w:p w14:paraId="20BEFE63" w14:textId="090F4925" w:rsidR="000C53DB" w:rsidRDefault="000C53DB" w:rsidP="000C53DB">
      <w:r>
        <w:t>To sum up, then, the powers of an intergovernmental EFM set up outside the EU legal order would still face substantive constraints as a matter of EU law. In i</w:t>
      </w:r>
      <w:r>
        <w:t>n</w:t>
      </w:r>
      <w:r>
        <w:t xml:space="preserve">creasing the competences of such a hypothetical EMF when compared to those of the current ESM, the following red lines would apply: the intergovernmental EMF could not be a mechanism for economic coordination (an EU competence to be exercised under specific legal bases in the Treaties) and it could not unduly interfere with the </w:t>
      </w:r>
      <w:r w:rsidRPr="000E7A51">
        <w:t>EU’s economic coordination measures—or indeed, breach ot</w:t>
      </w:r>
      <w:r w:rsidRPr="00B240FC">
        <w:t>h</w:t>
      </w:r>
      <w:r w:rsidRPr="001140D5">
        <w:t>er rules of EU law. This would have important consequenc</w:t>
      </w:r>
      <w:r w:rsidRPr="0069452A">
        <w:t>es for the EMF’s pr</w:t>
      </w:r>
      <w:r w:rsidRPr="0069452A">
        <w:t>o</w:t>
      </w:r>
      <w:r w:rsidRPr="0069452A">
        <w:t xml:space="preserve">posed preventive powers. Presumably, it </w:t>
      </w:r>
      <w:r w:rsidRPr="007508D7">
        <w:t>would rule out an intergovernmental EMF with substantial powers of risk monitoring and fiscal surveillance; it could only acquire</w:t>
      </w:r>
      <w:r w:rsidR="000E7A51" w:rsidRPr="007508D7">
        <w:t xml:space="preserve"> very</w:t>
      </w:r>
      <w:r w:rsidRPr="009D0907">
        <w:t xml:space="preserve"> limited powers in this area to avoid either being labelled a mechanism of economic coordination</w:t>
      </w:r>
      <w:r>
        <w:t>, or significant overlap and interference with the coordinating role accorded to the EU institutions in this area. Moreover, this limited role in risk monitoring and surveillance</w:t>
      </w:r>
      <w:r w:rsidR="000E7A51">
        <w:t xml:space="preserve"> </w:t>
      </w:r>
      <w:r>
        <w:t>would have to be exercised in conjunction with EU institutions, which would ensure consistency with EU c</w:t>
      </w:r>
      <w:r>
        <w:t>o</w:t>
      </w:r>
      <w:r>
        <w:t xml:space="preserve">ordinating measures. Additionally, an intergovernmental EMF could acquire a </w:t>
      </w:r>
      <w:r>
        <w:lastRenderedPageBreak/>
        <w:t>more significant role in designing and negotiating adjustment programmes</w:t>
      </w:r>
      <w:r w:rsidR="000E7A51">
        <w:t xml:space="preserve"> (i</w:t>
      </w:r>
      <w:r w:rsidR="000E7A51">
        <w:t>n</w:t>
      </w:r>
      <w:r w:rsidR="000E7A51">
        <w:t>cluding a role in debt-restructuring to ensure the effectiveness of financial assi</w:t>
      </w:r>
      <w:r w:rsidR="000E7A51">
        <w:t>s</w:t>
      </w:r>
      <w:r w:rsidR="000E7A51">
        <w:t>tance)</w:t>
      </w:r>
      <w:r>
        <w:t xml:space="preserve"> and it could also acquire risk-sharing or stabilising tools such as short-term loans, as long as the necessary conditionality would still ensure compliance with the no bailout clause and as long as this was, again, done in conjunction with EU institutions, namely the Commission.</w:t>
      </w:r>
    </w:p>
    <w:p w14:paraId="2D7C3109" w14:textId="4F484236" w:rsidR="004D6C1F" w:rsidRDefault="004D6C1F" w:rsidP="00CF47DC"/>
    <w:p w14:paraId="5387AD72" w14:textId="77777777" w:rsidR="001F0FEB" w:rsidRDefault="001F0FEB" w:rsidP="00C27261"/>
    <w:p w14:paraId="1715DFDC" w14:textId="688A4C72" w:rsidR="001F0FEB" w:rsidRDefault="001F0FEB" w:rsidP="001F0FEB">
      <w:pPr>
        <w:pStyle w:val="Heading2"/>
      </w:pPr>
      <w:bookmarkStart w:id="29" w:name="_Toc395952790"/>
      <w:bookmarkStart w:id="30" w:name="_Toc405228151"/>
      <w:r>
        <w:t xml:space="preserve">An EMF within the EU legal order: </w:t>
      </w:r>
      <w:r w:rsidR="00B30AA2">
        <w:t>legal b</w:t>
      </w:r>
      <w:r>
        <w:t>asis</w:t>
      </w:r>
      <w:bookmarkEnd w:id="29"/>
      <w:bookmarkEnd w:id="30"/>
    </w:p>
    <w:p w14:paraId="6E1D541A" w14:textId="77777777" w:rsidR="00DB6241" w:rsidRDefault="00DB6241" w:rsidP="00C27261"/>
    <w:p w14:paraId="2AA049CE" w14:textId="77777777" w:rsidR="004D6C1F" w:rsidRDefault="004D6C1F" w:rsidP="00C27261"/>
    <w:p w14:paraId="623C3714" w14:textId="176159EB" w:rsidR="004D6C1F" w:rsidRDefault="004D6C1F" w:rsidP="00C27261">
      <w:r>
        <w:t>We have seen, then, that it would be possible to create the EMF outside the framework of the EU Treaties, as long as its proposed preventive powers were limited. In the following paragraphs, we will consider the legality of creating the EMF as part of the EU legal order. This is the Commission’s proposal: more sp</w:t>
      </w:r>
      <w:r>
        <w:t>e</w:t>
      </w:r>
      <w:r>
        <w:t xml:space="preserve">cifically, to create the EMF on the basis of Article 352 TFEU. </w:t>
      </w:r>
    </w:p>
    <w:p w14:paraId="0CC34FA9" w14:textId="77777777" w:rsidR="004D6C1F" w:rsidRDefault="004D6C1F" w:rsidP="00C27261"/>
    <w:p w14:paraId="541EB96D" w14:textId="3DB927EC" w:rsidR="00CE3C98" w:rsidRDefault="004D6C1F" w:rsidP="00CE3C98">
      <w:pPr>
        <w:rPr>
          <w:lang w:val="en-US"/>
        </w:rPr>
      </w:pPr>
      <w:r>
        <w:t xml:space="preserve">As mentioned above, various legal bases within the EU Treaties </w:t>
      </w:r>
      <w:r w:rsidR="007D06F3">
        <w:t>were already</w:t>
      </w:r>
      <w:r>
        <w:t xml:space="preserve"> part of the discussion concerning the creation of the</w:t>
      </w:r>
      <w:r w:rsidR="007D06F3">
        <w:t xml:space="preserve"> EMF’s predecessor, the</w:t>
      </w:r>
      <w:r>
        <w:t xml:space="preserve"> ESM</w:t>
      </w:r>
      <w:r w:rsidR="007D06F3">
        <w:t xml:space="preserve">. </w:t>
      </w:r>
      <w:r w:rsidR="0064682D">
        <w:rPr>
          <w:lang w:val="en-US"/>
        </w:rPr>
        <w:t>Several</w:t>
      </w:r>
      <w:r w:rsidR="0064682D" w:rsidRPr="00C27261">
        <w:rPr>
          <w:lang w:val="en-US"/>
        </w:rPr>
        <w:t xml:space="preserve"> voices in the literature argued</w:t>
      </w:r>
      <w:r w:rsidR="0064682D">
        <w:rPr>
          <w:lang w:val="en-US"/>
        </w:rPr>
        <w:t>, at the time,</w:t>
      </w:r>
      <w:r w:rsidR="0064682D" w:rsidRPr="00C27261">
        <w:rPr>
          <w:lang w:val="en-US"/>
        </w:rPr>
        <w:t xml:space="preserve"> that it would have been po</w:t>
      </w:r>
      <w:r w:rsidR="0064682D" w:rsidRPr="00C27261">
        <w:rPr>
          <w:lang w:val="en-US"/>
        </w:rPr>
        <w:t>s</w:t>
      </w:r>
      <w:r w:rsidR="0064682D" w:rsidRPr="00C27261">
        <w:rPr>
          <w:lang w:val="en-US"/>
        </w:rPr>
        <w:t>sible, and preferable, to create the ESM within the EU framework.</w:t>
      </w:r>
      <w:r w:rsidR="0064682D" w:rsidRPr="00C27261">
        <w:rPr>
          <w:vertAlign w:val="superscript"/>
          <w:lang w:val="en-US"/>
        </w:rPr>
        <w:footnoteReference w:id="51"/>
      </w:r>
      <w:r w:rsidR="0064682D" w:rsidRPr="00C27261">
        <w:rPr>
          <w:lang w:val="en-US"/>
        </w:rPr>
        <w:t xml:space="preserve">  </w:t>
      </w:r>
      <w:r w:rsidR="00E4188A">
        <w:t xml:space="preserve">In </w:t>
      </w:r>
      <w:r w:rsidR="00E4188A" w:rsidRPr="00E4188A">
        <w:rPr>
          <w:i/>
        </w:rPr>
        <w:t>Pringle</w:t>
      </w:r>
      <w:r w:rsidR="00E4188A">
        <w:t>, the Court of Justice considered that there was no specific competence in the Treaties to create a mechanism such as the ESM, and therefore no duty for Me</w:t>
      </w:r>
      <w:r w:rsidR="00E4188A">
        <w:t>m</w:t>
      </w:r>
      <w:r w:rsidR="00E4188A">
        <w:t>ber S</w:t>
      </w:r>
      <w:r w:rsidR="00120D89">
        <w:t>t</w:t>
      </w:r>
      <w:r w:rsidR="003771DD">
        <w:t>ates to act under the Treaties—</w:t>
      </w:r>
      <w:r w:rsidR="00120D89">
        <w:t>leaving them free to act outside of them, as they did</w:t>
      </w:r>
      <w:r w:rsidR="00120D89" w:rsidRPr="00E52210">
        <w:t>.</w:t>
      </w:r>
      <w:r w:rsidR="00B6039F" w:rsidRPr="00E52210">
        <w:t xml:space="preserve"> In particular, the Court </w:t>
      </w:r>
      <w:r w:rsidR="00BF20F7">
        <w:t>pondered</w:t>
      </w:r>
      <w:r w:rsidR="00B6039F" w:rsidRPr="00E52210">
        <w:t>, and rejected, Articles 122(2), and 143(2) TFEU as suitable legal bases</w:t>
      </w:r>
      <w:r w:rsidR="00BF20F7">
        <w:t>; the Court considered Article 122(2) appr</w:t>
      </w:r>
      <w:r w:rsidR="00BF20F7">
        <w:t>o</w:t>
      </w:r>
      <w:r w:rsidR="00BF20F7">
        <w:t>priate for the granting of ad hoc assistance, but not for the creation of a perm</w:t>
      </w:r>
      <w:r w:rsidR="00BF20F7">
        <w:t>a</w:t>
      </w:r>
      <w:r w:rsidR="00BF20F7">
        <w:t xml:space="preserve">nent mechanism such at the ESM, while Article 143(2) covers only non-euro </w:t>
      </w:r>
      <w:r w:rsidR="00BF20F7">
        <w:lastRenderedPageBreak/>
        <w:t>countries.</w:t>
      </w:r>
      <w:r w:rsidR="00BF20F7" w:rsidRPr="00B65A96">
        <w:rPr>
          <w:rStyle w:val="FootnoteReference"/>
        </w:rPr>
        <w:footnoteReference w:id="52"/>
      </w:r>
      <w:r w:rsidR="00BF20F7">
        <w:t xml:space="preserve"> </w:t>
      </w:r>
      <w:r w:rsidR="00E4188A" w:rsidRPr="00E52210">
        <w:t>Regarding</w:t>
      </w:r>
      <w:r w:rsidR="00E4188A">
        <w:t xml:space="preserve"> the flexibility clause in Article 352 TFEU, </w:t>
      </w:r>
      <w:r w:rsidR="00120D89">
        <w:t xml:space="preserve">the Court </w:t>
      </w:r>
      <w:r w:rsidR="00AF3BEC">
        <w:t>did not explicitly exclude its use</w:t>
      </w:r>
      <w:r w:rsidR="00120D89">
        <w:t>—it just noted that this provision did not impose on the Union a duty to act.</w:t>
      </w:r>
      <w:r w:rsidR="00120D89" w:rsidRPr="00B65A96">
        <w:rPr>
          <w:rStyle w:val="FootnoteReference"/>
        </w:rPr>
        <w:footnoteReference w:id="53"/>
      </w:r>
      <w:r w:rsidR="00120D89">
        <w:t xml:space="preserve"> </w:t>
      </w:r>
      <w:r w:rsidR="00CE3C98">
        <w:t>It is, moreover, possible to argue that the Court did not close the door to a voluntary use of Article 352 TFEU, in this area, through e</w:t>
      </w:r>
      <w:r w:rsidR="00CE3C98">
        <w:t>n</w:t>
      </w:r>
      <w:r w:rsidR="00CE3C98">
        <w:t>hanced cooperation.</w:t>
      </w:r>
      <w:r w:rsidR="00CE3C98" w:rsidRPr="00B65A96">
        <w:rPr>
          <w:rStyle w:val="FootnoteReference"/>
        </w:rPr>
        <w:footnoteReference w:id="54"/>
      </w:r>
      <w:r w:rsidR="00CE3C98">
        <w:t xml:space="preserve"> </w:t>
      </w:r>
      <w:r w:rsidR="00120D89" w:rsidRPr="00C27261">
        <w:rPr>
          <w:lang w:val="en-US"/>
        </w:rPr>
        <w:t>Since th</w:t>
      </w:r>
      <w:r w:rsidR="00035939">
        <w:rPr>
          <w:lang w:val="en-US"/>
        </w:rPr>
        <w:t>e Court has clarified elsewhere</w:t>
      </w:r>
      <w:r w:rsidR="00120D89" w:rsidRPr="00C27261">
        <w:rPr>
          <w:lang w:val="en-US"/>
        </w:rPr>
        <w:t xml:space="preserve"> that it is possible to make use of legal bases that require unanimity through enhanced cooper</w:t>
      </w:r>
      <w:r w:rsidR="00120D89" w:rsidRPr="00C27261">
        <w:rPr>
          <w:lang w:val="en-US"/>
        </w:rPr>
        <w:t>a</w:t>
      </w:r>
      <w:r w:rsidR="00120D89" w:rsidRPr="00C27261">
        <w:rPr>
          <w:lang w:val="en-US"/>
        </w:rPr>
        <w:t>tion,</w:t>
      </w:r>
      <w:r w:rsidR="00120D89" w:rsidRPr="00C27261">
        <w:rPr>
          <w:vertAlign w:val="superscript"/>
          <w:lang w:val="en-US"/>
        </w:rPr>
        <w:footnoteReference w:id="55"/>
      </w:r>
      <w:r w:rsidR="00120D89" w:rsidRPr="00C27261">
        <w:rPr>
          <w:lang w:val="en-US"/>
        </w:rPr>
        <w:t xml:space="preserve"> the argument may be made that Article 352 TFEU, which requires un</w:t>
      </w:r>
      <w:r w:rsidR="00120D89" w:rsidRPr="00C27261">
        <w:rPr>
          <w:lang w:val="en-US"/>
        </w:rPr>
        <w:t>a</w:t>
      </w:r>
      <w:r w:rsidR="00120D89" w:rsidRPr="00C27261">
        <w:rPr>
          <w:lang w:val="en-US"/>
        </w:rPr>
        <w:t xml:space="preserve">nimity, </w:t>
      </w:r>
      <w:r w:rsidR="00CE3C98">
        <w:rPr>
          <w:lang w:val="en-US"/>
        </w:rPr>
        <w:t>may be used</w:t>
      </w:r>
      <w:r w:rsidR="00120D89" w:rsidRPr="00C27261">
        <w:rPr>
          <w:lang w:val="en-US"/>
        </w:rPr>
        <w:t xml:space="preserve"> to adopt measures for the euro area through enhanced c</w:t>
      </w:r>
      <w:r w:rsidR="00120D89" w:rsidRPr="00C27261">
        <w:rPr>
          <w:lang w:val="en-US"/>
        </w:rPr>
        <w:t>o</w:t>
      </w:r>
      <w:r w:rsidR="00120D89" w:rsidRPr="00C27261">
        <w:rPr>
          <w:lang w:val="en-US"/>
        </w:rPr>
        <w:t>operation.</w:t>
      </w:r>
      <w:r w:rsidR="00CC671F">
        <w:rPr>
          <w:rStyle w:val="FootnoteReference"/>
          <w:lang w:val="en-US"/>
        </w:rPr>
        <w:footnoteReference w:id="56"/>
      </w:r>
      <w:r w:rsidR="00120D89" w:rsidRPr="00C27261">
        <w:rPr>
          <w:lang w:val="en-US"/>
        </w:rPr>
        <w:t xml:space="preserve"> </w:t>
      </w:r>
    </w:p>
    <w:p w14:paraId="6FD39AB4" w14:textId="77777777" w:rsidR="002B28B6" w:rsidRDefault="002B28B6" w:rsidP="00CE3C98">
      <w:pPr>
        <w:rPr>
          <w:lang w:val="en-US"/>
        </w:rPr>
      </w:pPr>
    </w:p>
    <w:p w14:paraId="2EBCAB10" w14:textId="5755DA16" w:rsidR="00B22869" w:rsidRDefault="002B28B6" w:rsidP="00C910B6">
      <w:r>
        <w:rPr>
          <w:lang w:val="en-US"/>
        </w:rPr>
        <w:t>The Commission’s current view at the time of writing is that Article 352 TFEU is the appropriate legal basis for the creation of the future EMF.</w:t>
      </w:r>
      <w:r w:rsidR="00ED2B44" w:rsidRPr="00B65A96">
        <w:rPr>
          <w:rStyle w:val="FootnoteReference"/>
        </w:rPr>
        <w:footnoteReference w:id="57"/>
      </w:r>
      <w:r>
        <w:rPr>
          <w:lang w:val="en-US"/>
        </w:rPr>
        <w:t xml:space="preserve"> It argues that </w:t>
      </w:r>
      <w:r w:rsidRPr="002B28B6">
        <w:rPr>
          <w:i/>
          <w:lang w:val="en-US"/>
        </w:rPr>
        <w:t>Pringle</w:t>
      </w:r>
      <w:r>
        <w:rPr>
          <w:lang w:val="en-US"/>
        </w:rPr>
        <w:t xml:space="preserve"> confirmed the s</w:t>
      </w:r>
      <w:r w:rsidR="00C34BBE">
        <w:rPr>
          <w:lang w:val="en-US"/>
        </w:rPr>
        <w:t>uitability of this legal basis</w:t>
      </w:r>
      <w:r w:rsidR="00B22869" w:rsidRPr="00B65A96">
        <w:rPr>
          <w:rStyle w:val="FootnoteReference"/>
        </w:rPr>
        <w:footnoteReference w:id="58"/>
      </w:r>
      <w:r w:rsidR="00C34BBE">
        <w:rPr>
          <w:lang w:val="en-US"/>
        </w:rPr>
        <w:t>—</w:t>
      </w:r>
      <w:r>
        <w:rPr>
          <w:lang w:val="en-US"/>
        </w:rPr>
        <w:t xml:space="preserve">although, as argued above, it seems more accurate to say that the Court did not </w:t>
      </w:r>
      <w:r w:rsidR="00D67762">
        <w:rPr>
          <w:lang w:val="en-US"/>
        </w:rPr>
        <w:t>deny it explicitly, as opposed to what it did with Articles 122 and 143 TFEU</w:t>
      </w:r>
      <w:r w:rsidR="00C34BBE">
        <w:rPr>
          <w:lang w:val="en-US"/>
        </w:rPr>
        <w:t>—</w:t>
      </w:r>
      <w:r>
        <w:rPr>
          <w:lang w:val="en-US"/>
        </w:rPr>
        <w:t xml:space="preserve">and that </w:t>
      </w:r>
      <w:r w:rsidR="0064682D">
        <w:rPr>
          <w:lang w:val="en-US"/>
        </w:rPr>
        <w:t>the</w:t>
      </w:r>
      <w:r>
        <w:rPr>
          <w:lang w:val="en-US"/>
        </w:rPr>
        <w:t xml:space="preserve"> conditions for the use of the flexibility clause are present, namely: </w:t>
      </w:r>
      <w:r w:rsidR="00C34BBE">
        <w:rPr>
          <w:lang w:val="en-US"/>
        </w:rPr>
        <w:t xml:space="preserve">that the proposed </w:t>
      </w:r>
      <w:r w:rsidR="00C910B6">
        <w:rPr>
          <w:lang w:val="en-US"/>
        </w:rPr>
        <w:t>measure</w:t>
      </w:r>
      <w:r w:rsidR="00C34BBE">
        <w:rPr>
          <w:lang w:val="en-US"/>
        </w:rPr>
        <w:t xml:space="preserve"> </w:t>
      </w:r>
      <w:r w:rsidR="0064682D">
        <w:rPr>
          <w:lang w:val="en-US"/>
        </w:rPr>
        <w:t>is necessa</w:t>
      </w:r>
      <w:r w:rsidR="003771DD">
        <w:rPr>
          <w:lang w:val="en-US"/>
        </w:rPr>
        <w:t>ry to attain a Treaty objective</w:t>
      </w:r>
      <w:r w:rsidR="0064682D">
        <w:rPr>
          <w:lang w:val="en-US"/>
        </w:rPr>
        <w:t xml:space="preserve"> </w:t>
      </w:r>
      <w:r w:rsidR="0064682D">
        <w:t>and</w:t>
      </w:r>
      <w:r w:rsidRPr="00C27261">
        <w:t xml:space="preserve"> </w:t>
      </w:r>
      <w:r w:rsidR="00C34BBE">
        <w:t xml:space="preserve">that </w:t>
      </w:r>
      <w:r w:rsidRPr="00C27261">
        <w:t>no other specific powers</w:t>
      </w:r>
      <w:r w:rsidR="00C34BBE">
        <w:t xml:space="preserve"> are</w:t>
      </w:r>
      <w:r w:rsidRPr="00C27261">
        <w:t xml:space="preserve"> available</w:t>
      </w:r>
      <w:r w:rsidR="00C910B6">
        <w:t xml:space="preserve">. </w:t>
      </w:r>
      <w:r w:rsidR="00B22869">
        <w:t xml:space="preserve">While the lack of specific powers was, indeed, confirmed in </w:t>
      </w:r>
      <w:r w:rsidR="00B22869" w:rsidRPr="00B22869">
        <w:rPr>
          <w:i/>
        </w:rPr>
        <w:t>Pringle</w:t>
      </w:r>
      <w:r w:rsidR="00B22869">
        <w:t xml:space="preserve">, it is less clear whether the creation of the EMF, as proposed by the Commission, </w:t>
      </w:r>
      <w:r w:rsidR="00B22869">
        <w:lastRenderedPageBreak/>
        <w:t>would qualify as necessary to attain a Treaty objective. If one considers the que</w:t>
      </w:r>
      <w:r w:rsidR="00B22869">
        <w:t>s</w:t>
      </w:r>
      <w:r w:rsidR="00B22869">
        <w:t>tion to be, as the Commission does, whether</w:t>
      </w:r>
      <w:r w:rsidR="00DC0ED6">
        <w:t xml:space="preserve"> having</w:t>
      </w:r>
      <w:r w:rsidR="00B22869">
        <w:t xml:space="preserve"> a mechanism of financial a</w:t>
      </w:r>
      <w:r w:rsidR="00B22869">
        <w:t>s</w:t>
      </w:r>
      <w:r w:rsidR="00B22869">
        <w:t xml:space="preserve">sistance is necessary in order to safeguard the financial stability of the euro area, then this condition is satisfied. If one, on the other hand, considers the question to be whether </w:t>
      </w:r>
      <w:r w:rsidR="00DC0ED6">
        <w:t xml:space="preserve">having a mechanism of financial assistance </w:t>
      </w:r>
      <w:r w:rsidR="00DC0ED6" w:rsidRPr="00D92EBE">
        <w:rPr>
          <w:i/>
        </w:rPr>
        <w:t>that is a body of EU law</w:t>
      </w:r>
      <w:r w:rsidR="00DC0ED6">
        <w:t xml:space="preserve"> is necessary in order to achieve that same objective, then the answer is less clear.</w:t>
      </w:r>
      <w:bookmarkStart w:id="31" w:name="_Ref395876177"/>
      <w:r w:rsidR="00DC0ED6" w:rsidRPr="00B65A96">
        <w:rPr>
          <w:rStyle w:val="FootnoteReference"/>
        </w:rPr>
        <w:footnoteReference w:id="59"/>
      </w:r>
      <w:bookmarkEnd w:id="31"/>
      <w:r w:rsidR="00DC0ED6">
        <w:t xml:space="preserve"> </w:t>
      </w:r>
      <w:r w:rsidR="00D92EBE">
        <w:t xml:space="preserve">In that case, the argument would have to be that such a use of Article 352 would enable the Union to achieve the aim of financial stability under better conditions—i.e. with regard to unity and coherence of its legal order, as well as with regard to accountability—than the ESM does at present. </w:t>
      </w:r>
    </w:p>
    <w:p w14:paraId="4535CA49" w14:textId="77777777" w:rsidR="00D92EBE" w:rsidRDefault="00D92EBE" w:rsidP="00C910B6"/>
    <w:p w14:paraId="137ABEE2" w14:textId="2076C9B5" w:rsidR="00351340" w:rsidRDefault="00E96A57" w:rsidP="00471F61">
      <w:r>
        <w:t xml:space="preserve">A </w:t>
      </w:r>
      <w:r w:rsidR="00FF4999">
        <w:t>critical</w:t>
      </w:r>
      <w:r w:rsidR="00D92EBE">
        <w:t xml:space="preserve"> issue in relation to the use of Article 352 TFEU is </w:t>
      </w:r>
      <w:r>
        <w:t>whether it</w:t>
      </w:r>
      <w:r w:rsidR="00D92EBE">
        <w:t xml:space="preserve"> would e</w:t>
      </w:r>
      <w:r w:rsidR="00D92EBE">
        <w:t>x</w:t>
      </w:r>
      <w:r w:rsidR="00D92EBE">
        <w:t>tend the scope of the</w:t>
      </w:r>
      <w:r>
        <w:t xml:space="preserve"> Union’s powers, as precluded by the Court of Justice i</w:t>
      </w:r>
      <w:r w:rsidR="00D92EBE">
        <w:t>n Opinion 2/94</w:t>
      </w:r>
      <w:r>
        <w:t>.</w:t>
      </w:r>
      <w:r w:rsidRPr="00B65A96">
        <w:rPr>
          <w:rStyle w:val="FootnoteReference"/>
        </w:rPr>
        <w:footnoteReference w:id="60"/>
      </w:r>
      <w:r>
        <w:t xml:space="preserve"> It has been argued that the EMF’s use of conditionality may go beyond the Union’s coordinating competence in economic policy.</w:t>
      </w:r>
      <w:r w:rsidRPr="00B65A96">
        <w:rPr>
          <w:rStyle w:val="FootnoteReference"/>
        </w:rPr>
        <w:footnoteReference w:id="61"/>
      </w:r>
      <w:r>
        <w:t xml:space="preserve"> Yet</w:t>
      </w:r>
      <w:r w:rsidR="00FF3694">
        <w:t xml:space="preserve"> it seems unlikely that this would present an insurmountable obstacle to the Court,</w:t>
      </w:r>
      <w:r>
        <w:t xml:space="preserve"> given the</w:t>
      </w:r>
      <w:r w:rsidR="00FF3694">
        <w:t>—from a strictly formal point of view—voluntary</w:t>
      </w:r>
      <w:r>
        <w:t xml:space="preserve"> </w:t>
      </w:r>
      <w:r w:rsidR="00FF3694">
        <w:t>nature of conditionality</w:t>
      </w:r>
      <w:r>
        <w:t xml:space="preserve">, the way in which ESM conditionality in </w:t>
      </w:r>
      <w:r w:rsidRPr="00E96A57">
        <w:rPr>
          <w:i/>
        </w:rPr>
        <w:t>Pringle</w:t>
      </w:r>
      <w:r>
        <w:t xml:space="preserve"> was considered merely a way to e</w:t>
      </w:r>
      <w:r>
        <w:t>n</w:t>
      </w:r>
      <w:r>
        <w:t>force the Union’s measures of economic coo</w:t>
      </w:r>
      <w:r w:rsidR="00FF3694">
        <w:t>rdination and fiscal discipline, and the fact that the outer boundaries of the Union’s competence are already blurred, to a degree, within the framework of the European Semester.</w:t>
      </w:r>
      <w:r w:rsidR="003771DD" w:rsidRPr="00B65A96">
        <w:rPr>
          <w:rStyle w:val="FootnoteReference"/>
        </w:rPr>
        <w:footnoteReference w:id="62"/>
      </w:r>
      <w:r w:rsidR="00FF3694">
        <w:t xml:space="preserve"> </w:t>
      </w:r>
      <w:r w:rsidR="002F6D65">
        <w:t xml:space="preserve">In any case, this requirement—that Article 352 TFEU not be used to extend the Union’s powers—would necessarily act as a check upon new powers granted to </w:t>
      </w:r>
      <w:r w:rsidR="006211E2">
        <w:t>an</w:t>
      </w:r>
      <w:r w:rsidR="002F6D65">
        <w:t xml:space="preserve"> EMF created on that</w:t>
      </w:r>
      <w:r w:rsidR="006211E2">
        <w:t xml:space="preserve"> legal basis</w:t>
      </w:r>
      <w:r w:rsidR="00351340">
        <w:t xml:space="preserve">. </w:t>
      </w:r>
    </w:p>
    <w:p w14:paraId="106118A1" w14:textId="77777777" w:rsidR="00351340" w:rsidRDefault="00351340" w:rsidP="00CE3C98"/>
    <w:p w14:paraId="5CA2CD92" w14:textId="6CC7B0B7" w:rsidR="00FF3694" w:rsidRDefault="00351340" w:rsidP="00CE3C98">
      <w:r>
        <w:t>In practice, the EMF could have the powers wielded by the current ESM, which would be considered to fall within the EU’s coordinatin</w:t>
      </w:r>
      <w:r w:rsidR="00AB2D05">
        <w:t>g competence in econo</w:t>
      </w:r>
      <w:r w:rsidR="00AB2D05">
        <w:t>m</w:t>
      </w:r>
      <w:r w:rsidR="00AB2D05">
        <w:lastRenderedPageBreak/>
        <w:t>ic policy</w:t>
      </w:r>
      <w:r w:rsidR="00415BC5">
        <w:t xml:space="preserve">. </w:t>
      </w:r>
      <w:r w:rsidR="00AB2D05">
        <w:t>Moreover, it could</w:t>
      </w:r>
      <w:r>
        <w:t xml:space="preserve"> acquire a greater role in designing and negotiating conditionality,</w:t>
      </w:r>
      <w:r w:rsidR="00AB2D05">
        <w:t xml:space="preserve"> as proposed by the Commission; </w:t>
      </w:r>
      <w:r>
        <w:t>it could also play a stronger pr</w:t>
      </w:r>
      <w:r>
        <w:t>e</w:t>
      </w:r>
      <w:r>
        <w:t>ventive role, albeit that this is not pa</w:t>
      </w:r>
      <w:r w:rsidR="00AB2D05">
        <w:t>rt of the Commission’s proposal</w:t>
      </w:r>
      <w:r>
        <w:t>. Finally, the EMF could wield stabilisation tools, such as lending to euro countries that are not at risk of losing access to credit, and as long as they have a good record in terms of economic policy and compliance with the fiscal rules,</w:t>
      </w:r>
      <w:r w:rsidRPr="00B65A96">
        <w:rPr>
          <w:rStyle w:val="FootnoteReference"/>
        </w:rPr>
        <w:footnoteReference w:id="63"/>
      </w:r>
      <w:r>
        <w:t xml:space="preserve"> so as not to diminish Member States’ incentives to conduct a sound budgetary policy (thus complying with the no bailout clause in Article 125 TFEU).</w:t>
      </w:r>
      <w:r w:rsidRPr="00B65A96">
        <w:rPr>
          <w:rStyle w:val="FootnoteReference"/>
        </w:rPr>
        <w:footnoteReference w:id="64"/>
      </w:r>
      <w:r>
        <w:t xml:space="preserve"> The use of these stabilisation tools would also have to be necessary to safeguard the stability of the euro area as a whole and, presumably, still used in specified and exceptional circumstan</w:t>
      </w:r>
      <w:r>
        <w:t>c</w:t>
      </w:r>
      <w:r>
        <w:t>es;</w:t>
      </w:r>
      <w:r w:rsidRPr="00B65A96">
        <w:rPr>
          <w:rStyle w:val="FootnoteReference"/>
        </w:rPr>
        <w:footnoteReference w:id="65"/>
      </w:r>
      <w:r>
        <w:t xml:space="preserve"> a broader extension of risk-sharing and of EU institutions’ discretion in this area would arguably necessitate a Treaty amendment and could thus not take place on the basis of Article 352 TFEU. As we shall see later, it would also be lik</w:t>
      </w:r>
      <w:r>
        <w:t>e</w:t>
      </w:r>
      <w:r>
        <w:t>ly unacceptable to national constitutional courts, but that is a different matter.</w:t>
      </w:r>
    </w:p>
    <w:p w14:paraId="174BEFFC" w14:textId="77777777" w:rsidR="00FF4999" w:rsidRDefault="00FF4999" w:rsidP="00CE3C98"/>
    <w:p w14:paraId="48EECD27" w14:textId="365FC666" w:rsidR="00FF4999" w:rsidRDefault="00FF4999" w:rsidP="00CE3C98">
      <w:r>
        <w:t>Finally, the use of Article 352 TFEU would face procedural hurdles: beyond un</w:t>
      </w:r>
      <w:r>
        <w:t>a</w:t>
      </w:r>
      <w:r>
        <w:t>nimity in Council and the European Parliament’s consent, certain Member States would have to comply with requirements imposed by their own national const</w:t>
      </w:r>
      <w:r>
        <w:t>i</w:t>
      </w:r>
      <w:r>
        <w:t>tutions before their representative casts a vote in Council. This would be the c</w:t>
      </w:r>
      <w:r w:rsidR="00AB2D05">
        <w:t xml:space="preserve">ase of Germany, where approval </w:t>
      </w:r>
      <w:r>
        <w:t xml:space="preserve">of the </w:t>
      </w:r>
      <w:r w:rsidRPr="00AB2D05">
        <w:rPr>
          <w:i/>
        </w:rPr>
        <w:t>Bundestag</w:t>
      </w:r>
      <w:r>
        <w:t xml:space="preserve"> and </w:t>
      </w:r>
      <w:r w:rsidRPr="00AB2D05">
        <w:rPr>
          <w:i/>
        </w:rPr>
        <w:t>Bundesrat</w:t>
      </w:r>
      <w:r>
        <w:t xml:space="preserve"> would be nece</w:t>
      </w:r>
      <w:r>
        <w:t>s</w:t>
      </w:r>
      <w:r>
        <w:t>sary.</w:t>
      </w:r>
      <w:r w:rsidRPr="00B65A96">
        <w:rPr>
          <w:rStyle w:val="FootnoteReference"/>
        </w:rPr>
        <w:footnoteReference w:id="66"/>
      </w:r>
      <w:r>
        <w:t xml:space="preserve"> In Poland, both parliamentary chambers would have to be consulted.</w:t>
      </w:r>
      <w:r w:rsidR="00D85FB8" w:rsidRPr="00B65A96">
        <w:rPr>
          <w:rStyle w:val="FootnoteReference"/>
        </w:rPr>
        <w:footnoteReference w:id="67"/>
      </w:r>
      <w:r>
        <w:t xml:space="preserve"> </w:t>
      </w:r>
    </w:p>
    <w:p w14:paraId="03231BE8" w14:textId="77777777" w:rsidR="00FF3694" w:rsidRDefault="00FF3694" w:rsidP="00CE3C98"/>
    <w:p w14:paraId="756C954D" w14:textId="7A81E3FE" w:rsidR="00F704E5" w:rsidRDefault="00FF3694" w:rsidP="00CE3C98">
      <w:r>
        <w:t>Overall, it seems possible to argue for the use of Article 352 TFEU in order to create a future EMF as an entity of EU law</w:t>
      </w:r>
      <w:r w:rsidR="00351340">
        <w:t xml:space="preserve"> </w:t>
      </w:r>
      <w:r w:rsidR="00264A46">
        <w:t xml:space="preserve">as long </w:t>
      </w:r>
      <w:r w:rsidR="00351340">
        <w:t>as the</w:t>
      </w:r>
      <w:r w:rsidR="00F84C27">
        <w:t xml:space="preserve"> powers of this EU body</w:t>
      </w:r>
      <w:r w:rsidR="00351340">
        <w:t xml:space="preserve"> </w:t>
      </w:r>
      <w:r w:rsidR="00264A46">
        <w:t>are</w:t>
      </w:r>
      <w:r w:rsidR="00F84C27">
        <w:t xml:space="preserve"> restricted so as not to amount to a </w:t>
      </w:r>
      <w:r w:rsidR="00F84C27" w:rsidRPr="00041B54">
        <w:rPr>
          <w:i/>
        </w:rPr>
        <w:t>de facto</w:t>
      </w:r>
      <w:r w:rsidR="00F84C27">
        <w:t xml:space="preserve"> Treaty amendment through i</w:t>
      </w:r>
      <w:r w:rsidR="00F84C27">
        <w:t>m</w:t>
      </w:r>
      <w:r w:rsidR="00F84C27">
        <w:t>proper means</w:t>
      </w:r>
      <w:r w:rsidR="00264A46">
        <w:t>, as this section has shown.</w:t>
      </w:r>
      <w:r w:rsidR="00F84C27">
        <w:t xml:space="preserve"> </w:t>
      </w:r>
      <w:r w:rsidR="00F934A3">
        <w:t>While there are clear</w:t>
      </w:r>
      <w:r w:rsidR="00351340">
        <w:t xml:space="preserve"> substantive and procedural</w:t>
      </w:r>
      <w:r w:rsidR="00F934A3">
        <w:t xml:space="preserve"> hurdles</w:t>
      </w:r>
      <w:r w:rsidR="00351340">
        <w:t xml:space="preserve"> as a matter of EU law</w:t>
      </w:r>
      <w:r w:rsidR="00F934A3">
        <w:t>, none of them would seem insurmoun</w:t>
      </w:r>
      <w:r w:rsidR="00F934A3">
        <w:t>t</w:t>
      </w:r>
      <w:r w:rsidR="00F934A3">
        <w:t>able in case of (or, rather, when there is) a judicial challenge at the EU level</w:t>
      </w:r>
      <w:r w:rsidR="00F934A3" w:rsidRPr="00363FFB">
        <w:t xml:space="preserve">. </w:t>
      </w:r>
      <w:r w:rsidRPr="0000282B">
        <w:t xml:space="preserve">A different question is, of course, whether </w:t>
      </w:r>
      <w:r w:rsidR="00264A46" w:rsidRPr="0000282B">
        <w:t>this would be the most desirable course of action</w:t>
      </w:r>
      <w:r w:rsidRPr="0000282B">
        <w:t xml:space="preserve">. </w:t>
      </w:r>
      <w:r w:rsidR="00005AB7" w:rsidRPr="0000282B">
        <w:t>The c</w:t>
      </w:r>
      <w:r w:rsidR="00264A46" w:rsidRPr="0000282B">
        <w:t>oncerns regarding competence creep in the area of economic po</w:t>
      </w:r>
      <w:r w:rsidR="00264A46" w:rsidRPr="0000282B">
        <w:t>l</w:t>
      </w:r>
      <w:r w:rsidR="00264A46" w:rsidRPr="0000282B">
        <w:t>icy and the possibility</w:t>
      </w:r>
      <w:r w:rsidR="00005AB7" w:rsidRPr="0000282B">
        <w:t xml:space="preserve"> of</w:t>
      </w:r>
      <w:r w:rsidR="00264A46" w:rsidRPr="0000282B">
        <w:t xml:space="preserve"> using the EMF to increase risk-sharing within EMU </w:t>
      </w:r>
      <w:r w:rsidR="00005AB7" w:rsidRPr="0000282B">
        <w:t xml:space="preserve">(thereby changing the latter’s nature) deserve serious consideration and, if taken seriously, should limit what new powers a future EMF may acquire. </w:t>
      </w:r>
      <w:r w:rsidR="00264A46" w:rsidRPr="0000282B">
        <w:t>Finally</w:t>
      </w:r>
      <w:r w:rsidR="00F934A3" w:rsidRPr="0000282B">
        <w:t>, such concerns are very likely to be shared by national constitutional courts</w:t>
      </w:r>
      <w:r w:rsidR="00264A46" w:rsidRPr="0000282B">
        <w:t>. The la</w:t>
      </w:r>
      <w:r w:rsidR="00264A46" w:rsidRPr="0000282B">
        <w:t>t</w:t>
      </w:r>
      <w:r w:rsidR="00264A46" w:rsidRPr="0000282B">
        <w:t>ter’s role</w:t>
      </w:r>
      <w:r w:rsidR="00F934A3" w:rsidRPr="0000282B">
        <w:t xml:space="preserve"> in this area will be the object of discussion </w:t>
      </w:r>
      <w:r w:rsidR="002F6D65" w:rsidRPr="0000282B">
        <w:t>later on in this paper</w:t>
      </w:r>
      <w:r w:rsidR="00F934A3" w:rsidRPr="0000282B">
        <w:t>. For now, suffice it to say that a</w:t>
      </w:r>
      <w:r w:rsidRPr="0000282B">
        <w:t xml:space="preserve"> Treaty reform would </w:t>
      </w:r>
      <w:r w:rsidR="00F934A3" w:rsidRPr="0000282B">
        <w:t>be</w:t>
      </w:r>
      <w:r w:rsidRPr="0000282B">
        <w:t xml:space="preserve"> preferable</w:t>
      </w:r>
      <w:r w:rsidR="00F934A3" w:rsidRPr="0000282B">
        <w:t xml:space="preserve"> to the use of Art</w:t>
      </w:r>
      <w:r w:rsidR="00F934A3" w:rsidRPr="0000282B">
        <w:t>i</w:t>
      </w:r>
      <w:r w:rsidR="00F934A3" w:rsidRPr="0000282B">
        <w:t>cle 352 TFEU</w:t>
      </w:r>
      <w:r w:rsidRPr="0000282B">
        <w:t>, but seems unfeasible in the short term.</w:t>
      </w:r>
      <w:r>
        <w:t xml:space="preserve"> </w:t>
      </w:r>
    </w:p>
    <w:p w14:paraId="055D8568" w14:textId="77777777" w:rsidR="002B28B6" w:rsidRDefault="002B28B6" w:rsidP="00C27261"/>
    <w:p w14:paraId="46134167" w14:textId="3B9D5A20" w:rsidR="00C27261" w:rsidRDefault="00E43FCA" w:rsidP="00E43FCA">
      <w:pPr>
        <w:pStyle w:val="Heading2"/>
      </w:pPr>
      <w:bookmarkStart w:id="32" w:name="_Toc395952791"/>
      <w:bookmarkStart w:id="33" w:name="_Toc405228152"/>
      <w:r>
        <w:t>An EMF within the EU legal order: limits to delegation</w:t>
      </w:r>
      <w:bookmarkEnd w:id="32"/>
      <w:bookmarkEnd w:id="33"/>
    </w:p>
    <w:p w14:paraId="1E975020" w14:textId="77777777" w:rsidR="00E43FCA" w:rsidRDefault="00E43FCA" w:rsidP="00E43FCA"/>
    <w:p w14:paraId="011C1D2B" w14:textId="5549C383" w:rsidR="00012D04" w:rsidRDefault="00012D04" w:rsidP="00E43FCA">
      <w:r>
        <w:t xml:space="preserve">As an entity of EU law, a delegation of powers to the EMF would have </w:t>
      </w:r>
      <w:r w:rsidR="00903C63">
        <w:t>to comply with the limits set by the Court of Justice</w:t>
      </w:r>
      <w:r>
        <w:t xml:space="preserve"> in </w:t>
      </w:r>
      <w:proofErr w:type="spellStart"/>
      <w:r w:rsidRPr="00012D04">
        <w:rPr>
          <w:i/>
        </w:rPr>
        <w:t>Meroni</w:t>
      </w:r>
      <w:proofErr w:type="spellEnd"/>
      <w:r w:rsidR="00903C63">
        <w:t>,</w:t>
      </w:r>
      <w:r w:rsidR="006A2629">
        <w:rPr>
          <w:rStyle w:val="FootnoteReference"/>
        </w:rPr>
        <w:footnoteReference w:id="68"/>
      </w:r>
      <w:r w:rsidR="00903C63">
        <w:t xml:space="preserve"> and re-interpreted in more recent jurisprudence.</w:t>
      </w:r>
    </w:p>
    <w:p w14:paraId="105A34F3" w14:textId="77777777" w:rsidR="00903C63" w:rsidRDefault="00903C63" w:rsidP="00E43FCA"/>
    <w:p w14:paraId="66DE2CDC" w14:textId="159B109F" w:rsidR="00F215F4" w:rsidRDefault="00903C63" w:rsidP="00903C63">
      <w:proofErr w:type="spellStart"/>
      <w:r w:rsidRPr="00012D04">
        <w:rPr>
          <w:i/>
          <w:lang w:val="en-US"/>
        </w:rPr>
        <w:t>Meroni</w:t>
      </w:r>
      <w:proofErr w:type="spellEnd"/>
      <w:r w:rsidRPr="00012D04">
        <w:rPr>
          <w:i/>
          <w:lang w:val="en-US"/>
        </w:rPr>
        <w:t xml:space="preserve"> </w:t>
      </w:r>
      <w:r w:rsidRPr="00012D04">
        <w:rPr>
          <w:lang w:val="en-US"/>
        </w:rPr>
        <w:t xml:space="preserve">established that only executive powers that did not require the exercise of discretion could be delegated to agencies; </w:t>
      </w:r>
      <w:r>
        <w:rPr>
          <w:lang w:val="en-US"/>
        </w:rPr>
        <w:t xml:space="preserve">another classic case, </w:t>
      </w:r>
      <w:r w:rsidRPr="00012D04">
        <w:rPr>
          <w:i/>
          <w:lang w:val="en-US"/>
        </w:rPr>
        <w:t>Romano</w:t>
      </w:r>
      <w:r w:rsidRPr="00012D04">
        <w:rPr>
          <w:lang w:val="en-US"/>
        </w:rPr>
        <w:t>,</w:t>
      </w:r>
      <w:r w:rsidR="006A2629">
        <w:rPr>
          <w:rStyle w:val="FootnoteReference"/>
          <w:lang w:val="en-US"/>
        </w:rPr>
        <w:footnoteReference w:id="69"/>
      </w:r>
      <w:r w:rsidRPr="00012D04">
        <w:rPr>
          <w:lang w:val="en-US"/>
        </w:rPr>
        <w:t xml:space="preserve"> n</w:t>
      </w:r>
      <w:r w:rsidRPr="00012D04">
        <w:rPr>
          <w:lang w:val="en-US"/>
        </w:rPr>
        <w:t>e</w:t>
      </w:r>
      <w:r w:rsidRPr="00012D04">
        <w:rPr>
          <w:lang w:val="en-US"/>
        </w:rPr>
        <w:t>gated that such agencies could adopt acts with the force of law.</w:t>
      </w:r>
      <w:r w:rsidR="00F215F4">
        <w:rPr>
          <w:lang w:val="en-US"/>
        </w:rPr>
        <w:t xml:space="preserve"> Both precedents had to be fine-tuned</w:t>
      </w:r>
      <w:r w:rsidRPr="00012D04">
        <w:rPr>
          <w:lang w:val="en-US"/>
        </w:rPr>
        <w:t xml:space="preserve"> </w:t>
      </w:r>
      <w:r w:rsidR="00743A5F">
        <w:rPr>
          <w:lang w:val="en-US"/>
        </w:rPr>
        <w:t xml:space="preserve">relatively </w:t>
      </w:r>
      <w:r w:rsidR="00F215F4">
        <w:rPr>
          <w:lang w:val="en-US"/>
        </w:rPr>
        <w:t xml:space="preserve">recently. </w:t>
      </w:r>
      <w:r w:rsidR="00733BDA">
        <w:rPr>
          <w:lang w:val="en-US"/>
        </w:rPr>
        <w:t>After</w:t>
      </w:r>
      <w:r w:rsidR="00F215F4">
        <w:rPr>
          <w:lang w:val="en-US"/>
        </w:rPr>
        <w:t xml:space="preserve"> the euro area</w:t>
      </w:r>
      <w:r w:rsidR="00733BDA">
        <w:rPr>
          <w:lang w:val="en-US"/>
        </w:rPr>
        <w:t xml:space="preserve"> sovereign debt</w:t>
      </w:r>
      <w:r w:rsidR="00F215F4">
        <w:rPr>
          <w:lang w:val="en-US"/>
        </w:rPr>
        <w:t xml:space="preserve"> crisis, </w:t>
      </w:r>
      <w:r w:rsidR="0051235B">
        <w:rPr>
          <w:lang w:val="en-US"/>
        </w:rPr>
        <w:t>decision-making</w:t>
      </w:r>
      <w:r w:rsidR="00F215F4">
        <w:rPr>
          <w:lang w:val="en-US"/>
        </w:rPr>
        <w:t xml:space="preserve"> powers were delegated to a new generation of financial supe</w:t>
      </w:r>
      <w:r w:rsidR="00F215F4">
        <w:rPr>
          <w:lang w:val="en-US"/>
        </w:rPr>
        <w:t>r</w:t>
      </w:r>
      <w:r w:rsidR="00F215F4">
        <w:rPr>
          <w:lang w:val="en-US"/>
        </w:rPr>
        <w:lastRenderedPageBreak/>
        <w:t>vision agencies. This delegation</w:t>
      </w:r>
      <w:r w:rsidR="00F215F4" w:rsidRPr="00AD551B">
        <w:t>—more specifically, the delegation to the Eur</w:t>
      </w:r>
      <w:r w:rsidR="00F215F4" w:rsidRPr="00AD551B">
        <w:t>o</w:t>
      </w:r>
      <w:r w:rsidR="00F215F4" w:rsidRPr="00AD551B">
        <w:t>pean Securities and Markets Authority, or ESMA—</w:t>
      </w:r>
      <w:r w:rsidR="00F215F4">
        <w:t>was</w:t>
      </w:r>
      <w:r w:rsidR="00F215F4" w:rsidRPr="00AD551B">
        <w:t xml:space="preserve"> challenged before the Court of Justice, shining a light on how the classic limits to delegation apply to this new supervision landscape.</w:t>
      </w:r>
    </w:p>
    <w:p w14:paraId="76906228" w14:textId="77777777" w:rsidR="00BB3E35" w:rsidRDefault="00BB3E35" w:rsidP="00903C63"/>
    <w:p w14:paraId="786BB5F3" w14:textId="47DA95A0" w:rsidR="00C8629C" w:rsidRDefault="00BB3E35" w:rsidP="00903C63">
      <w:pPr>
        <w:rPr>
          <w:lang w:val="en-US"/>
        </w:rPr>
      </w:pPr>
      <w:r w:rsidRPr="00012D04">
        <w:rPr>
          <w:lang w:val="en-US"/>
        </w:rPr>
        <w:t>In the case in question, the UK challenged, unsuccessfully, the provision of the short-selling regulation that granted powers to ESMA to limit or ban the practice of short-selling,</w:t>
      </w:r>
      <w:r w:rsidRPr="00012D04">
        <w:rPr>
          <w:vertAlign w:val="superscript"/>
          <w:lang w:val="en-US"/>
        </w:rPr>
        <w:footnoteReference w:id="70"/>
      </w:r>
      <w:r w:rsidRPr="00012D04">
        <w:rPr>
          <w:lang w:val="en-US"/>
        </w:rPr>
        <w:t xml:space="preserve"> if necessary through the adoption o</w:t>
      </w:r>
      <w:r>
        <w:rPr>
          <w:lang w:val="en-US"/>
        </w:rPr>
        <w:t>f acts of general applic</w:t>
      </w:r>
      <w:r>
        <w:rPr>
          <w:lang w:val="en-US"/>
        </w:rPr>
        <w:t>a</w:t>
      </w:r>
      <w:r>
        <w:rPr>
          <w:lang w:val="en-US"/>
        </w:rPr>
        <w:t>tion. The UK argued, among other things,</w:t>
      </w:r>
      <w:r w:rsidRPr="00012D04">
        <w:rPr>
          <w:lang w:val="en-US"/>
        </w:rPr>
        <w:t xml:space="preserve"> that such delegation was excessive a</w:t>
      </w:r>
      <w:r w:rsidRPr="00012D04">
        <w:rPr>
          <w:lang w:val="en-US"/>
        </w:rPr>
        <w:t>c</w:t>
      </w:r>
      <w:r w:rsidRPr="00012D04">
        <w:rPr>
          <w:lang w:val="en-US"/>
        </w:rPr>
        <w:t xml:space="preserve">cording to the </w:t>
      </w:r>
      <w:proofErr w:type="spellStart"/>
      <w:r w:rsidRPr="00012D04">
        <w:rPr>
          <w:i/>
          <w:lang w:val="en-US"/>
        </w:rPr>
        <w:t>Meroni</w:t>
      </w:r>
      <w:proofErr w:type="spellEnd"/>
      <w:r w:rsidRPr="00012D04">
        <w:rPr>
          <w:lang w:val="en-US"/>
        </w:rPr>
        <w:t xml:space="preserve"> and </w:t>
      </w:r>
      <w:r w:rsidRPr="00012D04">
        <w:rPr>
          <w:i/>
          <w:lang w:val="en-US"/>
        </w:rPr>
        <w:t>Romano</w:t>
      </w:r>
      <w:r>
        <w:rPr>
          <w:lang w:val="en-US"/>
        </w:rPr>
        <w:t xml:space="preserve"> line of case law.</w:t>
      </w:r>
      <w:r w:rsidRPr="00012D04">
        <w:rPr>
          <w:vertAlign w:val="superscript"/>
          <w:lang w:val="en-US"/>
        </w:rPr>
        <w:footnoteReference w:id="71"/>
      </w:r>
      <w:r w:rsidRPr="00012D04">
        <w:rPr>
          <w:lang w:val="en-US"/>
        </w:rPr>
        <w:t xml:space="preserve"> </w:t>
      </w:r>
      <w:r w:rsidR="00C8629C" w:rsidRPr="00012D04">
        <w:rPr>
          <w:lang w:val="en-US"/>
        </w:rPr>
        <w:t>The ESMA case helped u</w:t>
      </w:r>
      <w:r w:rsidR="00C8629C" w:rsidRPr="00012D04">
        <w:rPr>
          <w:lang w:val="en-US"/>
        </w:rPr>
        <w:t>p</w:t>
      </w:r>
      <w:r w:rsidR="00C8629C" w:rsidRPr="00012D04">
        <w:rPr>
          <w:lang w:val="en-US"/>
        </w:rPr>
        <w:t xml:space="preserve">date the </w:t>
      </w:r>
      <w:proofErr w:type="spellStart"/>
      <w:r w:rsidR="00C8629C" w:rsidRPr="00012D04">
        <w:rPr>
          <w:i/>
          <w:lang w:val="en-US"/>
        </w:rPr>
        <w:t>Meroni</w:t>
      </w:r>
      <w:proofErr w:type="spellEnd"/>
      <w:r w:rsidR="00C8629C" w:rsidRPr="00012D04">
        <w:rPr>
          <w:lang w:val="en-US"/>
        </w:rPr>
        <w:t xml:space="preserve"> doctrine and clarify the parameters of ‘</w:t>
      </w:r>
      <w:proofErr w:type="spellStart"/>
      <w:r w:rsidR="00915029" w:rsidRPr="00012D04">
        <w:rPr>
          <w:lang w:val="en-US"/>
        </w:rPr>
        <w:t>agen</w:t>
      </w:r>
      <w:r w:rsidR="00915029">
        <w:rPr>
          <w:lang w:val="en-US"/>
        </w:rPr>
        <w:t>ci</w:t>
      </w:r>
      <w:r w:rsidR="00915029" w:rsidRPr="00012D04">
        <w:rPr>
          <w:lang w:val="en-US"/>
        </w:rPr>
        <w:t>fication</w:t>
      </w:r>
      <w:proofErr w:type="spellEnd"/>
      <w:r w:rsidR="00915029" w:rsidRPr="00012D04">
        <w:rPr>
          <w:lang w:val="en-US"/>
        </w:rPr>
        <w:t xml:space="preserve">’ </w:t>
      </w:r>
      <w:r w:rsidR="00C8629C" w:rsidRPr="00012D04">
        <w:rPr>
          <w:lang w:val="en-US"/>
        </w:rPr>
        <w:t>of fina</w:t>
      </w:r>
      <w:r w:rsidR="00C8629C" w:rsidRPr="00012D04">
        <w:rPr>
          <w:lang w:val="en-US"/>
        </w:rPr>
        <w:t>n</w:t>
      </w:r>
      <w:r w:rsidR="00C8629C" w:rsidRPr="00012D04">
        <w:rPr>
          <w:lang w:val="en-US"/>
        </w:rPr>
        <w:t xml:space="preserve">cial supervision and of EU administration, in general. </w:t>
      </w:r>
    </w:p>
    <w:p w14:paraId="6D152A08" w14:textId="77777777" w:rsidR="00C8629C" w:rsidRDefault="00C8629C" w:rsidP="00903C63">
      <w:pPr>
        <w:rPr>
          <w:lang w:val="en-US"/>
        </w:rPr>
      </w:pPr>
    </w:p>
    <w:p w14:paraId="0032EA0D" w14:textId="740A3D66" w:rsidR="00903C63" w:rsidRDefault="00FC323E" w:rsidP="00903C63">
      <w:pPr>
        <w:rPr>
          <w:lang w:val="en-US"/>
        </w:rPr>
      </w:pPr>
      <w:r>
        <w:rPr>
          <w:lang w:val="en-US"/>
        </w:rPr>
        <w:t xml:space="preserve">The </w:t>
      </w:r>
      <w:r w:rsidR="00903C63" w:rsidRPr="00012D04">
        <w:rPr>
          <w:lang w:val="en-US"/>
        </w:rPr>
        <w:t xml:space="preserve">Court found that </w:t>
      </w:r>
      <w:proofErr w:type="spellStart"/>
      <w:r w:rsidR="00903C63" w:rsidRPr="00012D04">
        <w:rPr>
          <w:i/>
          <w:lang w:val="en-US"/>
        </w:rPr>
        <w:t>Meroni</w:t>
      </w:r>
      <w:proofErr w:type="spellEnd"/>
      <w:r w:rsidR="00903C63" w:rsidRPr="00012D04">
        <w:rPr>
          <w:lang w:val="en-US"/>
        </w:rPr>
        <w:t xml:space="preserve"> allowed for the delegation of decision-making po</w:t>
      </w:r>
      <w:r w:rsidR="00903C63" w:rsidRPr="00012D04">
        <w:rPr>
          <w:lang w:val="en-US"/>
        </w:rPr>
        <w:t>w</w:t>
      </w:r>
      <w:r w:rsidR="00903C63" w:rsidRPr="00012D04">
        <w:rPr>
          <w:lang w:val="en-US"/>
        </w:rPr>
        <w:t>ers to the new generation of financial supervision agencies (</w:t>
      </w:r>
      <w:r w:rsidR="00BB3E35">
        <w:rPr>
          <w:lang w:val="en-US"/>
        </w:rPr>
        <w:t>specifically</w:t>
      </w:r>
      <w:r w:rsidR="00903C63" w:rsidRPr="00012D04">
        <w:rPr>
          <w:lang w:val="en-US"/>
        </w:rPr>
        <w:t>, to E</w:t>
      </w:r>
      <w:r w:rsidR="00903C63" w:rsidRPr="00012D04">
        <w:rPr>
          <w:lang w:val="en-US"/>
        </w:rPr>
        <w:t>S</w:t>
      </w:r>
      <w:r w:rsidR="00903C63" w:rsidRPr="00012D04">
        <w:rPr>
          <w:lang w:val="en-US"/>
        </w:rPr>
        <w:t>MA), as long as the powers are precisely delineated in, and reviewable for their accordance with, the delegating act.</w:t>
      </w:r>
      <w:r w:rsidR="004515EC">
        <w:rPr>
          <w:lang w:val="en-US"/>
        </w:rPr>
        <w:t xml:space="preserve"> The Court conducted a detailed analysis of the ESMA regulation to determin</w:t>
      </w:r>
      <w:r w:rsidR="006607AF">
        <w:rPr>
          <w:lang w:val="en-US"/>
        </w:rPr>
        <w:t>e that this was indeed the case, and that ESMA’s discretion was appropriately circumscribed</w:t>
      </w:r>
      <w:r w:rsidR="006607AF">
        <w:rPr>
          <w:rFonts w:eastAsia="Times New Roman" w:cs="Times New Roman"/>
        </w:rPr>
        <w:t xml:space="preserve"> in various ways</w:t>
      </w:r>
      <w:r w:rsidR="006607AF">
        <w:rPr>
          <w:lang w:val="en-US"/>
        </w:rPr>
        <w:t>.</w:t>
      </w:r>
      <w:r w:rsidR="006607AF" w:rsidRPr="00012D04">
        <w:rPr>
          <w:vertAlign w:val="superscript"/>
          <w:lang w:val="en-US"/>
        </w:rPr>
        <w:footnoteReference w:id="72"/>
      </w:r>
      <w:r w:rsidR="006607AF">
        <w:rPr>
          <w:lang w:val="en-US"/>
        </w:rPr>
        <w:t xml:space="preserve"> </w:t>
      </w:r>
      <w:r w:rsidR="00903C63" w:rsidRPr="00012D04">
        <w:rPr>
          <w:lang w:val="en-US"/>
        </w:rPr>
        <w:t xml:space="preserve"> On the other hand, </w:t>
      </w:r>
      <w:r w:rsidR="00903C63" w:rsidRPr="00012D04">
        <w:rPr>
          <w:i/>
          <w:lang w:val="en-US"/>
        </w:rPr>
        <w:t>Romano</w:t>
      </w:r>
      <w:r w:rsidR="00903C63" w:rsidRPr="00012D04">
        <w:rPr>
          <w:lang w:val="en-US"/>
        </w:rPr>
        <w:t xml:space="preserve"> </w:t>
      </w:r>
      <w:r w:rsidR="00BB3E35">
        <w:rPr>
          <w:lang w:val="en-US"/>
        </w:rPr>
        <w:t>has</w:t>
      </w:r>
      <w:r w:rsidR="00903C63" w:rsidRPr="00012D04">
        <w:rPr>
          <w:lang w:val="en-US"/>
        </w:rPr>
        <w:t xml:space="preserve"> been superseded by the changes to the scope of judicial r</w:t>
      </w:r>
      <w:r w:rsidR="00903C63" w:rsidRPr="00012D04">
        <w:rPr>
          <w:lang w:val="en-US"/>
        </w:rPr>
        <w:t>e</w:t>
      </w:r>
      <w:r w:rsidR="00903C63" w:rsidRPr="00012D04">
        <w:rPr>
          <w:lang w:val="en-US"/>
        </w:rPr>
        <w:t>view introduced at Lisbon—that is, the fact that Articles 263, 266, and 277 TFEU allow for the review of acts adopted by EU agencies—which presuppose that those agencies may have the capacity to adopt legally binding acts of general a</w:t>
      </w:r>
      <w:r w:rsidR="00903C63" w:rsidRPr="00012D04">
        <w:rPr>
          <w:lang w:val="en-US"/>
        </w:rPr>
        <w:t>p</w:t>
      </w:r>
      <w:r w:rsidR="00903C63" w:rsidRPr="00012D04">
        <w:rPr>
          <w:lang w:val="en-US"/>
        </w:rPr>
        <w:t>plication.</w:t>
      </w:r>
      <w:r w:rsidR="00903C63" w:rsidRPr="00012D04">
        <w:rPr>
          <w:vertAlign w:val="superscript"/>
          <w:lang w:val="en-US"/>
        </w:rPr>
        <w:footnoteReference w:id="73"/>
      </w:r>
      <w:r w:rsidR="00903C63" w:rsidRPr="00012D04">
        <w:rPr>
          <w:lang w:val="en-US"/>
        </w:rPr>
        <w:t xml:space="preserve"> </w:t>
      </w:r>
    </w:p>
    <w:p w14:paraId="4FB45A1E" w14:textId="77777777" w:rsidR="00F22C1B" w:rsidRDefault="00F22C1B" w:rsidP="00903C63">
      <w:pPr>
        <w:rPr>
          <w:lang w:val="en-US"/>
        </w:rPr>
      </w:pPr>
    </w:p>
    <w:p w14:paraId="035183B5" w14:textId="636B6A0F" w:rsidR="00A355A3" w:rsidRDefault="00DD2704" w:rsidP="00E43FCA">
      <w:pPr>
        <w:rPr>
          <w:lang w:val="en-US"/>
        </w:rPr>
      </w:pPr>
      <w:r>
        <w:rPr>
          <w:lang w:val="en-US"/>
        </w:rPr>
        <w:lastRenderedPageBreak/>
        <w:t>Relevant to</w:t>
      </w:r>
      <w:r w:rsidR="00F22C1B">
        <w:rPr>
          <w:lang w:val="en-US"/>
        </w:rPr>
        <w:t xml:space="preserve"> the design of a hypothetical EMF within the EU legal system is</w:t>
      </w:r>
      <w:r w:rsidR="004515EC">
        <w:rPr>
          <w:lang w:val="en-US"/>
        </w:rPr>
        <w:t>, ther</w:t>
      </w:r>
      <w:r w:rsidR="004515EC">
        <w:rPr>
          <w:lang w:val="en-US"/>
        </w:rPr>
        <w:t>e</w:t>
      </w:r>
      <w:r w:rsidR="004515EC">
        <w:rPr>
          <w:lang w:val="en-US"/>
        </w:rPr>
        <w:t>fore,</w:t>
      </w:r>
      <w:r w:rsidR="00F22C1B">
        <w:rPr>
          <w:lang w:val="en-US"/>
        </w:rPr>
        <w:t xml:space="preserve"> the Court’s requirement that </w:t>
      </w:r>
      <w:r w:rsidR="00F22C1B" w:rsidRPr="00012D04">
        <w:rPr>
          <w:lang w:val="en-US"/>
        </w:rPr>
        <w:t xml:space="preserve">the </w:t>
      </w:r>
      <w:r w:rsidR="00F22C1B">
        <w:rPr>
          <w:lang w:val="en-US"/>
        </w:rPr>
        <w:t xml:space="preserve">delegated </w:t>
      </w:r>
      <w:r w:rsidR="00F22C1B" w:rsidRPr="00012D04">
        <w:rPr>
          <w:lang w:val="en-US"/>
        </w:rPr>
        <w:t>powers are precisely delineated in, and reviewable for their accordance with, the delegating act.</w:t>
      </w:r>
      <w:r w:rsidR="00F22C1B" w:rsidRPr="00012D04">
        <w:rPr>
          <w:vertAlign w:val="superscript"/>
          <w:lang w:val="en-US"/>
        </w:rPr>
        <w:footnoteReference w:id="74"/>
      </w:r>
      <w:r w:rsidR="007444CD">
        <w:rPr>
          <w:lang w:val="en-US"/>
        </w:rPr>
        <w:t xml:space="preserve"> </w:t>
      </w:r>
      <w:r w:rsidR="00E15462">
        <w:rPr>
          <w:lang w:val="en-US"/>
        </w:rPr>
        <w:t>The new body’s discretion must be circumscribed appropriately, as t</w:t>
      </w:r>
      <w:r w:rsidR="007444CD">
        <w:rPr>
          <w:lang w:val="en-US"/>
        </w:rPr>
        <w:t>he delegation cannot</w:t>
      </w:r>
      <w:r w:rsidR="007444CD">
        <w:rPr>
          <w:rFonts w:eastAsia="Times New Roman" w:cs="Times New Roman"/>
        </w:rPr>
        <w:t xml:space="preserve"> ‘replace the choices of the delegator by the choices of the delegate, bring[</w:t>
      </w:r>
      <w:proofErr w:type="spellStart"/>
      <w:r w:rsidR="007444CD">
        <w:rPr>
          <w:rFonts w:eastAsia="Times New Roman" w:cs="Times New Roman"/>
        </w:rPr>
        <w:t>ing</w:t>
      </w:r>
      <w:proofErr w:type="spellEnd"/>
      <w:r w:rsidR="007444CD">
        <w:rPr>
          <w:rFonts w:eastAsia="Times New Roman" w:cs="Times New Roman"/>
        </w:rPr>
        <w:t>] about an “actual transfer of responsibility”.’</w:t>
      </w:r>
      <w:r w:rsidR="007444CD" w:rsidRPr="00B65A96">
        <w:rPr>
          <w:rStyle w:val="FootnoteReference"/>
        </w:rPr>
        <w:footnoteReference w:id="75"/>
      </w:r>
      <w:r w:rsidR="00D11C56">
        <w:rPr>
          <w:lang w:val="en-US"/>
        </w:rPr>
        <w:t xml:space="preserve"> </w:t>
      </w:r>
      <w:r w:rsidR="004515EC">
        <w:rPr>
          <w:lang w:val="en-US"/>
        </w:rPr>
        <w:t xml:space="preserve">In this respect, the Commission proposal </w:t>
      </w:r>
      <w:r w:rsidR="007444CD">
        <w:rPr>
          <w:lang w:val="en-US"/>
        </w:rPr>
        <w:t>outlines</w:t>
      </w:r>
      <w:r w:rsidR="004515EC">
        <w:rPr>
          <w:lang w:val="en-US"/>
        </w:rPr>
        <w:t xml:space="preserve"> the powers to be delegated to the EMF’s Board of Governors and Board of Directors;</w:t>
      </w:r>
      <w:r w:rsidR="000931AB">
        <w:rPr>
          <w:lang w:val="en-US"/>
        </w:rPr>
        <w:t xml:space="preserve"> given that both bodies would enjoy decision-making powers with some elements of discretion, the proposal</w:t>
      </w:r>
      <w:r w:rsidR="004515EC">
        <w:rPr>
          <w:lang w:val="en-US"/>
        </w:rPr>
        <w:t xml:space="preserve"> also envisages </w:t>
      </w:r>
      <w:r w:rsidR="00227B57">
        <w:rPr>
          <w:lang w:val="en-US"/>
        </w:rPr>
        <w:t>that all discretionary decisions be endorsed by the Council</w:t>
      </w:r>
      <w:r w:rsidR="007444CD">
        <w:rPr>
          <w:lang w:val="en-US"/>
        </w:rPr>
        <w:t>.</w:t>
      </w:r>
      <w:r w:rsidR="00227B57" w:rsidRPr="00B65A96">
        <w:rPr>
          <w:rStyle w:val="FootnoteReference"/>
        </w:rPr>
        <w:footnoteReference w:id="76"/>
      </w:r>
      <w:r w:rsidR="007444CD">
        <w:rPr>
          <w:lang w:val="en-US"/>
        </w:rPr>
        <w:t xml:space="preserve"> </w:t>
      </w:r>
      <w:r w:rsidR="000931AB">
        <w:rPr>
          <w:lang w:val="en-US"/>
        </w:rPr>
        <w:t>While this mechanism would go a long way towards ensuring that the choices of the delegate are i</w:t>
      </w:r>
      <w:r w:rsidR="000931AB">
        <w:rPr>
          <w:lang w:val="en-US"/>
        </w:rPr>
        <w:t>n</w:t>
      </w:r>
      <w:r w:rsidR="000931AB">
        <w:rPr>
          <w:lang w:val="en-US"/>
        </w:rPr>
        <w:t>deed in line with the choices of the delegator (to paraphrase the Court’s words), one</w:t>
      </w:r>
      <w:r w:rsidR="00AB2D05">
        <w:rPr>
          <w:lang w:val="en-US"/>
        </w:rPr>
        <w:t xml:space="preserve"> could still think of possible </w:t>
      </w:r>
      <w:r w:rsidR="00AB2D05" w:rsidRPr="00AB2D05">
        <w:rPr>
          <w:i/>
          <w:lang w:val="en-US"/>
        </w:rPr>
        <w:t>lacunae</w:t>
      </w:r>
      <w:r w:rsidR="000931AB">
        <w:rPr>
          <w:lang w:val="en-US"/>
        </w:rPr>
        <w:t>, such as in the case of non-decisions.</w:t>
      </w:r>
      <w:r w:rsidR="00A355A3">
        <w:rPr>
          <w:lang w:val="en-US"/>
        </w:rPr>
        <w:t xml:space="preserve"> At the same time, </w:t>
      </w:r>
      <w:r w:rsidR="00872778">
        <w:rPr>
          <w:lang w:val="en-US"/>
        </w:rPr>
        <w:t>the EMF’s decisions would be subject to judicial review by the Court of Justice of the EU, and instances of ‘non-decision’ could be the object of an action for failure to act—albeit that judicial review would most likely be exe</w:t>
      </w:r>
      <w:r w:rsidR="00872778">
        <w:rPr>
          <w:lang w:val="en-US"/>
        </w:rPr>
        <w:t>r</w:t>
      </w:r>
      <w:r w:rsidR="00872778">
        <w:rPr>
          <w:lang w:val="en-US"/>
        </w:rPr>
        <w:t xml:space="preserve">cised with a very light touch, due to </w:t>
      </w:r>
      <w:r w:rsidR="00AB2D05">
        <w:rPr>
          <w:lang w:val="en-US"/>
        </w:rPr>
        <w:t xml:space="preserve">the </w:t>
      </w:r>
      <w:r w:rsidR="00872778">
        <w:rPr>
          <w:lang w:val="en-US"/>
        </w:rPr>
        <w:t>subject-matter.</w:t>
      </w:r>
    </w:p>
    <w:p w14:paraId="686241EC" w14:textId="77777777" w:rsidR="00A355A3" w:rsidRDefault="00A355A3" w:rsidP="00E43FCA">
      <w:pPr>
        <w:rPr>
          <w:lang w:val="en-US"/>
        </w:rPr>
      </w:pPr>
    </w:p>
    <w:p w14:paraId="6FADF8E9" w14:textId="1BAB583E" w:rsidR="00903C63" w:rsidRDefault="007444CD" w:rsidP="00E43FCA">
      <w:pPr>
        <w:rPr>
          <w:lang w:val="en-US"/>
        </w:rPr>
      </w:pPr>
      <w:r>
        <w:rPr>
          <w:lang w:val="en-US"/>
        </w:rPr>
        <w:t>The proposal also sets out accountability arrangements towards the European Parliament, Council and Commission</w:t>
      </w:r>
      <w:r w:rsidR="00565417">
        <w:rPr>
          <w:lang w:val="en-US"/>
        </w:rPr>
        <w:t>:</w:t>
      </w:r>
      <w:r w:rsidRPr="00B65A96">
        <w:rPr>
          <w:rStyle w:val="FootnoteReference"/>
        </w:rPr>
        <w:footnoteReference w:id="77"/>
      </w:r>
      <w:r w:rsidR="00565417">
        <w:rPr>
          <w:lang w:val="en-US"/>
        </w:rPr>
        <w:t xml:space="preserve"> among other obligations, the EMF would have reporting duties to all three institutions and respond to questions from Pa</w:t>
      </w:r>
      <w:r w:rsidR="00565417">
        <w:rPr>
          <w:lang w:val="en-US"/>
        </w:rPr>
        <w:t>r</w:t>
      </w:r>
      <w:r w:rsidR="00565417">
        <w:rPr>
          <w:lang w:val="en-US"/>
        </w:rPr>
        <w:t>liament.</w:t>
      </w:r>
      <w:r w:rsidR="00565417" w:rsidRPr="00B65A96">
        <w:rPr>
          <w:rStyle w:val="FootnoteReference"/>
        </w:rPr>
        <w:footnoteReference w:id="78"/>
      </w:r>
      <w:r w:rsidR="00565417">
        <w:rPr>
          <w:lang w:val="en-US"/>
        </w:rPr>
        <w:t xml:space="preserve"> </w:t>
      </w:r>
      <w:r w:rsidR="002124EC">
        <w:rPr>
          <w:lang w:val="en-US"/>
        </w:rPr>
        <w:t>A</w:t>
      </w:r>
      <w:r w:rsidR="00565417">
        <w:rPr>
          <w:lang w:val="en-US"/>
        </w:rPr>
        <w:t xml:space="preserve"> ‘more explicit’ scrutiny role for national parliaments—compared </w:t>
      </w:r>
      <w:r w:rsidR="00733BDA">
        <w:rPr>
          <w:lang w:val="en-US"/>
        </w:rPr>
        <w:t>to the current ESM arrangement—</w:t>
      </w:r>
      <w:r w:rsidR="00565417">
        <w:rPr>
          <w:lang w:val="en-US"/>
        </w:rPr>
        <w:t>is also envisaged</w:t>
      </w:r>
      <w:r w:rsidR="004525A0">
        <w:rPr>
          <w:lang w:val="en-US"/>
        </w:rPr>
        <w:t xml:space="preserve"> in the Commission’s proposal</w:t>
      </w:r>
      <w:r w:rsidR="00565417">
        <w:rPr>
          <w:lang w:val="en-US"/>
        </w:rPr>
        <w:t>.</w:t>
      </w:r>
      <w:r w:rsidR="00020223" w:rsidRPr="00B65A96">
        <w:rPr>
          <w:rStyle w:val="FootnoteReference"/>
        </w:rPr>
        <w:footnoteReference w:id="79"/>
      </w:r>
      <w:r w:rsidR="007A40F4">
        <w:rPr>
          <w:lang w:val="en-US"/>
        </w:rPr>
        <w:t xml:space="preserve"> </w:t>
      </w:r>
      <w:r w:rsidR="002124EC">
        <w:rPr>
          <w:lang w:val="en-US"/>
        </w:rPr>
        <w:t>On the whole</w:t>
      </w:r>
      <w:r w:rsidR="00733BDA">
        <w:rPr>
          <w:lang w:val="en-US"/>
        </w:rPr>
        <w:t xml:space="preserve">, </w:t>
      </w:r>
      <w:r w:rsidR="002124EC">
        <w:rPr>
          <w:lang w:val="en-US"/>
        </w:rPr>
        <w:t>and apart from the role of national parliaments</w:t>
      </w:r>
      <w:r w:rsidR="00733BDA">
        <w:rPr>
          <w:lang w:val="en-US"/>
        </w:rPr>
        <w:t xml:space="preserve">, </w:t>
      </w:r>
      <w:r w:rsidR="002124EC">
        <w:rPr>
          <w:lang w:val="en-US"/>
        </w:rPr>
        <w:t>the reporting d</w:t>
      </w:r>
      <w:r w:rsidR="002124EC">
        <w:rPr>
          <w:lang w:val="en-US"/>
        </w:rPr>
        <w:t>u</w:t>
      </w:r>
      <w:r w:rsidR="002124EC">
        <w:rPr>
          <w:lang w:val="en-US"/>
        </w:rPr>
        <w:lastRenderedPageBreak/>
        <w:t>ties imposed on the EMF would be similar to those generally imposed on EU f</w:t>
      </w:r>
      <w:r w:rsidR="002124EC">
        <w:rPr>
          <w:lang w:val="en-US"/>
        </w:rPr>
        <w:t>i</w:t>
      </w:r>
      <w:r w:rsidR="002124EC">
        <w:rPr>
          <w:lang w:val="en-US"/>
        </w:rPr>
        <w:t>nancial supervision agencies. It should be noted that, in that context, such a</w:t>
      </w:r>
      <w:r w:rsidR="002124EC">
        <w:rPr>
          <w:lang w:val="en-US"/>
        </w:rPr>
        <w:t>c</w:t>
      </w:r>
      <w:r w:rsidR="002124EC">
        <w:rPr>
          <w:lang w:val="en-US"/>
        </w:rPr>
        <w:t>countability arrangements are often labeled as ‘limited’ and have elicited co</w:t>
      </w:r>
      <w:r w:rsidR="002124EC">
        <w:rPr>
          <w:lang w:val="en-US"/>
        </w:rPr>
        <w:t>n</w:t>
      </w:r>
      <w:r w:rsidR="002124EC">
        <w:rPr>
          <w:lang w:val="en-US"/>
        </w:rPr>
        <w:t>cerns in the literature.</w:t>
      </w:r>
      <w:r w:rsidR="002124EC" w:rsidRPr="00B65A96">
        <w:rPr>
          <w:rStyle w:val="FootnoteReference"/>
        </w:rPr>
        <w:footnoteReference w:id="80"/>
      </w:r>
      <w:r w:rsidR="002124EC">
        <w:rPr>
          <w:lang w:val="en-US"/>
        </w:rPr>
        <w:t xml:space="preserve"> This is an area, however, where arguments of expertise and independence tend to outweigh calls for further-reaching accountability a</w:t>
      </w:r>
      <w:r w:rsidR="002124EC">
        <w:rPr>
          <w:lang w:val="en-US"/>
        </w:rPr>
        <w:t>r</w:t>
      </w:r>
      <w:r w:rsidR="002124EC">
        <w:rPr>
          <w:lang w:val="en-US"/>
        </w:rPr>
        <w:t>rangements or political control. The same arguments would apply to a hypothe</w:t>
      </w:r>
      <w:r w:rsidR="002124EC">
        <w:rPr>
          <w:lang w:val="en-US"/>
        </w:rPr>
        <w:t>t</w:t>
      </w:r>
      <w:r w:rsidR="002124EC">
        <w:rPr>
          <w:lang w:val="en-US"/>
        </w:rPr>
        <w:t>ical EMF created within the framework of EU law.</w:t>
      </w:r>
    </w:p>
    <w:p w14:paraId="6BC0ECEC" w14:textId="77777777" w:rsidR="00C27261" w:rsidRDefault="00C27261" w:rsidP="00C27261">
      <w:pPr>
        <w:rPr>
          <w:lang w:val="en-US"/>
        </w:rPr>
      </w:pPr>
    </w:p>
    <w:p w14:paraId="592E2D78" w14:textId="1FC3D9F3" w:rsidR="0063219B" w:rsidRDefault="00090E54" w:rsidP="00C00807">
      <w:pPr>
        <w:pStyle w:val="Heading1"/>
      </w:pPr>
      <w:bookmarkStart w:id="34" w:name="_Toc395952792"/>
      <w:bookmarkStart w:id="35" w:name="_Toc405228153"/>
      <w:r>
        <w:rPr>
          <w:lang w:val="en-US"/>
        </w:rPr>
        <w:t xml:space="preserve">Questions of </w:t>
      </w:r>
      <w:r w:rsidR="00B30AA2">
        <w:rPr>
          <w:lang w:val="en-US"/>
        </w:rPr>
        <w:t>National Constitutional L</w:t>
      </w:r>
      <w:r>
        <w:rPr>
          <w:lang w:val="en-US"/>
        </w:rPr>
        <w:t>aw</w:t>
      </w:r>
      <w:bookmarkEnd w:id="34"/>
      <w:bookmarkEnd w:id="35"/>
    </w:p>
    <w:p w14:paraId="5B933C25" w14:textId="77777777" w:rsidR="0063219B" w:rsidRDefault="0063219B" w:rsidP="0063219B"/>
    <w:p w14:paraId="3A773255" w14:textId="4E70D12F" w:rsidR="0063219B" w:rsidRDefault="0063219B" w:rsidP="0063219B">
      <w:pPr>
        <w:rPr>
          <w:lang w:val="en-US"/>
        </w:rPr>
      </w:pPr>
      <w:r>
        <w:rPr>
          <w:lang w:val="en-US"/>
        </w:rPr>
        <w:t>Any version of a future EMF</w:t>
      </w:r>
      <w:r w:rsidR="00531A2D">
        <w:rPr>
          <w:lang w:val="en-US"/>
        </w:rPr>
        <w:t>—or substantially reformed ESM—</w:t>
      </w:r>
      <w:r>
        <w:rPr>
          <w:lang w:val="en-US"/>
        </w:rPr>
        <w:t xml:space="preserve">would also have to contend with questions of national constitutional law. This would be the case regardless of whether such a body is created within the framework of EU law or outside of it, although the specific nature of some of the obstacles presented by national constitutional law </w:t>
      </w:r>
      <w:r w:rsidR="00AB2D05">
        <w:rPr>
          <w:lang w:val="en-US"/>
        </w:rPr>
        <w:t>may</w:t>
      </w:r>
      <w:r>
        <w:rPr>
          <w:lang w:val="en-US"/>
        </w:rPr>
        <w:t xml:space="preserve"> differ in each case. </w:t>
      </w:r>
    </w:p>
    <w:p w14:paraId="09D2A705" w14:textId="77777777" w:rsidR="0063219B" w:rsidRDefault="0063219B" w:rsidP="0063219B">
      <w:pPr>
        <w:rPr>
          <w:lang w:val="en-US"/>
        </w:rPr>
      </w:pPr>
    </w:p>
    <w:p w14:paraId="715E30DF" w14:textId="77777777" w:rsidR="0063219B" w:rsidRPr="002F2D52" w:rsidRDefault="0063219B" w:rsidP="00D70FD5">
      <w:pPr>
        <w:pStyle w:val="Heading2"/>
        <w:rPr>
          <w:lang w:val="en-US"/>
        </w:rPr>
      </w:pPr>
      <w:bookmarkStart w:id="36" w:name="_Toc405228154"/>
      <w:r w:rsidRPr="002F2D52">
        <w:rPr>
          <w:lang w:val="en-US"/>
        </w:rPr>
        <w:t>The current ESM and national constitutional courts</w:t>
      </w:r>
      <w:bookmarkEnd w:id="36"/>
    </w:p>
    <w:p w14:paraId="4585D4D8" w14:textId="77777777" w:rsidR="0063219B" w:rsidRDefault="0063219B" w:rsidP="0063219B">
      <w:pPr>
        <w:rPr>
          <w:lang w:val="en-US"/>
        </w:rPr>
      </w:pPr>
    </w:p>
    <w:p w14:paraId="3A4349CC" w14:textId="14429B7F" w:rsidR="0063219B" w:rsidRDefault="0063219B" w:rsidP="0063219B">
      <w:pPr>
        <w:rPr>
          <w:lang w:val="en-US"/>
        </w:rPr>
      </w:pPr>
      <w:r>
        <w:rPr>
          <w:lang w:val="en-US"/>
        </w:rPr>
        <w:t>In this area, too, can we use the current E</w:t>
      </w:r>
      <w:r w:rsidR="00531A2D">
        <w:rPr>
          <w:lang w:val="en-US"/>
        </w:rPr>
        <w:t>SM</w:t>
      </w:r>
      <w:r>
        <w:rPr>
          <w:lang w:val="en-US"/>
        </w:rPr>
        <w:t xml:space="preserve"> as the starting point for our discu</w:t>
      </w:r>
      <w:r>
        <w:rPr>
          <w:lang w:val="en-US"/>
        </w:rPr>
        <w:t>s</w:t>
      </w:r>
      <w:r>
        <w:rPr>
          <w:lang w:val="en-US"/>
        </w:rPr>
        <w:t xml:space="preserve">sion, since the legality of the ESM Treaty, or of legislative changes connected to it, was challenged before numerous national </w:t>
      </w:r>
      <w:proofErr w:type="gramStart"/>
      <w:r>
        <w:rPr>
          <w:lang w:val="en-US"/>
        </w:rPr>
        <w:t>courts.</w:t>
      </w:r>
      <w:bookmarkStart w:id="37" w:name="_Ref405229800"/>
      <w:proofErr w:type="gramEnd"/>
      <w:r w:rsidRPr="00B65A96">
        <w:rPr>
          <w:rStyle w:val="FootnoteReference"/>
        </w:rPr>
        <w:footnoteReference w:id="81"/>
      </w:r>
      <w:bookmarkEnd w:id="37"/>
      <w:r>
        <w:rPr>
          <w:lang w:val="en-US"/>
        </w:rPr>
        <w:t xml:space="preserve"> Among these courts, only a few sought to clarify, to different degrees, the nature of the limits imposed by n</w:t>
      </w:r>
      <w:r>
        <w:rPr>
          <w:lang w:val="en-US"/>
        </w:rPr>
        <w:t>a</w:t>
      </w:r>
      <w:r>
        <w:rPr>
          <w:lang w:val="en-US"/>
        </w:rPr>
        <w:t xml:space="preserve">tional constitutions on the creation and powers of a body such as the current </w:t>
      </w:r>
      <w:r>
        <w:rPr>
          <w:lang w:val="en-US"/>
        </w:rPr>
        <w:lastRenderedPageBreak/>
        <w:t>ESM—and, by analogy, such as the proposed EMF.</w:t>
      </w:r>
      <w:r w:rsidRPr="00B65A96">
        <w:rPr>
          <w:rStyle w:val="FootnoteReference"/>
        </w:rPr>
        <w:footnoteReference w:id="82"/>
      </w:r>
      <w:r>
        <w:rPr>
          <w:lang w:val="en-US"/>
        </w:rPr>
        <w:t xml:space="preserve"> It is on these courts (more specifically, the Irish Supreme Court, the Supreme Court of Estonia, and the Ge</w:t>
      </w:r>
      <w:r>
        <w:rPr>
          <w:lang w:val="en-US"/>
        </w:rPr>
        <w:t>r</w:t>
      </w:r>
      <w:r>
        <w:rPr>
          <w:lang w:val="en-US"/>
        </w:rPr>
        <w:t xml:space="preserve">man Federal Constitutional Court) that this section will focus. Generally, </w:t>
      </w:r>
      <w:r>
        <w:t>the claims before these courts</w:t>
      </w:r>
      <w:r w:rsidRPr="006D1C98">
        <w:t xml:space="preserve"> </w:t>
      </w:r>
      <w:r>
        <w:t>characterized</w:t>
      </w:r>
      <w:r w:rsidRPr="006D1C98">
        <w:t xml:space="preserve"> the ESM as an attack on the national democratic process, </w:t>
      </w:r>
      <w:r>
        <w:t>due to the constraints it imposes</w:t>
      </w:r>
      <w:r w:rsidRPr="006D1C98">
        <w:t xml:space="preserve"> </w:t>
      </w:r>
      <w:r>
        <w:t xml:space="preserve">on </w:t>
      </w:r>
      <w:r w:rsidRPr="006D1C98">
        <w:t xml:space="preserve">national parliaments’ </w:t>
      </w:r>
      <w:r>
        <w:t xml:space="preserve">budgetary powers. </w:t>
      </w:r>
      <w:r w:rsidR="00AB2D05">
        <w:t xml:space="preserve">This general interference was often presented as most acute </w:t>
      </w:r>
      <w:r>
        <w:t>in the context of Article 4(4) of the ESM Treaty,</w:t>
      </w:r>
      <w:r w:rsidRPr="00B65A96">
        <w:rPr>
          <w:rStyle w:val="FootnoteReference"/>
        </w:rPr>
        <w:footnoteReference w:id="83"/>
      </w:r>
      <w:r>
        <w:t xml:space="preserve"> which allows the Board of Go</w:t>
      </w:r>
      <w:r>
        <w:t>v</w:t>
      </w:r>
      <w:r>
        <w:t>ernors of the ESM to decide to grant or implement financial assistance by a qual</w:t>
      </w:r>
      <w:r>
        <w:t>i</w:t>
      </w:r>
      <w:r>
        <w:t>fied majority of 85% of the votes cast in emergency situations—as opposed to by unanimity, which is the general rule. In such emergency situations, then, most Member States could be outvoted.</w:t>
      </w:r>
      <w:bookmarkStart w:id="38" w:name="_Ref405055675"/>
      <w:r w:rsidRPr="00B65A96">
        <w:rPr>
          <w:rStyle w:val="FootnoteReference"/>
        </w:rPr>
        <w:footnoteReference w:id="84"/>
      </w:r>
      <w:bookmarkEnd w:id="38"/>
    </w:p>
    <w:p w14:paraId="4272DD18" w14:textId="77777777" w:rsidR="0063219B" w:rsidRDefault="0063219B" w:rsidP="0063219B">
      <w:pPr>
        <w:rPr>
          <w:lang w:val="en-US"/>
        </w:rPr>
      </w:pPr>
    </w:p>
    <w:p w14:paraId="4B98AE38" w14:textId="77777777" w:rsidR="0063219B" w:rsidRDefault="0063219B" w:rsidP="0063219B">
      <w:pPr>
        <w:rPr>
          <w:lang w:val="en-US"/>
        </w:rPr>
      </w:pPr>
      <w:r>
        <w:rPr>
          <w:lang w:val="en-US"/>
        </w:rPr>
        <w:t>The three national courts that dealt with these claims—in differing detail—evidenced different approaches to the constitutionality of transferring powers to a body such as the ESM. The Irish Supreme Court considered that the powers of the ESM would not affect Ireland’s status as a sovereign, democratic state. This would remain the case even in Ireland were to be overruled in emergency situ</w:t>
      </w:r>
      <w:r>
        <w:rPr>
          <w:lang w:val="en-US"/>
        </w:rPr>
        <w:t>a</w:t>
      </w:r>
      <w:r>
        <w:rPr>
          <w:lang w:val="en-US"/>
        </w:rPr>
        <w:t>tions, under Article 4(4) ESM Treaty; the Irish court saw no objection to freely agreeing, in advance, to the use of such ‘a specified mechanism, within the limits of the specific maximum financial contribution’ of Ireland to the ESM.</w:t>
      </w:r>
      <w:r w:rsidRPr="00B65A96">
        <w:rPr>
          <w:rStyle w:val="FootnoteReference"/>
        </w:rPr>
        <w:footnoteReference w:id="85"/>
      </w:r>
    </w:p>
    <w:p w14:paraId="3B6085A4" w14:textId="77777777" w:rsidR="0063219B" w:rsidRDefault="0063219B" w:rsidP="0063219B">
      <w:pPr>
        <w:rPr>
          <w:lang w:val="en-US"/>
        </w:rPr>
      </w:pPr>
    </w:p>
    <w:p w14:paraId="00F3C29E" w14:textId="11ABD232" w:rsidR="0063219B" w:rsidRDefault="0063219B" w:rsidP="0063219B">
      <w:pPr>
        <w:rPr>
          <w:lang w:val="en-US"/>
        </w:rPr>
      </w:pPr>
      <w:r>
        <w:rPr>
          <w:lang w:val="en-US"/>
        </w:rPr>
        <w:t>By comparison, the Supreme Court of Estonia adopted a more prodding a</w:t>
      </w:r>
      <w:r>
        <w:rPr>
          <w:lang w:val="en-US"/>
        </w:rPr>
        <w:t>p</w:t>
      </w:r>
      <w:r>
        <w:rPr>
          <w:lang w:val="en-US"/>
        </w:rPr>
        <w:t>proach when asked to consider the constitutionality of the ESM Treaty, in ge</w:t>
      </w:r>
      <w:r>
        <w:rPr>
          <w:lang w:val="en-US"/>
        </w:rPr>
        <w:t>n</w:t>
      </w:r>
      <w:r>
        <w:rPr>
          <w:lang w:val="en-US"/>
        </w:rPr>
        <w:lastRenderedPageBreak/>
        <w:t>eral, and of Article 4(4) of the same Treaty, in particular. In a contested decision that prompted five dissenting opinions, the Estonian Court considered that the principles of sovereignty (to be interpreted in the current context of globaliz</w:t>
      </w:r>
      <w:r>
        <w:rPr>
          <w:lang w:val="en-US"/>
        </w:rPr>
        <w:t>a</w:t>
      </w:r>
      <w:r>
        <w:rPr>
          <w:lang w:val="en-US"/>
        </w:rPr>
        <w:t>tion), and democracy, were closely linked to the budgetary powers of the natio</w:t>
      </w:r>
      <w:r>
        <w:rPr>
          <w:lang w:val="en-US"/>
        </w:rPr>
        <w:t>n</w:t>
      </w:r>
      <w:r>
        <w:rPr>
          <w:lang w:val="en-US"/>
        </w:rPr>
        <w:t>al parliament. The Court did not object to Estonia’s membership of the ESM, in general, but found that Article 4(4) did constitute an interference with the n</w:t>
      </w:r>
      <w:r>
        <w:rPr>
          <w:lang w:val="en-US"/>
        </w:rPr>
        <w:t>a</w:t>
      </w:r>
      <w:r>
        <w:rPr>
          <w:lang w:val="en-US"/>
        </w:rPr>
        <w:t>tional parliament’s budgetary powers.</w:t>
      </w:r>
      <w:r w:rsidRPr="00B65A96">
        <w:rPr>
          <w:rStyle w:val="FootnoteReference"/>
        </w:rPr>
        <w:footnoteReference w:id="86"/>
      </w:r>
      <w:r>
        <w:rPr>
          <w:lang w:val="en-US"/>
        </w:rPr>
        <w:t xml:space="preserve"> Nevertheless, such interference was found to be justified and proportionate,</w:t>
      </w:r>
      <w:r w:rsidRPr="00B65A96">
        <w:rPr>
          <w:rStyle w:val="FootnoteReference"/>
        </w:rPr>
        <w:footnoteReference w:id="87"/>
      </w:r>
      <w:r>
        <w:rPr>
          <w:lang w:val="en-US"/>
        </w:rPr>
        <w:t xml:space="preserve"> since</w:t>
      </w:r>
      <w:r w:rsidR="00AB2D05">
        <w:rPr>
          <w:lang w:val="en-US"/>
        </w:rPr>
        <w:t>—among other reasons—</w:t>
      </w:r>
      <w:r>
        <w:rPr>
          <w:lang w:val="en-US"/>
        </w:rPr>
        <w:t>the vo</w:t>
      </w:r>
      <w:r>
        <w:rPr>
          <w:lang w:val="en-US"/>
        </w:rPr>
        <w:t>t</w:t>
      </w:r>
      <w:r>
        <w:rPr>
          <w:lang w:val="en-US"/>
        </w:rPr>
        <w:t>ing procedure under Article 4(4) is only to be used in emergency circumstan</w:t>
      </w:r>
      <w:r>
        <w:rPr>
          <w:lang w:val="en-US"/>
        </w:rPr>
        <w:t>c</w:t>
      </w:r>
      <w:r>
        <w:rPr>
          <w:lang w:val="en-US"/>
        </w:rPr>
        <w:t>es,</w:t>
      </w:r>
      <w:r w:rsidRPr="00B65A96">
        <w:rPr>
          <w:rStyle w:val="FootnoteReference"/>
        </w:rPr>
        <w:footnoteReference w:id="88"/>
      </w:r>
      <w:r>
        <w:rPr>
          <w:lang w:val="en-US"/>
        </w:rPr>
        <w:t xml:space="preserve"> when action is necessary to preserve the stability of the euro area.  </w:t>
      </w:r>
    </w:p>
    <w:p w14:paraId="227DD94E" w14:textId="77777777" w:rsidR="0063219B" w:rsidRDefault="0063219B" w:rsidP="0063219B">
      <w:pPr>
        <w:rPr>
          <w:lang w:val="en-US"/>
        </w:rPr>
      </w:pPr>
    </w:p>
    <w:p w14:paraId="510637C3" w14:textId="77777777" w:rsidR="0063219B" w:rsidRDefault="0063219B" w:rsidP="0063219B">
      <w:r>
        <w:rPr>
          <w:lang w:val="en-US"/>
        </w:rPr>
        <w:t>And finally, the German Constitutional Court adopted the strictest approach to the constitutionality of the transfer of powers to the ESM, which it reviewed t</w:t>
      </w:r>
      <w:r>
        <w:rPr>
          <w:lang w:val="en-US"/>
        </w:rPr>
        <w:t>o</w:t>
      </w:r>
      <w:r>
        <w:rPr>
          <w:lang w:val="en-US"/>
        </w:rPr>
        <w:t>gether with the TSCG Treaty.</w:t>
      </w:r>
      <w:r w:rsidRPr="006D1C98">
        <w:rPr>
          <w:vertAlign w:val="superscript"/>
        </w:rPr>
        <w:footnoteReference w:id="89"/>
      </w:r>
      <w:r w:rsidRPr="006D1C98">
        <w:t xml:space="preserve"> </w:t>
      </w:r>
      <w:r>
        <w:rPr>
          <w:lang w:val="en-US"/>
        </w:rPr>
        <w:t xml:space="preserve">The German Court had already been called upon to decide on the legality of the first assistance </w:t>
      </w:r>
      <w:r>
        <w:t>package to Greece (EFSF/EFSM).</w:t>
      </w:r>
      <w:r w:rsidRPr="006D1C98">
        <w:rPr>
          <w:vertAlign w:val="superscript"/>
        </w:rPr>
        <w:footnoteReference w:id="90"/>
      </w:r>
    </w:p>
    <w:p w14:paraId="4C298341" w14:textId="77777777" w:rsidR="0063219B" w:rsidRDefault="0063219B" w:rsidP="0063219B"/>
    <w:p w14:paraId="7DFA5391" w14:textId="033D6A25" w:rsidR="0063219B" w:rsidRDefault="0063219B" w:rsidP="0063219B">
      <w:r>
        <w:t>In this line of case law, the German Court emphasized that the German parli</w:t>
      </w:r>
      <w:r>
        <w:t>a</w:t>
      </w:r>
      <w:r>
        <w:t>ment ‘</w:t>
      </w:r>
      <w:r>
        <w:rPr>
          <w:rFonts w:eastAsia="Times New Roman" w:cs="Times New Roman"/>
        </w:rPr>
        <w:t>must retain control of fundamental budgetary decisions even in a system of intergovernmental administration’,</w:t>
      </w:r>
      <w:r w:rsidRPr="00B65A96">
        <w:rPr>
          <w:rStyle w:val="FootnoteReference"/>
        </w:rPr>
        <w:footnoteReference w:id="91"/>
      </w:r>
      <w:r>
        <w:rPr>
          <w:rFonts w:eastAsia="Times New Roman" w:cs="Times New Roman"/>
        </w:rPr>
        <w:t xml:space="preserve"> since this is ‘a fundamental part of the ability of a constitutional state to democratically shape itself’.</w:t>
      </w:r>
      <w:r w:rsidRPr="00B65A96">
        <w:rPr>
          <w:rStyle w:val="FootnoteReference"/>
        </w:rPr>
        <w:footnoteReference w:id="92"/>
      </w:r>
      <w:r>
        <w:rPr>
          <w:rFonts w:eastAsia="Times New Roman" w:cs="Times New Roman"/>
        </w:rPr>
        <w:t xml:space="preserve"> This meant that </w:t>
      </w:r>
      <w:r w:rsidRPr="006D1C98">
        <w:t>Germany’s participat</w:t>
      </w:r>
      <w:r>
        <w:t>ion in the EFSF, EFSM, and ESM—</w:t>
      </w:r>
      <w:r w:rsidRPr="006D1C98">
        <w:t>as wel</w:t>
      </w:r>
      <w:r>
        <w:t>l as its signature of the TSCG—</w:t>
      </w:r>
      <w:r w:rsidRPr="006D1C98">
        <w:t>was in accordance with the national constitution, as long as certain safeguards were observed.</w:t>
      </w:r>
      <w:r>
        <w:t xml:space="preserve"> In relation to the first Greek aid package (EFSF/EFSM), the Court had already come to the conclusion that the </w:t>
      </w:r>
      <w:r w:rsidRPr="00E449F6">
        <w:rPr>
          <w:i/>
        </w:rPr>
        <w:t>Bundestag</w:t>
      </w:r>
      <w:r>
        <w:t xml:space="preserve"> had to approve every large-scale aid measure. This resulted in a series of further decisions clarifying the shape that this involvement of the national parliament </w:t>
      </w:r>
      <w:r>
        <w:lastRenderedPageBreak/>
        <w:t>could take.</w:t>
      </w:r>
      <w:r w:rsidRPr="00B65A96">
        <w:rPr>
          <w:rStyle w:val="FootnoteReference"/>
        </w:rPr>
        <w:footnoteReference w:id="93"/>
      </w:r>
      <w:r>
        <w:t xml:space="preserve"> When assessing the legality of the ESM, the Court relied on the same link between the democratic character of the state and parliamentary budgetary decisions of a fundamental nature.</w:t>
      </w:r>
      <w:r w:rsidRPr="00B65A96">
        <w:rPr>
          <w:rStyle w:val="FootnoteReference"/>
        </w:rPr>
        <w:footnoteReference w:id="94"/>
      </w:r>
      <w:r>
        <w:t xml:space="preserve"> The Court considered that Germany’s co</w:t>
      </w:r>
      <w:r>
        <w:t>m</w:t>
      </w:r>
      <w:r>
        <w:t xml:space="preserve">mitments to a fund of this kind could not be open-ended, or amount to a blank cheque, as that would constitute </w:t>
      </w:r>
      <w:r w:rsidRPr="006D1C98">
        <w:t xml:space="preserve">an unacceptable limitation of the national </w:t>
      </w:r>
      <w:r>
        <w:t>pa</w:t>
      </w:r>
      <w:r>
        <w:t>r</w:t>
      </w:r>
      <w:r>
        <w:t>liament’s budgetary autonomy;</w:t>
      </w:r>
      <w:r w:rsidRPr="00B65A96">
        <w:rPr>
          <w:rStyle w:val="FootnoteReference"/>
        </w:rPr>
        <w:footnoteReference w:id="95"/>
      </w:r>
      <w:r>
        <w:t xml:space="preserve"> it then insisted on the need for the national parliament to approve every large-scale aid measure,</w:t>
      </w:r>
      <w:r w:rsidRPr="00B65A96">
        <w:rPr>
          <w:rStyle w:val="FootnoteReference"/>
        </w:rPr>
        <w:footnoteReference w:id="96"/>
      </w:r>
      <w:r>
        <w:t xml:space="preserve"> and on the need for pa</w:t>
      </w:r>
      <w:r>
        <w:t>r</w:t>
      </w:r>
      <w:r>
        <w:t>liament to have access to the information necessary to exercise its competence in a meaningful manner.</w:t>
      </w:r>
      <w:r w:rsidRPr="00B65A96">
        <w:rPr>
          <w:rStyle w:val="FootnoteReference"/>
        </w:rPr>
        <w:footnoteReference w:id="97"/>
      </w:r>
      <w:r>
        <w:t xml:space="preserve"> This resulted </w:t>
      </w:r>
      <w:r w:rsidR="00DD730D">
        <w:t>in the addition of t</w:t>
      </w:r>
      <w:r w:rsidR="007B3AAC">
        <w:t>wo</w:t>
      </w:r>
      <w:r>
        <w:t xml:space="preserve"> </w:t>
      </w:r>
      <w:proofErr w:type="spellStart"/>
      <w:r>
        <w:t>clarificatory</w:t>
      </w:r>
      <w:proofErr w:type="spellEnd"/>
      <w:r>
        <w:t xml:space="preserve"> declar</w:t>
      </w:r>
      <w:r>
        <w:t>a</w:t>
      </w:r>
      <w:r>
        <w:t>tions</w:t>
      </w:r>
      <w:r w:rsidR="007B3AAC">
        <w:t xml:space="preserve"> to the ESM Treaty, </w:t>
      </w:r>
      <w:r>
        <w:t>binding under international law.</w:t>
      </w:r>
      <w:r w:rsidRPr="00B65A96">
        <w:rPr>
          <w:rStyle w:val="FootnoteReference"/>
        </w:rPr>
        <w:footnoteReference w:id="98"/>
      </w:r>
      <w:r>
        <w:t xml:space="preserve"> Finally, the German Court did not have to pronounce itself on the constitutionality of Article 4(4) of the ESM Treaty; even though this provision does away with unanimity in eme</w:t>
      </w:r>
      <w:r>
        <w:t>r</w:t>
      </w:r>
      <w:r>
        <w:t>gency situations, the German share in the ESM capital ensures that Germany cannot be outvoted in that context.</w:t>
      </w:r>
      <w:r w:rsidRPr="00B65A96">
        <w:rPr>
          <w:rStyle w:val="FootnoteReference"/>
        </w:rPr>
        <w:footnoteReference w:id="99"/>
      </w:r>
    </w:p>
    <w:p w14:paraId="0764CF4D" w14:textId="77777777" w:rsidR="0063219B" w:rsidRDefault="0063219B" w:rsidP="0063219B">
      <w:pPr>
        <w:rPr>
          <w:rFonts w:eastAsia="Times New Roman" w:cs="Times New Roman"/>
        </w:rPr>
      </w:pPr>
    </w:p>
    <w:p w14:paraId="1CADEB15" w14:textId="215ED154" w:rsidR="0063219B" w:rsidRDefault="00E50F68" w:rsidP="0063219B">
      <w:pPr>
        <w:rPr>
          <w:lang w:val="en-US"/>
        </w:rPr>
      </w:pPr>
      <w:r w:rsidRPr="00424CFA">
        <w:t xml:space="preserve">As mentioned above, a central part of the German Court’s </w:t>
      </w:r>
      <w:r w:rsidR="00DB102E" w:rsidRPr="00424CFA">
        <w:t>approach is to link</w:t>
      </w:r>
      <w:r w:rsidRPr="00424CFA">
        <w:t xml:space="preserve"> </w:t>
      </w:r>
      <w:r w:rsidR="0063219B" w:rsidRPr="004D75C4">
        <w:t>the protection of budgetary autonomy to the need to ensure democratic legitimacy within certain core areas, which is part of Germany’s constitutional identity, and unamendable pursuant to the German constitution’s eternity clause.</w:t>
      </w:r>
      <w:r w:rsidR="0063219B" w:rsidRPr="004D75C4">
        <w:rPr>
          <w:rStyle w:val="FootnoteReference"/>
        </w:rPr>
        <w:footnoteReference w:id="100"/>
      </w:r>
      <w:r w:rsidR="0063219B" w:rsidRPr="004D75C4">
        <w:t xml:space="preserve"> </w:t>
      </w:r>
      <w:r w:rsidR="00317D87">
        <w:rPr>
          <w:lang w:val="en-US"/>
        </w:rPr>
        <w:t>The Ge</w:t>
      </w:r>
      <w:r w:rsidR="00317D87">
        <w:rPr>
          <w:lang w:val="en-US"/>
        </w:rPr>
        <w:t>r</w:t>
      </w:r>
      <w:r w:rsidR="00317D87">
        <w:rPr>
          <w:lang w:val="en-US"/>
        </w:rPr>
        <w:t>man Constitutional Court’s preoccupation with constitutional identity can be d</w:t>
      </w:r>
      <w:r w:rsidR="00317D87">
        <w:rPr>
          <w:lang w:val="en-US"/>
        </w:rPr>
        <w:t>i</w:t>
      </w:r>
      <w:r w:rsidR="00317D87">
        <w:rPr>
          <w:lang w:val="en-US"/>
        </w:rPr>
        <w:lastRenderedPageBreak/>
        <w:t>rectly traced back to its decision on the Lisbon Treaty,</w:t>
      </w:r>
      <w:r w:rsidR="00317D87" w:rsidRPr="00E2656E">
        <w:rPr>
          <w:vertAlign w:val="superscript"/>
          <w:lang w:val="en-US"/>
        </w:rPr>
        <w:footnoteReference w:id="101"/>
      </w:r>
      <w:r w:rsidR="00317D87">
        <w:rPr>
          <w:lang w:val="en-US"/>
        </w:rPr>
        <w:t xml:space="preserve"> which built, in turn, on its seminal </w:t>
      </w:r>
      <w:r w:rsidR="00317D87" w:rsidRPr="00E2656E">
        <w:rPr>
          <w:i/>
          <w:lang w:val="en-US"/>
        </w:rPr>
        <w:t>Maastricht</w:t>
      </w:r>
      <w:r w:rsidR="00317D87" w:rsidRPr="00E2656E">
        <w:rPr>
          <w:lang w:val="en-US"/>
        </w:rPr>
        <w:t xml:space="preserve"> de</w:t>
      </w:r>
      <w:r w:rsidR="00317D87">
        <w:rPr>
          <w:lang w:val="en-US"/>
        </w:rPr>
        <w:t>cision.</w:t>
      </w:r>
      <w:r w:rsidR="00317D87" w:rsidRPr="00E2656E">
        <w:rPr>
          <w:vertAlign w:val="superscript"/>
          <w:lang w:val="en-US"/>
        </w:rPr>
        <w:footnoteReference w:id="102"/>
      </w:r>
      <w:r w:rsidR="0088106A">
        <w:rPr>
          <w:lang w:val="en-US"/>
        </w:rPr>
        <w:t xml:space="preserve"> Importantly, the German Court’s Lisbon dec</w:t>
      </w:r>
      <w:r w:rsidR="0088106A">
        <w:rPr>
          <w:lang w:val="en-US"/>
        </w:rPr>
        <w:t>i</w:t>
      </w:r>
      <w:r w:rsidR="0088106A">
        <w:rPr>
          <w:lang w:val="en-US"/>
        </w:rPr>
        <w:t xml:space="preserve">sion identified </w:t>
      </w:r>
      <w:r w:rsidR="0088106A" w:rsidRPr="00E2656E">
        <w:rPr>
          <w:lang w:val="en-US"/>
        </w:rPr>
        <w:t>‘fundamental fiscal decisions on pub</w:t>
      </w:r>
      <w:r w:rsidR="0088106A">
        <w:rPr>
          <w:lang w:val="en-US"/>
        </w:rPr>
        <w:t>lic revenue and expend</w:t>
      </w:r>
      <w:r w:rsidR="0088106A">
        <w:rPr>
          <w:lang w:val="en-US"/>
        </w:rPr>
        <w:t>i</w:t>
      </w:r>
      <w:r w:rsidR="0088106A">
        <w:rPr>
          <w:lang w:val="en-US"/>
        </w:rPr>
        <w:t>ture’</w:t>
      </w:r>
      <w:r w:rsidR="0088106A" w:rsidRPr="00E2656E">
        <w:rPr>
          <w:vertAlign w:val="superscript"/>
          <w:lang w:val="en-US"/>
        </w:rPr>
        <w:footnoteReference w:id="103"/>
      </w:r>
      <w:r w:rsidR="0088106A">
        <w:rPr>
          <w:lang w:val="en-US"/>
        </w:rPr>
        <w:t xml:space="preserve"> as one of the ‘reserved domains’ that cannot be transferred to the EU, at least as it currently stands.</w:t>
      </w:r>
      <w:r w:rsidR="0088106A">
        <w:rPr>
          <w:rStyle w:val="FootnoteReference"/>
          <w:lang w:val="en-US"/>
        </w:rPr>
        <w:footnoteReference w:id="104"/>
      </w:r>
      <w:r w:rsidR="0088106A">
        <w:rPr>
          <w:lang w:val="en-US"/>
        </w:rPr>
        <w:t xml:space="preserve"> </w:t>
      </w:r>
      <w:r w:rsidR="0063219B" w:rsidRPr="004D75C4">
        <w:t xml:space="preserve">The German Court’s reasoning in this area is </w:t>
      </w:r>
      <w:r w:rsidR="0088106A">
        <w:t>bound</w:t>
      </w:r>
      <w:r w:rsidR="0088106A" w:rsidRPr="00AC4C08">
        <w:t xml:space="preserve"> </w:t>
      </w:r>
      <w:r w:rsidR="0063219B" w:rsidRPr="00AC4C08">
        <w:t>to remain an integral part of its approach to any future</w:t>
      </w:r>
      <w:r w:rsidR="0063219B">
        <w:t xml:space="preserve"> version of the EMF—as well as the more general discussion on the future of the euro area.</w:t>
      </w:r>
      <w:r w:rsidR="0088106A">
        <w:rPr>
          <w:lang w:val="en-US"/>
        </w:rPr>
        <w:t xml:space="preserve"> </w:t>
      </w:r>
      <w:r w:rsidR="0063219B" w:rsidRPr="000A15E9">
        <w:t>Without using the same term</w:t>
      </w:r>
      <w:r w:rsidR="004D75C4">
        <w:t>inology</w:t>
      </w:r>
      <w:r w:rsidR="0063219B" w:rsidRPr="000A15E9">
        <w:t>, several national constitutional courts have made similar</w:t>
      </w:r>
      <w:r w:rsidR="004D75C4">
        <w:t xml:space="preserve"> </w:t>
      </w:r>
      <w:r w:rsidR="0063219B" w:rsidRPr="000A15E9">
        <w:t>remarks to the effect that there must be lim</w:t>
      </w:r>
      <w:r w:rsidR="0063219B" w:rsidRPr="000A15E9">
        <w:softHyphen/>
        <w:t>its to European integration—imposed by the national constitutions that they enforce—because certain areas are too integral to the sovereignty or identity of the state.</w:t>
      </w:r>
      <w:r w:rsidR="0063219B" w:rsidRPr="00B65A96">
        <w:rPr>
          <w:rStyle w:val="FootnoteReference"/>
        </w:rPr>
        <w:footnoteReference w:id="105"/>
      </w:r>
    </w:p>
    <w:p w14:paraId="572054E0" w14:textId="77777777" w:rsidR="0063219B" w:rsidRDefault="0063219B" w:rsidP="0063219B">
      <w:pPr>
        <w:rPr>
          <w:lang w:val="en-US"/>
        </w:rPr>
      </w:pPr>
    </w:p>
    <w:p w14:paraId="0E6503D3" w14:textId="77777777" w:rsidR="0063219B" w:rsidRPr="002F2D52" w:rsidRDefault="0063219B" w:rsidP="00D70FD5">
      <w:pPr>
        <w:pStyle w:val="Heading2"/>
        <w:rPr>
          <w:lang w:val="en-US"/>
        </w:rPr>
      </w:pPr>
      <w:bookmarkStart w:id="39" w:name="_Toc405228155"/>
      <w:r w:rsidRPr="002F2D52">
        <w:rPr>
          <w:lang w:val="en-US"/>
        </w:rPr>
        <w:lastRenderedPageBreak/>
        <w:t>A future EMF and national constitutional courts</w:t>
      </w:r>
      <w:bookmarkEnd w:id="39"/>
    </w:p>
    <w:p w14:paraId="54505F16" w14:textId="77777777" w:rsidR="0063219B" w:rsidRPr="00E2656E" w:rsidRDefault="0063219B" w:rsidP="0063219B">
      <w:pPr>
        <w:rPr>
          <w:lang w:val="en-US"/>
        </w:rPr>
      </w:pPr>
    </w:p>
    <w:p w14:paraId="2A5CB9FE" w14:textId="7E663D2C" w:rsidR="0063219B" w:rsidRDefault="0063219B" w:rsidP="0063219B">
      <w:pPr>
        <w:rPr>
          <w:lang w:val="en-US"/>
        </w:rPr>
      </w:pPr>
      <w:r>
        <w:rPr>
          <w:lang w:val="en-US"/>
        </w:rPr>
        <w:t>It is clear from the previous discussion that the constitutionality</w:t>
      </w:r>
      <w:r w:rsidR="009B32D7">
        <w:rPr>
          <w:lang w:val="en-US"/>
        </w:rPr>
        <w:t xml:space="preserve"> of</w:t>
      </w:r>
      <w:r>
        <w:rPr>
          <w:lang w:val="en-US"/>
        </w:rPr>
        <w:t xml:space="preserve"> a future EMF</w:t>
      </w:r>
      <w:r w:rsidR="00B240FC">
        <w:rPr>
          <w:lang w:val="en-US"/>
        </w:rPr>
        <w:t>—or substantially reformed ESM—</w:t>
      </w:r>
      <w:r>
        <w:rPr>
          <w:lang w:val="en-US"/>
        </w:rPr>
        <w:t>would be subject to review by national constitutional courts. It is fair to assume, too, that to the extent that there may be an overlap between the powers of a hypothetical EMF and those of the current ESM, the position of national constitutional courts—or at least those discussed in this section—would remain constant. The question is to what extent additional powers or different decision-making rules would pass the test set out in each j</w:t>
      </w:r>
      <w:r>
        <w:rPr>
          <w:lang w:val="en-US"/>
        </w:rPr>
        <w:t>u</w:t>
      </w:r>
      <w:r>
        <w:rPr>
          <w:lang w:val="en-US"/>
        </w:rPr>
        <w:t>risdiction</w:t>
      </w:r>
      <w:r w:rsidR="00B240FC">
        <w:rPr>
          <w:lang w:val="en-US"/>
        </w:rPr>
        <w:t>; this</w:t>
      </w:r>
      <w:r>
        <w:rPr>
          <w:lang w:val="en-US"/>
        </w:rPr>
        <w:t xml:space="preserve"> requires</w:t>
      </w:r>
      <w:r w:rsidR="00B240FC">
        <w:rPr>
          <w:lang w:val="en-US"/>
        </w:rPr>
        <w:t>, invariably,</w:t>
      </w:r>
      <w:r>
        <w:rPr>
          <w:lang w:val="en-US"/>
        </w:rPr>
        <w:t xml:space="preserve"> a careful consideration of which limitations to national budgetary autonomy are in accordance with the principles of sove</w:t>
      </w:r>
      <w:r>
        <w:rPr>
          <w:lang w:val="en-US"/>
        </w:rPr>
        <w:t>r</w:t>
      </w:r>
      <w:r>
        <w:rPr>
          <w:lang w:val="en-US"/>
        </w:rPr>
        <w:t>eignty and democracy</w:t>
      </w:r>
      <w:r w:rsidR="00AC4C08">
        <w:rPr>
          <w:lang w:val="en-US"/>
        </w:rPr>
        <w:t>, as interpreted by different national courts.</w:t>
      </w:r>
    </w:p>
    <w:p w14:paraId="4258076F" w14:textId="77777777" w:rsidR="0063219B" w:rsidRDefault="0063219B" w:rsidP="0063219B">
      <w:pPr>
        <w:rPr>
          <w:lang w:val="en-US"/>
        </w:rPr>
      </w:pPr>
    </w:p>
    <w:p w14:paraId="46221613" w14:textId="5B24CFD6" w:rsidR="0063219B" w:rsidRDefault="0063219B" w:rsidP="0063219B">
      <w:pPr>
        <w:rPr>
          <w:lang w:val="en-US"/>
        </w:rPr>
      </w:pPr>
      <w:r>
        <w:rPr>
          <w:lang w:val="en-US"/>
        </w:rPr>
        <w:t>In this way, national constitutional courts are likely to act as a check on additio</w:t>
      </w:r>
      <w:r>
        <w:rPr>
          <w:lang w:val="en-US"/>
        </w:rPr>
        <w:t>n</w:t>
      </w:r>
      <w:r>
        <w:rPr>
          <w:lang w:val="en-US"/>
        </w:rPr>
        <w:t xml:space="preserve">al powers, whether they are granted to </w:t>
      </w:r>
      <w:r w:rsidR="0069452A">
        <w:rPr>
          <w:lang w:val="en-US"/>
        </w:rPr>
        <w:t>an entity that remains intergovernmental</w:t>
      </w:r>
      <w:r>
        <w:rPr>
          <w:lang w:val="en-US"/>
        </w:rPr>
        <w:t xml:space="preserve"> or one created under EU law. It was mentioned earlier that new powers mooted for a future EMF—</w:t>
      </w:r>
      <w:r w:rsidR="006E7F50">
        <w:rPr>
          <w:lang w:val="en-US"/>
        </w:rPr>
        <w:t>apart from</w:t>
      </w:r>
      <w:r>
        <w:rPr>
          <w:lang w:val="en-US"/>
        </w:rPr>
        <w:t xml:space="preserve"> its role as a backstop to the SRF—could include a greater preventive role (discipline enforcement and risk monitoring), a greater role in designing and negotiating conditionality, and the potential development and use of stabilization tools. </w:t>
      </w:r>
      <w:r w:rsidR="0069452A">
        <w:rPr>
          <w:lang w:val="en-US"/>
        </w:rPr>
        <w:t>Indeed, limited versions of the last two powers</w:t>
      </w:r>
      <w:r w:rsidR="00AC4C08">
        <w:rPr>
          <w:lang w:val="en-US"/>
        </w:rPr>
        <w:t>—as well as a role as backstop to the SRF—</w:t>
      </w:r>
      <w:r w:rsidR="0069452A">
        <w:rPr>
          <w:lang w:val="en-US"/>
        </w:rPr>
        <w:t xml:space="preserve">have already been </w:t>
      </w:r>
      <w:r w:rsidR="007508D7">
        <w:rPr>
          <w:lang w:val="en-US"/>
        </w:rPr>
        <w:t>agreed on</w:t>
      </w:r>
      <w:r w:rsidR="0069452A">
        <w:rPr>
          <w:lang w:val="en-US"/>
        </w:rPr>
        <w:t xml:space="preserve"> as part of a partial reform of the current ESM.</w:t>
      </w:r>
      <w:r w:rsidR="0069452A">
        <w:rPr>
          <w:rStyle w:val="FootnoteReference"/>
          <w:lang w:val="en-US"/>
        </w:rPr>
        <w:footnoteReference w:id="106"/>
      </w:r>
      <w:r w:rsidR="0069452A">
        <w:rPr>
          <w:lang w:val="en-US"/>
        </w:rPr>
        <w:t xml:space="preserve"> In general, c</w:t>
      </w:r>
      <w:r>
        <w:rPr>
          <w:lang w:val="en-US"/>
        </w:rPr>
        <w:t>onstitutional courts are</w:t>
      </w:r>
      <w:r w:rsidR="0069452A">
        <w:rPr>
          <w:lang w:val="en-US"/>
        </w:rPr>
        <w:t xml:space="preserve"> only</w:t>
      </w:r>
      <w:r>
        <w:rPr>
          <w:lang w:val="en-US"/>
        </w:rPr>
        <w:t xml:space="preserve"> likely to accept </w:t>
      </w:r>
      <w:r w:rsidR="0069452A">
        <w:rPr>
          <w:lang w:val="en-US"/>
        </w:rPr>
        <w:t xml:space="preserve">any </w:t>
      </w:r>
      <w:r>
        <w:rPr>
          <w:lang w:val="en-US"/>
        </w:rPr>
        <w:t xml:space="preserve">additional powers </w:t>
      </w:r>
      <w:r w:rsidR="0069452A">
        <w:rPr>
          <w:lang w:val="en-US"/>
        </w:rPr>
        <w:t>to the extent that</w:t>
      </w:r>
      <w:r>
        <w:rPr>
          <w:lang w:val="en-US"/>
        </w:rPr>
        <w:t xml:space="preserve"> they do not impose fu</w:t>
      </w:r>
      <w:r>
        <w:rPr>
          <w:lang w:val="en-US"/>
        </w:rPr>
        <w:t>r</w:t>
      </w:r>
      <w:r>
        <w:rPr>
          <w:lang w:val="en-US"/>
        </w:rPr>
        <w:t>ther limits on national parliaments’ budgetary autonomy, something that seems especially relevant in relation to a potential, yet unlikely, role enforcing budge</w:t>
      </w:r>
      <w:r>
        <w:rPr>
          <w:lang w:val="en-US"/>
        </w:rPr>
        <w:t>t</w:t>
      </w:r>
      <w:r>
        <w:rPr>
          <w:lang w:val="en-US"/>
        </w:rPr>
        <w:t xml:space="preserve">ary discipline. </w:t>
      </w:r>
      <w:r w:rsidR="00AC4C08">
        <w:rPr>
          <w:lang w:val="en-US"/>
        </w:rPr>
        <w:t>Moreover, t</w:t>
      </w:r>
      <w:r>
        <w:rPr>
          <w:lang w:val="en-US"/>
        </w:rPr>
        <w:t>he German Federal Court’s red lines regarding parli</w:t>
      </w:r>
      <w:r>
        <w:rPr>
          <w:lang w:val="en-US"/>
        </w:rPr>
        <w:t>a</w:t>
      </w:r>
      <w:r>
        <w:rPr>
          <w:lang w:val="en-US"/>
        </w:rPr>
        <w:t>mentary involvement—in short, that no open-ended financial commitment is possible, and that the national parliament must approve every new commitment resulting in expenditure—would continue to apply, and would be especially re</w:t>
      </w:r>
      <w:r>
        <w:rPr>
          <w:lang w:val="en-US"/>
        </w:rPr>
        <w:t>l</w:t>
      </w:r>
      <w:r>
        <w:rPr>
          <w:lang w:val="en-US"/>
        </w:rPr>
        <w:lastRenderedPageBreak/>
        <w:t>evant in relation to the possibility of allowing the future EMF to develop and use new financial instruments as tools of macroeconomic stabilization.</w:t>
      </w:r>
      <w:r w:rsidR="007508D7">
        <w:rPr>
          <w:rStyle w:val="FootnoteReference"/>
          <w:lang w:val="en-US"/>
        </w:rPr>
        <w:footnoteReference w:id="107"/>
      </w:r>
      <w:r>
        <w:rPr>
          <w:lang w:val="en-US"/>
        </w:rPr>
        <w:t xml:space="preserve"> </w:t>
      </w:r>
    </w:p>
    <w:p w14:paraId="24B5AE32" w14:textId="77777777" w:rsidR="0063219B" w:rsidRDefault="0063219B" w:rsidP="0063219B">
      <w:pPr>
        <w:rPr>
          <w:lang w:val="en-US"/>
        </w:rPr>
      </w:pPr>
    </w:p>
    <w:p w14:paraId="68E87F17" w14:textId="77777777" w:rsidR="0063219B" w:rsidRDefault="0063219B" w:rsidP="0063219B">
      <w:pPr>
        <w:rPr>
          <w:sz w:val="23"/>
          <w:szCs w:val="23"/>
        </w:rPr>
      </w:pPr>
      <w:r>
        <w:rPr>
          <w:lang w:val="en-US"/>
        </w:rPr>
        <w:t>Additionally, it should be noted that the Commission’s proposal for the creation of an EMF within the EU framework foresees that the Board of Governors shall routinely decide to grant stability support to EMF members by reinforced quality majority voting, which requires 85% of the votes cast.</w:t>
      </w:r>
      <w:r w:rsidRPr="00B65A96">
        <w:rPr>
          <w:rStyle w:val="FootnoteReference"/>
        </w:rPr>
        <w:footnoteReference w:id="108"/>
      </w:r>
      <w:r>
        <w:rPr>
          <w:lang w:val="en-US"/>
        </w:rPr>
        <w:t xml:space="preserve"> This would amount to an extension of reinforced qualified majority voting in order to grant financial assistance beyond the current emergency situations currently foreseen in the ESM Treaty—situations when ‘</w:t>
      </w:r>
      <w:r>
        <w:rPr>
          <w:sz w:val="23"/>
          <w:szCs w:val="23"/>
        </w:rPr>
        <w:t xml:space="preserve">the Commission and the ECB both conclude that a failure to urgently adopt a decision to grant or implement financial assistance […] would threaten the economic and financial sustainability of the euro area’ (Article 4(4) ESM Treaty). </w:t>
      </w:r>
    </w:p>
    <w:p w14:paraId="3A6087C6" w14:textId="77777777" w:rsidR="0063219B" w:rsidRDefault="0063219B" w:rsidP="0063219B">
      <w:pPr>
        <w:rPr>
          <w:sz w:val="23"/>
          <w:szCs w:val="23"/>
        </w:rPr>
      </w:pPr>
    </w:p>
    <w:p w14:paraId="2445786B" w14:textId="0AB32E0D" w:rsidR="0063219B" w:rsidRDefault="0063219B" w:rsidP="0063219B">
      <w:pPr>
        <w:rPr>
          <w:sz w:val="23"/>
          <w:szCs w:val="23"/>
        </w:rPr>
      </w:pPr>
      <w:r>
        <w:rPr>
          <w:sz w:val="23"/>
          <w:szCs w:val="23"/>
        </w:rPr>
        <w:t>While the Commission asserts in its proposal that ‘unanimity has been kept for dec</w:t>
      </w:r>
      <w:r>
        <w:rPr>
          <w:sz w:val="23"/>
          <w:szCs w:val="23"/>
        </w:rPr>
        <w:t>i</w:t>
      </w:r>
      <w:r>
        <w:rPr>
          <w:sz w:val="23"/>
          <w:szCs w:val="23"/>
        </w:rPr>
        <w:t>sions having a major direct financial impact on Member States’, it is foreseeable that national constitutional courts may take issue with this extension of qualified major</w:t>
      </w:r>
      <w:r>
        <w:rPr>
          <w:sz w:val="23"/>
          <w:szCs w:val="23"/>
        </w:rPr>
        <w:t>i</w:t>
      </w:r>
      <w:r>
        <w:rPr>
          <w:sz w:val="23"/>
          <w:szCs w:val="23"/>
        </w:rPr>
        <w:t>ty voting, at least in those countries that could be effectively outvoted because they do not hold more than 15% of the voting rights (under the current ESM arrang</w:t>
      </w:r>
      <w:r>
        <w:rPr>
          <w:sz w:val="23"/>
          <w:szCs w:val="23"/>
        </w:rPr>
        <w:t>e</w:t>
      </w:r>
      <w:r>
        <w:rPr>
          <w:sz w:val="23"/>
          <w:szCs w:val="23"/>
        </w:rPr>
        <w:t>ments, this would be all countries apart from Germany, Italy and France.)</w:t>
      </w:r>
      <w:r w:rsidR="00A36950">
        <w:rPr>
          <w:rStyle w:val="FootnoteReference"/>
          <w:sz w:val="23"/>
          <w:szCs w:val="23"/>
        </w:rPr>
        <w:footnoteReference w:id="109"/>
      </w:r>
      <w:r>
        <w:rPr>
          <w:sz w:val="23"/>
          <w:szCs w:val="23"/>
        </w:rPr>
        <w:t xml:space="preserve"> As di</w:t>
      </w:r>
      <w:r>
        <w:rPr>
          <w:sz w:val="23"/>
          <w:szCs w:val="23"/>
        </w:rPr>
        <w:t>s</w:t>
      </w:r>
      <w:r>
        <w:rPr>
          <w:sz w:val="23"/>
          <w:szCs w:val="23"/>
        </w:rPr>
        <w:t>cussed above, the fact that Estonia could only be outvoted in emergency situations was a deciding factor in the Supreme Court of Estonia’s decision to hold the cou</w:t>
      </w:r>
      <w:r>
        <w:rPr>
          <w:sz w:val="23"/>
          <w:szCs w:val="23"/>
        </w:rPr>
        <w:t>n</w:t>
      </w:r>
      <w:r>
        <w:rPr>
          <w:sz w:val="23"/>
          <w:szCs w:val="23"/>
        </w:rPr>
        <w:t>try’s participation in the ESM constitutional. There is, furthermore, no doubt that the German Constitutional Court would not accept such an extension of reinforced qual</w:t>
      </w:r>
      <w:r>
        <w:rPr>
          <w:sz w:val="23"/>
          <w:szCs w:val="23"/>
        </w:rPr>
        <w:t>i</w:t>
      </w:r>
      <w:r>
        <w:rPr>
          <w:sz w:val="23"/>
          <w:szCs w:val="23"/>
        </w:rPr>
        <w:t>fied majority voting if it were possible for Germany to be outvoted under these a</w:t>
      </w:r>
      <w:r>
        <w:rPr>
          <w:sz w:val="23"/>
          <w:szCs w:val="23"/>
        </w:rPr>
        <w:t>r</w:t>
      </w:r>
      <w:r>
        <w:rPr>
          <w:sz w:val="23"/>
          <w:szCs w:val="23"/>
        </w:rPr>
        <w:t>rangements—which it would not be.</w:t>
      </w:r>
      <w:r w:rsidRPr="00B65A96">
        <w:rPr>
          <w:rStyle w:val="FootnoteReference"/>
        </w:rPr>
        <w:footnoteReference w:id="110"/>
      </w:r>
    </w:p>
    <w:p w14:paraId="18297146" w14:textId="77777777" w:rsidR="0063219B" w:rsidRDefault="0063219B" w:rsidP="0063219B">
      <w:pPr>
        <w:rPr>
          <w:lang w:val="en-US"/>
        </w:rPr>
      </w:pPr>
    </w:p>
    <w:p w14:paraId="08EB3A16" w14:textId="16B4AFBC" w:rsidR="0063219B" w:rsidRDefault="0063219B" w:rsidP="0063219B">
      <w:pPr>
        <w:rPr>
          <w:lang w:val="en-US"/>
        </w:rPr>
      </w:pPr>
      <w:r>
        <w:rPr>
          <w:lang w:val="en-US"/>
        </w:rPr>
        <w:lastRenderedPageBreak/>
        <w:t>Finally, while the constraints identified above would apply regardless of whether a future EMF is created within or without the framework of EU law, certain sp</w:t>
      </w:r>
      <w:r>
        <w:rPr>
          <w:lang w:val="en-US"/>
        </w:rPr>
        <w:t>e</w:t>
      </w:r>
      <w:r>
        <w:rPr>
          <w:lang w:val="en-US"/>
        </w:rPr>
        <w:t>cific limits would apply only if such a body were created under EU law. That is the case of national constitutional constraints imposed on the use of Article 352 TFEU—first set out, in the German case, in the German Court’s Lisbon dec</w:t>
      </w:r>
      <w:r>
        <w:rPr>
          <w:lang w:val="en-US"/>
        </w:rPr>
        <w:t>i</w:t>
      </w:r>
      <w:r>
        <w:rPr>
          <w:lang w:val="en-US"/>
        </w:rPr>
        <w:t>sion</w:t>
      </w:r>
      <w:r w:rsidRPr="00B65A96">
        <w:rPr>
          <w:rStyle w:val="FootnoteReference"/>
        </w:rPr>
        <w:footnoteReference w:id="111"/>
      </w:r>
      <w:r>
        <w:rPr>
          <w:lang w:val="en-US"/>
        </w:rPr>
        <w:t xml:space="preserve">—and which have been already discussed in </w:t>
      </w:r>
      <w:r w:rsidRPr="006E2B07">
        <w:rPr>
          <w:lang w:val="en-US"/>
        </w:rPr>
        <w:t xml:space="preserve">section </w:t>
      </w:r>
      <w:r w:rsidR="006E2B07" w:rsidRPr="006E2B07">
        <w:rPr>
          <w:lang w:val="en-US"/>
        </w:rPr>
        <w:t>6</w:t>
      </w:r>
      <w:r w:rsidR="006E2B07">
        <w:rPr>
          <w:lang w:val="en-US"/>
        </w:rPr>
        <w:t>.1</w:t>
      </w:r>
      <w:r>
        <w:rPr>
          <w:lang w:val="en-US"/>
        </w:rPr>
        <w:t xml:space="preserve"> of this paper. Moreover, while it would be up to the Court of Justice of the EU to ensure the a</w:t>
      </w:r>
      <w:r>
        <w:rPr>
          <w:lang w:val="en-US"/>
        </w:rPr>
        <w:t>c</w:t>
      </w:r>
      <w:r>
        <w:rPr>
          <w:lang w:val="en-US"/>
        </w:rPr>
        <w:t>cordance of a future EMF with primary EU law, national constitutional or s</w:t>
      </w:r>
      <w:r>
        <w:rPr>
          <w:lang w:val="en-US"/>
        </w:rPr>
        <w:t>u</w:t>
      </w:r>
      <w:r>
        <w:rPr>
          <w:lang w:val="en-US"/>
        </w:rPr>
        <w:t xml:space="preserve">preme courts would want guarantees that any new powers granted to a future EMF are not </w:t>
      </w:r>
      <w:r w:rsidRPr="00194731">
        <w:rPr>
          <w:i/>
          <w:lang w:val="en-US"/>
        </w:rPr>
        <w:t>ultra vires</w:t>
      </w:r>
      <w:r>
        <w:rPr>
          <w:lang w:val="en-US"/>
        </w:rPr>
        <w:t xml:space="preserve"> of the EU Treaties. The German Constitutional Court, sp</w:t>
      </w:r>
      <w:r>
        <w:rPr>
          <w:lang w:val="en-US"/>
        </w:rPr>
        <w:t>e</w:t>
      </w:r>
      <w:r>
        <w:rPr>
          <w:lang w:val="en-US"/>
        </w:rPr>
        <w:t>cifically, is likely to need guarantees that such a body not only does not go b</w:t>
      </w:r>
      <w:r>
        <w:rPr>
          <w:lang w:val="en-US"/>
        </w:rPr>
        <w:t>e</w:t>
      </w:r>
      <w:r>
        <w:rPr>
          <w:lang w:val="en-US"/>
        </w:rPr>
        <w:t>yond the EU Treaties, but a specific interpretation of the EU Treaties that is in accordance with Germany’s constitutional identity.</w:t>
      </w:r>
      <w:r w:rsidR="00EE113D">
        <w:rPr>
          <w:rStyle w:val="FootnoteReference"/>
          <w:lang w:val="en-US"/>
        </w:rPr>
        <w:footnoteReference w:id="112"/>
      </w:r>
    </w:p>
    <w:p w14:paraId="4320258D" w14:textId="77777777" w:rsidR="0063219B" w:rsidRDefault="0063219B" w:rsidP="0063219B">
      <w:pPr>
        <w:rPr>
          <w:lang w:val="en-US"/>
        </w:rPr>
      </w:pPr>
    </w:p>
    <w:p w14:paraId="434D579B" w14:textId="4ABD75C8" w:rsidR="0063219B" w:rsidRDefault="0063219B" w:rsidP="0063219B">
      <w:pPr>
        <w:rPr>
          <w:lang w:val="en-US"/>
        </w:rPr>
      </w:pPr>
      <w:r>
        <w:rPr>
          <w:lang w:val="en-US"/>
        </w:rPr>
        <w:t>Ultimately, the creation of the EMF, whether within or without the framework of EU law, would lead to a new entry in a</w:t>
      </w:r>
      <w:r>
        <w:t xml:space="preserve"> long list of challenges brought before the German Constitutional Court that reflect a national discussion and concern r</w:t>
      </w:r>
      <w:r>
        <w:t>e</w:t>
      </w:r>
      <w:r>
        <w:t>garding the changing nature of EMU.</w:t>
      </w:r>
      <w:r w:rsidRPr="00B65A96">
        <w:rPr>
          <w:rStyle w:val="FootnoteReference"/>
        </w:rPr>
        <w:footnoteReference w:id="113"/>
      </w:r>
      <w:r>
        <w:t xml:space="preserve"> More generally, it would lead to a </w:t>
      </w:r>
      <w:r>
        <w:rPr>
          <w:lang w:val="en-US"/>
        </w:rPr>
        <w:t xml:space="preserve">new installment in the ongoing dialogue between the Court of Justice of the EU and national courts—another </w:t>
      </w:r>
      <w:r w:rsidRPr="00351405">
        <w:rPr>
          <w:i/>
          <w:lang w:val="en-US"/>
        </w:rPr>
        <w:t>Pringle</w:t>
      </w:r>
      <w:r w:rsidR="007508D7">
        <w:rPr>
          <w:lang w:val="en-US"/>
        </w:rPr>
        <w:t>,</w:t>
      </w:r>
      <w:r>
        <w:rPr>
          <w:lang w:val="en-US"/>
        </w:rPr>
        <w:t xml:space="preserve"> </w:t>
      </w:r>
      <w:proofErr w:type="spellStart"/>
      <w:r w:rsidRPr="00351405">
        <w:rPr>
          <w:i/>
          <w:lang w:val="en-US"/>
        </w:rPr>
        <w:t>Gauweiler</w:t>
      </w:r>
      <w:proofErr w:type="spellEnd"/>
      <w:r w:rsidR="007508D7">
        <w:rPr>
          <w:i/>
          <w:lang w:val="en-US"/>
        </w:rPr>
        <w:t>,</w:t>
      </w:r>
      <w:r w:rsidR="009A2BF4">
        <w:rPr>
          <w:i/>
          <w:lang w:val="en-US"/>
        </w:rPr>
        <w:t xml:space="preserve"> or Weiss</w:t>
      </w:r>
      <w:r>
        <w:rPr>
          <w:lang w:val="en-US"/>
        </w:rPr>
        <w:t>—on the constitutional a</w:t>
      </w:r>
      <w:r>
        <w:rPr>
          <w:lang w:val="en-US"/>
        </w:rPr>
        <w:t>r</w:t>
      </w:r>
      <w:r>
        <w:rPr>
          <w:lang w:val="en-US"/>
        </w:rPr>
        <w:t xml:space="preserve">chitecture of the EMU and its future. </w:t>
      </w:r>
    </w:p>
    <w:p w14:paraId="0926B6CB" w14:textId="77777777" w:rsidR="0063219B" w:rsidRPr="00F43B4D" w:rsidRDefault="0063219B" w:rsidP="0063219B">
      <w:pPr>
        <w:pStyle w:val="Default"/>
      </w:pPr>
    </w:p>
    <w:p w14:paraId="0CB63663" w14:textId="77777777" w:rsidR="00A82C20" w:rsidRDefault="00A82C20" w:rsidP="00A82C20">
      <w:pPr>
        <w:rPr>
          <w:lang w:val="en-US"/>
        </w:rPr>
      </w:pPr>
    </w:p>
    <w:p w14:paraId="6B3D36C7" w14:textId="0709DC36" w:rsidR="00090E54" w:rsidRDefault="00B30AA2" w:rsidP="00090E54">
      <w:pPr>
        <w:pStyle w:val="Heading1"/>
        <w:rPr>
          <w:lang w:val="en-US"/>
        </w:rPr>
      </w:pPr>
      <w:bookmarkStart w:id="40" w:name="_Toc395952793"/>
      <w:bookmarkStart w:id="41" w:name="_Toc405228156"/>
      <w:r>
        <w:rPr>
          <w:lang w:val="en-US"/>
        </w:rPr>
        <w:lastRenderedPageBreak/>
        <w:t>Judicial C</w:t>
      </w:r>
      <w:r w:rsidR="006211E2">
        <w:rPr>
          <w:lang w:val="en-US"/>
        </w:rPr>
        <w:t>ontrol,</w:t>
      </w:r>
      <w:r w:rsidR="00090E54">
        <w:rPr>
          <w:lang w:val="en-US"/>
        </w:rPr>
        <w:t xml:space="preserve"> </w:t>
      </w:r>
      <w:r>
        <w:rPr>
          <w:lang w:val="en-US"/>
        </w:rPr>
        <w:t>A</w:t>
      </w:r>
      <w:r w:rsidR="00090E54">
        <w:rPr>
          <w:lang w:val="en-US"/>
        </w:rPr>
        <w:t>ccountability</w:t>
      </w:r>
      <w:r>
        <w:rPr>
          <w:lang w:val="en-US"/>
        </w:rPr>
        <w:t xml:space="preserve"> and L</w:t>
      </w:r>
      <w:r w:rsidR="00090E54">
        <w:rPr>
          <w:lang w:val="en-US"/>
        </w:rPr>
        <w:t>egitimacy</w:t>
      </w:r>
      <w:bookmarkEnd w:id="40"/>
      <w:bookmarkEnd w:id="41"/>
    </w:p>
    <w:p w14:paraId="1B4A92EC" w14:textId="77777777" w:rsidR="002F6D65" w:rsidRDefault="002F6D65" w:rsidP="002F6D65"/>
    <w:p w14:paraId="16F33B48" w14:textId="097E3753" w:rsidR="002F6D65" w:rsidRDefault="006211E2" w:rsidP="002F6D65">
      <w:r>
        <w:t>The final set of questions that we will consider refer to judicial control at the EU level, accountability</w:t>
      </w:r>
      <w:r w:rsidR="00657F43">
        <w:t>,</w:t>
      </w:r>
      <w:r>
        <w:t xml:space="preserve"> and legitimacy. In this regard, whether a future EMF is cr</w:t>
      </w:r>
      <w:r>
        <w:t>e</w:t>
      </w:r>
      <w:r>
        <w:t xml:space="preserve">ated with or without the EU framework is of central </w:t>
      </w:r>
      <w:r w:rsidR="003D5A89">
        <w:t>importance</w:t>
      </w:r>
      <w:r>
        <w:t xml:space="preserve">. This section will start by discussing judicial control and the protection of individuals </w:t>
      </w:r>
      <w:r w:rsidR="003D5A89">
        <w:t>in the co</w:t>
      </w:r>
      <w:r w:rsidR="003D5A89">
        <w:t>n</w:t>
      </w:r>
      <w:r w:rsidR="003D5A89">
        <w:t>text of bailouts from the current mechanisms of financial assistance—most not</w:t>
      </w:r>
      <w:r w:rsidR="003D5A89">
        <w:t>a</w:t>
      </w:r>
      <w:r w:rsidR="003D5A89">
        <w:t>bly, the ESM—</w:t>
      </w:r>
      <w:r>
        <w:t xml:space="preserve">and what this may tell us about </w:t>
      </w:r>
      <w:r w:rsidR="003D5A89">
        <w:t>a future</w:t>
      </w:r>
      <w:r>
        <w:t xml:space="preserve"> EMF.</w:t>
      </w:r>
    </w:p>
    <w:p w14:paraId="259BAEAA" w14:textId="77777777" w:rsidR="006211E2" w:rsidRDefault="006211E2" w:rsidP="002F6D65"/>
    <w:p w14:paraId="02E25A10" w14:textId="2778646C" w:rsidR="00DA0CA7" w:rsidRDefault="00DA0CA7" w:rsidP="00DA0CA7">
      <w:r>
        <w:t xml:space="preserve">One of the most significant consequences of </w:t>
      </w:r>
      <w:r w:rsidR="00E41C34">
        <w:t>having created</w:t>
      </w:r>
      <w:r>
        <w:t xml:space="preserve"> the ESM outside the framework of EU law is that it is not, as a matter of course, subject to the jurisdi</w:t>
      </w:r>
      <w:r>
        <w:t>c</w:t>
      </w:r>
      <w:r>
        <w:t xml:space="preserve">tion of the Court of Justice. In </w:t>
      </w:r>
      <w:r w:rsidRPr="00DA0CA7">
        <w:rPr>
          <w:i/>
        </w:rPr>
        <w:t>Pringle</w:t>
      </w:r>
      <w:r>
        <w:t>, the Court of Justice considered that the Member States were not implementing EU law when creating the ESM, which meant that they did not have to comply with the Charter of Fundamental Right</w:t>
      </w:r>
      <w:r w:rsidR="00A017A8">
        <w:t>s, either when creating the ESM</w:t>
      </w:r>
      <w:r>
        <w:t xml:space="preserve"> or</w:t>
      </w:r>
      <w:r w:rsidR="00A017A8">
        <w:t>, presumably,</w:t>
      </w:r>
      <w:r>
        <w:t xml:space="preserve"> when acting in its context</w:t>
      </w:r>
      <w:r w:rsidRPr="006D1C98">
        <w:t>.</w:t>
      </w:r>
      <w:bookmarkStart w:id="42" w:name="note_44"/>
      <w:bookmarkStart w:id="43" w:name="ErrBook44"/>
      <w:r w:rsidRPr="006D1C98">
        <w:rPr>
          <w:rFonts w:eastAsia="Cambria"/>
          <w:vertAlign w:val="superscript"/>
        </w:rPr>
        <w:footnoteReference w:id="114"/>
      </w:r>
      <w:bookmarkEnd w:id="42"/>
      <w:bookmarkEnd w:id="43"/>
      <w:r w:rsidR="00E41C34">
        <w:t xml:space="preserve"> </w:t>
      </w:r>
      <w:r w:rsidR="00A017A8">
        <w:t xml:space="preserve">This left open various questions regarding judicial control of ESM activity. </w:t>
      </w:r>
      <w:r w:rsidRPr="00594C4B">
        <w:t>Specifica</w:t>
      </w:r>
      <w:r w:rsidRPr="00594C4B">
        <w:t>l</w:t>
      </w:r>
      <w:r w:rsidRPr="00594C4B">
        <w:t>ly</w:t>
      </w:r>
      <w:r>
        <w:t>, it remained unclear whether</w:t>
      </w:r>
      <w:r w:rsidR="00E41C34">
        <w:t xml:space="preserve"> an</w:t>
      </w:r>
      <w:r>
        <w:t xml:space="preserve"> agreement</w:t>
      </w:r>
      <w:r w:rsidR="00E41C34">
        <w:t xml:space="preserve"> (Memorandum</w:t>
      </w:r>
      <w:r>
        <w:t xml:space="preserve"> of Understanding</w:t>
      </w:r>
      <w:r w:rsidR="00E41C34">
        <w:t xml:space="preserve"> or MoU</w:t>
      </w:r>
      <w:r>
        <w:t xml:space="preserve">) reached between the Member State in need of assistance and the ESM, as well as its national implementation, would be </w:t>
      </w:r>
      <w:r w:rsidR="00A017A8">
        <w:t xml:space="preserve">considered to fall </w:t>
      </w:r>
      <w:r>
        <w:t>within the scope of EU law and subject to the CJEU’s jurisdiction, and whether the EU inst</w:t>
      </w:r>
      <w:r>
        <w:t>i</w:t>
      </w:r>
      <w:r>
        <w:t xml:space="preserve">tutions involved in the negotiations on behalf of the ESM—the Commission and the ECB—would </w:t>
      </w:r>
      <w:r w:rsidRPr="009140CF">
        <w:t>be subject to EU law, including the EU Charter, and judicial co</w:t>
      </w:r>
      <w:r w:rsidRPr="009140CF">
        <w:t>n</w:t>
      </w:r>
      <w:r w:rsidRPr="009140CF">
        <w:t>trol at the EU level. These are, indeed, questions that had already arisen before the creation of the ESM, as Memoranda of Understanding (MoU) of a similar n</w:t>
      </w:r>
      <w:r w:rsidRPr="009140CF">
        <w:t>a</w:t>
      </w:r>
      <w:r w:rsidRPr="009140CF">
        <w:t>ture were already in use in the framework of previous mechanisms of financial assistance.</w:t>
      </w:r>
    </w:p>
    <w:p w14:paraId="40A5C3DF" w14:textId="77777777" w:rsidR="00DA0CA7" w:rsidRPr="00594C4B" w:rsidRDefault="00DA0CA7" w:rsidP="00DA0CA7"/>
    <w:p w14:paraId="3258145D" w14:textId="77777777" w:rsidR="00DA0CA7" w:rsidRPr="006463F3" w:rsidRDefault="00DA0CA7" w:rsidP="00DA0CA7">
      <w:r>
        <w:t>When dealing with these MoU previously, the Court had always come to the co</w:t>
      </w:r>
      <w:r>
        <w:t>n</w:t>
      </w:r>
      <w:r>
        <w:t xml:space="preserve">clusion that they, and their national implementation, fell outside the scope of EU </w:t>
      </w:r>
      <w:r w:rsidRPr="006D1C98">
        <w:t>law.</w:t>
      </w:r>
      <w:bookmarkStart w:id="45" w:name="_Ref393965798"/>
      <w:r w:rsidRPr="00B65A96">
        <w:rPr>
          <w:rStyle w:val="FootnoteReference"/>
        </w:rPr>
        <w:footnoteReference w:id="115"/>
      </w:r>
      <w:bookmarkEnd w:id="45"/>
      <w:r w:rsidRPr="006D1C98">
        <w:t xml:space="preserve"> The Court therefore declined jurisdiction on several occasions to review </w:t>
      </w:r>
      <w:r w:rsidRPr="006D1C98">
        <w:lastRenderedPageBreak/>
        <w:t>the legality of national measures taken pursuant to an MoU attached to assi</w:t>
      </w:r>
      <w:r w:rsidRPr="006D1C98">
        <w:t>s</w:t>
      </w:r>
      <w:r w:rsidRPr="006D1C98">
        <w:t>tance granted by the EFSF, EFSM, or otherwise.</w:t>
      </w:r>
      <w:r w:rsidRPr="006D1C98">
        <w:rPr>
          <w:vertAlign w:val="superscript"/>
        </w:rPr>
        <w:footnoteReference w:id="116"/>
      </w:r>
      <w:r w:rsidRPr="006D1C98">
        <w:t xml:space="preserve"> The Court claimed the lack of a link to EU law even when there was a Council Decision that implemented the contents of the </w:t>
      </w:r>
      <w:proofErr w:type="spellStart"/>
      <w:r w:rsidRPr="006D1C98">
        <w:t>MoU</w:t>
      </w:r>
      <w:proofErr w:type="spellEnd"/>
      <w:r w:rsidRPr="006D1C98">
        <w:t>.</w:t>
      </w:r>
      <w:bookmarkStart w:id="46" w:name="_Ref269889502"/>
      <w:r w:rsidRPr="006D1C98">
        <w:rPr>
          <w:vertAlign w:val="superscript"/>
        </w:rPr>
        <w:footnoteReference w:id="117"/>
      </w:r>
      <w:bookmarkEnd w:id="46"/>
      <w:r w:rsidRPr="00370CB5">
        <w:t xml:space="preserve"> </w:t>
      </w:r>
      <w:r>
        <w:t xml:space="preserve">  </w:t>
      </w:r>
    </w:p>
    <w:p w14:paraId="7811EFCD" w14:textId="77777777" w:rsidR="00DA0CA7" w:rsidRDefault="00DA0CA7" w:rsidP="00DA0CA7">
      <w:pPr>
        <w:rPr>
          <w:rFonts w:cs="Times New Roman"/>
          <w:highlight w:val="magenta"/>
        </w:rPr>
      </w:pPr>
    </w:p>
    <w:p w14:paraId="5BF315D4" w14:textId="7445AC03" w:rsidR="00A017A8" w:rsidRDefault="00DA0CA7" w:rsidP="00A017A8">
      <w:r w:rsidRPr="009140CF">
        <w:t>The Court did change its approach</w:t>
      </w:r>
      <w:r>
        <w:t xml:space="preserve"> to these matters</w:t>
      </w:r>
      <w:r w:rsidRPr="009140CF">
        <w:t>, however, after the creation of the ESM.</w:t>
      </w:r>
      <w:r>
        <w:t xml:space="preserve"> First, it extended judicial control by clarifying that EU institutions would be subject to review when negotiating on behalf of the ESM (</w:t>
      </w:r>
      <w:proofErr w:type="spellStart"/>
      <w:r w:rsidRPr="003B0953">
        <w:rPr>
          <w:i/>
        </w:rPr>
        <w:t>Ledra</w:t>
      </w:r>
      <w:proofErr w:type="spellEnd"/>
      <w:r w:rsidRPr="003B0953">
        <w:rPr>
          <w:i/>
        </w:rPr>
        <w:t xml:space="preserve"> Adve</w:t>
      </w:r>
      <w:r w:rsidRPr="003B0953">
        <w:rPr>
          <w:i/>
        </w:rPr>
        <w:t>r</w:t>
      </w:r>
      <w:r w:rsidRPr="003B0953">
        <w:rPr>
          <w:i/>
        </w:rPr>
        <w:t>tising</w:t>
      </w:r>
      <w:r>
        <w:rPr>
          <w:i/>
        </w:rPr>
        <w:t xml:space="preserve"> </w:t>
      </w:r>
      <w:r w:rsidRPr="008D5B27">
        <w:t>and</w:t>
      </w:r>
      <w:r>
        <w:rPr>
          <w:i/>
        </w:rPr>
        <w:t xml:space="preserve"> Mallis</w:t>
      </w:r>
      <w:r>
        <w:t>).</w:t>
      </w:r>
      <w:bookmarkStart w:id="49" w:name="_Ref395789914"/>
      <w:r w:rsidRPr="00B65A96">
        <w:rPr>
          <w:rStyle w:val="FootnoteReference"/>
        </w:rPr>
        <w:footnoteReference w:id="118"/>
      </w:r>
      <w:bookmarkEnd w:id="49"/>
      <w:r>
        <w:t xml:space="preserve"> </w:t>
      </w:r>
      <w:r w:rsidR="00A017A8">
        <w:t>As a result of these decisions, individuals are able to cha</w:t>
      </w:r>
      <w:r w:rsidR="00A017A8">
        <w:t>l</w:t>
      </w:r>
      <w:r w:rsidR="00A017A8">
        <w:t xml:space="preserve">lenge the EU institutions’ bailout actions by means of an action for damages (non-contractual liability), but not by means of an annulment action. </w:t>
      </w:r>
      <w:r w:rsidR="00601D2B">
        <w:t>The</w:t>
      </w:r>
      <w:r w:rsidR="00A017A8">
        <w:t xml:space="preserve"> Court </w:t>
      </w:r>
      <w:r w:rsidR="00A017A8">
        <w:lastRenderedPageBreak/>
        <w:t xml:space="preserve">made clear that breaches of at least some Charter provisions within the ESM framework could potentially give rise to damages liability. </w:t>
      </w:r>
    </w:p>
    <w:p w14:paraId="19C955F3" w14:textId="77777777" w:rsidR="00A017A8" w:rsidRDefault="00A017A8" w:rsidP="00DA0CA7"/>
    <w:p w14:paraId="5B1F354F" w14:textId="559FC918" w:rsidR="00A017A8" w:rsidRPr="00A017A8" w:rsidRDefault="00DA0CA7" w:rsidP="00A017A8">
      <w:r>
        <w:t xml:space="preserve">Second, </w:t>
      </w:r>
      <w:r w:rsidR="00A017A8">
        <w:t xml:space="preserve">the Court took another momentous step in </w:t>
      </w:r>
      <w:proofErr w:type="spellStart"/>
      <w:r w:rsidR="00A017A8" w:rsidRPr="00ED564B">
        <w:rPr>
          <w:i/>
        </w:rPr>
        <w:t>Florescu</w:t>
      </w:r>
      <w:proofErr w:type="spellEnd"/>
      <w:r w:rsidR="00A017A8">
        <w:t>,</w:t>
      </w:r>
      <w:r w:rsidR="00A017A8" w:rsidRPr="00B65A96">
        <w:rPr>
          <w:rStyle w:val="FootnoteReference"/>
        </w:rPr>
        <w:footnoteReference w:id="119"/>
      </w:r>
      <w:r w:rsidR="00A017A8">
        <w:t xml:space="preserve"> where it enabled individuals to challenge the validity of—at least some—MoUs. The case co</w:t>
      </w:r>
      <w:r w:rsidR="00A017A8">
        <w:t>n</w:t>
      </w:r>
      <w:r w:rsidR="00A017A8">
        <w:t xml:space="preserve">cerned the legality of a Memorandum of Understanding adopted in the context of Balance-of-Payments assistance to Romania. It should be remembered that the Balance-of-Payments programme was created to provide assistance to non-euro countries pursuant to Art 143 TFEU; it is therefore part of the EU legal order, as opposed to other </w:t>
      </w:r>
      <w:r w:rsidR="005815B5">
        <w:t>mechanisms of financial assistance, namely the</w:t>
      </w:r>
      <w:r w:rsidR="00A017A8">
        <w:t xml:space="preserve"> ESM or the EFSF. In </w:t>
      </w:r>
      <w:proofErr w:type="spellStart"/>
      <w:r w:rsidR="00A017A8" w:rsidRPr="00332BA9">
        <w:rPr>
          <w:i/>
        </w:rPr>
        <w:t>Florescu</w:t>
      </w:r>
      <w:proofErr w:type="spellEnd"/>
      <w:r w:rsidR="00A017A8">
        <w:t xml:space="preserve">, the Court concluded that </w:t>
      </w:r>
      <w:proofErr w:type="gramStart"/>
      <w:r w:rsidR="00A017A8">
        <w:t>an</w:t>
      </w:r>
      <w:proofErr w:type="gramEnd"/>
      <w:r w:rsidR="00A017A8">
        <w:t xml:space="preserve"> MoU adopted within this pr</w:t>
      </w:r>
      <w:r w:rsidR="00A017A8">
        <w:t>o</w:t>
      </w:r>
      <w:r w:rsidR="00A017A8">
        <w:t>gramme, and signed by the Commission, constituted an EU act in the sense of Art 267 TFEU, and was therefore subject to the Court’s powers of interpretation and review. The Court also came to the conclusion that Romania was implementing EU law when adopting measures to give effect to the MoU, and therefore said measures were subject to review for compliance with the Charter of Fundame</w:t>
      </w:r>
      <w:r w:rsidR="00A017A8">
        <w:t>n</w:t>
      </w:r>
      <w:r w:rsidR="00A017A8">
        <w:t xml:space="preserve">tal Rights. </w:t>
      </w:r>
    </w:p>
    <w:p w14:paraId="574CFDC0" w14:textId="77777777" w:rsidR="00A017A8" w:rsidRPr="00594C4B" w:rsidRDefault="00A017A8" w:rsidP="00A017A8"/>
    <w:p w14:paraId="0CA49ACF" w14:textId="20FA6A6F" w:rsidR="005815B5" w:rsidRDefault="00A017A8" w:rsidP="00A017A8">
      <w:pPr>
        <w:rPr>
          <w:lang w:val="en-US"/>
        </w:rPr>
      </w:pPr>
      <w:proofErr w:type="spellStart"/>
      <w:r w:rsidRPr="00807E71">
        <w:rPr>
          <w:i/>
        </w:rPr>
        <w:t>Florescu</w:t>
      </w:r>
      <w:proofErr w:type="spellEnd"/>
      <w:r>
        <w:t xml:space="preserve"> was a very significant turn in the debate on the legal nature of MoUs and the judicial accountability of EU institutions in the context of financial assistance.  It was the first time that the Court considered a MoU (whether adopted within or without the EU legal order) an act of EU law, and the national measures that fo</w:t>
      </w:r>
      <w:r>
        <w:t>l</w:t>
      </w:r>
      <w:r>
        <w:t xml:space="preserve">lowed from it, implementation of EU law. Until </w:t>
      </w:r>
      <w:r w:rsidR="00E87C79">
        <w:t>then</w:t>
      </w:r>
      <w:r>
        <w:t>, applicants in similar cases had to either find a different, secondary act of EU law to challenge (whether d</w:t>
      </w:r>
      <w:r>
        <w:t>i</w:t>
      </w:r>
      <w:r>
        <w:t xml:space="preserve">rectly or indirectly), or resort to an action of damages, as seen above in </w:t>
      </w:r>
      <w:proofErr w:type="spellStart"/>
      <w:r w:rsidRPr="0073390C">
        <w:rPr>
          <w:i/>
        </w:rPr>
        <w:t>Ledra</w:t>
      </w:r>
      <w:proofErr w:type="spellEnd"/>
      <w:r>
        <w:t>.</w:t>
      </w:r>
      <w:r w:rsidRPr="00B65A96">
        <w:rPr>
          <w:rStyle w:val="FootnoteReference"/>
        </w:rPr>
        <w:footnoteReference w:id="120"/>
      </w:r>
      <w:r>
        <w:t xml:space="preserve"> A degree of uncertainty remained, however, regarding the scope of this ruling: </w:t>
      </w:r>
      <w:proofErr w:type="spellStart"/>
      <w:r w:rsidRPr="00807E71">
        <w:rPr>
          <w:i/>
        </w:rPr>
        <w:t>Florescu</w:t>
      </w:r>
      <w:proofErr w:type="spellEnd"/>
      <w:r>
        <w:t xml:space="preserve"> concerned a MoU adopted within a Balance-of-Payments programme and thus within the EU legal order, and the question was whether the same pri</w:t>
      </w:r>
      <w:r>
        <w:t>n</w:t>
      </w:r>
      <w:r>
        <w:t xml:space="preserve">ciples would apply in the context of other financial assistance programmes. </w:t>
      </w:r>
      <w:r w:rsidR="005815B5" w:rsidRPr="005815B5">
        <w:rPr>
          <w:lang w:val="en-US"/>
        </w:rPr>
        <w:t xml:space="preserve">Since </w:t>
      </w:r>
      <w:r w:rsidR="005815B5" w:rsidRPr="005815B5">
        <w:rPr>
          <w:lang w:val="en-US"/>
        </w:rPr>
        <w:lastRenderedPageBreak/>
        <w:t>then, the Court had occasion to consider national measures adopted in the co</w:t>
      </w:r>
      <w:r w:rsidR="005815B5" w:rsidRPr="005815B5">
        <w:rPr>
          <w:lang w:val="en-US"/>
        </w:rPr>
        <w:t>n</w:t>
      </w:r>
      <w:r w:rsidR="005815B5" w:rsidRPr="005815B5">
        <w:rPr>
          <w:lang w:val="en-US"/>
        </w:rPr>
        <w:t xml:space="preserve">text of other EU financial assistance </w:t>
      </w:r>
      <w:proofErr w:type="spellStart"/>
      <w:r w:rsidR="005815B5" w:rsidRPr="005815B5">
        <w:rPr>
          <w:lang w:val="en-US"/>
        </w:rPr>
        <w:t>programmes</w:t>
      </w:r>
      <w:proofErr w:type="spellEnd"/>
      <w:r w:rsidR="005815B5" w:rsidRPr="005815B5">
        <w:rPr>
          <w:lang w:val="en-US"/>
        </w:rPr>
        <w:t xml:space="preserve"> (EFSM, in conjunction with i</w:t>
      </w:r>
      <w:r w:rsidR="005815B5" w:rsidRPr="005815B5">
        <w:rPr>
          <w:lang w:val="en-US"/>
        </w:rPr>
        <w:t>n</w:t>
      </w:r>
      <w:r w:rsidR="005815B5" w:rsidRPr="005815B5">
        <w:rPr>
          <w:lang w:val="en-US"/>
        </w:rPr>
        <w:t xml:space="preserve">tergovernmental funds) in the </w:t>
      </w:r>
      <w:r w:rsidR="005815B5" w:rsidRPr="005815B5">
        <w:rPr>
          <w:i/>
          <w:iCs/>
          <w:lang w:val="en-US"/>
        </w:rPr>
        <w:t>Portuguese judges</w:t>
      </w:r>
      <w:r w:rsidR="005815B5" w:rsidRPr="005815B5">
        <w:rPr>
          <w:lang w:val="en-US"/>
        </w:rPr>
        <w:t xml:space="preserve"> case.</w:t>
      </w:r>
      <w:r w:rsidR="005815B5" w:rsidRPr="00B65A96">
        <w:rPr>
          <w:rStyle w:val="FootnoteReference"/>
        </w:rPr>
        <w:footnoteReference w:id="121"/>
      </w:r>
      <w:r w:rsidR="005815B5" w:rsidRPr="005815B5">
        <w:rPr>
          <w:lang w:val="en-US"/>
        </w:rPr>
        <w:t xml:space="preserve"> The case concerned sa</w:t>
      </w:r>
      <w:r w:rsidR="005815B5" w:rsidRPr="005815B5">
        <w:rPr>
          <w:lang w:val="en-US"/>
        </w:rPr>
        <w:t>l</w:t>
      </w:r>
      <w:r w:rsidR="005815B5" w:rsidRPr="005815B5">
        <w:rPr>
          <w:lang w:val="en-US"/>
        </w:rPr>
        <w:t>ary reduction of judges, which was framed as a potential threat to judicial ind</w:t>
      </w:r>
      <w:r w:rsidR="005815B5" w:rsidRPr="005815B5">
        <w:rPr>
          <w:lang w:val="en-US"/>
        </w:rPr>
        <w:t>e</w:t>
      </w:r>
      <w:r w:rsidR="005815B5" w:rsidRPr="005815B5">
        <w:rPr>
          <w:lang w:val="en-US"/>
        </w:rPr>
        <w:t>pendence. Surprisingly, however, the Court chose not to consider whether the national measures could be considered national implementation of EU law for the purposes of falling within the scope of the Charter of Fundamental Rights (rather, the Court considered that the matter of ensuring judges’ independence fell within t</w:t>
      </w:r>
      <w:r w:rsidR="005815B5">
        <w:rPr>
          <w:lang w:val="en-US"/>
        </w:rPr>
        <w:t xml:space="preserve">he scope of Article 19(1) TEU, </w:t>
      </w:r>
      <w:r w:rsidR="005815B5" w:rsidRPr="005815B5">
        <w:rPr>
          <w:lang w:val="en-US"/>
        </w:rPr>
        <w:t xml:space="preserve">regardless of the nature of the national measures at stake, and whether or not they could be considered within the scope of EU law for the purpose of applying the Charter). In any case, </w:t>
      </w:r>
      <w:r w:rsidR="005815B5" w:rsidRPr="005815B5">
        <w:rPr>
          <w:i/>
          <w:iCs/>
          <w:lang w:val="en-US"/>
        </w:rPr>
        <w:t>Portuguese judges</w:t>
      </w:r>
      <w:r w:rsidR="005815B5" w:rsidRPr="005815B5">
        <w:rPr>
          <w:lang w:val="en-US"/>
        </w:rPr>
        <w:t xml:space="preserve"> failed to clarify the outer boundaries of </w:t>
      </w:r>
      <w:proofErr w:type="spellStart"/>
      <w:r w:rsidR="005815B5" w:rsidRPr="005815B5">
        <w:rPr>
          <w:i/>
          <w:iCs/>
          <w:lang w:val="en-US"/>
        </w:rPr>
        <w:t>Florescu</w:t>
      </w:r>
      <w:proofErr w:type="spellEnd"/>
      <w:r w:rsidR="005815B5" w:rsidRPr="005815B5">
        <w:rPr>
          <w:lang w:val="en-US"/>
        </w:rPr>
        <w:t xml:space="preserve"> when it comes to application of the Charter of Fundamental Rights to national measures linked to European f</w:t>
      </w:r>
      <w:r w:rsidR="005815B5" w:rsidRPr="005815B5">
        <w:rPr>
          <w:lang w:val="en-US"/>
        </w:rPr>
        <w:t>i</w:t>
      </w:r>
      <w:r w:rsidR="005815B5" w:rsidRPr="005815B5">
        <w:rPr>
          <w:lang w:val="en-US"/>
        </w:rPr>
        <w:t xml:space="preserve">nancial assistance </w:t>
      </w:r>
      <w:proofErr w:type="spellStart"/>
      <w:r w:rsidR="005815B5" w:rsidRPr="005815B5">
        <w:rPr>
          <w:lang w:val="en-US"/>
        </w:rPr>
        <w:t>programmes</w:t>
      </w:r>
      <w:proofErr w:type="spellEnd"/>
      <w:r w:rsidR="005815B5" w:rsidRPr="005815B5">
        <w:rPr>
          <w:lang w:val="en-US"/>
        </w:rPr>
        <w:t xml:space="preserve">. While it seems logical that the </w:t>
      </w:r>
      <w:proofErr w:type="spellStart"/>
      <w:r w:rsidR="005815B5" w:rsidRPr="005815B5">
        <w:rPr>
          <w:i/>
          <w:iCs/>
          <w:lang w:val="en-US"/>
        </w:rPr>
        <w:t>Florescu</w:t>
      </w:r>
      <w:proofErr w:type="spellEnd"/>
      <w:r w:rsidR="005815B5" w:rsidRPr="005815B5">
        <w:rPr>
          <w:lang w:val="en-US"/>
        </w:rPr>
        <w:t xml:space="preserve"> approach should extend to national measures adopted in the context of EU financial assi</w:t>
      </w:r>
      <w:r w:rsidR="005815B5" w:rsidRPr="005815B5">
        <w:rPr>
          <w:lang w:val="en-US"/>
        </w:rPr>
        <w:t>s</w:t>
      </w:r>
      <w:r w:rsidR="005815B5" w:rsidRPr="005815B5">
        <w:rPr>
          <w:lang w:val="en-US"/>
        </w:rPr>
        <w:t xml:space="preserve">tance </w:t>
      </w:r>
      <w:proofErr w:type="spellStart"/>
      <w:r w:rsidR="005815B5" w:rsidRPr="005815B5">
        <w:rPr>
          <w:lang w:val="en-US"/>
        </w:rPr>
        <w:t>programmes</w:t>
      </w:r>
      <w:proofErr w:type="spellEnd"/>
      <w:r w:rsidR="005815B5" w:rsidRPr="005815B5">
        <w:rPr>
          <w:lang w:val="en-US"/>
        </w:rPr>
        <w:t xml:space="preserve">, it is doubtful that the Court will adopt the same approach to </w:t>
      </w:r>
      <w:proofErr w:type="spellStart"/>
      <w:r w:rsidR="005815B5" w:rsidRPr="005815B5">
        <w:rPr>
          <w:lang w:val="en-US"/>
        </w:rPr>
        <w:t>MoUs</w:t>
      </w:r>
      <w:proofErr w:type="spellEnd"/>
      <w:r w:rsidR="005815B5" w:rsidRPr="005815B5">
        <w:rPr>
          <w:lang w:val="en-US"/>
        </w:rPr>
        <w:t xml:space="preserve"> adopted outside the EU legal order, i.e. in the context of ESM or EFSF assi</w:t>
      </w:r>
      <w:r w:rsidR="005815B5" w:rsidRPr="005815B5">
        <w:rPr>
          <w:lang w:val="en-US"/>
        </w:rPr>
        <w:t>s</w:t>
      </w:r>
      <w:r w:rsidR="005815B5" w:rsidRPr="005815B5">
        <w:rPr>
          <w:lang w:val="en-US"/>
        </w:rPr>
        <w:t xml:space="preserve">tance. In these cases, applicants hoping for an application of the Charter are still likely to have to challenge an act of secondary EU law that is somehow linked to the </w:t>
      </w:r>
      <w:proofErr w:type="spellStart"/>
      <w:r w:rsidR="005815B5" w:rsidRPr="005815B5">
        <w:rPr>
          <w:lang w:val="en-US"/>
        </w:rPr>
        <w:t>MoU</w:t>
      </w:r>
      <w:proofErr w:type="spellEnd"/>
      <w:r w:rsidR="005815B5" w:rsidRPr="005815B5">
        <w:rPr>
          <w:lang w:val="en-US"/>
        </w:rPr>
        <w:t>,</w:t>
      </w:r>
      <w:r w:rsidR="005815B5" w:rsidRPr="00B65A96">
        <w:rPr>
          <w:rStyle w:val="FootnoteReference"/>
        </w:rPr>
        <w:footnoteReference w:id="122"/>
      </w:r>
      <w:r w:rsidR="005815B5">
        <w:t xml:space="preserve"> </w:t>
      </w:r>
      <w:r w:rsidR="005815B5" w:rsidRPr="005815B5">
        <w:rPr>
          <w:lang w:val="en-US"/>
        </w:rPr>
        <w:t xml:space="preserve">or to use the action for damages, as seen in </w:t>
      </w:r>
      <w:proofErr w:type="spellStart"/>
      <w:r w:rsidR="005815B5" w:rsidRPr="005815B5">
        <w:rPr>
          <w:i/>
          <w:iCs/>
          <w:lang w:val="en-US"/>
        </w:rPr>
        <w:t>Ledra</w:t>
      </w:r>
      <w:proofErr w:type="spellEnd"/>
      <w:r w:rsidR="005815B5">
        <w:rPr>
          <w:lang w:val="en-US"/>
        </w:rPr>
        <w:t>.</w:t>
      </w:r>
      <w:r w:rsidR="005815B5" w:rsidRPr="00B65A96">
        <w:rPr>
          <w:rStyle w:val="FootnoteReference"/>
        </w:rPr>
        <w:footnoteReference w:id="123"/>
      </w:r>
    </w:p>
    <w:p w14:paraId="27D912BE" w14:textId="77777777" w:rsidR="00601D2B" w:rsidRDefault="00601D2B" w:rsidP="00A017A8"/>
    <w:p w14:paraId="53901FC2" w14:textId="794229DD" w:rsidR="00A017A8" w:rsidRDefault="003D5A89" w:rsidP="00DA0CA7">
      <w:r>
        <w:rPr>
          <w:rStyle w:val="outputecliaff"/>
        </w:rPr>
        <w:t>This discussion is relevant to the design of a future EMF because it tells us to what extent the acts of such a body would be subject to judicial control at the EU level, depending on whether it is created within or without the framework</w:t>
      </w:r>
      <w:r w:rsidR="00601D2B">
        <w:rPr>
          <w:rStyle w:val="outputecliaff"/>
        </w:rPr>
        <w:t xml:space="preserve"> of EU law. The operations of an intergovernmental EMF, like those of the</w:t>
      </w:r>
      <w:r>
        <w:rPr>
          <w:rStyle w:val="outputecliaff"/>
        </w:rPr>
        <w:t xml:space="preserve"> ESM before it, would be largely outside the scope of the Court’</w:t>
      </w:r>
      <w:r w:rsidR="00601D2B">
        <w:rPr>
          <w:rStyle w:val="outputecliaff"/>
        </w:rPr>
        <w:t xml:space="preserve">s jurisdiction; the only exception would be that the actions of the Union institutions involved in the negotiation of Memoranda of Understanding could give rise to the Union’s liability in damages. While this development is a step in the right direction, </w:t>
      </w:r>
      <w:r w:rsidR="00601D2B">
        <w:t xml:space="preserve">many would argue that it </w:t>
      </w:r>
      <w:r w:rsidR="00601D2B">
        <w:lastRenderedPageBreak/>
        <w:t>does not go far enough, given the high threshold necessary for any applicant to be awarded damages.</w:t>
      </w:r>
      <w:r w:rsidR="00601D2B" w:rsidRPr="00B65A96">
        <w:rPr>
          <w:rStyle w:val="FootnoteReference"/>
        </w:rPr>
        <w:footnoteReference w:id="124"/>
      </w:r>
    </w:p>
    <w:p w14:paraId="75190059" w14:textId="77777777" w:rsidR="00601D2B" w:rsidRDefault="00601D2B" w:rsidP="00DA0CA7"/>
    <w:p w14:paraId="5B2F46CC" w14:textId="371EDE5C" w:rsidR="00601D2B" w:rsidRDefault="00601D2B" w:rsidP="00DA0CA7">
      <w:r>
        <w:t>If the EMF were, however, created within the scope of EU law, then its actions would be subject to the Court’s jurisdiction. We have seen above that Memora</w:t>
      </w:r>
      <w:r>
        <w:t>n</w:t>
      </w:r>
      <w:r>
        <w:t>da of Understanding adopted in the context of EU programmes of financial assi</w:t>
      </w:r>
      <w:r>
        <w:t>s</w:t>
      </w:r>
      <w:r>
        <w:t>tance constitute an EU act in the sense of Art 267 TFEU, and are therefore subject to the Court’s powers of interpretation and review. EMF decisions, in general, would be subject to the Court’s powers as well, as would any Council decisions endorsing them. While judicial review would likely be pitched a low level of i</w:t>
      </w:r>
      <w:r>
        <w:t>n</w:t>
      </w:r>
      <w:r>
        <w:t>tensity, the extension of the Court’s jurisdiction would be an improvement over the curr</w:t>
      </w:r>
      <w:r w:rsidR="00C27ED1">
        <w:t xml:space="preserve">ent fragmented state of affairs, both in terms of coherence and of judicial protection, </w:t>
      </w:r>
      <w:r>
        <w:t>and a desirable consequence o</w:t>
      </w:r>
      <w:r w:rsidR="00C27ED1">
        <w:t>f opting for the EU path when creating the EMF.</w:t>
      </w:r>
    </w:p>
    <w:p w14:paraId="5567A05B" w14:textId="77777777" w:rsidR="00A017A8" w:rsidRDefault="00A017A8" w:rsidP="00DA0CA7"/>
    <w:p w14:paraId="2741EA27" w14:textId="6E1C6937" w:rsidR="0007338A" w:rsidRDefault="00C27ED1" w:rsidP="00DA0CA7">
      <w:r>
        <w:t>The Commission has also tried to apply this argument more broadly, claiming that creating the EMF within the framework of EU law would also be an i</w:t>
      </w:r>
      <w:r>
        <w:t>m</w:t>
      </w:r>
      <w:r>
        <w:t xml:space="preserve">provement in terms of accountability and democratic legitimacy.  While this </w:t>
      </w:r>
      <w:r w:rsidR="000A3146">
        <w:t>would</w:t>
      </w:r>
      <w:r>
        <w:t xml:space="preserve"> be the case, the improvement would be less marked than in matters of j</w:t>
      </w:r>
      <w:r>
        <w:t>u</w:t>
      </w:r>
      <w:r>
        <w:t xml:space="preserve">dicial control. As we have seen above, the accountability arrangements set out in the Commission proposal, while </w:t>
      </w:r>
      <w:r w:rsidR="000A3146">
        <w:t xml:space="preserve">standard for an EU body of these </w:t>
      </w:r>
      <w:r>
        <w:t xml:space="preserve">characteristics, </w:t>
      </w:r>
      <w:r w:rsidR="000A3146">
        <w:t>are still quite limited.</w:t>
      </w:r>
      <w:r w:rsidR="0007338A">
        <w:t xml:space="preserve"> T</w:t>
      </w:r>
      <w:r w:rsidR="000A3146">
        <w:t>he EMF would have various reporting duties over and b</w:t>
      </w:r>
      <w:r w:rsidR="000A3146">
        <w:t>e</w:t>
      </w:r>
      <w:r w:rsidR="000A3146">
        <w:t>yond those of the ESM</w:t>
      </w:r>
      <w:r w:rsidR="0007338A">
        <w:t>,</w:t>
      </w:r>
      <w:r w:rsidR="000A3146">
        <w:t xml:space="preserve"> and transparency requirements would be strengt</w:t>
      </w:r>
      <w:r w:rsidR="000A3146">
        <w:t>h</w:t>
      </w:r>
      <w:r w:rsidR="000A3146">
        <w:t>ened.</w:t>
      </w:r>
      <w:r w:rsidR="000A3146" w:rsidRPr="00B65A96">
        <w:rPr>
          <w:rStyle w:val="FootnoteReference"/>
        </w:rPr>
        <w:footnoteReference w:id="125"/>
      </w:r>
      <w:r w:rsidR="0007338A">
        <w:t xml:space="preserve"> The </w:t>
      </w:r>
      <w:r w:rsidR="00117616">
        <w:t>Commission states that the</w:t>
      </w:r>
      <w:r w:rsidR="0007338A">
        <w:t xml:space="preserve"> role of national parliaments would be </w:t>
      </w:r>
      <w:r w:rsidR="0007338A">
        <w:lastRenderedPageBreak/>
        <w:t>preserved, and that of the European Parliament enhanced.</w:t>
      </w:r>
      <w:r w:rsidR="009E4D67" w:rsidRPr="00B65A96">
        <w:rPr>
          <w:rStyle w:val="FootnoteReference"/>
        </w:rPr>
        <w:footnoteReference w:id="126"/>
      </w:r>
      <w:r w:rsidR="0007338A">
        <w:t xml:space="preserve"> </w:t>
      </w:r>
      <w:r w:rsidR="00BE2FDB">
        <w:t xml:space="preserve">While limited—and not </w:t>
      </w:r>
      <w:r w:rsidR="007A4C77">
        <w:t>aimed at addressing</w:t>
      </w:r>
      <w:r w:rsidR="00BE2FDB">
        <w:t xml:space="preserve"> broader problems </w:t>
      </w:r>
      <w:r w:rsidR="007A4C77">
        <w:t>that have to do with the unsettled n</w:t>
      </w:r>
      <w:r w:rsidR="007A4C77">
        <w:t>a</w:t>
      </w:r>
      <w:r w:rsidR="007A4C77">
        <w:t>ture of decision-making</w:t>
      </w:r>
      <w:r w:rsidR="00DC76FC">
        <w:t>, expertise</w:t>
      </w:r>
      <w:r w:rsidR="007A4C77">
        <w:t xml:space="preserve"> and democracy in the context of EMU</w:t>
      </w:r>
      <w:r w:rsidR="00BE2FDB">
        <w:t xml:space="preserve">—these </w:t>
      </w:r>
      <w:r w:rsidR="0007338A">
        <w:t>additions are doubtlessly improvements over the current ESM arrangements</w:t>
      </w:r>
      <w:r w:rsidR="00BE2FDB">
        <w:t>,</w:t>
      </w:r>
      <w:r w:rsidR="0007338A" w:rsidRPr="00B65A96">
        <w:rPr>
          <w:rStyle w:val="FootnoteReference"/>
        </w:rPr>
        <w:footnoteReference w:id="127"/>
      </w:r>
      <w:r w:rsidR="00BE2FDB">
        <w:t xml:space="preserve"> and would </w:t>
      </w:r>
      <w:r w:rsidR="007A4C77">
        <w:t>bring some progress</w:t>
      </w:r>
      <w:r w:rsidR="00BE2FDB">
        <w:t xml:space="preserve"> in terms of coherence and, to a lesser degree, democrati</w:t>
      </w:r>
      <w:r w:rsidR="009B257F">
        <w:t>c legitimacy and accountability,</w:t>
      </w:r>
      <w:r w:rsidR="00A148A8" w:rsidRPr="00B65A96">
        <w:rPr>
          <w:rStyle w:val="FootnoteReference"/>
        </w:rPr>
        <w:footnoteReference w:id="128"/>
      </w:r>
      <w:r w:rsidR="009B257F">
        <w:t xml:space="preserve"> in line with Articles 9-12 TEU.</w:t>
      </w:r>
    </w:p>
    <w:p w14:paraId="4655D0D9" w14:textId="77777777" w:rsidR="008D5748" w:rsidRDefault="008D5748" w:rsidP="008D5748">
      <w:pPr>
        <w:rPr>
          <w:lang w:val="en-US"/>
        </w:rPr>
      </w:pPr>
    </w:p>
    <w:p w14:paraId="208035B7" w14:textId="3B62E230" w:rsidR="00090E54" w:rsidRDefault="00FD5525" w:rsidP="00FD5525">
      <w:pPr>
        <w:pStyle w:val="Heading1"/>
      </w:pPr>
      <w:bookmarkStart w:id="50" w:name="_Toc395952794"/>
      <w:bookmarkStart w:id="51" w:name="_Toc405228157"/>
      <w:r>
        <w:t>Final Remarks</w:t>
      </w:r>
      <w:bookmarkEnd w:id="50"/>
      <w:bookmarkEnd w:id="51"/>
    </w:p>
    <w:p w14:paraId="27F11828" w14:textId="615C6195" w:rsidR="0018053F" w:rsidRDefault="0018053F" w:rsidP="0018053F">
      <w:r>
        <w:t>There seems to be a general agreement that it would be desirable to expand the powers of the current ESM, and there are various proposals for the creation of a so-called European Monetary Fund in its place. Yet the various proposals that have been put forward share precious little common ground. Indeed, t</w:t>
      </w:r>
      <w:r w:rsidRPr="00BA3F41">
        <w:t xml:space="preserve">here are two fundamental disagreements underlying </w:t>
      </w:r>
      <w:r>
        <w:t>all</w:t>
      </w:r>
      <w:r w:rsidRPr="00BA3F41">
        <w:t xml:space="preserve"> proposals</w:t>
      </w:r>
      <w:r>
        <w:t xml:space="preserve"> and discussion co</w:t>
      </w:r>
      <w:r>
        <w:t>n</w:t>
      </w:r>
      <w:r>
        <w:lastRenderedPageBreak/>
        <w:t>cerning a hypothetical EMF</w:t>
      </w:r>
      <w:r w:rsidR="00871059">
        <w:t xml:space="preserve"> (or, indeed, a substantially reformed ESM)</w:t>
      </w:r>
      <w:r w:rsidRPr="00BA3F41">
        <w:t xml:space="preserve">: </w:t>
      </w:r>
      <w:r>
        <w:t xml:space="preserve">about </w:t>
      </w:r>
      <w:r w:rsidRPr="00BA3F41">
        <w:t xml:space="preserve">what powers </w:t>
      </w:r>
      <w:r w:rsidR="00871059">
        <w:t>this body</w:t>
      </w:r>
      <w:r>
        <w:t xml:space="preserve"> </w:t>
      </w:r>
      <w:r w:rsidRPr="00BA3F41">
        <w:t xml:space="preserve">should </w:t>
      </w:r>
      <w:r>
        <w:t>have</w:t>
      </w:r>
      <w:r w:rsidRPr="00BA3F41">
        <w:t xml:space="preserve">, and </w:t>
      </w:r>
      <w:r>
        <w:t xml:space="preserve">about what </w:t>
      </w:r>
      <w:r w:rsidRPr="00BA3F41">
        <w:t xml:space="preserve">its </w:t>
      </w:r>
      <w:r>
        <w:t>institutional setting should be—i.e. whether it should remain intergovernmental in nature and ou</w:t>
      </w:r>
      <w:r>
        <w:t>t</w:t>
      </w:r>
      <w:r>
        <w:t>side the EU legal system, like the</w:t>
      </w:r>
      <w:r w:rsidR="00871059">
        <w:t xml:space="preserve"> current</w:t>
      </w:r>
      <w:r>
        <w:t xml:space="preserve"> </w:t>
      </w:r>
      <w:r w:rsidR="00871059">
        <w:t>ESM</w:t>
      </w:r>
      <w:r>
        <w:t xml:space="preserve">. </w:t>
      </w:r>
    </w:p>
    <w:p w14:paraId="7BF5DD85" w14:textId="77777777" w:rsidR="009B32D7" w:rsidRDefault="009B32D7" w:rsidP="0018053F"/>
    <w:p w14:paraId="7BF6CCFF" w14:textId="3018687F" w:rsidR="0018053F" w:rsidRDefault="0018053F" w:rsidP="00471F61">
      <w:pPr>
        <w:ind w:firstLine="720"/>
      </w:pPr>
      <w:r>
        <w:t>These two questions are, of course, closely connected. The intergover</w:t>
      </w:r>
      <w:r>
        <w:t>n</w:t>
      </w:r>
      <w:r>
        <w:t xml:space="preserve">mental approach </w:t>
      </w:r>
      <w:r w:rsidR="00A12F1D">
        <w:t>has often come together</w:t>
      </w:r>
      <w:r>
        <w:t xml:space="preserve"> with a wish to have the EMF be an e</w:t>
      </w:r>
      <w:r>
        <w:t>n</w:t>
      </w:r>
      <w:r>
        <w:t>forcer of fiscal rules and discipline, while the supranational approach (repr</w:t>
      </w:r>
      <w:r>
        <w:t>e</w:t>
      </w:r>
      <w:r>
        <w:t>sented in the debate by the Commission) comes together with a wish to enlarge the policy-making powers of the EMF and increase risk-sharing within the euro area. The intergovernmental approach is concerned with keeping control at the national level, both in terms of EMF decision-making but also in terms of EMU integration, more generally; there is a long-standing emphasis on rule-based i</w:t>
      </w:r>
      <w:r>
        <w:t>n</w:t>
      </w:r>
      <w:r>
        <w:t>tegration as opposed to allowing for more policy-making, discretion and risk-sharing at EU level. Within this camp, there is not only a continuing emphasis on rules, but also a mistrust of the Commission as a neutral and effective enforcer of those rules; hence the insistence on having the EMF enforce fiscal discipline from a position outside the EU legal framework.</w:t>
      </w:r>
    </w:p>
    <w:p w14:paraId="224021DE" w14:textId="77777777" w:rsidR="009B32D7" w:rsidRDefault="009B32D7" w:rsidP="00471F61">
      <w:pPr>
        <w:ind w:firstLine="720"/>
      </w:pPr>
    </w:p>
    <w:p w14:paraId="5375DC21" w14:textId="2E461FA2" w:rsidR="0018053F" w:rsidRDefault="005536B1" w:rsidP="00471F61">
      <w:pPr>
        <w:ind w:firstLine="720"/>
      </w:pPr>
      <w:r>
        <w:t>By contrast</w:t>
      </w:r>
      <w:r w:rsidR="0018053F">
        <w:t>, the Commission’s supranational approach is more open to taking control away from governments and wielding it through EU institutions, granting those institutions more policy-making powers and discretion. It is also, unsurprisingly, more concerned about the coherence of the EU legal system and its institutional balance, and does not consider it necessary—or, one would a</w:t>
      </w:r>
      <w:r w:rsidR="0018053F">
        <w:t>s</w:t>
      </w:r>
      <w:r w:rsidR="0018053F">
        <w:t xml:space="preserve">sume, even feasible—to give up part of its role as an enforcer of fiscal discipline and economic coordination to an out-of-the-EU actor. </w:t>
      </w:r>
    </w:p>
    <w:p w14:paraId="11600084" w14:textId="77777777" w:rsidR="009B32D7" w:rsidRDefault="009B32D7" w:rsidP="00471F61">
      <w:pPr>
        <w:ind w:firstLine="720"/>
      </w:pPr>
    </w:p>
    <w:p w14:paraId="43FD2EB7" w14:textId="77777777" w:rsidR="0018053F" w:rsidRDefault="0018053F" w:rsidP="00471F61">
      <w:pPr>
        <w:ind w:firstLine="720"/>
      </w:pPr>
      <w:r>
        <w:t>Ultimately, the disagreement on the nature and powers of the future EMF are yet another iteration of an on-going disagreement regarding the nature of EMU and its democratic credentials. The intergovernmental approach stems from an understanding that EMU needs to work primarily on the basis of rules that are enforced centrally and automatically, without the need to exercise di</w:t>
      </w:r>
      <w:r>
        <w:t>s</w:t>
      </w:r>
      <w:r>
        <w:t xml:space="preserve">cretion at EU level. Anything else, the argument goes, would require a pooling of </w:t>
      </w:r>
      <w:r>
        <w:lastRenderedPageBreak/>
        <w:t>sovereignty and of democratic legitimacy at the EU level that is not yet there and for which the conditions are not yet right, in the short to medium term. The s</w:t>
      </w:r>
      <w:r>
        <w:t>u</w:t>
      </w:r>
      <w:r>
        <w:t>pranational approach, on the contrary, relies on an understanding that EMU needs to evolve, and it needs to do so by strengthening EU institutions and gran</w:t>
      </w:r>
      <w:r>
        <w:t>t</w:t>
      </w:r>
      <w:r>
        <w:t>ing them further policy-making powers and discretion; the belief in this camp is that the EMU institutional framework enjoys—or can enjoy, after discreet r</w:t>
      </w:r>
      <w:r>
        <w:t>e</w:t>
      </w:r>
      <w:r>
        <w:t xml:space="preserve">forms—sufficient democratic legitimacy to justify this transfer of powers from the Member States to the centre. </w:t>
      </w:r>
    </w:p>
    <w:p w14:paraId="2B008AA4" w14:textId="77777777" w:rsidR="009B32D7" w:rsidRDefault="009B32D7" w:rsidP="00471F61">
      <w:pPr>
        <w:ind w:firstLine="720"/>
      </w:pPr>
    </w:p>
    <w:p w14:paraId="0F1A8747" w14:textId="0A4A3572" w:rsidR="0018053F" w:rsidRDefault="00333354" w:rsidP="00260B4D">
      <w:r>
        <w:t>This fundamental disagreement has seen the Commission’s proposal for a supr</w:t>
      </w:r>
      <w:r>
        <w:t>a</w:t>
      </w:r>
      <w:r>
        <w:t>national EMF stall; the calls for an intergovernmental EMF with far-reaching preventive powers have not been successful either. So far, only a very cautious and partial reform of the current ESM—amounting to a limited extension of its powers, without any changes to its institutional setting—has been agreed.</w:t>
      </w:r>
      <w:r>
        <w:rPr>
          <w:rStyle w:val="FootnoteReference"/>
        </w:rPr>
        <w:footnoteReference w:id="129"/>
      </w:r>
      <w:r>
        <w:t xml:space="preserve"> There is no neat resolution in sight: this is a fundamental disagreement on the limits of integration within the euro area, the nature of democracy, and, more broadly, on the future role of the Union and its Member States. What we have seen, so far, is an on-going process of discussion and accommodation, both in the political and judicial arenas. Deciding on the nature and powers of a future EMF </w:t>
      </w:r>
      <w:r w:rsidR="00DF7754">
        <w:t>or a substantially reformed ESM</w:t>
      </w:r>
      <w:r>
        <w:t xml:space="preserve"> will be another chapter in this process of const</w:t>
      </w:r>
      <w:r>
        <w:t>i</w:t>
      </w:r>
      <w:r>
        <w:t>tutional transformation.</w:t>
      </w:r>
      <w:r w:rsidRPr="00B65A96">
        <w:rPr>
          <w:rStyle w:val="FootnoteReference"/>
        </w:rPr>
        <w:footnoteReference w:id="130"/>
      </w:r>
      <w:r>
        <w:t xml:space="preserve"> </w:t>
      </w:r>
    </w:p>
    <w:p w14:paraId="4ED38261" w14:textId="77777777" w:rsidR="009B32D7" w:rsidRDefault="009B32D7" w:rsidP="00471F61">
      <w:pPr>
        <w:ind w:firstLine="720"/>
      </w:pPr>
    </w:p>
    <w:p w14:paraId="165C2753" w14:textId="182CC449" w:rsidR="0018053F" w:rsidRDefault="0018053F" w:rsidP="00471F61">
      <w:pPr>
        <w:ind w:firstLine="720"/>
      </w:pPr>
      <w:r>
        <w:t>In that regard, and given that specific proposals on the topic are a moving target, this article has aimed to sketch the broad constitutional framework wit</w:t>
      </w:r>
      <w:r>
        <w:t>h</w:t>
      </w:r>
      <w:r>
        <w:t xml:space="preserve">in which political actors may, eventually, reach a compromise. The discussion has focused on selected legal matters with which any eventual agreement on </w:t>
      </w:r>
      <w:r w:rsidR="00177DC8">
        <w:t xml:space="preserve">an </w:t>
      </w:r>
      <w:r>
        <w:t>EMF will have to contend, namely questions of competence; requirements i</w:t>
      </w:r>
      <w:r>
        <w:t>m</w:t>
      </w:r>
      <w:r>
        <w:t>posed by national constitutional law; and questions of judicial protection, a</w:t>
      </w:r>
      <w:r>
        <w:t>c</w:t>
      </w:r>
      <w:r>
        <w:t>countability, and democratic legitimacy. In this way, the paper has identified ce</w:t>
      </w:r>
      <w:r>
        <w:t>r</w:t>
      </w:r>
      <w:r>
        <w:t>tain crucial constraints imposed on any future EMF</w:t>
      </w:r>
      <w:r w:rsidR="00177DC8">
        <w:t xml:space="preserve">, or substantially reformed </w:t>
      </w:r>
      <w:r w:rsidR="00177DC8">
        <w:lastRenderedPageBreak/>
        <w:t xml:space="preserve">ESM, </w:t>
      </w:r>
      <w:r>
        <w:t xml:space="preserve">by both EU and national law. It is within these parameters that policy choices on the future powers of </w:t>
      </w:r>
      <w:r w:rsidR="00177DC8">
        <w:t>such a body</w:t>
      </w:r>
      <w:r>
        <w:t xml:space="preserve"> will need to be made; choices that are intrinsically connected to one’s view on what aspects of EMU are lacking, and could be addressed in part by a future EMF</w:t>
      </w:r>
      <w:r w:rsidR="00177DC8">
        <w:t xml:space="preserve"> or substantially reformed ESM</w:t>
      </w:r>
      <w:r>
        <w:t>. As we have seen, some might think that EMU needs to enforce and centralize fiscal di</w:t>
      </w:r>
      <w:r>
        <w:t>s</w:t>
      </w:r>
      <w:r>
        <w:t>cipline and surveillance further, and thus hope for a preventive role for the EMF. On the contrary, others are of the opinion that EMU needs more risk sharing and, ultimately, a fiscal capacity, and may hope for a future EMF to acquire and use tools of macroeconomic stabilisation.</w:t>
      </w:r>
      <w:r w:rsidRPr="00B65A96">
        <w:rPr>
          <w:rStyle w:val="FootnoteReference"/>
        </w:rPr>
        <w:footnoteReference w:id="131"/>
      </w:r>
      <w:r>
        <w:t xml:space="preserve"> </w:t>
      </w:r>
    </w:p>
    <w:p w14:paraId="365DB118" w14:textId="77777777" w:rsidR="009B32D7" w:rsidRDefault="009B32D7" w:rsidP="00471F61">
      <w:pPr>
        <w:ind w:firstLine="720"/>
      </w:pPr>
    </w:p>
    <w:p w14:paraId="5FDA79EF" w14:textId="0872F0BA" w:rsidR="0018053F" w:rsidRDefault="0018053F" w:rsidP="00471F61">
      <w:pPr>
        <w:ind w:firstLine="720"/>
      </w:pPr>
      <w:r>
        <w:t>On the one hand, this paper has identified clear limits on the role that a body such as the EMF—whether created as an intergovernmental or EU body—could have when it comes to fiscal discipline; these limits arise from the EU Tre</w:t>
      </w:r>
      <w:r>
        <w:t>a</w:t>
      </w:r>
      <w:r>
        <w:t>ties and the competences already granted to the EU in this area, as well as from requirements imposed by national constitutional courts in order to preserve n</w:t>
      </w:r>
      <w:r>
        <w:t>a</w:t>
      </w:r>
      <w:r>
        <w:t>tional parliaments’ national budgetary powers. On the other hand, the paper has established that new powers of macroeconomic stabilisation would be also li</w:t>
      </w:r>
      <w:r>
        <w:t>m</w:t>
      </w:r>
      <w:r>
        <w:t>ited, to a different degree, by EU primary law—especially the no bailout rule—and national constitutional courts’ concerns about open-ended financial co</w:t>
      </w:r>
      <w:r>
        <w:t>m</w:t>
      </w:r>
      <w:r>
        <w:t>mitments, democracy and, ultimately, the upholding of the state’s core. While these concerns are significant, they would allow for a particular kind of tools of macroeconomic stabilisation—most importantly, with attached conditionality, and subject, in some cases, to specific national parliamentary approval. It seems less problematic, both from the point of view of EU and national law, for the EMF to acquire a greater role in other areas, such as the negotiation and design of conditionality program</w:t>
      </w:r>
      <w:r w:rsidR="009B32D7">
        <w:t>mes, or as a backstop to the SRF</w:t>
      </w:r>
      <w:r w:rsidR="00560238">
        <w:t>.</w:t>
      </w:r>
    </w:p>
    <w:p w14:paraId="435FB3A5" w14:textId="77777777" w:rsidR="009B32D7" w:rsidRDefault="009B32D7" w:rsidP="00471F61">
      <w:pPr>
        <w:ind w:firstLine="720"/>
      </w:pPr>
    </w:p>
    <w:p w14:paraId="0AEB030D" w14:textId="77777777" w:rsidR="0018053F" w:rsidRDefault="0018053F" w:rsidP="00471F61">
      <w:pPr>
        <w:ind w:firstLine="720"/>
      </w:pPr>
      <w:r>
        <w:t xml:space="preserve">In terms of institutional arrangements, the picture is a mixed one: both an intergovernmental and an EU version of the EMF would be subject to important </w:t>
      </w:r>
      <w:r>
        <w:lastRenderedPageBreak/>
        <w:t xml:space="preserve">limitations. The intergovernmental version would offer little improvement in terms of judicial protection, accountability, and overall coherence of EMU; there are well-known drawbacks to </w:t>
      </w:r>
      <w:proofErr w:type="spellStart"/>
      <w:r>
        <w:t>intergovernmentalism</w:t>
      </w:r>
      <w:proofErr w:type="spellEnd"/>
      <w:r>
        <w:t xml:space="preserve"> in these areas. On the other hand, the supranational approach championed by the Commission would bring substantial progress in terms of coherence and judicial protection, but in the a</w:t>
      </w:r>
      <w:r>
        <w:t>b</w:t>
      </w:r>
      <w:r>
        <w:t>sence of Treaty reform, the powers that could be wielded by a future EMF based on Article 352 TFEU would be limited by virtue of EU law and national constit</w:t>
      </w:r>
      <w:r>
        <w:t>u</w:t>
      </w:r>
      <w:r>
        <w:t xml:space="preserve">tional law. Moreover, the Commission’s proposal to extend reinforced qualified majority voting as the means for the EMF Board of Directors to adopt decisions to grant financial assistance would be likely considered problematic by at least some national constitutional courts. </w:t>
      </w:r>
    </w:p>
    <w:p w14:paraId="2B0C77C6" w14:textId="77777777" w:rsidR="009B32D7" w:rsidRDefault="009B32D7" w:rsidP="00471F61">
      <w:pPr>
        <w:ind w:firstLine="720"/>
      </w:pPr>
    </w:p>
    <w:p w14:paraId="2F63C426" w14:textId="533849FD" w:rsidR="00792972" w:rsidRPr="00FD5525" w:rsidRDefault="0018053F" w:rsidP="00424CFA">
      <w:pPr>
        <w:ind w:firstLine="720"/>
      </w:pPr>
      <w:r>
        <w:t>On the whole, it would seem preferable, from a constitutional and legal perspective, to create the EMF within the EU legal order, as part of a well thought-out and broader Treaty reform. This, of course, may not be in the cards for a long time, due to the long-standing and fundamental disagreement on the purpose and limits of EMU that we discussed earlier. In the meantime, while this disagreement plays out,</w:t>
      </w:r>
      <w:r w:rsidR="00560238">
        <w:t xml:space="preserve"> the ESM is set to undergo very limited partial reforms and EMU, more generally,</w:t>
      </w:r>
      <w:r>
        <w:t xml:space="preserve"> will likely continue to muddle through, in the way we have become accustomed to since the onset of the euro area sovereign debt cr</w:t>
      </w:r>
      <w:r>
        <w:t>i</w:t>
      </w:r>
      <w:r>
        <w:t xml:space="preserve">sis. </w:t>
      </w:r>
    </w:p>
    <w:sectPr w:rsidR="00792972" w:rsidRPr="00FD5525" w:rsidSect="00B43FCA">
      <w:headerReference w:type="even" r:id="rId9"/>
      <w:headerReference w:type="default" r:id="rId10"/>
      <w:footerReference w:type="even" r:id="rId11"/>
      <w:footerReference w:type="default" r:id="rId12"/>
      <w:headerReference w:type="first" r:id="rId13"/>
      <w:footerReference w:type="first" r:id="rId14"/>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30C2D7" w14:textId="77777777" w:rsidR="00746868" w:rsidRDefault="00746868" w:rsidP="00B247AD">
      <w:r>
        <w:separator/>
      </w:r>
    </w:p>
  </w:endnote>
  <w:endnote w:type="continuationSeparator" w:id="0">
    <w:p w14:paraId="26417EEB" w14:textId="77777777" w:rsidR="00746868" w:rsidRDefault="00746868" w:rsidP="00B247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Courier">
    <w:panose1 w:val="02000500000000000000"/>
    <w:charset w:val="00"/>
    <w:family w:val="auto"/>
    <w:pitch w:val="variable"/>
    <w:sig w:usb0="00000003" w:usb1="00000000" w:usb2="00000000" w:usb3="00000000" w:csb0="00000001" w:csb1="00000000"/>
  </w:font>
  <w:font w:name="Janson Text LT Std">
    <w:altName w:val="Cambria"/>
    <w:panose1 w:val="00000000000000000000"/>
    <w:charset w:val="4D"/>
    <w:family w:val="roman"/>
    <w:notTrueType/>
    <w:pitch w:val="default"/>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6CB2ED" w14:textId="77777777" w:rsidR="00746868" w:rsidRDefault="00746868" w:rsidP="007764E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32534EF" w14:textId="77777777" w:rsidR="00746868" w:rsidRDefault="00746868" w:rsidP="007764E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6FC0D3" w14:textId="77777777" w:rsidR="00746868" w:rsidRDefault="00746868" w:rsidP="007764E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10752">
      <w:rPr>
        <w:rStyle w:val="PageNumber"/>
        <w:noProof/>
      </w:rPr>
      <w:t>1</w:t>
    </w:r>
    <w:r>
      <w:rPr>
        <w:rStyle w:val="PageNumber"/>
      </w:rPr>
      <w:fldChar w:fldCharType="end"/>
    </w:r>
  </w:p>
  <w:p w14:paraId="6D5D2560" w14:textId="77777777" w:rsidR="00746868" w:rsidRDefault="00746868" w:rsidP="007764EB">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373BB0" w14:textId="77777777" w:rsidR="00746868" w:rsidRDefault="0074686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8D8209" w14:textId="77777777" w:rsidR="00746868" w:rsidRDefault="00746868" w:rsidP="00B247AD">
      <w:r>
        <w:separator/>
      </w:r>
    </w:p>
  </w:footnote>
  <w:footnote w:type="continuationSeparator" w:id="0">
    <w:p w14:paraId="74142F01" w14:textId="77777777" w:rsidR="00746868" w:rsidRDefault="00746868" w:rsidP="00B247AD">
      <w:r>
        <w:continuationSeparator/>
      </w:r>
    </w:p>
  </w:footnote>
  <w:footnote w:id="1">
    <w:p w14:paraId="086A1BC1" w14:textId="77777777" w:rsidR="00746868" w:rsidRPr="00D90A49" w:rsidRDefault="00746868" w:rsidP="00D90A49">
      <w:pPr>
        <w:pStyle w:val="FootnoteText"/>
        <w:rPr>
          <w:lang w:val="en-US"/>
        </w:rPr>
      </w:pPr>
      <w:r>
        <w:rPr>
          <w:rStyle w:val="FootnoteReference"/>
        </w:rPr>
        <w:t>*</w:t>
      </w:r>
      <w:r>
        <w:t xml:space="preserve"> </w:t>
      </w:r>
      <w:proofErr w:type="gramStart"/>
      <w:r w:rsidRPr="00D90A49">
        <w:rPr>
          <w:lang w:val="en-US"/>
        </w:rPr>
        <w:t>Faculty of Law, University of Cambridge.</w:t>
      </w:r>
      <w:proofErr w:type="gramEnd"/>
      <w:r w:rsidRPr="00D90A49">
        <w:rPr>
          <w:lang w:val="en-US"/>
        </w:rPr>
        <w:t xml:space="preserve"> This paper was written with the support of the E</w:t>
      </w:r>
      <w:r w:rsidRPr="00D90A49">
        <w:rPr>
          <w:lang w:val="en-US"/>
        </w:rPr>
        <w:t>u</w:t>
      </w:r>
      <w:r w:rsidRPr="00D90A49">
        <w:rPr>
          <w:lang w:val="en-US"/>
        </w:rPr>
        <w:t xml:space="preserve">ropean Central Bank, under the framework of its Legal Research </w:t>
      </w:r>
      <w:proofErr w:type="spellStart"/>
      <w:r w:rsidRPr="00D90A49">
        <w:rPr>
          <w:lang w:val="en-US"/>
        </w:rPr>
        <w:t>Programme</w:t>
      </w:r>
      <w:proofErr w:type="spellEnd"/>
      <w:r w:rsidRPr="00D90A49">
        <w:rPr>
          <w:lang w:val="en-US"/>
        </w:rPr>
        <w:t xml:space="preserve"> 2018. I am grateful for valuable comments and discussion in that forum; all errors remain my own.</w:t>
      </w:r>
    </w:p>
    <w:p w14:paraId="408005CB" w14:textId="46ECE595" w:rsidR="00746868" w:rsidRPr="00D90A49" w:rsidRDefault="00746868">
      <w:pPr>
        <w:pStyle w:val="FootnoteText"/>
        <w:rPr>
          <w:lang w:val="en-US"/>
        </w:rPr>
      </w:pPr>
    </w:p>
  </w:footnote>
  <w:footnote w:id="2">
    <w:p w14:paraId="0909FC7B" w14:textId="438E571B"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European Council Decision 2011/199/EU amending Article 136 of the TFEU with regard to a stability mechanism for Member States whose currency is the euro [2011] L 91/1. The amen</w:t>
      </w:r>
      <w:r w:rsidRPr="00AE2E4D">
        <w:rPr>
          <w:rStyle w:val="FootnoteReference"/>
          <w:rFonts w:asciiTheme="minorHAnsi" w:hAnsiTheme="minorHAnsi"/>
          <w:vertAlign w:val="baseline"/>
        </w:rPr>
        <w:t>d</w:t>
      </w:r>
      <w:r w:rsidRPr="00AE2E4D">
        <w:rPr>
          <w:rStyle w:val="FootnoteReference"/>
          <w:rFonts w:asciiTheme="minorHAnsi" w:hAnsiTheme="minorHAnsi"/>
          <w:vertAlign w:val="baseline"/>
        </w:rPr>
        <w:t xml:space="preserve">ment </w:t>
      </w:r>
      <w:proofErr w:type="gramStart"/>
      <w:r w:rsidRPr="00AE2E4D">
        <w:rPr>
          <w:rFonts w:asciiTheme="minorHAnsi" w:hAnsiTheme="minorHAnsi"/>
        </w:rPr>
        <w:t>entered</w:t>
      </w:r>
      <w:proofErr w:type="gramEnd"/>
      <w:r w:rsidRPr="00AE2E4D">
        <w:rPr>
          <w:rStyle w:val="FootnoteReference"/>
          <w:rFonts w:asciiTheme="minorHAnsi" w:hAnsiTheme="minorHAnsi"/>
          <w:vertAlign w:val="baseline"/>
        </w:rPr>
        <w:t xml:space="preserve"> into force in May 2013</w:t>
      </w:r>
      <w:r>
        <w:rPr>
          <w:rFonts w:asciiTheme="minorHAnsi" w:hAnsiTheme="minorHAnsi"/>
        </w:rPr>
        <w:t xml:space="preserve"> and was based on</w:t>
      </w:r>
      <w:r w:rsidRPr="00AE2E4D">
        <w:rPr>
          <w:rStyle w:val="FootnoteReference"/>
          <w:rFonts w:asciiTheme="minorHAnsi" w:hAnsiTheme="minorHAnsi"/>
          <w:vertAlign w:val="baseline"/>
        </w:rPr>
        <w:t xml:space="preserve"> Art 48(6) TEU, which provides for a si</w:t>
      </w:r>
      <w:r w:rsidRPr="00AE2E4D">
        <w:rPr>
          <w:rStyle w:val="FootnoteReference"/>
          <w:rFonts w:asciiTheme="minorHAnsi" w:hAnsiTheme="minorHAnsi"/>
          <w:vertAlign w:val="baseline"/>
        </w:rPr>
        <w:t>m</w:t>
      </w:r>
      <w:r w:rsidRPr="00AE2E4D">
        <w:rPr>
          <w:rStyle w:val="FootnoteReference"/>
          <w:rFonts w:asciiTheme="minorHAnsi" w:hAnsiTheme="minorHAnsi"/>
          <w:vertAlign w:val="baseline"/>
        </w:rPr>
        <w:t>plified Treaty amendment procedure</w:t>
      </w:r>
      <w:r>
        <w:rPr>
          <w:rStyle w:val="FootnoteReference"/>
          <w:rFonts w:asciiTheme="minorHAnsi" w:hAnsiTheme="minorHAnsi"/>
          <w:vertAlign w:val="baseline"/>
        </w:rPr>
        <w:t>.</w:t>
      </w:r>
      <w:r w:rsidRPr="00AE2E4D">
        <w:rPr>
          <w:rStyle w:val="FootnoteReference"/>
          <w:rFonts w:asciiTheme="minorHAnsi" w:hAnsiTheme="minorHAnsi"/>
          <w:vertAlign w:val="baseline"/>
        </w:rPr>
        <w:t xml:space="preserve"> For an overview of the mechanism and the resulting changes: B De Witte, ‘The European Treaty Amendment for the Creation of a Financial Stability Mechanism’ SIEPS, European Policy Analysis 6 (2011) 1; House of Lords, European Union Co</w:t>
      </w:r>
      <w:r w:rsidRPr="00AE2E4D">
        <w:rPr>
          <w:rStyle w:val="FootnoteReference"/>
          <w:rFonts w:asciiTheme="minorHAnsi" w:hAnsiTheme="minorHAnsi"/>
          <w:vertAlign w:val="baseline"/>
        </w:rPr>
        <w:t>m</w:t>
      </w:r>
      <w:r w:rsidRPr="00AE2E4D">
        <w:rPr>
          <w:rStyle w:val="FootnoteReference"/>
          <w:rFonts w:asciiTheme="minorHAnsi" w:hAnsiTheme="minorHAnsi"/>
          <w:vertAlign w:val="baseline"/>
        </w:rPr>
        <w:t xml:space="preserve">mittee, Amending Article 136 of the TFEU (10th Report of Session 2010–12, HL Paper 110). </w:t>
      </w:r>
    </w:p>
  </w:footnote>
  <w:footnote w:id="3">
    <w:p w14:paraId="69939B34" w14:textId="326E1C62"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Several challenges at the national level delayed the entry into force of the ESM Treaty until 27 September 2012 for 16 signatories to the Treaty, and a few days later for Estonia. Since Oct</w:t>
      </w:r>
      <w:r w:rsidRPr="00AE2E4D">
        <w:rPr>
          <w:rStyle w:val="FootnoteReference"/>
          <w:rFonts w:asciiTheme="minorHAnsi" w:hAnsiTheme="minorHAnsi"/>
          <w:vertAlign w:val="baseline"/>
        </w:rPr>
        <w:t>o</w:t>
      </w:r>
      <w:r w:rsidRPr="00AE2E4D">
        <w:rPr>
          <w:rStyle w:val="FootnoteReference"/>
          <w:rFonts w:asciiTheme="minorHAnsi" w:hAnsiTheme="minorHAnsi"/>
          <w:vertAlign w:val="baseline"/>
        </w:rPr>
        <w:t xml:space="preserve">ber 2012, the ESM is the main instrument to finance new programmes of financial assistance. </w:t>
      </w:r>
    </w:p>
  </w:footnote>
  <w:footnote w:id="4">
    <w:p w14:paraId="20B7CD3A" w14:textId="474D9D1E"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There is no single definition of </w:t>
      </w:r>
      <w:proofErr w:type="spellStart"/>
      <w:r w:rsidRPr="00AE2E4D">
        <w:rPr>
          <w:rStyle w:val="FootnoteReference"/>
          <w:rFonts w:asciiTheme="minorHAnsi" w:hAnsiTheme="minorHAnsi"/>
          <w:vertAlign w:val="baseline"/>
        </w:rPr>
        <w:t>intergovernmentalism</w:t>
      </w:r>
      <w:proofErr w:type="spellEnd"/>
      <w:r w:rsidRPr="00AE2E4D">
        <w:rPr>
          <w:rStyle w:val="FootnoteReference"/>
          <w:rFonts w:asciiTheme="minorHAnsi" w:hAnsiTheme="minorHAnsi"/>
          <w:vertAlign w:val="baseline"/>
        </w:rPr>
        <w:t xml:space="preserve"> in law, but the label is commonly used to refer to a kind of decision-making where there is a predominance of the executive, and that lacks some or all of the features of </w:t>
      </w:r>
      <w:proofErr w:type="spellStart"/>
      <w:r w:rsidRPr="00AE2E4D">
        <w:rPr>
          <w:rStyle w:val="FootnoteReference"/>
          <w:rFonts w:asciiTheme="minorHAnsi" w:hAnsiTheme="minorHAnsi"/>
          <w:vertAlign w:val="baseline"/>
        </w:rPr>
        <w:t>supranationalism</w:t>
      </w:r>
      <w:proofErr w:type="spellEnd"/>
      <w:r w:rsidRPr="00AE2E4D">
        <w:rPr>
          <w:rStyle w:val="FootnoteReference"/>
          <w:rFonts w:asciiTheme="minorHAnsi" w:hAnsiTheme="minorHAnsi"/>
          <w:vertAlign w:val="baseline"/>
        </w:rPr>
        <w:t xml:space="preserve"> or the Community method: in its purest form, decisions are adopted by the Member States by unanimity and without the involvement of supranational institutions. As regards the use of the term in law: P Craig, ‘Integration, Democracy and Legitimacy’ in P Craig and G De </w:t>
      </w:r>
      <w:proofErr w:type="spellStart"/>
      <w:r w:rsidRPr="00AE2E4D">
        <w:rPr>
          <w:rStyle w:val="FootnoteReference"/>
          <w:rFonts w:asciiTheme="minorHAnsi" w:hAnsiTheme="minorHAnsi"/>
          <w:vertAlign w:val="baseline"/>
        </w:rPr>
        <w:t>Búrca</w:t>
      </w:r>
      <w:proofErr w:type="spellEnd"/>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eds</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The Evolution of EU Law</w:t>
      </w:r>
      <w:r w:rsidRPr="00AE2E4D">
        <w:rPr>
          <w:rStyle w:val="FootnoteReference"/>
          <w:rFonts w:asciiTheme="minorHAnsi" w:hAnsiTheme="minorHAnsi"/>
          <w:vertAlign w:val="baseline"/>
        </w:rPr>
        <w:t xml:space="preserve"> (2nd </w:t>
      </w:r>
      <w:proofErr w:type="spellStart"/>
      <w:r w:rsidRPr="00AE2E4D">
        <w:rPr>
          <w:rStyle w:val="FootnoteReference"/>
          <w:rFonts w:asciiTheme="minorHAnsi" w:hAnsiTheme="minorHAnsi"/>
          <w:vertAlign w:val="baseline"/>
        </w:rPr>
        <w:t>edn</w:t>
      </w:r>
      <w:proofErr w:type="spellEnd"/>
      <w:r w:rsidRPr="00AE2E4D">
        <w:rPr>
          <w:rStyle w:val="FootnoteReference"/>
          <w:rFonts w:asciiTheme="minorHAnsi" w:hAnsiTheme="minorHAnsi"/>
          <w:vertAlign w:val="baseline"/>
        </w:rPr>
        <w:t xml:space="preserve">, OUP 2011), 32-33; see also D </w:t>
      </w:r>
      <w:proofErr w:type="spellStart"/>
      <w:r w:rsidRPr="00AE2E4D">
        <w:rPr>
          <w:rStyle w:val="FootnoteReference"/>
          <w:rFonts w:asciiTheme="minorHAnsi" w:hAnsiTheme="minorHAnsi"/>
          <w:vertAlign w:val="baseline"/>
        </w:rPr>
        <w:t>Thym</w:t>
      </w:r>
      <w:proofErr w:type="spellEnd"/>
      <w:r w:rsidRPr="00AE2E4D">
        <w:rPr>
          <w:rStyle w:val="FootnoteReference"/>
          <w:rFonts w:asciiTheme="minorHAnsi" w:hAnsiTheme="minorHAnsi"/>
          <w:vertAlign w:val="baseline"/>
        </w:rPr>
        <w:t xml:space="preserve">, ‘The Intergovernmental Constitution of the EU's Foreign, Security and Defence Executive’ (2011) 7 </w:t>
      </w:r>
      <w:proofErr w:type="spellStart"/>
      <w:r w:rsidRPr="00AE2E4D">
        <w:rPr>
          <w:rStyle w:val="FootnoteReference"/>
          <w:rFonts w:asciiTheme="minorHAnsi" w:hAnsiTheme="minorHAnsi"/>
          <w:vertAlign w:val="baseline"/>
        </w:rPr>
        <w:t>Eur</w:t>
      </w:r>
      <w:proofErr w:type="spellEnd"/>
      <w:r w:rsidRPr="00AE2E4D">
        <w:rPr>
          <w:rStyle w:val="FootnoteReference"/>
          <w:rFonts w:asciiTheme="minorHAnsi" w:hAnsiTheme="minorHAnsi"/>
          <w:vertAlign w:val="baseline"/>
        </w:rPr>
        <w:t xml:space="preserve"> Constitutional L Rev 453, 466. As regards the use of the term in political science: </w:t>
      </w:r>
      <w:r w:rsidRPr="00AE2E4D">
        <w:rPr>
          <w:rFonts w:asciiTheme="minorHAnsi" w:hAnsiTheme="minorHAnsi"/>
          <w:noProof/>
        </w:rPr>
        <w:t>C Bickerton, D Hodson and U Pue ‘The New Intergovernmentalism: European Integration in the Post-Maastricht Era’ (2014) 53 J of Common Market Studies 703</w:t>
      </w:r>
      <w:r w:rsidRPr="00AE2E4D">
        <w:rPr>
          <w:rStyle w:val="FootnoteReference"/>
          <w:rFonts w:asciiTheme="minorHAnsi" w:hAnsiTheme="minorHAnsi"/>
          <w:vertAlign w:val="baseline"/>
        </w:rPr>
        <w:t xml:space="preserve">, 3 and ff. On </w:t>
      </w:r>
      <w:proofErr w:type="spellStart"/>
      <w:r w:rsidRPr="00AE2E4D">
        <w:rPr>
          <w:rStyle w:val="FootnoteReference"/>
          <w:rFonts w:asciiTheme="minorHAnsi" w:hAnsiTheme="minorHAnsi"/>
          <w:vertAlign w:val="baseline"/>
        </w:rPr>
        <w:t>intergovernmentalism</w:t>
      </w:r>
      <w:proofErr w:type="spellEnd"/>
      <w:r w:rsidRPr="00AE2E4D">
        <w:rPr>
          <w:rStyle w:val="FootnoteReference"/>
          <w:rFonts w:asciiTheme="minorHAnsi" w:hAnsiTheme="minorHAnsi"/>
          <w:vertAlign w:val="baseline"/>
        </w:rPr>
        <w:t xml:space="preserve"> in the wake of the euro area crisis, see also A </w:t>
      </w:r>
      <w:proofErr w:type="spellStart"/>
      <w:r w:rsidRPr="00AE2E4D">
        <w:rPr>
          <w:rStyle w:val="FootnoteReference"/>
          <w:rFonts w:asciiTheme="minorHAnsi" w:hAnsiTheme="minorHAnsi"/>
          <w:vertAlign w:val="baseline"/>
        </w:rPr>
        <w:t>Hinarejos</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The Euro Area Crisis in Constitutional Perspective</w:t>
      </w:r>
      <w:r w:rsidRPr="00AE2E4D">
        <w:rPr>
          <w:rStyle w:val="FootnoteReference"/>
          <w:rFonts w:asciiTheme="minorHAnsi" w:hAnsiTheme="minorHAnsi"/>
          <w:vertAlign w:val="baseline"/>
        </w:rPr>
        <w:t xml:space="preserve"> (OUP Oxford 2015) </w:t>
      </w:r>
      <w:proofErr w:type="spellStart"/>
      <w:r w:rsidRPr="00AE2E4D">
        <w:rPr>
          <w:rStyle w:val="FootnoteReference"/>
          <w:rFonts w:asciiTheme="minorHAnsi" w:hAnsiTheme="minorHAnsi"/>
          <w:vertAlign w:val="baseline"/>
        </w:rPr>
        <w:t>Ch</w:t>
      </w:r>
      <w:proofErr w:type="spellEnd"/>
      <w:r w:rsidRPr="00AE2E4D">
        <w:rPr>
          <w:rStyle w:val="FootnoteReference"/>
          <w:rFonts w:asciiTheme="minorHAnsi" w:hAnsiTheme="minorHAnsi"/>
          <w:vertAlign w:val="baseline"/>
        </w:rPr>
        <w:t xml:space="preserve"> 6, with further references.</w:t>
      </w:r>
    </w:p>
  </w:footnote>
  <w:footnote w:id="5">
    <w:p w14:paraId="33DED3AC" w14:textId="5014696E"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S Peers, ‘Towards a New Form of EU Law?: The Use of EU Institutions outside the EU Legal Framework’ (2013) 9 </w:t>
      </w:r>
      <w:proofErr w:type="spellStart"/>
      <w:r w:rsidRPr="00AE2E4D">
        <w:rPr>
          <w:rStyle w:val="FootnoteReference"/>
          <w:rFonts w:asciiTheme="minorHAnsi" w:hAnsiTheme="minorHAnsi"/>
          <w:vertAlign w:val="baseline"/>
        </w:rPr>
        <w:t>Eur</w:t>
      </w:r>
      <w:proofErr w:type="spellEnd"/>
      <w:r w:rsidRPr="00AE2E4D">
        <w:rPr>
          <w:rStyle w:val="FootnoteReference"/>
          <w:rFonts w:asciiTheme="minorHAnsi" w:hAnsiTheme="minorHAnsi"/>
          <w:vertAlign w:val="baseline"/>
        </w:rPr>
        <w:t xml:space="preserve"> Constitutional L Rev 37.</w:t>
      </w:r>
      <w:r w:rsidRPr="00AE2E4D">
        <w:rPr>
          <w:rFonts w:asciiTheme="minorHAnsi" w:hAnsiTheme="minorHAnsi"/>
        </w:rPr>
        <w:t xml:space="preserve"> On </w:t>
      </w:r>
      <w:proofErr w:type="spellStart"/>
      <w:r w:rsidRPr="00AE2E4D">
        <w:rPr>
          <w:rFonts w:asciiTheme="minorHAnsi" w:hAnsiTheme="minorHAnsi"/>
        </w:rPr>
        <w:t>intergovernmentalism</w:t>
      </w:r>
      <w:proofErr w:type="spellEnd"/>
      <w:r w:rsidRPr="00AE2E4D">
        <w:rPr>
          <w:rFonts w:asciiTheme="minorHAnsi" w:hAnsiTheme="minorHAnsi"/>
        </w:rPr>
        <w:t xml:space="preserve"> in the wake of the euro area crisis in general: </w:t>
      </w:r>
      <w:r w:rsidRPr="00AE2E4D">
        <w:rPr>
          <w:rStyle w:val="FootnoteReference"/>
          <w:rFonts w:asciiTheme="minorHAnsi" w:hAnsiTheme="minorHAnsi"/>
          <w:vertAlign w:val="baseline"/>
        </w:rPr>
        <w:t xml:space="preserve">A </w:t>
      </w:r>
      <w:proofErr w:type="spellStart"/>
      <w:r w:rsidRPr="00AE2E4D">
        <w:rPr>
          <w:rStyle w:val="FootnoteReference"/>
          <w:rFonts w:asciiTheme="minorHAnsi" w:hAnsiTheme="minorHAnsi"/>
          <w:vertAlign w:val="baseline"/>
        </w:rPr>
        <w:t>Hinarejos</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 xml:space="preserve">The Euro Area Crisis in Constitutional Perspective </w:t>
      </w:r>
      <w:r w:rsidRPr="00AE2E4D">
        <w:rPr>
          <w:rStyle w:val="FootnoteReference"/>
          <w:rFonts w:asciiTheme="minorHAnsi" w:hAnsiTheme="minorHAnsi"/>
          <w:vertAlign w:val="baseline"/>
        </w:rPr>
        <w:t xml:space="preserve">(OUP Oxford 2015) </w:t>
      </w:r>
      <w:proofErr w:type="spellStart"/>
      <w:r w:rsidRPr="00AE2E4D">
        <w:rPr>
          <w:rStyle w:val="FootnoteReference"/>
          <w:rFonts w:asciiTheme="minorHAnsi" w:hAnsiTheme="minorHAnsi"/>
          <w:vertAlign w:val="baseline"/>
        </w:rPr>
        <w:t>Ch</w:t>
      </w:r>
      <w:proofErr w:type="spellEnd"/>
      <w:r w:rsidRPr="00AE2E4D">
        <w:rPr>
          <w:rStyle w:val="FootnoteReference"/>
          <w:rFonts w:asciiTheme="minorHAnsi" w:hAnsiTheme="minorHAnsi"/>
          <w:vertAlign w:val="baseline"/>
        </w:rPr>
        <w:t xml:space="preserve"> 6, with further references</w:t>
      </w:r>
      <w:r w:rsidRPr="00AE2E4D">
        <w:rPr>
          <w:rFonts w:asciiTheme="minorHAnsi" w:hAnsiTheme="minorHAnsi"/>
        </w:rPr>
        <w:t>.</w:t>
      </w:r>
    </w:p>
  </w:footnote>
  <w:footnote w:id="6">
    <w:p w14:paraId="5B426AEB" w14:textId="576455B9"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D Curtin, ‘Challenging Executive Dominance in European Democracy’ Amsterdam Law School Legal Studies Research Paper No 2013-77, 6-7 and, more broadly, P </w:t>
      </w:r>
      <w:proofErr w:type="spellStart"/>
      <w:r w:rsidRPr="00AE2E4D">
        <w:rPr>
          <w:rStyle w:val="FootnoteReference"/>
          <w:rFonts w:asciiTheme="minorHAnsi" w:hAnsiTheme="minorHAnsi"/>
          <w:vertAlign w:val="baseline"/>
        </w:rPr>
        <w:t>Lindseth</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Power and Legit</w:t>
      </w:r>
      <w:r w:rsidRPr="00AE2E4D">
        <w:rPr>
          <w:rStyle w:val="FootnoteReference"/>
          <w:rFonts w:asciiTheme="minorHAnsi" w:hAnsiTheme="minorHAnsi"/>
          <w:i/>
          <w:vertAlign w:val="baseline"/>
        </w:rPr>
        <w:t>i</w:t>
      </w:r>
      <w:r w:rsidRPr="00AE2E4D">
        <w:rPr>
          <w:rStyle w:val="FootnoteReference"/>
          <w:rFonts w:asciiTheme="minorHAnsi" w:hAnsiTheme="minorHAnsi"/>
          <w:i/>
          <w:vertAlign w:val="baseline"/>
        </w:rPr>
        <w:t>macy: Reconciling Europe and the Nation-State</w:t>
      </w:r>
      <w:r w:rsidRPr="00AE2E4D">
        <w:rPr>
          <w:rStyle w:val="FootnoteReference"/>
          <w:rFonts w:asciiTheme="minorHAnsi" w:hAnsiTheme="minorHAnsi"/>
          <w:vertAlign w:val="baseline"/>
        </w:rPr>
        <w:t xml:space="preserve"> (OUP 2010). </w:t>
      </w:r>
    </w:p>
  </w:footnote>
  <w:footnote w:id="7">
    <w:p w14:paraId="1E0CB169" w14:textId="06C62996"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See e.g. M </w:t>
      </w:r>
      <w:proofErr w:type="spellStart"/>
      <w:r w:rsidRPr="00AE2E4D">
        <w:rPr>
          <w:rStyle w:val="FootnoteReference"/>
          <w:rFonts w:asciiTheme="minorHAnsi" w:hAnsiTheme="minorHAnsi"/>
          <w:vertAlign w:val="baseline"/>
        </w:rPr>
        <w:t>Ruffert</w:t>
      </w:r>
      <w:proofErr w:type="spellEnd"/>
      <w:r w:rsidRPr="00AE2E4D">
        <w:rPr>
          <w:rStyle w:val="FootnoteReference"/>
          <w:rFonts w:asciiTheme="minorHAnsi" w:hAnsiTheme="minorHAnsi"/>
          <w:vertAlign w:val="baseline"/>
        </w:rPr>
        <w:t xml:space="preserve">, ‘The European Debt Crisis and European Union Law’ (2011) 48 CML Rev 1777; S </w:t>
      </w:r>
      <w:proofErr w:type="spellStart"/>
      <w:r w:rsidRPr="00AE2E4D">
        <w:rPr>
          <w:rStyle w:val="FootnoteReference"/>
          <w:rFonts w:asciiTheme="minorHAnsi" w:hAnsiTheme="minorHAnsi"/>
          <w:vertAlign w:val="baseline"/>
        </w:rPr>
        <w:t>Fabbrini</w:t>
      </w:r>
      <w:proofErr w:type="spellEnd"/>
      <w:r w:rsidRPr="00AE2E4D">
        <w:rPr>
          <w:rStyle w:val="FootnoteReference"/>
          <w:rFonts w:asciiTheme="minorHAnsi" w:hAnsiTheme="minorHAnsi"/>
          <w:vertAlign w:val="baseline"/>
        </w:rPr>
        <w:t xml:space="preserve">, ‘After the Euro Crisis: The President of Europe. A New Paradigm for Increasing Legitimacy and Effectiveness in the EU’ </w:t>
      </w:r>
      <w:proofErr w:type="spellStart"/>
      <w:r w:rsidRPr="00AE2E4D">
        <w:rPr>
          <w:rStyle w:val="FootnoteReference"/>
          <w:rFonts w:asciiTheme="minorHAnsi" w:hAnsiTheme="minorHAnsi"/>
          <w:vertAlign w:val="baseline"/>
        </w:rPr>
        <w:t>EuropEos</w:t>
      </w:r>
      <w:proofErr w:type="spellEnd"/>
      <w:r w:rsidRPr="00AE2E4D">
        <w:rPr>
          <w:rStyle w:val="FootnoteReference"/>
          <w:rFonts w:asciiTheme="minorHAnsi" w:hAnsiTheme="minorHAnsi"/>
          <w:vertAlign w:val="baseline"/>
        </w:rPr>
        <w:t xml:space="preserve"> Commentary, No 12, June 2012; R </w:t>
      </w:r>
      <w:proofErr w:type="spellStart"/>
      <w:r w:rsidRPr="00AE2E4D">
        <w:rPr>
          <w:rStyle w:val="FootnoteReference"/>
          <w:rFonts w:asciiTheme="minorHAnsi" w:hAnsiTheme="minorHAnsi"/>
          <w:vertAlign w:val="baseline"/>
        </w:rPr>
        <w:t>Lastra</w:t>
      </w:r>
      <w:proofErr w:type="spellEnd"/>
      <w:r w:rsidRPr="00AE2E4D">
        <w:rPr>
          <w:rStyle w:val="FootnoteReference"/>
          <w:rFonts w:asciiTheme="minorHAnsi" w:hAnsiTheme="minorHAnsi"/>
          <w:vertAlign w:val="baseline"/>
        </w:rPr>
        <w:t xml:space="preserve"> and J Louis, ‘European Economic and Monetary Union: History, Trends, and Prospects’ (2013) 32 </w:t>
      </w:r>
      <w:proofErr w:type="spellStart"/>
      <w:r w:rsidRPr="00AE2E4D">
        <w:rPr>
          <w:rStyle w:val="FootnoteReference"/>
          <w:rFonts w:asciiTheme="minorHAnsi" w:hAnsiTheme="minorHAnsi"/>
          <w:vertAlign w:val="baseline"/>
        </w:rPr>
        <w:t>Ybk</w:t>
      </w:r>
      <w:proofErr w:type="spellEnd"/>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Eur</w:t>
      </w:r>
      <w:proofErr w:type="spellEnd"/>
      <w:r w:rsidRPr="00AE2E4D">
        <w:rPr>
          <w:rStyle w:val="FootnoteReference"/>
          <w:rFonts w:asciiTheme="minorHAnsi" w:hAnsiTheme="minorHAnsi"/>
          <w:vertAlign w:val="baseline"/>
        </w:rPr>
        <w:t xml:space="preserve"> L 57, 195 and ff. Concerns have been voiced by the European Parliament also; for example, MEPs have called for the integration of the ESM within the EU framework (and the Community method): see e.g. ‘MEPs call for dismantling of EU bailout troika’ (</w:t>
      </w:r>
      <w:proofErr w:type="spellStart"/>
      <w:r w:rsidRPr="00AE2E4D">
        <w:rPr>
          <w:rStyle w:val="FootnoteReference"/>
          <w:rFonts w:asciiTheme="minorHAnsi" w:hAnsiTheme="minorHAnsi"/>
          <w:vertAlign w:val="baseline"/>
        </w:rPr>
        <w:t>EUObserver</w:t>
      </w:r>
      <w:proofErr w:type="spellEnd"/>
      <w:r w:rsidRPr="00AE2E4D">
        <w:rPr>
          <w:rStyle w:val="FootnoteReference"/>
          <w:rFonts w:asciiTheme="minorHAnsi" w:hAnsiTheme="minorHAnsi"/>
          <w:vertAlign w:val="baseline"/>
        </w:rPr>
        <w:t xml:space="preserve">, 16 Jan 2013), </w:t>
      </w:r>
      <w:hyperlink r:id="rId1" w:history="1">
        <w:r w:rsidRPr="00AE2E4D">
          <w:rPr>
            <w:rStyle w:val="FootnoteReference"/>
            <w:rFonts w:asciiTheme="minorHAnsi" w:hAnsiTheme="minorHAnsi"/>
            <w:vertAlign w:val="baseline"/>
          </w:rPr>
          <w:t>http://euobserver.com/economic/122738</w:t>
        </w:r>
      </w:hyperlink>
      <w:r w:rsidRPr="00AE2E4D">
        <w:rPr>
          <w:rStyle w:val="FootnoteReference"/>
          <w:rFonts w:asciiTheme="minorHAnsi" w:hAnsiTheme="minorHAnsi"/>
          <w:vertAlign w:val="baseline"/>
        </w:rPr>
        <w:t xml:space="preserve">, accessed January 2014. See also A </w:t>
      </w:r>
      <w:proofErr w:type="spellStart"/>
      <w:r w:rsidRPr="00AE2E4D">
        <w:rPr>
          <w:rStyle w:val="FootnoteReference"/>
          <w:rFonts w:asciiTheme="minorHAnsi" w:hAnsiTheme="minorHAnsi"/>
          <w:vertAlign w:val="baseline"/>
        </w:rPr>
        <w:t>Hinarejos</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The E</w:t>
      </w:r>
      <w:r w:rsidRPr="00AE2E4D">
        <w:rPr>
          <w:rStyle w:val="FootnoteReference"/>
          <w:rFonts w:asciiTheme="minorHAnsi" w:hAnsiTheme="minorHAnsi"/>
          <w:i/>
          <w:vertAlign w:val="baseline"/>
        </w:rPr>
        <w:t>u</w:t>
      </w:r>
      <w:r w:rsidRPr="00AE2E4D">
        <w:rPr>
          <w:rStyle w:val="FootnoteReference"/>
          <w:rFonts w:asciiTheme="minorHAnsi" w:hAnsiTheme="minorHAnsi"/>
          <w:i/>
          <w:vertAlign w:val="baseline"/>
        </w:rPr>
        <w:t xml:space="preserve">ro Area Crisis in Constitutional Perspective </w:t>
      </w:r>
      <w:r w:rsidRPr="00AE2E4D">
        <w:rPr>
          <w:rStyle w:val="FootnoteReference"/>
          <w:rFonts w:asciiTheme="minorHAnsi" w:hAnsiTheme="minorHAnsi"/>
          <w:vertAlign w:val="baseline"/>
        </w:rPr>
        <w:t xml:space="preserve">(OUP Oxford 2015) </w:t>
      </w:r>
      <w:proofErr w:type="spellStart"/>
      <w:r w:rsidRPr="00AE2E4D">
        <w:rPr>
          <w:rStyle w:val="FootnoteReference"/>
          <w:rFonts w:asciiTheme="minorHAnsi" w:hAnsiTheme="minorHAnsi"/>
          <w:vertAlign w:val="baseline"/>
        </w:rPr>
        <w:t>Ch</w:t>
      </w:r>
      <w:proofErr w:type="spellEnd"/>
      <w:r w:rsidRPr="00AE2E4D">
        <w:rPr>
          <w:rStyle w:val="FootnoteReference"/>
          <w:rFonts w:asciiTheme="minorHAnsi" w:hAnsiTheme="minorHAnsi"/>
          <w:vertAlign w:val="baseline"/>
        </w:rPr>
        <w:t xml:space="preserve"> 6, with further references.</w:t>
      </w:r>
    </w:p>
  </w:footnote>
  <w:footnote w:id="8">
    <w:p w14:paraId="08580D2E" w14:textId="2FB2602D"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r w:rsidRPr="00AE2E4D">
        <w:rPr>
          <w:rStyle w:val="FootnoteReference"/>
          <w:rFonts w:asciiTheme="minorHAnsi" w:hAnsiTheme="minorHAnsi"/>
          <w:vertAlign w:val="baseline"/>
        </w:rPr>
        <w:t xml:space="preserve">On the effects on national parliaments: C </w:t>
      </w:r>
      <w:proofErr w:type="spellStart"/>
      <w:r w:rsidRPr="00AE2E4D">
        <w:rPr>
          <w:rStyle w:val="FootnoteReference"/>
          <w:rFonts w:asciiTheme="minorHAnsi" w:hAnsiTheme="minorHAnsi"/>
          <w:vertAlign w:val="baseline"/>
        </w:rPr>
        <w:t>Hefftler</w:t>
      </w:r>
      <w:proofErr w:type="spellEnd"/>
      <w:r w:rsidRPr="00AE2E4D">
        <w:rPr>
          <w:rStyle w:val="FootnoteReference"/>
          <w:rFonts w:asciiTheme="minorHAnsi" w:hAnsiTheme="minorHAnsi"/>
          <w:vertAlign w:val="baseline"/>
        </w:rPr>
        <w:t xml:space="preserve"> and W </w:t>
      </w:r>
      <w:proofErr w:type="spellStart"/>
      <w:r w:rsidRPr="00AE2E4D">
        <w:rPr>
          <w:rStyle w:val="FootnoteReference"/>
          <w:rFonts w:asciiTheme="minorHAnsi" w:hAnsiTheme="minorHAnsi"/>
          <w:vertAlign w:val="baseline"/>
        </w:rPr>
        <w:t>Wessels</w:t>
      </w:r>
      <w:proofErr w:type="spellEnd"/>
      <w:r w:rsidRPr="00AE2E4D">
        <w:rPr>
          <w:rStyle w:val="FootnoteReference"/>
          <w:rFonts w:asciiTheme="minorHAnsi" w:hAnsiTheme="minorHAnsi"/>
          <w:vertAlign w:val="baseline"/>
        </w:rPr>
        <w:t>, ‘The Democratic Legitimacy of the EU’s Economic Governance and National Parliaments’ IAI Working Papers No 13, 2013 .</w:t>
      </w:r>
    </w:p>
  </w:footnote>
  <w:footnote w:id="9">
    <w:p w14:paraId="0E27BE8E" w14:textId="0114DDCB" w:rsidR="00746868" w:rsidRPr="00AE2E4D" w:rsidRDefault="00746868" w:rsidP="00AE2E4D">
      <w:pPr>
        <w:pStyle w:val="FootnoteText"/>
        <w:rPr>
          <w:rFonts w:asciiTheme="minorHAnsi" w:hAnsiTheme="minorHAnsi"/>
        </w:rPr>
      </w:pPr>
      <w:r w:rsidRPr="00AE2E4D">
        <w:rPr>
          <w:rStyle w:val="FootnoteReference"/>
          <w:rFonts w:asciiTheme="minorHAnsi" w:hAnsiTheme="minorHAnsi"/>
        </w:rPr>
        <w:footnoteRef/>
      </w:r>
      <w:r w:rsidRPr="00AE2E4D">
        <w:rPr>
          <w:rFonts w:asciiTheme="minorHAnsi" w:hAnsiTheme="minorHAnsi"/>
        </w:rPr>
        <w:t xml:space="preserve"> </w:t>
      </w:r>
      <w:proofErr w:type="spellStart"/>
      <w:r w:rsidRPr="00AE2E4D">
        <w:rPr>
          <w:rFonts w:asciiTheme="minorHAnsi" w:hAnsiTheme="minorHAnsi"/>
          <w:i/>
        </w:rPr>
        <w:t>Riigikohus</w:t>
      </w:r>
      <w:proofErr w:type="spellEnd"/>
      <w:r w:rsidRPr="00AE2E4D">
        <w:rPr>
          <w:rFonts w:asciiTheme="minorHAnsi" w:hAnsiTheme="minorHAnsi"/>
        </w:rPr>
        <w:t xml:space="preserve"> (Supreme Court of Estonia) 12 July 2012, 3-4-1-6-12, Judgment of the Supreme Court (en banc); </w:t>
      </w:r>
      <w:proofErr w:type="spellStart"/>
      <w:r w:rsidRPr="00AE2E4D">
        <w:rPr>
          <w:rFonts w:asciiTheme="minorHAnsi" w:hAnsiTheme="minorHAnsi"/>
          <w:i/>
        </w:rPr>
        <w:t>Conseil</w:t>
      </w:r>
      <w:proofErr w:type="spellEnd"/>
      <w:r w:rsidRPr="00AE2E4D">
        <w:rPr>
          <w:rFonts w:asciiTheme="minorHAnsi" w:hAnsiTheme="minorHAnsi"/>
          <w:i/>
        </w:rPr>
        <w:t xml:space="preserve"> </w:t>
      </w:r>
      <w:proofErr w:type="spellStart"/>
      <w:r w:rsidRPr="00AE2E4D">
        <w:rPr>
          <w:rFonts w:asciiTheme="minorHAnsi" w:hAnsiTheme="minorHAnsi"/>
          <w:i/>
        </w:rPr>
        <w:t>Constitutionnel</w:t>
      </w:r>
      <w:proofErr w:type="spellEnd"/>
      <w:r w:rsidRPr="00AE2E4D">
        <w:rPr>
          <w:rFonts w:asciiTheme="minorHAnsi" w:hAnsiTheme="minorHAnsi"/>
          <w:i/>
        </w:rPr>
        <w:t xml:space="preserve">, </w:t>
      </w:r>
      <w:proofErr w:type="spellStart"/>
      <w:r w:rsidRPr="00AE2E4D">
        <w:rPr>
          <w:rFonts w:asciiTheme="minorHAnsi" w:hAnsiTheme="minorHAnsi"/>
          <w:i/>
        </w:rPr>
        <w:t>D</w:t>
      </w:r>
      <w:r w:rsidRPr="00AE2E4D">
        <w:rPr>
          <w:rFonts w:asciiTheme="minorHAnsi" w:hAnsiTheme="minorHAnsi"/>
          <w:i/>
          <w:shd w:val="clear" w:color="auto" w:fill="FDE9D9"/>
        </w:rPr>
        <w:t>é</w:t>
      </w:r>
      <w:r w:rsidRPr="00AE2E4D">
        <w:rPr>
          <w:rFonts w:asciiTheme="minorHAnsi" w:hAnsiTheme="minorHAnsi"/>
          <w:i/>
        </w:rPr>
        <w:t>cision</w:t>
      </w:r>
      <w:proofErr w:type="spellEnd"/>
      <w:r w:rsidRPr="00AE2E4D">
        <w:rPr>
          <w:rFonts w:asciiTheme="minorHAnsi" w:hAnsiTheme="minorHAnsi"/>
        </w:rPr>
        <w:t xml:space="preserve"> n 2012-653, judgment of 9 August 2012; </w:t>
      </w:r>
      <w:r w:rsidRPr="00AE2E4D">
        <w:rPr>
          <w:rFonts w:asciiTheme="minorHAnsi" w:hAnsiTheme="minorHAnsi"/>
          <w:i/>
        </w:rPr>
        <w:t>Pringle v The Government of Ireland</w:t>
      </w:r>
      <w:r w:rsidRPr="00AE2E4D">
        <w:rPr>
          <w:rFonts w:asciiTheme="minorHAnsi" w:hAnsiTheme="minorHAnsi"/>
        </w:rPr>
        <w:t xml:space="preserve"> [2012] IESC 47; </w:t>
      </w:r>
      <w:proofErr w:type="spellStart"/>
      <w:r w:rsidRPr="00AE2E4D">
        <w:rPr>
          <w:rFonts w:asciiTheme="minorHAnsi" w:hAnsiTheme="minorHAnsi"/>
          <w:i/>
        </w:rPr>
        <w:t>Verfassunsgerichtshof</w:t>
      </w:r>
      <w:proofErr w:type="spellEnd"/>
      <w:r w:rsidRPr="00AE2E4D">
        <w:rPr>
          <w:rFonts w:asciiTheme="minorHAnsi" w:hAnsiTheme="minorHAnsi"/>
        </w:rPr>
        <w:t xml:space="preserve"> (Constitutional Court of Au</w:t>
      </w:r>
      <w:r w:rsidRPr="00AE2E4D">
        <w:rPr>
          <w:rFonts w:asciiTheme="minorHAnsi" w:hAnsiTheme="minorHAnsi"/>
        </w:rPr>
        <w:t>s</w:t>
      </w:r>
      <w:r w:rsidRPr="00AE2E4D">
        <w:rPr>
          <w:rFonts w:asciiTheme="minorHAnsi" w:hAnsiTheme="minorHAnsi"/>
        </w:rPr>
        <w:t xml:space="preserve">tria) 16 March 2013, SV 2/12 18; Polish Constitutional Tribunal, judgment of 26 June 2013, K 33/12; </w:t>
      </w:r>
      <w:bookmarkStart w:id="7" w:name="notet_102"/>
      <w:r w:rsidRPr="00AE2E4D">
        <w:rPr>
          <w:rFonts w:asciiTheme="minorHAnsi" w:hAnsiTheme="minorHAnsi"/>
          <w:color w:val="343434"/>
        </w:rPr>
        <w:t xml:space="preserve">District court ’s-Gravenhage, </w:t>
      </w:r>
      <w:r w:rsidRPr="00AE2E4D">
        <w:rPr>
          <w:rFonts w:asciiTheme="minorHAnsi" w:hAnsiTheme="minorHAnsi"/>
          <w:color w:val="000000"/>
        </w:rPr>
        <w:t xml:space="preserve">decision of 1 June 2012, case no. 419556/KG </w:t>
      </w:r>
      <w:r w:rsidRPr="00AE2E4D">
        <w:rPr>
          <w:rFonts w:asciiTheme="minorHAnsi" w:hAnsiTheme="minorHAnsi"/>
        </w:rPr>
        <w:t>ZA 12–523.</w:t>
      </w:r>
      <w:bookmarkEnd w:id="7"/>
      <w:r w:rsidRPr="00AE2E4D">
        <w:rPr>
          <w:rFonts w:asciiTheme="minorHAnsi" w:hAnsiTheme="minorHAnsi"/>
        </w:rPr>
        <w:t xml:space="preserve"> </w:t>
      </w:r>
      <w:r w:rsidRPr="00AE2E4D">
        <w:rPr>
          <w:rFonts w:asciiTheme="minorHAnsi" w:hAnsiTheme="minorHAnsi"/>
          <w:color w:val="000000"/>
        </w:rPr>
        <w:t xml:space="preserve">The German Federal Constitutional Court considered the TSCG together with the ESM Treaty, </w:t>
      </w:r>
      <w:proofErr w:type="spellStart"/>
      <w:r w:rsidRPr="00AE2E4D">
        <w:rPr>
          <w:rFonts w:asciiTheme="minorHAnsi" w:hAnsiTheme="minorHAnsi"/>
          <w:i/>
          <w:color w:val="000000"/>
        </w:rPr>
        <w:t>BVerfG</w:t>
      </w:r>
      <w:proofErr w:type="spellEnd"/>
      <w:r w:rsidRPr="00AE2E4D">
        <w:rPr>
          <w:rFonts w:asciiTheme="minorHAnsi" w:hAnsiTheme="minorHAnsi"/>
          <w:color w:val="000000"/>
        </w:rPr>
        <w:t xml:space="preserve">, 2 </w:t>
      </w:r>
      <w:proofErr w:type="spellStart"/>
      <w:r w:rsidRPr="00AE2E4D">
        <w:rPr>
          <w:rFonts w:asciiTheme="minorHAnsi" w:hAnsiTheme="minorHAnsi"/>
          <w:color w:val="000000"/>
        </w:rPr>
        <w:t>BvR</w:t>
      </w:r>
      <w:proofErr w:type="spellEnd"/>
      <w:r w:rsidRPr="00AE2E4D">
        <w:rPr>
          <w:rFonts w:asciiTheme="minorHAnsi" w:hAnsiTheme="minorHAnsi"/>
          <w:color w:val="000000"/>
        </w:rPr>
        <w:t xml:space="preserve"> 1390/12 et al., Decision of 12 September 2012.</w:t>
      </w:r>
      <w:r w:rsidRPr="00AE2E4D">
        <w:rPr>
          <w:rFonts w:asciiTheme="minorHAnsi" w:hAnsiTheme="minorHAnsi"/>
        </w:rPr>
        <w:t xml:space="preserve"> This is not intended to be an e</w:t>
      </w:r>
      <w:r w:rsidRPr="00AE2E4D">
        <w:rPr>
          <w:rFonts w:asciiTheme="minorHAnsi" w:hAnsiTheme="minorHAnsi"/>
        </w:rPr>
        <w:t>x</w:t>
      </w:r>
      <w:r w:rsidRPr="00AE2E4D">
        <w:rPr>
          <w:rFonts w:asciiTheme="minorHAnsi" w:hAnsiTheme="minorHAnsi"/>
        </w:rPr>
        <w:t xml:space="preserve">haustive list (for example, there have also been parliamentary reviews of the ESM Treaty by the Constitutional Committee of the Finnish Parliament and by the EU Committee of the UK House of Lords). </w:t>
      </w:r>
      <w:bookmarkStart w:id="8" w:name="notet_96"/>
      <w:r w:rsidRPr="00AE2E4D">
        <w:rPr>
          <w:rFonts w:asciiTheme="minorHAnsi" w:hAnsiTheme="minorHAnsi"/>
        </w:rPr>
        <w:t xml:space="preserve">See also the overviews in </w:t>
      </w:r>
      <w:r w:rsidRPr="00AE2E4D">
        <w:rPr>
          <w:rFonts w:asciiTheme="minorHAnsi" w:hAnsiTheme="minorHAnsi"/>
          <w:noProof/>
        </w:rPr>
        <w:t>F Fabbrini, ‘The Euro-Crisis and the Courts: Judicial Review and the Political Process in Comparative Perspective’ (2014) 32 Berkeley J of Intl L 64</w:t>
      </w:r>
      <w:r w:rsidRPr="00AE2E4D">
        <w:rPr>
          <w:rFonts w:asciiTheme="minorHAnsi" w:hAnsiTheme="minorHAnsi"/>
        </w:rPr>
        <w:t xml:space="preserve">; </w:t>
      </w:r>
      <w:r w:rsidRPr="00AE2E4D">
        <w:rPr>
          <w:rFonts w:asciiTheme="minorHAnsi" w:hAnsiTheme="minorHAnsi"/>
          <w:noProof/>
        </w:rPr>
        <w:t xml:space="preserve">F Amtenbrink, ‘New Economic Governance in the European Union: Another Constitutional Battleground?’ in K Purnhagen and P Roth (eds), </w:t>
      </w:r>
      <w:r w:rsidRPr="00AE2E4D">
        <w:rPr>
          <w:rFonts w:asciiTheme="minorHAnsi" w:hAnsiTheme="minorHAnsi"/>
          <w:i/>
          <w:noProof/>
        </w:rPr>
        <w:t>Varieties of European Economic Law and Regulation</w:t>
      </w:r>
      <w:r w:rsidRPr="00AE2E4D">
        <w:rPr>
          <w:rFonts w:asciiTheme="minorHAnsi" w:hAnsiTheme="minorHAnsi"/>
          <w:noProof/>
        </w:rPr>
        <w:t xml:space="preserve"> (Springer 2014)</w:t>
      </w:r>
      <w:r w:rsidRPr="00AE2E4D">
        <w:rPr>
          <w:rFonts w:asciiTheme="minorHAnsi" w:hAnsiTheme="minorHAnsi"/>
        </w:rPr>
        <w:t xml:space="preserve">, 10; </w:t>
      </w:r>
      <w:r w:rsidRPr="00AE2E4D">
        <w:rPr>
          <w:rFonts w:asciiTheme="minorHAnsi" w:hAnsiTheme="minorHAnsi"/>
          <w:noProof/>
        </w:rPr>
        <w:t xml:space="preserve">S Bardutzky and E Fahey, ‘Who Got to Adjudicate the EU’s Financial Crisis and Why? </w:t>
      </w:r>
      <w:proofErr w:type="gramStart"/>
      <w:r w:rsidRPr="00AE2E4D">
        <w:rPr>
          <w:rFonts w:asciiTheme="minorHAnsi" w:hAnsiTheme="minorHAnsi"/>
          <w:noProof/>
        </w:rPr>
        <w:t>Judicial Review of the Legal Instruments of the Eurozone</w:t>
      </w:r>
      <w:bookmarkStart w:id="9" w:name="Pr_Mt_30866"/>
      <w:r w:rsidRPr="00AE2E4D">
        <w:rPr>
          <w:rFonts w:asciiTheme="minorHAnsi" w:hAnsiTheme="minorHAnsi"/>
          <w:noProof/>
        </w:rPr>
        <w:t>’</w:t>
      </w:r>
      <w:bookmarkEnd w:id="9"/>
      <w:r w:rsidRPr="00AE2E4D">
        <w:rPr>
          <w:rFonts w:asciiTheme="minorHAnsi" w:hAnsiTheme="minorHAnsi"/>
          <w:noProof/>
        </w:rPr>
        <w:t xml:space="preserve"> in M Adams, F Fabbrini, and P Larouche (eds), </w:t>
      </w:r>
      <w:r w:rsidRPr="00AE2E4D">
        <w:rPr>
          <w:rFonts w:asciiTheme="minorHAnsi" w:hAnsiTheme="minorHAnsi"/>
          <w:i/>
          <w:noProof/>
        </w:rPr>
        <w:t>The Constitutionalization of European Budgetary Constraints</w:t>
      </w:r>
      <w:r w:rsidRPr="00AE2E4D">
        <w:rPr>
          <w:rFonts w:asciiTheme="minorHAnsi" w:hAnsiTheme="minorHAnsi"/>
          <w:noProof/>
        </w:rPr>
        <w:t xml:space="preserve"> (Hart 2014)</w:t>
      </w:r>
      <w:r w:rsidRPr="00AE2E4D">
        <w:rPr>
          <w:rFonts w:asciiTheme="minorHAnsi" w:hAnsiTheme="minorHAnsi"/>
        </w:rPr>
        <w:t>.</w:t>
      </w:r>
      <w:bookmarkEnd w:id="8"/>
      <w:proofErr w:type="gramEnd"/>
    </w:p>
  </w:footnote>
  <w:footnote w:id="10">
    <w:p w14:paraId="66B14F64" w14:textId="23E13B32"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This paper will use the name ‘EMF’ throughout, as it is generally used in the debate; it will not go into the origins of the name or its suitability. See the ECB’s critique in its Opinion of 11 April 2018 on a proposal for a regulation on the establishment of the European Monetary Fund (CON/2018/20), 4-5.</w:t>
      </w:r>
    </w:p>
  </w:footnote>
  <w:footnote w:id="11">
    <w:p w14:paraId="2A974FA6" w14:textId="12E158CD" w:rsidR="00746868" w:rsidRPr="00D3790C" w:rsidRDefault="00746868" w:rsidP="00D3790C">
      <w:pPr>
        <w:pStyle w:val="FootnoteText"/>
        <w:rPr>
          <w:rStyle w:val="FootnoteReference"/>
          <w:vertAlign w:val="baseline"/>
          <w:lang w:val="en-US"/>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r w:rsidRPr="00D3790C">
        <w:rPr>
          <w:rFonts w:asciiTheme="minorHAnsi" w:hAnsiTheme="minorHAnsi"/>
          <w:lang w:val="en-US"/>
        </w:rPr>
        <w:t xml:space="preserve">See </w:t>
      </w:r>
      <w:proofErr w:type="spellStart"/>
      <w:r w:rsidRPr="00D3790C">
        <w:rPr>
          <w:rFonts w:asciiTheme="minorHAnsi" w:hAnsiTheme="minorHAnsi"/>
          <w:lang w:val="en-US"/>
        </w:rPr>
        <w:t>eg</w:t>
      </w:r>
      <w:proofErr w:type="spellEnd"/>
      <w:r w:rsidRPr="00D3790C">
        <w:rPr>
          <w:rFonts w:asciiTheme="minorHAnsi" w:hAnsiTheme="minorHAnsi"/>
          <w:lang w:val="en-US"/>
        </w:rPr>
        <w:t xml:space="preserve"> ‘Completing Europe’s Economic and Monetary Union’, Report by Jean-Claude Junker, in close cooperation with Donald Tusk, </w:t>
      </w:r>
      <w:proofErr w:type="spellStart"/>
      <w:r w:rsidRPr="00D3790C">
        <w:rPr>
          <w:rFonts w:asciiTheme="minorHAnsi" w:hAnsiTheme="minorHAnsi"/>
          <w:lang w:val="en-US"/>
        </w:rPr>
        <w:t>Jeroen</w:t>
      </w:r>
      <w:proofErr w:type="spellEnd"/>
      <w:r w:rsidRPr="00D3790C">
        <w:rPr>
          <w:rFonts w:asciiTheme="minorHAnsi" w:hAnsiTheme="minorHAnsi"/>
          <w:lang w:val="en-US"/>
        </w:rPr>
        <w:t xml:space="preserve"> </w:t>
      </w:r>
      <w:proofErr w:type="spellStart"/>
      <w:r w:rsidRPr="00D3790C">
        <w:rPr>
          <w:rFonts w:asciiTheme="minorHAnsi" w:hAnsiTheme="minorHAnsi"/>
          <w:lang w:val="en-US"/>
        </w:rPr>
        <w:t>Dijsselbloem</w:t>
      </w:r>
      <w:proofErr w:type="spellEnd"/>
      <w:r w:rsidRPr="00D3790C">
        <w:rPr>
          <w:rFonts w:asciiTheme="minorHAnsi" w:hAnsiTheme="minorHAnsi"/>
          <w:lang w:val="en-US"/>
        </w:rPr>
        <w:t xml:space="preserve">, Mario </w:t>
      </w:r>
      <w:proofErr w:type="spellStart"/>
      <w:r w:rsidRPr="00D3790C">
        <w:rPr>
          <w:rFonts w:asciiTheme="minorHAnsi" w:hAnsiTheme="minorHAnsi"/>
          <w:lang w:val="en-US"/>
        </w:rPr>
        <w:t>Draghi</w:t>
      </w:r>
      <w:proofErr w:type="spellEnd"/>
      <w:r w:rsidRPr="00D3790C">
        <w:rPr>
          <w:rFonts w:asciiTheme="minorHAnsi" w:hAnsiTheme="minorHAnsi"/>
          <w:lang w:val="en-US"/>
        </w:rPr>
        <w:t xml:space="preserve">, and Martin Schulz (‘The Five Presidents’ Report’), June 2015; the Commission’s Reflection Paper on the deepening of the Economic and Monetary Union, </w:t>
      </w:r>
      <w:proofErr w:type="gramStart"/>
      <w:r w:rsidRPr="00D3790C">
        <w:rPr>
          <w:rFonts w:asciiTheme="minorHAnsi" w:hAnsiTheme="minorHAnsi"/>
          <w:lang w:val="en-US"/>
        </w:rPr>
        <w:t>COM(</w:t>
      </w:r>
      <w:proofErr w:type="gramEnd"/>
      <w:r w:rsidRPr="00D3790C">
        <w:rPr>
          <w:rFonts w:asciiTheme="minorHAnsi" w:hAnsiTheme="minorHAnsi"/>
          <w:lang w:val="en-US"/>
        </w:rPr>
        <w:t xml:space="preserve">2017) 358, 28 June 2017. The Commission issued, at the end of 2017, a Roadmap on the future of EMU: European Commission, Further Steps Toward Completing Europe’s Economic and Monetary Union: A Roadmap, </w:t>
      </w:r>
      <w:proofErr w:type="gramStart"/>
      <w:r w:rsidRPr="00D3790C">
        <w:rPr>
          <w:rFonts w:asciiTheme="minorHAnsi" w:hAnsiTheme="minorHAnsi"/>
          <w:lang w:val="en-US"/>
        </w:rPr>
        <w:t>COM(</w:t>
      </w:r>
      <w:proofErr w:type="gramEnd"/>
      <w:r w:rsidRPr="00D3790C">
        <w:rPr>
          <w:rFonts w:asciiTheme="minorHAnsi" w:hAnsiTheme="minorHAnsi"/>
          <w:lang w:val="en-US"/>
        </w:rPr>
        <w:t xml:space="preserve">2017)821 final. The package includes the Commission’s proposal on the creation of an EMF (European Commission, Proposal for a Council Regulation on the establishment of the European Monetary Fund, </w:t>
      </w:r>
      <w:proofErr w:type="gramStart"/>
      <w:r w:rsidRPr="00D3790C">
        <w:rPr>
          <w:rFonts w:asciiTheme="minorHAnsi" w:hAnsiTheme="minorHAnsi"/>
          <w:lang w:val="en-US"/>
        </w:rPr>
        <w:t>COM(</w:t>
      </w:r>
      <w:proofErr w:type="gramEnd"/>
      <w:r w:rsidRPr="00D3790C">
        <w:rPr>
          <w:rFonts w:asciiTheme="minorHAnsi" w:hAnsiTheme="minorHAnsi"/>
          <w:lang w:val="en-US"/>
        </w:rPr>
        <w:t xml:space="preserve">2017)827 final). For a brief commentary on the </w:t>
      </w:r>
      <w:proofErr w:type="spellStart"/>
      <w:r w:rsidRPr="00D3790C">
        <w:rPr>
          <w:rFonts w:asciiTheme="minorHAnsi" w:hAnsiTheme="minorHAnsi"/>
          <w:lang w:val="en-US"/>
        </w:rPr>
        <w:t>Commision</w:t>
      </w:r>
      <w:proofErr w:type="spellEnd"/>
      <w:r w:rsidRPr="00D3790C">
        <w:rPr>
          <w:rFonts w:asciiTheme="minorHAnsi" w:hAnsiTheme="minorHAnsi"/>
          <w:lang w:val="en-US"/>
        </w:rPr>
        <w:t xml:space="preserve"> 2017 package, including the EMF proposal (at 711-13): Editorial Comments, ‘Tinkering with Economic and Monetary Union’ (2018) 55 Common Market Law Review, 709. Finally, see also the ‘Fourteen Experts’ Report’: ‘Reconciling risk sharing with market discipline: A constructive approach to euro area reform’, Centre for Economic Policy Research, Policy Insight No. 91, January 2018.</w:t>
      </w:r>
    </w:p>
  </w:footnote>
  <w:footnote w:id="12">
    <w:p w14:paraId="2E6222AD" w14:textId="3792AE7D"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Art 3 ESM Treaty.</w:t>
      </w:r>
    </w:p>
  </w:footnote>
  <w:footnote w:id="13">
    <w:p w14:paraId="3A786834" w14:textId="4DEFF1CE"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This assessment is to be carried out by the European Commission and the IMF, in liaison with the ECB (Art 13 ESM Treaty). </w:t>
      </w:r>
    </w:p>
  </w:footnote>
  <w:footnote w:id="14">
    <w:p w14:paraId="182B9343" w14:textId="7D15825A"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bookmarkStart w:id="15" w:name="notet_123"/>
      <w:r w:rsidRPr="00AE2E4D">
        <w:rPr>
          <w:rStyle w:val="FootnoteReference"/>
          <w:rFonts w:asciiTheme="minorHAnsi" w:hAnsiTheme="minorHAnsi"/>
          <w:vertAlign w:val="baseline"/>
        </w:rPr>
        <w:t>Regulation (EU) No 806/2014 of the European Parliament and of the Council of 15 July 2014 establishing uniform rules and a uniform procedure for the resolution of credit institutions and certain investment firms in the framework of a Single Resolution Mechanism and a Single Resol</w:t>
      </w:r>
      <w:r w:rsidRPr="00AE2E4D">
        <w:rPr>
          <w:rStyle w:val="FootnoteReference"/>
          <w:rFonts w:asciiTheme="minorHAnsi" w:hAnsiTheme="minorHAnsi"/>
          <w:vertAlign w:val="baseline"/>
        </w:rPr>
        <w:t>u</w:t>
      </w:r>
      <w:r w:rsidRPr="00AE2E4D">
        <w:rPr>
          <w:rStyle w:val="FootnoteReference"/>
          <w:rFonts w:asciiTheme="minorHAnsi" w:hAnsiTheme="minorHAnsi"/>
          <w:vertAlign w:val="baseline"/>
        </w:rPr>
        <w:t>tion Fund and amending Regulation (EU) No 1093/2010</w:t>
      </w:r>
      <w:bookmarkStart w:id="16" w:name="notet_124"/>
      <w:bookmarkEnd w:id="15"/>
      <w:r w:rsidRPr="00AE2E4D">
        <w:rPr>
          <w:rStyle w:val="FootnoteReference"/>
          <w:rFonts w:asciiTheme="minorHAnsi" w:hAnsiTheme="minorHAnsi"/>
          <w:vertAlign w:val="baseline"/>
        </w:rPr>
        <w:t xml:space="preserve">; Agreement on the transfer and </w:t>
      </w:r>
      <w:proofErr w:type="spellStart"/>
      <w:r w:rsidRPr="00AE2E4D">
        <w:rPr>
          <w:rStyle w:val="FootnoteReference"/>
          <w:rFonts w:asciiTheme="minorHAnsi" w:hAnsiTheme="minorHAnsi"/>
          <w:vertAlign w:val="baseline"/>
        </w:rPr>
        <w:t>mutua</w:t>
      </w:r>
      <w:r w:rsidRPr="00AE2E4D">
        <w:rPr>
          <w:rStyle w:val="FootnoteReference"/>
          <w:rFonts w:asciiTheme="minorHAnsi" w:hAnsiTheme="minorHAnsi"/>
          <w:vertAlign w:val="baseline"/>
        </w:rPr>
        <w:t>l</w:t>
      </w:r>
      <w:r w:rsidRPr="00AE2E4D">
        <w:rPr>
          <w:rStyle w:val="FootnoteReference"/>
          <w:rFonts w:asciiTheme="minorHAnsi" w:hAnsiTheme="minorHAnsi"/>
          <w:vertAlign w:val="baseline"/>
        </w:rPr>
        <w:t>ization</w:t>
      </w:r>
      <w:proofErr w:type="spellEnd"/>
      <w:r w:rsidRPr="00AE2E4D">
        <w:rPr>
          <w:rStyle w:val="FootnoteReference"/>
          <w:rFonts w:asciiTheme="minorHAnsi" w:hAnsiTheme="minorHAnsi"/>
          <w:vertAlign w:val="baseline"/>
        </w:rPr>
        <w:t xml:space="preserve"> of contributions to the Single Resolution Fund, signed on 21 May 2014 by all Member States except Sweden and the UK. Final text: Document 8457/14, ECOFIN 342.</w:t>
      </w:r>
      <w:bookmarkEnd w:id="16"/>
      <w:r w:rsidRPr="00AE2E4D">
        <w:rPr>
          <w:rFonts w:asciiTheme="minorHAnsi" w:hAnsiTheme="minorHAnsi"/>
        </w:rPr>
        <w:t xml:space="preserve"> </w:t>
      </w:r>
    </w:p>
  </w:footnote>
  <w:footnote w:id="15">
    <w:p w14:paraId="5D98A73E" w14:textId="362BB0D6"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r w:rsidRPr="00AE2E4D">
        <w:rPr>
          <w:rStyle w:val="FootnoteReference"/>
          <w:rFonts w:asciiTheme="minorHAnsi" w:hAnsiTheme="minorHAnsi"/>
          <w:vertAlign w:val="baseline"/>
        </w:rPr>
        <w:t xml:space="preserve">See e.g. Commission Proposal for a Council Regulation on the establishment of a European Monetary Fund, Brussels, 6.12.2017 COM(2017) 827 final, </w:t>
      </w:r>
      <w:proofErr w:type="spellStart"/>
      <w:r w:rsidRPr="00AE2E4D">
        <w:rPr>
          <w:rStyle w:val="FootnoteReference"/>
          <w:rFonts w:asciiTheme="minorHAnsi" w:hAnsiTheme="minorHAnsi"/>
          <w:vertAlign w:val="baseline"/>
        </w:rPr>
        <w:t>pg</w:t>
      </w:r>
      <w:proofErr w:type="spellEnd"/>
      <w:r w:rsidRPr="00AE2E4D">
        <w:rPr>
          <w:rStyle w:val="FootnoteReference"/>
          <w:rFonts w:asciiTheme="minorHAnsi" w:hAnsiTheme="minorHAnsi"/>
          <w:vertAlign w:val="baseline"/>
        </w:rPr>
        <w:t xml:space="preserve"> 6; ‘Fourteen Experts’ Report’: ‘Re</w:t>
      </w:r>
      <w:r w:rsidRPr="00AE2E4D">
        <w:rPr>
          <w:rStyle w:val="FootnoteReference"/>
          <w:rFonts w:asciiTheme="minorHAnsi" w:hAnsiTheme="minorHAnsi"/>
          <w:vertAlign w:val="baseline"/>
        </w:rPr>
        <w:t>c</w:t>
      </w:r>
      <w:r w:rsidRPr="00AE2E4D">
        <w:rPr>
          <w:rStyle w:val="FootnoteReference"/>
          <w:rFonts w:asciiTheme="minorHAnsi" w:hAnsiTheme="minorHAnsi"/>
          <w:vertAlign w:val="baseline"/>
        </w:rPr>
        <w:t>onciling risk sharing with market discipline: A constructive approach to euro area reform’, Ce</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 xml:space="preserve">tre for Economic Policy Research, Policy Insight No.91, January 2018, pg. 6-7; W </w:t>
      </w:r>
      <w:proofErr w:type="spellStart"/>
      <w:r w:rsidRPr="00AE2E4D">
        <w:rPr>
          <w:rStyle w:val="FootnoteReference"/>
          <w:rFonts w:asciiTheme="minorHAnsi" w:hAnsiTheme="minorHAnsi"/>
          <w:vertAlign w:val="baseline"/>
        </w:rPr>
        <w:t>Schäuble’s</w:t>
      </w:r>
      <w:proofErr w:type="spellEnd"/>
      <w:r w:rsidRPr="00AE2E4D">
        <w:rPr>
          <w:rStyle w:val="FootnoteReference"/>
          <w:rFonts w:asciiTheme="minorHAnsi" w:hAnsiTheme="minorHAnsi"/>
          <w:vertAlign w:val="baseline"/>
        </w:rPr>
        <w:t xml:space="preserve"> ‘Non-paper for paving the way towards a Stability Union’ (2017). There had long been agreement on the need for a SRF backstop: ‘Statement of </w:t>
      </w:r>
      <w:proofErr w:type="spellStart"/>
      <w:r w:rsidRPr="00AE2E4D">
        <w:rPr>
          <w:rStyle w:val="FootnoteReference"/>
          <w:rFonts w:asciiTheme="minorHAnsi" w:hAnsiTheme="minorHAnsi"/>
          <w:vertAlign w:val="baseline"/>
        </w:rPr>
        <w:t>Eurogroup</w:t>
      </w:r>
      <w:proofErr w:type="spellEnd"/>
      <w:r w:rsidRPr="00AE2E4D">
        <w:rPr>
          <w:rStyle w:val="FootnoteReference"/>
          <w:rFonts w:asciiTheme="minorHAnsi" w:hAnsiTheme="minorHAnsi"/>
          <w:vertAlign w:val="baseline"/>
        </w:rPr>
        <w:t xml:space="preserve"> and ECOFIN Ministers on the SRM bac</w:t>
      </w:r>
      <w:r w:rsidRPr="00AE2E4D">
        <w:rPr>
          <w:rStyle w:val="FootnoteReference"/>
          <w:rFonts w:asciiTheme="minorHAnsi" w:hAnsiTheme="minorHAnsi"/>
          <w:vertAlign w:val="baseline"/>
        </w:rPr>
        <w:t>k</w:t>
      </w:r>
      <w:r w:rsidRPr="00AE2E4D">
        <w:rPr>
          <w:rStyle w:val="FootnoteReference"/>
          <w:rFonts w:asciiTheme="minorHAnsi" w:hAnsiTheme="minorHAnsi"/>
          <w:vertAlign w:val="baseline"/>
        </w:rPr>
        <w:t>stop’, 18 December 2013.</w:t>
      </w:r>
    </w:p>
  </w:footnote>
  <w:footnote w:id="16">
    <w:p w14:paraId="35F85184" w14:textId="181F868A"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proofErr w:type="spellStart"/>
      <w:r w:rsidRPr="00AE2E4D">
        <w:rPr>
          <w:rFonts w:asciiTheme="minorHAnsi" w:eastAsia="Times New Roman" w:hAnsiTheme="minorHAnsi"/>
        </w:rPr>
        <w:t>Eurogroup</w:t>
      </w:r>
      <w:proofErr w:type="spellEnd"/>
      <w:r w:rsidRPr="00AE2E4D">
        <w:rPr>
          <w:rFonts w:asciiTheme="minorHAnsi" w:eastAsia="Times New Roman" w:hAnsiTheme="minorHAnsi"/>
        </w:rPr>
        <w:t xml:space="preserve"> report to Leaders on EMU deepening, 4 December 2018; </w:t>
      </w:r>
      <w:proofErr w:type="spellStart"/>
      <w:r w:rsidRPr="00AE2E4D">
        <w:rPr>
          <w:rFonts w:asciiTheme="minorHAnsi" w:eastAsia="Times New Roman" w:hAnsiTheme="minorHAnsi"/>
        </w:rPr>
        <w:t>Eurogroup’s</w:t>
      </w:r>
      <w:proofErr w:type="spellEnd"/>
      <w:r w:rsidRPr="00AE2E4D">
        <w:rPr>
          <w:rFonts w:asciiTheme="minorHAnsi" w:eastAsia="Times New Roman" w:hAnsiTheme="minorHAnsi"/>
        </w:rPr>
        <w:t xml:space="preserve"> Terms of reference of the common backstop to the Single Resolution Fund, 4 December 2018; Euro Su</w:t>
      </w:r>
      <w:r w:rsidRPr="00AE2E4D">
        <w:rPr>
          <w:rFonts w:asciiTheme="minorHAnsi" w:eastAsia="Times New Roman" w:hAnsiTheme="minorHAnsi"/>
        </w:rPr>
        <w:t>m</w:t>
      </w:r>
      <w:r w:rsidRPr="00AE2E4D">
        <w:rPr>
          <w:rFonts w:asciiTheme="minorHAnsi" w:eastAsia="Times New Roman" w:hAnsiTheme="minorHAnsi"/>
        </w:rPr>
        <w:t xml:space="preserve">mit Statement, 14 December 2018, EURO 503/18. In general, the Euro Summit endorsed the term sheet on ESM reform presented by the </w:t>
      </w:r>
      <w:proofErr w:type="spellStart"/>
      <w:r w:rsidRPr="00AE2E4D">
        <w:rPr>
          <w:rFonts w:asciiTheme="minorHAnsi" w:eastAsia="Times New Roman" w:hAnsiTheme="minorHAnsi"/>
        </w:rPr>
        <w:t>Eurogroup</w:t>
      </w:r>
      <w:proofErr w:type="spellEnd"/>
      <w:r w:rsidRPr="00AE2E4D">
        <w:rPr>
          <w:rFonts w:asciiTheme="minorHAnsi" w:eastAsia="Times New Roman" w:hAnsiTheme="minorHAnsi"/>
        </w:rPr>
        <w:t xml:space="preserve">, and asked the latter to prepare the necessary amendments to the ESM Treaty by June 2019. </w:t>
      </w:r>
      <w:r w:rsidRPr="00746868">
        <w:rPr>
          <w:rFonts w:asciiTheme="minorHAnsi" w:eastAsia="Times New Roman" w:hAnsiTheme="minorHAnsi"/>
          <w:lang w:val="en-US"/>
        </w:rPr>
        <w:t xml:space="preserve">The Euro Summit agreement was made possible by a previous agreement reached by Germany and France in </w:t>
      </w:r>
      <w:proofErr w:type="spellStart"/>
      <w:r w:rsidRPr="00746868">
        <w:rPr>
          <w:rFonts w:asciiTheme="minorHAnsi" w:eastAsia="Times New Roman" w:hAnsiTheme="minorHAnsi"/>
          <w:lang w:val="en-US"/>
        </w:rPr>
        <w:t>Meseberg</w:t>
      </w:r>
      <w:proofErr w:type="spellEnd"/>
      <w:r w:rsidRPr="00746868">
        <w:rPr>
          <w:rFonts w:asciiTheme="minorHAnsi" w:eastAsia="Times New Roman" w:hAnsiTheme="minorHAnsi"/>
          <w:lang w:val="en-US"/>
        </w:rPr>
        <w:t xml:space="preserve">: </w:t>
      </w:r>
      <w:proofErr w:type="spellStart"/>
      <w:r w:rsidRPr="00746868">
        <w:rPr>
          <w:rFonts w:asciiTheme="minorHAnsi" w:eastAsia="Times New Roman" w:hAnsiTheme="minorHAnsi"/>
          <w:lang w:val="en-US"/>
        </w:rPr>
        <w:t>Meseberg</w:t>
      </w:r>
      <w:proofErr w:type="spellEnd"/>
      <w:r w:rsidRPr="00746868">
        <w:rPr>
          <w:rFonts w:asciiTheme="minorHAnsi" w:eastAsia="Times New Roman" w:hAnsiTheme="minorHAnsi"/>
          <w:lang w:val="en-US"/>
        </w:rPr>
        <w:t xml:space="preserve"> Declarat</w:t>
      </w:r>
      <w:r>
        <w:rPr>
          <w:rFonts w:asciiTheme="minorHAnsi" w:eastAsia="Times New Roman" w:hAnsiTheme="minorHAnsi"/>
          <w:lang w:val="en-US"/>
        </w:rPr>
        <w:t xml:space="preserve">ion, Nr. 2014/18, </w:t>
      </w:r>
      <w:proofErr w:type="gramStart"/>
      <w:r>
        <w:rPr>
          <w:rFonts w:asciiTheme="minorHAnsi" w:eastAsia="Times New Roman" w:hAnsiTheme="minorHAnsi"/>
          <w:lang w:val="en-US"/>
        </w:rPr>
        <w:t>19</w:t>
      </w:r>
      <w:proofErr w:type="gramEnd"/>
      <w:r>
        <w:rPr>
          <w:rFonts w:asciiTheme="minorHAnsi" w:eastAsia="Times New Roman" w:hAnsiTheme="minorHAnsi"/>
          <w:lang w:val="en-US"/>
        </w:rPr>
        <w:t xml:space="preserve"> June 2018.</w:t>
      </w:r>
    </w:p>
  </w:footnote>
  <w:footnote w:id="17">
    <w:p w14:paraId="54971470" w14:textId="7179188C"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By 2024 at the latest, according to the </w:t>
      </w:r>
      <w:proofErr w:type="spellStart"/>
      <w:r w:rsidRPr="00AE2E4D">
        <w:rPr>
          <w:rStyle w:val="FootnoteReference"/>
          <w:rFonts w:asciiTheme="minorHAnsi" w:hAnsiTheme="minorHAnsi"/>
          <w:vertAlign w:val="baseline"/>
        </w:rPr>
        <w:t>Eurogroup</w:t>
      </w:r>
      <w:proofErr w:type="spellEnd"/>
      <w:r w:rsidRPr="00AE2E4D">
        <w:rPr>
          <w:rStyle w:val="FootnoteReference"/>
          <w:rFonts w:asciiTheme="minorHAnsi" w:hAnsiTheme="minorHAnsi"/>
          <w:vertAlign w:val="baseline"/>
        </w:rPr>
        <w:t xml:space="preserve"> proposal, ibid.</w:t>
      </w:r>
      <w:r w:rsidRPr="00AE2E4D">
        <w:rPr>
          <w:rFonts w:asciiTheme="minorHAnsi" w:hAnsiTheme="minorHAnsi"/>
        </w:rPr>
        <w:t xml:space="preserve"> The Euro Summit endorsed the </w:t>
      </w:r>
      <w:proofErr w:type="spellStart"/>
      <w:r w:rsidRPr="00AE2E4D">
        <w:rPr>
          <w:rFonts w:asciiTheme="minorHAnsi" w:hAnsiTheme="minorHAnsi"/>
        </w:rPr>
        <w:t>Eurogroup’s</w:t>
      </w:r>
      <w:proofErr w:type="spellEnd"/>
      <w:r w:rsidRPr="00AE2E4D">
        <w:rPr>
          <w:rFonts w:asciiTheme="minorHAnsi" w:hAnsiTheme="minorHAnsi"/>
        </w:rPr>
        <w:t xml:space="preserve"> terms of reference and agreed that the date could be brought forward if enough progress has been made in risk reduction (to be assessed in 2020): ibid, 1.</w:t>
      </w:r>
    </w:p>
  </w:footnote>
  <w:footnote w:id="18">
    <w:p w14:paraId="6BBCAD33" w14:textId="14BFCD8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 </w:t>
      </w:r>
      <w:proofErr w:type="spellStart"/>
      <w:r w:rsidRPr="00AE2E4D">
        <w:rPr>
          <w:rStyle w:val="FootnoteReference"/>
          <w:rFonts w:asciiTheme="minorHAnsi" w:hAnsiTheme="minorHAnsi"/>
          <w:vertAlign w:val="baseline"/>
        </w:rPr>
        <w:t>Schäuble</w:t>
      </w:r>
      <w:proofErr w:type="spellEnd"/>
      <w:r w:rsidRPr="00AE2E4D">
        <w:rPr>
          <w:rStyle w:val="FootnoteReference"/>
          <w:rFonts w:asciiTheme="minorHAnsi" w:hAnsiTheme="minorHAnsi"/>
          <w:vertAlign w:val="baseline"/>
        </w:rPr>
        <w:t xml:space="preserve">, ‘Non-paper for paving the way towards a Stability Union’ (2017). </w:t>
      </w:r>
      <w:r w:rsidRPr="00AE2E4D">
        <w:rPr>
          <w:rFonts w:asciiTheme="minorHAnsi" w:hAnsiTheme="minorHAnsi"/>
        </w:rPr>
        <w:t xml:space="preserve">The so-called New Hanseatic League has also called for a greater role for the ESM in scrutinizing national budgets: </w:t>
      </w:r>
      <w:r w:rsidRPr="00AE2E4D">
        <w:rPr>
          <w:rFonts w:asciiTheme="minorHAnsi" w:eastAsia="Times New Roman" w:hAnsiTheme="minorHAnsi"/>
        </w:rPr>
        <w:t xml:space="preserve">‘Hawkish European capitals lobby to beef up </w:t>
      </w:r>
      <w:proofErr w:type="spellStart"/>
      <w:r w:rsidRPr="00AE2E4D">
        <w:rPr>
          <w:rFonts w:asciiTheme="minorHAnsi" w:eastAsia="Times New Roman" w:hAnsiTheme="minorHAnsi"/>
        </w:rPr>
        <w:t>eurozone</w:t>
      </w:r>
      <w:proofErr w:type="spellEnd"/>
      <w:r w:rsidRPr="00AE2E4D">
        <w:rPr>
          <w:rFonts w:asciiTheme="minorHAnsi" w:eastAsia="Times New Roman" w:hAnsiTheme="minorHAnsi"/>
        </w:rPr>
        <w:t xml:space="preserve"> bailout fund’ Financial Times, 2 November 2018. </w:t>
      </w:r>
    </w:p>
  </w:footnote>
  <w:footnote w:id="19">
    <w:p w14:paraId="7D7EE82C" w14:textId="3CF309B2"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‘Fourteen Experts’ Report’: ‘Reconciling risk sharing with market discipline: A constructive approach to euro area reform’, Centre for Economic Policy Research, Policy Insight No.91, Jan</w:t>
      </w:r>
      <w:r w:rsidRPr="00AE2E4D">
        <w:rPr>
          <w:rStyle w:val="FootnoteReference"/>
          <w:rFonts w:asciiTheme="minorHAnsi" w:hAnsiTheme="minorHAnsi"/>
          <w:vertAlign w:val="baseline"/>
        </w:rPr>
        <w:t>u</w:t>
      </w:r>
      <w:r w:rsidRPr="00AE2E4D">
        <w:rPr>
          <w:rStyle w:val="FootnoteReference"/>
          <w:rFonts w:asciiTheme="minorHAnsi" w:hAnsiTheme="minorHAnsi"/>
          <w:vertAlign w:val="baseline"/>
        </w:rPr>
        <w:t xml:space="preserve">ary 2018, 16-17. See also K </w:t>
      </w:r>
      <w:proofErr w:type="spellStart"/>
      <w:r w:rsidRPr="00AE2E4D">
        <w:rPr>
          <w:rStyle w:val="FootnoteReference"/>
          <w:rFonts w:asciiTheme="minorHAnsi" w:hAnsiTheme="minorHAnsi"/>
          <w:vertAlign w:val="baseline"/>
        </w:rPr>
        <w:t>Regling</w:t>
      </w:r>
      <w:proofErr w:type="spellEnd"/>
      <w:r w:rsidRPr="00AE2E4D">
        <w:rPr>
          <w:rStyle w:val="FootnoteReference"/>
          <w:rFonts w:asciiTheme="minorHAnsi" w:hAnsiTheme="minorHAnsi"/>
          <w:vertAlign w:val="baseline"/>
        </w:rPr>
        <w:t>, ‘A European Monetary Fund: for what purpose?’ Speech gi</w:t>
      </w:r>
      <w:r w:rsidRPr="00AE2E4D">
        <w:rPr>
          <w:rStyle w:val="FootnoteReference"/>
          <w:rFonts w:asciiTheme="minorHAnsi" w:hAnsiTheme="minorHAnsi"/>
          <w:vertAlign w:val="baseline"/>
        </w:rPr>
        <w:t>v</w:t>
      </w:r>
      <w:r w:rsidRPr="00AE2E4D">
        <w:rPr>
          <w:rStyle w:val="FootnoteReference"/>
          <w:rFonts w:asciiTheme="minorHAnsi" w:hAnsiTheme="minorHAnsi"/>
          <w:vertAlign w:val="baseline"/>
        </w:rPr>
        <w:t xml:space="preserve">en at Euro 50 Group conference, Brussels, 10 April 2018. </w:t>
      </w:r>
    </w:p>
  </w:footnote>
  <w:footnote w:id="20">
    <w:p w14:paraId="11169CF3" w14:textId="110FF308"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r w:rsidRPr="00AE2E4D">
        <w:rPr>
          <w:rFonts w:asciiTheme="minorHAnsi" w:hAnsiTheme="minorHAnsi"/>
          <w:lang w:val="en-US"/>
        </w:rPr>
        <w:t xml:space="preserve">Specifically, changes were agreed to the ESM’s </w:t>
      </w:r>
      <w:r w:rsidRPr="00AE2E4D">
        <w:rPr>
          <w:rFonts w:asciiTheme="minorHAnsi" w:eastAsia="Times New Roman" w:hAnsiTheme="minorHAnsi"/>
        </w:rPr>
        <w:t>Precautionary Conditioned Credit Line (PCCL) and Enhanced Conditions Credit Line (ECCL) to make them more efficient and transpa</w:t>
      </w:r>
      <w:r w:rsidRPr="00AE2E4D">
        <w:rPr>
          <w:rFonts w:asciiTheme="minorHAnsi" w:eastAsia="Times New Roman" w:hAnsiTheme="minorHAnsi"/>
        </w:rPr>
        <w:t>r</w:t>
      </w:r>
      <w:r w:rsidRPr="00AE2E4D">
        <w:rPr>
          <w:rFonts w:asciiTheme="minorHAnsi" w:eastAsia="Times New Roman" w:hAnsiTheme="minorHAnsi"/>
        </w:rPr>
        <w:t>ent.</w:t>
      </w:r>
    </w:p>
  </w:footnote>
  <w:footnote w:id="21">
    <w:p w14:paraId="4CF7EA08" w14:textId="7EEDB40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Commission Proposal for a Regulation of the European Parliament and of the Council on the establishment of a European Investment Stabilisation Function, COM(2018) 387 final. The EISP would support macro-economic stabilization by preserving public investment in case of large asymmetric shocks; this would strengthen cohesion and is thus proposed to be adopted on the basis of Art 175(3) TFEU (ibid, 3). This instrument would seek to fill the gap between euro bud</w:t>
      </w:r>
      <w:r w:rsidRPr="00AE2E4D">
        <w:rPr>
          <w:rStyle w:val="FootnoteReference"/>
          <w:rFonts w:asciiTheme="minorHAnsi" w:hAnsiTheme="minorHAnsi"/>
          <w:vertAlign w:val="baseline"/>
        </w:rPr>
        <w:t>g</w:t>
      </w:r>
      <w:r w:rsidRPr="00AE2E4D">
        <w:rPr>
          <w:rStyle w:val="FootnoteReference"/>
          <w:rFonts w:asciiTheme="minorHAnsi" w:hAnsiTheme="minorHAnsi"/>
          <w:vertAlign w:val="baseline"/>
        </w:rPr>
        <w:t>etary tools to incentivize national economic reforms, and any assistance granted by the EMF.</w:t>
      </w:r>
    </w:p>
  </w:footnote>
  <w:footnote w:id="22">
    <w:p w14:paraId="27514B05" w14:textId="77777777" w:rsidR="00746868" w:rsidRPr="00AE2E4D" w:rsidRDefault="00746868" w:rsidP="00AE2E4D">
      <w:pPr>
        <w:pStyle w:val="FootnoteText"/>
        <w:rPr>
          <w:rStyle w:val="FootnoteReference"/>
          <w:rFonts w:asciiTheme="minorHAnsi" w:hAnsiTheme="minorHAnsi"/>
        </w:rPr>
      </w:pPr>
      <w:r w:rsidRPr="00AE2E4D">
        <w:rPr>
          <w:rStyle w:val="FootnoteReference"/>
          <w:rFonts w:asciiTheme="minorHAnsi" w:hAnsiTheme="minorHAnsi"/>
        </w:rPr>
        <w:footnoteRef/>
      </w:r>
      <w:r w:rsidRPr="00AE2E4D">
        <w:rPr>
          <w:rStyle w:val="FootnoteReference"/>
          <w:rFonts w:asciiTheme="minorHAnsi" w:hAnsiTheme="minorHAnsi"/>
        </w:rPr>
        <w:t xml:space="preserve"> </w:t>
      </w:r>
      <w:proofErr w:type="gramStart"/>
      <w:r w:rsidRPr="00AE2E4D">
        <w:t>‘Fourteen Experts’ Report’, ibid, 12-14.</w:t>
      </w:r>
      <w:proofErr w:type="gramEnd"/>
      <w:r w:rsidRPr="00AE2E4D">
        <w:t xml:space="preserve"> </w:t>
      </w:r>
      <w:proofErr w:type="gramStart"/>
      <w:r w:rsidRPr="00AE2E4D">
        <w:t>This potential debt-restructuring role was also pr</w:t>
      </w:r>
      <w:r w:rsidRPr="00AE2E4D">
        <w:t>o</w:t>
      </w:r>
      <w:r w:rsidRPr="00AE2E4D">
        <w:t xml:space="preserve">posed by </w:t>
      </w:r>
      <w:proofErr w:type="spellStart"/>
      <w:r w:rsidRPr="00AE2E4D">
        <w:t>Schäuble</w:t>
      </w:r>
      <w:proofErr w:type="spellEnd"/>
      <w:r w:rsidRPr="00AE2E4D">
        <w:t>, ‘Non-paper for paving the way towards a Stability Union’</w:t>
      </w:r>
      <w:proofErr w:type="gramEnd"/>
      <w:r w:rsidRPr="00AE2E4D">
        <w:t xml:space="preserve"> (2017). See also K </w:t>
      </w:r>
      <w:proofErr w:type="spellStart"/>
      <w:r w:rsidRPr="00AE2E4D">
        <w:t>Regling</w:t>
      </w:r>
      <w:proofErr w:type="spellEnd"/>
      <w:r w:rsidRPr="00AE2E4D">
        <w:t xml:space="preserve">, ‘A European Monetary Fund: for what purpose?’ </w:t>
      </w:r>
      <w:proofErr w:type="gramStart"/>
      <w:r w:rsidRPr="00AE2E4D">
        <w:t>Speech given at Euro 50 Group confe</w:t>
      </w:r>
      <w:r w:rsidRPr="00AE2E4D">
        <w:t>r</w:t>
      </w:r>
      <w:r w:rsidRPr="00AE2E4D">
        <w:t>ence, Brussels, 10 April 2018.</w:t>
      </w:r>
      <w:proofErr w:type="gramEnd"/>
      <w:r w:rsidRPr="00AE2E4D">
        <w:t xml:space="preserve"> The Commission’s proposal does not touch upon the topic.</w:t>
      </w:r>
      <w:r w:rsidRPr="00AE2E4D">
        <w:rPr>
          <w:rStyle w:val="FootnoteReference"/>
          <w:rFonts w:asciiTheme="minorHAnsi" w:hAnsiTheme="minorHAnsi"/>
        </w:rPr>
        <w:t xml:space="preserve"> </w:t>
      </w:r>
      <w:r w:rsidRPr="00AE2E4D">
        <w:rPr>
          <w:rFonts w:asciiTheme="minorHAnsi" w:hAnsiTheme="minorHAnsi"/>
        </w:rPr>
        <w:t xml:space="preserve">The </w:t>
      </w:r>
      <w:proofErr w:type="spellStart"/>
      <w:r w:rsidRPr="00AE2E4D">
        <w:rPr>
          <w:rFonts w:asciiTheme="minorHAnsi" w:hAnsiTheme="minorHAnsi"/>
        </w:rPr>
        <w:t>E</w:t>
      </w:r>
      <w:r w:rsidRPr="00AE2E4D">
        <w:rPr>
          <w:rFonts w:asciiTheme="minorHAnsi" w:hAnsiTheme="minorHAnsi"/>
        </w:rPr>
        <w:t>u</w:t>
      </w:r>
      <w:r w:rsidRPr="00AE2E4D">
        <w:rPr>
          <w:rFonts w:asciiTheme="minorHAnsi" w:hAnsiTheme="minorHAnsi"/>
        </w:rPr>
        <w:t>rogroup’s</w:t>
      </w:r>
      <w:proofErr w:type="spellEnd"/>
      <w:r w:rsidRPr="00AE2E4D">
        <w:rPr>
          <w:rFonts w:asciiTheme="minorHAnsi" w:hAnsiTheme="minorHAnsi"/>
        </w:rPr>
        <w:t xml:space="preserve"> package of proposals (endorsed by the Euro Summit) is very cautious in this respect; there is an intention to introduce single limb collective action clauses for sovereign bonds by 2022, and to introduce this commitment into the ESM Treaty. ‘When appropriate, and if reques</w:t>
      </w:r>
      <w:r w:rsidRPr="00AE2E4D">
        <w:rPr>
          <w:rFonts w:asciiTheme="minorHAnsi" w:hAnsiTheme="minorHAnsi"/>
        </w:rPr>
        <w:t>t</w:t>
      </w:r>
      <w:r w:rsidRPr="00AE2E4D">
        <w:rPr>
          <w:rFonts w:asciiTheme="minorHAnsi" w:hAnsiTheme="minorHAnsi"/>
        </w:rPr>
        <w:t>ed by the Member State, the ESM may facilitate the dialogue between its Members and private investors. This involvement would take place on a voluntary, informal, non-binding, temporary, and confidential basis.’ (</w:t>
      </w:r>
      <w:proofErr w:type="spellStart"/>
      <w:r w:rsidRPr="00AE2E4D">
        <w:rPr>
          <w:rFonts w:asciiTheme="minorHAnsi" w:hAnsiTheme="minorHAnsi"/>
        </w:rPr>
        <w:t>Eurogroup</w:t>
      </w:r>
      <w:proofErr w:type="spellEnd"/>
      <w:r w:rsidRPr="00AE2E4D">
        <w:rPr>
          <w:rFonts w:asciiTheme="minorHAnsi" w:hAnsiTheme="minorHAnsi"/>
        </w:rPr>
        <w:t xml:space="preserve"> report, n </w:t>
      </w:r>
      <w:r w:rsidRPr="00AE2E4D">
        <w:rPr>
          <w:rFonts w:asciiTheme="minorHAnsi" w:hAnsiTheme="minorHAnsi"/>
        </w:rPr>
        <w:fldChar w:fldCharType="begin"/>
      </w:r>
      <w:r w:rsidRPr="00AE2E4D">
        <w:rPr>
          <w:rFonts w:asciiTheme="minorHAnsi" w:hAnsiTheme="minorHAnsi"/>
        </w:rPr>
        <w:instrText xml:space="preserve"> NOTEREF _Ref415307206 \h </w:instrText>
      </w:r>
      <w:r w:rsidRPr="00AE2E4D">
        <w:rPr>
          <w:rFonts w:asciiTheme="minorHAnsi" w:hAnsiTheme="minorHAnsi"/>
        </w:rPr>
      </w:r>
      <w:r w:rsidRPr="00AE2E4D">
        <w:rPr>
          <w:rFonts w:asciiTheme="minorHAnsi" w:hAnsiTheme="minorHAnsi"/>
        </w:rPr>
        <w:fldChar w:fldCharType="separate"/>
      </w:r>
      <w:r>
        <w:rPr>
          <w:rFonts w:asciiTheme="minorHAnsi" w:hAnsiTheme="minorHAnsi"/>
        </w:rPr>
        <w:t>15</w:t>
      </w:r>
      <w:r w:rsidRPr="00AE2E4D">
        <w:rPr>
          <w:rFonts w:asciiTheme="minorHAnsi" w:hAnsiTheme="minorHAnsi"/>
        </w:rPr>
        <w:fldChar w:fldCharType="end"/>
      </w:r>
      <w:r w:rsidRPr="00AE2E4D">
        <w:rPr>
          <w:rFonts w:asciiTheme="minorHAnsi" w:hAnsiTheme="minorHAnsi"/>
        </w:rPr>
        <w:t>)</w:t>
      </w:r>
    </w:p>
  </w:footnote>
  <w:footnote w:id="23">
    <w:p w14:paraId="74B7C672"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‘…[T]he Board of Governors shall request the Commission, in liaison with the ECB, and in cooperation with the EMF, to negotiate, with the EMF Member concerned, a memorandum of u</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derstanding (‘</w:t>
      </w:r>
      <w:proofErr w:type="spellStart"/>
      <w:r w:rsidRPr="00AE2E4D">
        <w:rPr>
          <w:rStyle w:val="FootnoteReference"/>
          <w:rFonts w:asciiTheme="minorHAnsi" w:hAnsiTheme="minorHAnsi"/>
          <w:vertAlign w:val="baseline"/>
        </w:rPr>
        <w:t>MoU</w:t>
      </w:r>
      <w:proofErr w:type="spellEnd"/>
      <w:r w:rsidRPr="00AE2E4D">
        <w:rPr>
          <w:rStyle w:val="FootnoteReference"/>
          <w:rFonts w:asciiTheme="minorHAnsi" w:hAnsiTheme="minorHAnsi"/>
          <w:vertAlign w:val="baseline"/>
        </w:rPr>
        <w:t>’) detailing the policy conditions attached to the financial assistance facility.’ Art 13.3 of the (proposed) Statute of the EMF; Annex to the Proposal for a Council Regulation on the establishment of the European Monetary Fund, COM(2017) 827 final. The current ESM Ma</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 xml:space="preserve">aging Director agrees with this proposal: K </w:t>
      </w:r>
      <w:proofErr w:type="spellStart"/>
      <w:r w:rsidRPr="00AE2E4D">
        <w:rPr>
          <w:rStyle w:val="FootnoteReference"/>
          <w:rFonts w:asciiTheme="minorHAnsi" w:hAnsiTheme="minorHAnsi"/>
          <w:vertAlign w:val="baseline"/>
        </w:rPr>
        <w:t>Regling</w:t>
      </w:r>
      <w:proofErr w:type="spellEnd"/>
      <w:r w:rsidRPr="00AE2E4D">
        <w:rPr>
          <w:rStyle w:val="FootnoteReference"/>
          <w:rFonts w:asciiTheme="minorHAnsi" w:hAnsiTheme="minorHAnsi"/>
          <w:vertAlign w:val="baseline"/>
        </w:rPr>
        <w:t>, ‘A European Monetary Fund: for what pu</w:t>
      </w:r>
      <w:r w:rsidRPr="00AE2E4D">
        <w:rPr>
          <w:rStyle w:val="FootnoteReference"/>
          <w:rFonts w:asciiTheme="minorHAnsi" w:hAnsiTheme="minorHAnsi"/>
          <w:vertAlign w:val="baseline"/>
        </w:rPr>
        <w:t>r</w:t>
      </w:r>
      <w:r w:rsidRPr="00AE2E4D">
        <w:rPr>
          <w:rStyle w:val="FootnoteReference"/>
          <w:rFonts w:asciiTheme="minorHAnsi" w:hAnsiTheme="minorHAnsi"/>
          <w:vertAlign w:val="baseline"/>
        </w:rPr>
        <w:t xml:space="preserve">pose?’ Speech given at Euro 50 Group conference, Brussels, 10 April 2018. </w:t>
      </w:r>
    </w:p>
  </w:footnote>
  <w:footnote w:id="24">
    <w:p w14:paraId="4944F621"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Fourteen Experts’ Report,</w:t>
      </w:r>
      <w:r w:rsidRPr="00AE2E4D">
        <w:rPr>
          <w:rFonts w:asciiTheme="minorHAnsi" w:hAnsiTheme="minorHAnsi"/>
        </w:rPr>
        <w:t xml:space="preserve"> </w:t>
      </w:r>
      <w:proofErr w:type="gramStart"/>
      <w:r w:rsidRPr="00AE2E4D">
        <w:rPr>
          <w:rFonts w:asciiTheme="minorHAnsi" w:hAnsiTheme="minorHAnsi"/>
        </w:rPr>
        <w:t>n</w:t>
      </w:r>
      <w:proofErr w:type="gramEnd"/>
      <w:r w:rsidRPr="00AE2E4D">
        <w:rPr>
          <w:rFonts w:asciiTheme="minorHAnsi" w:hAnsiTheme="minorHAnsi"/>
        </w:rPr>
        <w:t xml:space="preserve"> </w:t>
      </w:r>
      <w:r w:rsidRPr="00AE2E4D">
        <w:rPr>
          <w:rFonts w:asciiTheme="minorHAnsi" w:hAnsiTheme="minorHAnsi"/>
        </w:rPr>
        <w:fldChar w:fldCharType="begin"/>
      </w:r>
      <w:r w:rsidRPr="00AE2E4D">
        <w:rPr>
          <w:rFonts w:asciiTheme="minorHAnsi" w:hAnsiTheme="minorHAnsi"/>
        </w:rPr>
        <w:instrText xml:space="preserve"> NOTEREF _Ref405283524 \h </w:instrText>
      </w:r>
      <w:r w:rsidRPr="00AE2E4D">
        <w:rPr>
          <w:rFonts w:asciiTheme="minorHAnsi" w:hAnsiTheme="minorHAnsi"/>
        </w:rPr>
      </w:r>
      <w:r w:rsidRPr="00AE2E4D">
        <w:rPr>
          <w:rFonts w:asciiTheme="minorHAnsi" w:hAnsiTheme="minorHAnsi"/>
        </w:rPr>
        <w:fldChar w:fldCharType="separate"/>
      </w:r>
      <w:r>
        <w:rPr>
          <w:rFonts w:asciiTheme="minorHAnsi" w:hAnsiTheme="minorHAnsi"/>
        </w:rPr>
        <w:t>18</w:t>
      </w:r>
      <w:r w:rsidRPr="00AE2E4D">
        <w:rPr>
          <w:rFonts w:asciiTheme="minorHAnsi" w:hAnsiTheme="minorHAnsi"/>
        </w:rPr>
        <w:fldChar w:fldCharType="end"/>
      </w:r>
      <w:r w:rsidRPr="00AE2E4D">
        <w:rPr>
          <w:rFonts w:asciiTheme="minorHAnsi" w:hAnsiTheme="minorHAnsi"/>
        </w:rPr>
        <w:t>,</w:t>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pg</w:t>
      </w:r>
      <w:proofErr w:type="spellEnd"/>
      <w:r w:rsidRPr="00AE2E4D">
        <w:rPr>
          <w:rStyle w:val="FootnoteReference"/>
          <w:rFonts w:asciiTheme="minorHAnsi" w:hAnsiTheme="minorHAnsi"/>
          <w:vertAlign w:val="baseline"/>
        </w:rPr>
        <w:t xml:space="preserve"> 20.</w:t>
      </w:r>
    </w:p>
  </w:footnote>
  <w:footnote w:id="25">
    <w:p w14:paraId="75A32D6C" w14:textId="77777777"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r w:rsidRPr="00AE2E4D">
        <w:rPr>
          <w:rFonts w:asciiTheme="minorHAnsi" w:eastAsia="Times New Roman" w:hAnsiTheme="minorHAnsi"/>
        </w:rPr>
        <w:t>Joint position on future cooperation between the European Commission and the ESM, 14 November 2018.</w:t>
      </w:r>
    </w:p>
  </w:footnote>
  <w:footnote w:id="26">
    <w:p w14:paraId="1012757C" w14:textId="77777777"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proofErr w:type="gramStart"/>
      <w:r w:rsidRPr="00AE2E4D">
        <w:rPr>
          <w:rFonts w:asciiTheme="minorHAnsi" w:eastAsia="Times New Roman" w:hAnsiTheme="minorHAnsi"/>
        </w:rPr>
        <w:t>Euro Summit Statement, 14 December 2018, EURO 503/18.</w:t>
      </w:r>
      <w:proofErr w:type="gramEnd"/>
    </w:p>
  </w:footnote>
  <w:footnote w:id="27">
    <w:p w14:paraId="0BD851D0" w14:textId="1533B19F"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‘[S]</w:t>
      </w:r>
      <w:proofErr w:type="spellStart"/>
      <w:r w:rsidRPr="00AE2E4D">
        <w:rPr>
          <w:rStyle w:val="FootnoteReference"/>
          <w:rFonts w:asciiTheme="minorHAnsi" w:hAnsiTheme="minorHAnsi"/>
          <w:vertAlign w:val="baseline"/>
        </w:rPr>
        <w:t>pecific</w:t>
      </w:r>
      <w:proofErr w:type="spellEnd"/>
      <w:r w:rsidRPr="00AE2E4D">
        <w:rPr>
          <w:rStyle w:val="FootnoteReference"/>
          <w:rFonts w:asciiTheme="minorHAnsi" w:hAnsiTheme="minorHAnsi"/>
          <w:vertAlign w:val="baseline"/>
        </w:rPr>
        <w:t xml:space="preserve"> decisions on stability support, disbursements and the deployment of the bac</w:t>
      </w:r>
      <w:r w:rsidRPr="00AE2E4D">
        <w:rPr>
          <w:rStyle w:val="FootnoteReference"/>
          <w:rFonts w:asciiTheme="minorHAnsi" w:hAnsiTheme="minorHAnsi"/>
          <w:vertAlign w:val="baseline"/>
        </w:rPr>
        <w:t>k</w:t>
      </w:r>
      <w:r w:rsidRPr="00AE2E4D">
        <w:rPr>
          <w:rStyle w:val="FootnoteReference"/>
          <w:rFonts w:asciiTheme="minorHAnsi" w:hAnsiTheme="minorHAnsi"/>
          <w:vertAlign w:val="baseline"/>
        </w:rPr>
        <w:t>stop’; the Commission proposes to maintain unanimity voting ‘for all major decisions with fina</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cial impact (e.g. capital calls)’: Commission Proposal for a Council Regulation on the establis</w:t>
      </w:r>
      <w:r w:rsidRPr="00AE2E4D">
        <w:rPr>
          <w:rStyle w:val="FootnoteReference"/>
          <w:rFonts w:asciiTheme="minorHAnsi" w:hAnsiTheme="minorHAnsi"/>
          <w:vertAlign w:val="baseline"/>
        </w:rPr>
        <w:t>h</w:t>
      </w:r>
      <w:r w:rsidRPr="00AE2E4D">
        <w:rPr>
          <w:rStyle w:val="FootnoteReference"/>
          <w:rFonts w:asciiTheme="minorHAnsi" w:hAnsiTheme="minorHAnsi"/>
          <w:vertAlign w:val="baseline"/>
        </w:rPr>
        <w:t xml:space="preserve">ment of a European Monetary Fund, Brussels, 6.12.2017 COM(2017) 827 final, </w:t>
      </w:r>
      <w:proofErr w:type="spellStart"/>
      <w:r w:rsidRPr="00AE2E4D">
        <w:rPr>
          <w:rStyle w:val="FootnoteReference"/>
          <w:rFonts w:asciiTheme="minorHAnsi" w:hAnsiTheme="minorHAnsi"/>
          <w:vertAlign w:val="baseline"/>
        </w:rPr>
        <w:t>pg</w:t>
      </w:r>
      <w:proofErr w:type="spellEnd"/>
      <w:r w:rsidRPr="00AE2E4D">
        <w:rPr>
          <w:rStyle w:val="FootnoteReference"/>
          <w:rFonts w:asciiTheme="minorHAnsi" w:hAnsiTheme="minorHAnsi"/>
          <w:vertAlign w:val="baseline"/>
        </w:rPr>
        <w:t xml:space="preserve"> 6.</w:t>
      </w:r>
    </w:p>
  </w:footnote>
  <w:footnote w:id="28">
    <w:p w14:paraId="75069534" w14:textId="428DEF7C"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w:t>
      </w:r>
      <w:proofErr w:type="spellStart"/>
      <w:r w:rsidRPr="00AE2E4D">
        <w:rPr>
          <w:rStyle w:val="FootnoteReference"/>
          <w:rFonts w:asciiTheme="minorHAnsi" w:hAnsiTheme="minorHAnsi"/>
          <w:vertAlign w:val="baseline"/>
        </w:rPr>
        <w:t>pg</w:t>
      </w:r>
      <w:proofErr w:type="spellEnd"/>
      <w:r w:rsidRPr="00AE2E4D">
        <w:rPr>
          <w:rStyle w:val="FootnoteReference"/>
          <w:rFonts w:asciiTheme="minorHAnsi" w:hAnsiTheme="minorHAnsi"/>
          <w:vertAlign w:val="baseline"/>
        </w:rPr>
        <w:t xml:space="preserve"> 3.</w:t>
      </w:r>
    </w:p>
  </w:footnote>
  <w:footnote w:id="29">
    <w:p w14:paraId="02C448C0" w14:textId="10220691"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‘Completing Europe’s Economic and Monetary Union’, Report by Jean-Claude Junker, in close cooperation with Donald Tusk, Jeroen Dijsselbloem, Mario Draghi, and Martin Schulz (‘The Five Presidents’ Report), June 2015.</w:t>
      </w:r>
    </w:p>
  </w:footnote>
  <w:footnote w:id="30">
    <w:p w14:paraId="211E62E7"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But </w:t>
      </w:r>
      <w:proofErr w:type="spellStart"/>
      <w:r w:rsidRPr="00AE2E4D">
        <w:rPr>
          <w:rStyle w:val="FootnoteReference"/>
          <w:rFonts w:asciiTheme="minorHAnsi" w:hAnsiTheme="minorHAnsi"/>
          <w:vertAlign w:val="baseline"/>
        </w:rPr>
        <w:t>cf</w:t>
      </w:r>
      <w:proofErr w:type="spellEnd"/>
      <w:r w:rsidRPr="00AE2E4D">
        <w:rPr>
          <w:rStyle w:val="FootnoteReference"/>
          <w:rFonts w:asciiTheme="minorHAnsi" w:hAnsiTheme="minorHAnsi"/>
          <w:vertAlign w:val="baseline"/>
        </w:rPr>
        <w:t xml:space="preserve"> the ECB’s objections to the use of the name ‘EMF’, n </w:t>
      </w:r>
      <w:r w:rsidRPr="00AE2E4D">
        <w:rPr>
          <w:rStyle w:val="FootnoteReference"/>
          <w:rFonts w:asciiTheme="minorHAnsi" w:hAnsiTheme="minorHAnsi"/>
          <w:vertAlign w:val="baseline"/>
        </w:rPr>
        <w:fldChar w:fldCharType="begin"/>
      </w:r>
      <w:r w:rsidRPr="00AE2E4D">
        <w:rPr>
          <w:rStyle w:val="FootnoteReference"/>
          <w:rFonts w:asciiTheme="minorHAnsi" w:hAnsiTheme="minorHAnsi"/>
          <w:vertAlign w:val="baseline"/>
        </w:rPr>
        <w:instrText xml:space="preserve"> NOTEREF _Ref395868693 \h </w:instrText>
      </w:r>
      <w:r w:rsidRPr="00AE2E4D">
        <w:rPr>
          <w:rStyle w:val="FootnoteReference"/>
          <w:rFonts w:asciiTheme="minorHAnsi" w:hAnsiTheme="minorHAnsi"/>
          <w:vertAlign w:val="baseline"/>
        </w:rPr>
      </w:r>
      <w:r w:rsidRPr="00AE2E4D">
        <w:rPr>
          <w:rStyle w:val="FootnoteReference"/>
          <w:rFonts w:asciiTheme="minorHAnsi" w:hAnsiTheme="minorHAnsi"/>
          <w:vertAlign w:val="baseline"/>
        </w:rPr>
        <w:fldChar w:fldCharType="separate"/>
      </w:r>
      <w:r>
        <w:rPr>
          <w:rStyle w:val="FootnoteReference"/>
          <w:rFonts w:asciiTheme="minorHAnsi" w:hAnsiTheme="minorHAnsi"/>
          <w:vertAlign w:val="baseline"/>
        </w:rPr>
        <w:t>9</w:t>
      </w:r>
      <w:r w:rsidRPr="00AE2E4D">
        <w:rPr>
          <w:rStyle w:val="FootnoteReference"/>
          <w:rFonts w:asciiTheme="minorHAnsi" w:hAnsiTheme="minorHAnsi"/>
          <w:vertAlign w:val="baseline"/>
        </w:rPr>
        <w:fldChar w:fldCharType="end"/>
      </w:r>
      <w:r w:rsidRPr="00AE2E4D">
        <w:rPr>
          <w:rStyle w:val="FootnoteReference"/>
          <w:rFonts w:asciiTheme="minorHAnsi" w:hAnsiTheme="minorHAnsi"/>
          <w:vertAlign w:val="baseline"/>
        </w:rPr>
        <w:t>.</w:t>
      </w:r>
    </w:p>
  </w:footnote>
  <w:footnote w:id="31">
    <w:p w14:paraId="724EF1F9" w14:textId="14C52F43"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Bruno distinguishes between those who think a future EMF should retain the ESM’s market-correcting purpose, or be oriented towards market discipline: F Bruno, ‘The Future of the ESM: Towards a Deeper EMU?’, blog post in euvisions.eu (8 January 2018).</w:t>
      </w:r>
      <w:r>
        <w:rPr>
          <w:rFonts w:asciiTheme="minorHAnsi" w:hAnsiTheme="minorHAnsi"/>
        </w:rPr>
        <w:t xml:space="preserve"> </w:t>
      </w:r>
      <w:r w:rsidRPr="00D3790C">
        <w:rPr>
          <w:rFonts w:asciiTheme="minorHAnsi" w:hAnsiTheme="minorHAnsi"/>
          <w:lang w:val="en-US"/>
        </w:rPr>
        <w:t>See also, about the dis</w:t>
      </w:r>
      <w:r w:rsidRPr="00D3790C">
        <w:rPr>
          <w:rFonts w:asciiTheme="minorHAnsi" w:hAnsiTheme="minorHAnsi"/>
          <w:lang w:val="en-US"/>
        </w:rPr>
        <w:t>a</w:t>
      </w:r>
      <w:r w:rsidRPr="00D3790C">
        <w:rPr>
          <w:rFonts w:asciiTheme="minorHAnsi" w:hAnsiTheme="minorHAnsi"/>
          <w:lang w:val="en-US"/>
        </w:rPr>
        <w:t>greements underlying the whole Commission package on EMU reform:  Editorial Comments, ‘Tinkering with Economic and Monetary Union’ (2018) 55 Common Market Law Review, 709.</w:t>
      </w:r>
    </w:p>
  </w:footnote>
  <w:footnote w:id="32">
    <w:p w14:paraId="231C2145" w14:textId="5BDE33B7" w:rsidR="00746868" w:rsidRPr="00D3790C" w:rsidRDefault="00746868">
      <w:pPr>
        <w:pStyle w:val="FootnoteText"/>
        <w:rPr>
          <w:lang w:val="en-US"/>
        </w:rPr>
      </w:pPr>
      <w:r>
        <w:rPr>
          <w:rStyle w:val="FootnoteReference"/>
        </w:rPr>
        <w:footnoteRef/>
      </w:r>
      <w:r>
        <w:t xml:space="preserve"> </w:t>
      </w:r>
      <w:r>
        <w:rPr>
          <w:lang w:val="en-US"/>
        </w:rPr>
        <w:t>(</w:t>
      </w:r>
      <w:proofErr w:type="gramStart"/>
      <w:r>
        <w:rPr>
          <w:lang w:val="en-US"/>
        </w:rPr>
        <w:t>n</w:t>
      </w:r>
      <w:proofErr w:type="gramEnd"/>
      <w:r>
        <w:rPr>
          <w:lang w:val="en-US"/>
        </w:rPr>
        <w:t xml:space="preserve"> </w:t>
      </w:r>
      <w:r>
        <w:rPr>
          <w:lang w:val="en-US"/>
        </w:rPr>
        <w:fldChar w:fldCharType="begin"/>
      </w:r>
      <w:r>
        <w:rPr>
          <w:lang w:val="en-US"/>
        </w:rPr>
        <w:instrText xml:space="preserve"> NOTEREF _Ref429819287 \h </w:instrText>
      </w:r>
      <w:r>
        <w:rPr>
          <w:lang w:val="en-US"/>
        </w:rPr>
      </w:r>
      <w:r>
        <w:rPr>
          <w:lang w:val="en-US"/>
        </w:rPr>
        <w:fldChar w:fldCharType="separate"/>
      </w:r>
      <w:r>
        <w:rPr>
          <w:lang w:val="en-US"/>
        </w:rPr>
        <w:t>14</w:t>
      </w:r>
      <w:r>
        <w:rPr>
          <w:lang w:val="en-US"/>
        </w:rPr>
        <w:fldChar w:fldCharType="end"/>
      </w:r>
      <w:r>
        <w:rPr>
          <w:lang w:val="en-US"/>
        </w:rPr>
        <w:t>).</w:t>
      </w:r>
    </w:p>
  </w:footnote>
  <w:footnote w:id="33">
    <w:p w14:paraId="1526AE10" w14:textId="782A4630"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The first statement</w:t>
      </w:r>
      <w:r w:rsidRPr="00AE2E4D">
        <w:rPr>
          <w:rFonts w:asciiTheme="minorHAnsi" w:hAnsiTheme="minorHAnsi"/>
        </w:rPr>
        <w:t xml:space="preserve"> </w:t>
      </w:r>
      <w:proofErr w:type="gramStart"/>
      <w:r w:rsidRPr="00AE2E4D">
        <w:rPr>
          <w:rFonts w:asciiTheme="minorHAnsi" w:hAnsiTheme="minorHAnsi"/>
        </w:rPr>
        <w:t>of</w:t>
      </w:r>
      <w:proofErr w:type="gramEnd"/>
      <w:r w:rsidRPr="00AE2E4D">
        <w:rPr>
          <w:rFonts w:asciiTheme="minorHAnsi" w:hAnsiTheme="minorHAnsi"/>
        </w:rPr>
        <w:t xml:space="preserve"> the ‘New Hanseatic League’</w:t>
      </w:r>
      <w:r w:rsidRPr="00AE2E4D">
        <w:rPr>
          <w:rStyle w:val="FootnoteReference"/>
          <w:rFonts w:asciiTheme="minorHAnsi" w:hAnsiTheme="minorHAnsi"/>
          <w:vertAlign w:val="baseline"/>
        </w:rPr>
        <w:t xml:space="preserve"> was signed by Denmark, Estonia, Finland, Ireland, Latvia, Lithuania, the Netherlands and Sweden</w:t>
      </w:r>
      <w:r w:rsidRPr="00AE2E4D">
        <w:rPr>
          <w:rFonts w:asciiTheme="minorHAnsi" w:hAnsiTheme="minorHAnsi"/>
        </w:rPr>
        <w:t xml:space="preserve"> in March 2018 </w:t>
      </w:r>
      <w:r w:rsidRPr="00AE2E4D">
        <w:rPr>
          <w:rStyle w:val="FootnoteReference"/>
          <w:rFonts w:asciiTheme="minorHAnsi" w:hAnsiTheme="minorHAnsi"/>
          <w:vertAlign w:val="baseline"/>
        </w:rPr>
        <w:t>included a defence of the intergovernmental nature of the ESM/EMF:</w:t>
      </w:r>
    </w:p>
    <w:p w14:paraId="24CBB331" w14:textId="35A62695" w:rsidR="00746868" w:rsidRPr="00AE2E4D" w:rsidRDefault="00746868" w:rsidP="00AE2E4D">
      <w:pPr>
        <w:pStyle w:val="FootnoteText"/>
        <w:rPr>
          <w:rFonts w:asciiTheme="minorHAnsi" w:hAnsiTheme="minorHAnsi"/>
        </w:rPr>
      </w:pPr>
      <w:r w:rsidRPr="00AE2E4D">
        <w:rPr>
          <w:rStyle w:val="FootnoteReference"/>
          <w:rFonts w:asciiTheme="minorHAnsi" w:hAnsiTheme="minorHAnsi"/>
          <w:vertAlign w:val="baseline"/>
        </w:rPr>
        <w:t xml:space="preserve"> https://www.government.se/statements/2018/03/finance-ministers-from-denmark-estonia-finland-ireland-latvia-lithuania-the-netherlands-and-sweden/</w:t>
      </w:r>
    </w:p>
    <w:p w14:paraId="1103BD3D" w14:textId="62C950A0" w:rsidR="00746868" w:rsidRPr="00AE2E4D" w:rsidRDefault="00746868" w:rsidP="00AE2E4D">
      <w:pPr>
        <w:pStyle w:val="FootnoteText"/>
        <w:rPr>
          <w:rStyle w:val="FootnoteReference"/>
          <w:rFonts w:asciiTheme="minorHAnsi" w:hAnsiTheme="minorHAnsi"/>
          <w:vertAlign w:val="baseline"/>
        </w:rPr>
      </w:pPr>
      <w:proofErr w:type="gramStart"/>
      <w:r w:rsidRPr="00AE2E4D">
        <w:rPr>
          <w:rFonts w:asciiTheme="minorHAnsi" w:hAnsiTheme="minorHAnsi"/>
        </w:rPr>
        <w:t>The New Hanseatic League made further proposals in November 2018</w:t>
      </w:r>
      <w:proofErr w:type="gramEnd"/>
      <w:r w:rsidRPr="00AE2E4D">
        <w:rPr>
          <w:rFonts w:asciiTheme="minorHAnsi" w:hAnsiTheme="minorHAnsi"/>
        </w:rPr>
        <w:t xml:space="preserve">, </w:t>
      </w:r>
      <w:proofErr w:type="gramStart"/>
      <w:r w:rsidRPr="00AE2E4D">
        <w:rPr>
          <w:rFonts w:asciiTheme="minorHAnsi" w:hAnsiTheme="minorHAnsi"/>
        </w:rPr>
        <w:t xml:space="preserve">see n </w:t>
      </w:r>
      <w:r w:rsidRPr="00AE2E4D">
        <w:rPr>
          <w:rFonts w:asciiTheme="minorHAnsi" w:hAnsiTheme="minorHAnsi"/>
        </w:rPr>
        <w:fldChar w:fldCharType="begin"/>
      </w:r>
      <w:r w:rsidRPr="00AE2E4D">
        <w:rPr>
          <w:rFonts w:asciiTheme="minorHAnsi" w:hAnsiTheme="minorHAnsi"/>
        </w:rPr>
        <w:instrText xml:space="preserve"> NOTEREF _Ref415749701 \h </w:instrText>
      </w:r>
      <w:r w:rsidRPr="00AE2E4D">
        <w:rPr>
          <w:rFonts w:asciiTheme="minorHAnsi" w:hAnsiTheme="minorHAnsi"/>
        </w:rPr>
      </w:r>
      <w:r w:rsidRPr="00AE2E4D">
        <w:rPr>
          <w:rFonts w:asciiTheme="minorHAnsi" w:hAnsiTheme="minorHAnsi"/>
        </w:rPr>
        <w:fldChar w:fldCharType="separate"/>
      </w:r>
      <w:r>
        <w:rPr>
          <w:rFonts w:asciiTheme="minorHAnsi" w:hAnsiTheme="minorHAnsi"/>
        </w:rPr>
        <w:t>33</w:t>
      </w:r>
      <w:r w:rsidRPr="00AE2E4D">
        <w:rPr>
          <w:rFonts w:asciiTheme="minorHAnsi" w:hAnsiTheme="minorHAnsi"/>
        </w:rPr>
        <w:fldChar w:fldCharType="end"/>
      </w:r>
      <w:r w:rsidRPr="00AE2E4D">
        <w:rPr>
          <w:rFonts w:asciiTheme="minorHAnsi" w:hAnsiTheme="minorHAnsi"/>
        </w:rPr>
        <w:t xml:space="preserve"> below</w:t>
      </w:r>
      <w:proofErr w:type="gramEnd"/>
      <w:r w:rsidRPr="00AE2E4D">
        <w:rPr>
          <w:rFonts w:asciiTheme="minorHAnsi" w:hAnsiTheme="minorHAnsi"/>
        </w:rPr>
        <w:t>.</w:t>
      </w:r>
    </w:p>
  </w:footnote>
  <w:footnote w:id="34">
    <w:p w14:paraId="51896104" w14:textId="00482B84"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r w:rsidRPr="00AE2E4D">
        <w:rPr>
          <w:rFonts w:asciiTheme="minorHAnsi" w:eastAsia="Times New Roman" w:hAnsiTheme="minorHAnsi"/>
        </w:rPr>
        <w:t xml:space="preserve">‘Hawkish European capitals lobby to beef up </w:t>
      </w:r>
      <w:proofErr w:type="spellStart"/>
      <w:r w:rsidRPr="00AE2E4D">
        <w:rPr>
          <w:rFonts w:asciiTheme="minorHAnsi" w:eastAsia="Times New Roman" w:hAnsiTheme="minorHAnsi"/>
        </w:rPr>
        <w:t>eurozone</w:t>
      </w:r>
      <w:proofErr w:type="spellEnd"/>
      <w:r w:rsidRPr="00AE2E4D">
        <w:rPr>
          <w:rFonts w:asciiTheme="minorHAnsi" w:eastAsia="Times New Roman" w:hAnsiTheme="minorHAnsi"/>
        </w:rPr>
        <w:t xml:space="preserve"> bailout fund’ Financial Times, 2 N</w:t>
      </w:r>
      <w:r w:rsidRPr="00AE2E4D">
        <w:rPr>
          <w:rFonts w:asciiTheme="minorHAnsi" w:eastAsia="Times New Roman" w:hAnsiTheme="minorHAnsi"/>
        </w:rPr>
        <w:t>o</w:t>
      </w:r>
      <w:r w:rsidRPr="00AE2E4D">
        <w:rPr>
          <w:rFonts w:asciiTheme="minorHAnsi" w:eastAsia="Times New Roman" w:hAnsiTheme="minorHAnsi"/>
        </w:rPr>
        <w:t>vember 2018. The League consider this greater role in scrutinizing national budgets for the ESM/future EMF necessary because of current—in their view—inadequate policing of deficit rules. The powers would apply in normal times as well as in times of crisis.</w:t>
      </w:r>
    </w:p>
  </w:footnote>
  <w:footnote w:id="35">
    <w:p w14:paraId="2AD261B1" w14:textId="1B51F9E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Regling</w:t>
      </w:r>
      <w:proofErr w:type="spellEnd"/>
      <w:r w:rsidRPr="00AE2E4D">
        <w:rPr>
          <w:rStyle w:val="FootnoteReference"/>
          <w:rFonts w:asciiTheme="minorHAnsi" w:hAnsiTheme="minorHAnsi"/>
          <w:vertAlign w:val="baseline"/>
        </w:rPr>
        <w:t xml:space="preserve"> has expressed a preference for the future EFM to be created under the framework of EU law following a Treaty amendment, and for this body to have its own statute following the model of the European Investment Bank. Since that does not seem feasible at the moment, he has argued for the ESM/EMF to remain intergovernmental in nature. K </w:t>
      </w:r>
      <w:proofErr w:type="spellStart"/>
      <w:r w:rsidRPr="00AE2E4D">
        <w:rPr>
          <w:rStyle w:val="FootnoteReference"/>
          <w:rFonts w:asciiTheme="minorHAnsi" w:hAnsiTheme="minorHAnsi"/>
          <w:vertAlign w:val="baseline"/>
        </w:rPr>
        <w:t>Regling</w:t>
      </w:r>
      <w:proofErr w:type="spellEnd"/>
      <w:r w:rsidRPr="00AE2E4D">
        <w:rPr>
          <w:rStyle w:val="FootnoteReference"/>
          <w:rFonts w:asciiTheme="minorHAnsi" w:hAnsiTheme="minorHAnsi"/>
          <w:vertAlign w:val="baseline"/>
        </w:rPr>
        <w:t>, ‘A European Mon</w:t>
      </w:r>
      <w:r w:rsidRPr="00AE2E4D">
        <w:rPr>
          <w:rStyle w:val="FootnoteReference"/>
          <w:rFonts w:asciiTheme="minorHAnsi" w:hAnsiTheme="minorHAnsi"/>
          <w:vertAlign w:val="baseline"/>
        </w:rPr>
        <w:t>e</w:t>
      </w:r>
      <w:r w:rsidRPr="00AE2E4D">
        <w:rPr>
          <w:rStyle w:val="FootnoteReference"/>
          <w:rFonts w:asciiTheme="minorHAnsi" w:hAnsiTheme="minorHAnsi"/>
          <w:vertAlign w:val="baseline"/>
        </w:rPr>
        <w:t>tary Fund: for what purpose?’ Speech given at Euro 50 Group conference, Brussels, 10 April 2018. On the comparison with the EIB, see e.g. ‘The ESM and the EIB: Comparison of Some Fe</w:t>
      </w:r>
      <w:r w:rsidRPr="00AE2E4D">
        <w:rPr>
          <w:rStyle w:val="FootnoteReference"/>
          <w:rFonts w:asciiTheme="minorHAnsi" w:hAnsiTheme="minorHAnsi"/>
          <w:vertAlign w:val="baseline"/>
        </w:rPr>
        <w:t>a</w:t>
      </w:r>
      <w:r w:rsidRPr="00AE2E4D">
        <w:rPr>
          <w:rStyle w:val="FootnoteReference"/>
          <w:rFonts w:asciiTheme="minorHAnsi" w:hAnsiTheme="minorHAnsi"/>
          <w:vertAlign w:val="baseline"/>
        </w:rPr>
        <w:t>tures’ PE614.497, 25 April 2018.</w:t>
      </w:r>
    </w:p>
  </w:footnote>
  <w:footnote w:id="36">
    <w:p w14:paraId="330647EE" w14:textId="3D4E3CFC"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‘[I]n order for the ESM to be ready to act at short notice when financial assistance is r</w:t>
      </w:r>
      <w:r w:rsidRPr="00AE2E4D">
        <w:rPr>
          <w:rStyle w:val="FootnoteReference"/>
          <w:rFonts w:asciiTheme="minorHAnsi" w:hAnsiTheme="minorHAnsi"/>
          <w:vertAlign w:val="baseline"/>
        </w:rPr>
        <w:t>e</w:t>
      </w:r>
      <w:r w:rsidRPr="00AE2E4D">
        <w:rPr>
          <w:rStyle w:val="FootnoteReference"/>
          <w:rFonts w:asciiTheme="minorHAnsi" w:hAnsiTheme="minorHAnsi"/>
          <w:vertAlign w:val="baseline"/>
        </w:rPr>
        <w:t>quested, we need to be able to regularly monitor the economic situation in all euro area cou</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 xml:space="preserve">tries, and not just the current and former programme countries’. </w:t>
      </w:r>
    </w:p>
  </w:footnote>
  <w:footnote w:id="37">
    <w:p w14:paraId="69921403" w14:textId="4376D405"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These would be shorter-term loans, to be repaid within a business cycle, granted in o</w:t>
      </w:r>
      <w:r w:rsidRPr="00AE2E4D">
        <w:rPr>
          <w:rStyle w:val="FootnoteReference"/>
          <w:rFonts w:asciiTheme="minorHAnsi" w:hAnsiTheme="minorHAnsi"/>
          <w:vertAlign w:val="baseline"/>
        </w:rPr>
        <w:t>r</w:t>
      </w:r>
      <w:r w:rsidRPr="00AE2E4D">
        <w:rPr>
          <w:rStyle w:val="FootnoteReference"/>
          <w:rFonts w:asciiTheme="minorHAnsi" w:hAnsiTheme="minorHAnsi"/>
          <w:vertAlign w:val="baseline"/>
        </w:rPr>
        <w:t>der to ‘help tackle small crises to prevent a bigger one’.</w:t>
      </w:r>
    </w:p>
  </w:footnote>
  <w:footnote w:id="38">
    <w:p w14:paraId="6215DAB2" w14:textId="2A04CA1E"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‘Fourteen Experts’ Report’: ‘Reconciling risk sharing with market discipline: A constructive approach to euro area reform’, Centre for Economic Policy Research, Policy Insight No.91, Jan</w:t>
      </w:r>
      <w:r w:rsidRPr="00AE2E4D">
        <w:rPr>
          <w:rStyle w:val="FootnoteReference"/>
          <w:rFonts w:asciiTheme="minorHAnsi" w:hAnsiTheme="minorHAnsi"/>
          <w:vertAlign w:val="baseline"/>
        </w:rPr>
        <w:t>u</w:t>
      </w:r>
      <w:r w:rsidRPr="00AE2E4D">
        <w:rPr>
          <w:rStyle w:val="FootnoteReference"/>
          <w:rFonts w:asciiTheme="minorHAnsi" w:hAnsiTheme="minorHAnsi"/>
          <w:vertAlign w:val="baseline"/>
        </w:rPr>
        <w:t>ary 2018.</w:t>
      </w:r>
    </w:p>
  </w:footnote>
  <w:footnote w:id="39">
    <w:p w14:paraId="0EA4DC49" w14:textId="01E7D6E5"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proofErr w:type="spellStart"/>
      <w:proofErr w:type="gramStart"/>
      <w:r w:rsidRPr="00AE2E4D">
        <w:rPr>
          <w:rFonts w:asciiTheme="minorHAnsi" w:eastAsia="Times New Roman" w:hAnsiTheme="minorHAnsi"/>
        </w:rPr>
        <w:t>Eurogroup</w:t>
      </w:r>
      <w:proofErr w:type="spellEnd"/>
      <w:r w:rsidRPr="00AE2E4D">
        <w:rPr>
          <w:rFonts w:asciiTheme="minorHAnsi" w:eastAsia="Times New Roman" w:hAnsiTheme="minorHAnsi"/>
        </w:rPr>
        <w:t xml:space="preserve"> report to Leaders on EMU deepening, 4 December 2018; Euro Summit Stat</w:t>
      </w:r>
      <w:r w:rsidRPr="00AE2E4D">
        <w:rPr>
          <w:rFonts w:asciiTheme="minorHAnsi" w:eastAsia="Times New Roman" w:hAnsiTheme="minorHAnsi"/>
        </w:rPr>
        <w:t>e</w:t>
      </w:r>
      <w:r w:rsidRPr="00AE2E4D">
        <w:rPr>
          <w:rFonts w:asciiTheme="minorHAnsi" w:eastAsia="Times New Roman" w:hAnsiTheme="minorHAnsi"/>
        </w:rPr>
        <w:t>ment, 14 December 2018, EURO 503/18.</w:t>
      </w:r>
      <w:proofErr w:type="gramEnd"/>
      <w:r w:rsidRPr="00AE2E4D">
        <w:rPr>
          <w:rFonts w:asciiTheme="minorHAnsi" w:eastAsia="Times New Roman" w:hAnsiTheme="minorHAnsi"/>
        </w:rPr>
        <w:t xml:space="preserve"> In general, the Euro Summit endorsed the term sheet on ESM reform presented by the </w:t>
      </w:r>
      <w:proofErr w:type="spellStart"/>
      <w:r w:rsidRPr="00AE2E4D">
        <w:rPr>
          <w:rFonts w:asciiTheme="minorHAnsi" w:eastAsia="Times New Roman" w:hAnsiTheme="minorHAnsi"/>
        </w:rPr>
        <w:t>Eurogroup</w:t>
      </w:r>
      <w:proofErr w:type="spellEnd"/>
      <w:r w:rsidRPr="00AE2E4D">
        <w:rPr>
          <w:rFonts w:asciiTheme="minorHAnsi" w:eastAsia="Times New Roman" w:hAnsiTheme="minorHAnsi"/>
        </w:rPr>
        <w:t>, and asked the latter to prepare the necessary amen</w:t>
      </w:r>
      <w:r w:rsidRPr="00AE2E4D">
        <w:rPr>
          <w:rFonts w:asciiTheme="minorHAnsi" w:eastAsia="Times New Roman" w:hAnsiTheme="minorHAnsi"/>
        </w:rPr>
        <w:t>d</w:t>
      </w:r>
      <w:r w:rsidRPr="00AE2E4D">
        <w:rPr>
          <w:rFonts w:asciiTheme="minorHAnsi" w:eastAsia="Times New Roman" w:hAnsiTheme="minorHAnsi"/>
        </w:rPr>
        <w:t>ments to the ESM Treaty by June 2019.</w:t>
      </w:r>
      <w:r>
        <w:rPr>
          <w:rFonts w:asciiTheme="minorHAnsi" w:eastAsia="Times New Roman" w:hAnsiTheme="minorHAnsi"/>
        </w:rPr>
        <w:t xml:space="preserve"> </w:t>
      </w:r>
      <w:r w:rsidRPr="00746868">
        <w:rPr>
          <w:rFonts w:asciiTheme="minorHAnsi" w:eastAsia="Times New Roman" w:hAnsiTheme="minorHAnsi"/>
          <w:lang w:val="en-US"/>
        </w:rPr>
        <w:t>The Euro Summit agreement was made possible by the previous agreement reached by Germany</w:t>
      </w:r>
      <w:r>
        <w:rPr>
          <w:rFonts w:asciiTheme="minorHAnsi" w:eastAsia="Times New Roman" w:hAnsiTheme="minorHAnsi"/>
          <w:lang w:val="en-US"/>
        </w:rPr>
        <w:t xml:space="preserve"> and France in </w:t>
      </w:r>
      <w:proofErr w:type="spellStart"/>
      <w:r>
        <w:rPr>
          <w:rFonts w:asciiTheme="minorHAnsi" w:eastAsia="Times New Roman" w:hAnsiTheme="minorHAnsi"/>
          <w:lang w:val="en-US"/>
        </w:rPr>
        <w:t>Meseberg</w:t>
      </w:r>
      <w:proofErr w:type="spellEnd"/>
      <w:r>
        <w:rPr>
          <w:rFonts w:asciiTheme="minorHAnsi" w:eastAsia="Times New Roman" w:hAnsiTheme="minorHAnsi"/>
          <w:lang w:val="en-US"/>
        </w:rPr>
        <w:t xml:space="preserve"> (n </w:t>
      </w:r>
      <w:r>
        <w:rPr>
          <w:rFonts w:asciiTheme="minorHAnsi" w:eastAsia="Times New Roman" w:hAnsiTheme="minorHAnsi"/>
          <w:lang w:val="en-US"/>
        </w:rPr>
        <w:fldChar w:fldCharType="begin"/>
      </w:r>
      <w:r>
        <w:rPr>
          <w:rFonts w:asciiTheme="minorHAnsi" w:eastAsia="Times New Roman" w:hAnsiTheme="minorHAnsi"/>
          <w:lang w:val="en-US"/>
        </w:rPr>
        <w:instrText xml:space="preserve"> NOTEREF _Ref415307206 \h </w:instrText>
      </w:r>
      <w:r>
        <w:rPr>
          <w:rFonts w:asciiTheme="minorHAnsi" w:eastAsia="Times New Roman" w:hAnsiTheme="minorHAnsi"/>
          <w:lang w:val="en-US"/>
        </w:rPr>
      </w:r>
      <w:r>
        <w:rPr>
          <w:rFonts w:asciiTheme="minorHAnsi" w:eastAsia="Times New Roman" w:hAnsiTheme="minorHAnsi"/>
          <w:lang w:val="en-US"/>
        </w:rPr>
        <w:fldChar w:fldCharType="separate"/>
      </w:r>
      <w:r>
        <w:rPr>
          <w:rFonts w:asciiTheme="minorHAnsi" w:eastAsia="Times New Roman" w:hAnsiTheme="minorHAnsi"/>
          <w:lang w:val="en-US"/>
        </w:rPr>
        <w:t>15</w:t>
      </w:r>
      <w:r>
        <w:rPr>
          <w:rFonts w:asciiTheme="minorHAnsi" w:eastAsia="Times New Roman" w:hAnsiTheme="minorHAnsi"/>
          <w:lang w:val="en-US"/>
        </w:rPr>
        <w:fldChar w:fldCharType="end"/>
      </w:r>
      <w:r>
        <w:rPr>
          <w:rFonts w:asciiTheme="minorHAnsi" w:eastAsia="Times New Roman" w:hAnsiTheme="minorHAnsi"/>
          <w:lang w:val="en-US"/>
        </w:rPr>
        <w:t>).</w:t>
      </w:r>
    </w:p>
  </w:footnote>
  <w:footnote w:id="40">
    <w:p w14:paraId="5A31CFAA"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Case C-370/12, </w:t>
      </w:r>
      <w:r w:rsidRPr="00AE2E4D">
        <w:rPr>
          <w:rStyle w:val="FootnoteReference"/>
          <w:rFonts w:asciiTheme="minorHAnsi" w:hAnsiTheme="minorHAnsi"/>
          <w:i/>
          <w:vertAlign w:val="baseline"/>
        </w:rPr>
        <w:t>Pringle</w:t>
      </w:r>
      <w:r w:rsidRPr="00AE2E4D">
        <w:rPr>
          <w:rStyle w:val="FootnoteReference"/>
          <w:rFonts w:asciiTheme="minorHAnsi" w:hAnsiTheme="minorHAnsi"/>
          <w:vertAlign w:val="baseline"/>
        </w:rPr>
        <w:t xml:space="preserve">, ECLI:EU:C:2012:756. On the judgment and its significance, see A </w:t>
      </w:r>
      <w:proofErr w:type="spellStart"/>
      <w:r w:rsidRPr="00AE2E4D">
        <w:rPr>
          <w:rStyle w:val="FootnoteReference"/>
          <w:rFonts w:asciiTheme="minorHAnsi" w:hAnsiTheme="minorHAnsi"/>
          <w:vertAlign w:val="baseline"/>
        </w:rPr>
        <w:t>Hinarejos</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The Euro Area Crisis in Constitutional Perspective</w:t>
      </w:r>
      <w:r w:rsidRPr="00AE2E4D">
        <w:rPr>
          <w:rStyle w:val="FootnoteReference"/>
          <w:rFonts w:asciiTheme="minorHAnsi" w:hAnsiTheme="minorHAnsi"/>
          <w:vertAlign w:val="baseline"/>
        </w:rPr>
        <w:t xml:space="preserve"> (OUP 2015) </w:t>
      </w:r>
      <w:proofErr w:type="spellStart"/>
      <w:r w:rsidRPr="00AE2E4D">
        <w:rPr>
          <w:rStyle w:val="FootnoteReference"/>
          <w:rFonts w:asciiTheme="minorHAnsi" w:hAnsiTheme="minorHAnsi"/>
          <w:vertAlign w:val="baseline"/>
        </w:rPr>
        <w:t>Ch</w:t>
      </w:r>
      <w:proofErr w:type="spellEnd"/>
      <w:r w:rsidRPr="00AE2E4D">
        <w:rPr>
          <w:rStyle w:val="FootnoteReference"/>
          <w:rFonts w:asciiTheme="minorHAnsi" w:hAnsiTheme="minorHAnsi"/>
          <w:vertAlign w:val="baseline"/>
        </w:rPr>
        <w:t xml:space="preserve"> 8, with further refe</w:t>
      </w:r>
      <w:r w:rsidRPr="00AE2E4D">
        <w:rPr>
          <w:rStyle w:val="FootnoteReference"/>
          <w:rFonts w:asciiTheme="minorHAnsi" w:hAnsiTheme="minorHAnsi"/>
          <w:vertAlign w:val="baseline"/>
        </w:rPr>
        <w:t>r</w:t>
      </w:r>
      <w:r w:rsidRPr="00AE2E4D">
        <w:rPr>
          <w:rStyle w:val="FootnoteReference"/>
          <w:rFonts w:asciiTheme="minorHAnsi" w:hAnsiTheme="minorHAnsi"/>
          <w:vertAlign w:val="baseline"/>
        </w:rPr>
        <w:t>ences.</w:t>
      </w:r>
    </w:p>
  </w:footnote>
  <w:footnote w:id="41">
    <w:p w14:paraId="43F89356"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The Court had to consider whether Article 122 TFEU would have been a possible legal basis for the ESM, and whether this provision grants an exclusive competence to the EU to grant assi</w:t>
      </w:r>
      <w:r w:rsidRPr="00AE2E4D">
        <w:rPr>
          <w:rStyle w:val="FootnoteReference"/>
          <w:rFonts w:asciiTheme="minorHAnsi" w:hAnsiTheme="minorHAnsi"/>
          <w:vertAlign w:val="baseline"/>
        </w:rPr>
        <w:t>s</w:t>
      </w:r>
      <w:r w:rsidRPr="00AE2E4D">
        <w:rPr>
          <w:rStyle w:val="FootnoteReference"/>
          <w:rFonts w:asciiTheme="minorHAnsi" w:hAnsiTheme="minorHAnsi"/>
          <w:vertAlign w:val="baseline"/>
        </w:rPr>
        <w:t>tance in emergency situations. The answer was negative. See S Adam and F Mena Parra, ‘The E</w:t>
      </w:r>
      <w:r w:rsidRPr="00AE2E4D">
        <w:rPr>
          <w:rStyle w:val="FootnoteReference"/>
          <w:rFonts w:asciiTheme="minorHAnsi" w:hAnsiTheme="minorHAnsi"/>
          <w:vertAlign w:val="baseline"/>
        </w:rPr>
        <w:t>u</w:t>
      </w:r>
      <w:r w:rsidRPr="00AE2E4D">
        <w:rPr>
          <w:rStyle w:val="FootnoteReference"/>
          <w:rFonts w:asciiTheme="minorHAnsi" w:hAnsiTheme="minorHAnsi"/>
          <w:vertAlign w:val="baseline"/>
        </w:rPr>
        <w:t>ropean Stability Mechanism Through the Legal Meanderings of the Union's Constitutionalism: Comment on Pringle’ (2013) 38 ELR 848, 858. V Borger, ‘The ESM and the European Court's Pr</w:t>
      </w:r>
      <w:r w:rsidRPr="00AE2E4D">
        <w:rPr>
          <w:rStyle w:val="FootnoteReference"/>
          <w:rFonts w:asciiTheme="minorHAnsi" w:hAnsiTheme="minorHAnsi"/>
          <w:vertAlign w:val="baseline"/>
        </w:rPr>
        <w:t>e</w:t>
      </w:r>
      <w:r w:rsidRPr="00AE2E4D">
        <w:rPr>
          <w:rStyle w:val="FootnoteReference"/>
          <w:rFonts w:asciiTheme="minorHAnsi" w:hAnsiTheme="minorHAnsi"/>
          <w:vertAlign w:val="baseline"/>
        </w:rPr>
        <w:t xml:space="preserve">dicament in Pringle’ (2013) 14 German L J 113, 16. It is not made clear in the Court’s analysis why the EU would have lacked the specific competence to create the ESM, but not to create the EFSM (under Art 122 TFEU): B De Witte and T </w:t>
      </w:r>
      <w:proofErr w:type="spellStart"/>
      <w:r w:rsidRPr="00AE2E4D">
        <w:rPr>
          <w:rStyle w:val="FootnoteReference"/>
          <w:rFonts w:asciiTheme="minorHAnsi" w:hAnsiTheme="minorHAnsi"/>
          <w:vertAlign w:val="baseline"/>
        </w:rPr>
        <w:t>Beukers</w:t>
      </w:r>
      <w:proofErr w:type="spellEnd"/>
      <w:r w:rsidRPr="00AE2E4D">
        <w:rPr>
          <w:rStyle w:val="FootnoteReference"/>
          <w:rFonts w:asciiTheme="minorHAnsi" w:hAnsiTheme="minorHAnsi"/>
          <w:vertAlign w:val="baseline"/>
        </w:rPr>
        <w:t>, ‘The Court of Justice approves the cre</w:t>
      </w:r>
      <w:r w:rsidRPr="00AE2E4D">
        <w:rPr>
          <w:rStyle w:val="FootnoteReference"/>
          <w:rFonts w:asciiTheme="minorHAnsi" w:hAnsiTheme="minorHAnsi"/>
          <w:vertAlign w:val="baseline"/>
        </w:rPr>
        <w:t>a</w:t>
      </w:r>
      <w:r w:rsidRPr="00AE2E4D">
        <w:rPr>
          <w:rStyle w:val="FootnoteReference"/>
          <w:rFonts w:asciiTheme="minorHAnsi" w:hAnsiTheme="minorHAnsi"/>
          <w:vertAlign w:val="baseline"/>
        </w:rPr>
        <w:t xml:space="preserve">tion of the European Stability Mechanism outside the EU legal order: Pringle’ (2013) 50 CML Rev 805, 29 and </w:t>
      </w:r>
      <w:proofErr w:type="spellStart"/>
      <w:r w:rsidRPr="00AE2E4D">
        <w:rPr>
          <w:rStyle w:val="FootnoteReference"/>
          <w:rFonts w:asciiTheme="minorHAnsi" w:hAnsiTheme="minorHAnsi"/>
          <w:vertAlign w:val="baseline"/>
        </w:rPr>
        <w:t>ff</w:t>
      </w:r>
      <w:proofErr w:type="spellEnd"/>
      <w:r w:rsidRPr="00AE2E4D">
        <w:rPr>
          <w:rStyle w:val="FootnoteReference"/>
          <w:rFonts w:asciiTheme="minorHAnsi" w:hAnsiTheme="minorHAnsi"/>
          <w:vertAlign w:val="baseline"/>
        </w:rPr>
        <w:t xml:space="preserve">; K </w:t>
      </w:r>
      <w:proofErr w:type="spellStart"/>
      <w:r w:rsidRPr="00AE2E4D">
        <w:rPr>
          <w:rStyle w:val="FootnoteReference"/>
          <w:rFonts w:asciiTheme="minorHAnsi" w:hAnsiTheme="minorHAnsi"/>
          <w:vertAlign w:val="baseline"/>
        </w:rPr>
        <w:t>Tuori</w:t>
      </w:r>
      <w:proofErr w:type="spellEnd"/>
      <w:r w:rsidRPr="00AE2E4D">
        <w:rPr>
          <w:rStyle w:val="FootnoteReference"/>
          <w:rFonts w:asciiTheme="minorHAnsi" w:hAnsiTheme="minorHAnsi"/>
          <w:vertAlign w:val="baseline"/>
        </w:rPr>
        <w:t xml:space="preserve"> and K </w:t>
      </w:r>
      <w:proofErr w:type="spellStart"/>
      <w:r w:rsidRPr="00AE2E4D">
        <w:rPr>
          <w:rStyle w:val="FootnoteReference"/>
          <w:rFonts w:asciiTheme="minorHAnsi" w:hAnsiTheme="minorHAnsi"/>
          <w:vertAlign w:val="baseline"/>
        </w:rPr>
        <w:t>Tuori</w:t>
      </w:r>
      <w:proofErr w:type="spellEnd"/>
      <w:r w:rsidRPr="00AE2E4D">
        <w:rPr>
          <w:rStyle w:val="FootnoteReference"/>
          <w:rFonts w:asciiTheme="minorHAnsi" w:hAnsiTheme="minorHAnsi"/>
          <w:vertAlign w:val="baseline"/>
        </w:rPr>
        <w:t>, The Eurozone Crisis: a Constitutional Analysis (CUP 2013), 136-145.</w:t>
      </w:r>
    </w:p>
  </w:footnote>
  <w:footnote w:id="42">
    <w:p w14:paraId="32391745" w14:textId="54FE4DC2"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Pringle</w:t>
      </w:r>
      <w:r w:rsidRPr="00AE2E4D">
        <w:rPr>
          <w:rStyle w:val="FootnoteReference"/>
          <w:rFonts w:asciiTheme="minorHAnsi" w:hAnsiTheme="minorHAnsi"/>
          <w:vertAlign w:val="baseline"/>
        </w:rPr>
        <w:t xml:space="preserve">, n </w:t>
      </w:r>
      <w:r w:rsidRPr="00AE2E4D">
        <w:rPr>
          <w:rFonts w:asciiTheme="minorHAnsi" w:hAnsiTheme="minorHAnsi"/>
        </w:rPr>
        <w:fldChar w:fldCharType="begin"/>
      </w:r>
      <w:r w:rsidRPr="00AE2E4D">
        <w:rPr>
          <w:rStyle w:val="FootnoteReference"/>
          <w:rFonts w:asciiTheme="minorHAnsi" w:hAnsiTheme="minorHAnsi"/>
          <w:vertAlign w:val="baseline"/>
        </w:rPr>
        <w:instrText xml:space="preserve"> NOTEREF _Ref405283597 \h </w:instrText>
      </w:r>
      <w:r w:rsidRPr="00AE2E4D">
        <w:rPr>
          <w:rFonts w:asciiTheme="minorHAnsi" w:hAnsiTheme="minorHAnsi"/>
        </w:rPr>
      </w:r>
      <w:r w:rsidRPr="00AE2E4D">
        <w:rPr>
          <w:rFonts w:asciiTheme="minorHAnsi" w:hAnsiTheme="minorHAnsi"/>
        </w:rPr>
        <w:fldChar w:fldCharType="separate"/>
      </w:r>
      <w:r>
        <w:rPr>
          <w:rStyle w:val="FootnoteReference"/>
          <w:rFonts w:asciiTheme="minorHAnsi" w:hAnsiTheme="minorHAnsi"/>
          <w:vertAlign w:val="baseline"/>
        </w:rPr>
        <w:t>39</w:t>
      </w:r>
      <w:r w:rsidRPr="00AE2E4D">
        <w:rPr>
          <w:rFonts w:asciiTheme="minorHAnsi" w:hAnsiTheme="minorHAnsi"/>
        </w:rPr>
        <w:fldChar w:fldCharType="end"/>
      </w:r>
      <w:r w:rsidRPr="00AE2E4D">
        <w:rPr>
          <w:rFonts w:asciiTheme="minorHAnsi" w:hAnsiTheme="minorHAnsi"/>
        </w:rPr>
        <w:t xml:space="preserve"> </w:t>
      </w:r>
      <w:r w:rsidRPr="00AE2E4D">
        <w:rPr>
          <w:rStyle w:val="FootnoteReference"/>
          <w:rFonts w:asciiTheme="minorHAnsi" w:hAnsiTheme="minorHAnsi"/>
          <w:vertAlign w:val="baseline"/>
        </w:rPr>
        <w:t xml:space="preserve">[68]-[69], [72], [111]. The Court did not refer to the fact that conditionality may go beyond EU measures of economic coordination: B De Witte and T </w:t>
      </w:r>
      <w:proofErr w:type="spellStart"/>
      <w:r w:rsidRPr="00AE2E4D">
        <w:rPr>
          <w:rStyle w:val="FootnoteReference"/>
          <w:rFonts w:asciiTheme="minorHAnsi" w:hAnsiTheme="minorHAnsi"/>
          <w:vertAlign w:val="baseline"/>
        </w:rPr>
        <w:t>Beukers</w:t>
      </w:r>
      <w:proofErr w:type="spellEnd"/>
      <w:r w:rsidRPr="00AE2E4D">
        <w:rPr>
          <w:rStyle w:val="FootnoteReference"/>
          <w:rFonts w:asciiTheme="minorHAnsi" w:hAnsiTheme="minorHAnsi"/>
          <w:vertAlign w:val="baseline"/>
        </w:rPr>
        <w:t>, ‘The Court of Ju</w:t>
      </w:r>
      <w:r w:rsidRPr="00AE2E4D">
        <w:rPr>
          <w:rStyle w:val="FootnoteReference"/>
          <w:rFonts w:asciiTheme="minorHAnsi" w:hAnsiTheme="minorHAnsi"/>
          <w:vertAlign w:val="baseline"/>
        </w:rPr>
        <w:t>s</w:t>
      </w:r>
      <w:r w:rsidRPr="00AE2E4D">
        <w:rPr>
          <w:rStyle w:val="FootnoteReference"/>
          <w:rFonts w:asciiTheme="minorHAnsi" w:hAnsiTheme="minorHAnsi"/>
          <w:vertAlign w:val="baseline"/>
        </w:rPr>
        <w:t>tice approves the creation of the European Stability Mechanism outside the EU legal order: Pri</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gle’ (2013) 50 CML Rev 805, 35.</w:t>
      </w:r>
    </w:p>
  </w:footnote>
  <w:footnote w:id="43">
    <w:p w14:paraId="3BA05479" w14:textId="0E681EF0" w:rsidR="00746868" w:rsidRPr="00746868" w:rsidRDefault="00746868" w:rsidP="00746868">
      <w:pPr>
        <w:pStyle w:val="FootnoteText"/>
        <w:rPr>
          <w:rFonts w:eastAsia="Times New Roman"/>
          <w:lang w:val="en-US"/>
        </w:rPr>
      </w:pPr>
      <w:r>
        <w:rPr>
          <w:rStyle w:val="FootnoteReference"/>
        </w:rPr>
        <w:footnoteRef/>
      </w:r>
      <w:r>
        <w:t xml:space="preserve"> </w:t>
      </w:r>
      <w:r w:rsidRPr="00DB3441">
        <w:t>Indeed, as mentioned in the previous section, both of these reforms—enhancing the role of the current (and intergovernmental) ESM in designing assistance programmes, and more effe</w:t>
      </w:r>
      <w:r w:rsidRPr="00DB3441">
        <w:t>c</w:t>
      </w:r>
      <w:r w:rsidRPr="00DB3441">
        <w:t>tive use of precautionary credit to help states with sound finances—have now been agreed by the Euro Summit</w:t>
      </w:r>
      <w:r>
        <w:t xml:space="preserve">. </w:t>
      </w:r>
      <w:proofErr w:type="spellStart"/>
      <w:proofErr w:type="gramStart"/>
      <w:r w:rsidRPr="00AE2E4D">
        <w:rPr>
          <w:rFonts w:asciiTheme="minorHAnsi" w:eastAsia="Times New Roman" w:hAnsiTheme="minorHAnsi"/>
        </w:rPr>
        <w:t>Eurogroup</w:t>
      </w:r>
      <w:proofErr w:type="spellEnd"/>
      <w:r w:rsidRPr="00AE2E4D">
        <w:rPr>
          <w:rFonts w:asciiTheme="minorHAnsi" w:eastAsia="Times New Roman" w:hAnsiTheme="minorHAnsi"/>
        </w:rPr>
        <w:t xml:space="preserve"> report to Leaders on EMU deepening, 4 December 2018; Euro Summit Statement, 14 December 2018, EURO 503/18.</w:t>
      </w:r>
      <w:proofErr w:type="gramEnd"/>
      <w:r w:rsidRPr="00AE2E4D">
        <w:rPr>
          <w:rFonts w:asciiTheme="minorHAnsi" w:eastAsia="Times New Roman" w:hAnsiTheme="minorHAnsi"/>
        </w:rPr>
        <w:t xml:space="preserve"> In general, the Euro Summit endorsed the term sheet on ESM reform presented by the </w:t>
      </w:r>
      <w:proofErr w:type="spellStart"/>
      <w:r w:rsidRPr="00AE2E4D">
        <w:rPr>
          <w:rFonts w:asciiTheme="minorHAnsi" w:eastAsia="Times New Roman" w:hAnsiTheme="minorHAnsi"/>
        </w:rPr>
        <w:t>Eurogroup</w:t>
      </w:r>
      <w:proofErr w:type="spellEnd"/>
      <w:r w:rsidRPr="00AE2E4D">
        <w:rPr>
          <w:rFonts w:asciiTheme="minorHAnsi" w:eastAsia="Times New Roman" w:hAnsiTheme="minorHAnsi"/>
        </w:rPr>
        <w:t>, and asked the latter to prepare the necessary amendments to the ESM Treaty by June 2019.</w:t>
      </w:r>
      <w:r>
        <w:rPr>
          <w:rFonts w:asciiTheme="minorHAnsi" w:eastAsia="Times New Roman" w:hAnsiTheme="minorHAnsi"/>
        </w:rPr>
        <w:t xml:space="preserve"> </w:t>
      </w:r>
      <w:r w:rsidRPr="00746868">
        <w:rPr>
          <w:rFonts w:asciiTheme="minorHAnsi" w:eastAsia="Times New Roman" w:hAnsiTheme="minorHAnsi"/>
          <w:lang w:val="en-US"/>
        </w:rPr>
        <w:t>Note, however, that more ambitious pooling of r</w:t>
      </w:r>
      <w:r w:rsidRPr="00746868">
        <w:rPr>
          <w:rFonts w:asciiTheme="minorHAnsi" w:eastAsia="Times New Roman" w:hAnsiTheme="minorHAnsi"/>
          <w:lang w:val="en-US"/>
        </w:rPr>
        <w:t>e</w:t>
      </w:r>
      <w:r w:rsidRPr="00746868">
        <w:rPr>
          <w:rFonts w:asciiTheme="minorHAnsi" w:eastAsia="Times New Roman" w:hAnsiTheme="minorHAnsi"/>
          <w:lang w:val="en-US"/>
        </w:rPr>
        <w:t xml:space="preserve">sources through other tools of macroeconomic </w:t>
      </w:r>
      <w:proofErr w:type="spellStart"/>
      <w:r w:rsidRPr="00746868">
        <w:rPr>
          <w:rFonts w:asciiTheme="minorHAnsi" w:eastAsia="Times New Roman" w:hAnsiTheme="minorHAnsi"/>
          <w:lang w:val="en-US"/>
        </w:rPr>
        <w:t>stabilisation</w:t>
      </w:r>
      <w:proofErr w:type="spellEnd"/>
      <w:r w:rsidRPr="00746868">
        <w:rPr>
          <w:rFonts w:asciiTheme="minorHAnsi" w:eastAsia="Times New Roman" w:hAnsiTheme="minorHAnsi"/>
          <w:lang w:val="en-US"/>
        </w:rPr>
        <w:t xml:space="preserve"> such as the funding of a deposit scheme or unemployment insurance were not part of the agreement reached at the Euro Summit. Whether the funding of these more ambitious instruments of macroeconomic </w:t>
      </w:r>
      <w:proofErr w:type="spellStart"/>
      <w:r w:rsidRPr="00746868">
        <w:rPr>
          <w:rFonts w:asciiTheme="minorHAnsi" w:eastAsia="Times New Roman" w:hAnsiTheme="minorHAnsi"/>
          <w:lang w:val="en-US"/>
        </w:rPr>
        <w:t>stabilisation</w:t>
      </w:r>
      <w:proofErr w:type="spellEnd"/>
      <w:r w:rsidRPr="00746868">
        <w:rPr>
          <w:rFonts w:asciiTheme="minorHAnsi" w:eastAsia="Times New Roman" w:hAnsiTheme="minorHAnsi"/>
          <w:lang w:val="en-US"/>
        </w:rPr>
        <w:t xml:space="preserve"> would make it more difficult to argue that a future ESM/EMF is primarily a mechanism of financial a</w:t>
      </w:r>
      <w:r w:rsidRPr="00746868">
        <w:rPr>
          <w:rFonts w:asciiTheme="minorHAnsi" w:eastAsia="Times New Roman" w:hAnsiTheme="minorHAnsi"/>
          <w:lang w:val="en-US"/>
        </w:rPr>
        <w:t>s</w:t>
      </w:r>
      <w:r w:rsidRPr="00746868">
        <w:rPr>
          <w:rFonts w:asciiTheme="minorHAnsi" w:eastAsia="Times New Roman" w:hAnsiTheme="minorHAnsi"/>
          <w:lang w:val="en-US"/>
        </w:rPr>
        <w:t>sistance (rather than of economic coordination) would depend, ultimately, on the design and i</w:t>
      </w:r>
      <w:r w:rsidRPr="00746868">
        <w:rPr>
          <w:rFonts w:asciiTheme="minorHAnsi" w:eastAsia="Times New Roman" w:hAnsiTheme="minorHAnsi"/>
          <w:lang w:val="en-US"/>
        </w:rPr>
        <w:t>n</w:t>
      </w:r>
      <w:r w:rsidRPr="00746868">
        <w:rPr>
          <w:rFonts w:asciiTheme="minorHAnsi" w:eastAsia="Times New Roman" w:hAnsiTheme="minorHAnsi"/>
          <w:lang w:val="en-US"/>
        </w:rPr>
        <w:t>t</w:t>
      </w:r>
      <w:r>
        <w:rPr>
          <w:rFonts w:asciiTheme="minorHAnsi" w:eastAsia="Times New Roman" w:hAnsiTheme="minorHAnsi"/>
          <w:lang w:val="en-US"/>
        </w:rPr>
        <w:t xml:space="preserve">ended use of such instruments. </w:t>
      </w:r>
    </w:p>
  </w:footnote>
  <w:footnote w:id="44">
    <w:p w14:paraId="533E816A" w14:textId="2E99A1F5"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K </w:t>
      </w:r>
      <w:proofErr w:type="spellStart"/>
      <w:r w:rsidRPr="00AE2E4D">
        <w:rPr>
          <w:rStyle w:val="FootnoteReference"/>
          <w:rFonts w:asciiTheme="minorHAnsi" w:hAnsiTheme="minorHAnsi"/>
          <w:vertAlign w:val="baseline"/>
        </w:rPr>
        <w:t>Regling</w:t>
      </w:r>
      <w:proofErr w:type="spellEnd"/>
      <w:r w:rsidRPr="00AE2E4D">
        <w:rPr>
          <w:rStyle w:val="FootnoteReference"/>
          <w:rFonts w:asciiTheme="minorHAnsi" w:hAnsiTheme="minorHAnsi"/>
          <w:vertAlign w:val="baseline"/>
        </w:rPr>
        <w:t>, ‘A European Monetary Fund: for what purpose?’ Speech given at Euro 50 Group conference, Brussels, 10 April 2018.</w:t>
      </w:r>
      <w:r w:rsidRPr="00AE2E4D">
        <w:rPr>
          <w:rFonts w:asciiTheme="minorHAnsi" w:hAnsiTheme="minorHAnsi"/>
        </w:rPr>
        <w:t xml:space="preserve"> The joint position on future cooperation between the Eur</w:t>
      </w:r>
      <w:r w:rsidRPr="00AE2E4D">
        <w:rPr>
          <w:rFonts w:asciiTheme="minorHAnsi" w:hAnsiTheme="minorHAnsi"/>
        </w:rPr>
        <w:t>o</w:t>
      </w:r>
      <w:r w:rsidRPr="00AE2E4D">
        <w:rPr>
          <w:rFonts w:asciiTheme="minorHAnsi" w:hAnsiTheme="minorHAnsi"/>
        </w:rPr>
        <w:t>pean Commission and the ESM, 14 November 2018, seems to be even more cautious in this r</w:t>
      </w:r>
      <w:r w:rsidRPr="00AE2E4D">
        <w:rPr>
          <w:rFonts w:asciiTheme="minorHAnsi" w:hAnsiTheme="minorHAnsi"/>
        </w:rPr>
        <w:t>e</w:t>
      </w:r>
      <w:r w:rsidRPr="00AE2E4D">
        <w:rPr>
          <w:rFonts w:asciiTheme="minorHAnsi" w:hAnsiTheme="minorHAnsi"/>
        </w:rPr>
        <w:t>gard (see ibid, 2 in relation only to eligibility for precautionary credit line, and 3 in relation to preparation of financial assistance.)</w:t>
      </w:r>
    </w:p>
  </w:footnote>
  <w:footnote w:id="45">
    <w:p w14:paraId="1FF7A710" w14:textId="6ACDEF8E"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Pringle</w:t>
      </w:r>
      <w:r w:rsidRPr="00AE2E4D">
        <w:rPr>
          <w:rStyle w:val="FootnoteReference"/>
          <w:rFonts w:asciiTheme="minorHAnsi" w:hAnsiTheme="minorHAnsi"/>
          <w:vertAlign w:val="baseline"/>
        </w:rPr>
        <w:t xml:space="preserve">, n </w:t>
      </w:r>
      <w:r w:rsidRPr="00AE2E4D">
        <w:rPr>
          <w:rStyle w:val="FootnoteReference"/>
          <w:rFonts w:asciiTheme="minorHAnsi" w:hAnsiTheme="minorHAnsi"/>
          <w:vertAlign w:val="baseline"/>
        </w:rPr>
        <w:fldChar w:fldCharType="begin"/>
      </w:r>
      <w:r w:rsidRPr="00AE2E4D">
        <w:rPr>
          <w:rStyle w:val="FootnoteReference"/>
          <w:rFonts w:asciiTheme="minorHAnsi" w:hAnsiTheme="minorHAnsi"/>
          <w:vertAlign w:val="baseline"/>
        </w:rPr>
        <w:instrText xml:space="preserve"> NOTEREF _Ref395875764 \h </w:instrText>
      </w:r>
      <w:r w:rsidRPr="00AE2E4D">
        <w:rPr>
          <w:rStyle w:val="FootnoteReference"/>
          <w:rFonts w:asciiTheme="minorHAnsi" w:hAnsiTheme="minorHAnsi"/>
          <w:vertAlign w:val="baseline"/>
        </w:rPr>
      </w:r>
      <w:r w:rsidRPr="00AE2E4D">
        <w:rPr>
          <w:rStyle w:val="FootnoteReference"/>
          <w:rFonts w:asciiTheme="minorHAnsi" w:hAnsiTheme="minorHAnsi"/>
          <w:vertAlign w:val="baseline"/>
        </w:rPr>
        <w:fldChar w:fldCharType="separate"/>
      </w:r>
      <w:r>
        <w:rPr>
          <w:rStyle w:val="FootnoteReference"/>
          <w:rFonts w:asciiTheme="minorHAnsi" w:hAnsiTheme="minorHAnsi"/>
          <w:b/>
          <w:vertAlign w:val="baseline"/>
        </w:rPr>
        <w:t>Error! Bookmark not defined.</w:t>
      </w:r>
      <w:r w:rsidRPr="00AE2E4D">
        <w:rPr>
          <w:rStyle w:val="FootnoteReference"/>
          <w:rFonts w:asciiTheme="minorHAnsi" w:hAnsiTheme="minorHAnsi"/>
          <w:vertAlign w:val="baseline"/>
        </w:rPr>
        <w:fldChar w:fldCharType="end"/>
      </w:r>
      <w:r w:rsidRPr="00AE2E4D">
        <w:rPr>
          <w:rStyle w:val="FootnoteReference"/>
          <w:rFonts w:asciiTheme="minorHAnsi" w:hAnsiTheme="minorHAnsi"/>
          <w:vertAlign w:val="baseline"/>
        </w:rPr>
        <w:t xml:space="preserve"> [69], [72], [111]. The Court did not refer to the fact that conditionality may go beyond EU measures of economic coordination: B De Witte and T </w:t>
      </w:r>
      <w:proofErr w:type="spellStart"/>
      <w:r w:rsidRPr="00AE2E4D">
        <w:rPr>
          <w:rStyle w:val="FootnoteReference"/>
          <w:rFonts w:asciiTheme="minorHAnsi" w:hAnsiTheme="minorHAnsi"/>
          <w:vertAlign w:val="baseline"/>
        </w:rPr>
        <w:t>Beukers</w:t>
      </w:r>
      <w:proofErr w:type="spellEnd"/>
      <w:r w:rsidRPr="00AE2E4D">
        <w:rPr>
          <w:rStyle w:val="FootnoteReference"/>
          <w:rFonts w:asciiTheme="minorHAnsi" w:hAnsiTheme="minorHAnsi"/>
          <w:vertAlign w:val="baseline"/>
        </w:rPr>
        <w:t>, ‘The Court of Justice approves the creation of the European Stability Mechanism outside the EU legal order: Pringle’ (2013) 50 CML Rev 805, 35.</w:t>
      </w:r>
    </w:p>
  </w:footnote>
  <w:footnote w:id="46">
    <w:p w14:paraId="5847F3D1" w14:textId="619A7E33" w:rsidR="00746868" w:rsidRPr="00746868" w:rsidRDefault="00746868" w:rsidP="00746868">
      <w:pPr>
        <w:pStyle w:val="FootnoteText"/>
        <w:rPr>
          <w:lang w:val="en-US"/>
        </w:rPr>
      </w:pPr>
      <w:r>
        <w:rPr>
          <w:rStyle w:val="FootnoteReference"/>
        </w:rPr>
        <w:footnoteRef/>
      </w:r>
      <w:r>
        <w:t xml:space="preserve"> </w:t>
      </w:r>
      <w:r w:rsidRPr="00746868">
        <w:rPr>
          <w:lang w:val="en-US"/>
        </w:rPr>
        <w:t>But note that whether the same could be said of more ambitious instruments of macroec</w:t>
      </w:r>
      <w:r w:rsidRPr="00746868">
        <w:rPr>
          <w:lang w:val="en-US"/>
        </w:rPr>
        <w:t>o</w:t>
      </w:r>
      <w:r w:rsidRPr="00746868">
        <w:rPr>
          <w:lang w:val="en-US"/>
        </w:rPr>
        <w:t xml:space="preserve">nomic </w:t>
      </w:r>
      <w:proofErr w:type="spellStart"/>
      <w:r w:rsidRPr="00746868">
        <w:rPr>
          <w:lang w:val="en-US"/>
        </w:rPr>
        <w:t>stabilisation</w:t>
      </w:r>
      <w:proofErr w:type="spellEnd"/>
      <w:r w:rsidRPr="00746868">
        <w:rPr>
          <w:lang w:val="en-US"/>
        </w:rPr>
        <w:t xml:space="preserve"> (such as the funding of a deposit scheme or unemployment insurance) would depend on the design of such instruments and the specific role given to the ESM/EMF in that co</w:t>
      </w:r>
      <w:r w:rsidRPr="00746868">
        <w:rPr>
          <w:lang w:val="en-US"/>
        </w:rPr>
        <w:t>n</w:t>
      </w:r>
      <w:r>
        <w:rPr>
          <w:lang w:val="en-US"/>
        </w:rPr>
        <w:t>text.</w:t>
      </w:r>
    </w:p>
  </w:footnote>
  <w:footnote w:id="47">
    <w:p w14:paraId="7AD0C555" w14:textId="621C3CAC"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Pringle</w:t>
      </w:r>
      <w:r w:rsidRPr="00AE2E4D">
        <w:rPr>
          <w:rStyle w:val="FootnoteReference"/>
          <w:rFonts w:asciiTheme="minorHAnsi" w:hAnsiTheme="minorHAnsi"/>
          <w:vertAlign w:val="baseline"/>
        </w:rPr>
        <w:t xml:space="preserve">, n </w:t>
      </w:r>
      <w:r w:rsidRPr="00AE2E4D">
        <w:rPr>
          <w:rFonts w:asciiTheme="minorHAnsi" w:hAnsiTheme="minorHAnsi"/>
        </w:rPr>
        <w:fldChar w:fldCharType="begin"/>
      </w:r>
      <w:r w:rsidRPr="00AE2E4D">
        <w:rPr>
          <w:rStyle w:val="FootnoteReference"/>
          <w:rFonts w:asciiTheme="minorHAnsi" w:hAnsiTheme="minorHAnsi"/>
          <w:vertAlign w:val="baseline"/>
        </w:rPr>
        <w:instrText xml:space="preserve"> NOTEREF _Ref405283597 \h </w:instrText>
      </w:r>
      <w:r w:rsidRPr="00AE2E4D">
        <w:rPr>
          <w:rFonts w:asciiTheme="minorHAnsi" w:hAnsiTheme="minorHAnsi"/>
        </w:rPr>
      </w:r>
      <w:r w:rsidRPr="00AE2E4D">
        <w:rPr>
          <w:rFonts w:asciiTheme="minorHAnsi" w:hAnsiTheme="minorHAnsi"/>
        </w:rPr>
        <w:fldChar w:fldCharType="separate"/>
      </w:r>
      <w:r>
        <w:rPr>
          <w:rStyle w:val="FootnoteReference"/>
          <w:rFonts w:asciiTheme="minorHAnsi" w:hAnsiTheme="minorHAnsi"/>
          <w:vertAlign w:val="baseline"/>
        </w:rPr>
        <w:t>39</w:t>
      </w:r>
      <w:r w:rsidRPr="00AE2E4D">
        <w:rPr>
          <w:rFonts w:asciiTheme="minorHAnsi" w:hAnsiTheme="minorHAnsi"/>
        </w:rPr>
        <w:fldChar w:fldCharType="end"/>
      </w:r>
      <w:r w:rsidRPr="00AE2E4D">
        <w:rPr>
          <w:rStyle w:val="FootnoteReference"/>
          <w:rFonts w:asciiTheme="minorHAnsi" w:hAnsiTheme="minorHAnsi"/>
          <w:vertAlign w:val="baseline"/>
        </w:rPr>
        <w:t xml:space="preserve"> [112].</w:t>
      </w:r>
    </w:p>
  </w:footnote>
  <w:footnote w:id="48">
    <w:p w14:paraId="63B95E42" w14:textId="5B6CA66A"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Joint position on future cooperation between the European Commission and the ESM, 14 November 2018: ‘The collaboration should preserve the Commission and ECB's institutional roles and prerogatives based on primary Union law and related acts of secondary Union law in the area of fiscal and multilateral surveillance and supervision and the ESM’s role under the ESM Treaty.’ (ibid, 4)</w:t>
      </w:r>
    </w:p>
  </w:footnote>
  <w:footnote w:id="49">
    <w:p w14:paraId="362F5ABF"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In that case, however, the Court of Justice would have most likely found that the competence hurdle has not been cleared at the outset, so that there is no competence to create such a version of the EMF outside the framework of the EU Treaties to begin with (or, rather, that Member States would be contravening the Treaties in creating such a version of the EMF outside their framework).</w:t>
      </w:r>
    </w:p>
  </w:footnote>
  <w:footnote w:id="50">
    <w:p w14:paraId="51B91772" w14:textId="0EAA6991"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Opinion 1/91 </w:t>
      </w:r>
      <w:r w:rsidRPr="00AE2E4D">
        <w:rPr>
          <w:rStyle w:val="FootnoteReference"/>
          <w:rFonts w:asciiTheme="minorHAnsi" w:hAnsiTheme="minorHAnsi"/>
          <w:i/>
          <w:vertAlign w:val="baseline"/>
        </w:rPr>
        <w:t>re the EEA</w:t>
      </w:r>
      <w:r w:rsidRPr="00AE2E4D">
        <w:rPr>
          <w:rStyle w:val="FootnoteReference"/>
          <w:rFonts w:asciiTheme="minorHAnsi" w:hAnsiTheme="minorHAnsi"/>
          <w:vertAlign w:val="baseline"/>
        </w:rPr>
        <w:t xml:space="preserve">, ECLI:EU:C:1991:490, para. 61; Opinion 1/92 </w:t>
      </w:r>
      <w:r w:rsidRPr="00AE2E4D">
        <w:rPr>
          <w:rStyle w:val="FootnoteReference"/>
          <w:rFonts w:asciiTheme="minorHAnsi" w:hAnsiTheme="minorHAnsi"/>
          <w:i/>
          <w:vertAlign w:val="baseline"/>
        </w:rPr>
        <w:t>re the EEA</w:t>
      </w:r>
      <w:r w:rsidRPr="00AE2E4D">
        <w:rPr>
          <w:rStyle w:val="FootnoteReference"/>
          <w:rFonts w:asciiTheme="minorHAnsi" w:hAnsiTheme="minorHAnsi"/>
          <w:vertAlign w:val="baseline"/>
        </w:rPr>
        <w:t>, ECLI:EU:C:1992:189, [32</w:t>
      </w:r>
      <w:r w:rsidRPr="00AE2E4D">
        <w:rPr>
          <w:rFonts w:asciiTheme="minorHAnsi" w:hAnsiTheme="minorHAnsi"/>
        </w:rPr>
        <w:t>]</w:t>
      </w:r>
      <w:r w:rsidRPr="00AE2E4D">
        <w:rPr>
          <w:rStyle w:val="FootnoteReference"/>
          <w:rFonts w:asciiTheme="minorHAnsi" w:hAnsiTheme="minorHAnsi"/>
          <w:vertAlign w:val="baseline"/>
        </w:rPr>
        <w:t xml:space="preserve"> and </w:t>
      </w:r>
      <w:proofErr w:type="spellStart"/>
      <w:r w:rsidRPr="00AE2E4D">
        <w:rPr>
          <w:rStyle w:val="FootnoteReference"/>
          <w:rFonts w:asciiTheme="minorHAnsi" w:hAnsiTheme="minorHAnsi"/>
          <w:vertAlign w:val="baseline"/>
        </w:rPr>
        <w:t>ff</w:t>
      </w:r>
      <w:proofErr w:type="spellEnd"/>
      <w:r w:rsidRPr="00AE2E4D">
        <w:rPr>
          <w:rStyle w:val="FootnoteReference"/>
          <w:rFonts w:asciiTheme="minorHAnsi" w:hAnsiTheme="minorHAnsi"/>
          <w:vertAlign w:val="baseline"/>
        </w:rPr>
        <w:t xml:space="preserve">; Opinion 1/09, </w:t>
      </w:r>
      <w:r w:rsidRPr="00AE2E4D">
        <w:rPr>
          <w:rStyle w:val="FootnoteReference"/>
          <w:rFonts w:asciiTheme="minorHAnsi" w:hAnsiTheme="minorHAnsi"/>
          <w:i/>
          <w:vertAlign w:val="baseline"/>
        </w:rPr>
        <w:t>re the Unified Patent Litigation System</w:t>
      </w:r>
      <w:r w:rsidRPr="00AE2E4D">
        <w:rPr>
          <w:rStyle w:val="FootnoteReference"/>
          <w:rFonts w:asciiTheme="minorHAnsi" w:hAnsiTheme="minorHAnsi"/>
          <w:vertAlign w:val="baseline"/>
        </w:rPr>
        <w:t>, ECLI:EU:C:2011:123, [74-85</w:t>
      </w:r>
      <w:r w:rsidRPr="00AE2E4D">
        <w:rPr>
          <w:rFonts w:asciiTheme="minorHAnsi" w:hAnsiTheme="minorHAnsi"/>
        </w:rPr>
        <w:t>]</w:t>
      </w:r>
      <w:r w:rsidRPr="00AE2E4D">
        <w:rPr>
          <w:rStyle w:val="FootnoteReference"/>
          <w:rFonts w:asciiTheme="minorHAnsi" w:hAnsiTheme="minorHAnsi"/>
          <w:vertAlign w:val="baseline"/>
        </w:rPr>
        <w:t xml:space="preserve">; Opinion 2/13 </w:t>
      </w:r>
      <w:r w:rsidRPr="00AE2E4D">
        <w:rPr>
          <w:rStyle w:val="FootnoteReference"/>
          <w:rFonts w:asciiTheme="minorHAnsi" w:hAnsiTheme="minorHAnsi"/>
          <w:i/>
          <w:vertAlign w:val="baseline"/>
        </w:rPr>
        <w:t>re accession to the ECHR</w:t>
      </w:r>
      <w:r w:rsidRPr="00AE2E4D">
        <w:rPr>
          <w:rStyle w:val="FootnoteReference"/>
          <w:rFonts w:asciiTheme="minorHAnsi" w:hAnsiTheme="minorHAnsi"/>
          <w:vertAlign w:val="baseline"/>
        </w:rPr>
        <w:t>, ECLI:EU:C:2014:2454</w:t>
      </w:r>
      <w:r w:rsidRPr="00AE2E4D">
        <w:rPr>
          <w:rFonts w:asciiTheme="minorHAnsi" w:hAnsiTheme="minorHAnsi"/>
        </w:rPr>
        <w:t>,</w:t>
      </w:r>
      <w:r w:rsidRPr="00AE2E4D">
        <w:rPr>
          <w:rStyle w:val="FootnoteReference"/>
          <w:rFonts w:asciiTheme="minorHAnsi" w:hAnsiTheme="minorHAnsi"/>
          <w:vertAlign w:val="baseline"/>
        </w:rPr>
        <w:t xml:space="preserve"> [183-184</w:t>
      </w:r>
      <w:r w:rsidRPr="00AE2E4D">
        <w:rPr>
          <w:rFonts w:asciiTheme="minorHAnsi" w:hAnsiTheme="minorHAnsi"/>
        </w:rPr>
        <w:t>]</w:t>
      </w:r>
      <w:r w:rsidRPr="00AE2E4D">
        <w:rPr>
          <w:rStyle w:val="FootnoteReference"/>
          <w:rFonts w:asciiTheme="minorHAnsi" w:hAnsiTheme="minorHAnsi"/>
          <w:vertAlign w:val="baseline"/>
        </w:rPr>
        <w:t>.</w:t>
      </w:r>
    </w:p>
  </w:footnote>
  <w:footnote w:id="51">
    <w:p w14:paraId="71CA1603" w14:textId="21596E5E"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For more on the possible use of Arts 136</w:t>
      </w:r>
      <w:r>
        <w:rPr>
          <w:rFonts w:asciiTheme="minorHAnsi" w:hAnsiTheme="minorHAnsi"/>
        </w:rPr>
        <w:t xml:space="preserve"> </w:t>
      </w:r>
      <w:proofErr w:type="gramStart"/>
      <w:r>
        <w:rPr>
          <w:rFonts w:asciiTheme="minorHAnsi" w:hAnsiTheme="minorHAnsi"/>
        </w:rPr>
        <w:t>and</w:t>
      </w:r>
      <w:proofErr w:type="gramEnd"/>
      <w:r w:rsidRPr="00AE2E4D">
        <w:rPr>
          <w:rStyle w:val="FootnoteReference"/>
          <w:rFonts w:asciiTheme="minorHAnsi" w:hAnsiTheme="minorHAnsi"/>
          <w:vertAlign w:val="baseline"/>
        </w:rPr>
        <w:t xml:space="preserve"> 352</w:t>
      </w:r>
      <w:r>
        <w:rPr>
          <w:rFonts w:asciiTheme="minorHAnsi" w:hAnsiTheme="minorHAnsi"/>
        </w:rPr>
        <w:t xml:space="preserve"> TFEU</w:t>
      </w:r>
      <w:r w:rsidRPr="00AE2E4D">
        <w:rPr>
          <w:rStyle w:val="FootnoteReference"/>
          <w:rFonts w:asciiTheme="minorHAnsi" w:hAnsiTheme="minorHAnsi"/>
          <w:vertAlign w:val="baseline"/>
        </w:rPr>
        <w:t>, and enhanced cooperation, see e.g.: M Messina, ‘Strengthening Economic Governance of the European Union Through Enhanced C</w:t>
      </w:r>
      <w:r w:rsidRPr="00AE2E4D">
        <w:rPr>
          <w:rStyle w:val="FootnoteReference"/>
          <w:rFonts w:asciiTheme="minorHAnsi" w:hAnsiTheme="minorHAnsi"/>
          <w:vertAlign w:val="baseline"/>
        </w:rPr>
        <w:t>o</w:t>
      </w:r>
      <w:r w:rsidRPr="00AE2E4D">
        <w:rPr>
          <w:rStyle w:val="FootnoteReference"/>
          <w:rFonts w:asciiTheme="minorHAnsi" w:hAnsiTheme="minorHAnsi"/>
          <w:vertAlign w:val="baseline"/>
        </w:rPr>
        <w:t>operation: a Still Possible, but Already Missed, Opportunity’ (2014) 39 ELR 404; M Schwartz, ‘A Memorandum of Misunderstanding- The Doomed Road of the European Stability Mechanism and a Possible Way Out: Enhanced Cooperation’ (2014) 51 CML Rev 389.</w:t>
      </w:r>
    </w:p>
  </w:footnote>
  <w:footnote w:id="52">
    <w:p w14:paraId="6665CBBC" w14:textId="1B180DB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Pringle</w:t>
      </w:r>
      <w:r w:rsidRPr="00AE2E4D">
        <w:rPr>
          <w:rFonts w:asciiTheme="minorHAnsi" w:hAnsiTheme="minorHAnsi"/>
          <w:i/>
        </w:rPr>
        <w:t>,</w:t>
      </w:r>
      <w:r w:rsidRPr="00AE2E4D">
        <w:rPr>
          <w:rStyle w:val="FootnoteReference"/>
          <w:rFonts w:asciiTheme="minorHAnsi" w:hAnsiTheme="minorHAnsi"/>
          <w:vertAlign w:val="baseline"/>
        </w:rPr>
        <w:t xml:space="preserve"> n </w:t>
      </w:r>
      <w:r w:rsidRPr="00AE2E4D">
        <w:rPr>
          <w:rFonts w:asciiTheme="minorHAnsi" w:hAnsiTheme="minorHAnsi"/>
        </w:rPr>
        <w:fldChar w:fldCharType="begin"/>
      </w:r>
      <w:r w:rsidRPr="00AE2E4D">
        <w:rPr>
          <w:rStyle w:val="FootnoteReference"/>
          <w:rFonts w:asciiTheme="minorHAnsi" w:hAnsiTheme="minorHAnsi"/>
          <w:vertAlign w:val="baseline"/>
        </w:rPr>
        <w:instrText xml:space="preserve"> NOTEREF _Ref405283597 \h </w:instrText>
      </w:r>
      <w:r w:rsidRPr="00AE2E4D">
        <w:rPr>
          <w:rFonts w:asciiTheme="minorHAnsi" w:hAnsiTheme="minorHAnsi"/>
        </w:rPr>
      </w:r>
      <w:r w:rsidRPr="00AE2E4D">
        <w:rPr>
          <w:rFonts w:asciiTheme="minorHAnsi" w:hAnsiTheme="minorHAnsi"/>
        </w:rPr>
        <w:fldChar w:fldCharType="separate"/>
      </w:r>
      <w:r>
        <w:rPr>
          <w:rStyle w:val="FootnoteReference"/>
          <w:rFonts w:asciiTheme="minorHAnsi" w:hAnsiTheme="minorHAnsi"/>
          <w:vertAlign w:val="baseline"/>
        </w:rPr>
        <w:t>39</w:t>
      </w:r>
      <w:r w:rsidRPr="00AE2E4D">
        <w:rPr>
          <w:rFonts w:asciiTheme="minorHAnsi" w:hAnsiTheme="minorHAnsi"/>
        </w:rPr>
        <w:fldChar w:fldCharType="end"/>
      </w:r>
      <w:r w:rsidRPr="00AE2E4D">
        <w:rPr>
          <w:rStyle w:val="FootnoteReference"/>
          <w:rFonts w:asciiTheme="minorHAnsi" w:hAnsiTheme="minorHAnsi"/>
          <w:vertAlign w:val="baseline"/>
        </w:rPr>
        <w:t xml:space="preserve"> [65]-[66].</w:t>
      </w:r>
    </w:p>
  </w:footnote>
  <w:footnote w:id="53">
    <w:p w14:paraId="54C03976" w14:textId="6C8B99C9"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‘As to whether the Union could establish a stability mechanism comparable to that envi</w:t>
      </w:r>
      <w:r w:rsidRPr="00AE2E4D">
        <w:rPr>
          <w:rStyle w:val="FootnoteReference"/>
          <w:rFonts w:asciiTheme="minorHAnsi" w:hAnsiTheme="minorHAnsi"/>
          <w:vertAlign w:val="baseline"/>
        </w:rPr>
        <w:t>s</w:t>
      </w:r>
      <w:r w:rsidRPr="00AE2E4D">
        <w:rPr>
          <w:rStyle w:val="FootnoteReference"/>
          <w:rFonts w:asciiTheme="minorHAnsi" w:hAnsiTheme="minorHAnsi"/>
          <w:vertAlign w:val="baseline"/>
        </w:rPr>
        <w:t xml:space="preserve">aged by Decision 2011/199 on the basis of Article 352 TFEU, suffice it to say that the Union has not used its powers under that article and that, in any event, that provision does not impose on the Union any obligation to act (see Case 22/70 Commission v Council (‘ERTA’) [1971] ECR 263, paragraph 95).’ </w:t>
      </w:r>
      <w:r w:rsidRPr="00AE2E4D">
        <w:rPr>
          <w:rStyle w:val="FootnoteReference"/>
          <w:rFonts w:asciiTheme="minorHAnsi" w:hAnsiTheme="minorHAnsi"/>
          <w:i/>
          <w:vertAlign w:val="baseline"/>
        </w:rPr>
        <w:t>Pringle</w:t>
      </w:r>
      <w:r w:rsidRPr="00AE2E4D">
        <w:rPr>
          <w:rStyle w:val="FootnoteReference"/>
          <w:rFonts w:asciiTheme="minorHAnsi" w:hAnsiTheme="minorHAnsi"/>
          <w:vertAlign w:val="baseline"/>
        </w:rPr>
        <w:t xml:space="preserve"> [67]. See e.g. the interpretation of S Adam and F Mena Parra, ‘The Eur</w:t>
      </w:r>
      <w:r w:rsidRPr="00AE2E4D">
        <w:rPr>
          <w:rStyle w:val="FootnoteReference"/>
          <w:rFonts w:asciiTheme="minorHAnsi" w:hAnsiTheme="minorHAnsi"/>
          <w:vertAlign w:val="baseline"/>
        </w:rPr>
        <w:t>o</w:t>
      </w:r>
      <w:r w:rsidRPr="00AE2E4D">
        <w:rPr>
          <w:rStyle w:val="FootnoteReference"/>
          <w:rFonts w:asciiTheme="minorHAnsi" w:hAnsiTheme="minorHAnsi"/>
          <w:vertAlign w:val="baseline"/>
        </w:rPr>
        <w:t>pean Stability Mechanism Through the Legal Meanderings of the Union's Constitutionalism: Comment on Pringle’ (2013) 38 ELR 848, 852, 859.</w:t>
      </w:r>
    </w:p>
  </w:footnote>
  <w:footnote w:id="54">
    <w:p w14:paraId="125A8A9A"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It is also possible to argue that the Court of Justice adopted a seemingly narrow interpret</w:t>
      </w:r>
      <w:r w:rsidRPr="00AE2E4D">
        <w:rPr>
          <w:rStyle w:val="FootnoteReference"/>
          <w:rFonts w:asciiTheme="minorHAnsi" w:hAnsiTheme="minorHAnsi"/>
          <w:vertAlign w:val="baseline"/>
        </w:rPr>
        <w:t>a</w:t>
      </w:r>
      <w:r w:rsidRPr="00AE2E4D">
        <w:rPr>
          <w:rStyle w:val="FootnoteReference"/>
          <w:rFonts w:asciiTheme="minorHAnsi" w:hAnsiTheme="minorHAnsi"/>
          <w:vertAlign w:val="baseline"/>
        </w:rPr>
        <w:t xml:space="preserve">tion of the scope of enhanced cooperation in Pringle, requiring the existence of a specific legal basis that would have enabled EU action, had there been political agreement: see </w:t>
      </w:r>
      <w:r w:rsidRPr="00AE2E4D">
        <w:rPr>
          <w:rStyle w:val="FootnoteReference"/>
          <w:rFonts w:asciiTheme="minorHAnsi" w:hAnsiTheme="minorHAnsi"/>
          <w:i/>
          <w:vertAlign w:val="baseline"/>
        </w:rPr>
        <w:t>Pringle</w:t>
      </w:r>
      <w:r w:rsidRPr="00AE2E4D">
        <w:rPr>
          <w:rStyle w:val="FootnoteReference"/>
          <w:rFonts w:asciiTheme="minorHAnsi" w:hAnsiTheme="minorHAnsi"/>
          <w:vertAlign w:val="baseline"/>
        </w:rPr>
        <w:t xml:space="preserve"> [168]; K </w:t>
      </w:r>
      <w:proofErr w:type="spellStart"/>
      <w:r w:rsidRPr="00AE2E4D">
        <w:rPr>
          <w:rStyle w:val="FootnoteReference"/>
          <w:rFonts w:asciiTheme="minorHAnsi" w:hAnsiTheme="minorHAnsi"/>
          <w:vertAlign w:val="baseline"/>
        </w:rPr>
        <w:t>Tuori</w:t>
      </w:r>
      <w:proofErr w:type="spellEnd"/>
      <w:r w:rsidRPr="00AE2E4D">
        <w:rPr>
          <w:rStyle w:val="FootnoteReference"/>
          <w:rFonts w:asciiTheme="minorHAnsi" w:hAnsiTheme="minorHAnsi"/>
          <w:vertAlign w:val="baseline"/>
        </w:rPr>
        <w:t xml:space="preserve"> and K </w:t>
      </w:r>
      <w:proofErr w:type="spellStart"/>
      <w:r w:rsidRPr="00AE2E4D">
        <w:rPr>
          <w:rStyle w:val="FootnoteReference"/>
          <w:rFonts w:asciiTheme="minorHAnsi" w:hAnsiTheme="minorHAnsi"/>
          <w:vertAlign w:val="baseline"/>
        </w:rPr>
        <w:t>Tuori</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The Eurozone Crisis: a Constitutional Analysis</w:t>
      </w:r>
      <w:r w:rsidRPr="00AE2E4D">
        <w:rPr>
          <w:rStyle w:val="FootnoteReference"/>
          <w:rFonts w:asciiTheme="minorHAnsi" w:hAnsiTheme="minorHAnsi"/>
          <w:vertAlign w:val="baseline"/>
        </w:rPr>
        <w:t xml:space="preserve"> (CUP 2013) 173-175.</w:t>
      </w:r>
    </w:p>
  </w:footnote>
  <w:footnote w:id="55">
    <w:p w14:paraId="1DFF11A3" w14:textId="28B2C689"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In the Single European Patent case, the Court allowed enhanced cooperation in relation to legal bases in the Treaties that require unanimity: Joined Cases C-274/11 and C-295/11, </w:t>
      </w:r>
      <w:r w:rsidRPr="00AE2E4D">
        <w:rPr>
          <w:rStyle w:val="FootnoteReference"/>
          <w:rFonts w:asciiTheme="minorHAnsi" w:hAnsiTheme="minorHAnsi"/>
          <w:i/>
          <w:vertAlign w:val="baseline"/>
        </w:rPr>
        <w:t>Spain and Italy v Council</w:t>
      </w:r>
      <w:r w:rsidRPr="00AE2E4D">
        <w:rPr>
          <w:rStyle w:val="FootnoteReference"/>
          <w:rFonts w:asciiTheme="minorHAnsi" w:hAnsiTheme="minorHAnsi"/>
          <w:vertAlign w:val="baseline"/>
        </w:rPr>
        <w:t xml:space="preserve">, </w:t>
      </w:r>
      <w:r w:rsidRPr="00AE2E4D">
        <w:rPr>
          <w:rFonts w:asciiTheme="minorHAnsi" w:hAnsiTheme="minorHAnsi"/>
          <w:iCs/>
        </w:rPr>
        <w:t>ECLI</w:t>
      </w:r>
      <w:proofErr w:type="gramStart"/>
      <w:r w:rsidRPr="00AE2E4D">
        <w:rPr>
          <w:rFonts w:asciiTheme="minorHAnsi" w:hAnsiTheme="minorHAnsi"/>
          <w:iCs/>
        </w:rPr>
        <w:t>:EU:C:2013:240</w:t>
      </w:r>
      <w:proofErr w:type="gramEnd"/>
      <w:r w:rsidRPr="00AE2E4D">
        <w:rPr>
          <w:rFonts w:asciiTheme="minorHAnsi" w:hAnsiTheme="minorHAnsi"/>
        </w:rPr>
        <w:t>.</w:t>
      </w:r>
    </w:p>
  </w:footnote>
  <w:footnote w:id="56">
    <w:p w14:paraId="58D2AD67" w14:textId="65EA58A8" w:rsidR="00746868" w:rsidRPr="007726E0" w:rsidRDefault="00746868">
      <w:pPr>
        <w:pStyle w:val="FootnoteText"/>
        <w:rPr>
          <w:lang w:val="en-US"/>
        </w:rPr>
      </w:pPr>
      <w:r>
        <w:rPr>
          <w:rStyle w:val="FootnoteReference"/>
        </w:rPr>
        <w:footnoteRef/>
      </w:r>
      <w:r>
        <w:t xml:space="preserve"> </w:t>
      </w:r>
      <w:r>
        <w:rPr>
          <w:lang w:val="en-US"/>
        </w:rPr>
        <w:t>But note that</w:t>
      </w:r>
      <w:r w:rsidRPr="00C27261">
        <w:rPr>
          <w:lang w:val="en-US"/>
        </w:rPr>
        <w:t xml:space="preserve"> the limitations of t</w:t>
      </w:r>
      <w:r>
        <w:rPr>
          <w:lang w:val="en-US"/>
        </w:rPr>
        <w:t xml:space="preserve">his general flexibility clause, </w:t>
      </w:r>
      <w:r w:rsidRPr="00C27261">
        <w:rPr>
          <w:lang w:val="en-US"/>
        </w:rPr>
        <w:t>in procedura</w:t>
      </w:r>
      <w:r>
        <w:rPr>
          <w:lang w:val="en-US"/>
        </w:rPr>
        <w:t>l as well as su</w:t>
      </w:r>
      <w:r>
        <w:rPr>
          <w:lang w:val="en-US"/>
        </w:rPr>
        <w:t>b</w:t>
      </w:r>
      <w:r>
        <w:rPr>
          <w:lang w:val="en-US"/>
        </w:rPr>
        <w:t xml:space="preserve">stantive terms, </w:t>
      </w:r>
      <w:r w:rsidRPr="00C27261">
        <w:rPr>
          <w:lang w:val="en-US"/>
        </w:rPr>
        <w:t>have spurred some authors to argue for a Treaty amendment that would create a specific flexibility clause for the euro area</w:t>
      </w:r>
      <w:r>
        <w:rPr>
          <w:lang w:val="en-US"/>
        </w:rPr>
        <w:t xml:space="preserve">; see e.g. </w:t>
      </w:r>
      <w:r w:rsidRPr="00AE2E4D">
        <w:rPr>
          <w:rStyle w:val="FootnoteReference"/>
          <w:rFonts w:asciiTheme="minorHAnsi" w:hAnsiTheme="minorHAnsi"/>
          <w:vertAlign w:val="baseline"/>
        </w:rPr>
        <w:t xml:space="preserve">T </w:t>
      </w:r>
      <w:proofErr w:type="spellStart"/>
      <w:r w:rsidRPr="00AE2E4D">
        <w:rPr>
          <w:rStyle w:val="FootnoteReference"/>
          <w:rFonts w:asciiTheme="minorHAnsi" w:hAnsiTheme="minorHAnsi"/>
          <w:vertAlign w:val="baseline"/>
        </w:rPr>
        <w:t>Beukers</w:t>
      </w:r>
      <w:proofErr w:type="spellEnd"/>
      <w:r w:rsidRPr="00AE2E4D">
        <w:rPr>
          <w:rStyle w:val="FootnoteReference"/>
          <w:rFonts w:asciiTheme="minorHAnsi" w:hAnsiTheme="minorHAnsi"/>
          <w:vertAlign w:val="baseline"/>
        </w:rPr>
        <w:t>, ‘</w:t>
      </w:r>
      <w:proofErr w:type="spellStart"/>
      <w:r w:rsidRPr="00AE2E4D">
        <w:rPr>
          <w:rStyle w:val="FootnoteReference"/>
          <w:rFonts w:asciiTheme="minorHAnsi" w:hAnsiTheme="minorHAnsi"/>
          <w:vertAlign w:val="baseline"/>
        </w:rPr>
        <w:t>Flexibilisation</w:t>
      </w:r>
      <w:proofErr w:type="spellEnd"/>
      <w:r w:rsidRPr="00AE2E4D">
        <w:rPr>
          <w:rStyle w:val="FootnoteReference"/>
          <w:rFonts w:asciiTheme="minorHAnsi" w:hAnsiTheme="minorHAnsi"/>
          <w:vertAlign w:val="baseline"/>
        </w:rPr>
        <w:t xml:space="preserve"> of the Euro Area: Challenges and Opportunities’ EUI Working Paper, MWP 2014/01.</w:t>
      </w:r>
    </w:p>
  </w:footnote>
  <w:footnote w:id="57">
    <w:p w14:paraId="2620C31B" w14:textId="26FD000A"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More generally, see the Commission’s document ‘Completing Europe’s Economic and Mon</w:t>
      </w:r>
      <w:r w:rsidRPr="00AE2E4D">
        <w:rPr>
          <w:rStyle w:val="FootnoteReference"/>
          <w:rFonts w:asciiTheme="minorHAnsi" w:hAnsiTheme="minorHAnsi"/>
          <w:vertAlign w:val="baseline"/>
        </w:rPr>
        <w:t>e</w:t>
      </w:r>
      <w:r w:rsidRPr="00AE2E4D">
        <w:rPr>
          <w:rStyle w:val="FootnoteReference"/>
          <w:rFonts w:asciiTheme="minorHAnsi" w:hAnsiTheme="minorHAnsi"/>
          <w:vertAlign w:val="baseline"/>
        </w:rPr>
        <w:t xml:space="preserve">tary Union. The Role of the ‘Flexibility Clause’: Article 352’, available here: </w:t>
      </w:r>
      <w:hyperlink r:id="rId2" w:history="1">
        <w:r w:rsidRPr="00AE2E4D">
          <w:rPr>
            <w:rStyle w:val="FootnoteReference"/>
            <w:rFonts w:asciiTheme="minorHAnsi" w:hAnsiTheme="minorHAnsi"/>
            <w:vertAlign w:val="baseline"/>
          </w:rPr>
          <w:t>https://ec.europa.eu/commission/sites/beta-political/files/role-flexibility-clause_en.pdf</w:t>
        </w:r>
      </w:hyperlink>
    </w:p>
  </w:footnote>
  <w:footnote w:id="58">
    <w:p w14:paraId="3A26CD42" w14:textId="675DC679"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Commission Proposal for a Council Regulation on the establishment of a European Monetary Fund, Brussels, 6.12.2017 COM(2017) 827 final, </w:t>
      </w:r>
      <w:proofErr w:type="spellStart"/>
      <w:r w:rsidRPr="00AE2E4D">
        <w:rPr>
          <w:rStyle w:val="FootnoteReference"/>
          <w:rFonts w:asciiTheme="minorHAnsi" w:hAnsiTheme="minorHAnsi"/>
          <w:vertAlign w:val="baseline"/>
        </w:rPr>
        <w:t>pg</w:t>
      </w:r>
      <w:proofErr w:type="spellEnd"/>
      <w:r w:rsidRPr="00AE2E4D">
        <w:rPr>
          <w:rStyle w:val="FootnoteReference"/>
          <w:rFonts w:asciiTheme="minorHAnsi" w:hAnsiTheme="minorHAnsi"/>
          <w:vertAlign w:val="baseline"/>
        </w:rPr>
        <w:t xml:space="preserve"> 5.</w:t>
      </w:r>
    </w:p>
  </w:footnote>
  <w:footnote w:id="59">
    <w:p w14:paraId="1D79A9C4" w14:textId="7D83439E"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See e.g. the doubts raised by M </w:t>
      </w:r>
      <w:r w:rsidRPr="00F03528">
        <w:rPr>
          <w:rStyle w:val="FootnoteReference"/>
          <w:rFonts w:asciiTheme="minorHAnsi" w:hAnsiTheme="minorHAnsi"/>
          <w:vertAlign w:val="baseline"/>
        </w:rPr>
        <w:t>Ioannidis, ‘</w:t>
      </w:r>
      <w:r w:rsidRPr="007726E0">
        <w:rPr>
          <w:rStyle w:val="FootnoteReference"/>
          <w:rFonts w:asciiTheme="minorHAnsi" w:hAnsiTheme="minorHAnsi"/>
          <w:vertAlign w:val="baseline"/>
        </w:rPr>
        <w:t>Towards a European Monetary Fund: Comments on the Commission’s Proposal’, blog post in EU Law Analysis, 31 January 2018.</w:t>
      </w:r>
      <w:r w:rsidRPr="00AE2E4D">
        <w:rPr>
          <w:rFonts w:asciiTheme="minorHAnsi" w:hAnsiTheme="minorHAnsi"/>
        </w:rPr>
        <w:t xml:space="preserve"> </w:t>
      </w:r>
    </w:p>
  </w:footnote>
  <w:footnote w:id="60">
    <w:p w14:paraId="2AB3B14A" w14:textId="1EF35B7B"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“[Article 352 TFEU] cannot serve as a basis for widening the scope of [Union] powers b</w:t>
      </w:r>
      <w:r w:rsidRPr="00AE2E4D">
        <w:rPr>
          <w:rStyle w:val="FootnoteReference"/>
          <w:rFonts w:asciiTheme="minorHAnsi" w:hAnsiTheme="minorHAnsi"/>
          <w:vertAlign w:val="baseline"/>
        </w:rPr>
        <w:t>e</w:t>
      </w:r>
      <w:r w:rsidRPr="00AE2E4D">
        <w:rPr>
          <w:rStyle w:val="FootnoteReference"/>
          <w:rFonts w:asciiTheme="minorHAnsi" w:hAnsiTheme="minorHAnsi"/>
          <w:vertAlign w:val="baseline"/>
        </w:rPr>
        <w:t>yond the general framework created by the provisions of the Treaty as a whole and, in particular, by those that define the tasks and the activities of the [Union].” [30].</w:t>
      </w:r>
    </w:p>
  </w:footnote>
  <w:footnote w:id="61">
    <w:p w14:paraId="28A8F6D5" w14:textId="34D55BCF"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M Ioannidis, n </w:t>
      </w:r>
      <w:r w:rsidRPr="00AE2E4D">
        <w:rPr>
          <w:rStyle w:val="FootnoteReference"/>
          <w:rFonts w:asciiTheme="minorHAnsi" w:hAnsiTheme="minorHAnsi"/>
          <w:vertAlign w:val="baseline"/>
        </w:rPr>
        <w:fldChar w:fldCharType="begin"/>
      </w:r>
      <w:r w:rsidRPr="00AE2E4D">
        <w:rPr>
          <w:rStyle w:val="FootnoteReference"/>
          <w:rFonts w:asciiTheme="minorHAnsi" w:hAnsiTheme="minorHAnsi"/>
          <w:vertAlign w:val="baseline"/>
        </w:rPr>
        <w:instrText xml:space="preserve"> NOTEREF _Ref395876177 \h </w:instrText>
      </w:r>
      <w:r w:rsidRPr="00AE2E4D">
        <w:rPr>
          <w:rStyle w:val="FootnoteReference"/>
          <w:rFonts w:asciiTheme="minorHAnsi" w:hAnsiTheme="minorHAnsi"/>
          <w:vertAlign w:val="baseline"/>
        </w:rPr>
      </w:r>
      <w:r w:rsidRPr="00AE2E4D">
        <w:rPr>
          <w:rStyle w:val="FootnoteReference"/>
          <w:rFonts w:asciiTheme="minorHAnsi" w:hAnsiTheme="minorHAnsi"/>
          <w:vertAlign w:val="baseline"/>
        </w:rPr>
        <w:fldChar w:fldCharType="separate"/>
      </w:r>
      <w:r>
        <w:rPr>
          <w:rStyle w:val="FootnoteReference"/>
          <w:rFonts w:asciiTheme="minorHAnsi" w:hAnsiTheme="minorHAnsi"/>
          <w:vertAlign w:val="baseline"/>
        </w:rPr>
        <w:t>58</w:t>
      </w:r>
      <w:r w:rsidRPr="00AE2E4D">
        <w:rPr>
          <w:rStyle w:val="FootnoteReference"/>
          <w:rFonts w:asciiTheme="minorHAnsi" w:hAnsiTheme="minorHAnsi"/>
          <w:vertAlign w:val="baseline"/>
        </w:rPr>
        <w:fldChar w:fldCharType="end"/>
      </w:r>
      <w:r w:rsidRPr="00AE2E4D">
        <w:rPr>
          <w:rStyle w:val="FootnoteReference"/>
          <w:rFonts w:asciiTheme="minorHAnsi" w:hAnsiTheme="minorHAnsi"/>
          <w:vertAlign w:val="baseline"/>
        </w:rPr>
        <w:t>.</w:t>
      </w:r>
    </w:p>
  </w:footnote>
  <w:footnote w:id="62">
    <w:p w14:paraId="10FC2D0F" w14:textId="185B6E14"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On this blurring of competence lines, see A </w:t>
      </w:r>
      <w:proofErr w:type="spellStart"/>
      <w:r w:rsidRPr="00AE2E4D">
        <w:rPr>
          <w:rStyle w:val="FootnoteReference"/>
          <w:rFonts w:asciiTheme="minorHAnsi" w:hAnsiTheme="minorHAnsi"/>
          <w:vertAlign w:val="baseline"/>
        </w:rPr>
        <w:t>Hinarejos</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 xml:space="preserve">The Euro Area Crisis in Constitutional Perspective </w:t>
      </w:r>
      <w:r w:rsidRPr="00AE2E4D">
        <w:rPr>
          <w:rStyle w:val="FootnoteReference"/>
          <w:rFonts w:asciiTheme="minorHAnsi" w:hAnsiTheme="minorHAnsi"/>
          <w:vertAlign w:val="baseline"/>
        </w:rPr>
        <w:t xml:space="preserve">(OUP Oxford 2015), </w:t>
      </w:r>
      <w:proofErr w:type="spellStart"/>
      <w:r w:rsidRPr="00AE2E4D">
        <w:rPr>
          <w:rStyle w:val="FootnoteReference"/>
          <w:rFonts w:asciiTheme="minorHAnsi" w:hAnsiTheme="minorHAnsi"/>
          <w:vertAlign w:val="baseline"/>
        </w:rPr>
        <w:t>Ch</w:t>
      </w:r>
      <w:proofErr w:type="spellEnd"/>
      <w:r w:rsidRPr="00AE2E4D">
        <w:rPr>
          <w:rStyle w:val="FootnoteReference"/>
          <w:rFonts w:asciiTheme="minorHAnsi" w:hAnsiTheme="minorHAnsi"/>
          <w:vertAlign w:val="baseline"/>
        </w:rPr>
        <w:t xml:space="preserve"> 5, with further references.</w:t>
      </w:r>
    </w:p>
  </w:footnote>
  <w:footnote w:id="63">
    <w:p w14:paraId="0150099C"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‘Fourteen Experts’ Report’: ‘Reconciling risk sharing with market discipline: A constructive approach to euro area reform’, Centre for Economic Policy Research, Policy Insight No.91, Jan</w:t>
      </w:r>
      <w:r w:rsidRPr="00AE2E4D">
        <w:rPr>
          <w:rStyle w:val="FootnoteReference"/>
          <w:rFonts w:asciiTheme="minorHAnsi" w:hAnsiTheme="minorHAnsi"/>
          <w:vertAlign w:val="baseline"/>
        </w:rPr>
        <w:t>u</w:t>
      </w:r>
      <w:r w:rsidRPr="00AE2E4D">
        <w:rPr>
          <w:rStyle w:val="FootnoteReference"/>
          <w:rFonts w:asciiTheme="minorHAnsi" w:hAnsiTheme="minorHAnsi"/>
          <w:vertAlign w:val="baseline"/>
        </w:rPr>
        <w:t xml:space="preserve">ary 2018, 16-17. See also K </w:t>
      </w:r>
      <w:proofErr w:type="spellStart"/>
      <w:r w:rsidRPr="00AE2E4D">
        <w:rPr>
          <w:rStyle w:val="FootnoteReference"/>
          <w:rFonts w:asciiTheme="minorHAnsi" w:hAnsiTheme="minorHAnsi"/>
          <w:vertAlign w:val="baseline"/>
        </w:rPr>
        <w:t>Regling</w:t>
      </w:r>
      <w:proofErr w:type="spellEnd"/>
      <w:r w:rsidRPr="00AE2E4D">
        <w:rPr>
          <w:rStyle w:val="FootnoteReference"/>
          <w:rFonts w:asciiTheme="minorHAnsi" w:hAnsiTheme="minorHAnsi"/>
          <w:vertAlign w:val="baseline"/>
        </w:rPr>
        <w:t>, ‘A European Monetary Fund: for what purpose?’ Speech gi</w:t>
      </w:r>
      <w:r w:rsidRPr="00AE2E4D">
        <w:rPr>
          <w:rStyle w:val="FootnoteReference"/>
          <w:rFonts w:asciiTheme="minorHAnsi" w:hAnsiTheme="minorHAnsi"/>
          <w:vertAlign w:val="baseline"/>
        </w:rPr>
        <w:t>v</w:t>
      </w:r>
      <w:r w:rsidRPr="00AE2E4D">
        <w:rPr>
          <w:rStyle w:val="FootnoteReference"/>
          <w:rFonts w:asciiTheme="minorHAnsi" w:hAnsiTheme="minorHAnsi"/>
          <w:vertAlign w:val="baseline"/>
        </w:rPr>
        <w:t xml:space="preserve">en at Euro 50 Group conference, Brussels, 10 April 2018. </w:t>
      </w:r>
    </w:p>
  </w:footnote>
  <w:footnote w:id="64">
    <w:p w14:paraId="768D5F70"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Note that the Commission does not spell out any specific plans for stabilisation tools in its proposal, merely leaving the door open to them in the future.</w:t>
      </w:r>
    </w:p>
  </w:footnote>
  <w:footnote w:id="65">
    <w:p w14:paraId="36156411" w14:textId="069AC06C"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In this respect, it should be recalled that the Commission has proposed the creation of a di</w:t>
      </w:r>
      <w:r w:rsidRPr="00AE2E4D">
        <w:rPr>
          <w:rStyle w:val="FootnoteReference"/>
          <w:rFonts w:asciiTheme="minorHAnsi" w:hAnsiTheme="minorHAnsi"/>
          <w:vertAlign w:val="baseline"/>
        </w:rPr>
        <w:t>f</w:t>
      </w:r>
      <w:r w:rsidRPr="00AE2E4D">
        <w:rPr>
          <w:rStyle w:val="FootnoteReference"/>
          <w:rFonts w:asciiTheme="minorHAnsi" w:hAnsiTheme="minorHAnsi"/>
          <w:vertAlign w:val="baseline"/>
        </w:rPr>
        <w:t>ferent stabilisation tool (the European Investment Protection Scheme) under Article 175(3) TFEU, arguing that its ultimate purpose in protecting public investment in case of large macro</w:t>
      </w:r>
      <w:r w:rsidRPr="00AE2E4D">
        <w:rPr>
          <w:rStyle w:val="FootnoteReference"/>
          <w:rFonts w:asciiTheme="minorHAnsi" w:hAnsiTheme="minorHAnsi"/>
          <w:vertAlign w:val="baseline"/>
        </w:rPr>
        <w:t>e</w:t>
      </w:r>
      <w:r w:rsidRPr="00AE2E4D">
        <w:rPr>
          <w:rStyle w:val="FootnoteReference"/>
          <w:rFonts w:asciiTheme="minorHAnsi" w:hAnsiTheme="minorHAnsi"/>
          <w:vertAlign w:val="baseline"/>
        </w:rPr>
        <w:t xml:space="preserve">conomic shocks is to enhance cohesion. The Commission sees this vehicle as bridging the gap between other euro budgetary tools (incentivising national reforms) and any stabilisation tools granted to the EMF in the future, to be used in more exceptional situations. </w:t>
      </w:r>
    </w:p>
  </w:footnote>
  <w:footnote w:id="66">
    <w:p w14:paraId="04383C8B" w14:textId="0D480A6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As interpreted by the German Constitutional Court in its </w:t>
      </w:r>
      <w:r w:rsidRPr="00AE2E4D">
        <w:rPr>
          <w:rStyle w:val="FootnoteReference"/>
          <w:rFonts w:asciiTheme="minorHAnsi" w:hAnsiTheme="minorHAnsi"/>
          <w:i/>
          <w:vertAlign w:val="baseline"/>
        </w:rPr>
        <w:t>Lisbon</w:t>
      </w:r>
      <w:r w:rsidRPr="00AE2E4D">
        <w:rPr>
          <w:rStyle w:val="FootnoteReference"/>
          <w:rFonts w:asciiTheme="minorHAnsi" w:hAnsiTheme="minorHAnsi"/>
          <w:vertAlign w:val="baseline"/>
        </w:rPr>
        <w:t xml:space="preserve"> decision: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BvE</w:t>
      </w:r>
      <w:proofErr w:type="spellEnd"/>
      <w:r w:rsidRPr="00AE2E4D">
        <w:rPr>
          <w:rStyle w:val="FootnoteReference"/>
          <w:rFonts w:asciiTheme="minorHAnsi" w:hAnsiTheme="minorHAnsi"/>
          <w:vertAlign w:val="baseline"/>
        </w:rPr>
        <w:t xml:space="preserve"> 2/08, Decision of 30 June 2009, [352] and [417]. This has been codified in Article 8 of the </w:t>
      </w:r>
      <w:proofErr w:type="spellStart"/>
      <w:r w:rsidRPr="00AE2E4D">
        <w:rPr>
          <w:rStyle w:val="FootnoteReference"/>
          <w:rFonts w:asciiTheme="minorHAnsi" w:hAnsiTheme="minorHAnsi"/>
          <w:i/>
          <w:vertAlign w:val="baseline"/>
        </w:rPr>
        <w:t>Int</w:t>
      </w:r>
      <w:r w:rsidRPr="00AE2E4D">
        <w:rPr>
          <w:rStyle w:val="FootnoteReference"/>
          <w:rFonts w:asciiTheme="minorHAnsi" w:hAnsiTheme="minorHAnsi"/>
          <w:i/>
          <w:vertAlign w:val="baseline"/>
        </w:rPr>
        <w:t>e</w:t>
      </w:r>
      <w:r w:rsidRPr="00AE2E4D">
        <w:rPr>
          <w:rStyle w:val="FootnoteReference"/>
          <w:rFonts w:asciiTheme="minorHAnsi" w:hAnsiTheme="minorHAnsi"/>
          <w:i/>
          <w:vertAlign w:val="baseline"/>
        </w:rPr>
        <w:t>grationsverantwortungsgesetz</w:t>
      </w:r>
      <w:proofErr w:type="spellEnd"/>
      <w:r w:rsidRPr="00AE2E4D">
        <w:rPr>
          <w:rStyle w:val="FootnoteReference"/>
          <w:rFonts w:asciiTheme="minorHAnsi" w:hAnsiTheme="minorHAnsi"/>
          <w:vertAlign w:val="baseline"/>
        </w:rPr>
        <w:t xml:space="preserve"> of 22 September 2009. </w:t>
      </w:r>
    </w:p>
  </w:footnote>
  <w:footnote w:id="67">
    <w:p w14:paraId="4B180638" w14:textId="0FF42AC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Polish Constitutional Tribunal, judgment of 24 November 2010, K 32/09 (</w:t>
      </w:r>
      <w:r w:rsidRPr="00AE2E4D">
        <w:rPr>
          <w:rStyle w:val="FootnoteReference"/>
          <w:rFonts w:asciiTheme="minorHAnsi" w:hAnsiTheme="minorHAnsi"/>
          <w:i/>
          <w:vertAlign w:val="baseline"/>
        </w:rPr>
        <w:t>Lisbon</w:t>
      </w:r>
      <w:r w:rsidRPr="00AE2E4D">
        <w:rPr>
          <w:rStyle w:val="FootnoteReference"/>
          <w:rFonts w:asciiTheme="minorHAnsi" w:hAnsiTheme="minorHAnsi"/>
          <w:vertAlign w:val="baseline"/>
        </w:rPr>
        <w:t>); Arts 7 and 11 of the Polish Cooperation Act. In other Member States, national parliaments may require ministers to discuss their positions before a Council meeting (this is a general obligation, not li</w:t>
      </w:r>
      <w:r w:rsidRPr="00AE2E4D">
        <w:rPr>
          <w:rStyle w:val="FootnoteReference"/>
          <w:rFonts w:asciiTheme="minorHAnsi" w:hAnsiTheme="minorHAnsi"/>
          <w:vertAlign w:val="baseline"/>
        </w:rPr>
        <w:t>m</w:t>
      </w:r>
      <w:r w:rsidRPr="00AE2E4D">
        <w:rPr>
          <w:rStyle w:val="FootnoteReference"/>
          <w:rFonts w:asciiTheme="minorHAnsi" w:hAnsiTheme="minorHAnsi"/>
          <w:vertAlign w:val="baseline"/>
        </w:rPr>
        <w:t>ited to Art 352 TFEU): see the Commission’s document ‘Completing Europe’s Economic and Mo</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 xml:space="preserve">etary Union. The Role of the ‘Flexibility Clause’: Article 352’, 3-4, available here: </w:t>
      </w:r>
      <w:hyperlink r:id="rId3" w:history="1">
        <w:r w:rsidRPr="00AE2E4D">
          <w:rPr>
            <w:rStyle w:val="FootnoteReference"/>
            <w:rFonts w:asciiTheme="minorHAnsi" w:hAnsiTheme="minorHAnsi"/>
            <w:vertAlign w:val="baseline"/>
          </w:rPr>
          <w:t>https://ec.europa.eu/commission/sites/beta-political/files/role-flexibility-clause_en.pdf</w:t>
        </w:r>
      </w:hyperlink>
      <w:r w:rsidRPr="00AE2E4D">
        <w:rPr>
          <w:rStyle w:val="FootnoteReference"/>
          <w:rFonts w:asciiTheme="minorHAnsi" w:hAnsiTheme="minorHAnsi"/>
          <w:vertAlign w:val="baseline"/>
        </w:rPr>
        <w:t xml:space="preserve">; P </w:t>
      </w:r>
      <w:proofErr w:type="spellStart"/>
      <w:r w:rsidRPr="00AE2E4D">
        <w:rPr>
          <w:rStyle w:val="FootnoteReference"/>
          <w:rFonts w:asciiTheme="minorHAnsi" w:hAnsiTheme="minorHAnsi"/>
          <w:vertAlign w:val="baseline"/>
        </w:rPr>
        <w:t>Kiiver</w:t>
      </w:r>
      <w:proofErr w:type="spellEnd"/>
      <w:r w:rsidRPr="00AE2E4D">
        <w:rPr>
          <w:rStyle w:val="FootnoteReference"/>
          <w:rFonts w:asciiTheme="minorHAnsi" w:hAnsiTheme="minorHAnsi"/>
          <w:vertAlign w:val="baseline"/>
        </w:rPr>
        <w:t xml:space="preserve">, ‘German Participation in EU Decision Making after the Lisbon Case: a Comparative View on Domestic Parliamentary Clearance Procedures’ (2009) 10 German Law Journal 1287, 1295. </w:t>
      </w:r>
    </w:p>
  </w:footnote>
  <w:footnote w:id="68">
    <w:p w14:paraId="09DE6550" w14:textId="2FC60713" w:rsidR="00746868" w:rsidRPr="007726E0" w:rsidRDefault="00746868">
      <w:pPr>
        <w:pStyle w:val="FootnoteText"/>
        <w:rPr>
          <w:lang w:val="en-US"/>
        </w:rPr>
      </w:pPr>
      <w:r>
        <w:rPr>
          <w:rStyle w:val="FootnoteReference"/>
        </w:rPr>
        <w:footnoteRef/>
      </w:r>
      <w:r>
        <w:t xml:space="preserve"> </w:t>
      </w:r>
      <w:r w:rsidRPr="00AE2E4D">
        <w:rPr>
          <w:rStyle w:val="FootnoteReference"/>
          <w:rFonts w:asciiTheme="minorHAnsi" w:hAnsiTheme="minorHAnsi"/>
          <w:vertAlign w:val="baseline"/>
        </w:rPr>
        <w:t xml:space="preserve">Case 9/56 </w:t>
      </w:r>
      <w:proofErr w:type="spellStart"/>
      <w:r w:rsidRPr="00AE2E4D">
        <w:rPr>
          <w:rStyle w:val="FootnoteReference"/>
          <w:rFonts w:asciiTheme="minorHAnsi" w:hAnsiTheme="minorHAnsi"/>
          <w:i/>
          <w:vertAlign w:val="baseline"/>
        </w:rPr>
        <w:t>Meroni</w:t>
      </w:r>
      <w:proofErr w:type="spellEnd"/>
      <w:r w:rsidRPr="00AE2E4D">
        <w:rPr>
          <w:rStyle w:val="FootnoteReference"/>
          <w:rFonts w:asciiTheme="minorHAnsi" w:hAnsiTheme="minorHAnsi"/>
          <w:i/>
          <w:vertAlign w:val="baseline"/>
        </w:rPr>
        <w:t xml:space="preserve"> v High Authority</w:t>
      </w:r>
      <w:r w:rsidRPr="00AE2E4D">
        <w:rPr>
          <w:rStyle w:val="FootnoteReference"/>
          <w:rFonts w:asciiTheme="minorHAnsi" w:hAnsiTheme="minorHAnsi"/>
          <w:vertAlign w:val="baseline"/>
        </w:rPr>
        <w:t xml:space="preserve"> </w:t>
      </w:r>
      <w:r w:rsidRPr="00AE2E4D">
        <w:rPr>
          <w:rFonts w:asciiTheme="minorHAnsi" w:hAnsiTheme="minorHAnsi"/>
        </w:rPr>
        <w:t xml:space="preserve">[1957-1958] </w:t>
      </w:r>
      <w:r w:rsidRPr="00AE2E4D">
        <w:rPr>
          <w:rStyle w:val="FootnoteReference"/>
          <w:rFonts w:asciiTheme="minorHAnsi" w:hAnsiTheme="minorHAnsi"/>
          <w:vertAlign w:val="baseline"/>
        </w:rPr>
        <w:t>ECR 133</w:t>
      </w:r>
      <w:proofErr w:type="gramStart"/>
      <w:r>
        <w:rPr>
          <w:rFonts w:asciiTheme="minorHAnsi" w:hAnsiTheme="minorHAnsi"/>
        </w:rPr>
        <w:t xml:space="preserve"> </w:t>
      </w:r>
      <w:r w:rsidRPr="00AE2E4D">
        <w:rPr>
          <w:rFonts w:asciiTheme="minorHAnsi" w:hAnsiTheme="minorHAnsi"/>
        </w:rPr>
        <w:t>,</w:t>
      </w:r>
      <w:proofErr w:type="gramEnd"/>
      <w:r w:rsidRPr="00AE2E4D">
        <w:rPr>
          <w:rFonts w:asciiTheme="minorHAnsi" w:hAnsiTheme="minorHAnsi"/>
        </w:rPr>
        <w:t xml:space="preserve"> </w:t>
      </w:r>
      <w:r w:rsidRPr="00AE2E4D">
        <w:rPr>
          <w:rStyle w:val="FootnoteReference"/>
          <w:rFonts w:asciiTheme="minorHAnsi" w:hAnsiTheme="minorHAnsi"/>
          <w:vertAlign w:val="baseline"/>
        </w:rPr>
        <w:t>[1957–8]</w:t>
      </w:r>
      <w:r>
        <w:rPr>
          <w:rFonts w:asciiTheme="minorHAnsi" w:hAnsiTheme="minorHAnsi"/>
        </w:rPr>
        <w:t>.</w:t>
      </w:r>
    </w:p>
  </w:footnote>
  <w:footnote w:id="69">
    <w:p w14:paraId="4AA14224" w14:textId="407F3CB1" w:rsidR="00746868" w:rsidRPr="007726E0" w:rsidRDefault="00746868">
      <w:pPr>
        <w:pStyle w:val="FootnoteText"/>
        <w:rPr>
          <w:lang w:val="en-US"/>
        </w:rPr>
      </w:pPr>
      <w:r>
        <w:rPr>
          <w:rStyle w:val="FootnoteReference"/>
        </w:rPr>
        <w:footnoteRef/>
      </w:r>
      <w:r>
        <w:t xml:space="preserve"> </w:t>
      </w:r>
      <w:r w:rsidRPr="00AE2E4D">
        <w:rPr>
          <w:rStyle w:val="FootnoteReference"/>
          <w:rFonts w:asciiTheme="minorHAnsi" w:hAnsiTheme="minorHAnsi"/>
          <w:vertAlign w:val="baseline"/>
        </w:rPr>
        <w:t xml:space="preserve">Case 98/80 </w:t>
      </w:r>
      <w:r w:rsidRPr="00AE2E4D">
        <w:rPr>
          <w:rStyle w:val="FootnoteReference"/>
          <w:rFonts w:asciiTheme="minorHAnsi" w:hAnsiTheme="minorHAnsi"/>
          <w:i/>
          <w:vertAlign w:val="baseline"/>
        </w:rPr>
        <w:t>Romano</w:t>
      </w:r>
      <w:r w:rsidRPr="00AE2E4D">
        <w:rPr>
          <w:rStyle w:val="FootnoteReference"/>
          <w:rFonts w:asciiTheme="minorHAnsi" w:hAnsiTheme="minorHAnsi"/>
          <w:vertAlign w:val="baseline"/>
        </w:rPr>
        <w:t xml:space="preserve"> [1981] ECR 1241.</w:t>
      </w:r>
    </w:p>
  </w:footnote>
  <w:footnote w:id="70">
    <w:p w14:paraId="3601B261"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Case C-270/12, </w:t>
      </w:r>
      <w:r w:rsidRPr="00AE2E4D">
        <w:rPr>
          <w:rStyle w:val="FootnoteReference"/>
          <w:rFonts w:asciiTheme="minorHAnsi" w:hAnsiTheme="minorHAnsi"/>
          <w:i/>
          <w:vertAlign w:val="baseline"/>
        </w:rPr>
        <w:t>ESMA/short-selling</w:t>
      </w:r>
      <w:r w:rsidRPr="00AE2E4D">
        <w:rPr>
          <w:rStyle w:val="FootnoteReference"/>
          <w:rFonts w:asciiTheme="minorHAnsi" w:hAnsiTheme="minorHAnsi"/>
          <w:vertAlign w:val="baseline"/>
        </w:rPr>
        <w:t xml:space="preserve">, ECLI:EU:C:2014:18. The UK sought annulment of Art 28 of Regulation (EU) No 236/2012 of the European Parliament and of the Council of 14 March 2012 on short selling and certain aspects of credit default swaps [2012] OJ L86/1. The UK also challenged the provisions of the Capital Requirements Directive and Regulation that impose a cap on bankers’ bonuses, on similar grounds: Case C-507/13, </w:t>
      </w:r>
      <w:r w:rsidRPr="00AE2E4D">
        <w:rPr>
          <w:rStyle w:val="FootnoteReference"/>
          <w:rFonts w:asciiTheme="minorHAnsi" w:hAnsiTheme="minorHAnsi"/>
          <w:i/>
          <w:vertAlign w:val="baseline"/>
        </w:rPr>
        <w:t>UK v EP and Council</w:t>
      </w:r>
      <w:r w:rsidRPr="00AE2E4D">
        <w:rPr>
          <w:rStyle w:val="FootnoteReference"/>
          <w:rFonts w:asciiTheme="minorHAnsi" w:hAnsiTheme="minorHAnsi"/>
          <w:vertAlign w:val="baseline"/>
        </w:rPr>
        <w:t xml:space="preserve">, ECLI:EU:C:2014:2481. </w:t>
      </w:r>
    </w:p>
  </w:footnote>
  <w:footnote w:id="71">
    <w:p w14:paraId="7A24F0E7" w14:textId="2749AFC4"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It also argued that the regulation went beyond the scope of Article 114 TFEU, on the basis of which it had been adopted. For an overview of how ESMA operates and the legal constraints it faces, see E Howell ‘The Evolution of ESMA and Direct Supervision: Are There Implications for EU Supervisory Governance?’ (2017) 54 CMLRev1027, esp. 1036 and ff.</w:t>
      </w:r>
    </w:p>
  </w:footnote>
  <w:footnote w:id="72">
    <w:p w14:paraId="36660A71"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Case C-270/12, </w:t>
      </w:r>
      <w:r w:rsidRPr="00AE2E4D">
        <w:rPr>
          <w:rStyle w:val="FootnoteReference"/>
          <w:rFonts w:asciiTheme="minorHAnsi" w:hAnsiTheme="minorHAnsi"/>
          <w:i/>
          <w:vertAlign w:val="baseline"/>
        </w:rPr>
        <w:t>ESMA/short-selling</w:t>
      </w:r>
      <w:r w:rsidRPr="00AE2E4D">
        <w:rPr>
          <w:rStyle w:val="FootnoteReference"/>
          <w:rFonts w:asciiTheme="minorHAnsi" w:hAnsiTheme="minorHAnsi"/>
          <w:vertAlign w:val="baseline"/>
        </w:rPr>
        <w:t>, ECLI:EU:C:2014:18, [41]–[55].</w:t>
      </w:r>
    </w:p>
  </w:footnote>
  <w:footnote w:id="73">
    <w:p w14:paraId="6ED81471" w14:textId="5A9382A6"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[63]–[68].</w:t>
      </w:r>
    </w:p>
  </w:footnote>
  <w:footnote w:id="74">
    <w:p w14:paraId="4801BF2A" w14:textId="1CF94244"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[41]–[55].</w:t>
      </w:r>
    </w:p>
  </w:footnote>
  <w:footnote w:id="75">
    <w:p w14:paraId="11C693EF" w14:textId="306E4CEF"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[42].</w:t>
      </w:r>
    </w:p>
  </w:footnote>
  <w:footnote w:id="76">
    <w:p w14:paraId="6DB6F94A" w14:textId="243B00B6"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See Commission Proposal for a Council Regulation on the establishment of a European Mo</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etary Fund, Brussels, 6.12.2017 COM(2017) 827 final, pages 6 and 13; (Proposed) Statute of the EMF (Annex to the Commission’s Proposal), Arts 3-6.</w:t>
      </w:r>
    </w:p>
  </w:footnote>
  <w:footnote w:id="77">
    <w:p w14:paraId="0D6394AF" w14:textId="704E4A46"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Commission proposal, ibid, </w:t>
      </w:r>
      <w:proofErr w:type="spellStart"/>
      <w:r w:rsidRPr="00AE2E4D">
        <w:rPr>
          <w:rStyle w:val="FootnoteReference"/>
          <w:rFonts w:asciiTheme="minorHAnsi" w:hAnsiTheme="minorHAnsi"/>
          <w:vertAlign w:val="baseline"/>
        </w:rPr>
        <w:t>pg</w:t>
      </w:r>
      <w:proofErr w:type="spellEnd"/>
      <w:r w:rsidRPr="00AE2E4D">
        <w:rPr>
          <w:rStyle w:val="FootnoteReference"/>
          <w:rFonts w:asciiTheme="minorHAnsi" w:hAnsiTheme="minorHAnsi"/>
          <w:vertAlign w:val="baseline"/>
        </w:rPr>
        <w:t xml:space="preserve"> 13; (Proposed) Statute of the EMF (Annex to the Commi</w:t>
      </w:r>
      <w:r w:rsidRPr="00AE2E4D">
        <w:rPr>
          <w:rStyle w:val="FootnoteReference"/>
          <w:rFonts w:asciiTheme="minorHAnsi" w:hAnsiTheme="minorHAnsi"/>
          <w:vertAlign w:val="baseline"/>
        </w:rPr>
        <w:t>s</w:t>
      </w:r>
      <w:r w:rsidRPr="00AE2E4D">
        <w:rPr>
          <w:rStyle w:val="FootnoteReference"/>
          <w:rFonts w:asciiTheme="minorHAnsi" w:hAnsiTheme="minorHAnsi"/>
          <w:vertAlign w:val="baseline"/>
        </w:rPr>
        <w:t>sion’s Proposal), ibid.</w:t>
      </w:r>
    </w:p>
  </w:footnote>
  <w:footnote w:id="78">
    <w:p w14:paraId="785325BA" w14:textId="6CDC641E"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‘The EMF should be required to submit an annual report to the aforementioned Union inst</w:t>
      </w:r>
      <w:r w:rsidRPr="00AE2E4D">
        <w:rPr>
          <w:rStyle w:val="FootnoteReference"/>
          <w:rFonts w:asciiTheme="minorHAnsi" w:hAnsiTheme="minorHAnsi"/>
          <w:vertAlign w:val="baseline"/>
        </w:rPr>
        <w:t>i</w:t>
      </w:r>
      <w:r w:rsidRPr="00AE2E4D">
        <w:rPr>
          <w:rStyle w:val="FootnoteReference"/>
          <w:rFonts w:asciiTheme="minorHAnsi" w:hAnsiTheme="minorHAnsi"/>
          <w:vertAlign w:val="baseline"/>
        </w:rPr>
        <w:t>tutions together with is annual accounts and its financial statements. The Managing Director can be invited by the Parliament or request to be invited. The EMF should also respond to oral and written questions from the Parliament. The possibility for organising confidential oral discu</w:t>
      </w:r>
      <w:r w:rsidRPr="00AE2E4D">
        <w:rPr>
          <w:rStyle w:val="FootnoteReference"/>
          <w:rFonts w:asciiTheme="minorHAnsi" w:hAnsiTheme="minorHAnsi"/>
          <w:vertAlign w:val="baseline"/>
        </w:rPr>
        <w:t>s</w:t>
      </w:r>
      <w:r w:rsidRPr="00AE2E4D">
        <w:rPr>
          <w:rStyle w:val="FootnoteReference"/>
          <w:rFonts w:asciiTheme="minorHAnsi" w:hAnsiTheme="minorHAnsi"/>
          <w:vertAlign w:val="baseline"/>
        </w:rPr>
        <w:t>sions just like it is the case for the SRB and the SSM should be provided for in view of the sens</w:t>
      </w:r>
      <w:r w:rsidRPr="00AE2E4D">
        <w:rPr>
          <w:rStyle w:val="FootnoteReference"/>
          <w:rFonts w:asciiTheme="minorHAnsi" w:hAnsiTheme="minorHAnsi"/>
          <w:vertAlign w:val="baseline"/>
        </w:rPr>
        <w:t>i</w:t>
      </w:r>
      <w:r w:rsidRPr="00AE2E4D">
        <w:rPr>
          <w:rStyle w:val="FootnoteReference"/>
          <w:rFonts w:asciiTheme="minorHAnsi" w:hAnsiTheme="minorHAnsi"/>
          <w:vertAlign w:val="baseline"/>
        </w:rPr>
        <w:t xml:space="preserve">tive and confidential nature of the discussions relating the performance of the EMF's tasks.’ Commission proposal, ibid, </w:t>
      </w:r>
      <w:proofErr w:type="spellStart"/>
      <w:r w:rsidRPr="00AE2E4D">
        <w:rPr>
          <w:rStyle w:val="FootnoteReference"/>
          <w:rFonts w:asciiTheme="minorHAnsi" w:hAnsiTheme="minorHAnsi"/>
          <w:vertAlign w:val="baseline"/>
        </w:rPr>
        <w:t>pgs</w:t>
      </w:r>
      <w:proofErr w:type="spellEnd"/>
      <w:r w:rsidRPr="00AE2E4D">
        <w:rPr>
          <w:rStyle w:val="FootnoteReference"/>
          <w:rFonts w:asciiTheme="minorHAnsi" w:hAnsiTheme="minorHAnsi"/>
          <w:vertAlign w:val="baseline"/>
        </w:rPr>
        <w:t xml:space="preserve"> 13 and 14.</w:t>
      </w:r>
    </w:p>
  </w:footnote>
  <w:footnote w:id="79">
    <w:p w14:paraId="7D9A9D6C" w14:textId="5DF9B4AE"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Commission proposal, ibid, 14.</w:t>
      </w:r>
    </w:p>
  </w:footnote>
  <w:footnote w:id="80">
    <w:p w14:paraId="183EED96" w14:textId="4BE12863"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On the accountability of EU independent regulatory agencies in general: M </w:t>
      </w:r>
      <w:proofErr w:type="spellStart"/>
      <w:r w:rsidRPr="00AE2E4D">
        <w:rPr>
          <w:rStyle w:val="FootnoteReference"/>
          <w:rFonts w:asciiTheme="minorHAnsi" w:hAnsiTheme="minorHAnsi"/>
          <w:vertAlign w:val="baseline"/>
        </w:rPr>
        <w:t>Scholten</w:t>
      </w:r>
      <w:proofErr w:type="spellEnd"/>
      <w:r w:rsidRPr="00AE2E4D">
        <w:rPr>
          <w:rStyle w:val="FootnoteReference"/>
          <w:rFonts w:asciiTheme="minorHAnsi" w:hAnsiTheme="minorHAnsi"/>
          <w:vertAlign w:val="baseline"/>
        </w:rPr>
        <w:t>, The P</w:t>
      </w:r>
      <w:r w:rsidRPr="00AE2E4D">
        <w:rPr>
          <w:rStyle w:val="FootnoteReference"/>
          <w:rFonts w:asciiTheme="minorHAnsi" w:hAnsiTheme="minorHAnsi"/>
          <w:vertAlign w:val="baseline"/>
        </w:rPr>
        <w:t>o</w:t>
      </w:r>
      <w:r w:rsidRPr="00AE2E4D">
        <w:rPr>
          <w:rStyle w:val="FootnoteReference"/>
          <w:rFonts w:asciiTheme="minorHAnsi" w:hAnsiTheme="minorHAnsi"/>
          <w:vertAlign w:val="baseline"/>
        </w:rPr>
        <w:t xml:space="preserve">litical Accountability of EU and US Independent Regulatory Agencies (Brill </w:t>
      </w:r>
      <w:proofErr w:type="spellStart"/>
      <w:r w:rsidRPr="00AE2E4D">
        <w:rPr>
          <w:rStyle w:val="FootnoteReference"/>
          <w:rFonts w:asciiTheme="minorHAnsi" w:hAnsiTheme="minorHAnsi"/>
          <w:vertAlign w:val="baseline"/>
        </w:rPr>
        <w:t>Nijhoff</w:t>
      </w:r>
      <w:proofErr w:type="spellEnd"/>
      <w:r w:rsidRPr="00AE2E4D">
        <w:rPr>
          <w:rStyle w:val="FootnoteReference"/>
          <w:rFonts w:asciiTheme="minorHAnsi" w:hAnsiTheme="minorHAnsi"/>
          <w:vertAlign w:val="baseline"/>
        </w:rPr>
        <w:t xml:space="preserve"> 2014); for an overview of specific accountability arrangements: ibid, 410–41 (EBA), 430–31 (EIOPA), 446–47 (ESMA).</w:t>
      </w:r>
    </w:p>
  </w:footnote>
  <w:footnote w:id="81">
    <w:p w14:paraId="6FEB508E" w14:textId="493279A3"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i/>
          <w:vertAlign w:val="baseline"/>
        </w:rPr>
        <w:t>Riigikohus</w:t>
      </w:r>
      <w:proofErr w:type="spellEnd"/>
      <w:r w:rsidRPr="00AE2E4D">
        <w:rPr>
          <w:rStyle w:val="FootnoteReference"/>
          <w:rFonts w:asciiTheme="minorHAnsi" w:hAnsiTheme="minorHAnsi"/>
          <w:vertAlign w:val="baseline"/>
        </w:rPr>
        <w:t xml:space="preserve"> (Supreme Court of Estonia) 12 July 2012, 3-4-1-6-12, Judgment of the Supreme Court (en banc); </w:t>
      </w:r>
      <w:r w:rsidRPr="00AE2E4D">
        <w:rPr>
          <w:rStyle w:val="FootnoteReference"/>
          <w:rFonts w:asciiTheme="minorHAnsi" w:hAnsiTheme="minorHAnsi"/>
          <w:i/>
          <w:vertAlign w:val="baseline"/>
        </w:rPr>
        <w:t>x Pringle v The Government of Ireland</w:t>
      </w:r>
      <w:r w:rsidRPr="00AE2E4D">
        <w:rPr>
          <w:rStyle w:val="FootnoteReference"/>
          <w:rFonts w:asciiTheme="minorHAnsi" w:hAnsiTheme="minorHAnsi"/>
          <w:vertAlign w:val="baseline"/>
        </w:rPr>
        <w:t xml:space="preserve"> [2012] IESC 47; </w:t>
      </w:r>
      <w:proofErr w:type="spellStart"/>
      <w:r w:rsidRPr="00AE2E4D">
        <w:rPr>
          <w:rStyle w:val="FootnoteReference"/>
          <w:rFonts w:asciiTheme="minorHAnsi" w:hAnsiTheme="minorHAnsi"/>
          <w:i/>
          <w:vertAlign w:val="baseline"/>
        </w:rPr>
        <w:t>Verfassunsgerichtshof</w:t>
      </w:r>
      <w:proofErr w:type="spellEnd"/>
      <w:r w:rsidRPr="00AE2E4D">
        <w:rPr>
          <w:rStyle w:val="FootnoteReference"/>
          <w:rFonts w:asciiTheme="minorHAnsi" w:hAnsiTheme="minorHAnsi"/>
          <w:vertAlign w:val="baseline"/>
        </w:rPr>
        <w:t xml:space="preserve"> (Constitutional Court of Austria) 16 March 2013, SV 2/12 18; Polish Constitutional Tribunal, judgment of 26 June 2013, K 33/12; District court ’s-</w:t>
      </w:r>
      <w:r w:rsidRPr="00AE2E4D">
        <w:rPr>
          <w:rStyle w:val="FootnoteReference"/>
          <w:rFonts w:asciiTheme="minorHAnsi" w:hAnsiTheme="minorHAnsi"/>
          <w:i/>
          <w:vertAlign w:val="baseline"/>
        </w:rPr>
        <w:t>Gravenhage</w:t>
      </w:r>
      <w:r w:rsidRPr="00AE2E4D">
        <w:rPr>
          <w:rStyle w:val="FootnoteReference"/>
          <w:rFonts w:asciiTheme="minorHAnsi" w:hAnsiTheme="minorHAnsi"/>
          <w:vertAlign w:val="baseline"/>
        </w:rPr>
        <w:t xml:space="preserve">, decision of 1 June 2012, case no. 419556/KG ZA 12–523. </w:t>
      </w:r>
      <w:r w:rsidRPr="00AE2E4D">
        <w:rPr>
          <w:rFonts w:asciiTheme="minorHAnsi" w:hAnsiTheme="minorHAnsi"/>
          <w:color w:val="000000"/>
        </w:rPr>
        <w:t>The German Federal Constitutional Court considered the TSCG t</w:t>
      </w:r>
      <w:r w:rsidRPr="00AE2E4D">
        <w:rPr>
          <w:rFonts w:asciiTheme="minorHAnsi" w:hAnsiTheme="minorHAnsi"/>
          <w:color w:val="000000"/>
        </w:rPr>
        <w:t>o</w:t>
      </w:r>
      <w:r w:rsidRPr="00AE2E4D">
        <w:rPr>
          <w:rFonts w:asciiTheme="minorHAnsi" w:hAnsiTheme="minorHAnsi"/>
          <w:color w:val="000000"/>
        </w:rPr>
        <w:t xml:space="preserve">gether with the ESM Treaty, </w:t>
      </w:r>
      <w:proofErr w:type="spellStart"/>
      <w:r w:rsidRPr="00AE2E4D">
        <w:rPr>
          <w:rFonts w:asciiTheme="minorHAnsi" w:hAnsiTheme="minorHAnsi"/>
          <w:i/>
          <w:color w:val="000000"/>
        </w:rPr>
        <w:t>BVerfG</w:t>
      </w:r>
      <w:proofErr w:type="spellEnd"/>
      <w:r w:rsidRPr="00AE2E4D">
        <w:rPr>
          <w:rFonts w:asciiTheme="minorHAnsi" w:hAnsiTheme="minorHAnsi"/>
          <w:color w:val="000000"/>
        </w:rPr>
        <w:t xml:space="preserve">, 2 </w:t>
      </w:r>
      <w:proofErr w:type="spellStart"/>
      <w:r w:rsidRPr="00AE2E4D">
        <w:rPr>
          <w:rFonts w:asciiTheme="minorHAnsi" w:hAnsiTheme="minorHAnsi"/>
          <w:color w:val="000000"/>
        </w:rPr>
        <w:t>BvR</w:t>
      </w:r>
      <w:proofErr w:type="spellEnd"/>
      <w:r w:rsidRPr="00AE2E4D">
        <w:rPr>
          <w:rFonts w:asciiTheme="minorHAnsi" w:hAnsiTheme="minorHAnsi"/>
          <w:color w:val="000000"/>
        </w:rPr>
        <w:t xml:space="preserve"> 1390/12 et al., Decision of 12 September 2012.</w:t>
      </w:r>
      <w:r w:rsidRPr="00AE2E4D">
        <w:rPr>
          <w:rFonts w:asciiTheme="minorHAnsi" w:hAnsiTheme="minorHAnsi"/>
        </w:rPr>
        <w:t xml:space="preserve"> </w:t>
      </w:r>
      <w:r w:rsidRPr="00AE2E4D">
        <w:rPr>
          <w:rStyle w:val="FootnoteReference"/>
          <w:rFonts w:asciiTheme="minorHAnsi" w:hAnsiTheme="minorHAnsi"/>
          <w:vertAlign w:val="baseline"/>
        </w:rPr>
        <w:t>This is not intended to be an exhaustive list (for example, there have also been parliamentary reviews of the ESM Treaty by the Constitutional Committee of the Finnish Parliament and by the EU Co</w:t>
      </w:r>
      <w:r w:rsidRPr="00AE2E4D">
        <w:rPr>
          <w:rStyle w:val="FootnoteReference"/>
          <w:rFonts w:asciiTheme="minorHAnsi" w:hAnsiTheme="minorHAnsi"/>
          <w:vertAlign w:val="baseline"/>
        </w:rPr>
        <w:t>m</w:t>
      </w:r>
      <w:r w:rsidRPr="00AE2E4D">
        <w:rPr>
          <w:rStyle w:val="FootnoteReference"/>
          <w:rFonts w:asciiTheme="minorHAnsi" w:hAnsiTheme="minorHAnsi"/>
          <w:vertAlign w:val="baseline"/>
        </w:rPr>
        <w:t xml:space="preserve">mittee of the UK House of Lords). </w:t>
      </w:r>
      <w:r>
        <w:rPr>
          <w:rFonts w:asciiTheme="minorHAnsi" w:hAnsiTheme="minorHAnsi"/>
        </w:rPr>
        <w:t xml:space="preserve">See n </w:t>
      </w:r>
      <w:r>
        <w:rPr>
          <w:rFonts w:asciiTheme="minorHAnsi" w:hAnsiTheme="minorHAnsi"/>
        </w:rPr>
        <w:fldChar w:fldCharType="begin"/>
      </w:r>
      <w:r>
        <w:rPr>
          <w:rFonts w:asciiTheme="minorHAnsi" w:hAnsiTheme="minorHAnsi"/>
        </w:rPr>
        <w:instrText xml:space="preserve"> NOTEREF _Ref415828070 \h </w:instrText>
      </w:r>
      <w:r>
        <w:rPr>
          <w:rFonts w:asciiTheme="minorHAnsi" w:hAnsiTheme="minorHAnsi"/>
        </w:rPr>
      </w:r>
      <w:r>
        <w:rPr>
          <w:rFonts w:asciiTheme="minorHAnsi" w:hAnsiTheme="minorHAnsi"/>
        </w:rPr>
        <w:fldChar w:fldCharType="separate"/>
      </w:r>
      <w:r>
        <w:rPr>
          <w:rFonts w:asciiTheme="minorHAnsi" w:hAnsiTheme="minorHAnsi"/>
        </w:rPr>
        <w:t>8</w:t>
      </w:r>
      <w:r>
        <w:rPr>
          <w:rFonts w:asciiTheme="minorHAnsi" w:hAnsiTheme="minorHAnsi"/>
        </w:rPr>
        <w:fldChar w:fldCharType="end"/>
      </w:r>
      <w:r>
        <w:rPr>
          <w:rFonts w:asciiTheme="minorHAnsi" w:hAnsiTheme="minorHAnsi"/>
        </w:rPr>
        <w:t xml:space="preserve"> for references to academic literature.</w:t>
      </w:r>
    </w:p>
  </w:footnote>
  <w:footnote w:id="82">
    <w:p w14:paraId="317E4C07" w14:textId="42F0266F"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The Polish decision (Polish Constitutional Tribunal, judgment of 26 June 2013, K 33/12) f</w:t>
      </w:r>
      <w:r w:rsidRPr="00AE2E4D">
        <w:rPr>
          <w:rStyle w:val="FootnoteReference"/>
          <w:rFonts w:asciiTheme="minorHAnsi" w:hAnsiTheme="minorHAnsi"/>
          <w:vertAlign w:val="baseline"/>
        </w:rPr>
        <w:t>o</w:t>
      </w:r>
      <w:r w:rsidRPr="00AE2E4D">
        <w:rPr>
          <w:rStyle w:val="FootnoteReference"/>
          <w:rFonts w:asciiTheme="minorHAnsi" w:hAnsiTheme="minorHAnsi"/>
          <w:vertAlign w:val="baseline"/>
        </w:rPr>
        <w:t>cuse</w:t>
      </w:r>
      <w:proofErr w:type="gramStart"/>
      <w:r>
        <w:rPr>
          <w:rFonts w:asciiTheme="minorHAnsi" w:hAnsiTheme="minorHAnsi"/>
        </w:rPr>
        <w:t>d</w:t>
      </w:r>
      <w:proofErr w:type="gramEnd"/>
      <w:r w:rsidRPr="00AE2E4D">
        <w:rPr>
          <w:rStyle w:val="FootnoteReference"/>
          <w:rFonts w:asciiTheme="minorHAnsi" w:hAnsiTheme="minorHAnsi"/>
          <w:vertAlign w:val="baseline"/>
        </w:rPr>
        <w:t xml:space="preserve"> on the amendment of Article 136 TFEU and the question whether it expands the scope of EU powers; the Austrian decision (</w:t>
      </w:r>
      <w:proofErr w:type="spellStart"/>
      <w:r w:rsidRPr="00AE2E4D">
        <w:rPr>
          <w:rStyle w:val="FootnoteReference"/>
          <w:rFonts w:asciiTheme="minorHAnsi" w:hAnsiTheme="minorHAnsi"/>
          <w:i/>
          <w:vertAlign w:val="baseline"/>
        </w:rPr>
        <w:t>Verfassunsgerichtshof</w:t>
      </w:r>
      <w:proofErr w:type="spellEnd"/>
      <w:r w:rsidRPr="00AE2E4D">
        <w:rPr>
          <w:rStyle w:val="FootnoteReference"/>
          <w:rFonts w:asciiTheme="minorHAnsi" w:hAnsiTheme="minorHAnsi"/>
          <w:vertAlign w:val="baseline"/>
        </w:rPr>
        <w:t xml:space="preserve"> (Constitutional Court of Austria) 16 March 2013, SV 2/12 18) focuse</w:t>
      </w:r>
      <w:r>
        <w:rPr>
          <w:rFonts w:asciiTheme="minorHAnsi" w:hAnsiTheme="minorHAnsi"/>
        </w:rPr>
        <w:t>d</w:t>
      </w:r>
      <w:r w:rsidRPr="00AE2E4D">
        <w:rPr>
          <w:rStyle w:val="FootnoteReference"/>
          <w:rFonts w:asciiTheme="minorHAnsi" w:hAnsiTheme="minorHAnsi"/>
          <w:vertAlign w:val="baseline"/>
        </w:rPr>
        <w:t xml:space="preserve"> on EU law and relie</w:t>
      </w:r>
      <w:r>
        <w:rPr>
          <w:rFonts w:asciiTheme="minorHAnsi" w:hAnsiTheme="minorHAnsi"/>
        </w:rPr>
        <w:t>d</w:t>
      </w:r>
      <w:r w:rsidRPr="00AE2E4D">
        <w:rPr>
          <w:rStyle w:val="FootnoteReference"/>
          <w:rFonts w:asciiTheme="minorHAnsi" w:hAnsiTheme="minorHAnsi"/>
          <w:vertAlign w:val="baseline"/>
        </w:rPr>
        <w:t xml:space="preserve"> on the CJEU’s earlier decision in </w:t>
      </w:r>
      <w:r w:rsidRPr="00AE2E4D">
        <w:rPr>
          <w:rStyle w:val="FootnoteReference"/>
          <w:rFonts w:asciiTheme="minorHAnsi" w:hAnsiTheme="minorHAnsi"/>
          <w:i/>
          <w:vertAlign w:val="baseline"/>
        </w:rPr>
        <w:t>Pringle</w:t>
      </w:r>
      <w:r w:rsidRPr="00AE2E4D">
        <w:rPr>
          <w:rStyle w:val="FootnoteReference"/>
          <w:rFonts w:asciiTheme="minorHAnsi" w:hAnsiTheme="minorHAnsi"/>
          <w:vertAlign w:val="baseline"/>
        </w:rPr>
        <w:t>; the Dutch decision (District court ’s-</w:t>
      </w:r>
      <w:r w:rsidRPr="00AE2E4D">
        <w:rPr>
          <w:rStyle w:val="FootnoteReference"/>
          <w:rFonts w:asciiTheme="minorHAnsi" w:hAnsiTheme="minorHAnsi"/>
          <w:i/>
          <w:vertAlign w:val="baseline"/>
        </w:rPr>
        <w:t>Gravenhage</w:t>
      </w:r>
      <w:r w:rsidRPr="00AE2E4D">
        <w:rPr>
          <w:rStyle w:val="FootnoteReference"/>
          <w:rFonts w:asciiTheme="minorHAnsi" w:hAnsiTheme="minorHAnsi"/>
          <w:vertAlign w:val="baseline"/>
        </w:rPr>
        <w:t>, decision of 1 June 2012, case no. 419556/KG ZA 12–523) was rejected on procedural grounds.</w:t>
      </w:r>
    </w:p>
  </w:footnote>
  <w:footnote w:id="83">
    <w:p w14:paraId="55376682"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Art 4(4) ESM Treaty: ‘[W]here the Commission and the ECB both conclude that a failure to urgently adopt a decision to grant or implement financial assistance [. . .] would threaten to a si</w:t>
      </w:r>
      <w:r w:rsidRPr="00AE2E4D">
        <w:rPr>
          <w:rStyle w:val="FootnoteReference"/>
          <w:rFonts w:asciiTheme="minorHAnsi" w:hAnsiTheme="minorHAnsi"/>
          <w:vertAlign w:val="baseline"/>
        </w:rPr>
        <w:t>g</w:t>
      </w:r>
      <w:r w:rsidRPr="00AE2E4D">
        <w:rPr>
          <w:rStyle w:val="FootnoteReference"/>
          <w:rFonts w:asciiTheme="minorHAnsi" w:hAnsiTheme="minorHAnsi"/>
          <w:vertAlign w:val="baseline"/>
        </w:rPr>
        <w:t>nificant extent the economic and financial sustainability of the euro area [t]he adoption of a deci</w:t>
      </w:r>
      <w:r w:rsidRPr="00AE2E4D">
        <w:rPr>
          <w:rStyle w:val="FootnoteReference"/>
          <w:rFonts w:asciiTheme="minorHAnsi" w:hAnsiTheme="minorHAnsi"/>
          <w:vertAlign w:val="baseline"/>
        </w:rPr>
        <w:softHyphen/>
        <w:t>sion by mutual agreement by the Board of Governors [. . .] requires a qualified majority of 85% of the votes cast.’</w:t>
      </w:r>
    </w:p>
  </w:footnote>
  <w:footnote w:id="84">
    <w:p w14:paraId="49646B62"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Voting rights are equal to the number of shares in the capital stock of the ESM allocated to each Member; accordingly, all Members could be currently outvoted, apart from Germany, Italy, and France, which hold more than 15% of shares each (and thus more than 15% of voting rights each).</w:t>
      </w:r>
    </w:p>
  </w:footnote>
  <w:footnote w:id="85">
    <w:p w14:paraId="2C78667E"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x Pringle v The Government of Ireland</w:t>
      </w:r>
      <w:r w:rsidRPr="00AE2E4D">
        <w:rPr>
          <w:rStyle w:val="FootnoteReference"/>
          <w:rFonts w:asciiTheme="minorHAnsi" w:hAnsiTheme="minorHAnsi"/>
          <w:vertAlign w:val="baseline"/>
        </w:rPr>
        <w:t xml:space="preserve"> [2012] IESC 47, section 17xi.</w:t>
      </w:r>
    </w:p>
  </w:footnote>
  <w:footnote w:id="86">
    <w:p w14:paraId="2200CC16"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i/>
          <w:vertAlign w:val="baseline"/>
        </w:rPr>
        <w:t>Riigikohus</w:t>
      </w:r>
      <w:proofErr w:type="spellEnd"/>
      <w:r w:rsidRPr="00AE2E4D">
        <w:rPr>
          <w:rStyle w:val="FootnoteReference"/>
          <w:rFonts w:asciiTheme="minorHAnsi" w:hAnsiTheme="minorHAnsi"/>
          <w:vertAlign w:val="baseline"/>
        </w:rPr>
        <w:t xml:space="preserve"> (Supreme Court of Estonia) 12 July 2012, 3-4-1-6-12, Judgment of the Supreme Court (en banc) [153].</w:t>
      </w:r>
    </w:p>
  </w:footnote>
  <w:footnote w:id="87">
    <w:p w14:paraId="13A23971"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[162] and ff.</w:t>
      </w:r>
    </w:p>
  </w:footnote>
  <w:footnote w:id="88">
    <w:p w14:paraId="51826889" w14:textId="02B6BECB"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[192]</w:t>
      </w:r>
      <w:r w:rsidRPr="00AE2E4D">
        <w:rPr>
          <w:rFonts w:asciiTheme="minorHAnsi" w:hAnsiTheme="minorHAnsi"/>
        </w:rPr>
        <w:t>.</w:t>
      </w:r>
    </w:p>
  </w:footnote>
  <w:footnote w:id="89">
    <w:p w14:paraId="12F12A5C"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BvR</w:t>
      </w:r>
      <w:proofErr w:type="spellEnd"/>
      <w:r w:rsidRPr="00AE2E4D">
        <w:rPr>
          <w:rStyle w:val="FootnoteReference"/>
          <w:rFonts w:asciiTheme="minorHAnsi" w:hAnsiTheme="minorHAnsi"/>
          <w:vertAlign w:val="baseline"/>
        </w:rPr>
        <w:t xml:space="preserve"> 1390/12 et al., Decision of 12 September 2012.</w:t>
      </w:r>
    </w:p>
  </w:footnote>
  <w:footnote w:id="90">
    <w:p w14:paraId="48F2D60D"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BvR</w:t>
      </w:r>
      <w:proofErr w:type="spellEnd"/>
      <w:r w:rsidRPr="00AE2E4D">
        <w:rPr>
          <w:rStyle w:val="FootnoteReference"/>
          <w:rFonts w:asciiTheme="minorHAnsi" w:hAnsiTheme="minorHAnsi"/>
          <w:vertAlign w:val="baseline"/>
        </w:rPr>
        <w:t xml:space="preserve"> 987/10 et al., Decision of 7 September 2011.</w:t>
      </w:r>
    </w:p>
  </w:footnote>
  <w:footnote w:id="91">
    <w:p w14:paraId="270A8744"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[124].</w:t>
      </w:r>
    </w:p>
  </w:footnote>
  <w:footnote w:id="92">
    <w:p w14:paraId="59F40DAC"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[122].</w:t>
      </w:r>
    </w:p>
  </w:footnote>
  <w:footnote w:id="93">
    <w:p w14:paraId="02BD74C0"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The German court rejected that a parliamentary committee consisting of nine members could give the nec</w:t>
      </w:r>
      <w:r w:rsidRPr="00AE2E4D">
        <w:rPr>
          <w:rStyle w:val="FootnoteReference"/>
          <w:rFonts w:asciiTheme="minorHAnsi" w:hAnsiTheme="minorHAnsi"/>
          <w:vertAlign w:val="baseline"/>
        </w:rPr>
        <w:softHyphen/>
        <w:t xml:space="preserve">essary parliamentary approval in emergency situations: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BvE</w:t>
      </w:r>
      <w:proofErr w:type="spellEnd"/>
      <w:r w:rsidRPr="00AE2E4D">
        <w:rPr>
          <w:rStyle w:val="FootnoteReference"/>
          <w:rFonts w:asciiTheme="minorHAnsi" w:hAnsiTheme="minorHAnsi"/>
          <w:vertAlign w:val="baseline"/>
        </w:rPr>
        <w:t xml:space="preserve"> 8/11, Decision of 28 February 2012. See further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BvE</w:t>
      </w:r>
      <w:proofErr w:type="spellEnd"/>
      <w:r w:rsidRPr="00AE2E4D">
        <w:rPr>
          <w:rStyle w:val="FootnoteReference"/>
          <w:rFonts w:asciiTheme="minorHAnsi" w:hAnsiTheme="minorHAnsi"/>
          <w:vertAlign w:val="baseline"/>
        </w:rPr>
        <w:t xml:space="preserve"> 4/11, Decision of 19 June 2012, also protecting the prerogative of the national parliament to be informed about negotiations condu</w:t>
      </w:r>
      <w:r w:rsidRPr="00AE2E4D">
        <w:rPr>
          <w:rStyle w:val="FootnoteReference"/>
          <w:rFonts w:asciiTheme="minorHAnsi" w:hAnsiTheme="minorHAnsi"/>
          <w:vertAlign w:val="baseline"/>
        </w:rPr>
        <w:t>c</w:t>
      </w:r>
      <w:r w:rsidRPr="00AE2E4D">
        <w:rPr>
          <w:rStyle w:val="FootnoteReference"/>
          <w:rFonts w:asciiTheme="minorHAnsi" w:hAnsiTheme="minorHAnsi"/>
          <w:vertAlign w:val="baseline"/>
        </w:rPr>
        <w:t>ing to the Euro Plus Pact and the ESM Treaty.</w:t>
      </w:r>
    </w:p>
  </w:footnote>
  <w:footnote w:id="94">
    <w:p w14:paraId="3934A77E"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BvR</w:t>
      </w:r>
      <w:proofErr w:type="spellEnd"/>
      <w:r w:rsidRPr="00AE2E4D">
        <w:rPr>
          <w:rStyle w:val="FootnoteReference"/>
          <w:rFonts w:asciiTheme="minorHAnsi" w:hAnsiTheme="minorHAnsi"/>
          <w:vertAlign w:val="baseline"/>
        </w:rPr>
        <w:t xml:space="preserve"> 1390/12 et al., Decision of 12 September 2012 [194-195].</w:t>
      </w:r>
    </w:p>
  </w:footnote>
  <w:footnote w:id="95">
    <w:p w14:paraId="340A5A07"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[196].</w:t>
      </w:r>
    </w:p>
  </w:footnote>
  <w:footnote w:id="96">
    <w:p w14:paraId="0C2C9371"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[198].</w:t>
      </w:r>
    </w:p>
  </w:footnote>
  <w:footnote w:id="97">
    <w:p w14:paraId="252101D0"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Ibid, [199].</w:t>
      </w:r>
    </w:p>
  </w:footnote>
  <w:footnote w:id="98">
    <w:p w14:paraId="7E4F3F08"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Clarifying the maximum limit of Germany’s financial contribution and the right of the Bu</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 xml:space="preserve">destag to access ESM documents: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BvR</w:t>
      </w:r>
      <w:proofErr w:type="spellEnd"/>
      <w:r w:rsidRPr="00AE2E4D">
        <w:rPr>
          <w:rStyle w:val="FootnoteReference"/>
          <w:rFonts w:asciiTheme="minorHAnsi" w:hAnsiTheme="minorHAnsi"/>
          <w:vertAlign w:val="baseline"/>
        </w:rPr>
        <w:t xml:space="preserve"> 1390/12 et al., Decision of 12 September 2012 [209-228].</w:t>
      </w:r>
    </w:p>
  </w:footnote>
  <w:footnote w:id="99">
    <w:p w14:paraId="41321822" w14:textId="3B3A1F0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See e.g. F </w:t>
      </w:r>
      <w:proofErr w:type="spellStart"/>
      <w:r w:rsidRPr="00AE2E4D">
        <w:rPr>
          <w:rStyle w:val="FootnoteReference"/>
          <w:rFonts w:asciiTheme="minorHAnsi" w:hAnsiTheme="minorHAnsi"/>
          <w:vertAlign w:val="baseline"/>
        </w:rPr>
        <w:t>Amtenbrink</w:t>
      </w:r>
      <w:proofErr w:type="spellEnd"/>
      <w:r w:rsidRPr="00AE2E4D">
        <w:rPr>
          <w:rStyle w:val="FootnoteReference"/>
          <w:rFonts w:asciiTheme="minorHAnsi" w:hAnsiTheme="minorHAnsi"/>
          <w:vertAlign w:val="baseline"/>
        </w:rPr>
        <w:t xml:space="preserve">, n </w:t>
      </w:r>
      <w:r w:rsidRPr="00AE2E4D">
        <w:rPr>
          <w:rStyle w:val="FootnoteReference"/>
          <w:rFonts w:asciiTheme="minorHAnsi" w:hAnsiTheme="minorHAnsi"/>
          <w:vertAlign w:val="baseline"/>
        </w:rPr>
        <w:fldChar w:fldCharType="begin"/>
      </w:r>
      <w:r w:rsidRPr="00AE2E4D">
        <w:rPr>
          <w:rStyle w:val="FootnoteReference"/>
          <w:rFonts w:asciiTheme="minorHAnsi" w:hAnsiTheme="minorHAnsi"/>
          <w:vertAlign w:val="baseline"/>
        </w:rPr>
        <w:instrText xml:space="preserve"> NOTEREF _Ref405229800 \h </w:instrText>
      </w:r>
      <w:r w:rsidRPr="00AE2E4D">
        <w:rPr>
          <w:rStyle w:val="FootnoteReference"/>
          <w:rFonts w:asciiTheme="minorHAnsi" w:hAnsiTheme="minorHAnsi"/>
          <w:vertAlign w:val="baseline"/>
        </w:rPr>
      </w:r>
      <w:r w:rsidRPr="00AE2E4D">
        <w:rPr>
          <w:rStyle w:val="FootnoteReference"/>
          <w:rFonts w:asciiTheme="minorHAnsi" w:hAnsiTheme="minorHAnsi"/>
          <w:vertAlign w:val="baseline"/>
        </w:rPr>
        <w:fldChar w:fldCharType="separate"/>
      </w:r>
      <w:r>
        <w:rPr>
          <w:rStyle w:val="FootnoteReference"/>
          <w:rFonts w:asciiTheme="minorHAnsi" w:hAnsiTheme="minorHAnsi"/>
          <w:vertAlign w:val="baseline"/>
        </w:rPr>
        <w:t>80</w:t>
      </w:r>
      <w:r w:rsidRPr="00AE2E4D">
        <w:rPr>
          <w:rStyle w:val="FootnoteReference"/>
          <w:rFonts w:asciiTheme="minorHAnsi" w:hAnsiTheme="minorHAnsi"/>
          <w:vertAlign w:val="baseline"/>
        </w:rPr>
        <w:fldChar w:fldCharType="end"/>
      </w:r>
      <w:r w:rsidRPr="00AE2E4D">
        <w:rPr>
          <w:rFonts w:asciiTheme="minorHAnsi" w:hAnsiTheme="minorHAnsi"/>
        </w:rPr>
        <w:t>,</w:t>
      </w:r>
      <w:r w:rsidRPr="00AE2E4D">
        <w:rPr>
          <w:rStyle w:val="FootnoteReference"/>
          <w:rFonts w:asciiTheme="minorHAnsi" w:hAnsiTheme="minorHAnsi"/>
          <w:vertAlign w:val="baseline"/>
        </w:rPr>
        <w:t xml:space="preserve"> </w:t>
      </w:r>
      <w:proofErr w:type="spellStart"/>
      <w:proofErr w:type="gramStart"/>
      <w:r w:rsidRPr="00AE2E4D">
        <w:rPr>
          <w:rFonts w:asciiTheme="minorHAnsi" w:hAnsiTheme="minorHAnsi"/>
        </w:rPr>
        <w:t>pg</w:t>
      </w:r>
      <w:proofErr w:type="spellEnd"/>
      <w:proofErr w:type="gramEnd"/>
      <w:r w:rsidRPr="00AE2E4D">
        <w:rPr>
          <w:rFonts w:asciiTheme="minorHAnsi" w:hAnsiTheme="minorHAnsi"/>
        </w:rPr>
        <w:t xml:space="preserve"> </w:t>
      </w:r>
      <w:r w:rsidRPr="00AE2E4D">
        <w:rPr>
          <w:rStyle w:val="FootnoteReference"/>
          <w:rFonts w:asciiTheme="minorHAnsi" w:hAnsiTheme="minorHAnsi"/>
          <w:vertAlign w:val="baseline"/>
        </w:rPr>
        <w:t xml:space="preserve">32; S </w:t>
      </w:r>
      <w:proofErr w:type="spellStart"/>
      <w:r w:rsidRPr="00AE2E4D">
        <w:rPr>
          <w:rStyle w:val="FootnoteReference"/>
          <w:rFonts w:asciiTheme="minorHAnsi" w:hAnsiTheme="minorHAnsi"/>
          <w:vertAlign w:val="baseline"/>
        </w:rPr>
        <w:t>Poppelaars</w:t>
      </w:r>
      <w:proofErr w:type="spellEnd"/>
      <w:r w:rsidRPr="00AE2E4D">
        <w:rPr>
          <w:rStyle w:val="FootnoteReference"/>
          <w:rFonts w:asciiTheme="minorHAnsi" w:hAnsiTheme="minorHAnsi"/>
          <w:vertAlign w:val="baseline"/>
        </w:rPr>
        <w:t xml:space="preserve">, ‘The Involvement of National Parliaments in the Current ESM and the Possible Future EMF’ </w:t>
      </w:r>
      <w:proofErr w:type="spellStart"/>
      <w:r w:rsidRPr="00AE2E4D">
        <w:rPr>
          <w:rStyle w:val="FootnoteReference"/>
          <w:rFonts w:asciiTheme="minorHAnsi" w:hAnsiTheme="minorHAnsi"/>
          <w:vertAlign w:val="baseline"/>
        </w:rPr>
        <w:t>Luiss</w:t>
      </w:r>
      <w:proofErr w:type="spellEnd"/>
      <w:r w:rsidRPr="00AE2E4D">
        <w:rPr>
          <w:rStyle w:val="FootnoteReference"/>
          <w:rFonts w:asciiTheme="minorHAnsi" w:hAnsiTheme="minorHAnsi"/>
          <w:vertAlign w:val="baseline"/>
        </w:rPr>
        <w:t xml:space="preserve"> School of Government Working Paper Series, SOG-WP44/2018, </w:t>
      </w:r>
      <w:proofErr w:type="spellStart"/>
      <w:r w:rsidRPr="00AE2E4D">
        <w:rPr>
          <w:rStyle w:val="FootnoteReference"/>
          <w:rFonts w:asciiTheme="minorHAnsi" w:hAnsiTheme="minorHAnsi"/>
          <w:vertAlign w:val="baseline"/>
        </w:rPr>
        <w:t>pg</w:t>
      </w:r>
      <w:proofErr w:type="spellEnd"/>
      <w:r w:rsidRPr="00AE2E4D">
        <w:rPr>
          <w:rStyle w:val="FootnoteReference"/>
          <w:rFonts w:asciiTheme="minorHAnsi" w:hAnsiTheme="minorHAnsi"/>
          <w:vertAlign w:val="baseline"/>
        </w:rPr>
        <w:t xml:space="preserve"> 4. The Court did consider, and had no objection to, the constitutio</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 xml:space="preserve">ality of Article 4(8) ESM Treaty, which suspends the voting rights of states that fail to meet their obligations in contributing to the ESM. </w:t>
      </w:r>
    </w:p>
  </w:footnote>
  <w:footnote w:id="100">
    <w:p w14:paraId="39D49E81"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i/>
          <w:vertAlign w:val="baseline"/>
        </w:rPr>
        <w:t>Ewigkeitsklausel</w:t>
      </w:r>
      <w:proofErr w:type="spellEnd"/>
      <w:r w:rsidRPr="00AE2E4D">
        <w:rPr>
          <w:rStyle w:val="FootnoteReference"/>
          <w:rFonts w:asciiTheme="minorHAnsi" w:hAnsiTheme="minorHAnsi"/>
          <w:vertAlign w:val="baseline"/>
        </w:rPr>
        <w:t xml:space="preserve"> under Article 79.3 </w:t>
      </w:r>
      <w:proofErr w:type="spellStart"/>
      <w:r w:rsidRPr="00AE2E4D">
        <w:rPr>
          <w:rStyle w:val="FootnoteReference"/>
          <w:rFonts w:asciiTheme="minorHAnsi" w:hAnsiTheme="minorHAnsi"/>
          <w:i/>
          <w:vertAlign w:val="baseline"/>
        </w:rPr>
        <w:t>Grundgesetz</w:t>
      </w:r>
      <w:proofErr w:type="spellEnd"/>
      <w:r w:rsidRPr="00AE2E4D">
        <w:rPr>
          <w:rStyle w:val="FootnoteReference"/>
          <w:rFonts w:asciiTheme="minorHAnsi" w:hAnsiTheme="minorHAnsi"/>
          <w:vertAlign w:val="baseline"/>
        </w:rPr>
        <w:t>.</w:t>
      </w:r>
    </w:p>
  </w:footnote>
  <w:footnote w:id="101">
    <w:p w14:paraId="610F7135" w14:textId="77777777" w:rsidR="00746868" w:rsidRPr="00AE2E4D" w:rsidRDefault="00746868" w:rsidP="00317D87">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BvE</w:t>
      </w:r>
      <w:proofErr w:type="spellEnd"/>
      <w:r w:rsidRPr="00AE2E4D">
        <w:rPr>
          <w:rStyle w:val="FootnoteReference"/>
          <w:rFonts w:asciiTheme="minorHAnsi" w:hAnsiTheme="minorHAnsi"/>
          <w:vertAlign w:val="baseline"/>
        </w:rPr>
        <w:t xml:space="preserve"> 2/08, Decision of 30 June 2009 (</w:t>
      </w:r>
      <w:r w:rsidRPr="00AE2E4D">
        <w:rPr>
          <w:rStyle w:val="FootnoteReference"/>
          <w:rFonts w:asciiTheme="minorHAnsi" w:hAnsiTheme="minorHAnsi"/>
          <w:i/>
          <w:vertAlign w:val="baseline"/>
        </w:rPr>
        <w:t>Lisbon</w:t>
      </w:r>
      <w:r w:rsidRPr="00AE2E4D">
        <w:rPr>
          <w:rStyle w:val="FootnoteReference"/>
          <w:rFonts w:asciiTheme="minorHAnsi" w:hAnsiTheme="minorHAnsi"/>
          <w:vertAlign w:val="baseline"/>
        </w:rPr>
        <w:t xml:space="preserve">). For analysis, see D </w:t>
      </w:r>
      <w:proofErr w:type="spellStart"/>
      <w:r w:rsidRPr="00AE2E4D">
        <w:rPr>
          <w:rStyle w:val="FootnoteReference"/>
          <w:rFonts w:asciiTheme="minorHAnsi" w:hAnsiTheme="minorHAnsi"/>
          <w:vertAlign w:val="baseline"/>
        </w:rPr>
        <w:t>Thym</w:t>
      </w:r>
      <w:proofErr w:type="spellEnd"/>
      <w:r w:rsidRPr="00AE2E4D">
        <w:rPr>
          <w:rStyle w:val="FootnoteReference"/>
          <w:rFonts w:asciiTheme="minorHAnsi" w:hAnsiTheme="minorHAnsi"/>
          <w:vertAlign w:val="baseline"/>
        </w:rPr>
        <w:t>, ‘In the name of Sovereign Statehood: A Critical Introduction to the Lisbon Judgment of the German Co</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 xml:space="preserve">stitutional Court’ (2009) 46 CML Rev 1795; M </w:t>
      </w:r>
      <w:proofErr w:type="spellStart"/>
      <w:r w:rsidRPr="00AE2E4D">
        <w:rPr>
          <w:rStyle w:val="FootnoteReference"/>
          <w:rFonts w:asciiTheme="minorHAnsi" w:hAnsiTheme="minorHAnsi"/>
          <w:vertAlign w:val="baseline"/>
        </w:rPr>
        <w:t>Payandeh</w:t>
      </w:r>
      <w:proofErr w:type="spellEnd"/>
      <w:r w:rsidRPr="00AE2E4D">
        <w:rPr>
          <w:rStyle w:val="FootnoteReference"/>
          <w:rFonts w:asciiTheme="minorHAnsi" w:hAnsiTheme="minorHAnsi"/>
          <w:vertAlign w:val="baseline"/>
        </w:rPr>
        <w:t xml:space="preserve">, ‘Constitutional Review of EU Law after Honeywell: Contextualising the Relationship between the German Constitutional Court and the EU Court of Justice’ (2011) 48 CML Rev 9. The Court had already considered the constitutionality of EMU provisions in its </w:t>
      </w:r>
      <w:r w:rsidRPr="00AE2E4D">
        <w:rPr>
          <w:rStyle w:val="FootnoteReference"/>
          <w:rFonts w:asciiTheme="minorHAnsi" w:hAnsiTheme="minorHAnsi"/>
          <w:i/>
          <w:vertAlign w:val="baseline"/>
        </w:rPr>
        <w:t>Maastricht</w:t>
      </w:r>
      <w:r w:rsidRPr="00AE2E4D">
        <w:rPr>
          <w:rStyle w:val="FootnoteReference"/>
          <w:rFonts w:asciiTheme="minorHAnsi" w:hAnsiTheme="minorHAnsi"/>
          <w:vertAlign w:val="baseline"/>
        </w:rPr>
        <w:t xml:space="preserve"> decision: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BvR</w:t>
      </w:r>
      <w:proofErr w:type="spellEnd"/>
      <w:r w:rsidRPr="00AE2E4D">
        <w:rPr>
          <w:rStyle w:val="FootnoteReference"/>
          <w:rFonts w:asciiTheme="minorHAnsi" w:hAnsiTheme="minorHAnsi"/>
          <w:vertAlign w:val="baseline"/>
        </w:rPr>
        <w:t xml:space="preserve"> 2134/92 and 2159/92, Decision of 12 October 1993 (Maastricht). On this point, see</w:t>
      </w:r>
      <w:r w:rsidRPr="00AE2E4D">
        <w:rPr>
          <w:rFonts w:asciiTheme="minorHAnsi" w:hAnsiTheme="minorHAnsi"/>
        </w:rPr>
        <w:t xml:space="preserve"> F</w:t>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Amtenbrink</w:t>
      </w:r>
      <w:proofErr w:type="spellEnd"/>
      <w:r w:rsidRPr="00AE2E4D">
        <w:rPr>
          <w:rStyle w:val="FootnoteReference"/>
          <w:rFonts w:asciiTheme="minorHAnsi" w:hAnsiTheme="minorHAnsi"/>
          <w:vertAlign w:val="baseline"/>
        </w:rPr>
        <w:t xml:space="preserve">, n </w:t>
      </w:r>
      <w:r w:rsidRPr="00AE2E4D">
        <w:rPr>
          <w:rStyle w:val="FootnoteReference"/>
          <w:rFonts w:asciiTheme="minorHAnsi" w:hAnsiTheme="minorHAnsi"/>
          <w:vertAlign w:val="baseline"/>
        </w:rPr>
        <w:fldChar w:fldCharType="begin"/>
      </w:r>
      <w:r w:rsidRPr="00AE2E4D">
        <w:rPr>
          <w:rStyle w:val="FootnoteReference"/>
          <w:rFonts w:asciiTheme="minorHAnsi" w:hAnsiTheme="minorHAnsi"/>
          <w:vertAlign w:val="baseline"/>
        </w:rPr>
        <w:instrText xml:space="preserve"> NOTEREF _Ref405229800 \h </w:instrText>
      </w:r>
      <w:r w:rsidRPr="00AE2E4D">
        <w:rPr>
          <w:rStyle w:val="FootnoteReference"/>
          <w:rFonts w:asciiTheme="minorHAnsi" w:hAnsiTheme="minorHAnsi"/>
          <w:vertAlign w:val="baseline"/>
        </w:rPr>
      </w:r>
      <w:r w:rsidRPr="00AE2E4D">
        <w:rPr>
          <w:rStyle w:val="FootnoteReference"/>
          <w:rFonts w:asciiTheme="minorHAnsi" w:hAnsiTheme="minorHAnsi"/>
          <w:vertAlign w:val="baseline"/>
        </w:rPr>
        <w:fldChar w:fldCharType="separate"/>
      </w:r>
      <w:r>
        <w:rPr>
          <w:rStyle w:val="FootnoteReference"/>
          <w:rFonts w:asciiTheme="minorHAnsi" w:hAnsiTheme="minorHAnsi"/>
          <w:vertAlign w:val="baseline"/>
        </w:rPr>
        <w:t>80</w:t>
      </w:r>
      <w:r w:rsidRPr="00AE2E4D">
        <w:rPr>
          <w:rStyle w:val="FootnoteReference"/>
          <w:rFonts w:asciiTheme="minorHAnsi" w:hAnsiTheme="minorHAnsi"/>
          <w:vertAlign w:val="baseline"/>
        </w:rPr>
        <w:fldChar w:fldCharType="end"/>
      </w:r>
      <w:r w:rsidRPr="00AE2E4D">
        <w:rPr>
          <w:rFonts w:asciiTheme="minorHAnsi" w:hAnsiTheme="minorHAnsi"/>
        </w:rPr>
        <w:t>,</w:t>
      </w:r>
      <w:r w:rsidRPr="00AE2E4D">
        <w:rPr>
          <w:rStyle w:val="FootnoteReference"/>
          <w:rFonts w:asciiTheme="minorHAnsi" w:hAnsiTheme="minorHAnsi"/>
          <w:vertAlign w:val="baseline"/>
        </w:rPr>
        <w:t xml:space="preserve"> </w:t>
      </w:r>
      <w:proofErr w:type="spellStart"/>
      <w:r w:rsidRPr="00AE2E4D">
        <w:rPr>
          <w:rFonts w:asciiTheme="minorHAnsi" w:hAnsiTheme="minorHAnsi"/>
        </w:rPr>
        <w:t>pgs</w:t>
      </w:r>
      <w:proofErr w:type="spellEnd"/>
      <w:r w:rsidRPr="00AE2E4D">
        <w:rPr>
          <w:rFonts w:asciiTheme="minorHAnsi" w:hAnsiTheme="minorHAnsi"/>
        </w:rPr>
        <w:t xml:space="preserve"> </w:t>
      </w:r>
      <w:r w:rsidRPr="00AE2E4D">
        <w:rPr>
          <w:rStyle w:val="FootnoteReference"/>
          <w:rFonts w:asciiTheme="minorHAnsi" w:hAnsiTheme="minorHAnsi"/>
          <w:vertAlign w:val="baseline"/>
        </w:rPr>
        <w:t>6 and ff.</w:t>
      </w:r>
    </w:p>
  </w:footnote>
  <w:footnote w:id="102">
    <w:p w14:paraId="72951C6C" w14:textId="77777777" w:rsidR="00746868" w:rsidRPr="00AE2E4D" w:rsidRDefault="00746868" w:rsidP="00317D87">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BvR</w:t>
      </w:r>
      <w:proofErr w:type="spellEnd"/>
      <w:r w:rsidRPr="00AE2E4D">
        <w:rPr>
          <w:rStyle w:val="FootnoteReference"/>
          <w:rFonts w:asciiTheme="minorHAnsi" w:hAnsiTheme="minorHAnsi"/>
          <w:vertAlign w:val="baseline"/>
        </w:rPr>
        <w:t xml:space="preserve"> 2134/92 and 2159/92, Decision of 12 October 1993 (</w:t>
      </w:r>
      <w:r w:rsidRPr="00AE2E4D">
        <w:rPr>
          <w:rStyle w:val="FootnoteReference"/>
          <w:rFonts w:asciiTheme="minorHAnsi" w:hAnsiTheme="minorHAnsi"/>
          <w:i/>
          <w:vertAlign w:val="baseline"/>
        </w:rPr>
        <w:t>Maastricht</w:t>
      </w:r>
      <w:r w:rsidRPr="00AE2E4D">
        <w:rPr>
          <w:rStyle w:val="FootnoteReference"/>
          <w:rFonts w:asciiTheme="minorHAnsi" w:hAnsiTheme="minorHAnsi"/>
          <w:vertAlign w:val="baseline"/>
        </w:rPr>
        <w:t>).</w:t>
      </w:r>
    </w:p>
  </w:footnote>
  <w:footnote w:id="103">
    <w:p w14:paraId="686CD72D" w14:textId="4F17A59C" w:rsidR="00746868" w:rsidRPr="00AE2E4D" w:rsidRDefault="00746868" w:rsidP="0088106A">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BvE</w:t>
      </w:r>
      <w:proofErr w:type="spellEnd"/>
      <w:r w:rsidRPr="00AE2E4D">
        <w:rPr>
          <w:rStyle w:val="FootnoteReference"/>
          <w:rFonts w:asciiTheme="minorHAnsi" w:hAnsiTheme="minorHAnsi"/>
          <w:vertAlign w:val="baseline"/>
        </w:rPr>
        <w:t xml:space="preserve"> 2/08, Decision of 30 June 2009 (</w:t>
      </w:r>
      <w:r w:rsidRPr="00AE2E4D">
        <w:rPr>
          <w:rStyle w:val="FootnoteReference"/>
          <w:rFonts w:asciiTheme="minorHAnsi" w:hAnsiTheme="minorHAnsi"/>
          <w:i/>
          <w:vertAlign w:val="baseline"/>
        </w:rPr>
        <w:t>Lisbon</w:t>
      </w:r>
      <w:r w:rsidRPr="00AE2E4D">
        <w:rPr>
          <w:rStyle w:val="FootnoteReference"/>
          <w:rFonts w:asciiTheme="minorHAnsi" w:hAnsiTheme="minorHAnsi"/>
          <w:vertAlign w:val="baseline"/>
        </w:rPr>
        <w:t>) [252]</w:t>
      </w:r>
      <w:r>
        <w:rPr>
          <w:rStyle w:val="FootnoteReference"/>
          <w:rFonts w:asciiTheme="minorHAnsi" w:hAnsiTheme="minorHAnsi"/>
          <w:vertAlign w:val="baseline"/>
        </w:rPr>
        <w:t>.</w:t>
      </w:r>
    </w:p>
  </w:footnote>
  <w:footnote w:id="104">
    <w:p w14:paraId="4697F0E6" w14:textId="46889DAD" w:rsidR="00746868" w:rsidRPr="00746868" w:rsidRDefault="00746868" w:rsidP="00746868">
      <w:pPr>
        <w:pStyle w:val="FootnoteText"/>
        <w:rPr>
          <w:lang w:val="en-US"/>
        </w:rPr>
      </w:pPr>
      <w:r>
        <w:rPr>
          <w:rStyle w:val="FootnoteReference"/>
        </w:rPr>
        <w:footnoteRef/>
      </w:r>
      <w:r>
        <w:t xml:space="preserve"> Because </w:t>
      </w:r>
      <w:r>
        <w:rPr>
          <w:lang w:val="en-US"/>
        </w:rPr>
        <w:t xml:space="preserve">Germany’s </w:t>
      </w:r>
      <w:r w:rsidRPr="00E2656E">
        <w:rPr>
          <w:lang w:val="en-US"/>
        </w:rPr>
        <w:t xml:space="preserve">constitutional </w:t>
      </w:r>
      <w:r>
        <w:rPr>
          <w:lang w:val="en-US"/>
        </w:rPr>
        <w:t>identity requires</w:t>
      </w:r>
      <w:r w:rsidRPr="00E2656E">
        <w:rPr>
          <w:lang w:val="en-US"/>
        </w:rPr>
        <w:t xml:space="preserve"> legitimate democratic govern</w:t>
      </w:r>
      <w:r>
        <w:rPr>
          <w:lang w:val="en-US"/>
        </w:rPr>
        <w:t xml:space="preserve">ment, and the German Court equates this with the kind and level of democratic legitimacy that is available at the national level. </w:t>
      </w:r>
      <w:r>
        <w:rPr>
          <w:rStyle w:val="FootnoteReference"/>
          <w:rFonts w:asciiTheme="minorHAnsi" w:hAnsiTheme="minorHAnsi"/>
          <w:vertAlign w:val="baseline"/>
        </w:rPr>
        <w:t>Indeed</w:t>
      </w:r>
      <w:r w:rsidRPr="00AE2E4D">
        <w:rPr>
          <w:rStyle w:val="FootnoteReference"/>
          <w:rFonts w:asciiTheme="minorHAnsi" w:hAnsiTheme="minorHAnsi"/>
          <w:vertAlign w:val="baseline"/>
        </w:rPr>
        <w:t xml:space="preserve">, the German court equates democratic legitimacy with the legitimacy that emanates from representative democracy, without considering other concepts of democracy that have been put forward as being more adequate for the EU and also potentially capable of legitimizing government: e.g. A Menéndez, ‘The European Democratic Challenge: the Forging of a Supranational </w:t>
      </w:r>
      <w:proofErr w:type="spellStart"/>
      <w:r w:rsidRPr="00AE2E4D">
        <w:rPr>
          <w:rStyle w:val="FootnoteReference"/>
          <w:rFonts w:asciiTheme="minorHAnsi" w:hAnsiTheme="minorHAnsi"/>
          <w:vertAlign w:val="baseline"/>
        </w:rPr>
        <w:t>Volonté</w:t>
      </w:r>
      <w:proofErr w:type="spellEnd"/>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Générale</w:t>
      </w:r>
      <w:proofErr w:type="spellEnd"/>
      <w:r w:rsidRPr="00AE2E4D">
        <w:rPr>
          <w:rStyle w:val="FootnoteReference"/>
          <w:rFonts w:asciiTheme="minorHAnsi" w:hAnsiTheme="minorHAnsi"/>
          <w:vertAlign w:val="baseline"/>
        </w:rPr>
        <w:t xml:space="preserve">’ 15 </w:t>
      </w:r>
      <w:proofErr w:type="spellStart"/>
      <w:r w:rsidRPr="00AE2E4D">
        <w:rPr>
          <w:rStyle w:val="FootnoteReference"/>
          <w:rFonts w:asciiTheme="minorHAnsi" w:hAnsiTheme="minorHAnsi"/>
          <w:vertAlign w:val="baseline"/>
        </w:rPr>
        <w:t>Eur</w:t>
      </w:r>
      <w:proofErr w:type="spellEnd"/>
      <w:r w:rsidRPr="00AE2E4D">
        <w:rPr>
          <w:rStyle w:val="FootnoteReference"/>
          <w:rFonts w:asciiTheme="minorHAnsi" w:hAnsiTheme="minorHAnsi"/>
          <w:vertAlign w:val="baseline"/>
        </w:rPr>
        <w:t xml:space="preserve"> L J 277; D Curtin, ‘Framing Public Deliberation and De</w:t>
      </w:r>
      <w:r w:rsidRPr="00AE2E4D">
        <w:rPr>
          <w:rStyle w:val="FootnoteReference"/>
          <w:rFonts w:asciiTheme="minorHAnsi" w:hAnsiTheme="minorHAnsi"/>
          <w:vertAlign w:val="baseline"/>
        </w:rPr>
        <w:t>m</w:t>
      </w:r>
      <w:r w:rsidRPr="00AE2E4D">
        <w:rPr>
          <w:rStyle w:val="FootnoteReference"/>
          <w:rFonts w:asciiTheme="minorHAnsi" w:hAnsiTheme="minorHAnsi"/>
          <w:vertAlign w:val="baseline"/>
        </w:rPr>
        <w:t xml:space="preserve">ocratic Legitimacy in the European Union’ in S </w:t>
      </w:r>
      <w:proofErr w:type="spellStart"/>
      <w:r w:rsidRPr="00AE2E4D">
        <w:rPr>
          <w:rStyle w:val="FootnoteReference"/>
          <w:rFonts w:asciiTheme="minorHAnsi" w:hAnsiTheme="minorHAnsi"/>
          <w:vertAlign w:val="baseline"/>
        </w:rPr>
        <w:t>Besson</w:t>
      </w:r>
      <w:proofErr w:type="spellEnd"/>
      <w:r w:rsidRPr="00AE2E4D">
        <w:rPr>
          <w:rStyle w:val="FootnoteReference"/>
          <w:rFonts w:asciiTheme="minorHAnsi" w:hAnsiTheme="minorHAnsi"/>
          <w:vertAlign w:val="baseline"/>
        </w:rPr>
        <w:t xml:space="preserve"> and J Marti (</w:t>
      </w:r>
      <w:proofErr w:type="spellStart"/>
      <w:r w:rsidRPr="00AE2E4D">
        <w:rPr>
          <w:rStyle w:val="FootnoteReference"/>
          <w:rFonts w:asciiTheme="minorHAnsi" w:hAnsiTheme="minorHAnsi"/>
          <w:vertAlign w:val="baseline"/>
        </w:rPr>
        <w:t>eds</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 xml:space="preserve">Deliberative Democracy and its Discontents </w:t>
      </w:r>
      <w:r w:rsidRPr="00AE2E4D">
        <w:rPr>
          <w:rStyle w:val="FootnoteReference"/>
          <w:rFonts w:asciiTheme="minorHAnsi" w:hAnsiTheme="minorHAnsi"/>
          <w:vertAlign w:val="baseline"/>
        </w:rPr>
        <w:t>(</w:t>
      </w:r>
      <w:proofErr w:type="spellStart"/>
      <w:r w:rsidRPr="00AE2E4D">
        <w:rPr>
          <w:rStyle w:val="FootnoteReference"/>
          <w:rFonts w:asciiTheme="minorHAnsi" w:hAnsiTheme="minorHAnsi"/>
          <w:vertAlign w:val="baseline"/>
        </w:rPr>
        <w:t>Ashgate</w:t>
      </w:r>
      <w:proofErr w:type="spellEnd"/>
      <w:r w:rsidRPr="00AE2E4D">
        <w:rPr>
          <w:rStyle w:val="FootnoteReference"/>
          <w:rFonts w:asciiTheme="minorHAnsi" w:hAnsiTheme="minorHAnsi"/>
          <w:vertAlign w:val="baseline"/>
        </w:rPr>
        <w:t xml:space="preserve"> 2006); D </w:t>
      </w:r>
      <w:proofErr w:type="spellStart"/>
      <w:r w:rsidRPr="00AE2E4D">
        <w:rPr>
          <w:rStyle w:val="FootnoteReference"/>
          <w:rFonts w:asciiTheme="minorHAnsi" w:hAnsiTheme="minorHAnsi"/>
          <w:vertAlign w:val="baseline"/>
        </w:rPr>
        <w:t>Halberstam</w:t>
      </w:r>
      <w:proofErr w:type="spellEnd"/>
      <w:r w:rsidRPr="00AE2E4D">
        <w:rPr>
          <w:rStyle w:val="FootnoteReference"/>
          <w:rFonts w:asciiTheme="minorHAnsi" w:hAnsiTheme="minorHAnsi"/>
          <w:vertAlign w:val="baseline"/>
        </w:rPr>
        <w:t>, ‘The Bride of Messina: Constitutionalism and Democracy in Europe’ 30 EL Rev 775.</w:t>
      </w:r>
      <w:r>
        <w:rPr>
          <w:rFonts w:asciiTheme="minorHAnsi" w:hAnsiTheme="minorHAnsi"/>
        </w:rPr>
        <w:t xml:space="preserve"> </w:t>
      </w:r>
      <w:r w:rsidRPr="00AE2E4D">
        <w:rPr>
          <w:rStyle w:val="FootnoteReference"/>
          <w:rFonts w:asciiTheme="minorHAnsi" w:hAnsiTheme="minorHAnsi"/>
          <w:vertAlign w:val="baseline"/>
        </w:rPr>
        <w:t xml:space="preserve">The German Court has attracted criticism for its reliance on a statist conception of democracy and demos that some consider </w:t>
      </w:r>
      <w:proofErr w:type="spellStart"/>
      <w:r w:rsidRPr="00AE2E4D">
        <w:rPr>
          <w:rStyle w:val="FootnoteReference"/>
          <w:rFonts w:asciiTheme="minorHAnsi" w:hAnsiTheme="minorHAnsi"/>
          <w:vertAlign w:val="baseline"/>
        </w:rPr>
        <w:t>immobilist</w:t>
      </w:r>
      <w:proofErr w:type="spellEnd"/>
      <w:r w:rsidRPr="00AE2E4D">
        <w:rPr>
          <w:rStyle w:val="FootnoteReference"/>
          <w:rFonts w:asciiTheme="minorHAnsi" w:hAnsiTheme="minorHAnsi"/>
          <w:vertAlign w:val="baseline"/>
        </w:rPr>
        <w:t xml:space="preserve"> and/or one-sided: See </w:t>
      </w:r>
      <w:proofErr w:type="spellStart"/>
      <w:r w:rsidRPr="00AE2E4D">
        <w:rPr>
          <w:rStyle w:val="FootnoteReference"/>
          <w:rFonts w:asciiTheme="minorHAnsi" w:hAnsiTheme="minorHAnsi"/>
          <w:vertAlign w:val="baseline"/>
        </w:rPr>
        <w:t>eg</w:t>
      </w:r>
      <w:proofErr w:type="spellEnd"/>
      <w:r w:rsidRPr="00AE2E4D">
        <w:rPr>
          <w:rStyle w:val="FootnoteReference"/>
          <w:rFonts w:asciiTheme="minorHAnsi" w:hAnsiTheme="minorHAnsi"/>
          <w:vertAlign w:val="baseline"/>
        </w:rPr>
        <w:t xml:space="preserve"> D </w:t>
      </w:r>
      <w:proofErr w:type="spellStart"/>
      <w:r w:rsidRPr="00AE2E4D">
        <w:rPr>
          <w:rStyle w:val="FootnoteReference"/>
          <w:rFonts w:asciiTheme="minorHAnsi" w:hAnsiTheme="minorHAnsi"/>
          <w:vertAlign w:val="baseline"/>
        </w:rPr>
        <w:t>Thym</w:t>
      </w:r>
      <w:proofErr w:type="spellEnd"/>
      <w:r w:rsidRPr="00AE2E4D">
        <w:rPr>
          <w:rStyle w:val="FootnoteReference"/>
          <w:rFonts w:asciiTheme="minorHAnsi" w:hAnsiTheme="minorHAnsi"/>
          <w:vertAlign w:val="baseline"/>
        </w:rPr>
        <w:t xml:space="preserve">, ‘In the name of Sovereign Statehood’; </w:t>
      </w:r>
      <w:r w:rsidRPr="00746868">
        <w:rPr>
          <w:lang w:val="en-US"/>
        </w:rPr>
        <w:t xml:space="preserve">S </w:t>
      </w:r>
      <w:proofErr w:type="spellStart"/>
      <w:r w:rsidRPr="00746868">
        <w:rPr>
          <w:lang w:val="en-US"/>
        </w:rPr>
        <w:t>Theil</w:t>
      </w:r>
      <w:proofErr w:type="spellEnd"/>
      <w:r w:rsidRPr="00746868">
        <w:rPr>
          <w:lang w:val="en-US"/>
        </w:rPr>
        <w:t xml:space="preserve">, ‘What Red Lines, If Any, Do the Lisbon Judgments of European Constitutional Courts Draw for Future EU Integration?’ (2014) </w:t>
      </w:r>
      <w:proofErr w:type="gramStart"/>
      <w:r w:rsidRPr="00746868">
        <w:rPr>
          <w:lang w:val="en-US"/>
        </w:rPr>
        <w:t xml:space="preserve">15 German L J 599, 616 and </w:t>
      </w:r>
      <w:proofErr w:type="spellStart"/>
      <w:r w:rsidRPr="00746868">
        <w:rPr>
          <w:lang w:val="en-US"/>
        </w:rPr>
        <w:t>ff</w:t>
      </w:r>
      <w:proofErr w:type="spellEnd"/>
      <w:r w:rsidRPr="00746868">
        <w:rPr>
          <w:lang w:val="en-US"/>
        </w:rPr>
        <w:t xml:space="preserve">; M </w:t>
      </w:r>
      <w:proofErr w:type="spellStart"/>
      <w:r w:rsidRPr="00746868">
        <w:rPr>
          <w:lang w:val="en-US"/>
        </w:rPr>
        <w:t>Azpitarte</w:t>
      </w:r>
      <w:proofErr w:type="spellEnd"/>
      <w:r w:rsidRPr="00746868">
        <w:rPr>
          <w:lang w:val="en-US"/>
        </w:rPr>
        <w:t xml:space="preserve"> Sanchez, ‘Los Confines de la </w:t>
      </w:r>
      <w:proofErr w:type="spellStart"/>
      <w:r w:rsidRPr="00746868">
        <w:rPr>
          <w:lang w:val="en-US"/>
        </w:rPr>
        <w:t>Democracia</w:t>
      </w:r>
      <w:proofErr w:type="spellEnd"/>
      <w:r w:rsidRPr="00746868">
        <w:rPr>
          <w:lang w:val="en-US"/>
        </w:rPr>
        <w:t xml:space="preserve"> y la </w:t>
      </w:r>
      <w:proofErr w:type="spellStart"/>
      <w:r w:rsidRPr="00746868">
        <w:rPr>
          <w:lang w:val="en-US"/>
        </w:rPr>
        <w:t>Solida</w:t>
      </w:r>
      <w:r w:rsidRPr="00746868">
        <w:rPr>
          <w:lang w:val="en-US"/>
        </w:rPr>
        <w:t>r</w:t>
      </w:r>
      <w:r w:rsidRPr="00746868">
        <w:rPr>
          <w:lang w:val="en-US"/>
        </w:rPr>
        <w:t>idad</w:t>
      </w:r>
      <w:proofErr w:type="spellEnd"/>
      <w:r w:rsidRPr="00746868">
        <w:rPr>
          <w:lang w:val="en-US"/>
        </w:rPr>
        <w:t>.</w:t>
      </w:r>
      <w:proofErr w:type="gramEnd"/>
      <w:r w:rsidRPr="00746868">
        <w:rPr>
          <w:lang w:val="en-US"/>
        </w:rPr>
        <w:t xml:space="preserve"> A </w:t>
      </w:r>
      <w:proofErr w:type="spellStart"/>
      <w:r w:rsidRPr="00746868">
        <w:rPr>
          <w:lang w:val="en-US"/>
        </w:rPr>
        <w:t>propósito</w:t>
      </w:r>
      <w:proofErr w:type="spellEnd"/>
      <w:r w:rsidRPr="00746868">
        <w:rPr>
          <w:lang w:val="en-US"/>
        </w:rPr>
        <w:t xml:space="preserve"> de </w:t>
      </w:r>
      <w:proofErr w:type="spellStart"/>
      <w:r w:rsidRPr="00746868">
        <w:rPr>
          <w:lang w:val="en-US"/>
        </w:rPr>
        <w:t>las</w:t>
      </w:r>
      <w:proofErr w:type="spellEnd"/>
      <w:r w:rsidRPr="00746868">
        <w:rPr>
          <w:lang w:val="en-US"/>
        </w:rPr>
        <w:t xml:space="preserve"> </w:t>
      </w:r>
      <w:proofErr w:type="spellStart"/>
      <w:r w:rsidRPr="00746868">
        <w:rPr>
          <w:lang w:val="en-US"/>
        </w:rPr>
        <w:t>decisiones</w:t>
      </w:r>
      <w:proofErr w:type="spellEnd"/>
      <w:r w:rsidRPr="00746868">
        <w:rPr>
          <w:lang w:val="en-US"/>
        </w:rPr>
        <w:t xml:space="preserve"> del Tribunal </w:t>
      </w:r>
      <w:proofErr w:type="spellStart"/>
      <w:r w:rsidRPr="00746868">
        <w:rPr>
          <w:lang w:val="en-US"/>
        </w:rPr>
        <w:t>Constitucional</w:t>
      </w:r>
      <w:proofErr w:type="spellEnd"/>
      <w:r w:rsidRPr="00746868">
        <w:rPr>
          <w:lang w:val="en-US"/>
        </w:rPr>
        <w:t xml:space="preserve"> Federal </w:t>
      </w:r>
      <w:proofErr w:type="spellStart"/>
      <w:r w:rsidRPr="00746868">
        <w:rPr>
          <w:lang w:val="en-US"/>
        </w:rPr>
        <w:t>Alemán</w:t>
      </w:r>
      <w:proofErr w:type="spellEnd"/>
      <w:r w:rsidRPr="00746868">
        <w:rPr>
          <w:lang w:val="en-US"/>
        </w:rPr>
        <w:t xml:space="preserve"> de 14 de </w:t>
      </w:r>
      <w:proofErr w:type="spellStart"/>
      <w:r w:rsidRPr="00746868">
        <w:rPr>
          <w:lang w:val="en-US"/>
        </w:rPr>
        <w:t>enero</w:t>
      </w:r>
      <w:proofErr w:type="spellEnd"/>
      <w:r w:rsidRPr="00746868">
        <w:rPr>
          <w:lang w:val="en-US"/>
        </w:rPr>
        <w:t xml:space="preserve"> y de 18 de </w:t>
      </w:r>
      <w:proofErr w:type="spellStart"/>
      <w:r w:rsidRPr="00746868">
        <w:rPr>
          <w:lang w:val="en-US"/>
        </w:rPr>
        <w:t>marzo</w:t>
      </w:r>
      <w:proofErr w:type="spellEnd"/>
      <w:r w:rsidRPr="00746868">
        <w:rPr>
          <w:lang w:val="en-US"/>
        </w:rPr>
        <w:t xml:space="preserve"> de 2014, </w:t>
      </w:r>
      <w:proofErr w:type="spellStart"/>
      <w:r w:rsidRPr="00746868">
        <w:rPr>
          <w:lang w:val="en-US"/>
        </w:rPr>
        <w:t>que</w:t>
      </w:r>
      <w:proofErr w:type="spellEnd"/>
      <w:r w:rsidRPr="00746868">
        <w:rPr>
          <w:lang w:val="en-US"/>
        </w:rPr>
        <w:t xml:space="preserve"> </w:t>
      </w:r>
      <w:proofErr w:type="spellStart"/>
      <w:r w:rsidRPr="00746868">
        <w:rPr>
          <w:lang w:val="en-US"/>
        </w:rPr>
        <w:t>enjuician</w:t>
      </w:r>
      <w:proofErr w:type="spellEnd"/>
      <w:r w:rsidRPr="00746868">
        <w:rPr>
          <w:lang w:val="en-US"/>
        </w:rPr>
        <w:t xml:space="preserve"> el </w:t>
      </w:r>
      <w:proofErr w:type="spellStart"/>
      <w:r w:rsidRPr="00746868">
        <w:rPr>
          <w:lang w:val="en-US"/>
        </w:rPr>
        <w:t>marco</w:t>
      </w:r>
      <w:proofErr w:type="spellEnd"/>
      <w:r w:rsidRPr="00746868">
        <w:rPr>
          <w:lang w:val="en-US"/>
        </w:rPr>
        <w:t xml:space="preserve"> </w:t>
      </w:r>
      <w:proofErr w:type="spellStart"/>
      <w:r w:rsidRPr="00746868">
        <w:rPr>
          <w:lang w:val="en-US"/>
        </w:rPr>
        <w:t>jurídico-supranacional</w:t>
      </w:r>
      <w:proofErr w:type="spellEnd"/>
      <w:r w:rsidRPr="00746868">
        <w:rPr>
          <w:lang w:val="en-US"/>
        </w:rPr>
        <w:t xml:space="preserve"> de </w:t>
      </w:r>
      <w:proofErr w:type="spellStart"/>
      <w:r w:rsidRPr="00746868">
        <w:rPr>
          <w:lang w:val="en-US"/>
        </w:rPr>
        <w:t>las</w:t>
      </w:r>
      <w:proofErr w:type="spellEnd"/>
      <w:r w:rsidRPr="00746868">
        <w:rPr>
          <w:lang w:val="en-US"/>
        </w:rPr>
        <w:t xml:space="preserve"> </w:t>
      </w:r>
      <w:proofErr w:type="spellStart"/>
      <w:r w:rsidRPr="00746868">
        <w:rPr>
          <w:lang w:val="en-US"/>
        </w:rPr>
        <w:t>políticas</w:t>
      </w:r>
      <w:proofErr w:type="spellEnd"/>
      <w:r w:rsidRPr="00746868">
        <w:rPr>
          <w:lang w:val="en-US"/>
        </w:rPr>
        <w:t xml:space="preserve"> de </w:t>
      </w:r>
      <w:proofErr w:type="spellStart"/>
      <w:r w:rsidRPr="00746868">
        <w:rPr>
          <w:lang w:val="en-US"/>
        </w:rPr>
        <w:t>re</w:t>
      </w:r>
      <w:r w:rsidRPr="00746868">
        <w:rPr>
          <w:lang w:val="en-US"/>
        </w:rPr>
        <w:t>s</w:t>
      </w:r>
      <w:r w:rsidRPr="00746868">
        <w:rPr>
          <w:lang w:val="en-US"/>
        </w:rPr>
        <w:t>cate</w:t>
      </w:r>
      <w:proofErr w:type="spellEnd"/>
      <w:r w:rsidRPr="00746868">
        <w:rPr>
          <w:lang w:val="en-US"/>
        </w:rPr>
        <w:t xml:space="preserve">’ (2014) 101 </w:t>
      </w:r>
      <w:proofErr w:type="spellStart"/>
      <w:r w:rsidRPr="00746868">
        <w:rPr>
          <w:lang w:val="en-US"/>
        </w:rPr>
        <w:t>Revista</w:t>
      </w:r>
      <w:proofErr w:type="spellEnd"/>
      <w:r w:rsidRPr="00746868">
        <w:rPr>
          <w:lang w:val="en-US"/>
        </w:rPr>
        <w:t xml:space="preserve"> Española de </w:t>
      </w:r>
      <w:proofErr w:type="spellStart"/>
      <w:r w:rsidRPr="00746868">
        <w:rPr>
          <w:lang w:val="en-US"/>
        </w:rPr>
        <w:t>Derecho</w:t>
      </w:r>
      <w:proofErr w:type="spellEnd"/>
      <w:r w:rsidRPr="00746868">
        <w:rPr>
          <w:lang w:val="en-US"/>
        </w:rPr>
        <w:t xml:space="preserve"> </w:t>
      </w:r>
      <w:proofErr w:type="spellStart"/>
      <w:r w:rsidRPr="00746868">
        <w:rPr>
          <w:lang w:val="en-US"/>
        </w:rPr>
        <w:t>Constitucional</w:t>
      </w:r>
      <w:proofErr w:type="spellEnd"/>
      <w:r w:rsidRPr="00746868">
        <w:rPr>
          <w:lang w:val="en-US"/>
        </w:rPr>
        <w:t xml:space="preserve"> 301, 318 and ff.</w:t>
      </w:r>
    </w:p>
  </w:footnote>
  <w:footnote w:id="105">
    <w:p w14:paraId="233A3EEC" w14:textId="157E9AB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In relation to EMU, see for example the review by the </w:t>
      </w:r>
      <w:proofErr w:type="spellStart"/>
      <w:r w:rsidRPr="00AE2E4D">
        <w:rPr>
          <w:rStyle w:val="FootnoteReference"/>
          <w:rFonts w:asciiTheme="minorHAnsi" w:hAnsiTheme="minorHAnsi"/>
          <w:i/>
          <w:vertAlign w:val="baseline"/>
        </w:rPr>
        <w:t>Conseil</w:t>
      </w:r>
      <w:proofErr w:type="spellEnd"/>
      <w:r w:rsidRPr="00AE2E4D">
        <w:rPr>
          <w:rStyle w:val="FootnoteReference"/>
          <w:rFonts w:asciiTheme="minorHAnsi" w:hAnsiTheme="minorHAnsi"/>
          <w:i/>
          <w:vertAlign w:val="baseline"/>
        </w:rPr>
        <w:t xml:space="preserve"> </w:t>
      </w:r>
      <w:proofErr w:type="spellStart"/>
      <w:r w:rsidRPr="00AE2E4D">
        <w:rPr>
          <w:rStyle w:val="FootnoteReference"/>
          <w:rFonts w:asciiTheme="minorHAnsi" w:hAnsiTheme="minorHAnsi"/>
          <w:i/>
          <w:vertAlign w:val="baseline"/>
        </w:rPr>
        <w:t>Constitutionnel</w:t>
      </w:r>
      <w:proofErr w:type="spellEnd"/>
      <w:r w:rsidRPr="00AE2E4D">
        <w:rPr>
          <w:rStyle w:val="FootnoteReference"/>
          <w:rFonts w:asciiTheme="minorHAnsi" w:hAnsiTheme="minorHAnsi"/>
          <w:vertAlign w:val="baseline"/>
        </w:rPr>
        <w:t xml:space="preserve"> of the Treaty of Maastricht in Decision no. 92-308 DC of 9 April 1992, and the analysis in F </w:t>
      </w:r>
      <w:proofErr w:type="spellStart"/>
      <w:r w:rsidRPr="00AE2E4D">
        <w:rPr>
          <w:rStyle w:val="FootnoteReference"/>
          <w:rFonts w:asciiTheme="minorHAnsi" w:hAnsiTheme="minorHAnsi"/>
          <w:vertAlign w:val="baseline"/>
        </w:rPr>
        <w:t>Amtenbrink</w:t>
      </w:r>
      <w:proofErr w:type="spellEnd"/>
      <w:r w:rsidRPr="00AE2E4D">
        <w:rPr>
          <w:rStyle w:val="FootnoteReference"/>
          <w:rFonts w:asciiTheme="minorHAnsi" w:hAnsiTheme="minorHAnsi"/>
          <w:vertAlign w:val="baseline"/>
        </w:rPr>
        <w:t xml:space="preserve">, n </w:t>
      </w:r>
      <w:r w:rsidRPr="00AE2E4D">
        <w:rPr>
          <w:rStyle w:val="FootnoteReference"/>
          <w:rFonts w:asciiTheme="minorHAnsi" w:hAnsiTheme="minorHAnsi"/>
          <w:vertAlign w:val="baseline"/>
        </w:rPr>
        <w:fldChar w:fldCharType="begin"/>
      </w:r>
      <w:r w:rsidRPr="00AE2E4D">
        <w:rPr>
          <w:rStyle w:val="FootnoteReference"/>
          <w:rFonts w:asciiTheme="minorHAnsi" w:hAnsiTheme="minorHAnsi"/>
          <w:vertAlign w:val="baseline"/>
        </w:rPr>
        <w:instrText xml:space="preserve"> NOTEREF _Ref405229800 \h </w:instrText>
      </w:r>
      <w:r w:rsidRPr="00AE2E4D">
        <w:rPr>
          <w:rStyle w:val="FootnoteReference"/>
          <w:rFonts w:asciiTheme="minorHAnsi" w:hAnsiTheme="minorHAnsi"/>
          <w:vertAlign w:val="baseline"/>
        </w:rPr>
      </w:r>
      <w:r w:rsidRPr="00AE2E4D">
        <w:rPr>
          <w:rStyle w:val="FootnoteReference"/>
          <w:rFonts w:asciiTheme="minorHAnsi" w:hAnsiTheme="minorHAnsi"/>
          <w:vertAlign w:val="baseline"/>
        </w:rPr>
        <w:fldChar w:fldCharType="separate"/>
      </w:r>
      <w:r>
        <w:rPr>
          <w:rStyle w:val="FootnoteReference"/>
          <w:rFonts w:asciiTheme="minorHAnsi" w:hAnsiTheme="minorHAnsi"/>
          <w:vertAlign w:val="baseline"/>
        </w:rPr>
        <w:t>80</w:t>
      </w:r>
      <w:r w:rsidRPr="00AE2E4D">
        <w:rPr>
          <w:rStyle w:val="FootnoteReference"/>
          <w:rFonts w:asciiTheme="minorHAnsi" w:hAnsiTheme="minorHAnsi"/>
          <w:vertAlign w:val="baseline"/>
        </w:rPr>
        <w:fldChar w:fldCharType="end"/>
      </w:r>
      <w:r w:rsidRPr="00AE2E4D">
        <w:rPr>
          <w:rFonts w:asciiTheme="minorHAnsi" w:hAnsiTheme="minorHAnsi"/>
        </w:rPr>
        <w:t>,</w:t>
      </w:r>
      <w:r w:rsidRPr="00AE2E4D">
        <w:rPr>
          <w:rStyle w:val="FootnoteReference"/>
          <w:rFonts w:asciiTheme="minorHAnsi" w:hAnsiTheme="minorHAnsi"/>
          <w:vertAlign w:val="baseline"/>
        </w:rPr>
        <w:t xml:space="preserve"> </w:t>
      </w:r>
      <w:proofErr w:type="spellStart"/>
      <w:proofErr w:type="gramStart"/>
      <w:r w:rsidRPr="00AE2E4D">
        <w:rPr>
          <w:rFonts w:asciiTheme="minorHAnsi" w:hAnsiTheme="minorHAnsi"/>
        </w:rPr>
        <w:t>pgs</w:t>
      </w:r>
      <w:proofErr w:type="spellEnd"/>
      <w:proofErr w:type="gramEnd"/>
      <w:r w:rsidRPr="00AE2E4D">
        <w:rPr>
          <w:rFonts w:asciiTheme="minorHAnsi" w:hAnsiTheme="minorHAnsi"/>
        </w:rPr>
        <w:t xml:space="preserve"> </w:t>
      </w:r>
      <w:r w:rsidRPr="00AE2E4D">
        <w:rPr>
          <w:rStyle w:val="FootnoteReference"/>
          <w:rFonts w:asciiTheme="minorHAnsi" w:hAnsiTheme="minorHAnsi"/>
          <w:vertAlign w:val="baseline"/>
        </w:rPr>
        <w:t xml:space="preserve">4-5. More generally, see </w:t>
      </w:r>
      <w:proofErr w:type="spellStart"/>
      <w:r w:rsidRPr="00AE2E4D">
        <w:rPr>
          <w:rStyle w:val="FootnoteReference"/>
          <w:rFonts w:asciiTheme="minorHAnsi" w:hAnsiTheme="minorHAnsi"/>
          <w:vertAlign w:val="baseline"/>
        </w:rPr>
        <w:t>eg</w:t>
      </w:r>
      <w:proofErr w:type="spellEnd"/>
      <w:r w:rsidRPr="00AE2E4D">
        <w:rPr>
          <w:rStyle w:val="FootnoteReference"/>
          <w:rFonts w:asciiTheme="minorHAnsi" w:hAnsiTheme="minorHAnsi"/>
          <w:vertAlign w:val="baseline"/>
        </w:rPr>
        <w:t xml:space="preserve"> Case K32/09, </w:t>
      </w:r>
      <w:r w:rsidRPr="00AE2E4D">
        <w:rPr>
          <w:rStyle w:val="FootnoteReference"/>
          <w:rFonts w:asciiTheme="minorHAnsi" w:hAnsiTheme="minorHAnsi"/>
          <w:i/>
          <w:vertAlign w:val="baseline"/>
        </w:rPr>
        <w:t>Treaty of Lisbon</w:t>
      </w:r>
      <w:r w:rsidRPr="00AE2E4D">
        <w:rPr>
          <w:rStyle w:val="FootnoteReference"/>
          <w:rFonts w:asciiTheme="minorHAnsi" w:hAnsiTheme="minorHAnsi"/>
          <w:vertAlign w:val="baseline"/>
        </w:rPr>
        <w:t xml:space="preserve">, Judgment of </w:t>
      </w:r>
      <w:r w:rsidRPr="00AE2E4D">
        <w:rPr>
          <w:rFonts w:asciiTheme="minorHAnsi" w:hAnsiTheme="minorHAnsi"/>
        </w:rPr>
        <w:t xml:space="preserve">the </w:t>
      </w:r>
      <w:r w:rsidRPr="00AE2E4D">
        <w:rPr>
          <w:rStyle w:val="FootnoteReference"/>
          <w:rFonts w:asciiTheme="minorHAnsi" w:hAnsiTheme="minorHAnsi"/>
          <w:vertAlign w:val="baseline"/>
        </w:rPr>
        <w:t>Polish Constit</w:t>
      </w:r>
      <w:r w:rsidRPr="00AE2E4D">
        <w:rPr>
          <w:rStyle w:val="FootnoteReference"/>
          <w:rFonts w:asciiTheme="minorHAnsi" w:hAnsiTheme="minorHAnsi"/>
          <w:vertAlign w:val="baseline"/>
        </w:rPr>
        <w:t>u</w:t>
      </w:r>
      <w:r w:rsidRPr="00AE2E4D">
        <w:rPr>
          <w:rStyle w:val="FootnoteReference"/>
          <w:rFonts w:asciiTheme="minorHAnsi" w:hAnsiTheme="minorHAnsi"/>
          <w:vertAlign w:val="baseline"/>
        </w:rPr>
        <w:t>tional Tribunal of 24 November 2010; Re Constitutionality of Framework Decision on the Eur</w:t>
      </w:r>
      <w:r w:rsidRPr="00AE2E4D">
        <w:rPr>
          <w:rStyle w:val="FootnoteReference"/>
          <w:rFonts w:asciiTheme="minorHAnsi" w:hAnsiTheme="minorHAnsi"/>
          <w:vertAlign w:val="baseline"/>
        </w:rPr>
        <w:t>o</w:t>
      </w:r>
      <w:r w:rsidRPr="00AE2E4D">
        <w:rPr>
          <w:rStyle w:val="FootnoteReference"/>
          <w:rFonts w:asciiTheme="minorHAnsi" w:hAnsiTheme="minorHAnsi"/>
          <w:vertAlign w:val="baseline"/>
        </w:rPr>
        <w:t>pean Arrest Warrant (Czech Constitutional Court) (2007) 3 CML Rev 24. For an overview, see D Chalmers, ‘Democratic Self-Government in Europe. Domestic Solutions to the EU Legitimacy Cr</w:t>
      </w:r>
      <w:r w:rsidRPr="00AE2E4D">
        <w:rPr>
          <w:rStyle w:val="FootnoteReference"/>
          <w:rFonts w:asciiTheme="minorHAnsi" w:hAnsiTheme="minorHAnsi"/>
          <w:vertAlign w:val="baseline"/>
        </w:rPr>
        <w:t>i</w:t>
      </w:r>
      <w:r w:rsidRPr="00AE2E4D">
        <w:rPr>
          <w:rStyle w:val="FootnoteReference"/>
          <w:rFonts w:asciiTheme="minorHAnsi" w:hAnsiTheme="minorHAnsi"/>
          <w:vertAlign w:val="baseline"/>
        </w:rPr>
        <w:t>sis’ Policy Network Paper, May 2013; D Chalmers, ‘European Restatements of Sovereignty’ LSE Law, Society and Economy Working Papers 10/2013.</w:t>
      </w:r>
    </w:p>
  </w:footnote>
  <w:footnote w:id="106">
    <w:p w14:paraId="0E82FF31" w14:textId="635669A8"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proofErr w:type="spellStart"/>
      <w:proofErr w:type="gramStart"/>
      <w:r w:rsidRPr="00AE2E4D">
        <w:rPr>
          <w:rFonts w:asciiTheme="minorHAnsi" w:eastAsia="Times New Roman" w:hAnsiTheme="minorHAnsi"/>
        </w:rPr>
        <w:t>Eurogroup</w:t>
      </w:r>
      <w:proofErr w:type="spellEnd"/>
      <w:r w:rsidRPr="00AE2E4D">
        <w:rPr>
          <w:rFonts w:asciiTheme="minorHAnsi" w:eastAsia="Times New Roman" w:hAnsiTheme="minorHAnsi"/>
        </w:rPr>
        <w:t xml:space="preserve"> report to Leaders on EMU deepening, 4 December 2018; Euro Summit Stat</w:t>
      </w:r>
      <w:r w:rsidRPr="00AE2E4D">
        <w:rPr>
          <w:rFonts w:asciiTheme="minorHAnsi" w:eastAsia="Times New Roman" w:hAnsiTheme="minorHAnsi"/>
        </w:rPr>
        <w:t>e</w:t>
      </w:r>
      <w:r w:rsidRPr="00AE2E4D">
        <w:rPr>
          <w:rFonts w:asciiTheme="minorHAnsi" w:eastAsia="Times New Roman" w:hAnsiTheme="minorHAnsi"/>
        </w:rPr>
        <w:t>ment, 14 December 2018, EURO 503/18.</w:t>
      </w:r>
      <w:proofErr w:type="gramEnd"/>
      <w:r w:rsidRPr="00AE2E4D">
        <w:rPr>
          <w:rFonts w:asciiTheme="minorHAnsi" w:eastAsia="Times New Roman" w:hAnsiTheme="minorHAnsi"/>
        </w:rPr>
        <w:t xml:space="preserve"> </w:t>
      </w:r>
    </w:p>
  </w:footnote>
  <w:footnote w:id="107">
    <w:p w14:paraId="47FDEEF1" w14:textId="7EF5F56D"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r w:rsidRPr="00AE2E4D">
        <w:rPr>
          <w:rFonts w:asciiTheme="minorHAnsi" w:hAnsiTheme="minorHAnsi"/>
          <w:lang w:val="en-US"/>
        </w:rPr>
        <w:t>Going beyond the ESM’s current precautionary credit line, even if amended as agreed by the Euro Summit in December 2018 (ibid).</w:t>
      </w:r>
      <w:r>
        <w:rPr>
          <w:rFonts w:asciiTheme="minorHAnsi" w:hAnsiTheme="minorHAnsi"/>
          <w:lang w:val="en-US"/>
        </w:rPr>
        <w:t xml:space="preserve"> </w:t>
      </w:r>
      <w:r w:rsidRPr="00746868">
        <w:rPr>
          <w:rFonts w:asciiTheme="minorHAnsi" w:hAnsiTheme="minorHAnsi"/>
          <w:lang w:val="en-US"/>
        </w:rPr>
        <w:t>Think, for example, of the (remote) possibility of ha</w:t>
      </w:r>
      <w:r w:rsidRPr="00746868">
        <w:rPr>
          <w:rFonts w:asciiTheme="minorHAnsi" w:hAnsiTheme="minorHAnsi"/>
          <w:lang w:val="en-US"/>
        </w:rPr>
        <w:t>v</w:t>
      </w:r>
      <w:r w:rsidRPr="00746868">
        <w:rPr>
          <w:rFonts w:asciiTheme="minorHAnsi" w:hAnsiTheme="minorHAnsi"/>
          <w:lang w:val="en-US"/>
        </w:rPr>
        <w:t>ing the ESM/EMF fund a deposit sc</w:t>
      </w:r>
      <w:r>
        <w:rPr>
          <w:rFonts w:asciiTheme="minorHAnsi" w:hAnsiTheme="minorHAnsi"/>
          <w:lang w:val="en-US"/>
        </w:rPr>
        <w:t>heme or unemployment insurance.</w:t>
      </w:r>
    </w:p>
  </w:footnote>
  <w:footnote w:id="108">
    <w:p w14:paraId="0C8CBBB4"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Art 7 of the proposed Statute of the EMF (Annex to the Proposal for a Council Regulation on the establishment of the European Monetary Fund, COM(2017) 827 final)</w:t>
      </w:r>
    </w:p>
  </w:footnote>
  <w:footnote w:id="109">
    <w:p w14:paraId="16FA5755" w14:textId="6017472D"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r w:rsidRPr="00AE2E4D">
        <w:rPr>
          <w:rFonts w:asciiTheme="minorHAnsi" w:hAnsiTheme="minorHAnsi"/>
          <w:lang w:val="en-US"/>
        </w:rPr>
        <w:t xml:space="preserve">See also </w:t>
      </w:r>
      <w:r w:rsidRPr="00AE2E4D">
        <w:rPr>
          <w:rFonts w:asciiTheme="minorHAnsi" w:hAnsiTheme="minorHAnsi"/>
        </w:rPr>
        <w:t xml:space="preserve">S </w:t>
      </w:r>
      <w:proofErr w:type="spellStart"/>
      <w:r w:rsidRPr="00AE2E4D">
        <w:rPr>
          <w:rFonts w:asciiTheme="minorHAnsi" w:hAnsiTheme="minorHAnsi"/>
        </w:rPr>
        <w:t>Poppelaars</w:t>
      </w:r>
      <w:proofErr w:type="spellEnd"/>
      <w:r w:rsidRPr="00AE2E4D">
        <w:rPr>
          <w:rFonts w:asciiTheme="minorHAnsi" w:hAnsiTheme="minorHAnsi"/>
        </w:rPr>
        <w:t xml:space="preserve">, ‘The Involvement of National Parliaments in the Current ESM and the Possible Future EMF’ </w:t>
      </w:r>
      <w:proofErr w:type="spellStart"/>
      <w:r w:rsidRPr="00AE2E4D">
        <w:rPr>
          <w:rFonts w:asciiTheme="minorHAnsi" w:hAnsiTheme="minorHAnsi"/>
        </w:rPr>
        <w:t>Luiss</w:t>
      </w:r>
      <w:proofErr w:type="spellEnd"/>
      <w:r w:rsidRPr="00AE2E4D">
        <w:rPr>
          <w:rFonts w:asciiTheme="minorHAnsi" w:hAnsiTheme="minorHAnsi"/>
        </w:rPr>
        <w:t xml:space="preserve"> School of Government Working Paper Series, SOG-WP44/2018, 13 and ff.</w:t>
      </w:r>
    </w:p>
  </w:footnote>
  <w:footnote w:id="110">
    <w:p w14:paraId="0E09A550" w14:textId="11FF3AA8"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See n </w:t>
      </w:r>
      <w:r w:rsidRPr="00AE2E4D">
        <w:rPr>
          <w:rStyle w:val="FootnoteReference"/>
          <w:rFonts w:asciiTheme="minorHAnsi" w:hAnsiTheme="minorHAnsi"/>
          <w:vertAlign w:val="baseline"/>
        </w:rPr>
        <w:fldChar w:fldCharType="begin"/>
      </w:r>
      <w:r w:rsidRPr="00AE2E4D">
        <w:rPr>
          <w:rStyle w:val="FootnoteReference"/>
          <w:rFonts w:asciiTheme="minorHAnsi" w:hAnsiTheme="minorHAnsi"/>
          <w:vertAlign w:val="baseline"/>
        </w:rPr>
        <w:instrText xml:space="preserve"> NOTEREF _Ref405055675 \h </w:instrText>
      </w:r>
      <w:r w:rsidRPr="00AE2E4D">
        <w:rPr>
          <w:rStyle w:val="FootnoteReference"/>
          <w:rFonts w:asciiTheme="minorHAnsi" w:hAnsiTheme="minorHAnsi"/>
          <w:vertAlign w:val="baseline"/>
        </w:rPr>
      </w:r>
      <w:r w:rsidRPr="00AE2E4D">
        <w:rPr>
          <w:rStyle w:val="FootnoteReference"/>
          <w:rFonts w:asciiTheme="minorHAnsi" w:hAnsiTheme="minorHAnsi"/>
          <w:vertAlign w:val="baseline"/>
        </w:rPr>
        <w:fldChar w:fldCharType="separate"/>
      </w:r>
      <w:r>
        <w:rPr>
          <w:rStyle w:val="FootnoteReference"/>
          <w:rFonts w:asciiTheme="minorHAnsi" w:hAnsiTheme="minorHAnsi"/>
          <w:vertAlign w:val="baseline"/>
        </w:rPr>
        <w:t>83</w:t>
      </w:r>
      <w:r w:rsidRPr="00AE2E4D">
        <w:rPr>
          <w:rStyle w:val="FootnoteReference"/>
          <w:rFonts w:asciiTheme="minorHAnsi" w:hAnsiTheme="minorHAnsi"/>
          <w:vertAlign w:val="baseline"/>
        </w:rPr>
        <w:fldChar w:fldCharType="end"/>
      </w:r>
      <w:r w:rsidRPr="00AE2E4D">
        <w:rPr>
          <w:rStyle w:val="FootnoteReference"/>
          <w:rFonts w:asciiTheme="minorHAnsi" w:hAnsiTheme="minorHAnsi"/>
          <w:vertAlign w:val="baseline"/>
        </w:rPr>
        <w:t>.</w:t>
      </w:r>
    </w:p>
  </w:footnote>
  <w:footnote w:id="111">
    <w:p w14:paraId="23179507"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The Court considered that the unspecified possible application of the flexibility clause co</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 xml:space="preserve">stitutionally requires that, ratification is required through the </w:t>
      </w:r>
      <w:r w:rsidRPr="00AE2E4D">
        <w:rPr>
          <w:rStyle w:val="FootnoteReference"/>
          <w:rFonts w:asciiTheme="minorHAnsi" w:hAnsiTheme="minorHAnsi"/>
          <w:i/>
          <w:vertAlign w:val="baseline"/>
        </w:rPr>
        <w:t>Bundestag</w:t>
      </w:r>
      <w:r w:rsidRPr="00AE2E4D">
        <w:rPr>
          <w:rStyle w:val="FootnoteReference"/>
          <w:rFonts w:asciiTheme="minorHAnsi" w:hAnsiTheme="minorHAnsi"/>
          <w:vertAlign w:val="baseline"/>
        </w:rPr>
        <w:t xml:space="preserve"> and </w:t>
      </w:r>
      <w:r w:rsidRPr="00AE2E4D">
        <w:rPr>
          <w:rStyle w:val="FootnoteReference"/>
          <w:rFonts w:asciiTheme="minorHAnsi" w:hAnsiTheme="minorHAnsi"/>
          <w:i/>
          <w:vertAlign w:val="baseline"/>
        </w:rPr>
        <w:t>Bundesrat</w:t>
      </w:r>
      <w:r w:rsidRPr="00AE2E4D">
        <w:rPr>
          <w:rStyle w:val="FootnoteReference"/>
          <w:rFonts w:asciiTheme="minorHAnsi" w:hAnsiTheme="minorHAnsi"/>
          <w:vertAlign w:val="baseline"/>
        </w:rPr>
        <w:t>, in a</w:t>
      </w:r>
      <w:r w:rsidRPr="00AE2E4D">
        <w:rPr>
          <w:rStyle w:val="FootnoteReference"/>
          <w:rFonts w:asciiTheme="minorHAnsi" w:hAnsiTheme="minorHAnsi"/>
          <w:vertAlign w:val="baseline"/>
        </w:rPr>
        <w:t>c</w:t>
      </w:r>
      <w:r w:rsidRPr="00AE2E4D">
        <w:rPr>
          <w:rStyle w:val="FootnoteReference"/>
          <w:rFonts w:asciiTheme="minorHAnsi" w:hAnsiTheme="minorHAnsi"/>
          <w:vertAlign w:val="baseline"/>
        </w:rPr>
        <w:t xml:space="preserve">cordance with Article 23 </w:t>
      </w:r>
      <w:proofErr w:type="spellStart"/>
      <w:r w:rsidRPr="00AE2E4D">
        <w:rPr>
          <w:rStyle w:val="FootnoteReference"/>
          <w:rFonts w:asciiTheme="minorHAnsi" w:hAnsiTheme="minorHAnsi"/>
          <w:i/>
          <w:vertAlign w:val="baseline"/>
        </w:rPr>
        <w:t>Grundgesetz</w:t>
      </w:r>
      <w:proofErr w:type="spellEnd"/>
      <w:r w:rsidRPr="00AE2E4D">
        <w:rPr>
          <w:rStyle w:val="FootnoteReference"/>
          <w:rFonts w:asciiTheme="minorHAnsi" w:hAnsiTheme="minorHAnsi"/>
          <w:vertAlign w:val="baseline"/>
        </w:rPr>
        <w:t xml:space="preserve">. The subsequent </w:t>
      </w:r>
      <w:proofErr w:type="spellStart"/>
      <w:r w:rsidRPr="00AE2E4D">
        <w:rPr>
          <w:rStyle w:val="FootnoteReference"/>
          <w:rFonts w:asciiTheme="minorHAnsi" w:hAnsiTheme="minorHAnsi"/>
          <w:i/>
          <w:vertAlign w:val="baseline"/>
        </w:rPr>
        <w:t>Integrationsverantwortungsgesetz</w:t>
      </w:r>
      <w:proofErr w:type="spellEnd"/>
      <w:r w:rsidRPr="00AE2E4D">
        <w:rPr>
          <w:rStyle w:val="FootnoteReference"/>
          <w:rFonts w:asciiTheme="minorHAnsi" w:hAnsiTheme="minorHAnsi"/>
          <w:i/>
          <w:vertAlign w:val="baseline"/>
        </w:rPr>
        <w:t xml:space="preserve"> </w:t>
      </w:r>
      <w:r w:rsidRPr="00AE2E4D">
        <w:rPr>
          <w:rStyle w:val="FootnoteReference"/>
          <w:rFonts w:asciiTheme="minorHAnsi" w:hAnsiTheme="minorHAnsi"/>
          <w:vertAlign w:val="baseline"/>
        </w:rPr>
        <w:t>(</w:t>
      </w:r>
      <w:proofErr w:type="spellStart"/>
      <w:r w:rsidRPr="00AE2E4D">
        <w:rPr>
          <w:rStyle w:val="FootnoteReference"/>
          <w:rFonts w:asciiTheme="minorHAnsi" w:hAnsiTheme="minorHAnsi"/>
          <w:vertAlign w:val="baseline"/>
        </w:rPr>
        <w:t>IntVG</w:t>
      </w:r>
      <w:proofErr w:type="spellEnd"/>
      <w:r w:rsidRPr="00AE2E4D">
        <w:rPr>
          <w:rStyle w:val="FootnoteReference"/>
          <w:rFonts w:asciiTheme="minorHAnsi" w:hAnsiTheme="minorHAnsi"/>
          <w:vertAlign w:val="baseline"/>
        </w:rPr>
        <w:t xml:space="preserve">) implemented this requirement of the Court ruling, by specifying that the German representative in the Council and must vote against the adoption of a measure under Article 352 TFEU, unless an act has been adopted by the </w:t>
      </w:r>
      <w:r w:rsidRPr="00AE2E4D">
        <w:rPr>
          <w:rStyle w:val="FootnoteReference"/>
          <w:rFonts w:asciiTheme="minorHAnsi" w:hAnsiTheme="minorHAnsi"/>
          <w:i/>
          <w:vertAlign w:val="baseline"/>
        </w:rPr>
        <w:t>Bundestag</w:t>
      </w:r>
      <w:r w:rsidRPr="00AE2E4D">
        <w:rPr>
          <w:rStyle w:val="FootnoteReference"/>
          <w:rFonts w:asciiTheme="minorHAnsi" w:hAnsiTheme="minorHAnsi"/>
          <w:vertAlign w:val="baseline"/>
        </w:rPr>
        <w:t xml:space="preserve"> and </w:t>
      </w:r>
      <w:r w:rsidRPr="00AE2E4D">
        <w:rPr>
          <w:rStyle w:val="FootnoteReference"/>
          <w:rFonts w:asciiTheme="minorHAnsi" w:hAnsiTheme="minorHAnsi"/>
          <w:i/>
          <w:vertAlign w:val="baseline"/>
        </w:rPr>
        <w:t>Bundesrat</w:t>
      </w:r>
      <w:r w:rsidRPr="00AE2E4D">
        <w:rPr>
          <w:rStyle w:val="FootnoteReference"/>
          <w:rFonts w:asciiTheme="minorHAnsi" w:hAnsiTheme="minorHAnsi"/>
          <w:vertAlign w:val="baseline"/>
        </w:rPr>
        <w:t xml:space="preserve"> in accordance with Article 23 </w:t>
      </w:r>
      <w:proofErr w:type="spellStart"/>
      <w:r w:rsidRPr="00AE2E4D">
        <w:rPr>
          <w:rStyle w:val="FootnoteReference"/>
          <w:rFonts w:asciiTheme="minorHAnsi" w:hAnsiTheme="minorHAnsi"/>
          <w:i/>
          <w:vertAlign w:val="baseline"/>
        </w:rPr>
        <w:t>Grundgesetz</w:t>
      </w:r>
      <w:proofErr w:type="spellEnd"/>
      <w:r w:rsidRPr="00AE2E4D">
        <w:rPr>
          <w:rStyle w:val="FootnoteReference"/>
          <w:rFonts w:asciiTheme="minorHAnsi" w:hAnsiTheme="minorHAnsi"/>
          <w:vertAlign w:val="baseline"/>
        </w:rPr>
        <w:t xml:space="preserve">. Depending on the content of the law, this may require a relative majority in the </w:t>
      </w:r>
      <w:r w:rsidRPr="00AE2E4D">
        <w:rPr>
          <w:rStyle w:val="FootnoteReference"/>
          <w:rFonts w:asciiTheme="minorHAnsi" w:hAnsiTheme="minorHAnsi"/>
          <w:i/>
          <w:vertAlign w:val="baseline"/>
        </w:rPr>
        <w:t>Bundestag</w:t>
      </w:r>
      <w:r w:rsidRPr="00AE2E4D">
        <w:rPr>
          <w:rStyle w:val="FootnoteReference"/>
          <w:rFonts w:asciiTheme="minorHAnsi" w:hAnsiTheme="minorHAnsi"/>
          <w:vertAlign w:val="baseline"/>
        </w:rPr>
        <w:t xml:space="preserve"> and a simple absolute majority in the </w:t>
      </w:r>
      <w:r w:rsidRPr="00AE2E4D">
        <w:rPr>
          <w:rStyle w:val="FootnoteReference"/>
          <w:rFonts w:asciiTheme="minorHAnsi" w:hAnsiTheme="minorHAnsi"/>
          <w:i/>
          <w:vertAlign w:val="baseline"/>
        </w:rPr>
        <w:t>Bundesrat</w:t>
      </w:r>
      <w:r w:rsidRPr="00AE2E4D">
        <w:rPr>
          <w:rStyle w:val="FootnoteReference"/>
          <w:rFonts w:asciiTheme="minorHAnsi" w:hAnsiTheme="minorHAnsi"/>
          <w:vertAlign w:val="baseline"/>
        </w:rPr>
        <w:t>, or it may require a two-thirds majority in both cha</w:t>
      </w:r>
      <w:r w:rsidRPr="00AE2E4D">
        <w:rPr>
          <w:rStyle w:val="FootnoteReference"/>
          <w:rFonts w:asciiTheme="minorHAnsi" w:hAnsiTheme="minorHAnsi"/>
          <w:vertAlign w:val="baseline"/>
        </w:rPr>
        <w:t>m</w:t>
      </w:r>
      <w:r w:rsidRPr="00AE2E4D">
        <w:rPr>
          <w:rStyle w:val="FootnoteReference"/>
          <w:rFonts w:asciiTheme="minorHAnsi" w:hAnsiTheme="minorHAnsi"/>
          <w:vertAlign w:val="baseline"/>
        </w:rPr>
        <w:t>bers.</w:t>
      </w:r>
    </w:p>
  </w:footnote>
  <w:footnote w:id="112">
    <w:p w14:paraId="2CC67C71" w14:textId="776D50B3" w:rsidR="00746868" w:rsidRPr="007726E0" w:rsidRDefault="00746868">
      <w:pPr>
        <w:pStyle w:val="FootnoteText"/>
        <w:rPr>
          <w:lang w:val="en-US"/>
        </w:rPr>
      </w:pPr>
      <w:r>
        <w:rPr>
          <w:rStyle w:val="FootnoteReference"/>
        </w:rPr>
        <w:footnoteRef/>
      </w:r>
      <w:r>
        <w:t xml:space="preserve"> </w:t>
      </w:r>
      <w:r>
        <w:rPr>
          <w:lang w:val="en-US"/>
        </w:rPr>
        <w:t xml:space="preserve">See, by analogy, the German Federal Constitutional Court’s approach to the interpretation of the EU Treaties (and subsequent link to Germany’s constitutional identity) in </w:t>
      </w:r>
      <w:proofErr w:type="spellStart"/>
      <w:r w:rsidRPr="00AE2E4D">
        <w:rPr>
          <w:rStyle w:val="FootnoteReference"/>
          <w:rFonts w:asciiTheme="minorHAnsi" w:hAnsiTheme="minorHAnsi"/>
          <w:i/>
          <w:vertAlign w:val="baseline"/>
        </w:rPr>
        <w:t>Gauweiler</w:t>
      </w:r>
      <w:proofErr w:type="spellEnd"/>
      <w:r w:rsidRPr="00AE2E4D">
        <w:rPr>
          <w:rStyle w:val="FootnoteReference"/>
          <w:rFonts w:asciiTheme="minorHAnsi" w:hAnsiTheme="minorHAnsi"/>
          <w:vertAlign w:val="baseline"/>
        </w:rPr>
        <w:t xml:space="preserve"> (</w:t>
      </w:r>
      <w:r w:rsidRPr="00AE2E4D">
        <w:rPr>
          <w:rFonts w:asciiTheme="minorHAnsi" w:hAnsiTheme="minorHAnsi"/>
        </w:rPr>
        <w:t xml:space="preserve">2 </w:t>
      </w:r>
      <w:proofErr w:type="spellStart"/>
      <w:r w:rsidRPr="00AE2E4D">
        <w:rPr>
          <w:rFonts w:asciiTheme="minorHAnsi" w:hAnsiTheme="minorHAnsi"/>
        </w:rPr>
        <w:t>BvR</w:t>
      </w:r>
      <w:proofErr w:type="spellEnd"/>
      <w:r w:rsidRPr="00AE2E4D">
        <w:rPr>
          <w:rFonts w:asciiTheme="minorHAnsi" w:hAnsiTheme="minorHAnsi"/>
        </w:rPr>
        <w:t xml:space="preserve"> 2728/13, 2 </w:t>
      </w:r>
      <w:proofErr w:type="spellStart"/>
      <w:r w:rsidRPr="00AE2E4D">
        <w:rPr>
          <w:rFonts w:asciiTheme="minorHAnsi" w:hAnsiTheme="minorHAnsi"/>
        </w:rPr>
        <w:t>BvE</w:t>
      </w:r>
      <w:proofErr w:type="spellEnd"/>
      <w:r w:rsidRPr="00AE2E4D">
        <w:rPr>
          <w:rFonts w:asciiTheme="minorHAnsi" w:hAnsiTheme="minorHAnsi"/>
        </w:rPr>
        <w:t xml:space="preserve"> 13/13, 2 </w:t>
      </w:r>
      <w:proofErr w:type="spellStart"/>
      <w:r w:rsidRPr="00AE2E4D">
        <w:rPr>
          <w:rFonts w:asciiTheme="minorHAnsi" w:hAnsiTheme="minorHAnsi"/>
        </w:rPr>
        <w:t>BvR</w:t>
      </w:r>
      <w:proofErr w:type="spellEnd"/>
      <w:r w:rsidRPr="00AE2E4D">
        <w:rPr>
          <w:rFonts w:asciiTheme="minorHAnsi" w:hAnsiTheme="minorHAnsi"/>
        </w:rPr>
        <w:t xml:space="preserve"> 2731/13, 2 </w:t>
      </w:r>
      <w:proofErr w:type="spellStart"/>
      <w:r w:rsidRPr="00AE2E4D">
        <w:rPr>
          <w:rFonts w:asciiTheme="minorHAnsi" w:hAnsiTheme="minorHAnsi"/>
        </w:rPr>
        <w:t>BvR</w:t>
      </w:r>
      <w:proofErr w:type="spellEnd"/>
      <w:r w:rsidRPr="00AE2E4D">
        <w:rPr>
          <w:rFonts w:asciiTheme="minorHAnsi" w:hAnsiTheme="minorHAnsi"/>
        </w:rPr>
        <w:t xml:space="preserve"> 2730/13, 2 </w:t>
      </w:r>
      <w:proofErr w:type="spellStart"/>
      <w:r w:rsidRPr="00AE2E4D">
        <w:rPr>
          <w:rFonts w:asciiTheme="minorHAnsi" w:hAnsiTheme="minorHAnsi"/>
        </w:rPr>
        <w:t>BvR</w:t>
      </w:r>
      <w:proofErr w:type="spellEnd"/>
      <w:r w:rsidRPr="00AE2E4D">
        <w:rPr>
          <w:rFonts w:asciiTheme="minorHAnsi" w:hAnsiTheme="minorHAnsi"/>
        </w:rPr>
        <w:t xml:space="preserve"> 2729/13</w:t>
      </w:r>
      <w:r>
        <w:rPr>
          <w:rFonts w:asciiTheme="minorHAnsi" w:hAnsiTheme="minorHAnsi"/>
        </w:rPr>
        <w:t>.</w:t>
      </w:r>
    </w:p>
  </w:footnote>
  <w:footnote w:id="113">
    <w:p w14:paraId="5ABCF267" w14:textId="41DA3A28"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This includes </w:t>
      </w:r>
      <w:r w:rsidRPr="00AE2E4D">
        <w:rPr>
          <w:rStyle w:val="FootnoteReference"/>
          <w:rFonts w:asciiTheme="minorHAnsi" w:hAnsiTheme="minorHAnsi"/>
          <w:i/>
          <w:vertAlign w:val="baseline"/>
        </w:rPr>
        <w:t>Gauweiler</w:t>
      </w:r>
      <w:r w:rsidRPr="00AE2E4D">
        <w:rPr>
          <w:rStyle w:val="FootnoteReference"/>
          <w:rFonts w:asciiTheme="minorHAnsi" w:hAnsiTheme="minorHAnsi"/>
          <w:vertAlign w:val="baseline"/>
        </w:rPr>
        <w:t xml:space="preserve"> (</w:t>
      </w:r>
      <w:r w:rsidRPr="00AE2E4D">
        <w:rPr>
          <w:rFonts w:asciiTheme="minorHAnsi" w:hAnsiTheme="minorHAnsi"/>
        </w:rPr>
        <w:t xml:space="preserve">2 </w:t>
      </w:r>
      <w:proofErr w:type="spellStart"/>
      <w:r w:rsidRPr="00AE2E4D">
        <w:rPr>
          <w:rFonts w:asciiTheme="minorHAnsi" w:hAnsiTheme="minorHAnsi"/>
        </w:rPr>
        <w:t>BvR</w:t>
      </w:r>
      <w:proofErr w:type="spellEnd"/>
      <w:r w:rsidRPr="00AE2E4D">
        <w:rPr>
          <w:rFonts w:asciiTheme="minorHAnsi" w:hAnsiTheme="minorHAnsi"/>
        </w:rPr>
        <w:t xml:space="preserve"> 2728/13, 2 </w:t>
      </w:r>
      <w:proofErr w:type="spellStart"/>
      <w:r w:rsidRPr="00AE2E4D">
        <w:rPr>
          <w:rFonts w:asciiTheme="minorHAnsi" w:hAnsiTheme="minorHAnsi"/>
        </w:rPr>
        <w:t>BvE</w:t>
      </w:r>
      <w:proofErr w:type="spellEnd"/>
      <w:r w:rsidRPr="00AE2E4D">
        <w:rPr>
          <w:rFonts w:asciiTheme="minorHAnsi" w:hAnsiTheme="minorHAnsi"/>
        </w:rPr>
        <w:t xml:space="preserve"> 13/13, 2 </w:t>
      </w:r>
      <w:proofErr w:type="spellStart"/>
      <w:r w:rsidRPr="00AE2E4D">
        <w:rPr>
          <w:rFonts w:asciiTheme="minorHAnsi" w:hAnsiTheme="minorHAnsi"/>
        </w:rPr>
        <w:t>BvR</w:t>
      </w:r>
      <w:proofErr w:type="spellEnd"/>
      <w:r w:rsidRPr="00AE2E4D">
        <w:rPr>
          <w:rFonts w:asciiTheme="minorHAnsi" w:hAnsiTheme="minorHAnsi"/>
        </w:rPr>
        <w:t xml:space="preserve"> 2731/13, 2 </w:t>
      </w:r>
      <w:proofErr w:type="spellStart"/>
      <w:r w:rsidRPr="00AE2E4D">
        <w:rPr>
          <w:rFonts w:asciiTheme="minorHAnsi" w:hAnsiTheme="minorHAnsi"/>
        </w:rPr>
        <w:t>BvR</w:t>
      </w:r>
      <w:proofErr w:type="spellEnd"/>
      <w:r w:rsidRPr="00AE2E4D">
        <w:rPr>
          <w:rFonts w:asciiTheme="minorHAnsi" w:hAnsiTheme="minorHAnsi"/>
        </w:rPr>
        <w:t xml:space="preserve"> 2730/13, 2 </w:t>
      </w:r>
      <w:proofErr w:type="spellStart"/>
      <w:r w:rsidRPr="00AE2E4D">
        <w:rPr>
          <w:rFonts w:asciiTheme="minorHAnsi" w:hAnsiTheme="minorHAnsi"/>
        </w:rPr>
        <w:t>BvR</w:t>
      </w:r>
      <w:proofErr w:type="spellEnd"/>
      <w:r w:rsidRPr="00AE2E4D">
        <w:rPr>
          <w:rFonts w:asciiTheme="minorHAnsi" w:hAnsiTheme="minorHAnsi"/>
        </w:rPr>
        <w:t xml:space="preserve"> 2729/13; </w:t>
      </w:r>
      <w:r w:rsidRPr="00AE2E4D">
        <w:rPr>
          <w:rStyle w:val="FootnoteReference"/>
          <w:rFonts w:asciiTheme="minorHAnsi" w:hAnsiTheme="minorHAnsi"/>
          <w:vertAlign w:val="baseline"/>
        </w:rPr>
        <w:t xml:space="preserve">Case C-62/14 </w:t>
      </w:r>
      <w:r w:rsidRPr="00AE2E4D">
        <w:rPr>
          <w:rStyle w:val="FootnoteReference"/>
          <w:rFonts w:asciiTheme="minorHAnsi" w:hAnsiTheme="minorHAnsi"/>
          <w:i/>
          <w:vertAlign w:val="baseline"/>
        </w:rPr>
        <w:t>Gauweiler and others</w:t>
      </w:r>
      <w:r w:rsidRPr="00AE2E4D">
        <w:rPr>
          <w:rStyle w:val="FootnoteReference"/>
          <w:rFonts w:asciiTheme="minorHAnsi" w:hAnsiTheme="minorHAnsi"/>
          <w:vertAlign w:val="baseline"/>
        </w:rPr>
        <w:t xml:space="preserve">, ECLI:EU:C:2015:400), as well </w:t>
      </w:r>
      <w:r w:rsidRPr="00AE2E4D">
        <w:rPr>
          <w:rFonts w:asciiTheme="minorHAnsi" w:hAnsiTheme="minorHAnsi"/>
        </w:rPr>
        <w:t xml:space="preserve">as </w:t>
      </w:r>
      <w:r w:rsidRPr="00AE2E4D">
        <w:rPr>
          <w:rFonts w:asciiTheme="minorHAnsi" w:hAnsiTheme="minorHAnsi"/>
          <w:i/>
        </w:rPr>
        <w:t>Weiss</w:t>
      </w:r>
      <w:r w:rsidRPr="00AE2E4D">
        <w:rPr>
          <w:rFonts w:asciiTheme="minorHAnsi" w:hAnsiTheme="minorHAnsi"/>
        </w:rPr>
        <w:t xml:space="preserve"> (2 </w:t>
      </w:r>
      <w:proofErr w:type="spellStart"/>
      <w:r w:rsidRPr="00AE2E4D">
        <w:rPr>
          <w:rFonts w:asciiTheme="minorHAnsi" w:hAnsiTheme="minorHAnsi"/>
        </w:rPr>
        <w:t>BvR</w:t>
      </w:r>
      <w:proofErr w:type="spellEnd"/>
      <w:r w:rsidRPr="00AE2E4D">
        <w:rPr>
          <w:rFonts w:asciiTheme="minorHAnsi" w:hAnsiTheme="minorHAnsi"/>
        </w:rPr>
        <w:t xml:space="preserve"> 859/15, 2 </w:t>
      </w:r>
      <w:proofErr w:type="spellStart"/>
      <w:r w:rsidRPr="00AE2E4D">
        <w:rPr>
          <w:rFonts w:asciiTheme="minorHAnsi" w:hAnsiTheme="minorHAnsi"/>
        </w:rPr>
        <w:t>BvR</w:t>
      </w:r>
      <w:proofErr w:type="spellEnd"/>
      <w:r w:rsidRPr="00AE2E4D">
        <w:rPr>
          <w:rFonts w:asciiTheme="minorHAnsi" w:hAnsiTheme="minorHAnsi"/>
        </w:rPr>
        <w:t xml:space="preserve"> 980/16, 2 </w:t>
      </w:r>
      <w:proofErr w:type="spellStart"/>
      <w:r w:rsidRPr="00AE2E4D">
        <w:rPr>
          <w:rFonts w:asciiTheme="minorHAnsi" w:hAnsiTheme="minorHAnsi"/>
        </w:rPr>
        <w:t>BvR</w:t>
      </w:r>
      <w:proofErr w:type="spellEnd"/>
      <w:r w:rsidRPr="00AE2E4D">
        <w:rPr>
          <w:rFonts w:asciiTheme="minorHAnsi" w:hAnsiTheme="minorHAnsi"/>
        </w:rPr>
        <w:t xml:space="preserve"> 2006/15, 2 </w:t>
      </w:r>
      <w:proofErr w:type="spellStart"/>
      <w:r w:rsidRPr="00AE2E4D">
        <w:rPr>
          <w:rFonts w:asciiTheme="minorHAnsi" w:hAnsiTheme="minorHAnsi"/>
        </w:rPr>
        <w:t>BvR</w:t>
      </w:r>
      <w:proofErr w:type="spellEnd"/>
      <w:r w:rsidRPr="00AE2E4D">
        <w:rPr>
          <w:rFonts w:asciiTheme="minorHAnsi" w:hAnsiTheme="minorHAnsi"/>
        </w:rPr>
        <w:t xml:space="preserve"> 1651/15; </w:t>
      </w:r>
      <w:r w:rsidRPr="00AE2E4D">
        <w:rPr>
          <w:rStyle w:val="FootnoteReference"/>
          <w:rFonts w:asciiTheme="minorHAnsi" w:hAnsiTheme="minorHAnsi"/>
          <w:vertAlign w:val="baseline"/>
        </w:rPr>
        <w:t xml:space="preserve">Case C-493/17, </w:t>
      </w:r>
      <w:r w:rsidRPr="00AE2E4D">
        <w:rPr>
          <w:rStyle w:val="FootnoteReference"/>
          <w:rFonts w:asciiTheme="minorHAnsi" w:hAnsiTheme="minorHAnsi"/>
          <w:i/>
          <w:vertAlign w:val="baseline"/>
        </w:rPr>
        <w:t>Heinrich Weiss and Ot</w:t>
      </w:r>
      <w:r w:rsidRPr="00AE2E4D">
        <w:rPr>
          <w:rStyle w:val="FootnoteReference"/>
          <w:rFonts w:asciiTheme="minorHAnsi" w:hAnsiTheme="minorHAnsi"/>
          <w:i/>
          <w:vertAlign w:val="baseline"/>
        </w:rPr>
        <w:t>h</w:t>
      </w:r>
      <w:r w:rsidRPr="00AE2E4D">
        <w:rPr>
          <w:rStyle w:val="FootnoteReference"/>
          <w:rFonts w:asciiTheme="minorHAnsi" w:hAnsiTheme="minorHAnsi"/>
          <w:i/>
          <w:vertAlign w:val="baseline"/>
        </w:rPr>
        <w:t>ers</w:t>
      </w:r>
      <w:r w:rsidRPr="00AE2E4D">
        <w:rPr>
          <w:rStyle w:val="FootnoteReference"/>
          <w:rFonts w:asciiTheme="minorHAnsi" w:hAnsiTheme="minorHAnsi"/>
          <w:vertAlign w:val="baseline"/>
        </w:rPr>
        <w:t xml:space="preserve">, </w:t>
      </w:r>
      <w:r w:rsidRPr="00AE2E4D">
        <w:rPr>
          <w:rFonts w:asciiTheme="minorHAnsi" w:hAnsiTheme="minorHAnsi"/>
          <w:iCs/>
        </w:rPr>
        <w:t>ECLI</w:t>
      </w:r>
      <w:proofErr w:type="gramStart"/>
      <w:r w:rsidRPr="00AE2E4D">
        <w:rPr>
          <w:rFonts w:asciiTheme="minorHAnsi" w:hAnsiTheme="minorHAnsi"/>
          <w:iCs/>
        </w:rPr>
        <w:t>:EU:C:2018:1000</w:t>
      </w:r>
      <w:proofErr w:type="gramEnd"/>
      <w:r w:rsidRPr="00AE2E4D">
        <w:rPr>
          <w:rStyle w:val="FootnoteReference"/>
          <w:rFonts w:asciiTheme="minorHAnsi" w:hAnsiTheme="minorHAnsi"/>
          <w:vertAlign w:val="baseline"/>
        </w:rPr>
        <w:t>)</w:t>
      </w:r>
      <w:r w:rsidRPr="00AE2E4D">
        <w:rPr>
          <w:rFonts w:asciiTheme="minorHAnsi" w:hAnsiTheme="minorHAnsi"/>
        </w:rPr>
        <w:t xml:space="preserve"> and</w:t>
      </w:r>
      <w:r w:rsidRPr="00AE2E4D">
        <w:rPr>
          <w:rStyle w:val="FootnoteReference"/>
          <w:rFonts w:asciiTheme="minorHAnsi" w:hAnsiTheme="minorHAnsi"/>
          <w:vertAlign w:val="baseline"/>
        </w:rPr>
        <w:t xml:space="preserve"> the pending challenge to the Banking Union (2 </w:t>
      </w:r>
      <w:proofErr w:type="spellStart"/>
      <w:r w:rsidRPr="00AE2E4D">
        <w:rPr>
          <w:rStyle w:val="FootnoteReference"/>
          <w:rFonts w:asciiTheme="minorHAnsi" w:hAnsiTheme="minorHAnsi"/>
          <w:vertAlign w:val="baseline"/>
        </w:rPr>
        <w:t>BvR</w:t>
      </w:r>
      <w:proofErr w:type="spellEnd"/>
      <w:r w:rsidRPr="00AE2E4D">
        <w:rPr>
          <w:rStyle w:val="FootnoteReference"/>
          <w:rFonts w:asciiTheme="minorHAnsi" w:hAnsiTheme="minorHAnsi"/>
          <w:vertAlign w:val="baseline"/>
        </w:rPr>
        <w:t xml:space="preserve"> 1685/14, 2 </w:t>
      </w:r>
      <w:proofErr w:type="spellStart"/>
      <w:r w:rsidRPr="00AE2E4D">
        <w:rPr>
          <w:rStyle w:val="FootnoteReference"/>
          <w:rFonts w:asciiTheme="minorHAnsi" w:hAnsiTheme="minorHAnsi"/>
          <w:vertAlign w:val="baseline"/>
        </w:rPr>
        <w:t>BvR</w:t>
      </w:r>
      <w:proofErr w:type="spellEnd"/>
      <w:r w:rsidRPr="00AE2E4D">
        <w:rPr>
          <w:rStyle w:val="FootnoteReference"/>
          <w:rFonts w:asciiTheme="minorHAnsi" w:hAnsiTheme="minorHAnsi"/>
          <w:vertAlign w:val="baseline"/>
        </w:rPr>
        <w:t xml:space="preserve"> 2631/14.) </w:t>
      </w:r>
    </w:p>
  </w:footnote>
  <w:footnote w:id="114">
    <w:p w14:paraId="3D6B9669"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bookmarkStart w:id="44" w:name="notet_44"/>
      <w:r w:rsidRPr="00AE2E4D">
        <w:rPr>
          <w:rStyle w:val="FootnoteReference"/>
          <w:rFonts w:asciiTheme="minorHAnsi" w:hAnsiTheme="minorHAnsi"/>
          <w:i/>
          <w:vertAlign w:val="baseline"/>
        </w:rPr>
        <w:t>Pringle</w:t>
      </w:r>
      <w:r w:rsidRPr="00AE2E4D">
        <w:rPr>
          <w:rStyle w:val="FootnoteReference"/>
          <w:rFonts w:asciiTheme="minorHAnsi" w:hAnsiTheme="minorHAnsi"/>
          <w:vertAlign w:val="baseline"/>
        </w:rPr>
        <w:t xml:space="preserve"> [179]–[181].</w:t>
      </w:r>
      <w:bookmarkEnd w:id="44"/>
    </w:p>
  </w:footnote>
  <w:footnote w:id="115">
    <w:p w14:paraId="64AC16BF" w14:textId="7D92A890"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In the Romanian cases, Romania had signed a Memorandum of Understanding (MoU) in o</w:t>
      </w:r>
      <w:r w:rsidRPr="00AE2E4D">
        <w:rPr>
          <w:rStyle w:val="FootnoteReference"/>
          <w:rFonts w:asciiTheme="minorHAnsi" w:hAnsiTheme="minorHAnsi"/>
          <w:vertAlign w:val="baseline"/>
        </w:rPr>
        <w:t>r</w:t>
      </w:r>
      <w:r w:rsidRPr="00AE2E4D">
        <w:rPr>
          <w:rStyle w:val="FootnoteReference"/>
          <w:rFonts w:asciiTheme="minorHAnsi" w:hAnsiTheme="minorHAnsi"/>
          <w:vertAlign w:val="baseline"/>
        </w:rPr>
        <w:t xml:space="preserve">der to receive Balance of Payments assistance (which may be granted by the EU to non-euro countries under Art 143 TFEU) together with IMF and World Bank assistance: Cases C-434/11 </w:t>
      </w:r>
      <w:proofErr w:type="spellStart"/>
      <w:r w:rsidRPr="00AE2E4D">
        <w:rPr>
          <w:rStyle w:val="FootnoteReference"/>
          <w:rFonts w:asciiTheme="minorHAnsi" w:hAnsiTheme="minorHAnsi"/>
          <w:i/>
          <w:vertAlign w:val="baseline"/>
        </w:rPr>
        <w:t>Corpul</w:t>
      </w:r>
      <w:proofErr w:type="spellEnd"/>
      <w:r w:rsidRPr="00AE2E4D">
        <w:rPr>
          <w:rStyle w:val="FootnoteReference"/>
          <w:rFonts w:asciiTheme="minorHAnsi" w:hAnsiTheme="minorHAnsi"/>
          <w:i/>
          <w:vertAlign w:val="baseline"/>
        </w:rPr>
        <w:t xml:space="preserve"> </w:t>
      </w:r>
      <w:proofErr w:type="spellStart"/>
      <w:r w:rsidRPr="00AE2E4D">
        <w:rPr>
          <w:rStyle w:val="FootnoteReference"/>
          <w:rFonts w:asciiTheme="minorHAnsi" w:hAnsiTheme="minorHAnsi"/>
          <w:i/>
          <w:vertAlign w:val="baseline"/>
        </w:rPr>
        <w:t>Naţional</w:t>
      </w:r>
      <w:proofErr w:type="spellEnd"/>
      <w:r w:rsidRPr="00AE2E4D">
        <w:rPr>
          <w:rStyle w:val="FootnoteReference"/>
          <w:rFonts w:asciiTheme="minorHAnsi" w:hAnsiTheme="minorHAnsi"/>
          <w:i/>
          <w:vertAlign w:val="baseline"/>
        </w:rPr>
        <w:t xml:space="preserve"> al </w:t>
      </w:r>
      <w:proofErr w:type="spellStart"/>
      <w:r w:rsidRPr="00AE2E4D">
        <w:rPr>
          <w:rStyle w:val="FootnoteReference"/>
          <w:rFonts w:asciiTheme="minorHAnsi" w:hAnsiTheme="minorHAnsi"/>
          <w:i/>
          <w:vertAlign w:val="baseline"/>
        </w:rPr>
        <w:t>Poliţiştilor</w:t>
      </w:r>
      <w:proofErr w:type="spellEnd"/>
      <w:r w:rsidRPr="00AE2E4D">
        <w:rPr>
          <w:rStyle w:val="FootnoteReference"/>
          <w:rFonts w:asciiTheme="minorHAnsi" w:hAnsiTheme="minorHAnsi"/>
          <w:vertAlign w:val="baseline"/>
        </w:rPr>
        <w:t xml:space="preserve">, order of 14 December 2011; C-134/12 </w:t>
      </w:r>
      <w:proofErr w:type="spellStart"/>
      <w:r w:rsidRPr="00AE2E4D">
        <w:rPr>
          <w:rStyle w:val="FootnoteReference"/>
          <w:rFonts w:asciiTheme="minorHAnsi" w:hAnsiTheme="minorHAnsi"/>
          <w:i/>
          <w:vertAlign w:val="baseline"/>
        </w:rPr>
        <w:t>Corpul</w:t>
      </w:r>
      <w:proofErr w:type="spellEnd"/>
      <w:r w:rsidRPr="00AE2E4D">
        <w:rPr>
          <w:rStyle w:val="FootnoteReference"/>
          <w:rFonts w:asciiTheme="minorHAnsi" w:hAnsiTheme="minorHAnsi"/>
          <w:i/>
          <w:vertAlign w:val="baseline"/>
        </w:rPr>
        <w:t xml:space="preserve"> </w:t>
      </w:r>
      <w:proofErr w:type="spellStart"/>
      <w:r w:rsidRPr="00AE2E4D">
        <w:rPr>
          <w:rStyle w:val="FootnoteReference"/>
          <w:rFonts w:asciiTheme="minorHAnsi" w:hAnsiTheme="minorHAnsi"/>
          <w:i/>
          <w:vertAlign w:val="baseline"/>
        </w:rPr>
        <w:t>Naţional</w:t>
      </w:r>
      <w:proofErr w:type="spellEnd"/>
      <w:r w:rsidRPr="00AE2E4D">
        <w:rPr>
          <w:rStyle w:val="FootnoteReference"/>
          <w:rFonts w:asciiTheme="minorHAnsi" w:hAnsiTheme="minorHAnsi"/>
          <w:i/>
          <w:vertAlign w:val="baseline"/>
        </w:rPr>
        <w:t xml:space="preserve"> al </w:t>
      </w:r>
      <w:proofErr w:type="spellStart"/>
      <w:r w:rsidRPr="00AE2E4D">
        <w:rPr>
          <w:rStyle w:val="FootnoteReference"/>
          <w:rFonts w:asciiTheme="minorHAnsi" w:hAnsiTheme="minorHAnsi"/>
          <w:i/>
          <w:vertAlign w:val="baseline"/>
        </w:rPr>
        <w:t>Poliţiştilor</w:t>
      </w:r>
      <w:proofErr w:type="spellEnd"/>
      <w:r w:rsidRPr="00AE2E4D">
        <w:rPr>
          <w:rStyle w:val="FootnoteReference"/>
          <w:rFonts w:asciiTheme="minorHAnsi" w:hAnsiTheme="minorHAnsi"/>
          <w:vertAlign w:val="baseline"/>
        </w:rPr>
        <w:t xml:space="preserve">, order of 10 May 2012; and C-369/12 </w:t>
      </w:r>
      <w:proofErr w:type="spellStart"/>
      <w:r w:rsidRPr="00AE2E4D">
        <w:rPr>
          <w:rStyle w:val="FootnoteReference"/>
          <w:rFonts w:asciiTheme="minorHAnsi" w:hAnsiTheme="minorHAnsi"/>
          <w:i/>
          <w:vertAlign w:val="baseline"/>
        </w:rPr>
        <w:t>Corpul</w:t>
      </w:r>
      <w:proofErr w:type="spellEnd"/>
      <w:r w:rsidRPr="00AE2E4D">
        <w:rPr>
          <w:rStyle w:val="FootnoteReference"/>
          <w:rFonts w:asciiTheme="minorHAnsi" w:hAnsiTheme="minorHAnsi"/>
          <w:i/>
          <w:vertAlign w:val="baseline"/>
        </w:rPr>
        <w:t xml:space="preserve"> </w:t>
      </w:r>
      <w:proofErr w:type="spellStart"/>
      <w:r w:rsidRPr="00AE2E4D">
        <w:rPr>
          <w:rStyle w:val="FootnoteReference"/>
          <w:rFonts w:asciiTheme="minorHAnsi" w:hAnsiTheme="minorHAnsi"/>
          <w:i/>
          <w:vertAlign w:val="baseline"/>
        </w:rPr>
        <w:t>Naţional</w:t>
      </w:r>
      <w:proofErr w:type="spellEnd"/>
      <w:r w:rsidRPr="00AE2E4D">
        <w:rPr>
          <w:rStyle w:val="FootnoteReference"/>
          <w:rFonts w:asciiTheme="minorHAnsi" w:hAnsiTheme="minorHAnsi"/>
          <w:i/>
          <w:vertAlign w:val="baseline"/>
        </w:rPr>
        <w:t xml:space="preserve"> al </w:t>
      </w:r>
      <w:proofErr w:type="spellStart"/>
      <w:r w:rsidRPr="00AE2E4D">
        <w:rPr>
          <w:rStyle w:val="FootnoteReference"/>
          <w:rFonts w:asciiTheme="minorHAnsi" w:hAnsiTheme="minorHAnsi"/>
          <w:i/>
          <w:vertAlign w:val="baseline"/>
        </w:rPr>
        <w:t>Poliţiştilor</w:t>
      </w:r>
      <w:proofErr w:type="spellEnd"/>
      <w:r w:rsidRPr="00AE2E4D">
        <w:rPr>
          <w:rStyle w:val="FootnoteReference"/>
          <w:rFonts w:asciiTheme="minorHAnsi" w:hAnsiTheme="minorHAnsi"/>
          <w:vertAlign w:val="baseline"/>
        </w:rPr>
        <w:t>, order of 15 N</w:t>
      </w:r>
      <w:r w:rsidRPr="00AE2E4D">
        <w:rPr>
          <w:rStyle w:val="FootnoteReference"/>
          <w:rFonts w:asciiTheme="minorHAnsi" w:hAnsiTheme="minorHAnsi"/>
          <w:vertAlign w:val="baseline"/>
        </w:rPr>
        <w:t>o</w:t>
      </w:r>
      <w:r w:rsidRPr="00AE2E4D">
        <w:rPr>
          <w:rStyle w:val="FootnoteReference"/>
          <w:rFonts w:asciiTheme="minorHAnsi" w:hAnsiTheme="minorHAnsi"/>
          <w:vertAlign w:val="baseline"/>
        </w:rPr>
        <w:t xml:space="preserve">vember 2012. In the Portuguese cases, Portugal had negotiated an MoU in order to receive EFSF and EFSM (together with IMF) assistance: C-128/12 </w:t>
      </w:r>
      <w:proofErr w:type="spellStart"/>
      <w:r w:rsidRPr="00AE2E4D">
        <w:rPr>
          <w:rStyle w:val="FootnoteReference"/>
          <w:rFonts w:asciiTheme="minorHAnsi" w:hAnsiTheme="minorHAnsi"/>
          <w:i/>
          <w:vertAlign w:val="baseline"/>
        </w:rPr>
        <w:t>Sindicato</w:t>
      </w:r>
      <w:proofErr w:type="spellEnd"/>
      <w:r w:rsidRPr="00AE2E4D">
        <w:rPr>
          <w:rStyle w:val="FootnoteReference"/>
          <w:rFonts w:asciiTheme="minorHAnsi" w:hAnsiTheme="minorHAnsi"/>
          <w:i/>
          <w:vertAlign w:val="baseline"/>
        </w:rPr>
        <w:t xml:space="preserve"> dos </w:t>
      </w:r>
      <w:proofErr w:type="spellStart"/>
      <w:r w:rsidRPr="00AE2E4D">
        <w:rPr>
          <w:rStyle w:val="FootnoteReference"/>
          <w:rFonts w:asciiTheme="minorHAnsi" w:hAnsiTheme="minorHAnsi"/>
          <w:i/>
          <w:vertAlign w:val="baseline"/>
        </w:rPr>
        <w:t>Bancários</w:t>
      </w:r>
      <w:proofErr w:type="spellEnd"/>
      <w:r w:rsidRPr="00AE2E4D">
        <w:rPr>
          <w:rStyle w:val="FootnoteReference"/>
          <w:rFonts w:asciiTheme="minorHAnsi" w:hAnsiTheme="minorHAnsi"/>
          <w:i/>
          <w:vertAlign w:val="baseline"/>
        </w:rPr>
        <w:t xml:space="preserve"> do </w:t>
      </w:r>
      <w:proofErr w:type="spellStart"/>
      <w:r w:rsidRPr="00AE2E4D">
        <w:rPr>
          <w:rStyle w:val="FootnoteReference"/>
          <w:rFonts w:asciiTheme="minorHAnsi" w:hAnsiTheme="minorHAnsi"/>
          <w:i/>
          <w:vertAlign w:val="baseline"/>
        </w:rPr>
        <w:t>Norte</w:t>
      </w:r>
      <w:proofErr w:type="spellEnd"/>
      <w:r w:rsidRPr="00AE2E4D">
        <w:rPr>
          <w:rStyle w:val="FootnoteReference"/>
          <w:rFonts w:asciiTheme="minorHAnsi" w:hAnsiTheme="minorHAnsi"/>
          <w:i/>
          <w:vertAlign w:val="baseline"/>
        </w:rPr>
        <w:t xml:space="preserve"> and Others</w:t>
      </w:r>
      <w:r w:rsidRPr="00AE2E4D">
        <w:rPr>
          <w:rStyle w:val="FootnoteReference"/>
          <w:rFonts w:asciiTheme="minorHAnsi" w:hAnsiTheme="minorHAnsi"/>
          <w:vertAlign w:val="baseline"/>
        </w:rPr>
        <w:t xml:space="preserve">, order of 7 March 2013; C-264/12 </w:t>
      </w:r>
      <w:proofErr w:type="spellStart"/>
      <w:r w:rsidRPr="00AE2E4D">
        <w:rPr>
          <w:rStyle w:val="FootnoteReference"/>
          <w:rFonts w:asciiTheme="minorHAnsi" w:hAnsiTheme="minorHAnsi"/>
          <w:i/>
          <w:vertAlign w:val="baseline"/>
        </w:rPr>
        <w:t>Sindicato</w:t>
      </w:r>
      <w:proofErr w:type="spellEnd"/>
      <w:r w:rsidRPr="00AE2E4D">
        <w:rPr>
          <w:rStyle w:val="FootnoteReference"/>
          <w:rFonts w:asciiTheme="minorHAnsi" w:hAnsiTheme="minorHAnsi"/>
          <w:i/>
          <w:vertAlign w:val="baseline"/>
        </w:rPr>
        <w:t xml:space="preserve"> Nacional dos </w:t>
      </w:r>
      <w:proofErr w:type="spellStart"/>
      <w:r w:rsidRPr="00AE2E4D">
        <w:rPr>
          <w:rStyle w:val="FootnoteReference"/>
          <w:rFonts w:asciiTheme="minorHAnsi" w:hAnsiTheme="minorHAnsi"/>
          <w:i/>
          <w:vertAlign w:val="baseline"/>
        </w:rPr>
        <w:t>Profissionais</w:t>
      </w:r>
      <w:proofErr w:type="spellEnd"/>
      <w:r w:rsidRPr="00AE2E4D">
        <w:rPr>
          <w:rStyle w:val="FootnoteReference"/>
          <w:rFonts w:asciiTheme="minorHAnsi" w:hAnsiTheme="minorHAnsi"/>
          <w:i/>
          <w:vertAlign w:val="baseline"/>
        </w:rPr>
        <w:t xml:space="preserve"> de </w:t>
      </w:r>
      <w:proofErr w:type="spellStart"/>
      <w:r w:rsidRPr="00AE2E4D">
        <w:rPr>
          <w:rStyle w:val="FootnoteReference"/>
          <w:rFonts w:asciiTheme="minorHAnsi" w:hAnsiTheme="minorHAnsi"/>
          <w:i/>
          <w:vertAlign w:val="baseline"/>
        </w:rPr>
        <w:t>Seguros</w:t>
      </w:r>
      <w:proofErr w:type="spellEnd"/>
      <w:r w:rsidRPr="00AE2E4D">
        <w:rPr>
          <w:rStyle w:val="FootnoteReference"/>
          <w:rFonts w:asciiTheme="minorHAnsi" w:hAnsiTheme="minorHAnsi"/>
          <w:i/>
          <w:vertAlign w:val="baseline"/>
        </w:rPr>
        <w:t xml:space="preserve"> e </w:t>
      </w:r>
      <w:proofErr w:type="spellStart"/>
      <w:r w:rsidRPr="00AE2E4D">
        <w:rPr>
          <w:rStyle w:val="FootnoteReference"/>
          <w:rFonts w:asciiTheme="minorHAnsi" w:hAnsiTheme="minorHAnsi"/>
          <w:i/>
          <w:vertAlign w:val="baseline"/>
        </w:rPr>
        <w:t>Afins</w:t>
      </w:r>
      <w:proofErr w:type="spellEnd"/>
      <w:r w:rsidRPr="00AE2E4D">
        <w:rPr>
          <w:rStyle w:val="FootnoteReference"/>
          <w:rFonts w:asciiTheme="minorHAnsi" w:hAnsiTheme="minorHAnsi"/>
          <w:vertAlign w:val="baseline"/>
        </w:rPr>
        <w:t xml:space="preserve">, order of 26 June 2014; C-665/13 </w:t>
      </w:r>
      <w:proofErr w:type="spellStart"/>
      <w:r w:rsidRPr="00AE2E4D">
        <w:rPr>
          <w:rStyle w:val="FootnoteReference"/>
          <w:rFonts w:asciiTheme="minorHAnsi" w:hAnsiTheme="minorHAnsi"/>
          <w:i/>
          <w:vertAlign w:val="baseline"/>
        </w:rPr>
        <w:t>Sindicato</w:t>
      </w:r>
      <w:proofErr w:type="spellEnd"/>
      <w:r w:rsidRPr="00AE2E4D">
        <w:rPr>
          <w:rStyle w:val="FootnoteReference"/>
          <w:rFonts w:asciiTheme="minorHAnsi" w:hAnsiTheme="minorHAnsi"/>
          <w:i/>
          <w:vertAlign w:val="baseline"/>
        </w:rPr>
        <w:t xml:space="preserve"> Nacional dos </w:t>
      </w:r>
      <w:proofErr w:type="spellStart"/>
      <w:r w:rsidRPr="00AE2E4D">
        <w:rPr>
          <w:rStyle w:val="FootnoteReference"/>
          <w:rFonts w:asciiTheme="minorHAnsi" w:hAnsiTheme="minorHAnsi"/>
          <w:i/>
          <w:vertAlign w:val="baseline"/>
        </w:rPr>
        <w:t>Profissionais</w:t>
      </w:r>
      <w:proofErr w:type="spellEnd"/>
      <w:r w:rsidRPr="00AE2E4D">
        <w:rPr>
          <w:rStyle w:val="FootnoteReference"/>
          <w:rFonts w:asciiTheme="minorHAnsi" w:hAnsiTheme="minorHAnsi"/>
          <w:i/>
          <w:vertAlign w:val="baseline"/>
        </w:rPr>
        <w:t xml:space="preserve"> de </w:t>
      </w:r>
      <w:proofErr w:type="spellStart"/>
      <w:r w:rsidRPr="00AE2E4D">
        <w:rPr>
          <w:rStyle w:val="FootnoteReference"/>
          <w:rFonts w:asciiTheme="minorHAnsi" w:hAnsiTheme="minorHAnsi"/>
          <w:i/>
          <w:vertAlign w:val="baseline"/>
        </w:rPr>
        <w:t>Seguros</w:t>
      </w:r>
      <w:proofErr w:type="spellEnd"/>
      <w:r w:rsidRPr="00AE2E4D">
        <w:rPr>
          <w:rStyle w:val="FootnoteReference"/>
          <w:rFonts w:asciiTheme="minorHAnsi" w:hAnsiTheme="minorHAnsi"/>
          <w:i/>
          <w:vertAlign w:val="baseline"/>
        </w:rPr>
        <w:t xml:space="preserve"> e </w:t>
      </w:r>
      <w:proofErr w:type="spellStart"/>
      <w:r w:rsidRPr="00AE2E4D">
        <w:rPr>
          <w:rStyle w:val="FootnoteReference"/>
          <w:rFonts w:asciiTheme="minorHAnsi" w:hAnsiTheme="minorHAnsi"/>
          <w:i/>
          <w:vertAlign w:val="baseline"/>
        </w:rPr>
        <w:t>Afins</w:t>
      </w:r>
      <w:proofErr w:type="spellEnd"/>
      <w:r w:rsidRPr="00AE2E4D">
        <w:rPr>
          <w:rStyle w:val="FootnoteReference"/>
          <w:rFonts w:asciiTheme="minorHAnsi" w:hAnsiTheme="minorHAnsi"/>
          <w:vertAlign w:val="baseline"/>
        </w:rPr>
        <w:t>, order of 21 Oct</w:t>
      </w:r>
      <w:r w:rsidRPr="00AE2E4D">
        <w:rPr>
          <w:rStyle w:val="FootnoteReference"/>
          <w:rFonts w:asciiTheme="minorHAnsi" w:hAnsiTheme="minorHAnsi"/>
          <w:vertAlign w:val="baseline"/>
        </w:rPr>
        <w:t>o</w:t>
      </w:r>
      <w:r w:rsidRPr="00AE2E4D">
        <w:rPr>
          <w:rStyle w:val="FootnoteReference"/>
          <w:rFonts w:asciiTheme="minorHAnsi" w:hAnsiTheme="minorHAnsi"/>
          <w:vertAlign w:val="baseline"/>
        </w:rPr>
        <w:t xml:space="preserve">ber 2014. In all these cases the Court claimed the lack of a link to EU law, even when the MoU conditions had been implemented into a Council decision. See further C Barnard, ‘The Charter, the Court—and the Crisis’ (2013) University of Cambridge Faculty of Law Research Paper; A </w:t>
      </w:r>
      <w:proofErr w:type="spellStart"/>
      <w:r w:rsidRPr="00AE2E4D">
        <w:rPr>
          <w:rStyle w:val="FootnoteReference"/>
          <w:rFonts w:asciiTheme="minorHAnsi" w:hAnsiTheme="minorHAnsi"/>
          <w:vertAlign w:val="baseline"/>
        </w:rPr>
        <w:t>Hinarejos</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The Euro Area Crisis in Constitutional Perspective</w:t>
      </w:r>
      <w:r w:rsidRPr="00AE2E4D">
        <w:rPr>
          <w:rStyle w:val="FootnoteReference"/>
          <w:rFonts w:asciiTheme="minorHAnsi" w:hAnsiTheme="minorHAnsi"/>
          <w:vertAlign w:val="baseline"/>
        </w:rPr>
        <w:t xml:space="preserve"> (OUP, Oxford 2015) 121 and </w:t>
      </w:r>
      <w:proofErr w:type="spellStart"/>
      <w:r w:rsidRPr="00AE2E4D">
        <w:rPr>
          <w:rStyle w:val="FootnoteReference"/>
          <w:rFonts w:asciiTheme="minorHAnsi" w:hAnsiTheme="minorHAnsi"/>
          <w:vertAlign w:val="baseline"/>
        </w:rPr>
        <w:t>ff</w:t>
      </w:r>
      <w:proofErr w:type="spellEnd"/>
      <w:r w:rsidRPr="00AE2E4D">
        <w:rPr>
          <w:rStyle w:val="FootnoteReference"/>
          <w:rFonts w:asciiTheme="minorHAnsi" w:hAnsiTheme="minorHAnsi"/>
          <w:vertAlign w:val="baseline"/>
        </w:rPr>
        <w:t>; D Sarmiento, ‘Who’s afraid of the Charter? The Court of Justice, National Courts and the New Framework of Fundamental Rights Protection in Europe’ (2013) 50 CML Rev 1267, 1273 and ff.</w:t>
      </w:r>
    </w:p>
  </w:footnote>
  <w:footnote w:id="116">
    <w:p w14:paraId="38F18889" w14:textId="77777777" w:rsidR="00746868" w:rsidRPr="00AE2E4D" w:rsidRDefault="00746868" w:rsidP="00AE2E4D">
      <w:pPr>
        <w:pStyle w:val="FootnoteText"/>
        <w:rPr>
          <w:rFonts w:asciiTheme="minorHAnsi" w:hAnsiTheme="minorHAnsi"/>
        </w:rPr>
      </w:pPr>
      <w:r w:rsidRPr="00AE2E4D">
        <w:rPr>
          <w:rStyle w:val="FootnoteReference"/>
          <w:rFonts w:asciiTheme="minorHAnsi" w:hAnsiTheme="minorHAnsi"/>
        </w:rPr>
        <w:footnoteRef/>
      </w:r>
      <w:r w:rsidRPr="00AE2E4D">
        <w:rPr>
          <w:rFonts w:asciiTheme="minorHAnsi" w:hAnsiTheme="minorHAnsi"/>
        </w:rPr>
        <w:t xml:space="preserve"> Also under Balance-of-Payments (</w:t>
      </w:r>
      <w:proofErr w:type="spellStart"/>
      <w:r w:rsidRPr="00AE2E4D">
        <w:rPr>
          <w:rFonts w:asciiTheme="minorHAnsi" w:hAnsiTheme="minorHAnsi"/>
        </w:rPr>
        <w:t>BoP</w:t>
      </w:r>
      <w:proofErr w:type="spellEnd"/>
      <w:r w:rsidRPr="00AE2E4D">
        <w:rPr>
          <w:rFonts w:asciiTheme="minorHAnsi" w:hAnsiTheme="minorHAnsi"/>
        </w:rPr>
        <w:t>) assistance, which may be granted by the EU to non-euro countries under Art 143 TFEU and Council Regulation (EC) No 332/2002.</w:t>
      </w:r>
    </w:p>
  </w:footnote>
  <w:footnote w:id="117">
    <w:p w14:paraId="250FBFDF" w14:textId="744BD1C4"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r w:rsidRPr="00AE2E4D">
        <w:rPr>
          <w:rFonts w:asciiTheme="minorHAnsi" w:hAnsiTheme="minorHAnsi"/>
        </w:rPr>
        <w:t>In the Portuguese cases, the MoU had been negotiated by Portugal in order to gain access to EFSF, EFSM, and IMF financial assistance. A Council Decision was necessary in order to grant the EFSM assistance; a further Council Decision implemented the contents of the MoU: Council I</w:t>
      </w:r>
      <w:r w:rsidRPr="00AE2E4D">
        <w:rPr>
          <w:rFonts w:asciiTheme="minorHAnsi" w:hAnsiTheme="minorHAnsi"/>
        </w:rPr>
        <w:t>m</w:t>
      </w:r>
      <w:r w:rsidRPr="00AE2E4D">
        <w:rPr>
          <w:rFonts w:asciiTheme="minorHAnsi" w:hAnsiTheme="minorHAnsi"/>
        </w:rPr>
        <w:t xml:space="preserve">plementing Decision 2011/344/EU on granting financial aid to Portugal, OJ [2011] 159/88. The existence of a Council Decision was not enough to bring the national measures implementing the reforms agreed in the MoU within the scope of EU law. Note that, while the national measures at stake in the first case (C-128/12 </w:t>
      </w:r>
      <w:proofErr w:type="spellStart"/>
      <w:r w:rsidRPr="00AE2E4D">
        <w:rPr>
          <w:rFonts w:asciiTheme="minorHAnsi" w:hAnsiTheme="minorHAnsi"/>
          <w:i/>
        </w:rPr>
        <w:t>Sindicato</w:t>
      </w:r>
      <w:proofErr w:type="spellEnd"/>
      <w:r w:rsidRPr="00AE2E4D">
        <w:rPr>
          <w:rFonts w:asciiTheme="minorHAnsi" w:hAnsiTheme="minorHAnsi"/>
          <w:i/>
        </w:rPr>
        <w:t xml:space="preserve"> dos </w:t>
      </w:r>
      <w:proofErr w:type="spellStart"/>
      <w:r w:rsidRPr="00AE2E4D">
        <w:rPr>
          <w:rFonts w:asciiTheme="minorHAnsi" w:hAnsiTheme="minorHAnsi"/>
          <w:i/>
        </w:rPr>
        <w:t>Bancários</w:t>
      </w:r>
      <w:proofErr w:type="spellEnd"/>
      <w:r w:rsidRPr="00AE2E4D">
        <w:rPr>
          <w:rFonts w:asciiTheme="minorHAnsi" w:hAnsiTheme="minorHAnsi"/>
        </w:rPr>
        <w:t>) were introduced several months before the Council Decision implementing the MoU was adopted, this was different in the two subs</w:t>
      </w:r>
      <w:r w:rsidRPr="00AE2E4D">
        <w:rPr>
          <w:rFonts w:asciiTheme="minorHAnsi" w:hAnsiTheme="minorHAnsi"/>
        </w:rPr>
        <w:t>e</w:t>
      </w:r>
      <w:r w:rsidRPr="00AE2E4D">
        <w:rPr>
          <w:rFonts w:asciiTheme="minorHAnsi" w:hAnsiTheme="minorHAnsi"/>
        </w:rPr>
        <w:t xml:space="preserve">quent cases </w:t>
      </w:r>
      <w:bookmarkStart w:id="47" w:name="Pr_Mt_16963"/>
      <w:r w:rsidRPr="00AE2E4D">
        <w:rPr>
          <w:rFonts w:asciiTheme="minorHAnsi" w:hAnsiTheme="minorHAnsi"/>
        </w:rPr>
        <w:t>(</w:t>
      </w:r>
      <w:bookmarkEnd w:id="47"/>
      <w:r w:rsidRPr="00AE2E4D">
        <w:rPr>
          <w:rFonts w:asciiTheme="minorHAnsi" w:hAnsiTheme="minorHAnsi"/>
        </w:rPr>
        <w:t>C-264/12 and C-665/13). See further D Sarmiento, ‘</w:t>
      </w:r>
      <w:proofErr w:type="gramStart"/>
      <w:r w:rsidRPr="00AE2E4D">
        <w:rPr>
          <w:rFonts w:asciiTheme="minorHAnsi" w:hAnsiTheme="minorHAnsi"/>
        </w:rPr>
        <w:t>Who</w:t>
      </w:r>
      <w:proofErr w:type="gramEnd"/>
      <w:r w:rsidRPr="00AE2E4D">
        <w:rPr>
          <w:rFonts w:asciiTheme="minorHAnsi" w:hAnsiTheme="minorHAnsi"/>
        </w:rPr>
        <w:t xml:space="preserve">’s afraid of the Charter? </w:t>
      </w:r>
      <w:proofErr w:type="gramStart"/>
      <w:r w:rsidRPr="00AE2E4D">
        <w:rPr>
          <w:rFonts w:asciiTheme="minorHAnsi" w:hAnsiTheme="minorHAnsi"/>
        </w:rPr>
        <w:t>The Court of Justice, national courts and the new framework of fundamental rights protection in E</w:t>
      </w:r>
      <w:r w:rsidRPr="00AE2E4D">
        <w:rPr>
          <w:rFonts w:asciiTheme="minorHAnsi" w:hAnsiTheme="minorHAnsi"/>
        </w:rPr>
        <w:t>u</w:t>
      </w:r>
      <w:r w:rsidRPr="00AE2E4D">
        <w:rPr>
          <w:rFonts w:asciiTheme="minorHAnsi" w:hAnsiTheme="minorHAnsi"/>
        </w:rPr>
        <w:t>rope</w:t>
      </w:r>
      <w:bookmarkStart w:id="48" w:name="Pr_Mt_17144"/>
      <w:r w:rsidRPr="00AE2E4D">
        <w:rPr>
          <w:rFonts w:asciiTheme="minorHAnsi" w:hAnsiTheme="minorHAnsi"/>
        </w:rPr>
        <w:t>’</w:t>
      </w:r>
      <w:bookmarkEnd w:id="48"/>
      <w:r w:rsidRPr="00AE2E4D">
        <w:rPr>
          <w:rFonts w:asciiTheme="minorHAnsi" w:hAnsiTheme="minorHAnsi"/>
        </w:rPr>
        <w:t xml:space="preserve"> (2013) 50 CML Rev 1267, 1273 and ff.</w:t>
      </w:r>
      <w:proofErr w:type="gramEnd"/>
      <w:r w:rsidRPr="00AE2E4D">
        <w:rPr>
          <w:rFonts w:asciiTheme="minorHAnsi" w:hAnsiTheme="minorHAnsi"/>
        </w:rPr>
        <w:t xml:space="preserve"> In the Romanian cases cited above, n </w:t>
      </w:r>
      <w:r w:rsidRPr="00AE2E4D">
        <w:rPr>
          <w:rFonts w:asciiTheme="minorHAnsi" w:hAnsiTheme="minorHAnsi"/>
        </w:rPr>
        <w:fldChar w:fldCharType="begin"/>
      </w:r>
      <w:r w:rsidRPr="00AE2E4D">
        <w:rPr>
          <w:rFonts w:asciiTheme="minorHAnsi" w:hAnsiTheme="minorHAnsi"/>
        </w:rPr>
        <w:instrText xml:space="preserve"> NOTEREF _Ref393965798 \h </w:instrText>
      </w:r>
      <w:r w:rsidRPr="00AE2E4D">
        <w:rPr>
          <w:rFonts w:asciiTheme="minorHAnsi" w:hAnsiTheme="minorHAnsi"/>
        </w:rPr>
      </w:r>
      <w:r w:rsidRPr="00AE2E4D">
        <w:rPr>
          <w:rFonts w:asciiTheme="minorHAnsi" w:hAnsiTheme="minorHAnsi"/>
        </w:rPr>
        <w:fldChar w:fldCharType="separate"/>
      </w:r>
      <w:r>
        <w:rPr>
          <w:rFonts w:asciiTheme="minorHAnsi" w:hAnsiTheme="minorHAnsi"/>
        </w:rPr>
        <w:t>114</w:t>
      </w:r>
      <w:r w:rsidRPr="00AE2E4D">
        <w:rPr>
          <w:rFonts w:asciiTheme="minorHAnsi" w:hAnsiTheme="minorHAnsi"/>
        </w:rPr>
        <w:fldChar w:fldCharType="end"/>
      </w:r>
      <w:r w:rsidRPr="00AE2E4D">
        <w:rPr>
          <w:rFonts w:asciiTheme="minorHAnsi" w:hAnsiTheme="minorHAnsi"/>
        </w:rPr>
        <w:t>, there was a Council Decision approving the provision of financial assistance to Romania, albeit that this Decision did not implement the contents of the MoU. The MoU was negotiated in order for R</w:t>
      </w:r>
      <w:r w:rsidRPr="00AE2E4D">
        <w:rPr>
          <w:rFonts w:asciiTheme="minorHAnsi" w:hAnsiTheme="minorHAnsi"/>
        </w:rPr>
        <w:t>o</w:t>
      </w:r>
      <w:r w:rsidRPr="00AE2E4D">
        <w:rPr>
          <w:rFonts w:asciiTheme="minorHAnsi" w:hAnsiTheme="minorHAnsi"/>
        </w:rPr>
        <w:t xml:space="preserve">mania to have access to </w:t>
      </w:r>
      <w:proofErr w:type="spellStart"/>
      <w:proofErr w:type="gramStart"/>
      <w:r w:rsidRPr="00AE2E4D">
        <w:rPr>
          <w:rFonts w:asciiTheme="minorHAnsi" w:hAnsiTheme="minorHAnsi"/>
        </w:rPr>
        <w:t>BoP</w:t>
      </w:r>
      <w:proofErr w:type="spellEnd"/>
      <w:proofErr w:type="gramEnd"/>
      <w:r w:rsidRPr="00AE2E4D">
        <w:rPr>
          <w:rFonts w:asciiTheme="minorHAnsi" w:hAnsiTheme="minorHAnsi"/>
        </w:rPr>
        <w:t xml:space="preserve"> assistance and an IMF stand-by arrangement. Council Decisions were adopted in order to grant the </w:t>
      </w:r>
      <w:proofErr w:type="spellStart"/>
      <w:r w:rsidRPr="00AE2E4D">
        <w:rPr>
          <w:rFonts w:asciiTheme="minorHAnsi" w:hAnsiTheme="minorHAnsi"/>
        </w:rPr>
        <w:t>BoP</w:t>
      </w:r>
      <w:proofErr w:type="spellEnd"/>
      <w:r w:rsidRPr="00AE2E4D">
        <w:rPr>
          <w:rFonts w:asciiTheme="minorHAnsi" w:hAnsiTheme="minorHAnsi"/>
        </w:rPr>
        <w:t xml:space="preserve"> assistance: the latest </w:t>
      </w:r>
      <w:proofErr w:type="spellStart"/>
      <w:r w:rsidRPr="00AE2E4D">
        <w:rPr>
          <w:rFonts w:asciiTheme="minorHAnsi" w:hAnsiTheme="minorHAnsi"/>
        </w:rPr>
        <w:t>installment</w:t>
      </w:r>
      <w:proofErr w:type="spellEnd"/>
      <w:r w:rsidRPr="00AE2E4D">
        <w:rPr>
          <w:rFonts w:asciiTheme="minorHAnsi" w:hAnsiTheme="minorHAnsi"/>
        </w:rPr>
        <w:t xml:space="preserve"> in Council Decision 2013/531/EU of 22 October 2013 providing precautionary Union medium-term financial assi</w:t>
      </w:r>
      <w:r w:rsidRPr="00AE2E4D">
        <w:rPr>
          <w:rFonts w:asciiTheme="minorHAnsi" w:hAnsiTheme="minorHAnsi"/>
        </w:rPr>
        <w:t>s</w:t>
      </w:r>
      <w:r w:rsidRPr="00AE2E4D">
        <w:rPr>
          <w:rFonts w:asciiTheme="minorHAnsi" w:hAnsiTheme="minorHAnsi"/>
        </w:rPr>
        <w:t>tance to Romania. In the first preliminary references concerning the national measures adopted pursuant to this MoU, the Court again found no link to EU law.</w:t>
      </w:r>
    </w:p>
  </w:footnote>
  <w:footnote w:id="118">
    <w:p w14:paraId="68408827" w14:textId="2DF1B055"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Joined Cases C</w:t>
      </w:r>
      <w:r w:rsidRPr="00AE2E4D">
        <w:rPr>
          <w:rStyle w:val="FootnoteReference"/>
          <w:rFonts w:asciiTheme="minorHAnsi" w:hAnsiTheme="minorHAnsi"/>
          <w:vertAlign w:val="baseline"/>
        </w:rPr>
        <w:noBreakHyphen/>
        <w:t>8/15 P to C</w:t>
      </w:r>
      <w:r w:rsidRPr="00AE2E4D">
        <w:rPr>
          <w:rStyle w:val="FootnoteReference"/>
          <w:rFonts w:asciiTheme="minorHAnsi" w:hAnsiTheme="minorHAnsi"/>
          <w:vertAlign w:val="baseline"/>
        </w:rPr>
        <w:noBreakHyphen/>
        <w:t xml:space="preserve">10/15 P, </w:t>
      </w:r>
      <w:proofErr w:type="spellStart"/>
      <w:r w:rsidRPr="00AE2E4D">
        <w:rPr>
          <w:rStyle w:val="FootnoteReference"/>
          <w:rFonts w:asciiTheme="minorHAnsi" w:hAnsiTheme="minorHAnsi"/>
          <w:i/>
          <w:vertAlign w:val="baseline"/>
        </w:rPr>
        <w:t>Ledra</w:t>
      </w:r>
      <w:proofErr w:type="spellEnd"/>
      <w:r w:rsidRPr="00AE2E4D">
        <w:rPr>
          <w:rStyle w:val="FootnoteReference"/>
          <w:rFonts w:asciiTheme="minorHAnsi" w:hAnsiTheme="minorHAnsi"/>
          <w:i/>
          <w:vertAlign w:val="baseline"/>
        </w:rPr>
        <w:t xml:space="preserve"> Advertising</w:t>
      </w:r>
      <w:r w:rsidRPr="00AE2E4D">
        <w:rPr>
          <w:rStyle w:val="FootnoteReference"/>
          <w:rFonts w:asciiTheme="minorHAnsi" w:hAnsiTheme="minorHAnsi"/>
          <w:vertAlign w:val="baseline"/>
        </w:rPr>
        <w:t>, ECLI:EU:C:2016:701; Joined Cases C</w:t>
      </w:r>
      <w:r w:rsidRPr="00AE2E4D">
        <w:rPr>
          <w:rStyle w:val="FootnoteReference"/>
          <w:rFonts w:asciiTheme="minorHAnsi" w:hAnsiTheme="minorHAnsi"/>
          <w:vertAlign w:val="baseline"/>
        </w:rPr>
        <w:noBreakHyphen/>
        <w:t>105/15 P to C</w:t>
      </w:r>
      <w:r w:rsidRPr="00AE2E4D">
        <w:rPr>
          <w:rStyle w:val="FootnoteReference"/>
          <w:rFonts w:asciiTheme="minorHAnsi" w:hAnsiTheme="minorHAnsi"/>
          <w:vertAlign w:val="baseline"/>
        </w:rPr>
        <w:noBreakHyphen/>
        <w:t xml:space="preserve">109/15 P, </w:t>
      </w:r>
      <w:r w:rsidRPr="00AE2E4D">
        <w:rPr>
          <w:rStyle w:val="FootnoteReference"/>
          <w:rFonts w:asciiTheme="minorHAnsi" w:hAnsiTheme="minorHAnsi"/>
          <w:i/>
          <w:vertAlign w:val="baseline"/>
        </w:rPr>
        <w:t>Mallis</w:t>
      </w:r>
      <w:r w:rsidRPr="00AE2E4D">
        <w:rPr>
          <w:rStyle w:val="FootnoteReference"/>
          <w:rFonts w:asciiTheme="minorHAnsi" w:hAnsiTheme="minorHAnsi"/>
          <w:vertAlign w:val="baseline"/>
        </w:rPr>
        <w:t xml:space="preserve">, ECLI:EU:C:2016:702. For analysis, see e.g. R </w:t>
      </w:r>
      <w:proofErr w:type="spellStart"/>
      <w:r w:rsidRPr="00AE2E4D">
        <w:rPr>
          <w:rStyle w:val="FootnoteReference"/>
          <w:rFonts w:asciiTheme="minorHAnsi" w:hAnsiTheme="minorHAnsi"/>
          <w:vertAlign w:val="baseline"/>
        </w:rPr>
        <w:t>Repasi</w:t>
      </w:r>
      <w:proofErr w:type="spellEnd"/>
      <w:r w:rsidRPr="00AE2E4D">
        <w:rPr>
          <w:rStyle w:val="FootnoteReference"/>
          <w:rFonts w:asciiTheme="minorHAnsi" w:hAnsiTheme="minorHAnsi"/>
          <w:vertAlign w:val="baseline"/>
        </w:rPr>
        <w:t xml:space="preserve">, ‘Judicial protection against austerity measures in the euro area: </w:t>
      </w:r>
      <w:proofErr w:type="spellStart"/>
      <w:r w:rsidRPr="00AE2E4D">
        <w:rPr>
          <w:rStyle w:val="FootnoteReference"/>
          <w:rFonts w:asciiTheme="minorHAnsi" w:hAnsiTheme="minorHAnsi"/>
          <w:vertAlign w:val="baseline"/>
        </w:rPr>
        <w:t>Ledra</w:t>
      </w:r>
      <w:proofErr w:type="spellEnd"/>
      <w:r w:rsidRPr="00AE2E4D">
        <w:rPr>
          <w:rStyle w:val="FootnoteReference"/>
          <w:rFonts w:asciiTheme="minorHAnsi" w:hAnsiTheme="minorHAnsi"/>
          <w:vertAlign w:val="baseline"/>
        </w:rPr>
        <w:t xml:space="preserve"> and Mallis’ (2017) 54 </w:t>
      </w:r>
      <w:proofErr w:type="spellStart"/>
      <w:r w:rsidRPr="00AE2E4D">
        <w:rPr>
          <w:rStyle w:val="FootnoteReference"/>
          <w:rFonts w:asciiTheme="minorHAnsi" w:hAnsiTheme="minorHAnsi"/>
          <w:vertAlign w:val="baseline"/>
        </w:rPr>
        <w:t>CMLRev</w:t>
      </w:r>
      <w:proofErr w:type="spellEnd"/>
      <w:r w:rsidRPr="00AE2E4D">
        <w:rPr>
          <w:rStyle w:val="FootnoteReference"/>
          <w:rFonts w:asciiTheme="minorHAnsi" w:hAnsiTheme="minorHAnsi"/>
          <w:vertAlign w:val="baseline"/>
        </w:rPr>
        <w:t xml:space="preserve"> 1123; S </w:t>
      </w:r>
      <w:proofErr w:type="spellStart"/>
      <w:r w:rsidRPr="00AE2E4D">
        <w:rPr>
          <w:rStyle w:val="FootnoteReference"/>
          <w:rFonts w:asciiTheme="minorHAnsi" w:hAnsiTheme="minorHAnsi"/>
          <w:vertAlign w:val="baseline"/>
        </w:rPr>
        <w:t>Laulhé</w:t>
      </w:r>
      <w:proofErr w:type="spellEnd"/>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Shaelou</w:t>
      </w:r>
      <w:proofErr w:type="spellEnd"/>
      <w:r w:rsidRPr="00AE2E4D">
        <w:rPr>
          <w:rStyle w:val="FootnoteReference"/>
          <w:rFonts w:asciiTheme="minorHAnsi" w:hAnsiTheme="minorHAnsi"/>
          <w:vertAlign w:val="baseline"/>
        </w:rPr>
        <w:t xml:space="preserve">, A </w:t>
      </w:r>
      <w:proofErr w:type="spellStart"/>
      <w:r w:rsidRPr="00AE2E4D">
        <w:rPr>
          <w:rStyle w:val="FootnoteReference"/>
          <w:rFonts w:asciiTheme="minorHAnsi" w:hAnsiTheme="minorHAnsi"/>
          <w:vertAlign w:val="baseline"/>
        </w:rPr>
        <w:t>Karatzia</w:t>
      </w:r>
      <w:proofErr w:type="spellEnd"/>
      <w:r w:rsidRPr="00AE2E4D">
        <w:rPr>
          <w:rStyle w:val="FootnoteReference"/>
          <w:rFonts w:asciiTheme="minorHAnsi" w:hAnsiTheme="minorHAnsi"/>
          <w:vertAlign w:val="baseline"/>
        </w:rPr>
        <w:t xml:space="preserve">, ‘Some preliminary thoughts on the Cyprus bail-in litigation: a commentary on Mallis and </w:t>
      </w:r>
      <w:proofErr w:type="spellStart"/>
      <w:r w:rsidRPr="00AE2E4D">
        <w:rPr>
          <w:rStyle w:val="FootnoteReference"/>
          <w:rFonts w:asciiTheme="minorHAnsi" w:hAnsiTheme="minorHAnsi"/>
          <w:vertAlign w:val="baseline"/>
        </w:rPr>
        <w:t>Ledra</w:t>
      </w:r>
      <w:proofErr w:type="spellEnd"/>
      <w:r w:rsidRPr="00AE2E4D">
        <w:rPr>
          <w:rStyle w:val="FootnoteReference"/>
          <w:rFonts w:asciiTheme="minorHAnsi" w:hAnsiTheme="minorHAnsi"/>
          <w:vertAlign w:val="baseline"/>
        </w:rPr>
        <w:t xml:space="preserve">’ (2018) 43 </w:t>
      </w:r>
      <w:proofErr w:type="spellStart"/>
      <w:r w:rsidRPr="00AE2E4D">
        <w:rPr>
          <w:rStyle w:val="FootnoteReference"/>
          <w:rFonts w:asciiTheme="minorHAnsi" w:hAnsiTheme="minorHAnsi"/>
          <w:vertAlign w:val="baseline"/>
        </w:rPr>
        <w:t>ELRev</w:t>
      </w:r>
      <w:proofErr w:type="spellEnd"/>
      <w:r w:rsidRPr="00AE2E4D">
        <w:rPr>
          <w:rStyle w:val="FootnoteReference"/>
          <w:rFonts w:asciiTheme="minorHAnsi" w:hAnsiTheme="minorHAnsi"/>
          <w:vertAlign w:val="baseline"/>
        </w:rPr>
        <w:t xml:space="preserve"> 249.</w:t>
      </w:r>
    </w:p>
  </w:footnote>
  <w:footnote w:id="119">
    <w:p w14:paraId="4E5C8067"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Case C-258/14, </w:t>
      </w:r>
      <w:proofErr w:type="spellStart"/>
      <w:r w:rsidRPr="00AE2E4D">
        <w:rPr>
          <w:rStyle w:val="FootnoteReference"/>
          <w:rFonts w:asciiTheme="minorHAnsi" w:hAnsiTheme="minorHAnsi"/>
          <w:i/>
          <w:vertAlign w:val="baseline"/>
        </w:rPr>
        <w:t>Florescu</w:t>
      </w:r>
      <w:proofErr w:type="spellEnd"/>
      <w:r w:rsidRPr="00AE2E4D">
        <w:rPr>
          <w:rStyle w:val="FootnoteReference"/>
          <w:rFonts w:asciiTheme="minorHAnsi" w:hAnsiTheme="minorHAnsi"/>
          <w:i/>
          <w:vertAlign w:val="baseline"/>
        </w:rPr>
        <w:t xml:space="preserve"> and others,</w:t>
      </w:r>
      <w:r w:rsidRPr="00AE2E4D">
        <w:rPr>
          <w:rStyle w:val="FootnoteReference"/>
          <w:rFonts w:asciiTheme="minorHAnsi" w:hAnsiTheme="minorHAnsi"/>
          <w:vertAlign w:val="baseline"/>
        </w:rPr>
        <w:t xml:space="preserve"> ECLI:EU:C:2017:448.</w:t>
      </w:r>
    </w:p>
  </w:footnote>
  <w:footnote w:id="120">
    <w:p w14:paraId="79FD2781" w14:textId="50181199"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i/>
          <w:vertAlign w:val="baseline"/>
        </w:rPr>
        <w:t>Ledra</w:t>
      </w:r>
      <w:proofErr w:type="spellEnd"/>
      <w:r w:rsidRPr="00AE2E4D">
        <w:rPr>
          <w:rStyle w:val="FootnoteReference"/>
          <w:rFonts w:asciiTheme="minorHAnsi" w:hAnsiTheme="minorHAnsi"/>
          <w:i/>
          <w:vertAlign w:val="baseline"/>
        </w:rPr>
        <w:t xml:space="preserve"> Advertising</w:t>
      </w:r>
      <w:r w:rsidRPr="00AE2E4D">
        <w:rPr>
          <w:rStyle w:val="FootnoteReference"/>
          <w:rFonts w:asciiTheme="minorHAnsi" w:hAnsiTheme="minorHAnsi"/>
          <w:vertAlign w:val="baseline"/>
        </w:rPr>
        <w:t xml:space="preserve">, n </w:t>
      </w:r>
      <w:r w:rsidRPr="00AE2E4D">
        <w:rPr>
          <w:rStyle w:val="FootnoteReference"/>
          <w:rFonts w:asciiTheme="minorHAnsi" w:hAnsiTheme="minorHAnsi"/>
          <w:vertAlign w:val="baseline"/>
        </w:rPr>
        <w:fldChar w:fldCharType="begin"/>
      </w:r>
      <w:r w:rsidRPr="00AE2E4D">
        <w:rPr>
          <w:rStyle w:val="FootnoteReference"/>
          <w:rFonts w:asciiTheme="minorHAnsi" w:hAnsiTheme="minorHAnsi"/>
          <w:vertAlign w:val="baseline"/>
        </w:rPr>
        <w:instrText xml:space="preserve"> NOTEREF _Ref395789914 \h </w:instrText>
      </w:r>
      <w:r w:rsidRPr="00AE2E4D">
        <w:rPr>
          <w:rStyle w:val="FootnoteReference"/>
          <w:rFonts w:asciiTheme="minorHAnsi" w:hAnsiTheme="minorHAnsi"/>
          <w:vertAlign w:val="baseline"/>
        </w:rPr>
      </w:r>
      <w:r w:rsidRPr="00AE2E4D">
        <w:rPr>
          <w:rStyle w:val="FootnoteReference"/>
          <w:rFonts w:asciiTheme="minorHAnsi" w:hAnsiTheme="minorHAnsi"/>
          <w:vertAlign w:val="baseline"/>
        </w:rPr>
        <w:fldChar w:fldCharType="separate"/>
      </w:r>
      <w:r>
        <w:rPr>
          <w:rStyle w:val="FootnoteReference"/>
          <w:rFonts w:asciiTheme="minorHAnsi" w:hAnsiTheme="minorHAnsi"/>
          <w:vertAlign w:val="baseline"/>
        </w:rPr>
        <w:t>117</w:t>
      </w:r>
      <w:r w:rsidRPr="00AE2E4D">
        <w:rPr>
          <w:rStyle w:val="FootnoteReference"/>
          <w:rFonts w:asciiTheme="minorHAnsi" w:hAnsiTheme="minorHAnsi"/>
          <w:vertAlign w:val="baseline"/>
        </w:rPr>
        <w:fldChar w:fldCharType="end"/>
      </w:r>
      <w:r w:rsidRPr="00AE2E4D">
        <w:rPr>
          <w:rStyle w:val="FootnoteReference"/>
          <w:rFonts w:asciiTheme="minorHAnsi" w:hAnsiTheme="minorHAnsi"/>
          <w:vertAlign w:val="baseline"/>
        </w:rPr>
        <w:t>; C Kilpatrick, ‘Are the bailouts immune to EU social challenge b</w:t>
      </w:r>
      <w:r w:rsidRPr="00AE2E4D">
        <w:rPr>
          <w:rStyle w:val="FootnoteReference"/>
          <w:rFonts w:asciiTheme="minorHAnsi" w:hAnsiTheme="minorHAnsi"/>
          <w:vertAlign w:val="baseline"/>
        </w:rPr>
        <w:t>e</w:t>
      </w:r>
      <w:r w:rsidRPr="00AE2E4D">
        <w:rPr>
          <w:rStyle w:val="FootnoteReference"/>
          <w:rFonts w:asciiTheme="minorHAnsi" w:hAnsiTheme="minorHAnsi"/>
          <w:vertAlign w:val="baseline"/>
        </w:rPr>
        <w:t xml:space="preserve">cause they are not EU law?’ [2014] 10 </w:t>
      </w:r>
      <w:proofErr w:type="spellStart"/>
      <w:r w:rsidRPr="00AE2E4D">
        <w:rPr>
          <w:rStyle w:val="FootnoteReference"/>
          <w:rFonts w:asciiTheme="minorHAnsi" w:hAnsiTheme="minorHAnsi"/>
          <w:vertAlign w:val="baseline"/>
        </w:rPr>
        <w:t>EuConst</w:t>
      </w:r>
      <w:proofErr w:type="spellEnd"/>
      <w:r w:rsidRPr="00AE2E4D">
        <w:rPr>
          <w:rStyle w:val="FootnoteReference"/>
          <w:rFonts w:asciiTheme="minorHAnsi" w:hAnsiTheme="minorHAnsi"/>
          <w:vertAlign w:val="baseline"/>
        </w:rPr>
        <w:t xml:space="preserve"> 393–421, 398–407; M Markakis and P </w:t>
      </w:r>
      <w:proofErr w:type="spellStart"/>
      <w:r w:rsidRPr="00AE2E4D">
        <w:rPr>
          <w:rStyle w:val="FootnoteReference"/>
          <w:rFonts w:asciiTheme="minorHAnsi" w:hAnsiTheme="minorHAnsi"/>
          <w:vertAlign w:val="baseline"/>
        </w:rPr>
        <w:t>Dermine</w:t>
      </w:r>
      <w:proofErr w:type="spellEnd"/>
      <w:r w:rsidRPr="00AE2E4D">
        <w:rPr>
          <w:rStyle w:val="FootnoteReference"/>
          <w:rFonts w:asciiTheme="minorHAnsi" w:hAnsiTheme="minorHAnsi"/>
          <w:vertAlign w:val="baseline"/>
        </w:rPr>
        <w:t xml:space="preserve">, ‘Bailouts, the legal status of Memoranda of Understanding, and the scope of application of the EU Charter: </w:t>
      </w:r>
      <w:proofErr w:type="spellStart"/>
      <w:r w:rsidRPr="00AE2E4D">
        <w:rPr>
          <w:rStyle w:val="FootnoteReference"/>
          <w:rFonts w:asciiTheme="minorHAnsi" w:hAnsiTheme="minorHAnsi"/>
          <w:vertAlign w:val="baseline"/>
        </w:rPr>
        <w:t>Florescu</w:t>
      </w:r>
      <w:proofErr w:type="spellEnd"/>
      <w:r w:rsidRPr="00AE2E4D">
        <w:rPr>
          <w:rStyle w:val="FootnoteReference"/>
          <w:rFonts w:asciiTheme="minorHAnsi" w:hAnsiTheme="minorHAnsi"/>
          <w:vertAlign w:val="baseline"/>
        </w:rPr>
        <w:t xml:space="preserve">’ [2018] 55 </w:t>
      </w:r>
      <w:proofErr w:type="spellStart"/>
      <w:r w:rsidRPr="00AE2E4D">
        <w:rPr>
          <w:rStyle w:val="FootnoteReference"/>
          <w:rFonts w:asciiTheme="minorHAnsi" w:hAnsiTheme="minorHAnsi"/>
          <w:vertAlign w:val="baseline"/>
        </w:rPr>
        <w:t>CMLRev</w:t>
      </w:r>
      <w:proofErr w:type="spellEnd"/>
      <w:r w:rsidRPr="00AE2E4D">
        <w:rPr>
          <w:rStyle w:val="FootnoteReference"/>
          <w:rFonts w:asciiTheme="minorHAnsi" w:hAnsiTheme="minorHAnsi"/>
          <w:vertAlign w:val="baseline"/>
        </w:rPr>
        <w:t xml:space="preserve"> 643, 651.</w:t>
      </w:r>
    </w:p>
  </w:footnote>
  <w:footnote w:id="121">
    <w:p w14:paraId="2EC12CF6" w14:textId="77777777" w:rsidR="005815B5" w:rsidRPr="00AE2E4D" w:rsidRDefault="005815B5" w:rsidP="005815B5">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See Case C-64/16, </w:t>
      </w:r>
      <w:proofErr w:type="spellStart"/>
      <w:r w:rsidRPr="00AE2E4D">
        <w:rPr>
          <w:rStyle w:val="FootnoteReference"/>
          <w:rFonts w:asciiTheme="minorHAnsi" w:hAnsiTheme="minorHAnsi"/>
          <w:i/>
          <w:vertAlign w:val="baseline"/>
        </w:rPr>
        <w:t>Associação</w:t>
      </w:r>
      <w:proofErr w:type="spellEnd"/>
      <w:r w:rsidRPr="00AE2E4D">
        <w:rPr>
          <w:rStyle w:val="FootnoteReference"/>
          <w:rFonts w:asciiTheme="minorHAnsi" w:hAnsiTheme="minorHAnsi"/>
          <w:i/>
          <w:vertAlign w:val="baseline"/>
        </w:rPr>
        <w:t xml:space="preserve"> </w:t>
      </w:r>
      <w:proofErr w:type="spellStart"/>
      <w:r w:rsidRPr="00AE2E4D">
        <w:rPr>
          <w:rStyle w:val="FootnoteReference"/>
          <w:rFonts w:asciiTheme="minorHAnsi" w:hAnsiTheme="minorHAnsi"/>
          <w:i/>
          <w:vertAlign w:val="baseline"/>
        </w:rPr>
        <w:t>Sindical</w:t>
      </w:r>
      <w:proofErr w:type="spellEnd"/>
      <w:r w:rsidRPr="00AE2E4D">
        <w:rPr>
          <w:rStyle w:val="FootnoteReference"/>
          <w:rFonts w:asciiTheme="minorHAnsi" w:hAnsiTheme="minorHAnsi"/>
          <w:i/>
          <w:vertAlign w:val="baseline"/>
        </w:rPr>
        <w:t xml:space="preserve"> dos </w:t>
      </w:r>
      <w:proofErr w:type="spellStart"/>
      <w:r w:rsidRPr="00AE2E4D">
        <w:rPr>
          <w:rStyle w:val="FootnoteReference"/>
          <w:rFonts w:asciiTheme="minorHAnsi" w:hAnsiTheme="minorHAnsi"/>
          <w:i/>
          <w:vertAlign w:val="baseline"/>
        </w:rPr>
        <w:t>Juízes</w:t>
      </w:r>
      <w:proofErr w:type="spellEnd"/>
      <w:r w:rsidRPr="00AE2E4D">
        <w:rPr>
          <w:rStyle w:val="FootnoteReference"/>
          <w:rFonts w:asciiTheme="minorHAnsi" w:hAnsiTheme="minorHAnsi"/>
          <w:i/>
          <w:vertAlign w:val="baseline"/>
        </w:rPr>
        <w:t xml:space="preserve"> </w:t>
      </w:r>
      <w:proofErr w:type="spellStart"/>
      <w:r w:rsidRPr="00AE2E4D">
        <w:rPr>
          <w:rStyle w:val="FootnoteReference"/>
          <w:rFonts w:asciiTheme="minorHAnsi" w:hAnsiTheme="minorHAnsi"/>
          <w:i/>
          <w:vertAlign w:val="baseline"/>
        </w:rPr>
        <w:t>Portugueses</w:t>
      </w:r>
      <w:proofErr w:type="spellEnd"/>
      <w:r w:rsidRPr="00AE2E4D">
        <w:rPr>
          <w:rStyle w:val="FootnoteReference"/>
          <w:rFonts w:asciiTheme="minorHAnsi" w:hAnsiTheme="minorHAnsi"/>
          <w:vertAlign w:val="baseline"/>
        </w:rPr>
        <w:t>, ECLI:EU:C:2018:117.</w:t>
      </w:r>
    </w:p>
  </w:footnote>
  <w:footnote w:id="122">
    <w:p w14:paraId="0FF7BDBC" w14:textId="77777777" w:rsidR="005815B5" w:rsidRPr="00AE2E4D" w:rsidRDefault="005815B5" w:rsidP="005815B5">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Council Decisions adopted pursuant to the relevant Excessive Deficit Procedure or the Two-Pack legislation: M </w:t>
      </w:r>
      <w:proofErr w:type="spellStart"/>
      <w:r w:rsidRPr="00AE2E4D">
        <w:rPr>
          <w:rStyle w:val="FootnoteReference"/>
          <w:rFonts w:asciiTheme="minorHAnsi" w:hAnsiTheme="minorHAnsi"/>
          <w:vertAlign w:val="baseline"/>
        </w:rPr>
        <w:t>Markakis</w:t>
      </w:r>
      <w:proofErr w:type="spellEnd"/>
      <w:r w:rsidRPr="00AE2E4D">
        <w:rPr>
          <w:rStyle w:val="FootnoteReference"/>
          <w:rFonts w:asciiTheme="minorHAnsi" w:hAnsiTheme="minorHAnsi"/>
          <w:vertAlign w:val="baseline"/>
        </w:rPr>
        <w:t xml:space="preserve"> and P </w:t>
      </w:r>
      <w:proofErr w:type="spellStart"/>
      <w:r w:rsidRPr="00AE2E4D">
        <w:rPr>
          <w:rStyle w:val="FootnoteReference"/>
          <w:rFonts w:asciiTheme="minorHAnsi" w:hAnsiTheme="minorHAnsi"/>
          <w:vertAlign w:val="baseline"/>
        </w:rPr>
        <w:t>Dermine</w:t>
      </w:r>
      <w:proofErr w:type="spellEnd"/>
      <w:r w:rsidRPr="00AE2E4D">
        <w:rPr>
          <w:rStyle w:val="FootnoteReference"/>
          <w:rFonts w:asciiTheme="minorHAnsi" w:hAnsiTheme="minorHAnsi"/>
          <w:vertAlign w:val="baseline"/>
        </w:rPr>
        <w:t>, ‘Bailouts, the legal status of Memoranda of Unde</w:t>
      </w:r>
      <w:r w:rsidRPr="00AE2E4D">
        <w:rPr>
          <w:rStyle w:val="FootnoteReference"/>
          <w:rFonts w:asciiTheme="minorHAnsi" w:hAnsiTheme="minorHAnsi"/>
          <w:vertAlign w:val="baseline"/>
        </w:rPr>
        <w:t>r</w:t>
      </w:r>
      <w:r w:rsidRPr="00AE2E4D">
        <w:rPr>
          <w:rStyle w:val="FootnoteReference"/>
          <w:rFonts w:asciiTheme="minorHAnsi" w:hAnsiTheme="minorHAnsi"/>
          <w:vertAlign w:val="baseline"/>
        </w:rPr>
        <w:t xml:space="preserve">standing, and the scope of application of the EU Charter: </w:t>
      </w:r>
      <w:proofErr w:type="spellStart"/>
      <w:r w:rsidRPr="00AE2E4D">
        <w:rPr>
          <w:rStyle w:val="FootnoteReference"/>
          <w:rFonts w:asciiTheme="minorHAnsi" w:hAnsiTheme="minorHAnsi"/>
          <w:vertAlign w:val="baseline"/>
        </w:rPr>
        <w:t>Florescu</w:t>
      </w:r>
      <w:proofErr w:type="spellEnd"/>
      <w:r w:rsidRPr="00AE2E4D">
        <w:rPr>
          <w:rStyle w:val="FootnoteReference"/>
          <w:rFonts w:asciiTheme="minorHAnsi" w:hAnsiTheme="minorHAnsi"/>
          <w:vertAlign w:val="baseline"/>
        </w:rPr>
        <w:t xml:space="preserve">’ [2018] 55 </w:t>
      </w:r>
      <w:proofErr w:type="spellStart"/>
      <w:r w:rsidRPr="00AE2E4D">
        <w:rPr>
          <w:rStyle w:val="FootnoteReference"/>
          <w:rFonts w:asciiTheme="minorHAnsi" w:hAnsiTheme="minorHAnsi"/>
          <w:vertAlign w:val="baseline"/>
        </w:rPr>
        <w:t>CMLRev</w:t>
      </w:r>
      <w:proofErr w:type="spellEnd"/>
      <w:r w:rsidRPr="00AE2E4D">
        <w:rPr>
          <w:rStyle w:val="FootnoteReference"/>
          <w:rFonts w:asciiTheme="minorHAnsi" w:hAnsiTheme="minorHAnsi"/>
          <w:vertAlign w:val="baseline"/>
        </w:rPr>
        <w:t xml:space="preserve"> 643, 651, 654-55.</w:t>
      </w:r>
    </w:p>
  </w:footnote>
  <w:footnote w:id="123">
    <w:p w14:paraId="36426457" w14:textId="77777777" w:rsidR="005815B5" w:rsidRPr="00AE2E4D" w:rsidRDefault="005815B5" w:rsidP="005815B5">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i/>
          <w:vertAlign w:val="baseline"/>
        </w:rPr>
        <w:t>Ledra</w:t>
      </w:r>
      <w:proofErr w:type="spellEnd"/>
      <w:r w:rsidRPr="00AE2E4D">
        <w:rPr>
          <w:rStyle w:val="FootnoteReference"/>
          <w:rFonts w:asciiTheme="minorHAnsi" w:hAnsiTheme="minorHAnsi"/>
          <w:i/>
          <w:vertAlign w:val="baseline"/>
        </w:rPr>
        <w:t xml:space="preserve"> Advertising</w:t>
      </w:r>
      <w:r w:rsidRPr="00AE2E4D">
        <w:rPr>
          <w:rStyle w:val="FootnoteReference"/>
          <w:rFonts w:asciiTheme="minorHAnsi" w:hAnsiTheme="minorHAnsi"/>
          <w:vertAlign w:val="baseline"/>
        </w:rPr>
        <w:t xml:space="preserve">, n </w:t>
      </w:r>
      <w:r w:rsidRPr="00AE2E4D">
        <w:rPr>
          <w:rStyle w:val="FootnoteReference"/>
          <w:rFonts w:asciiTheme="minorHAnsi" w:hAnsiTheme="minorHAnsi"/>
          <w:vertAlign w:val="baseline"/>
        </w:rPr>
        <w:fldChar w:fldCharType="begin"/>
      </w:r>
      <w:r w:rsidRPr="00AE2E4D">
        <w:rPr>
          <w:rStyle w:val="FootnoteReference"/>
          <w:rFonts w:asciiTheme="minorHAnsi" w:hAnsiTheme="minorHAnsi"/>
          <w:vertAlign w:val="baseline"/>
        </w:rPr>
        <w:instrText xml:space="preserve"> NOTEREF _Ref395789914 \h </w:instrText>
      </w:r>
      <w:r w:rsidRPr="00AE2E4D">
        <w:rPr>
          <w:rStyle w:val="FootnoteReference"/>
          <w:rFonts w:asciiTheme="minorHAnsi" w:hAnsiTheme="minorHAnsi"/>
          <w:vertAlign w:val="baseline"/>
        </w:rPr>
      </w:r>
      <w:r w:rsidRPr="00AE2E4D">
        <w:rPr>
          <w:rStyle w:val="FootnoteReference"/>
          <w:rFonts w:asciiTheme="minorHAnsi" w:hAnsiTheme="minorHAnsi"/>
          <w:vertAlign w:val="baseline"/>
        </w:rPr>
        <w:fldChar w:fldCharType="separate"/>
      </w:r>
      <w:r>
        <w:rPr>
          <w:rStyle w:val="FootnoteReference"/>
          <w:rFonts w:asciiTheme="minorHAnsi" w:hAnsiTheme="minorHAnsi"/>
          <w:vertAlign w:val="baseline"/>
        </w:rPr>
        <w:t>117</w:t>
      </w:r>
      <w:r w:rsidRPr="00AE2E4D">
        <w:rPr>
          <w:rStyle w:val="FootnoteReference"/>
          <w:rFonts w:asciiTheme="minorHAnsi" w:hAnsiTheme="minorHAnsi"/>
          <w:vertAlign w:val="baseline"/>
        </w:rPr>
        <w:fldChar w:fldCharType="end"/>
      </w:r>
      <w:r w:rsidRPr="00AE2E4D">
        <w:rPr>
          <w:rStyle w:val="FootnoteReference"/>
          <w:rFonts w:asciiTheme="minorHAnsi" w:hAnsiTheme="minorHAnsi"/>
          <w:vertAlign w:val="baseline"/>
        </w:rPr>
        <w:t>.</w:t>
      </w:r>
    </w:p>
  </w:footnote>
  <w:footnote w:id="124">
    <w:p w14:paraId="5DEA7D25"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For an overview of the post-</w:t>
      </w:r>
      <w:proofErr w:type="spellStart"/>
      <w:r w:rsidRPr="00AE2E4D">
        <w:rPr>
          <w:rStyle w:val="FootnoteReference"/>
          <w:rFonts w:asciiTheme="minorHAnsi" w:hAnsiTheme="minorHAnsi"/>
          <w:i/>
          <w:vertAlign w:val="baseline"/>
        </w:rPr>
        <w:t>Ledra</w:t>
      </w:r>
      <w:proofErr w:type="spellEnd"/>
      <w:r w:rsidRPr="00AE2E4D">
        <w:rPr>
          <w:rStyle w:val="FootnoteReference"/>
          <w:rFonts w:asciiTheme="minorHAnsi" w:hAnsiTheme="minorHAnsi"/>
          <w:vertAlign w:val="baseline"/>
        </w:rPr>
        <w:t xml:space="preserve"> landscape, see A </w:t>
      </w:r>
      <w:proofErr w:type="spellStart"/>
      <w:r w:rsidRPr="00AE2E4D">
        <w:rPr>
          <w:rStyle w:val="FootnoteReference"/>
          <w:rFonts w:asciiTheme="minorHAnsi" w:hAnsiTheme="minorHAnsi"/>
          <w:vertAlign w:val="baseline"/>
        </w:rPr>
        <w:t>Poulou</w:t>
      </w:r>
      <w:proofErr w:type="spellEnd"/>
      <w:r w:rsidRPr="00AE2E4D">
        <w:rPr>
          <w:rStyle w:val="FootnoteReference"/>
          <w:rFonts w:asciiTheme="minorHAnsi" w:hAnsiTheme="minorHAnsi"/>
          <w:vertAlign w:val="baseline"/>
        </w:rPr>
        <w:t>, ‘Financial Assistance Conditio</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 xml:space="preserve">ality and Human Rights Protection: What is the Role of the EU Charter of Fundamental Rights?’ (2017) 54 </w:t>
      </w:r>
      <w:proofErr w:type="spellStart"/>
      <w:r w:rsidRPr="00AE2E4D">
        <w:rPr>
          <w:rStyle w:val="FootnoteReference"/>
          <w:rFonts w:asciiTheme="minorHAnsi" w:hAnsiTheme="minorHAnsi"/>
          <w:vertAlign w:val="baseline"/>
        </w:rPr>
        <w:t>CMLRev</w:t>
      </w:r>
      <w:proofErr w:type="spellEnd"/>
      <w:r w:rsidRPr="00AE2E4D">
        <w:rPr>
          <w:rStyle w:val="FootnoteReference"/>
          <w:rFonts w:asciiTheme="minorHAnsi" w:hAnsiTheme="minorHAnsi"/>
          <w:vertAlign w:val="baseline"/>
        </w:rPr>
        <w:t xml:space="preserve"> 991.</w:t>
      </w:r>
    </w:p>
  </w:footnote>
  <w:footnote w:id="125">
    <w:p w14:paraId="5E434DBD" w14:textId="07C18181"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The current ESM arrangements have prompted concerns in this regard. The German Co</w:t>
      </w:r>
      <w:r w:rsidRPr="00AE2E4D">
        <w:rPr>
          <w:rStyle w:val="FootnoteReference"/>
          <w:rFonts w:asciiTheme="minorHAnsi" w:hAnsiTheme="minorHAnsi"/>
          <w:vertAlign w:val="baseline"/>
        </w:rPr>
        <w:t>n</w:t>
      </w:r>
      <w:r w:rsidRPr="00AE2E4D">
        <w:rPr>
          <w:rStyle w:val="FootnoteReference"/>
          <w:rFonts w:asciiTheme="minorHAnsi" w:hAnsiTheme="minorHAnsi"/>
          <w:vertAlign w:val="baseline"/>
        </w:rPr>
        <w:t xml:space="preserve">stitutional Court has imposed transparency requirements: </w:t>
      </w:r>
      <w:proofErr w:type="spellStart"/>
      <w:r w:rsidRPr="00AE2E4D">
        <w:rPr>
          <w:rStyle w:val="FootnoteReference"/>
          <w:rFonts w:asciiTheme="minorHAnsi" w:hAnsiTheme="minorHAnsi"/>
          <w:vertAlign w:val="baseline"/>
        </w:rPr>
        <w:t>BVerfG</w:t>
      </w:r>
      <w:proofErr w:type="spellEnd"/>
      <w:r w:rsidRPr="00AE2E4D">
        <w:rPr>
          <w:rStyle w:val="FootnoteReference"/>
          <w:rFonts w:asciiTheme="minorHAnsi" w:hAnsiTheme="minorHAnsi"/>
          <w:vertAlign w:val="baseline"/>
        </w:rPr>
        <w:t xml:space="preserve">, 2 </w:t>
      </w:r>
      <w:proofErr w:type="spellStart"/>
      <w:r w:rsidRPr="00AE2E4D">
        <w:rPr>
          <w:rStyle w:val="FootnoteReference"/>
          <w:rFonts w:asciiTheme="minorHAnsi" w:hAnsiTheme="minorHAnsi"/>
          <w:vertAlign w:val="baseline"/>
        </w:rPr>
        <w:t>BvR</w:t>
      </w:r>
      <w:proofErr w:type="spellEnd"/>
      <w:r w:rsidRPr="00AE2E4D">
        <w:rPr>
          <w:rStyle w:val="FootnoteReference"/>
          <w:rFonts w:asciiTheme="minorHAnsi" w:hAnsiTheme="minorHAnsi"/>
          <w:vertAlign w:val="baseline"/>
        </w:rPr>
        <w:t xml:space="preserve"> 1390/12 et al., Decision of 12 September 2012. The Finnish Constitutional Law Committee has imposed accountability requirements on the functioning of the ESM in </w:t>
      </w:r>
      <w:proofErr w:type="spellStart"/>
      <w:r w:rsidRPr="00AE2E4D">
        <w:rPr>
          <w:rStyle w:val="FootnoteReference"/>
          <w:rFonts w:asciiTheme="minorHAnsi" w:hAnsiTheme="minorHAnsi"/>
          <w:vertAlign w:val="baseline"/>
        </w:rPr>
        <w:t>PeVL</w:t>
      </w:r>
      <w:proofErr w:type="spellEnd"/>
      <w:r w:rsidRPr="00AE2E4D">
        <w:rPr>
          <w:rStyle w:val="FootnoteReference"/>
          <w:rFonts w:asciiTheme="minorHAnsi" w:hAnsiTheme="minorHAnsi"/>
          <w:vertAlign w:val="baseline"/>
        </w:rPr>
        <w:t xml:space="preserve"> 13/2012; see </w:t>
      </w:r>
      <w:proofErr w:type="spellStart"/>
      <w:r w:rsidRPr="00AE2E4D">
        <w:rPr>
          <w:rStyle w:val="FootnoteReference"/>
          <w:rFonts w:asciiTheme="minorHAnsi" w:hAnsiTheme="minorHAnsi"/>
          <w:vertAlign w:val="baseline"/>
        </w:rPr>
        <w:t>Tuori</w:t>
      </w:r>
      <w:proofErr w:type="spellEnd"/>
      <w:r w:rsidRPr="00AE2E4D">
        <w:rPr>
          <w:rStyle w:val="FootnoteReference"/>
          <w:rFonts w:asciiTheme="minorHAnsi" w:hAnsiTheme="minorHAnsi"/>
          <w:vertAlign w:val="baseline"/>
        </w:rPr>
        <w:t xml:space="preserve"> and </w:t>
      </w:r>
      <w:proofErr w:type="spellStart"/>
      <w:r w:rsidRPr="00AE2E4D">
        <w:rPr>
          <w:rStyle w:val="FootnoteReference"/>
          <w:rFonts w:asciiTheme="minorHAnsi" w:hAnsiTheme="minorHAnsi"/>
          <w:vertAlign w:val="baseline"/>
        </w:rPr>
        <w:t>Tuori</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The Eurozone Crisis</w:t>
      </w:r>
      <w:r w:rsidRPr="00AE2E4D">
        <w:rPr>
          <w:rStyle w:val="FootnoteReference"/>
          <w:rFonts w:asciiTheme="minorHAnsi" w:hAnsiTheme="minorHAnsi"/>
          <w:vertAlign w:val="baseline"/>
        </w:rPr>
        <w:t xml:space="preserve"> 219 and 195–9; see also P </w:t>
      </w:r>
      <w:proofErr w:type="spellStart"/>
      <w:r w:rsidRPr="00AE2E4D">
        <w:rPr>
          <w:rStyle w:val="FootnoteReference"/>
          <w:rFonts w:asciiTheme="minorHAnsi" w:hAnsiTheme="minorHAnsi"/>
          <w:vertAlign w:val="baseline"/>
        </w:rPr>
        <w:t>Leino</w:t>
      </w:r>
      <w:proofErr w:type="spellEnd"/>
      <w:r w:rsidRPr="00AE2E4D">
        <w:rPr>
          <w:rStyle w:val="FootnoteReference"/>
          <w:rFonts w:asciiTheme="minorHAnsi" w:hAnsiTheme="minorHAnsi"/>
          <w:vertAlign w:val="baseline"/>
        </w:rPr>
        <w:t xml:space="preserve"> and J </w:t>
      </w:r>
      <w:proofErr w:type="spellStart"/>
      <w:r w:rsidRPr="00AE2E4D">
        <w:rPr>
          <w:rStyle w:val="FootnoteReference"/>
          <w:rFonts w:asciiTheme="minorHAnsi" w:hAnsiTheme="minorHAnsi"/>
          <w:vertAlign w:val="baseline"/>
        </w:rPr>
        <w:t>Salminen</w:t>
      </w:r>
      <w:proofErr w:type="spellEnd"/>
      <w:r w:rsidRPr="00AE2E4D">
        <w:rPr>
          <w:rStyle w:val="FootnoteReference"/>
          <w:rFonts w:asciiTheme="minorHAnsi" w:hAnsiTheme="minorHAnsi"/>
          <w:vertAlign w:val="baseline"/>
        </w:rPr>
        <w:t xml:space="preserve">, ‘The Euro Crisis and Its Constitutional Consequences for Finland: Is There Room for National Politics in EU Decision-Making?’ (2013) 9 </w:t>
      </w:r>
      <w:proofErr w:type="spellStart"/>
      <w:r w:rsidRPr="00AE2E4D">
        <w:rPr>
          <w:rStyle w:val="FootnoteReference"/>
          <w:rFonts w:asciiTheme="minorHAnsi" w:hAnsiTheme="minorHAnsi"/>
          <w:vertAlign w:val="baseline"/>
        </w:rPr>
        <w:t>Eur</w:t>
      </w:r>
      <w:proofErr w:type="spellEnd"/>
      <w:r w:rsidRPr="00AE2E4D">
        <w:rPr>
          <w:rStyle w:val="FootnoteReference"/>
          <w:rFonts w:asciiTheme="minorHAnsi" w:hAnsiTheme="minorHAnsi"/>
          <w:vertAlign w:val="baseline"/>
        </w:rPr>
        <w:t xml:space="preserve"> Constitutional L Rev 451; </w:t>
      </w:r>
      <w:proofErr w:type="gramStart"/>
      <w:r w:rsidRPr="00AE2E4D">
        <w:rPr>
          <w:rFonts w:asciiTheme="minorHAnsi" w:hAnsiTheme="minorHAnsi"/>
        </w:rPr>
        <w:t xml:space="preserve">S </w:t>
      </w:r>
      <w:proofErr w:type="spellStart"/>
      <w:r w:rsidRPr="00AE2E4D">
        <w:rPr>
          <w:rFonts w:asciiTheme="minorHAnsi" w:hAnsiTheme="minorHAnsi"/>
        </w:rPr>
        <w:t>Poppelaars</w:t>
      </w:r>
      <w:proofErr w:type="spellEnd"/>
      <w:r w:rsidRPr="00AE2E4D">
        <w:rPr>
          <w:rFonts w:asciiTheme="minorHAnsi" w:hAnsiTheme="minorHAnsi"/>
        </w:rPr>
        <w:t>, ‘The Involvement of National Parliaments in the Cu</w:t>
      </w:r>
      <w:r w:rsidRPr="00AE2E4D">
        <w:rPr>
          <w:rFonts w:asciiTheme="minorHAnsi" w:hAnsiTheme="minorHAnsi"/>
        </w:rPr>
        <w:t>r</w:t>
      </w:r>
      <w:r w:rsidRPr="00AE2E4D">
        <w:rPr>
          <w:rFonts w:asciiTheme="minorHAnsi" w:hAnsiTheme="minorHAnsi"/>
        </w:rPr>
        <w:t xml:space="preserve">rent ESM and the Possible Future EMF’ </w:t>
      </w:r>
      <w:proofErr w:type="spellStart"/>
      <w:r w:rsidRPr="00AE2E4D">
        <w:rPr>
          <w:rFonts w:asciiTheme="minorHAnsi" w:hAnsiTheme="minorHAnsi"/>
        </w:rPr>
        <w:t>Luiss</w:t>
      </w:r>
      <w:proofErr w:type="spellEnd"/>
      <w:r w:rsidRPr="00AE2E4D">
        <w:rPr>
          <w:rFonts w:asciiTheme="minorHAnsi" w:hAnsiTheme="minorHAnsi"/>
        </w:rPr>
        <w:t xml:space="preserve"> School of Government Working Paper Series, SOG-WP44/2018.</w:t>
      </w:r>
      <w:proofErr w:type="gramEnd"/>
    </w:p>
  </w:footnote>
  <w:footnote w:id="126">
    <w:p w14:paraId="2A02E951" w14:textId="72D3928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The role of national parliaments ‘remains fully preserved’ and reforms would be conducted ‘without affecting the way in which national governments are held to account by their own n</w:t>
      </w:r>
      <w:r w:rsidRPr="00AE2E4D">
        <w:rPr>
          <w:rStyle w:val="FootnoteReference"/>
          <w:rFonts w:asciiTheme="minorHAnsi" w:hAnsiTheme="minorHAnsi"/>
          <w:vertAlign w:val="baseline"/>
        </w:rPr>
        <w:t>a</w:t>
      </w:r>
      <w:r w:rsidRPr="00AE2E4D">
        <w:rPr>
          <w:rStyle w:val="FootnoteReference"/>
          <w:rFonts w:asciiTheme="minorHAnsi" w:hAnsiTheme="minorHAnsi"/>
          <w:vertAlign w:val="baseline"/>
        </w:rPr>
        <w:t>tional Parliaments’ (Commission Proposal for a Council Regulation on the establishment of a E</w:t>
      </w:r>
      <w:r w:rsidRPr="00AE2E4D">
        <w:rPr>
          <w:rStyle w:val="FootnoteReference"/>
          <w:rFonts w:asciiTheme="minorHAnsi" w:hAnsiTheme="minorHAnsi"/>
          <w:vertAlign w:val="baseline"/>
        </w:rPr>
        <w:t>u</w:t>
      </w:r>
      <w:r w:rsidRPr="00AE2E4D">
        <w:rPr>
          <w:rStyle w:val="FootnoteReference"/>
          <w:rFonts w:asciiTheme="minorHAnsi" w:hAnsiTheme="minorHAnsi"/>
          <w:vertAlign w:val="baseline"/>
        </w:rPr>
        <w:t xml:space="preserve">ropean Monetary Fund, Brussels, 6.12.2017 COM(2017) 827 final, pgs. 3 and 5). But note that the Commission also proposes moving away from the current </w:t>
      </w:r>
      <w:proofErr w:type="gramStart"/>
      <w:r w:rsidRPr="00AE2E4D">
        <w:rPr>
          <w:rFonts w:asciiTheme="minorHAnsi" w:hAnsiTheme="minorHAnsi"/>
        </w:rPr>
        <w:t>decision</w:t>
      </w:r>
      <w:proofErr w:type="gramEnd"/>
      <w:r w:rsidRPr="00AE2E4D">
        <w:rPr>
          <w:rFonts w:asciiTheme="minorHAnsi" w:hAnsiTheme="minorHAnsi"/>
        </w:rPr>
        <w:t xml:space="preserve">-making </w:t>
      </w:r>
      <w:r w:rsidRPr="00AE2E4D">
        <w:rPr>
          <w:rStyle w:val="FootnoteReference"/>
          <w:rFonts w:asciiTheme="minorHAnsi" w:hAnsiTheme="minorHAnsi"/>
          <w:vertAlign w:val="baseline"/>
        </w:rPr>
        <w:t>pro</w:t>
      </w:r>
      <w:r w:rsidRPr="00AE2E4D">
        <w:rPr>
          <w:rFonts w:asciiTheme="minorHAnsi" w:hAnsiTheme="minorHAnsi"/>
        </w:rPr>
        <w:t>cess (towards reinforced qualified majority voting, as discussed in Section 6.2)</w:t>
      </w:r>
      <w:r w:rsidRPr="00AE2E4D">
        <w:rPr>
          <w:rStyle w:val="FootnoteReference"/>
          <w:rFonts w:asciiTheme="minorHAnsi" w:hAnsiTheme="minorHAnsi"/>
          <w:vertAlign w:val="baseline"/>
        </w:rPr>
        <w:t xml:space="preserve"> because the ‘intergovernmental method usually requires cumbersome national procedures and is often difficult to reconcile with the speed needed for ensuring an effective crisis management’</w:t>
      </w:r>
      <w:r w:rsidRPr="00AE2E4D">
        <w:rPr>
          <w:rFonts w:asciiTheme="minorHAnsi" w:hAnsiTheme="minorHAnsi"/>
        </w:rPr>
        <w:t xml:space="preserve">, </w:t>
      </w:r>
      <w:r w:rsidRPr="00AE2E4D">
        <w:rPr>
          <w:rStyle w:val="FootnoteReference"/>
          <w:rFonts w:asciiTheme="minorHAnsi" w:hAnsiTheme="minorHAnsi"/>
          <w:vertAlign w:val="baseline"/>
        </w:rPr>
        <w:t xml:space="preserve">ibid, </w:t>
      </w:r>
      <w:proofErr w:type="spellStart"/>
      <w:r w:rsidRPr="00AE2E4D">
        <w:rPr>
          <w:rStyle w:val="FootnoteReference"/>
          <w:rFonts w:asciiTheme="minorHAnsi" w:hAnsiTheme="minorHAnsi"/>
          <w:vertAlign w:val="baseline"/>
        </w:rPr>
        <w:t>pg</w:t>
      </w:r>
      <w:proofErr w:type="spellEnd"/>
      <w:r w:rsidRPr="00AE2E4D">
        <w:rPr>
          <w:rStyle w:val="FootnoteReference"/>
          <w:rFonts w:asciiTheme="minorHAnsi" w:hAnsiTheme="minorHAnsi"/>
          <w:vertAlign w:val="baseline"/>
        </w:rPr>
        <w:t xml:space="preserve"> 3.</w:t>
      </w:r>
      <w:r w:rsidRPr="00AE2E4D">
        <w:rPr>
          <w:rFonts w:asciiTheme="minorHAnsi" w:hAnsiTheme="minorHAnsi"/>
        </w:rPr>
        <w:t xml:space="preserve"> For some critical r</w:t>
      </w:r>
      <w:r w:rsidRPr="00AE2E4D">
        <w:rPr>
          <w:rFonts w:asciiTheme="minorHAnsi" w:hAnsiTheme="minorHAnsi"/>
        </w:rPr>
        <w:t>e</w:t>
      </w:r>
      <w:r w:rsidRPr="00AE2E4D">
        <w:rPr>
          <w:rFonts w:asciiTheme="minorHAnsi" w:hAnsiTheme="minorHAnsi"/>
        </w:rPr>
        <w:t xml:space="preserve">marks, see e.g. S </w:t>
      </w:r>
      <w:proofErr w:type="spellStart"/>
      <w:r w:rsidRPr="00AE2E4D">
        <w:rPr>
          <w:rFonts w:asciiTheme="minorHAnsi" w:hAnsiTheme="minorHAnsi"/>
        </w:rPr>
        <w:t>Poppelaars</w:t>
      </w:r>
      <w:proofErr w:type="spellEnd"/>
      <w:r w:rsidRPr="00AE2E4D">
        <w:rPr>
          <w:rFonts w:asciiTheme="minorHAnsi" w:hAnsiTheme="minorHAnsi"/>
        </w:rPr>
        <w:t xml:space="preserve">, ‘The Involvement of National Parliaments in the Current ESM and the Possible Future EMF’ </w:t>
      </w:r>
      <w:proofErr w:type="spellStart"/>
      <w:r w:rsidRPr="00AE2E4D">
        <w:rPr>
          <w:rFonts w:asciiTheme="minorHAnsi" w:hAnsiTheme="minorHAnsi"/>
        </w:rPr>
        <w:t>Luiss</w:t>
      </w:r>
      <w:proofErr w:type="spellEnd"/>
      <w:r w:rsidRPr="00AE2E4D">
        <w:rPr>
          <w:rFonts w:asciiTheme="minorHAnsi" w:hAnsiTheme="minorHAnsi"/>
        </w:rPr>
        <w:t xml:space="preserve"> School of Government Working Paper Series, SOG-WP44/2018, 13-16.</w:t>
      </w:r>
    </w:p>
  </w:footnote>
  <w:footnote w:id="127">
    <w:p w14:paraId="47E2E3A9" w14:textId="0AD4551F"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The EP has expressed its regret in the past over ‘the lack of parliamentary scrutiny of the Troika, the EFSF and the ESM’, and has stressed ‘that the Euro Summit and the Eurogroup are informal bodies for discussion and not institutions for decision-making in the governance of the Economic and Monetary Union’: European Parliament resolution of 12 December 2013 on const</w:t>
      </w:r>
      <w:r w:rsidRPr="00AE2E4D">
        <w:rPr>
          <w:rStyle w:val="FootnoteReference"/>
          <w:rFonts w:asciiTheme="minorHAnsi" w:hAnsiTheme="minorHAnsi"/>
          <w:vertAlign w:val="baseline"/>
        </w:rPr>
        <w:t>i</w:t>
      </w:r>
      <w:r w:rsidRPr="00AE2E4D">
        <w:rPr>
          <w:rStyle w:val="FootnoteReference"/>
          <w:rFonts w:asciiTheme="minorHAnsi" w:hAnsiTheme="minorHAnsi"/>
          <w:vertAlign w:val="baseline"/>
        </w:rPr>
        <w:t>tutional problems of a multitier governance in the European Union (2012/2078(INI)), [28], [33]. MEPs have long called for the integration of the ESM within the EU framework (and the Comm</w:t>
      </w:r>
      <w:r w:rsidRPr="00AE2E4D">
        <w:rPr>
          <w:rStyle w:val="FootnoteReference"/>
          <w:rFonts w:asciiTheme="minorHAnsi" w:hAnsiTheme="minorHAnsi"/>
          <w:vertAlign w:val="baseline"/>
        </w:rPr>
        <w:t>u</w:t>
      </w:r>
      <w:r w:rsidRPr="00AE2E4D">
        <w:rPr>
          <w:rStyle w:val="FootnoteReference"/>
          <w:rFonts w:asciiTheme="minorHAnsi" w:hAnsiTheme="minorHAnsi"/>
          <w:vertAlign w:val="baseline"/>
        </w:rPr>
        <w:t>nity method): see e.g. ‘MEPs call for dismantling of EU bailout troika’ (</w:t>
      </w:r>
      <w:proofErr w:type="spellStart"/>
      <w:r w:rsidRPr="00AE2E4D">
        <w:rPr>
          <w:rStyle w:val="FootnoteReference"/>
          <w:rFonts w:asciiTheme="minorHAnsi" w:hAnsiTheme="minorHAnsi"/>
          <w:vertAlign w:val="baseline"/>
        </w:rPr>
        <w:t>EUObserver</w:t>
      </w:r>
      <w:proofErr w:type="spellEnd"/>
      <w:r w:rsidRPr="00AE2E4D">
        <w:rPr>
          <w:rStyle w:val="FootnoteReference"/>
          <w:rFonts w:asciiTheme="minorHAnsi" w:hAnsiTheme="minorHAnsi"/>
          <w:vertAlign w:val="baseline"/>
        </w:rPr>
        <w:t xml:space="preserve">, 16 Jan 2013), </w:t>
      </w:r>
      <w:hyperlink r:id="rId4" w:history="1">
        <w:r w:rsidRPr="00AE2E4D">
          <w:rPr>
            <w:rStyle w:val="FootnoteReference"/>
            <w:rFonts w:asciiTheme="minorHAnsi" w:hAnsiTheme="minorHAnsi"/>
            <w:vertAlign w:val="baseline"/>
          </w:rPr>
          <w:t>http://euobserver.com/economic/122738</w:t>
        </w:r>
      </w:hyperlink>
      <w:r w:rsidRPr="00AE2E4D">
        <w:rPr>
          <w:rStyle w:val="FootnoteReference"/>
          <w:rFonts w:asciiTheme="minorHAnsi" w:hAnsiTheme="minorHAnsi"/>
          <w:vertAlign w:val="baseline"/>
        </w:rPr>
        <w:t xml:space="preserve">, accessed January 2014. See also the broader critique offered by R </w:t>
      </w:r>
      <w:proofErr w:type="spellStart"/>
      <w:r w:rsidRPr="00AE2E4D">
        <w:rPr>
          <w:rStyle w:val="FootnoteReference"/>
          <w:rFonts w:asciiTheme="minorHAnsi" w:hAnsiTheme="minorHAnsi"/>
          <w:vertAlign w:val="baseline"/>
        </w:rPr>
        <w:t>Lastra</w:t>
      </w:r>
      <w:proofErr w:type="spellEnd"/>
      <w:r w:rsidRPr="00AE2E4D">
        <w:rPr>
          <w:rStyle w:val="FootnoteReference"/>
          <w:rFonts w:asciiTheme="minorHAnsi" w:hAnsiTheme="minorHAnsi"/>
          <w:vertAlign w:val="baseline"/>
        </w:rPr>
        <w:t xml:space="preserve"> and J Louis, ‘European Economic and Monetary Union: History, Trends, and Prospects’ (2013) 32 </w:t>
      </w:r>
      <w:proofErr w:type="spellStart"/>
      <w:r w:rsidRPr="00AE2E4D">
        <w:rPr>
          <w:rStyle w:val="FootnoteReference"/>
          <w:rFonts w:asciiTheme="minorHAnsi" w:hAnsiTheme="minorHAnsi"/>
          <w:vertAlign w:val="baseline"/>
        </w:rPr>
        <w:t>Ybk</w:t>
      </w:r>
      <w:proofErr w:type="spellEnd"/>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Eur</w:t>
      </w:r>
      <w:proofErr w:type="spellEnd"/>
      <w:r w:rsidRPr="00AE2E4D">
        <w:rPr>
          <w:rStyle w:val="FootnoteReference"/>
          <w:rFonts w:asciiTheme="minorHAnsi" w:hAnsiTheme="minorHAnsi"/>
          <w:vertAlign w:val="baseline"/>
        </w:rPr>
        <w:t xml:space="preserve"> L 57, 195 and ff.</w:t>
      </w:r>
    </w:p>
  </w:footnote>
  <w:footnote w:id="128">
    <w:p w14:paraId="16F199C0" w14:textId="1BC1A5B4"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See Section 2 for a brief overview of the concerns raised in this regard by the rise on </w:t>
      </w:r>
      <w:proofErr w:type="spellStart"/>
      <w:r w:rsidRPr="00AE2E4D">
        <w:rPr>
          <w:rStyle w:val="FootnoteReference"/>
          <w:rFonts w:asciiTheme="minorHAnsi" w:hAnsiTheme="minorHAnsi"/>
          <w:vertAlign w:val="baseline"/>
        </w:rPr>
        <w:t>inte</w:t>
      </w:r>
      <w:r w:rsidRPr="00AE2E4D">
        <w:rPr>
          <w:rStyle w:val="FootnoteReference"/>
          <w:rFonts w:asciiTheme="minorHAnsi" w:hAnsiTheme="minorHAnsi"/>
          <w:vertAlign w:val="baseline"/>
        </w:rPr>
        <w:t>r</w:t>
      </w:r>
      <w:r w:rsidRPr="00AE2E4D">
        <w:rPr>
          <w:rStyle w:val="FootnoteReference"/>
          <w:rFonts w:asciiTheme="minorHAnsi" w:hAnsiTheme="minorHAnsi"/>
          <w:vertAlign w:val="baseline"/>
        </w:rPr>
        <w:t>governmentalism</w:t>
      </w:r>
      <w:proofErr w:type="spellEnd"/>
      <w:r w:rsidRPr="00AE2E4D">
        <w:rPr>
          <w:rStyle w:val="FootnoteReference"/>
          <w:rFonts w:asciiTheme="minorHAnsi" w:hAnsiTheme="minorHAnsi"/>
          <w:vertAlign w:val="baseline"/>
        </w:rPr>
        <w:t xml:space="preserve"> in the wake of the euro area crisis; see also e.g. A </w:t>
      </w:r>
      <w:proofErr w:type="spellStart"/>
      <w:r w:rsidRPr="00AE2E4D">
        <w:rPr>
          <w:rStyle w:val="FootnoteReference"/>
          <w:rFonts w:asciiTheme="minorHAnsi" w:hAnsiTheme="minorHAnsi"/>
          <w:vertAlign w:val="baseline"/>
        </w:rPr>
        <w:t>Hinarejos</w:t>
      </w:r>
      <w:proofErr w:type="spellEnd"/>
      <w:r w:rsidRPr="00AE2E4D">
        <w:rPr>
          <w:rStyle w:val="FootnoteReference"/>
          <w:rFonts w:asciiTheme="minorHAnsi" w:hAnsiTheme="minorHAnsi"/>
          <w:vertAlign w:val="baseline"/>
        </w:rPr>
        <w:t xml:space="preserve">, </w:t>
      </w:r>
      <w:r w:rsidRPr="00AE2E4D">
        <w:rPr>
          <w:rStyle w:val="FootnoteReference"/>
          <w:rFonts w:asciiTheme="minorHAnsi" w:hAnsiTheme="minorHAnsi"/>
          <w:i/>
          <w:vertAlign w:val="baseline"/>
        </w:rPr>
        <w:t>The Euro Area Cr</w:t>
      </w:r>
      <w:r w:rsidRPr="00AE2E4D">
        <w:rPr>
          <w:rStyle w:val="FootnoteReference"/>
          <w:rFonts w:asciiTheme="minorHAnsi" w:hAnsiTheme="minorHAnsi"/>
          <w:i/>
          <w:vertAlign w:val="baseline"/>
        </w:rPr>
        <w:t>i</w:t>
      </w:r>
      <w:r w:rsidRPr="00AE2E4D">
        <w:rPr>
          <w:rStyle w:val="FootnoteReference"/>
          <w:rFonts w:asciiTheme="minorHAnsi" w:hAnsiTheme="minorHAnsi"/>
          <w:i/>
          <w:vertAlign w:val="baseline"/>
        </w:rPr>
        <w:t>sis in Constitutional Perspective</w:t>
      </w:r>
      <w:r w:rsidRPr="00AE2E4D">
        <w:rPr>
          <w:rStyle w:val="FootnoteReference"/>
          <w:rFonts w:asciiTheme="minorHAnsi" w:hAnsiTheme="minorHAnsi"/>
          <w:vertAlign w:val="baseline"/>
        </w:rPr>
        <w:t xml:space="preserve"> (OUP Oxford 2015) </w:t>
      </w:r>
      <w:proofErr w:type="spellStart"/>
      <w:r w:rsidRPr="00AE2E4D">
        <w:rPr>
          <w:rStyle w:val="FootnoteReference"/>
          <w:rFonts w:asciiTheme="minorHAnsi" w:hAnsiTheme="minorHAnsi"/>
          <w:vertAlign w:val="baseline"/>
        </w:rPr>
        <w:t>Ch</w:t>
      </w:r>
      <w:proofErr w:type="spellEnd"/>
      <w:r w:rsidRPr="00AE2E4D">
        <w:rPr>
          <w:rStyle w:val="FootnoteReference"/>
          <w:rFonts w:asciiTheme="minorHAnsi" w:hAnsiTheme="minorHAnsi"/>
          <w:vertAlign w:val="baseline"/>
        </w:rPr>
        <w:t xml:space="preserve"> 6; M </w:t>
      </w:r>
      <w:proofErr w:type="spellStart"/>
      <w:r w:rsidRPr="00AE2E4D">
        <w:rPr>
          <w:rStyle w:val="FootnoteReference"/>
          <w:rFonts w:asciiTheme="minorHAnsi" w:hAnsiTheme="minorHAnsi"/>
          <w:vertAlign w:val="baseline"/>
        </w:rPr>
        <w:t>Ruffert</w:t>
      </w:r>
      <w:proofErr w:type="spellEnd"/>
      <w:r w:rsidRPr="00AE2E4D">
        <w:rPr>
          <w:rStyle w:val="FootnoteReference"/>
          <w:rFonts w:asciiTheme="minorHAnsi" w:hAnsiTheme="minorHAnsi"/>
          <w:vertAlign w:val="baseline"/>
        </w:rPr>
        <w:t xml:space="preserve">, ‘The European Debt Crisis and European Union Law’ (2011) 48 CML Rev 1777; S </w:t>
      </w:r>
      <w:proofErr w:type="spellStart"/>
      <w:r w:rsidRPr="00AE2E4D">
        <w:rPr>
          <w:rStyle w:val="FootnoteReference"/>
          <w:rFonts w:asciiTheme="minorHAnsi" w:hAnsiTheme="minorHAnsi"/>
          <w:vertAlign w:val="baseline"/>
        </w:rPr>
        <w:t>Fabbrini</w:t>
      </w:r>
      <w:proofErr w:type="spellEnd"/>
      <w:r w:rsidRPr="00AE2E4D">
        <w:rPr>
          <w:rStyle w:val="FootnoteReference"/>
          <w:rFonts w:asciiTheme="minorHAnsi" w:hAnsiTheme="minorHAnsi"/>
          <w:vertAlign w:val="baseline"/>
        </w:rPr>
        <w:t>, ‘After the Euro Crisis: The Pres</w:t>
      </w:r>
      <w:r w:rsidRPr="00AE2E4D">
        <w:rPr>
          <w:rStyle w:val="FootnoteReference"/>
          <w:rFonts w:asciiTheme="minorHAnsi" w:hAnsiTheme="minorHAnsi"/>
          <w:vertAlign w:val="baseline"/>
        </w:rPr>
        <w:t>i</w:t>
      </w:r>
      <w:r w:rsidRPr="00AE2E4D">
        <w:rPr>
          <w:rStyle w:val="FootnoteReference"/>
          <w:rFonts w:asciiTheme="minorHAnsi" w:hAnsiTheme="minorHAnsi"/>
          <w:vertAlign w:val="baseline"/>
        </w:rPr>
        <w:t xml:space="preserve">dent of Europe. A New Paradigm for Increasing Legitimacy and Effectiveness in the EU’ </w:t>
      </w:r>
      <w:proofErr w:type="spellStart"/>
      <w:r w:rsidRPr="00AE2E4D">
        <w:rPr>
          <w:rStyle w:val="FootnoteReference"/>
          <w:rFonts w:asciiTheme="minorHAnsi" w:hAnsiTheme="minorHAnsi"/>
          <w:vertAlign w:val="baseline"/>
        </w:rPr>
        <w:t>EuropEos</w:t>
      </w:r>
      <w:proofErr w:type="spellEnd"/>
      <w:r w:rsidRPr="00AE2E4D">
        <w:rPr>
          <w:rStyle w:val="FootnoteReference"/>
          <w:rFonts w:asciiTheme="minorHAnsi" w:hAnsiTheme="minorHAnsi"/>
          <w:vertAlign w:val="baseline"/>
        </w:rPr>
        <w:t xml:space="preserve"> Commentary, No 12, June 2012 ; R </w:t>
      </w:r>
      <w:proofErr w:type="spellStart"/>
      <w:r w:rsidRPr="00AE2E4D">
        <w:rPr>
          <w:rStyle w:val="FootnoteReference"/>
          <w:rFonts w:asciiTheme="minorHAnsi" w:hAnsiTheme="minorHAnsi"/>
          <w:vertAlign w:val="baseline"/>
        </w:rPr>
        <w:t>Lastra</w:t>
      </w:r>
      <w:proofErr w:type="spellEnd"/>
      <w:r w:rsidRPr="00AE2E4D">
        <w:rPr>
          <w:rStyle w:val="FootnoteReference"/>
          <w:rFonts w:asciiTheme="minorHAnsi" w:hAnsiTheme="minorHAnsi"/>
          <w:vertAlign w:val="baseline"/>
        </w:rPr>
        <w:t xml:space="preserve"> and J Louis, ‘European Economic and Monetary Union: History, Trends, and Prospects’ (2013) 32 </w:t>
      </w:r>
      <w:proofErr w:type="spellStart"/>
      <w:r w:rsidRPr="00AE2E4D">
        <w:rPr>
          <w:rStyle w:val="FootnoteReference"/>
          <w:rFonts w:asciiTheme="minorHAnsi" w:hAnsiTheme="minorHAnsi"/>
          <w:vertAlign w:val="baseline"/>
        </w:rPr>
        <w:t>Ybk</w:t>
      </w:r>
      <w:proofErr w:type="spellEnd"/>
      <w:r w:rsidRPr="00AE2E4D">
        <w:rPr>
          <w:rStyle w:val="FootnoteReference"/>
          <w:rFonts w:asciiTheme="minorHAnsi" w:hAnsiTheme="minorHAnsi"/>
          <w:vertAlign w:val="baseline"/>
        </w:rPr>
        <w:t xml:space="preserve"> </w:t>
      </w:r>
      <w:proofErr w:type="spellStart"/>
      <w:r w:rsidRPr="00AE2E4D">
        <w:rPr>
          <w:rStyle w:val="FootnoteReference"/>
          <w:rFonts w:asciiTheme="minorHAnsi" w:hAnsiTheme="minorHAnsi"/>
          <w:vertAlign w:val="baseline"/>
        </w:rPr>
        <w:t>Eur</w:t>
      </w:r>
      <w:proofErr w:type="spellEnd"/>
      <w:r w:rsidRPr="00AE2E4D">
        <w:rPr>
          <w:rStyle w:val="FootnoteReference"/>
          <w:rFonts w:asciiTheme="minorHAnsi" w:hAnsiTheme="minorHAnsi"/>
          <w:vertAlign w:val="baseline"/>
        </w:rPr>
        <w:t xml:space="preserve"> L 57, 195 and ff. Concerns have been voiced by the European Parliament also; for example, MEPs have called for the integration of the ESM within the EU framework (and the Community method): see e.g. ‘MEPs call for dismantling of EU bailout troika’ (</w:t>
      </w:r>
      <w:proofErr w:type="spellStart"/>
      <w:r w:rsidRPr="00AE2E4D">
        <w:rPr>
          <w:rStyle w:val="FootnoteReference"/>
          <w:rFonts w:asciiTheme="minorHAnsi" w:hAnsiTheme="minorHAnsi"/>
          <w:vertAlign w:val="baseline"/>
        </w:rPr>
        <w:t>EUObserver</w:t>
      </w:r>
      <w:proofErr w:type="spellEnd"/>
      <w:r w:rsidRPr="00AE2E4D">
        <w:rPr>
          <w:rStyle w:val="FootnoteReference"/>
          <w:rFonts w:asciiTheme="minorHAnsi" w:hAnsiTheme="minorHAnsi"/>
          <w:vertAlign w:val="baseline"/>
        </w:rPr>
        <w:t xml:space="preserve">, 16 Jan 2013), </w:t>
      </w:r>
      <w:hyperlink r:id="rId5" w:history="1">
        <w:r w:rsidRPr="00AE2E4D">
          <w:rPr>
            <w:rStyle w:val="FootnoteReference"/>
            <w:rFonts w:asciiTheme="minorHAnsi" w:hAnsiTheme="minorHAnsi"/>
            <w:vertAlign w:val="baseline"/>
          </w:rPr>
          <w:t>http://euobserver.com/economic/122738</w:t>
        </w:r>
      </w:hyperlink>
      <w:r w:rsidRPr="00AE2E4D">
        <w:rPr>
          <w:rStyle w:val="FootnoteReference"/>
          <w:rFonts w:asciiTheme="minorHAnsi" w:hAnsiTheme="minorHAnsi"/>
          <w:vertAlign w:val="baseline"/>
        </w:rPr>
        <w:t>, accessed January 2014.</w:t>
      </w:r>
    </w:p>
  </w:footnote>
  <w:footnote w:id="129">
    <w:p w14:paraId="7BF602B8" w14:textId="78F70D19" w:rsidR="00746868" w:rsidRPr="00AE2E4D" w:rsidRDefault="00746868" w:rsidP="00AE2E4D">
      <w:pPr>
        <w:pStyle w:val="FootnoteText"/>
        <w:rPr>
          <w:rFonts w:asciiTheme="minorHAnsi" w:hAnsiTheme="minorHAnsi"/>
          <w:lang w:val="en-US"/>
        </w:rPr>
      </w:pPr>
      <w:r w:rsidRPr="00AE2E4D">
        <w:rPr>
          <w:rStyle w:val="FootnoteReference"/>
          <w:rFonts w:asciiTheme="minorHAnsi" w:hAnsiTheme="minorHAnsi"/>
        </w:rPr>
        <w:footnoteRef/>
      </w:r>
      <w:r w:rsidRPr="00AE2E4D">
        <w:rPr>
          <w:rFonts w:asciiTheme="minorHAnsi" w:hAnsiTheme="minorHAnsi"/>
        </w:rPr>
        <w:t xml:space="preserve"> </w:t>
      </w:r>
      <w:proofErr w:type="spellStart"/>
      <w:proofErr w:type="gramStart"/>
      <w:r w:rsidRPr="00AE2E4D">
        <w:rPr>
          <w:rFonts w:asciiTheme="minorHAnsi" w:eastAsia="Times New Roman" w:hAnsiTheme="minorHAnsi"/>
        </w:rPr>
        <w:t>Eurogroup</w:t>
      </w:r>
      <w:proofErr w:type="spellEnd"/>
      <w:r w:rsidRPr="00AE2E4D">
        <w:rPr>
          <w:rFonts w:asciiTheme="minorHAnsi" w:eastAsia="Times New Roman" w:hAnsiTheme="minorHAnsi"/>
        </w:rPr>
        <w:t xml:space="preserve"> report to Leaders on EMU deepening, 4 December 2018; Euro Summit Stat</w:t>
      </w:r>
      <w:r w:rsidRPr="00AE2E4D">
        <w:rPr>
          <w:rFonts w:asciiTheme="minorHAnsi" w:eastAsia="Times New Roman" w:hAnsiTheme="minorHAnsi"/>
        </w:rPr>
        <w:t>e</w:t>
      </w:r>
      <w:r w:rsidRPr="00AE2E4D">
        <w:rPr>
          <w:rFonts w:asciiTheme="minorHAnsi" w:eastAsia="Times New Roman" w:hAnsiTheme="minorHAnsi"/>
        </w:rPr>
        <w:t>ment, 14 December 2018, EURO 503/18.</w:t>
      </w:r>
      <w:proofErr w:type="gramEnd"/>
    </w:p>
  </w:footnote>
  <w:footnote w:id="130">
    <w:p w14:paraId="7A846366" w14:textId="77777777"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M Ioannidis, ‘Europe’s New Transformations: How the EU Economic Constitution Changed During the Eurozone Crisis’ (2017) 53 </w:t>
      </w:r>
      <w:proofErr w:type="spellStart"/>
      <w:r w:rsidRPr="00AE2E4D">
        <w:rPr>
          <w:rStyle w:val="FootnoteReference"/>
          <w:rFonts w:asciiTheme="minorHAnsi" w:hAnsiTheme="minorHAnsi"/>
          <w:vertAlign w:val="baseline"/>
        </w:rPr>
        <w:t>CMLRev</w:t>
      </w:r>
      <w:proofErr w:type="spellEnd"/>
      <w:r w:rsidRPr="00AE2E4D">
        <w:rPr>
          <w:rStyle w:val="FootnoteReference"/>
          <w:rFonts w:asciiTheme="minorHAnsi" w:hAnsiTheme="minorHAnsi"/>
          <w:vertAlign w:val="baseline"/>
        </w:rPr>
        <w:t xml:space="preserve"> 1237.</w:t>
      </w:r>
    </w:p>
  </w:footnote>
  <w:footnote w:id="131">
    <w:p w14:paraId="0F179D3C" w14:textId="644F7006" w:rsidR="00746868" w:rsidRPr="00AE2E4D" w:rsidRDefault="00746868" w:rsidP="00AE2E4D">
      <w:pPr>
        <w:pStyle w:val="FootnoteText"/>
        <w:rPr>
          <w:rStyle w:val="FootnoteReference"/>
          <w:rFonts w:asciiTheme="minorHAnsi" w:hAnsiTheme="minorHAnsi"/>
          <w:vertAlign w:val="baseline"/>
        </w:rPr>
      </w:pPr>
      <w:r w:rsidRPr="00AE2E4D">
        <w:rPr>
          <w:rStyle w:val="FootnoteReference"/>
          <w:rFonts w:asciiTheme="minorHAnsi" w:hAnsiTheme="minorHAnsi"/>
        </w:rPr>
        <w:footnoteRef/>
      </w:r>
      <w:r w:rsidRPr="00AE2E4D">
        <w:rPr>
          <w:rStyle w:val="FootnoteReference"/>
          <w:rFonts w:asciiTheme="minorHAnsi" w:hAnsiTheme="minorHAnsi"/>
          <w:vertAlign w:val="baseline"/>
        </w:rPr>
        <w:t xml:space="preserve"> But see also e.g. J </w:t>
      </w:r>
      <w:proofErr w:type="spellStart"/>
      <w:r w:rsidRPr="00AE2E4D">
        <w:rPr>
          <w:rStyle w:val="FootnoteReference"/>
          <w:rFonts w:asciiTheme="minorHAnsi" w:hAnsiTheme="minorHAnsi"/>
          <w:vertAlign w:val="baseline"/>
        </w:rPr>
        <w:t>Rodden</w:t>
      </w:r>
      <w:proofErr w:type="spellEnd"/>
      <w:r w:rsidRPr="00AE2E4D">
        <w:rPr>
          <w:rStyle w:val="FootnoteReference"/>
          <w:rFonts w:asciiTheme="minorHAnsi" w:hAnsiTheme="minorHAnsi"/>
          <w:vertAlign w:val="baseline"/>
        </w:rPr>
        <w:t>, ‘An evolutionary path for a European Monetary Fund? A compa</w:t>
      </w:r>
      <w:r w:rsidRPr="00AE2E4D">
        <w:rPr>
          <w:rStyle w:val="FootnoteReference"/>
          <w:rFonts w:asciiTheme="minorHAnsi" w:hAnsiTheme="minorHAnsi"/>
          <w:vertAlign w:val="baseline"/>
        </w:rPr>
        <w:t>r</w:t>
      </w:r>
      <w:r w:rsidRPr="00AE2E4D">
        <w:rPr>
          <w:rStyle w:val="FootnoteReference"/>
          <w:rFonts w:asciiTheme="minorHAnsi" w:hAnsiTheme="minorHAnsi"/>
          <w:vertAlign w:val="baseline"/>
        </w:rPr>
        <w:t>ative perspective’ European Parliament In-Depth Report PE 602.077, arguing that the creation of mechanisms of financial assistance was a mistake to start with, and that it may therefore be pre</w:t>
      </w:r>
      <w:r w:rsidRPr="00AE2E4D">
        <w:rPr>
          <w:rStyle w:val="FootnoteReference"/>
          <w:rFonts w:asciiTheme="minorHAnsi" w:hAnsiTheme="minorHAnsi"/>
          <w:vertAlign w:val="baseline"/>
        </w:rPr>
        <w:t>f</w:t>
      </w:r>
      <w:r w:rsidRPr="00AE2E4D">
        <w:rPr>
          <w:rStyle w:val="FootnoteReference"/>
          <w:rFonts w:asciiTheme="minorHAnsi" w:hAnsiTheme="minorHAnsi"/>
          <w:vertAlign w:val="baseline"/>
        </w:rPr>
        <w:t>erable to turn the current ESM/ future EMF into a mechanism for debt-restructuring and orderly bankruptcy.</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87F9FC" w14:textId="77777777" w:rsidR="00746868" w:rsidRDefault="00746868">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8298D" w14:textId="77777777" w:rsidR="00746868" w:rsidRDefault="00746868">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872A92" w14:textId="77777777" w:rsidR="00746868" w:rsidRDefault="00746868">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5A7596"/>
    <w:multiLevelType w:val="multilevel"/>
    <w:tmpl w:val="31448740"/>
    <w:lvl w:ilvl="0">
      <w:start w:val="1"/>
      <w:numFmt w:val="decimal"/>
      <w:lvlText w:val="Chapter %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nsid w:val="1D1851B7"/>
    <w:multiLevelType w:val="multilevel"/>
    <w:tmpl w:val="0409001F"/>
    <w:numStyleLink w:val="111111"/>
  </w:abstractNum>
  <w:abstractNum w:abstractNumId="2">
    <w:nsid w:val="2E0364BC"/>
    <w:multiLevelType w:val="multilevel"/>
    <w:tmpl w:val="0409001F"/>
    <w:numStyleLink w:val="111111"/>
  </w:abstractNum>
  <w:abstractNum w:abstractNumId="3">
    <w:nsid w:val="2F4D620A"/>
    <w:multiLevelType w:val="hybridMultilevel"/>
    <w:tmpl w:val="B13A99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1B52159"/>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EC77E9D"/>
    <w:multiLevelType w:val="hybridMultilevel"/>
    <w:tmpl w:val="8C6EE95A"/>
    <w:lvl w:ilvl="0" w:tplc="DA1CE298">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1254490"/>
    <w:multiLevelType w:val="hybridMultilevel"/>
    <w:tmpl w:val="2E9EF1A8"/>
    <w:lvl w:ilvl="0" w:tplc="6D6E6EC0">
      <w:start w:val="1"/>
      <w:numFmt w:val="bullet"/>
      <w:lvlText w:val="-"/>
      <w:lvlJc w:val="left"/>
      <w:pPr>
        <w:ind w:left="720" w:hanging="360"/>
      </w:pPr>
      <w:rPr>
        <w:rFonts w:ascii="Cambria" w:eastAsiaTheme="minorEastAsia" w:hAnsi="Cambria" w:cstheme="minorBidi"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60967E1"/>
    <w:multiLevelType w:val="hybridMultilevel"/>
    <w:tmpl w:val="D83AD71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CDC110B"/>
    <w:multiLevelType w:val="multilevel"/>
    <w:tmpl w:val="1ADA65BA"/>
    <w:lvl w:ilvl="0">
      <w:start w:val="1"/>
      <w:numFmt w:val="decimal"/>
      <w:pStyle w:val="Heading1"/>
      <w:lvlText w:val="%1"/>
      <w:lvlJc w:val="left"/>
      <w:pPr>
        <w:ind w:left="792" w:hanging="432"/>
      </w:pPr>
    </w:lvl>
    <w:lvl w:ilvl="1">
      <w:start w:val="1"/>
      <w:numFmt w:val="decimal"/>
      <w:pStyle w:val="Heading2"/>
      <w:lvlText w:val="%1.%2"/>
      <w:lvlJc w:val="left"/>
      <w:pPr>
        <w:ind w:left="936" w:hanging="576"/>
      </w:pPr>
    </w:lvl>
    <w:lvl w:ilvl="2">
      <w:start w:val="1"/>
      <w:numFmt w:val="decimal"/>
      <w:pStyle w:val="Heading3"/>
      <w:lvlText w:val="%1.%2.%3"/>
      <w:lvlJc w:val="left"/>
      <w:pPr>
        <w:ind w:left="1080" w:hanging="720"/>
      </w:pPr>
    </w:lvl>
    <w:lvl w:ilvl="3">
      <w:start w:val="1"/>
      <w:numFmt w:val="decimal"/>
      <w:pStyle w:val="Heading4"/>
      <w:lvlText w:val="%1.%2.%3.%4"/>
      <w:lvlJc w:val="left"/>
      <w:pPr>
        <w:ind w:left="1224" w:hanging="864"/>
      </w:pPr>
    </w:lvl>
    <w:lvl w:ilvl="4">
      <w:start w:val="1"/>
      <w:numFmt w:val="decimal"/>
      <w:pStyle w:val="Heading5"/>
      <w:lvlText w:val="%1.%2.%3.%4.%5"/>
      <w:lvlJc w:val="left"/>
      <w:pPr>
        <w:ind w:left="1368" w:hanging="1008"/>
      </w:pPr>
    </w:lvl>
    <w:lvl w:ilvl="5">
      <w:start w:val="1"/>
      <w:numFmt w:val="decimal"/>
      <w:pStyle w:val="Heading6"/>
      <w:lvlText w:val="%1.%2.%3.%4.%5.%6"/>
      <w:lvlJc w:val="left"/>
      <w:pPr>
        <w:ind w:left="1512" w:hanging="1152"/>
      </w:pPr>
    </w:lvl>
    <w:lvl w:ilvl="6">
      <w:start w:val="1"/>
      <w:numFmt w:val="decimal"/>
      <w:pStyle w:val="Heading7"/>
      <w:lvlText w:val="%1.%2.%3.%4.%5.%6.%7"/>
      <w:lvlJc w:val="left"/>
      <w:pPr>
        <w:ind w:left="1656" w:hanging="1296"/>
      </w:pPr>
    </w:lvl>
    <w:lvl w:ilvl="7">
      <w:start w:val="1"/>
      <w:numFmt w:val="decimal"/>
      <w:pStyle w:val="Heading8"/>
      <w:lvlText w:val="%1.%2.%3.%4.%5.%6.%7.%8"/>
      <w:lvlJc w:val="left"/>
      <w:pPr>
        <w:ind w:left="1800" w:hanging="1440"/>
      </w:pPr>
    </w:lvl>
    <w:lvl w:ilvl="8">
      <w:start w:val="1"/>
      <w:numFmt w:val="decimal"/>
      <w:pStyle w:val="Heading9"/>
      <w:lvlText w:val="%1.%2.%3.%4.%5.%6.%7.%8.%9"/>
      <w:lvlJc w:val="left"/>
      <w:pPr>
        <w:ind w:left="1944" w:hanging="1584"/>
      </w:pPr>
    </w:lvl>
  </w:abstractNum>
  <w:num w:numId="1">
    <w:abstractNumId w:val="7"/>
  </w:num>
  <w:num w:numId="2">
    <w:abstractNumId w:val="3"/>
  </w:num>
  <w:num w:numId="3">
    <w:abstractNumId w:val="6"/>
  </w:num>
  <w:num w:numId="4">
    <w:abstractNumId w:val="0"/>
  </w:num>
  <w:num w:numId="5">
    <w:abstractNumId w:val="4"/>
  </w:num>
  <w:num w:numId="6">
    <w:abstractNumId w:val="2"/>
  </w:num>
  <w:num w:numId="7">
    <w:abstractNumId w:val="1"/>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removePersonalInformation/>
  <w:removeDateAndTime/>
  <w:embedSystemFonts/>
  <w:proofState w:spelling="clean" w:grammar="clean"/>
  <w:defaultTabStop w:val="720"/>
  <w:autoHyphenation/>
  <w:hyphenationZone w:val="357"/>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2BF"/>
    <w:rsid w:val="00001784"/>
    <w:rsid w:val="00001C61"/>
    <w:rsid w:val="0000282B"/>
    <w:rsid w:val="0000494E"/>
    <w:rsid w:val="00005AB7"/>
    <w:rsid w:val="00012D04"/>
    <w:rsid w:val="00013C61"/>
    <w:rsid w:val="0001468E"/>
    <w:rsid w:val="000157E9"/>
    <w:rsid w:val="0001796E"/>
    <w:rsid w:val="00020223"/>
    <w:rsid w:val="00022DAA"/>
    <w:rsid w:val="000343ED"/>
    <w:rsid w:val="00035875"/>
    <w:rsid w:val="00035939"/>
    <w:rsid w:val="00036644"/>
    <w:rsid w:val="00040755"/>
    <w:rsid w:val="00041B54"/>
    <w:rsid w:val="00042AD1"/>
    <w:rsid w:val="000471C4"/>
    <w:rsid w:val="00050C28"/>
    <w:rsid w:val="00054CBB"/>
    <w:rsid w:val="00055E69"/>
    <w:rsid w:val="00062ABF"/>
    <w:rsid w:val="000672F1"/>
    <w:rsid w:val="00067381"/>
    <w:rsid w:val="00070846"/>
    <w:rsid w:val="00070F7D"/>
    <w:rsid w:val="00072043"/>
    <w:rsid w:val="0007338A"/>
    <w:rsid w:val="00073DC6"/>
    <w:rsid w:val="00074316"/>
    <w:rsid w:val="000777B6"/>
    <w:rsid w:val="000876EE"/>
    <w:rsid w:val="000900C2"/>
    <w:rsid w:val="00090569"/>
    <w:rsid w:val="00090E54"/>
    <w:rsid w:val="000931AB"/>
    <w:rsid w:val="00093CEB"/>
    <w:rsid w:val="000A3146"/>
    <w:rsid w:val="000A6474"/>
    <w:rsid w:val="000B16E3"/>
    <w:rsid w:val="000B359C"/>
    <w:rsid w:val="000C216A"/>
    <w:rsid w:val="000C4660"/>
    <w:rsid w:val="000C53DB"/>
    <w:rsid w:val="000D4AE7"/>
    <w:rsid w:val="000E10D9"/>
    <w:rsid w:val="000E7A51"/>
    <w:rsid w:val="000F4A13"/>
    <w:rsid w:val="000F7CAA"/>
    <w:rsid w:val="0010261C"/>
    <w:rsid w:val="001064FD"/>
    <w:rsid w:val="001118ED"/>
    <w:rsid w:val="00112667"/>
    <w:rsid w:val="001140D5"/>
    <w:rsid w:val="001161E7"/>
    <w:rsid w:val="00117616"/>
    <w:rsid w:val="00120D89"/>
    <w:rsid w:val="0012196C"/>
    <w:rsid w:val="00123D25"/>
    <w:rsid w:val="00123D57"/>
    <w:rsid w:val="0012460B"/>
    <w:rsid w:val="001332F7"/>
    <w:rsid w:val="001337D0"/>
    <w:rsid w:val="00136AA5"/>
    <w:rsid w:val="00136C22"/>
    <w:rsid w:val="0014689A"/>
    <w:rsid w:val="001472F9"/>
    <w:rsid w:val="00154FD5"/>
    <w:rsid w:val="0015503E"/>
    <w:rsid w:val="00157129"/>
    <w:rsid w:val="001656BE"/>
    <w:rsid w:val="00171D58"/>
    <w:rsid w:val="0017240A"/>
    <w:rsid w:val="00174400"/>
    <w:rsid w:val="00174C40"/>
    <w:rsid w:val="00177DC8"/>
    <w:rsid w:val="0018053F"/>
    <w:rsid w:val="001829BA"/>
    <w:rsid w:val="00182A99"/>
    <w:rsid w:val="00184743"/>
    <w:rsid w:val="0018587A"/>
    <w:rsid w:val="0019428F"/>
    <w:rsid w:val="0019791D"/>
    <w:rsid w:val="001A11E0"/>
    <w:rsid w:val="001A2DCE"/>
    <w:rsid w:val="001D3003"/>
    <w:rsid w:val="001D3C6F"/>
    <w:rsid w:val="001D4AB5"/>
    <w:rsid w:val="001E0C8D"/>
    <w:rsid w:val="001E696E"/>
    <w:rsid w:val="001E6D0C"/>
    <w:rsid w:val="001F0FEB"/>
    <w:rsid w:val="001F4E01"/>
    <w:rsid w:val="001F575E"/>
    <w:rsid w:val="00200E3A"/>
    <w:rsid w:val="002020F1"/>
    <w:rsid w:val="002068DA"/>
    <w:rsid w:val="00210752"/>
    <w:rsid w:val="00211C74"/>
    <w:rsid w:val="002124EC"/>
    <w:rsid w:val="00225B63"/>
    <w:rsid w:val="00227B57"/>
    <w:rsid w:val="00230050"/>
    <w:rsid w:val="00230A39"/>
    <w:rsid w:val="00245C45"/>
    <w:rsid w:val="00247E28"/>
    <w:rsid w:val="00255293"/>
    <w:rsid w:val="00257A23"/>
    <w:rsid w:val="002603E7"/>
    <w:rsid w:val="00260B4D"/>
    <w:rsid w:val="00264A46"/>
    <w:rsid w:val="00267526"/>
    <w:rsid w:val="00272F26"/>
    <w:rsid w:val="002841EA"/>
    <w:rsid w:val="002853D5"/>
    <w:rsid w:val="00285CDB"/>
    <w:rsid w:val="00290E41"/>
    <w:rsid w:val="002A275C"/>
    <w:rsid w:val="002B1114"/>
    <w:rsid w:val="002B2110"/>
    <w:rsid w:val="002B28B6"/>
    <w:rsid w:val="002B52B7"/>
    <w:rsid w:val="002C5A5F"/>
    <w:rsid w:val="002D2AA1"/>
    <w:rsid w:val="002D3834"/>
    <w:rsid w:val="002D3D4D"/>
    <w:rsid w:val="002D5EC1"/>
    <w:rsid w:val="002D7885"/>
    <w:rsid w:val="002E19FE"/>
    <w:rsid w:val="002E60EC"/>
    <w:rsid w:val="002F6D65"/>
    <w:rsid w:val="003019BE"/>
    <w:rsid w:val="00304AE2"/>
    <w:rsid w:val="003114B2"/>
    <w:rsid w:val="00314970"/>
    <w:rsid w:val="00317D87"/>
    <w:rsid w:val="003222BF"/>
    <w:rsid w:val="00333354"/>
    <w:rsid w:val="003461B4"/>
    <w:rsid w:val="00351340"/>
    <w:rsid w:val="00351405"/>
    <w:rsid w:val="00352D45"/>
    <w:rsid w:val="00353C51"/>
    <w:rsid w:val="00360A6E"/>
    <w:rsid w:val="00360EB0"/>
    <w:rsid w:val="00363FFB"/>
    <w:rsid w:val="00367856"/>
    <w:rsid w:val="00367891"/>
    <w:rsid w:val="00372C63"/>
    <w:rsid w:val="0037311A"/>
    <w:rsid w:val="003733C3"/>
    <w:rsid w:val="003771DD"/>
    <w:rsid w:val="00380BF7"/>
    <w:rsid w:val="00383F85"/>
    <w:rsid w:val="00384D6E"/>
    <w:rsid w:val="00396123"/>
    <w:rsid w:val="003B109C"/>
    <w:rsid w:val="003B4D80"/>
    <w:rsid w:val="003C13E7"/>
    <w:rsid w:val="003C41AD"/>
    <w:rsid w:val="003C6956"/>
    <w:rsid w:val="003D3BBB"/>
    <w:rsid w:val="003D5A89"/>
    <w:rsid w:val="003E15B3"/>
    <w:rsid w:val="003E71FE"/>
    <w:rsid w:val="004016B0"/>
    <w:rsid w:val="004067DA"/>
    <w:rsid w:val="00411DDC"/>
    <w:rsid w:val="00412627"/>
    <w:rsid w:val="00414C6F"/>
    <w:rsid w:val="00415BC5"/>
    <w:rsid w:val="00422144"/>
    <w:rsid w:val="004230AD"/>
    <w:rsid w:val="00424CFA"/>
    <w:rsid w:val="00433016"/>
    <w:rsid w:val="00433DAF"/>
    <w:rsid w:val="00441718"/>
    <w:rsid w:val="00441E2E"/>
    <w:rsid w:val="004432B5"/>
    <w:rsid w:val="00444345"/>
    <w:rsid w:val="00445875"/>
    <w:rsid w:val="00447240"/>
    <w:rsid w:val="004515EC"/>
    <w:rsid w:val="004525A0"/>
    <w:rsid w:val="00453098"/>
    <w:rsid w:val="004635B3"/>
    <w:rsid w:val="0046442C"/>
    <w:rsid w:val="00466942"/>
    <w:rsid w:val="00471F61"/>
    <w:rsid w:val="004823AD"/>
    <w:rsid w:val="0048253B"/>
    <w:rsid w:val="004828D5"/>
    <w:rsid w:val="0048471C"/>
    <w:rsid w:val="00485E4A"/>
    <w:rsid w:val="004A1A3D"/>
    <w:rsid w:val="004A2361"/>
    <w:rsid w:val="004B2974"/>
    <w:rsid w:val="004B3F84"/>
    <w:rsid w:val="004B590F"/>
    <w:rsid w:val="004B617B"/>
    <w:rsid w:val="004B7815"/>
    <w:rsid w:val="004C0D9B"/>
    <w:rsid w:val="004C2976"/>
    <w:rsid w:val="004C32E7"/>
    <w:rsid w:val="004C531F"/>
    <w:rsid w:val="004D0C0F"/>
    <w:rsid w:val="004D11BE"/>
    <w:rsid w:val="004D32A9"/>
    <w:rsid w:val="004D6C1F"/>
    <w:rsid w:val="004D75C4"/>
    <w:rsid w:val="004E10CC"/>
    <w:rsid w:val="004E34E6"/>
    <w:rsid w:val="004F19A6"/>
    <w:rsid w:val="004F2CBD"/>
    <w:rsid w:val="004F4560"/>
    <w:rsid w:val="004F7E64"/>
    <w:rsid w:val="00500873"/>
    <w:rsid w:val="00505CBD"/>
    <w:rsid w:val="005063AB"/>
    <w:rsid w:val="0051235B"/>
    <w:rsid w:val="0051242F"/>
    <w:rsid w:val="0051456A"/>
    <w:rsid w:val="00517B45"/>
    <w:rsid w:val="0052062D"/>
    <w:rsid w:val="005250AA"/>
    <w:rsid w:val="00531A2D"/>
    <w:rsid w:val="005323D2"/>
    <w:rsid w:val="00532DA3"/>
    <w:rsid w:val="00535549"/>
    <w:rsid w:val="005511D6"/>
    <w:rsid w:val="005536B1"/>
    <w:rsid w:val="005559CC"/>
    <w:rsid w:val="00560238"/>
    <w:rsid w:val="0056527B"/>
    <w:rsid w:val="00565417"/>
    <w:rsid w:val="00580A7E"/>
    <w:rsid w:val="005815B5"/>
    <w:rsid w:val="00585DAF"/>
    <w:rsid w:val="00587357"/>
    <w:rsid w:val="00591E54"/>
    <w:rsid w:val="00591F12"/>
    <w:rsid w:val="00596BA9"/>
    <w:rsid w:val="005A0EFF"/>
    <w:rsid w:val="005A1464"/>
    <w:rsid w:val="005A3804"/>
    <w:rsid w:val="005A4BFF"/>
    <w:rsid w:val="005B4982"/>
    <w:rsid w:val="005C258A"/>
    <w:rsid w:val="005C6547"/>
    <w:rsid w:val="005D1153"/>
    <w:rsid w:val="005D25F0"/>
    <w:rsid w:val="005D46A7"/>
    <w:rsid w:val="005D4CC2"/>
    <w:rsid w:val="005D5679"/>
    <w:rsid w:val="005E2A7A"/>
    <w:rsid w:val="005F4165"/>
    <w:rsid w:val="005F6DD2"/>
    <w:rsid w:val="00600C3F"/>
    <w:rsid w:val="00601D2B"/>
    <w:rsid w:val="00611D12"/>
    <w:rsid w:val="00612A43"/>
    <w:rsid w:val="006211E2"/>
    <w:rsid w:val="00622929"/>
    <w:rsid w:val="00622A8B"/>
    <w:rsid w:val="00631296"/>
    <w:rsid w:val="0063219B"/>
    <w:rsid w:val="00632460"/>
    <w:rsid w:val="0063339A"/>
    <w:rsid w:val="00633784"/>
    <w:rsid w:val="006406C8"/>
    <w:rsid w:val="00643238"/>
    <w:rsid w:val="0064682D"/>
    <w:rsid w:val="00650FE8"/>
    <w:rsid w:val="006558F6"/>
    <w:rsid w:val="00657F43"/>
    <w:rsid w:val="006607AF"/>
    <w:rsid w:val="00677BE2"/>
    <w:rsid w:val="00680ACC"/>
    <w:rsid w:val="006835EB"/>
    <w:rsid w:val="00687E3A"/>
    <w:rsid w:val="0069452A"/>
    <w:rsid w:val="006951A7"/>
    <w:rsid w:val="006A2629"/>
    <w:rsid w:val="006A59CB"/>
    <w:rsid w:val="006A5E47"/>
    <w:rsid w:val="006B0636"/>
    <w:rsid w:val="006B2C67"/>
    <w:rsid w:val="006B5F14"/>
    <w:rsid w:val="006C3235"/>
    <w:rsid w:val="006C55C2"/>
    <w:rsid w:val="006C64F5"/>
    <w:rsid w:val="006D0DD7"/>
    <w:rsid w:val="006D447A"/>
    <w:rsid w:val="006E1538"/>
    <w:rsid w:val="006E2B07"/>
    <w:rsid w:val="006E3E5C"/>
    <w:rsid w:val="006E700E"/>
    <w:rsid w:val="006E7F50"/>
    <w:rsid w:val="006F07BA"/>
    <w:rsid w:val="006F2155"/>
    <w:rsid w:val="006F40B3"/>
    <w:rsid w:val="006F571C"/>
    <w:rsid w:val="006F76FD"/>
    <w:rsid w:val="0071551A"/>
    <w:rsid w:val="0072028F"/>
    <w:rsid w:val="007266D0"/>
    <w:rsid w:val="00732603"/>
    <w:rsid w:val="00733BDA"/>
    <w:rsid w:val="00743A5F"/>
    <w:rsid w:val="007444CD"/>
    <w:rsid w:val="00744D5D"/>
    <w:rsid w:val="00746868"/>
    <w:rsid w:val="0074689B"/>
    <w:rsid w:val="007508D7"/>
    <w:rsid w:val="00755155"/>
    <w:rsid w:val="00755945"/>
    <w:rsid w:val="00761B24"/>
    <w:rsid w:val="00765DA7"/>
    <w:rsid w:val="007726E0"/>
    <w:rsid w:val="007764EB"/>
    <w:rsid w:val="00777FFB"/>
    <w:rsid w:val="00783A2A"/>
    <w:rsid w:val="0078505A"/>
    <w:rsid w:val="00786274"/>
    <w:rsid w:val="00787C2E"/>
    <w:rsid w:val="007904A9"/>
    <w:rsid w:val="00792972"/>
    <w:rsid w:val="00795A41"/>
    <w:rsid w:val="007A40F4"/>
    <w:rsid w:val="007A4C77"/>
    <w:rsid w:val="007B3278"/>
    <w:rsid w:val="007B35BA"/>
    <w:rsid w:val="007B3AAC"/>
    <w:rsid w:val="007C3CA9"/>
    <w:rsid w:val="007C6F46"/>
    <w:rsid w:val="007D06F3"/>
    <w:rsid w:val="007D0C91"/>
    <w:rsid w:val="007D19B1"/>
    <w:rsid w:val="007D21B1"/>
    <w:rsid w:val="007E16F8"/>
    <w:rsid w:val="007E7ADB"/>
    <w:rsid w:val="007F1E89"/>
    <w:rsid w:val="008003DB"/>
    <w:rsid w:val="00801056"/>
    <w:rsid w:val="00803392"/>
    <w:rsid w:val="0080658B"/>
    <w:rsid w:val="00806A41"/>
    <w:rsid w:val="00812028"/>
    <w:rsid w:val="008133C8"/>
    <w:rsid w:val="0081393F"/>
    <w:rsid w:val="008212F8"/>
    <w:rsid w:val="00824CFA"/>
    <w:rsid w:val="008358B6"/>
    <w:rsid w:val="00840961"/>
    <w:rsid w:val="0084469C"/>
    <w:rsid w:val="00844D12"/>
    <w:rsid w:val="00851997"/>
    <w:rsid w:val="008522E8"/>
    <w:rsid w:val="00852621"/>
    <w:rsid w:val="00852F8C"/>
    <w:rsid w:val="008539A4"/>
    <w:rsid w:val="00855A28"/>
    <w:rsid w:val="00856851"/>
    <w:rsid w:val="0086265C"/>
    <w:rsid w:val="00866BE1"/>
    <w:rsid w:val="00871059"/>
    <w:rsid w:val="00872778"/>
    <w:rsid w:val="00874392"/>
    <w:rsid w:val="0088106A"/>
    <w:rsid w:val="00883385"/>
    <w:rsid w:val="00885E05"/>
    <w:rsid w:val="00887582"/>
    <w:rsid w:val="008911D9"/>
    <w:rsid w:val="00895EAF"/>
    <w:rsid w:val="008A3EED"/>
    <w:rsid w:val="008A3F24"/>
    <w:rsid w:val="008A4B21"/>
    <w:rsid w:val="008A535B"/>
    <w:rsid w:val="008A5E61"/>
    <w:rsid w:val="008A6DA2"/>
    <w:rsid w:val="008A706F"/>
    <w:rsid w:val="008B1B16"/>
    <w:rsid w:val="008B1C3C"/>
    <w:rsid w:val="008B2C71"/>
    <w:rsid w:val="008B5549"/>
    <w:rsid w:val="008C1429"/>
    <w:rsid w:val="008C2BD2"/>
    <w:rsid w:val="008C3E9F"/>
    <w:rsid w:val="008C6958"/>
    <w:rsid w:val="008D1CAA"/>
    <w:rsid w:val="008D4D90"/>
    <w:rsid w:val="008D56BF"/>
    <w:rsid w:val="008D5748"/>
    <w:rsid w:val="008D72B8"/>
    <w:rsid w:val="008E48D6"/>
    <w:rsid w:val="008E50CE"/>
    <w:rsid w:val="008F16D3"/>
    <w:rsid w:val="00903C63"/>
    <w:rsid w:val="00904427"/>
    <w:rsid w:val="00904A4C"/>
    <w:rsid w:val="00912CF8"/>
    <w:rsid w:val="00914312"/>
    <w:rsid w:val="00915029"/>
    <w:rsid w:val="009156EF"/>
    <w:rsid w:val="00915EED"/>
    <w:rsid w:val="009239A4"/>
    <w:rsid w:val="009264A0"/>
    <w:rsid w:val="009324E3"/>
    <w:rsid w:val="0093361F"/>
    <w:rsid w:val="009356B6"/>
    <w:rsid w:val="00943C78"/>
    <w:rsid w:val="00945D63"/>
    <w:rsid w:val="00946DF8"/>
    <w:rsid w:val="00955504"/>
    <w:rsid w:val="00962435"/>
    <w:rsid w:val="00967C56"/>
    <w:rsid w:val="009725C3"/>
    <w:rsid w:val="00980F48"/>
    <w:rsid w:val="0098108F"/>
    <w:rsid w:val="009854A8"/>
    <w:rsid w:val="0098611A"/>
    <w:rsid w:val="00990927"/>
    <w:rsid w:val="00992B31"/>
    <w:rsid w:val="009953EA"/>
    <w:rsid w:val="009A2BF4"/>
    <w:rsid w:val="009A5642"/>
    <w:rsid w:val="009A5A24"/>
    <w:rsid w:val="009A7257"/>
    <w:rsid w:val="009B126B"/>
    <w:rsid w:val="009B257F"/>
    <w:rsid w:val="009B32D7"/>
    <w:rsid w:val="009B7BBB"/>
    <w:rsid w:val="009C167A"/>
    <w:rsid w:val="009D0907"/>
    <w:rsid w:val="009D0CAC"/>
    <w:rsid w:val="009E3251"/>
    <w:rsid w:val="009E4D67"/>
    <w:rsid w:val="009E6A89"/>
    <w:rsid w:val="009F39B9"/>
    <w:rsid w:val="009F5D76"/>
    <w:rsid w:val="009F6EFF"/>
    <w:rsid w:val="00A010A0"/>
    <w:rsid w:val="00A017A8"/>
    <w:rsid w:val="00A1053F"/>
    <w:rsid w:val="00A12930"/>
    <w:rsid w:val="00A12F1D"/>
    <w:rsid w:val="00A148A8"/>
    <w:rsid w:val="00A14D85"/>
    <w:rsid w:val="00A16B33"/>
    <w:rsid w:val="00A22A3F"/>
    <w:rsid w:val="00A27573"/>
    <w:rsid w:val="00A30EA7"/>
    <w:rsid w:val="00A33AA8"/>
    <w:rsid w:val="00A355A3"/>
    <w:rsid w:val="00A36950"/>
    <w:rsid w:val="00A3734B"/>
    <w:rsid w:val="00A373D0"/>
    <w:rsid w:val="00A377E2"/>
    <w:rsid w:val="00A40711"/>
    <w:rsid w:val="00A42052"/>
    <w:rsid w:val="00A4761E"/>
    <w:rsid w:val="00A47E4E"/>
    <w:rsid w:val="00A5218E"/>
    <w:rsid w:val="00A56E44"/>
    <w:rsid w:val="00A637C6"/>
    <w:rsid w:val="00A64799"/>
    <w:rsid w:val="00A674DC"/>
    <w:rsid w:val="00A74BD1"/>
    <w:rsid w:val="00A82C20"/>
    <w:rsid w:val="00A8590A"/>
    <w:rsid w:val="00A865B3"/>
    <w:rsid w:val="00A960B7"/>
    <w:rsid w:val="00AA2DC7"/>
    <w:rsid w:val="00AA7683"/>
    <w:rsid w:val="00AB2D05"/>
    <w:rsid w:val="00AC4222"/>
    <w:rsid w:val="00AC4C08"/>
    <w:rsid w:val="00AC5CA8"/>
    <w:rsid w:val="00AC6F2A"/>
    <w:rsid w:val="00AD1B90"/>
    <w:rsid w:val="00AD1EC3"/>
    <w:rsid w:val="00AD6FD5"/>
    <w:rsid w:val="00AE2E4D"/>
    <w:rsid w:val="00AE6AEB"/>
    <w:rsid w:val="00AF1291"/>
    <w:rsid w:val="00AF213E"/>
    <w:rsid w:val="00AF3BEC"/>
    <w:rsid w:val="00AF5872"/>
    <w:rsid w:val="00B07FB1"/>
    <w:rsid w:val="00B12798"/>
    <w:rsid w:val="00B138AF"/>
    <w:rsid w:val="00B17105"/>
    <w:rsid w:val="00B17D94"/>
    <w:rsid w:val="00B21884"/>
    <w:rsid w:val="00B22869"/>
    <w:rsid w:val="00B23ACE"/>
    <w:rsid w:val="00B240FC"/>
    <w:rsid w:val="00B247AD"/>
    <w:rsid w:val="00B24B3B"/>
    <w:rsid w:val="00B27056"/>
    <w:rsid w:val="00B27D7F"/>
    <w:rsid w:val="00B30AA2"/>
    <w:rsid w:val="00B328CA"/>
    <w:rsid w:val="00B4124C"/>
    <w:rsid w:val="00B42552"/>
    <w:rsid w:val="00B431CF"/>
    <w:rsid w:val="00B43FCA"/>
    <w:rsid w:val="00B463C1"/>
    <w:rsid w:val="00B51B23"/>
    <w:rsid w:val="00B54B64"/>
    <w:rsid w:val="00B6039F"/>
    <w:rsid w:val="00B62A3D"/>
    <w:rsid w:val="00B62DB3"/>
    <w:rsid w:val="00B64F9E"/>
    <w:rsid w:val="00B65A96"/>
    <w:rsid w:val="00B67699"/>
    <w:rsid w:val="00B761BD"/>
    <w:rsid w:val="00B81F66"/>
    <w:rsid w:val="00B92A79"/>
    <w:rsid w:val="00B97D93"/>
    <w:rsid w:val="00BA096E"/>
    <w:rsid w:val="00BA1C30"/>
    <w:rsid w:val="00BA3F41"/>
    <w:rsid w:val="00BB1887"/>
    <w:rsid w:val="00BB2AC0"/>
    <w:rsid w:val="00BB3E35"/>
    <w:rsid w:val="00BB67BD"/>
    <w:rsid w:val="00BC191E"/>
    <w:rsid w:val="00BD3590"/>
    <w:rsid w:val="00BE2FDB"/>
    <w:rsid w:val="00BF0535"/>
    <w:rsid w:val="00BF20F7"/>
    <w:rsid w:val="00BF29DA"/>
    <w:rsid w:val="00C00807"/>
    <w:rsid w:val="00C01DA8"/>
    <w:rsid w:val="00C0210F"/>
    <w:rsid w:val="00C0415B"/>
    <w:rsid w:val="00C07C24"/>
    <w:rsid w:val="00C15C5D"/>
    <w:rsid w:val="00C174A7"/>
    <w:rsid w:val="00C2546E"/>
    <w:rsid w:val="00C27261"/>
    <w:rsid w:val="00C27ED1"/>
    <w:rsid w:val="00C34BBE"/>
    <w:rsid w:val="00C40B5A"/>
    <w:rsid w:val="00C42663"/>
    <w:rsid w:val="00C44004"/>
    <w:rsid w:val="00C60FC8"/>
    <w:rsid w:val="00C62527"/>
    <w:rsid w:val="00C64983"/>
    <w:rsid w:val="00C65859"/>
    <w:rsid w:val="00C71A54"/>
    <w:rsid w:val="00C771B1"/>
    <w:rsid w:val="00C8425A"/>
    <w:rsid w:val="00C860BC"/>
    <w:rsid w:val="00C8629C"/>
    <w:rsid w:val="00C910B6"/>
    <w:rsid w:val="00C912F9"/>
    <w:rsid w:val="00C92F70"/>
    <w:rsid w:val="00C942CA"/>
    <w:rsid w:val="00C96E29"/>
    <w:rsid w:val="00CA0FF1"/>
    <w:rsid w:val="00CB1C1D"/>
    <w:rsid w:val="00CB401B"/>
    <w:rsid w:val="00CC0B17"/>
    <w:rsid w:val="00CC4102"/>
    <w:rsid w:val="00CC4698"/>
    <w:rsid w:val="00CC671F"/>
    <w:rsid w:val="00CD3310"/>
    <w:rsid w:val="00CD687D"/>
    <w:rsid w:val="00CD6C3F"/>
    <w:rsid w:val="00CE2566"/>
    <w:rsid w:val="00CE29E3"/>
    <w:rsid w:val="00CE3C98"/>
    <w:rsid w:val="00CF47DC"/>
    <w:rsid w:val="00D10403"/>
    <w:rsid w:val="00D11C56"/>
    <w:rsid w:val="00D146B6"/>
    <w:rsid w:val="00D14F9A"/>
    <w:rsid w:val="00D15057"/>
    <w:rsid w:val="00D21708"/>
    <w:rsid w:val="00D233F2"/>
    <w:rsid w:val="00D27AB4"/>
    <w:rsid w:val="00D329E2"/>
    <w:rsid w:val="00D32E68"/>
    <w:rsid w:val="00D347E0"/>
    <w:rsid w:val="00D3616A"/>
    <w:rsid w:val="00D3790C"/>
    <w:rsid w:val="00D44F3C"/>
    <w:rsid w:val="00D464C0"/>
    <w:rsid w:val="00D51445"/>
    <w:rsid w:val="00D519F6"/>
    <w:rsid w:val="00D5229C"/>
    <w:rsid w:val="00D538EA"/>
    <w:rsid w:val="00D60265"/>
    <w:rsid w:val="00D616B8"/>
    <w:rsid w:val="00D67762"/>
    <w:rsid w:val="00D70FD5"/>
    <w:rsid w:val="00D7225C"/>
    <w:rsid w:val="00D7433B"/>
    <w:rsid w:val="00D80F39"/>
    <w:rsid w:val="00D83420"/>
    <w:rsid w:val="00D85FB8"/>
    <w:rsid w:val="00D90A49"/>
    <w:rsid w:val="00D92EBE"/>
    <w:rsid w:val="00D94500"/>
    <w:rsid w:val="00D9710B"/>
    <w:rsid w:val="00DA0CA7"/>
    <w:rsid w:val="00DA288B"/>
    <w:rsid w:val="00DB102E"/>
    <w:rsid w:val="00DB3121"/>
    <w:rsid w:val="00DB3441"/>
    <w:rsid w:val="00DB4E10"/>
    <w:rsid w:val="00DB6241"/>
    <w:rsid w:val="00DC0ED6"/>
    <w:rsid w:val="00DC76FC"/>
    <w:rsid w:val="00DD2704"/>
    <w:rsid w:val="00DD4ECE"/>
    <w:rsid w:val="00DD5F72"/>
    <w:rsid w:val="00DD730D"/>
    <w:rsid w:val="00DE5E07"/>
    <w:rsid w:val="00DF7754"/>
    <w:rsid w:val="00E005DE"/>
    <w:rsid w:val="00E005F2"/>
    <w:rsid w:val="00E01732"/>
    <w:rsid w:val="00E024E9"/>
    <w:rsid w:val="00E04674"/>
    <w:rsid w:val="00E10AB9"/>
    <w:rsid w:val="00E10F3F"/>
    <w:rsid w:val="00E15462"/>
    <w:rsid w:val="00E16856"/>
    <w:rsid w:val="00E17015"/>
    <w:rsid w:val="00E2489F"/>
    <w:rsid w:val="00E2656E"/>
    <w:rsid w:val="00E273C2"/>
    <w:rsid w:val="00E35D60"/>
    <w:rsid w:val="00E370CE"/>
    <w:rsid w:val="00E4188A"/>
    <w:rsid w:val="00E41C34"/>
    <w:rsid w:val="00E433FF"/>
    <w:rsid w:val="00E43FCA"/>
    <w:rsid w:val="00E44FF8"/>
    <w:rsid w:val="00E50F68"/>
    <w:rsid w:val="00E51BBB"/>
    <w:rsid w:val="00E52210"/>
    <w:rsid w:val="00E618E0"/>
    <w:rsid w:val="00E63E91"/>
    <w:rsid w:val="00E677DA"/>
    <w:rsid w:val="00E7201F"/>
    <w:rsid w:val="00E81EF3"/>
    <w:rsid w:val="00E87C63"/>
    <w:rsid w:val="00E87C79"/>
    <w:rsid w:val="00E91952"/>
    <w:rsid w:val="00E92806"/>
    <w:rsid w:val="00E93504"/>
    <w:rsid w:val="00E93CB6"/>
    <w:rsid w:val="00E94038"/>
    <w:rsid w:val="00E947AC"/>
    <w:rsid w:val="00E959C7"/>
    <w:rsid w:val="00E96A57"/>
    <w:rsid w:val="00E97EE5"/>
    <w:rsid w:val="00EA3515"/>
    <w:rsid w:val="00EA40A1"/>
    <w:rsid w:val="00EA486C"/>
    <w:rsid w:val="00EA614E"/>
    <w:rsid w:val="00EB2CFF"/>
    <w:rsid w:val="00EB39C4"/>
    <w:rsid w:val="00EB3B1B"/>
    <w:rsid w:val="00EC7D6E"/>
    <w:rsid w:val="00ED0888"/>
    <w:rsid w:val="00ED2B44"/>
    <w:rsid w:val="00ED6BCD"/>
    <w:rsid w:val="00EE113D"/>
    <w:rsid w:val="00EF1D28"/>
    <w:rsid w:val="00EF5D8E"/>
    <w:rsid w:val="00EF7859"/>
    <w:rsid w:val="00F009BF"/>
    <w:rsid w:val="00F03528"/>
    <w:rsid w:val="00F10065"/>
    <w:rsid w:val="00F10A0F"/>
    <w:rsid w:val="00F215F4"/>
    <w:rsid w:val="00F22C1B"/>
    <w:rsid w:val="00F273E9"/>
    <w:rsid w:val="00F32109"/>
    <w:rsid w:val="00F32D97"/>
    <w:rsid w:val="00F43AF8"/>
    <w:rsid w:val="00F43B4D"/>
    <w:rsid w:val="00F50C94"/>
    <w:rsid w:val="00F52F29"/>
    <w:rsid w:val="00F62BDF"/>
    <w:rsid w:val="00F6332B"/>
    <w:rsid w:val="00F66E16"/>
    <w:rsid w:val="00F7002E"/>
    <w:rsid w:val="00F704E5"/>
    <w:rsid w:val="00F72DDB"/>
    <w:rsid w:val="00F73E5B"/>
    <w:rsid w:val="00F80D74"/>
    <w:rsid w:val="00F8231D"/>
    <w:rsid w:val="00F82B72"/>
    <w:rsid w:val="00F84C27"/>
    <w:rsid w:val="00F85361"/>
    <w:rsid w:val="00F9197A"/>
    <w:rsid w:val="00F934A3"/>
    <w:rsid w:val="00F936E3"/>
    <w:rsid w:val="00F96765"/>
    <w:rsid w:val="00FB2AFE"/>
    <w:rsid w:val="00FB4307"/>
    <w:rsid w:val="00FC323E"/>
    <w:rsid w:val="00FC462F"/>
    <w:rsid w:val="00FD2A3C"/>
    <w:rsid w:val="00FD2CE8"/>
    <w:rsid w:val="00FD303A"/>
    <w:rsid w:val="00FD5525"/>
    <w:rsid w:val="00FD7B5A"/>
    <w:rsid w:val="00FE6CA0"/>
    <w:rsid w:val="00FF3694"/>
    <w:rsid w:val="00FF4999"/>
    <w:rsid w:val="00FF56DF"/>
    <w:rsid w:val="00FF5B09"/>
    <w:rsid w:val="00FF7B42"/>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E6C2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qFormat="1"/>
    <w:lsdException w:name="heading 4"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29E2"/>
    <w:pPr>
      <w:spacing w:line="360" w:lineRule="auto"/>
      <w:jc w:val="both"/>
    </w:pPr>
  </w:style>
  <w:style w:type="paragraph" w:styleId="Heading1">
    <w:name w:val="heading 1"/>
    <w:basedOn w:val="Normal"/>
    <w:next w:val="Normal"/>
    <w:link w:val="Heading1Char"/>
    <w:uiPriority w:val="9"/>
    <w:qFormat/>
    <w:rsid w:val="00505CBD"/>
    <w:pPr>
      <w:keepNext/>
      <w:keepLines/>
      <w:numPr>
        <w:numId w:val="8"/>
      </w:numPr>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nhideWhenUsed/>
    <w:qFormat/>
    <w:rsid w:val="00505CBD"/>
    <w:pPr>
      <w:keepNext/>
      <w:keepLines/>
      <w:numPr>
        <w:ilvl w:val="1"/>
        <w:numId w:val="8"/>
      </w:numPr>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9"/>
    <w:unhideWhenUsed/>
    <w:qFormat/>
    <w:rsid w:val="00505CBD"/>
    <w:pPr>
      <w:keepNext/>
      <w:keepLines/>
      <w:numPr>
        <w:ilvl w:val="2"/>
        <w:numId w:val="8"/>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9"/>
    <w:qFormat/>
    <w:rsid w:val="00505CBD"/>
    <w:pPr>
      <w:keepNext/>
      <w:numPr>
        <w:ilvl w:val="3"/>
        <w:numId w:val="8"/>
      </w:numPr>
      <w:spacing w:before="240" w:after="60"/>
      <w:outlineLvl w:val="3"/>
    </w:pPr>
    <w:rPr>
      <w:rFonts w:asciiTheme="majorHAnsi" w:eastAsia="Cambria" w:hAnsiTheme="majorHAnsi" w:cs="Times New Roman"/>
      <w:bCs/>
      <w:i/>
      <w:szCs w:val="28"/>
      <w:lang w:val="en-US"/>
    </w:rPr>
  </w:style>
  <w:style w:type="paragraph" w:styleId="Heading5">
    <w:name w:val="heading 5"/>
    <w:basedOn w:val="Normal"/>
    <w:next w:val="Normal"/>
    <w:link w:val="Heading5Char"/>
    <w:qFormat/>
    <w:rsid w:val="00505CBD"/>
    <w:pPr>
      <w:numPr>
        <w:ilvl w:val="4"/>
        <w:numId w:val="8"/>
      </w:numPr>
      <w:spacing w:before="240" w:after="60"/>
      <w:outlineLvl w:val="4"/>
    </w:pPr>
    <w:rPr>
      <w:rFonts w:ascii="Times New Roman" w:eastAsia="Cambria" w:hAnsi="Times New Roman" w:cs="Times New Roman"/>
      <w:bCs/>
      <w:i/>
      <w:iCs/>
      <w:szCs w:val="26"/>
      <w:lang w:val="en-US"/>
    </w:rPr>
  </w:style>
  <w:style w:type="paragraph" w:styleId="Heading6">
    <w:name w:val="heading 6"/>
    <w:basedOn w:val="Normal"/>
    <w:next w:val="Normal"/>
    <w:link w:val="Heading6Char"/>
    <w:rsid w:val="00505CBD"/>
    <w:pPr>
      <w:keepNext/>
      <w:keepLines/>
      <w:numPr>
        <w:ilvl w:val="5"/>
        <w:numId w:val="8"/>
      </w:numPr>
      <w:spacing w:before="200"/>
      <w:outlineLvl w:val="5"/>
    </w:pPr>
    <w:rPr>
      <w:rFonts w:asciiTheme="majorHAnsi" w:eastAsiaTheme="majorEastAsia" w:hAnsiTheme="majorHAnsi" w:cstheme="majorBidi"/>
      <w:i/>
      <w:iCs/>
      <w:color w:val="244061" w:themeColor="accent1" w:themeShade="80"/>
    </w:rPr>
  </w:style>
  <w:style w:type="paragraph" w:styleId="Heading7">
    <w:name w:val="heading 7"/>
    <w:basedOn w:val="Normal"/>
    <w:next w:val="Normal"/>
    <w:link w:val="Heading7Char"/>
    <w:rsid w:val="00505CBD"/>
    <w:pPr>
      <w:keepNext/>
      <w:keepLines/>
      <w:numPr>
        <w:ilvl w:val="6"/>
        <w:numId w:val="8"/>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rsid w:val="00505CBD"/>
    <w:pPr>
      <w:keepNext/>
      <w:keepLines/>
      <w:numPr>
        <w:ilvl w:val="7"/>
        <w:numId w:val="8"/>
      </w:numPr>
      <w:spacing w:before="200"/>
      <w:outlineLvl w:val="7"/>
    </w:pPr>
    <w:rPr>
      <w:rFonts w:asciiTheme="majorHAnsi" w:eastAsiaTheme="majorEastAsia" w:hAnsiTheme="majorHAnsi" w:cstheme="majorBidi"/>
      <w:color w:val="363636" w:themeColor="text1" w:themeTint="C9"/>
      <w:sz w:val="20"/>
      <w:szCs w:val="20"/>
    </w:rPr>
  </w:style>
  <w:style w:type="paragraph" w:styleId="Heading9">
    <w:name w:val="heading 9"/>
    <w:basedOn w:val="Normal"/>
    <w:next w:val="Normal"/>
    <w:link w:val="Heading9Char"/>
    <w:rsid w:val="00505CBD"/>
    <w:pPr>
      <w:keepNext/>
      <w:keepLines/>
      <w:numPr>
        <w:ilvl w:val="8"/>
        <w:numId w:val="8"/>
      </w:numPr>
      <w:spacing w:before="200"/>
      <w:outlineLvl w:val="8"/>
    </w:pPr>
    <w:rPr>
      <w:rFonts w:asciiTheme="majorHAnsi" w:eastAsiaTheme="majorEastAsia" w:hAnsiTheme="majorHAnsi" w:cstheme="majorBidi"/>
      <w:i/>
      <w:iCs/>
      <w:color w:val="363636" w:themeColor="text1" w:themeTint="C9"/>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22BF"/>
    <w:pPr>
      <w:ind w:left="720"/>
      <w:contextualSpacing/>
    </w:pPr>
  </w:style>
  <w:style w:type="character" w:customStyle="1" w:styleId="Heading1Char">
    <w:name w:val="Heading 1 Char"/>
    <w:basedOn w:val="DefaultParagraphFont"/>
    <w:link w:val="Heading1"/>
    <w:uiPriority w:val="9"/>
    <w:rsid w:val="00505CBD"/>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rsid w:val="00505CB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9"/>
    <w:rsid w:val="00505CBD"/>
    <w:rPr>
      <w:rFonts w:asciiTheme="majorHAnsi" w:eastAsiaTheme="majorEastAsia" w:hAnsiTheme="majorHAnsi" w:cstheme="majorBidi"/>
      <w:b/>
      <w:bCs/>
      <w:color w:val="4F81BD" w:themeColor="accent1"/>
    </w:rPr>
  </w:style>
  <w:style w:type="paragraph" w:styleId="FootnoteText">
    <w:name w:val="footnote text"/>
    <w:basedOn w:val="Normal"/>
    <w:link w:val="FootnoteTextChar"/>
    <w:uiPriority w:val="99"/>
    <w:unhideWhenUsed/>
    <w:qFormat/>
    <w:rsid w:val="00B65A96"/>
    <w:pPr>
      <w:spacing w:line="240" w:lineRule="auto"/>
      <w:ind w:firstLine="227"/>
    </w:pPr>
    <w:rPr>
      <w:rFonts w:ascii="Cambria" w:eastAsia="Cambria" w:hAnsi="Cambria" w:cs="Times New Roman"/>
      <w:sz w:val="20"/>
      <w:szCs w:val="20"/>
    </w:rPr>
  </w:style>
  <w:style w:type="character" w:customStyle="1" w:styleId="FootnoteTextChar">
    <w:name w:val="Footnote Text Char"/>
    <w:basedOn w:val="DefaultParagraphFont"/>
    <w:link w:val="FootnoteText"/>
    <w:uiPriority w:val="99"/>
    <w:rsid w:val="00B65A96"/>
    <w:rPr>
      <w:rFonts w:ascii="Cambria" w:eastAsia="Cambria" w:hAnsi="Cambria" w:cs="Times New Roman"/>
      <w:sz w:val="20"/>
      <w:szCs w:val="20"/>
    </w:rPr>
  </w:style>
  <w:style w:type="character" w:styleId="FootnoteReference">
    <w:name w:val="footnote reference"/>
    <w:basedOn w:val="DefaultParagraphFont"/>
    <w:uiPriority w:val="99"/>
    <w:unhideWhenUsed/>
    <w:rsid w:val="00B247AD"/>
    <w:rPr>
      <w:vertAlign w:val="superscript"/>
    </w:rPr>
  </w:style>
  <w:style w:type="character" w:styleId="Emphasis">
    <w:name w:val="Emphasis"/>
    <w:basedOn w:val="DefaultParagraphFont"/>
    <w:uiPriority w:val="20"/>
    <w:qFormat/>
    <w:rsid w:val="0046442C"/>
    <w:rPr>
      <w:i/>
      <w:iCs/>
    </w:rPr>
  </w:style>
  <w:style w:type="paragraph" w:styleId="CommentText">
    <w:name w:val="annotation text"/>
    <w:basedOn w:val="Normal"/>
    <w:link w:val="CommentTextChar"/>
    <w:uiPriority w:val="99"/>
    <w:unhideWhenUsed/>
    <w:rsid w:val="00C27261"/>
    <w:rPr>
      <w:lang w:val="en-US"/>
    </w:rPr>
  </w:style>
  <w:style w:type="character" w:customStyle="1" w:styleId="CommentTextChar">
    <w:name w:val="Comment Text Char"/>
    <w:basedOn w:val="DefaultParagraphFont"/>
    <w:link w:val="CommentText"/>
    <w:uiPriority w:val="99"/>
    <w:rsid w:val="00C27261"/>
    <w:rPr>
      <w:lang w:val="en-US"/>
    </w:rPr>
  </w:style>
  <w:style w:type="paragraph" w:styleId="HTMLPreformatted">
    <w:name w:val="HTML Preformatted"/>
    <w:basedOn w:val="Normal"/>
    <w:link w:val="HTMLPreformattedChar"/>
    <w:uiPriority w:val="99"/>
    <w:semiHidden/>
    <w:unhideWhenUsed/>
    <w:rsid w:val="00622A8B"/>
    <w:pPr>
      <w:spacing w:line="240" w:lineRule="auto"/>
    </w:pPr>
    <w:rPr>
      <w:rFonts w:ascii="Courier" w:hAnsi="Courier"/>
      <w:sz w:val="20"/>
      <w:szCs w:val="20"/>
    </w:rPr>
  </w:style>
  <w:style w:type="paragraph" w:customStyle="1" w:styleId="Default">
    <w:name w:val="Default"/>
    <w:rsid w:val="00433016"/>
    <w:pPr>
      <w:widowControl w:val="0"/>
      <w:autoSpaceDE w:val="0"/>
      <w:autoSpaceDN w:val="0"/>
      <w:adjustRightInd w:val="0"/>
    </w:pPr>
    <w:rPr>
      <w:rFonts w:ascii="Janson Text LT Std" w:hAnsi="Janson Text LT Std" w:cs="Janson Text LT Std"/>
      <w:color w:val="000000"/>
      <w:lang w:val="en-US"/>
    </w:rPr>
  </w:style>
  <w:style w:type="character" w:customStyle="1" w:styleId="A19">
    <w:name w:val="A19"/>
    <w:uiPriority w:val="99"/>
    <w:rsid w:val="00433016"/>
    <w:rPr>
      <w:rFonts w:cs="Janson Text LT Std"/>
      <w:color w:val="000000"/>
      <w:sz w:val="12"/>
      <w:szCs w:val="12"/>
    </w:rPr>
  </w:style>
  <w:style w:type="character" w:styleId="Hyperlink">
    <w:name w:val="Hyperlink"/>
    <w:basedOn w:val="DefaultParagraphFont"/>
    <w:rsid w:val="001337D0"/>
    <w:rPr>
      <w:color w:val="0000FF"/>
      <w:u w:val="single"/>
    </w:rPr>
  </w:style>
  <w:style w:type="character" w:customStyle="1" w:styleId="outputecliaff">
    <w:name w:val="outputecliaff"/>
    <w:basedOn w:val="DefaultParagraphFont"/>
    <w:rsid w:val="00DA0CA7"/>
  </w:style>
  <w:style w:type="character" w:customStyle="1" w:styleId="Heading4Char">
    <w:name w:val="Heading 4 Char"/>
    <w:basedOn w:val="DefaultParagraphFont"/>
    <w:link w:val="Heading4"/>
    <w:uiPriority w:val="99"/>
    <w:rsid w:val="00505CBD"/>
    <w:rPr>
      <w:rFonts w:asciiTheme="majorHAnsi" w:eastAsia="Cambria" w:hAnsiTheme="majorHAnsi" w:cs="Times New Roman"/>
      <w:bCs/>
      <w:i/>
      <w:szCs w:val="28"/>
      <w:lang w:val="en-US"/>
    </w:rPr>
  </w:style>
  <w:style w:type="character" w:customStyle="1" w:styleId="Heading5Char">
    <w:name w:val="Heading 5 Char"/>
    <w:basedOn w:val="DefaultParagraphFont"/>
    <w:link w:val="Heading5"/>
    <w:rsid w:val="00505CBD"/>
    <w:rPr>
      <w:rFonts w:ascii="Times New Roman" w:eastAsia="Cambria" w:hAnsi="Times New Roman" w:cs="Times New Roman"/>
      <w:bCs/>
      <w:i/>
      <w:iCs/>
      <w:szCs w:val="26"/>
      <w:lang w:val="en-US"/>
    </w:rPr>
  </w:style>
  <w:style w:type="character" w:customStyle="1" w:styleId="Heading6Char">
    <w:name w:val="Heading 6 Char"/>
    <w:basedOn w:val="DefaultParagraphFont"/>
    <w:link w:val="Heading6"/>
    <w:rsid w:val="00505CBD"/>
    <w:rPr>
      <w:rFonts w:asciiTheme="majorHAnsi" w:eastAsiaTheme="majorEastAsia" w:hAnsiTheme="majorHAnsi" w:cstheme="majorBidi"/>
      <w:i/>
      <w:iCs/>
      <w:color w:val="244061" w:themeColor="accent1" w:themeShade="80"/>
    </w:rPr>
  </w:style>
  <w:style w:type="character" w:customStyle="1" w:styleId="Heading7Char">
    <w:name w:val="Heading 7 Char"/>
    <w:basedOn w:val="DefaultParagraphFont"/>
    <w:link w:val="Heading7"/>
    <w:rsid w:val="00505CBD"/>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505CBD"/>
    <w:rPr>
      <w:rFonts w:asciiTheme="majorHAnsi" w:eastAsiaTheme="majorEastAsia" w:hAnsiTheme="majorHAnsi" w:cstheme="majorBidi"/>
      <w:color w:val="363636" w:themeColor="text1" w:themeTint="C9"/>
      <w:sz w:val="20"/>
      <w:szCs w:val="20"/>
    </w:rPr>
  </w:style>
  <w:style w:type="character" w:customStyle="1" w:styleId="Heading9Char">
    <w:name w:val="Heading 9 Char"/>
    <w:basedOn w:val="DefaultParagraphFont"/>
    <w:link w:val="Heading9"/>
    <w:rsid w:val="00505CBD"/>
    <w:rPr>
      <w:rFonts w:asciiTheme="majorHAnsi" w:eastAsiaTheme="majorEastAsia" w:hAnsiTheme="majorHAnsi" w:cstheme="majorBidi"/>
      <w:i/>
      <w:iCs/>
      <w:color w:val="363636" w:themeColor="text1" w:themeTint="C9"/>
      <w:sz w:val="20"/>
      <w:szCs w:val="20"/>
    </w:rPr>
  </w:style>
  <w:style w:type="paragraph" w:styleId="Footer">
    <w:name w:val="footer"/>
    <w:basedOn w:val="Normal"/>
    <w:link w:val="FooterChar"/>
    <w:uiPriority w:val="99"/>
    <w:unhideWhenUsed/>
    <w:rsid w:val="007764EB"/>
    <w:pPr>
      <w:tabs>
        <w:tab w:val="center" w:pos="4320"/>
        <w:tab w:val="right" w:pos="8640"/>
      </w:tabs>
    </w:pPr>
  </w:style>
  <w:style w:type="character" w:customStyle="1" w:styleId="FooterChar">
    <w:name w:val="Footer Char"/>
    <w:basedOn w:val="DefaultParagraphFont"/>
    <w:link w:val="Footer"/>
    <w:uiPriority w:val="99"/>
    <w:rsid w:val="007764EB"/>
  </w:style>
  <w:style w:type="character" w:styleId="PageNumber">
    <w:name w:val="page number"/>
    <w:basedOn w:val="DefaultParagraphFont"/>
    <w:uiPriority w:val="99"/>
    <w:semiHidden/>
    <w:unhideWhenUsed/>
    <w:rsid w:val="007764EB"/>
  </w:style>
  <w:style w:type="paragraph" w:styleId="Title">
    <w:name w:val="Title"/>
    <w:basedOn w:val="Normal"/>
    <w:next w:val="Normal"/>
    <w:link w:val="TitleChar"/>
    <w:uiPriority w:val="10"/>
    <w:qFormat/>
    <w:rsid w:val="004067D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numbering" w:styleId="111111">
    <w:name w:val="Outline List 2"/>
    <w:basedOn w:val="NoList"/>
    <w:uiPriority w:val="99"/>
    <w:semiHidden/>
    <w:unhideWhenUsed/>
    <w:rsid w:val="00505CBD"/>
    <w:pPr>
      <w:numPr>
        <w:numId w:val="5"/>
      </w:numPr>
    </w:pPr>
  </w:style>
  <w:style w:type="character" w:customStyle="1" w:styleId="TitleChar">
    <w:name w:val="Title Char"/>
    <w:basedOn w:val="DefaultParagraphFont"/>
    <w:link w:val="Title"/>
    <w:uiPriority w:val="10"/>
    <w:rsid w:val="004067DA"/>
    <w:rPr>
      <w:rFonts w:asciiTheme="majorHAnsi" w:eastAsiaTheme="majorEastAsia" w:hAnsiTheme="majorHAnsi" w:cstheme="majorBidi"/>
      <w:color w:val="17365D" w:themeColor="text2" w:themeShade="BF"/>
      <w:spacing w:val="5"/>
      <w:kern w:val="28"/>
      <w:sz w:val="52"/>
      <w:szCs w:val="52"/>
    </w:rPr>
  </w:style>
  <w:style w:type="paragraph" w:styleId="TOC1">
    <w:name w:val="toc 1"/>
    <w:basedOn w:val="Normal"/>
    <w:next w:val="Normal"/>
    <w:autoRedefine/>
    <w:uiPriority w:val="39"/>
    <w:unhideWhenUsed/>
    <w:rsid w:val="00B30AA2"/>
    <w:pPr>
      <w:spacing w:before="120"/>
      <w:jc w:val="left"/>
    </w:pPr>
    <w:rPr>
      <w:b/>
    </w:rPr>
  </w:style>
  <w:style w:type="paragraph" w:styleId="TOC2">
    <w:name w:val="toc 2"/>
    <w:basedOn w:val="Normal"/>
    <w:next w:val="Normal"/>
    <w:autoRedefine/>
    <w:uiPriority w:val="39"/>
    <w:unhideWhenUsed/>
    <w:rsid w:val="00B30AA2"/>
    <w:pPr>
      <w:ind w:left="240"/>
      <w:jc w:val="left"/>
    </w:pPr>
    <w:rPr>
      <w:b/>
      <w:sz w:val="22"/>
      <w:szCs w:val="22"/>
    </w:rPr>
  </w:style>
  <w:style w:type="paragraph" w:styleId="TOC3">
    <w:name w:val="toc 3"/>
    <w:basedOn w:val="Normal"/>
    <w:next w:val="Normal"/>
    <w:autoRedefine/>
    <w:uiPriority w:val="39"/>
    <w:unhideWhenUsed/>
    <w:rsid w:val="00B30AA2"/>
    <w:pPr>
      <w:ind w:left="480"/>
      <w:jc w:val="left"/>
    </w:pPr>
    <w:rPr>
      <w:sz w:val="22"/>
      <w:szCs w:val="22"/>
    </w:rPr>
  </w:style>
  <w:style w:type="paragraph" w:styleId="TOC4">
    <w:name w:val="toc 4"/>
    <w:basedOn w:val="Normal"/>
    <w:next w:val="Normal"/>
    <w:autoRedefine/>
    <w:uiPriority w:val="39"/>
    <w:unhideWhenUsed/>
    <w:rsid w:val="00B30AA2"/>
    <w:pPr>
      <w:ind w:left="720"/>
      <w:jc w:val="left"/>
    </w:pPr>
    <w:rPr>
      <w:sz w:val="20"/>
      <w:szCs w:val="20"/>
    </w:rPr>
  </w:style>
  <w:style w:type="paragraph" w:styleId="TOC5">
    <w:name w:val="toc 5"/>
    <w:basedOn w:val="Normal"/>
    <w:next w:val="Normal"/>
    <w:autoRedefine/>
    <w:uiPriority w:val="39"/>
    <w:unhideWhenUsed/>
    <w:rsid w:val="00B30AA2"/>
    <w:pPr>
      <w:ind w:left="960"/>
      <w:jc w:val="left"/>
    </w:pPr>
    <w:rPr>
      <w:sz w:val="20"/>
      <w:szCs w:val="20"/>
    </w:rPr>
  </w:style>
  <w:style w:type="paragraph" w:styleId="TOC6">
    <w:name w:val="toc 6"/>
    <w:basedOn w:val="Normal"/>
    <w:next w:val="Normal"/>
    <w:autoRedefine/>
    <w:uiPriority w:val="39"/>
    <w:unhideWhenUsed/>
    <w:rsid w:val="00B30AA2"/>
    <w:pPr>
      <w:ind w:left="1200"/>
      <w:jc w:val="left"/>
    </w:pPr>
    <w:rPr>
      <w:sz w:val="20"/>
      <w:szCs w:val="20"/>
    </w:rPr>
  </w:style>
  <w:style w:type="paragraph" w:styleId="TOC7">
    <w:name w:val="toc 7"/>
    <w:basedOn w:val="Normal"/>
    <w:next w:val="Normal"/>
    <w:autoRedefine/>
    <w:uiPriority w:val="39"/>
    <w:unhideWhenUsed/>
    <w:rsid w:val="00B30AA2"/>
    <w:pPr>
      <w:ind w:left="1440"/>
      <w:jc w:val="left"/>
    </w:pPr>
    <w:rPr>
      <w:sz w:val="20"/>
      <w:szCs w:val="20"/>
    </w:rPr>
  </w:style>
  <w:style w:type="paragraph" w:styleId="TOC8">
    <w:name w:val="toc 8"/>
    <w:basedOn w:val="Normal"/>
    <w:next w:val="Normal"/>
    <w:autoRedefine/>
    <w:uiPriority w:val="39"/>
    <w:unhideWhenUsed/>
    <w:rsid w:val="00B30AA2"/>
    <w:pPr>
      <w:ind w:left="1680"/>
      <w:jc w:val="left"/>
    </w:pPr>
    <w:rPr>
      <w:sz w:val="20"/>
      <w:szCs w:val="20"/>
    </w:rPr>
  </w:style>
  <w:style w:type="paragraph" w:styleId="TOC9">
    <w:name w:val="toc 9"/>
    <w:basedOn w:val="Normal"/>
    <w:next w:val="Normal"/>
    <w:autoRedefine/>
    <w:uiPriority w:val="39"/>
    <w:unhideWhenUsed/>
    <w:rsid w:val="00B30AA2"/>
    <w:pPr>
      <w:ind w:left="1920"/>
      <w:jc w:val="left"/>
    </w:pPr>
    <w:rPr>
      <w:sz w:val="20"/>
      <w:szCs w:val="20"/>
    </w:rPr>
  </w:style>
  <w:style w:type="character" w:styleId="CommentReference">
    <w:name w:val="annotation reference"/>
    <w:basedOn w:val="DefaultParagraphFont"/>
    <w:uiPriority w:val="99"/>
    <w:semiHidden/>
    <w:unhideWhenUsed/>
    <w:rsid w:val="006C55C2"/>
    <w:rPr>
      <w:sz w:val="16"/>
      <w:szCs w:val="16"/>
    </w:rPr>
  </w:style>
  <w:style w:type="paragraph" w:styleId="CommentSubject">
    <w:name w:val="annotation subject"/>
    <w:basedOn w:val="CommentText"/>
    <w:next w:val="CommentText"/>
    <w:link w:val="CommentSubjectChar"/>
    <w:uiPriority w:val="99"/>
    <w:semiHidden/>
    <w:unhideWhenUsed/>
    <w:rsid w:val="006C55C2"/>
    <w:pPr>
      <w:spacing w:line="240" w:lineRule="auto"/>
    </w:pPr>
    <w:rPr>
      <w:b/>
      <w:bCs/>
      <w:sz w:val="20"/>
      <w:szCs w:val="20"/>
      <w:lang w:val="en-GB"/>
    </w:rPr>
  </w:style>
  <w:style w:type="character" w:customStyle="1" w:styleId="CommentSubjectChar">
    <w:name w:val="Comment Subject Char"/>
    <w:basedOn w:val="CommentTextChar"/>
    <w:link w:val="CommentSubject"/>
    <w:uiPriority w:val="99"/>
    <w:semiHidden/>
    <w:rsid w:val="006C55C2"/>
    <w:rPr>
      <w:b/>
      <w:bCs/>
      <w:sz w:val="20"/>
      <w:szCs w:val="20"/>
      <w:lang w:val="en-US"/>
    </w:rPr>
  </w:style>
  <w:style w:type="paragraph" w:styleId="BalloonText">
    <w:name w:val="Balloon Text"/>
    <w:basedOn w:val="Normal"/>
    <w:link w:val="BalloonTextChar"/>
    <w:uiPriority w:val="99"/>
    <w:semiHidden/>
    <w:unhideWhenUsed/>
    <w:rsid w:val="006C55C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55C2"/>
    <w:rPr>
      <w:rFonts w:ascii="Tahoma" w:hAnsi="Tahoma" w:cs="Tahoma"/>
      <w:sz w:val="16"/>
      <w:szCs w:val="16"/>
    </w:rPr>
  </w:style>
  <w:style w:type="paragraph" w:styleId="Revision">
    <w:name w:val="Revision"/>
    <w:hidden/>
    <w:uiPriority w:val="99"/>
    <w:semiHidden/>
    <w:rsid w:val="009F39B9"/>
  </w:style>
  <w:style w:type="paragraph" w:styleId="Header">
    <w:name w:val="header"/>
    <w:basedOn w:val="Normal"/>
    <w:link w:val="HeaderChar"/>
    <w:uiPriority w:val="99"/>
    <w:unhideWhenUsed/>
    <w:rsid w:val="003B4D80"/>
    <w:pPr>
      <w:tabs>
        <w:tab w:val="center" w:pos="4513"/>
        <w:tab w:val="right" w:pos="9026"/>
      </w:tabs>
      <w:spacing w:line="240" w:lineRule="auto"/>
    </w:pPr>
  </w:style>
  <w:style w:type="character" w:customStyle="1" w:styleId="HeaderChar">
    <w:name w:val="Header Char"/>
    <w:basedOn w:val="DefaultParagraphFont"/>
    <w:link w:val="Header"/>
    <w:uiPriority w:val="99"/>
    <w:rsid w:val="003B4D80"/>
  </w:style>
  <w:style w:type="character" w:styleId="FollowedHyperlink">
    <w:name w:val="FollowedHyperlink"/>
    <w:basedOn w:val="DefaultParagraphFont"/>
    <w:uiPriority w:val="99"/>
    <w:semiHidden/>
    <w:unhideWhenUsed/>
    <w:rsid w:val="001F4E01"/>
    <w:rPr>
      <w:color w:val="800080" w:themeColor="followedHyperlink"/>
      <w:u w:val="single"/>
    </w:rPr>
  </w:style>
  <w:style w:type="character" w:customStyle="1" w:styleId="HTMLPreformattedChar">
    <w:name w:val="HTML Preformatted Char"/>
    <w:basedOn w:val="DefaultParagraphFont"/>
    <w:link w:val="HTMLPreformatted"/>
    <w:uiPriority w:val="99"/>
    <w:semiHidden/>
    <w:rsid w:val="00622A8B"/>
    <w:rPr>
      <w:rFonts w:ascii="Courier" w:hAnsi="Courier"/>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qFormat="1"/>
    <w:lsdException w:name="heading 4"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29E2"/>
    <w:pPr>
      <w:spacing w:line="360" w:lineRule="auto"/>
      <w:jc w:val="both"/>
    </w:pPr>
  </w:style>
  <w:style w:type="paragraph" w:styleId="Heading1">
    <w:name w:val="heading 1"/>
    <w:basedOn w:val="Normal"/>
    <w:next w:val="Normal"/>
    <w:link w:val="Heading1Char"/>
    <w:uiPriority w:val="9"/>
    <w:qFormat/>
    <w:rsid w:val="00505CBD"/>
    <w:pPr>
      <w:keepNext/>
      <w:keepLines/>
      <w:numPr>
        <w:numId w:val="8"/>
      </w:numPr>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nhideWhenUsed/>
    <w:qFormat/>
    <w:rsid w:val="00505CBD"/>
    <w:pPr>
      <w:keepNext/>
      <w:keepLines/>
      <w:numPr>
        <w:ilvl w:val="1"/>
        <w:numId w:val="8"/>
      </w:numPr>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9"/>
    <w:unhideWhenUsed/>
    <w:qFormat/>
    <w:rsid w:val="00505CBD"/>
    <w:pPr>
      <w:keepNext/>
      <w:keepLines/>
      <w:numPr>
        <w:ilvl w:val="2"/>
        <w:numId w:val="8"/>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9"/>
    <w:qFormat/>
    <w:rsid w:val="00505CBD"/>
    <w:pPr>
      <w:keepNext/>
      <w:numPr>
        <w:ilvl w:val="3"/>
        <w:numId w:val="8"/>
      </w:numPr>
      <w:spacing w:before="240" w:after="60"/>
      <w:outlineLvl w:val="3"/>
    </w:pPr>
    <w:rPr>
      <w:rFonts w:asciiTheme="majorHAnsi" w:eastAsia="Cambria" w:hAnsiTheme="majorHAnsi" w:cs="Times New Roman"/>
      <w:bCs/>
      <w:i/>
      <w:szCs w:val="28"/>
      <w:lang w:val="en-US"/>
    </w:rPr>
  </w:style>
  <w:style w:type="paragraph" w:styleId="Heading5">
    <w:name w:val="heading 5"/>
    <w:basedOn w:val="Normal"/>
    <w:next w:val="Normal"/>
    <w:link w:val="Heading5Char"/>
    <w:qFormat/>
    <w:rsid w:val="00505CBD"/>
    <w:pPr>
      <w:numPr>
        <w:ilvl w:val="4"/>
        <w:numId w:val="8"/>
      </w:numPr>
      <w:spacing w:before="240" w:after="60"/>
      <w:outlineLvl w:val="4"/>
    </w:pPr>
    <w:rPr>
      <w:rFonts w:ascii="Times New Roman" w:eastAsia="Cambria" w:hAnsi="Times New Roman" w:cs="Times New Roman"/>
      <w:bCs/>
      <w:i/>
      <w:iCs/>
      <w:szCs w:val="26"/>
      <w:lang w:val="en-US"/>
    </w:rPr>
  </w:style>
  <w:style w:type="paragraph" w:styleId="Heading6">
    <w:name w:val="heading 6"/>
    <w:basedOn w:val="Normal"/>
    <w:next w:val="Normal"/>
    <w:link w:val="Heading6Char"/>
    <w:rsid w:val="00505CBD"/>
    <w:pPr>
      <w:keepNext/>
      <w:keepLines/>
      <w:numPr>
        <w:ilvl w:val="5"/>
        <w:numId w:val="8"/>
      </w:numPr>
      <w:spacing w:before="200"/>
      <w:outlineLvl w:val="5"/>
    </w:pPr>
    <w:rPr>
      <w:rFonts w:asciiTheme="majorHAnsi" w:eastAsiaTheme="majorEastAsia" w:hAnsiTheme="majorHAnsi" w:cstheme="majorBidi"/>
      <w:i/>
      <w:iCs/>
      <w:color w:val="244061" w:themeColor="accent1" w:themeShade="80"/>
    </w:rPr>
  </w:style>
  <w:style w:type="paragraph" w:styleId="Heading7">
    <w:name w:val="heading 7"/>
    <w:basedOn w:val="Normal"/>
    <w:next w:val="Normal"/>
    <w:link w:val="Heading7Char"/>
    <w:rsid w:val="00505CBD"/>
    <w:pPr>
      <w:keepNext/>
      <w:keepLines/>
      <w:numPr>
        <w:ilvl w:val="6"/>
        <w:numId w:val="8"/>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rsid w:val="00505CBD"/>
    <w:pPr>
      <w:keepNext/>
      <w:keepLines/>
      <w:numPr>
        <w:ilvl w:val="7"/>
        <w:numId w:val="8"/>
      </w:numPr>
      <w:spacing w:before="200"/>
      <w:outlineLvl w:val="7"/>
    </w:pPr>
    <w:rPr>
      <w:rFonts w:asciiTheme="majorHAnsi" w:eastAsiaTheme="majorEastAsia" w:hAnsiTheme="majorHAnsi" w:cstheme="majorBidi"/>
      <w:color w:val="363636" w:themeColor="text1" w:themeTint="C9"/>
      <w:sz w:val="20"/>
      <w:szCs w:val="20"/>
    </w:rPr>
  </w:style>
  <w:style w:type="paragraph" w:styleId="Heading9">
    <w:name w:val="heading 9"/>
    <w:basedOn w:val="Normal"/>
    <w:next w:val="Normal"/>
    <w:link w:val="Heading9Char"/>
    <w:rsid w:val="00505CBD"/>
    <w:pPr>
      <w:keepNext/>
      <w:keepLines/>
      <w:numPr>
        <w:ilvl w:val="8"/>
        <w:numId w:val="8"/>
      </w:numPr>
      <w:spacing w:before="200"/>
      <w:outlineLvl w:val="8"/>
    </w:pPr>
    <w:rPr>
      <w:rFonts w:asciiTheme="majorHAnsi" w:eastAsiaTheme="majorEastAsia" w:hAnsiTheme="majorHAnsi" w:cstheme="majorBidi"/>
      <w:i/>
      <w:iCs/>
      <w:color w:val="363636" w:themeColor="text1" w:themeTint="C9"/>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22BF"/>
    <w:pPr>
      <w:ind w:left="720"/>
      <w:contextualSpacing/>
    </w:pPr>
  </w:style>
  <w:style w:type="character" w:customStyle="1" w:styleId="Heading1Char">
    <w:name w:val="Heading 1 Char"/>
    <w:basedOn w:val="DefaultParagraphFont"/>
    <w:link w:val="Heading1"/>
    <w:uiPriority w:val="9"/>
    <w:rsid w:val="00505CBD"/>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rsid w:val="00505CB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9"/>
    <w:rsid w:val="00505CBD"/>
    <w:rPr>
      <w:rFonts w:asciiTheme="majorHAnsi" w:eastAsiaTheme="majorEastAsia" w:hAnsiTheme="majorHAnsi" w:cstheme="majorBidi"/>
      <w:b/>
      <w:bCs/>
      <w:color w:val="4F81BD" w:themeColor="accent1"/>
    </w:rPr>
  </w:style>
  <w:style w:type="paragraph" w:styleId="FootnoteText">
    <w:name w:val="footnote text"/>
    <w:basedOn w:val="Normal"/>
    <w:link w:val="FootnoteTextChar"/>
    <w:uiPriority w:val="99"/>
    <w:unhideWhenUsed/>
    <w:qFormat/>
    <w:rsid w:val="00B65A96"/>
    <w:pPr>
      <w:spacing w:line="240" w:lineRule="auto"/>
      <w:ind w:firstLine="227"/>
    </w:pPr>
    <w:rPr>
      <w:rFonts w:ascii="Cambria" w:eastAsia="Cambria" w:hAnsi="Cambria" w:cs="Times New Roman"/>
      <w:sz w:val="20"/>
      <w:szCs w:val="20"/>
    </w:rPr>
  </w:style>
  <w:style w:type="character" w:customStyle="1" w:styleId="FootnoteTextChar">
    <w:name w:val="Footnote Text Char"/>
    <w:basedOn w:val="DefaultParagraphFont"/>
    <w:link w:val="FootnoteText"/>
    <w:uiPriority w:val="99"/>
    <w:rsid w:val="00B65A96"/>
    <w:rPr>
      <w:rFonts w:ascii="Cambria" w:eastAsia="Cambria" w:hAnsi="Cambria" w:cs="Times New Roman"/>
      <w:sz w:val="20"/>
      <w:szCs w:val="20"/>
    </w:rPr>
  </w:style>
  <w:style w:type="character" w:styleId="FootnoteReference">
    <w:name w:val="footnote reference"/>
    <w:basedOn w:val="DefaultParagraphFont"/>
    <w:uiPriority w:val="99"/>
    <w:unhideWhenUsed/>
    <w:rsid w:val="00B247AD"/>
    <w:rPr>
      <w:vertAlign w:val="superscript"/>
    </w:rPr>
  </w:style>
  <w:style w:type="character" w:styleId="Emphasis">
    <w:name w:val="Emphasis"/>
    <w:basedOn w:val="DefaultParagraphFont"/>
    <w:uiPriority w:val="20"/>
    <w:qFormat/>
    <w:rsid w:val="0046442C"/>
    <w:rPr>
      <w:i/>
      <w:iCs/>
    </w:rPr>
  </w:style>
  <w:style w:type="paragraph" w:styleId="CommentText">
    <w:name w:val="annotation text"/>
    <w:basedOn w:val="Normal"/>
    <w:link w:val="CommentTextChar"/>
    <w:uiPriority w:val="99"/>
    <w:unhideWhenUsed/>
    <w:rsid w:val="00C27261"/>
    <w:rPr>
      <w:lang w:val="en-US"/>
    </w:rPr>
  </w:style>
  <w:style w:type="character" w:customStyle="1" w:styleId="CommentTextChar">
    <w:name w:val="Comment Text Char"/>
    <w:basedOn w:val="DefaultParagraphFont"/>
    <w:link w:val="CommentText"/>
    <w:uiPriority w:val="99"/>
    <w:rsid w:val="00C27261"/>
    <w:rPr>
      <w:lang w:val="en-US"/>
    </w:rPr>
  </w:style>
  <w:style w:type="paragraph" w:styleId="HTMLPreformatted">
    <w:name w:val="HTML Preformatted"/>
    <w:basedOn w:val="Normal"/>
    <w:link w:val="HTMLPreformattedChar"/>
    <w:uiPriority w:val="99"/>
    <w:semiHidden/>
    <w:unhideWhenUsed/>
    <w:rsid w:val="00622A8B"/>
    <w:pPr>
      <w:spacing w:line="240" w:lineRule="auto"/>
    </w:pPr>
    <w:rPr>
      <w:rFonts w:ascii="Courier" w:hAnsi="Courier"/>
      <w:sz w:val="20"/>
      <w:szCs w:val="20"/>
    </w:rPr>
  </w:style>
  <w:style w:type="paragraph" w:customStyle="1" w:styleId="Default">
    <w:name w:val="Default"/>
    <w:rsid w:val="00433016"/>
    <w:pPr>
      <w:widowControl w:val="0"/>
      <w:autoSpaceDE w:val="0"/>
      <w:autoSpaceDN w:val="0"/>
      <w:adjustRightInd w:val="0"/>
    </w:pPr>
    <w:rPr>
      <w:rFonts w:ascii="Janson Text LT Std" w:hAnsi="Janson Text LT Std" w:cs="Janson Text LT Std"/>
      <w:color w:val="000000"/>
      <w:lang w:val="en-US"/>
    </w:rPr>
  </w:style>
  <w:style w:type="character" w:customStyle="1" w:styleId="A19">
    <w:name w:val="A19"/>
    <w:uiPriority w:val="99"/>
    <w:rsid w:val="00433016"/>
    <w:rPr>
      <w:rFonts w:cs="Janson Text LT Std"/>
      <w:color w:val="000000"/>
      <w:sz w:val="12"/>
      <w:szCs w:val="12"/>
    </w:rPr>
  </w:style>
  <w:style w:type="character" w:styleId="Hyperlink">
    <w:name w:val="Hyperlink"/>
    <w:basedOn w:val="DefaultParagraphFont"/>
    <w:rsid w:val="001337D0"/>
    <w:rPr>
      <w:color w:val="0000FF"/>
      <w:u w:val="single"/>
    </w:rPr>
  </w:style>
  <w:style w:type="character" w:customStyle="1" w:styleId="outputecliaff">
    <w:name w:val="outputecliaff"/>
    <w:basedOn w:val="DefaultParagraphFont"/>
    <w:rsid w:val="00DA0CA7"/>
  </w:style>
  <w:style w:type="character" w:customStyle="1" w:styleId="Heading4Char">
    <w:name w:val="Heading 4 Char"/>
    <w:basedOn w:val="DefaultParagraphFont"/>
    <w:link w:val="Heading4"/>
    <w:uiPriority w:val="99"/>
    <w:rsid w:val="00505CBD"/>
    <w:rPr>
      <w:rFonts w:asciiTheme="majorHAnsi" w:eastAsia="Cambria" w:hAnsiTheme="majorHAnsi" w:cs="Times New Roman"/>
      <w:bCs/>
      <w:i/>
      <w:szCs w:val="28"/>
      <w:lang w:val="en-US"/>
    </w:rPr>
  </w:style>
  <w:style w:type="character" w:customStyle="1" w:styleId="Heading5Char">
    <w:name w:val="Heading 5 Char"/>
    <w:basedOn w:val="DefaultParagraphFont"/>
    <w:link w:val="Heading5"/>
    <w:rsid w:val="00505CBD"/>
    <w:rPr>
      <w:rFonts w:ascii="Times New Roman" w:eastAsia="Cambria" w:hAnsi="Times New Roman" w:cs="Times New Roman"/>
      <w:bCs/>
      <w:i/>
      <w:iCs/>
      <w:szCs w:val="26"/>
      <w:lang w:val="en-US"/>
    </w:rPr>
  </w:style>
  <w:style w:type="character" w:customStyle="1" w:styleId="Heading6Char">
    <w:name w:val="Heading 6 Char"/>
    <w:basedOn w:val="DefaultParagraphFont"/>
    <w:link w:val="Heading6"/>
    <w:rsid w:val="00505CBD"/>
    <w:rPr>
      <w:rFonts w:asciiTheme="majorHAnsi" w:eastAsiaTheme="majorEastAsia" w:hAnsiTheme="majorHAnsi" w:cstheme="majorBidi"/>
      <w:i/>
      <w:iCs/>
      <w:color w:val="244061" w:themeColor="accent1" w:themeShade="80"/>
    </w:rPr>
  </w:style>
  <w:style w:type="character" w:customStyle="1" w:styleId="Heading7Char">
    <w:name w:val="Heading 7 Char"/>
    <w:basedOn w:val="DefaultParagraphFont"/>
    <w:link w:val="Heading7"/>
    <w:rsid w:val="00505CBD"/>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505CBD"/>
    <w:rPr>
      <w:rFonts w:asciiTheme="majorHAnsi" w:eastAsiaTheme="majorEastAsia" w:hAnsiTheme="majorHAnsi" w:cstheme="majorBidi"/>
      <w:color w:val="363636" w:themeColor="text1" w:themeTint="C9"/>
      <w:sz w:val="20"/>
      <w:szCs w:val="20"/>
    </w:rPr>
  </w:style>
  <w:style w:type="character" w:customStyle="1" w:styleId="Heading9Char">
    <w:name w:val="Heading 9 Char"/>
    <w:basedOn w:val="DefaultParagraphFont"/>
    <w:link w:val="Heading9"/>
    <w:rsid w:val="00505CBD"/>
    <w:rPr>
      <w:rFonts w:asciiTheme="majorHAnsi" w:eastAsiaTheme="majorEastAsia" w:hAnsiTheme="majorHAnsi" w:cstheme="majorBidi"/>
      <w:i/>
      <w:iCs/>
      <w:color w:val="363636" w:themeColor="text1" w:themeTint="C9"/>
      <w:sz w:val="20"/>
      <w:szCs w:val="20"/>
    </w:rPr>
  </w:style>
  <w:style w:type="paragraph" w:styleId="Footer">
    <w:name w:val="footer"/>
    <w:basedOn w:val="Normal"/>
    <w:link w:val="FooterChar"/>
    <w:uiPriority w:val="99"/>
    <w:unhideWhenUsed/>
    <w:rsid w:val="007764EB"/>
    <w:pPr>
      <w:tabs>
        <w:tab w:val="center" w:pos="4320"/>
        <w:tab w:val="right" w:pos="8640"/>
      </w:tabs>
    </w:pPr>
  </w:style>
  <w:style w:type="character" w:customStyle="1" w:styleId="FooterChar">
    <w:name w:val="Footer Char"/>
    <w:basedOn w:val="DefaultParagraphFont"/>
    <w:link w:val="Footer"/>
    <w:uiPriority w:val="99"/>
    <w:rsid w:val="007764EB"/>
  </w:style>
  <w:style w:type="character" w:styleId="PageNumber">
    <w:name w:val="page number"/>
    <w:basedOn w:val="DefaultParagraphFont"/>
    <w:uiPriority w:val="99"/>
    <w:semiHidden/>
    <w:unhideWhenUsed/>
    <w:rsid w:val="007764EB"/>
  </w:style>
  <w:style w:type="paragraph" w:styleId="Title">
    <w:name w:val="Title"/>
    <w:basedOn w:val="Normal"/>
    <w:next w:val="Normal"/>
    <w:link w:val="TitleChar"/>
    <w:uiPriority w:val="10"/>
    <w:qFormat/>
    <w:rsid w:val="004067D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numbering" w:styleId="111111">
    <w:name w:val="Outline List 2"/>
    <w:basedOn w:val="NoList"/>
    <w:uiPriority w:val="99"/>
    <w:semiHidden/>
    <w:unhideWhenUsed/>
    <w:rsid w:val="00505CBD"/>
    <w:pPr>
      <w:numPr>
        <w:numId w:val="5"/>
      </w:numPr>
    </w:pPr>
  </w:style>
  <w:style w:type="character" w:customStyle="1" w:styleId="TitleChar">
    <w:name w:val="Title Char"/>
    <w:basedOn w:val="DefaultParagraphFont"/>
    <w:link w:val="Title"/>
    <w:uiPriority w:val="10"/>
    <w:rsid w:val="004067DA"/>
    <w:rPr>
      <w:rFonts w:asciiTheme="majorHAnsi" w:eastAsiaTheme="majorEastAsia" w:hAnsiTheme="majorHAnsi" w:cstheme="majorBidi"/>
      <w:color w:val="17365D" w:themeColor="text2" w:themeShade="BF"/>
      <w:spacing w:val="5"/>
      <w:kern w:val="28"/>
      <w:sz w:val="52"/>
      <w:szCs w:val="52"/>
    </w:rPr>
  </w:style>
  <w:style w:type="paragraph" w:styleId="TOC1">
    <w:name w:val="toc 1"/>
    <w:basedOn w:val="Normal"/>
    <w:next w:val="Normal"/>
    <w:autoRedefine/>
    <w:uiPriority w:val="39"/>
    <w:unhideWhenUsed/>
    <w:rsid w:val="00B30AA2"/>
    <w:pPr>
      <w:spacing w:before="120"/>
      <w:jc w:val="left"/>
    </w:pPr>
    <w:rPr>
      <w:b/>
    </w:rPr>
  </w:style>
  <w:style w:type="paragraph" w:styleId="TOC2">
    <w:name w:val="toc 2"/>
    <w:basedOn w:val="Normal"/>
    <w:next w:val="Normal"/>
    <w:autoRedefine/>
    <w:uiPriority w:val="39"/>
    <w:unhideWhenUsed/>
    <w:rsid w:val="00B30AA2"/>
    <w:pPr>
      <w:ind w:left="240"/>
      <w:jc w:val="left"/>
    </w:pPr>
    <w:rPr>
      <w:b/>
      <w:sz w:val="22"/>
      <w:szCs w:val="22"/>
    </w:rPr>
  </w:style>
  <w:style w:type="paragraph" w:styleId="TOC3">
    <w:name w:val="toc 3"/>
    <w:basedOn w:val="Normal"/>
    <w:next w:val="Normal"/>
    <w:autoRedefine/>
    <w:uiPriority w:val="39"/>
    <w:unhideWhenUsed/>
    <w:rsid w:val="00B30AA2"/>
    <w:pPr>
      <w:ind w:left="480"/>
      <w:jc w:val="left"/>
    </w:pPr>
    <w:rPr>
      <w:sz w:val="22"/>
      <w:szCs w:val="22"/>
    </w:rPr>
  </w:style>
  <w:style w:type="paragraph" w:styleId="TOC4">
    <w:name w:val="toc 4"/>
    <w:basedOn w:val="Normal"/>
    <w:next w:val="Normal"/>
    <w:autoRedefine/>
    <w:uiPriority w:val="39"/>
    <w:unhideWhenUsed/>
    <w:rsid w:val="00B30AA2"/>
    <w:pPr>
      <w:ind w:left="720"/>
      <w:jc w:val="left"/>
    </w:pPr>
    <w:rPr>
      <w:sz w:val="20"/>
      <w:szCs w:val="20"/>
    </w:rPr>
  </w:style>
  <w:style w:type="paragraph" w:styleId="TOC5">
    <w:name w:val="toc 5"/>
    <w:basedOn w:val="Normal"/>
    <w:next w:val="Normal"/>
    <w:autoRedefine/>
    <w:uiPriority w:val="39"/>
    <w:unhideWhenUsed/>
    <w:rsid w:val="00B30AA2"/>
    <w:pPr>
      <w:ind w:left="960"/>
      <w:jc w:val="left"/>
    </w:pPr>
    <w:rPr>
      <w:sz w:val="20"/>
      <w:szCs w:val="20"/>
    </w:rPr>
  </w:style>
  <w:style w:type="paragraph" w:styleId="TOC6">
    <w:name w:val="toc 6"/>
    <w:basedOn w:val="Normal"/>
    <w:next w:val="Normal"/>
    <w:autoRedefine/>
    <w:uiPriority w:val="39"/>
    <w:unhideWhenUsed/>
    <w:rsid w:val="00B30AA2"/>
    <w:pPr>
      <w:ind w:left="1200"/>
      <w:jc w:val="left"/>
    </w:pPr>
    <w:rPr>
      <w:sz w:val="20"/>
      <w:szCs w:val="20"/>
    </w:rPr>
  </w:style>
  <w:style w:type="paragraph" w:styleId="TOC7">
    <w:name w:val="toc 7"/>
    <w:basedOn w:val="Normal"/>
    <w:next w:val="Normal"/>
    <w:autoRedefine/>
    <w:uiPriority w:val="39"/>
    <w:unhideWhenUsed/>
    <w:rsid w:val="00B30AA2"/>
    <w:pPr>
      <w:ind w:left="1440"/>
      <w:jc w:val="left"/>
    </w:pPr>
    <w:rPr>
      <w:sz w:val="20"/>
      <w:szCs w:val="20"/>
    </w:rPr>
  </w:style>
  <w:style w:type="paragraph" w:styleId="TOC8">
    <w:name w:val="toc 8"/>
    <w:basedOn w:val="Normal"/>
    <w:next w:val="Normal"/>
    <w:autoRedefine/>
    <w:uiPriority w:val="39"/>
    <w:unhideWhenUsed/>
    <w:rsid w:val="00B30AA2"/>
    <w:pPr>
      <w:ind w:left="1680"/>
      <w:jc w:val="left"/>
    </w:pPr>
    <w:rPr>
      <w:sz w:val="20"/>
      <w:szCs w:val="20"/>
    </w:rPr>
  </w:style>
  <w:style w:type="paragraph" w:styleId="TOC9">
    <w:name w:val="toc 9"/>
    <w:basedOn w:val="Normal"/>
    <w:next w:val="Normal"/>
    <w:autoRedefine/>
    <w:uiPriority w:val="39"/>
    <w:unhideWhenUsed/>
    <w:rsid w:val="00B30AA2"/>
    <w:pPr>
      <w:ind w:left="1920"/>
      <w:jc w:val="left"/>
    </w:pPr>
    <w:rPr>
      <w:sz w:val="20"/>
      <w:szCs w:val="20"/>
    </w:rPr>
  </w:style>
  <w:style w:type="character" w:styleId="CommentReference">
    <w:name w:val="annotation reference"/>
    <w:basedOn w:val="DefaultParagraphFont"/>
    <w:uiPriority w:val="99"/>
    <w:semiHidden/>
    <w:unhideWhenUsed/>
    <w:rsid w:val="006C55C2"/>
    <w:rPr>
      <w:sz w:val="16"/>
      <w:szCs w:val="16"/>
    </w:rPr>
  </w:style>
  <w:style w:type="paragraph" w:styleId="CommentSubject">
    <w:name w:val="annotation subject"/>
    <w:basedOn w:val="CommentText"/>
    <w:next w:val="CommentText"/>
    <w:link w:val="CommentSubjectChar"/>
    <w:uiPriority w:val="99"/>
    <w:semiHidden/>
    <w:unhideWhenUsed/>
    <w:rsid w:val="006C55C2"/>
    <w:pPr>
      <w:spacing w:line="240" w:lineRule="auto"/>
    </w:pPr>
    <w:rPr>
      <w:b/>
      <w:bCs/>
      <w:sz w:val="20"/>
      <w:szCs w:val="20"/>
      <w:lang w:val="en-GB"/>
    </w:rPr>
  </w:style>
  <w:style w:type="character" w:customStyle="1" w:styleId="CommentSubjectChar">
    <w:name w:val="Comment Subject Char"/>
    <w:basedOn w:val="CommentTextChar"/>
    <w:link w:val="CommentSubject"/>
    <w:uiPriority w:val="99"/>
    <w:semiHidden/>
    <w:rsid w:val="006C55C2"/>
    <w:rPr>
      <w:b/>
      <w:bCs/>
      <w:sz w:val="20"/>
      <w:szCs w:val="20"/>
      <w:lang w:val="en-US"/>
    </w:rPr>
  </w:style>
  <w:style w:type="paragraph" w:styleId="BalloonText">
    <w:name w:val="Balloon Text"/>
    <w:basedOn w:val="Normal"/>
    <w:link w:val="BalloonTextChar"/>
    <w:uiPriority w:val="99"/>
    <w:semiHidden/>
    <w:unhideWhenUsed/>
    <w:rsid w:val="006C55C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55C2"/>
    <w:rPr>
      <w:rFonts w:ascii="Tahoma" w:hAnsi="Tahoma" w:cs="Tahoma"/>
      <w:sz w:val="16"/>
      <w:szCs w:val="16"/>
    </w:rPr>
  </w:style>
  <w:style w:type="paragraph" w:styleId="Revision">
    <w:name w:val="Revision"/>
    <w:hidden/>
    <w:uiPriority w:val="99"/>
    <w:semiHidden/>
    <w:rsid w:val="009F39B9"/>
  </w:style>
  <w:style w:type="paragraph" w:styleId="Header">
    <w:name w:val="header"/>
    <w:basedOn w:val="Normal"/>
    <w:link w:val="HeaderChar"/>
    <w:uiPriority w:val="99"/>
    <w:unhideWhenUsed/>
    <w:rsid w:val="003B4D80"/>
    <w:pPr>
      <w:tabs>
        <w:tab w:val="center" w:pos="4513"/>
        <w:tab w:val="right" w:pos="9026"/>
      </w:tabs>
      <w:spacing w:line="240" w:lineRule="auto"/>
    </w:pPr>
  </w:style>
  <w:style w:type="character" w:customStyle="1" w:styleId="HeaderChar">
    <w:name w:val="Header Char"/>
    <w:basedOn w:val="DefaultParagraphFont"/>
    <w:link w:val="Header"/>
    <w:uiPriority w:val="99"/>
    <w:rsid w:val="003B4D80"/>
  </w:style>
  <w:style w:type="character" w:styleId="FollowedHyperlink">
    <w:name w:val="FollowedHyperlink"/>
    <w:basedOn w:val="DefaultParagraphFont"/>
    <w:uiPriority w:val="99"/>
    <w:semiHidden/>
    <w:unhideWhenUsed/>
    <w:rsid w:val="001F4E01"/>
    <w:rPr>
      <w:color w:val="800080" w:themeColor="followedHyperlink"/>
      <w:u w:val="single"/>
    </w:rPr>
  </w:style>
  <w:style w:type="character" w:customStyle="1" w:styleId="HTMLPreformattedChar">
    <w:name w:val="HTML Preformatted Char"/>
    <w:basedOn w:val="DefaultParagraphFont"/>
    <w:link w:val="HTMLPreformatted"/>
    <w:uiPriority w:val="99"/>
    <w:semiHidden/>
    <w:rsid w:val="00622A8B"/>
    <w:rPr>
      <w:rFonts w:ascii="Courier" w:hAnsi="Courie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353896">
      <w:bodyDiv w:val="1"/>
      <w:marLeft w:val="0"/>
      <w:marRight w:val="0"/>
      <w:marTop w:val="0"/>
      <w:marBottom w:val="0"/>
      <w:divBdr>
        <w:top w:val="none" w:sz="0" w:space="0" w:color="auto"/>
        <w:left w:val="none" w:sz="0" w:space="0" w:color="auto"/>
        <w:bottom w:val="none" w:sz="0" w:space="0" w:color="auto"/>
        <w:right w:val="none" w:sz="0" w:space="0" w:color="auto"/>
      </w:divBdr>
    </w:div>
    <w:div w:id="313065543">
      <w:bodyDiv w:val="1"/>
      <w:marLeft w:val="0"/>
      <w:marRight w:val="0"/>
      <w:marTop w:val="0"/>
      <w:marBottom w:val="0"/>
      <w:divBdr>
        <w:top w:val="none" w:sz="0" w:space="0" w:color="auto"/>
        <w:left w:val="none" w:sz="0" w:space="0" w:color="auto"/>
        <w:bottom w:val="none" w:sz="0" w:space="0" w:color="auto"/>
        <w:right w:val="none" w:sz="0" w:space="0" w:color="auto"/>
      </w:divBdr>
    </w:div>
    <w:div w:id="321592036">
      <w:bodyDiv w:val="1"/>
      <w:marLeft w:val="0"/>
      <w:marRight w:val="0"/>
      <w:marTop w:val="0"/>
      <w:marBottom w:val="0"/>
      <w:divBdr>
        <w:top w:val="none" w:sz="0" w:space="0" w:color="auto"/>
        <w:left w:val="none" w:sz="0" w:space="0" w:color="auto"/>
        <w:bottom w:val="none" w:sz="0" w:space="0" w:color="auto"/>
        <w:right w:val="none" w:sz="0" w:space="0" w:color="auto"/>
      </w:divBdr>
    </w:div>
    <w:div w:id="334068759">
      <w:bodyDiv w:val="1"/>
      <w:marLeft w:val="0"/>
      <w:marRight w:val="0"/>
      <w:marTop w:val="0"/>
      <w:marBottom w:val="0"/>
      <w:divBdr>
        <w:top w:val="none" w:sz="0" w:space="0" w:color="auto"/>
        <w:left w:val="none" w:sz="0" w:space="0" w:color="auto"/>
        <w:bottom w:val="none" w:sz="0" w:space="0" w:color="auto"/>
        <w:right w:val="none" w:sz="0" w:space="0" w:color="auto"/>
      </w:divBdr>
    </w:div>
    <w:div w:id="535698154">
      <w:bodyDiv w:val="1"/>
      <w:marLeft w:val="0"/>
      <w:marRight w:val="0"/>
      <w:marTop w:val="0"/>
      <w:marBottom w:val="0"/>
      <w:divBdr>
        <w:top w:val="none" w:sz="0" w:space="0" w:color="auto"/>
        <w:left w:val="none" w:sz="0" w:space="0" w:color="auto"/>
        <w:bottom w:val="none" w:sz="0" w:space="0" w:color="auto"/>
        <w:right w:val="none" w:sz="0" w:space="0" w:color="auto"/>
      </w:divBdr>
    </w:div>
    <w:div w:id="594870964">
      <w:bodyDiv w:val="1"/>
      <w:marLeft w:val="0"/>
      <w:marRight w:val="0"/>
      <w:marTop w:val="0"/>
      <w:marBottom w:val="0"/>
      <w:divBdr>
        <w:top w:val="none" w:sz="0" w:space="0" w:color="auto"/>
        <w:left w:val="none" w:sz="0" w:space="0" w:color="auto"/>
        <w:bottom w:val="none" w:sz="0" w:space="0" w:color="auto"/>
        <w:right w:val="none" w:sz="0" w:space="0" w:color="auto"/>
      </w:divBdr>
    </w:div>
    <w:div w:id="661005613">
      <w:bodyDiv w:val="1"/>
      <w:marLeft w:val="0"/>
      <w:marRight w:val="0"/>
      <w:marTop w:val="0"/>
      <w:marBottom w:val="0"/>
      <w:divBdr>
        <w:top w:val="none" w:sz="0" w:space="0" w:color="auto"/>
        <w:left w:val="none" w:sz="0" w:space="0" w:color="auto"/>
        <w:bottom w:val="none" w:sz="0" w:space="0" w:color="auto"/>
        <w:right w:val="none" w:sz="0" w:space="0" w:color="auto"/>
      </w:divBdr>
    </w:div>
    <w:div w:id="865482753">
      <w:bodyDiv w:val="1"/>
      <w:marLeft w:val="0"/>
      <w:marRight w:val="0"/>
      <w:marTop w:val="0"/>
      <w:marBottom w:val="0"/>
      <w:divBdr>
        <w:top w:val="none" w:sz="0" w:space="0" w:color="auto"/>
        <w:left w:val="none" w:sz="0" w:space="0" w:color="auto"/>
        <w:bottom w:val="none" w:sz="0" w:space="0" w:color="auto"/>
        <w:right w:val="none" w:sz="0" w:space="0" w:color="auto"/>
      </w:divBdr>
    </w:div>
    <w:div w:id="1561986806">
      <w:bodyDiv w:val="1"/>
      <w:marLeft w:val="0"/>
      <w:marRight w:val="0"/>
      <w:marTop w:val="0"/>
      <w:marBottom w:val="0"/>
      <w:divBdr>
        <w:top w:val="none" w:sz="0" w:space="0" w:color="auto"/>
        <w:left w:val="none" w:sz="0" w:space="0" w:color="auto"/>
        <w:bottom w:val="none" w:sz="0" w:space="0" w:color="auto"/>
        <w:right w:val="none" w:sz="0" w:space="0" w:color="auto"/>
      </w:divBdr>
    </w:div>
    <w:div w:id="1643805760">
      <w:bodyDiv w:val="1"/>
      <w:marLeft w:val="0"/>
      <w:marRight w:val="0"/>
      <w:marTop w:val="0"/>
      <w:marBottom w:val="0"/>
      <w:divBdr>
        <w:top w:val="none" w:sz="0" w:space="0" w:color="auto"/>
        <w:left w:val="none" w:sz="0" w:space="0" w:color="auto"/>
        <w:bottom w:val="none" w:sz="0" w:space="0" w:color="auto"/>
        <w:right w:val="none" w:sz="0" w:space="0" w:color="auto"/>
      </w:divBdr>
    </w:div>
    <w:div w:id="212653457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s://ec.europa.eu/commission/sites/beta-political/files/role-flexibility-clause_en.pdf" TargetMode="External"/><Relationship Id="rId4" Type="http://schemas.openxmlformats.org/officeDocument/2006/relationships/hyperlink" Target="http://euobserver.com/economic/122738" TargetMode="External"/><Relationship Id="rId5" Type="http://schemas.openxmlformats.org/officeDocument/2006/relationships/hyperlink" Target="http://euobserver.com/economic/122738" TargetMode="External"/><Relationship Id="rId1" Type="http://schemas.openxmlformats.org/officeDocument/2006/relationships/hyperlink" Target="http://euobserver.com/economic/122738" TargetMode="External"/><Relationship Id="rId2" Type="http://schemas.openxmlformats.org/officeDocument/2006/relationships/hyperlink" Target="https://ec.europa.eu/commission/sites/beta-political/files/role-flexibility-clause_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124B0C-08C7-584F-935E-4DF8C61AE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10825</Words>
  <Characters>61707</Characters>
  <Application>Microsoft Macintosh Word</Application>
  <DocSecurity>0</DocSecurity>
  <Lines>514</Lines>
  <Paragraphs>144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72388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2019-09-11T15:21:00Z</dcterms:created>
  <dcterms:modified xsi:type="dcterms:W3CDTF">2019-09-11T15:22:00Z</dcterms:modified>
</cp:coreProperties>
</file>