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35C073" w14:textId="77777777" w:rsidR="007F0D5D" w:rsidRPr="00370E25" w:rsidRDefault="007F0D5D" w:rsidP="007F0D5D">
      <w:pPr>
        <w:spacing w:after="40" w:line="480" w:lineRule="auto"/>
        <w:rPr>
          <w:rFonts w:ascii="Times New Roman" w:hAnsi="Times New Roman" w:cs="Times New Roman"/>
          <w:b/>
          <w:bCs/>
          <w:i/>
        </w:rPr>
      </w:pPr>
      <w:bookmarkStart w:id="0" w:name="_GoBack"/>
      <w:r w:rsidRPr="00370E25">
        <w:rPr>
          <w:rFonts w:ascii="Times New Roman" w:hAnsi="Times New Roman" w:cs="Times New Roman"/>
          <w:b/>
          <w:bCs/>
          <w:i/>
        </w:rPr>
        <w:t>Beating Hearts: Arab Marxism, Anti-Colonialism &amp; Literatures of Co-Existence in Palestine/Israel, 1944-1960</w:t>
      </w:r>
    </w:p>
    <w:bookmarkEnd w:id="0"/>
    <w:p w14:paraId="0524C523" w14:textId="77777777" w:rsidR="007F0D5D" w:rsidRDefault="007F0D5D" w:rsidP="007F0D5D">
      <w:pPr>
        <w:shd w:val="clear" w:color="auto" w:fill="FFFFFF"/>
        <w:spacing w:after="40" w:line="480" w:lineRule="auto"/>
        <w:rPr>
          <w:rFonts w:ascii="Times New Roman" w:hAnsi="Times New Roman" w:cs="Times New Roman"/>
          <w:b/>
          <w:bCs/>
        </w:rPr>
      </w:pPr>
    </w:p>
    <w:p w14:paraId="6EAB7C85" w14:textId="77777777" w:rsidR="007F0D5D" w:rsidRPr="00370E25" w:rsidRDefault="007F0D5D" w:rsidP="007F0D5D">
      <w:pPr>
        <w:shd w:val="clear" w:color="auto" w:fill="FFFFFF"/>
        <w:spacing w:after="40" w:line="480" w:lineRule="auto"/>
        <w:rPr>
          <w:rFonts w:ascii="Times New Roman" w:hAnsi="Times New Roman" w:cs="Times New Roman"/>
          <w:b/>
          <w:bCs/>
        </w:rPr>
      </w:pPr>
      <w:r w:rsidRPr="00370E25">
        <w:rPr>
          <w:rFonts w:ascii="Times New Roman" w:hAnsi="Times New Roman" w:cs="Times New Roman"/>
          <w:b/>
          <w:bCs/>
        </w:rPr>
        <w:t>Hana Morgenstern</w:t>
      </w:r>
    </w:p>
    <w:p w14:paraId="43D4EBFC" w14:textId="77777777" w:rsidR="007F0D5D" w:rsidRPr="00370E25" w:rsidRDefault="007F0D5D" w:rsidP="007F0D5D">
      <w:pPr>
        <w:shd w:val="clear" w:color="auto" w:fill="FFFFFF"/>
        <w:spacing w:after="40" w:line="480" w:lineRule="auto"/>
        <w:rPr>
          <w:rFonts w:ascii="Times New Roman" w:hAnsi="Times New Roman" w:cs="Times New Roman"/>
          <w:b/>
          <w:bCs/>
        </w:rPr>
      </w:pPr>
    </w:p>
    <w:p w14:paraId="5A6DEB27" w14:textId="77777777" w:rsidR="007F0D5D" w:rsidRPr="00370E25" w:rsidRDefault="007F0D5D" w:rsidP="007F0D5D">
      <w:pPr>
        <w:spacing w:after="40" w:line="480" w:lineRule="auto"/>
        <w:rPr>
          <w:rFonts w:ascii="Times New Roman" w:eastAsia="Cambria" w:hAnsi="Times New Roman" w:cs="Times New Roman"/>
          <w:b/>
          <w:kern w:val="0"/>
          <w:lang w:eastAsia="fr-FR" w:bidi="ar-SA"/>
        </w:rPr>
      </w:pPr>
      <w:r w:rsidRPr="00370E25">
        <w:rPr>
          <w:rFonts w:ascii="Times New Roman" w:eastAsia="Cambria" w:hAnsi="Times New Roman" w:cs="Times New Roman"/>
          <w:b/>
          <w:kern w:val="0"/>
          <w:lang w:eastAsia="fr-FR" w:bidi="ar-SA"/>
        </w:rPr>
        <w:t>Abstract</w:t>
      </w:r>
    </w:p>
    <w:p w14:paraId="45E31162" w14:textId="77777777" w:rsidR="007F0D5D" w:rsidRPr="00370E25" w:rsidRDefault="007F0D5D" w:rsidP="007F0D5D">
      <w:pPr>
        <w:spacing w:after="40" w:line="480" w:lineRule="auto"/>
        <w:rPr>
          <w:rFonts w:ascii="Times New Roman" w:eastAsia="Cambria" w:hAnsi="Times New Roman" w:cs="Times New Roman"/>
          <w:b/>
          <w:kern w:val="0"/>
          <w:lang w:eastAsia="fr-FR" w:bidi="ar-SA"/>
        </w:rPr>
      </w:pPr>
    </w:p>
    <w:p w14:paraId="331EAAC1" w14:textId="77777777" w:rsidR="007F0D5D" w:rsidRPr="00370E25" w:rsidRDefault="007F0D5D" w:rsidP="007F0D5D">
      <w:pPr>
        <w:spacing w:after="40" w:line="480" w:lineRule="auto"/>
        <w:rPr>
          <w:rFonts w:ascii="Times New Roman" w:eastAsia="Times New Roman" w:hAnsi="Times New Roman" w:cs="Times New Roman"/>
          <w:kern w:val="0"/>
          <w:lang w:eastAsia="ja-JP" w:bidi="ar-SA"/>
        </w:rPr>
      </w:pPr>
      <w:r w:rsidRPr="00370E25">
        <w:rPr>
          <w:rFonts w:ascii="Times New Roman" w:eastAsia="Times New Roman" w:hAnsi="Times New Roman" w:cs="Times New Roman"/>
          <w:kern w:val="0"/>
          <w:lang w:eastAsia="ja-JP" w:bidi="ar-SA"/>
        </w:rPr>
        <w:t>After 1948, Arab and Jew</w:t>
      </w:r>
      <w:r>
        <w:rPr>
          <w:rFonts w:ascii="Times New Roman" w:eastAsia="Times New Roman" w:hAnsi="Times New Roman" w:cs="Times New Roman"/>
          <w:kern w:val="0"/>
          <w:lang w:eastAsia="ja-JP" w:bidi="ar-SA"/>
        </w:rPr>
        <w:t>ish</w:t>
      </w:r>
      <w:r w:rsidRPr="00370E25">
        <w:rPr>
          <w:rFonts w:ascii="Times New Roman" w:eastAsia="Times New Roman" w:hAnsi="Times New Roman" w:cs="Times New Roman"/>
          <w:kern w:val="0"/>
          <w:lang w:eastAsia="ja-JP" w:bidi="ar-SA"/>
        </w:rPr>
        <w:t xml:space="preserve"> Marxists from various backgrounds met under the auspices of the Communist Party, where they co-founded its Arabic cultural and political journal, </w:t>
      </w:r>
      <w:r w:rsidRPr="00370E25">
        <w:rPr>
          <w:rFonts w:ascii="Times New Roman" w:eastAsia="Times New Roman" w:hAnsi="Times New Roman" w:cs="Times New Roman"/>
          <w:i/>
          <w:kern w:val="0"/>
          <w:lang w:eastAsia="ja-JP" w:bidi="ar-SA"/>
        </w:rPr>
        <w:t>al-Jadid.</w:t>
      </w:r>
      <w:r w:rsidRPr="00370E25">
        <w:rPr>
          <w:rFonts w:ascii="Times New Roman" w:eastAsia="Times New Roman" w:hAnsi="Times New Roman" w:cs="Times New Roman"/>
          <w:kern w:val="0"/>
          <w:lang w:eastAsia="ja-JP" w:bidi="ar-SA"/>
        </w:rPr>
        <w:t xml:space="preserve"> In the aftermath of the destruction wrought by the Palestinian </w:t>
      </w:r>
      <w:r>
        <w:rPr>
          <w:rFonts w:ascii="Times New Roman" w:eastAsia="Times New Roman" w:hAnsi="Times New Roman" w:cs="Times New Roman"/>
          <w:i/>
          <w:kern w:val="0"/>
          <w:lang w:eastAsia="ja-JP" w:bidi="ar-SA"/>
        </w:rPr>
        <w:t>N</w:t>
      </w:r>
      <w:r w:rsidRPr="00370E25">
        <w:rPr>
          <w:rFonts w:ascii="Times New Roman" w:eastAsia="Times New Roman" w:hAnsi="Times New Roman" w:cs="Times New Roman"/>
          <w:i/>
          <w:kern w:val="0"/>
          <w:lang w:eastAsia="ja-JP" w:bidi="ar-SA"/>
        </w:rPr>
        <w:t>akba</w:t>
      </w:r>
      <w:r w:rsidRPr="00370E25">
        <w:rPr>
          <w:rFonts w:ascii="Times New Roman" w:eastAsia="Times New Roman" w:hAnsi="Times New Roman" w:cs="Times New Roman"/>
          <w:kern w:val="0"/>
          <w:lang w:eastAsia="ja-JP" w:bidi="ar-SA"/>
        </w:rPr>
        <w:t>, members of the group articulated the importance of a literary initiative that could address both the near total destruction of Palestinian</w:t>
      </w:r>
      <w:r>
        <w:rPr>
          <w:rFonts w:ascii="Times New Roman" w:eastAsia="Times New Roman" w:hAnsi="Times New Roman" w:cs="Times New Roman"/>
          <w:kern w:val="0"/>
          <w:lang w:eastAsia="ja-JP" w:bidi="ar-SA"/>
        </w:rPr>
        <w:t xml:space="preserve"> society and</w:t>
      </w:r>
      <w:r w:rsidRPr="00370E25">
        <w:rPr>
          <w:rFonts w:ascii="Times New Roman" w:eastAsia="Times New Roman" w:hAnsi="Times New Roman" w:cs="Times New Roman"/>
          <w:kern w:val="0"/>
          <w:lang w:eastAsia="ja-JP" w:bidi="ar-SA"/>
        </w:rPr>
        <w:t xml:space="preserve"> culture and the colonial repression and cultural erasure within Arab Jewish communities. The cohort utilized the journal, as well as popular Communist organising strategies such as intellectual clubs and festivals, to plant the seeds for the formation of a movement that aggressively opposed Zionist ideology, culture and policies. Simultaneously it strove to form a Palestinian-Jewish culture that supported the goal of democratic coexistence. The tension between these goals and the </w:t>
      </w:r>
      <w:r w:rsidRPr="00370E25">
        <w:rPr>
          <w:rFonts w:ascii="Times New Roman" w:eastAsia="Times New Roman" w:hAnsi="Times New Roman" w:cs="Times New Roman"/>
          <w:i/>
          <w:kern w:val="0"/>
          <w:lang w:eastAsia="ja-JP" w:bidi="ar-SA"/>
        </w:rPr>
        <w:t>de facto</w:t>
      </w:r>
      <w:r w:rsidRPr="00370E25">
        <w:rPr>
          <w:rFonts w:ascii="Times New Roman" w:eastAsia="Times New Roman" w:hAnsi="Times New Roman" w:cs="Times New Roman"/>
          <w:kern w:val="0"/>
          <w:lang w:eastAsia="ja-JP" w:bidi="ar-SA"/>
        </w:rPr>
        <w:t xml:space="preserve"> segregation of Palestinians and Jews</w:t>
      </w:r>
      <w:r>
        <w:rPr>
          <w:rFonts w:ascii="Times New Roman" w:eastAsia="Times New Roman" w:hAnsi="Times New Roman" w:cs="Times New Roman"/>
          <w:kern w:val="0"/>
          <w:lang w:eastAsia="ja-JP" w:bidi="ar-SA"/>
        </w:rPr>
        <w:t xml:space="preserve"> in 1950’s Israel</w:t>
      </w:r>
      <w:r w:rsidRPr="00370E25">
        <w:rPr>
          <w:rFonts w:ascii="Times New Roman" w:eastAsia="Times New Roman" w:hAnsi="Times New Roman" w:cs="Times New Roman"/>
          <w:kern w:val="0"/>
          <w:lang w:eastAsia="ja-JP" w:bidi="ar-SA"/>
        </w:rPr>
        <w:t xml:space="preserve"> </w:t>
      </w:r>
      <w:r>
        <w:rPr>
          <w:rFonts w:ascii="Times New Roman" w:eastAsia="Times New Roman" w:hAnsi="Times New Roman" w:cs="Times New Roman"/>
          <w:kern w:val="0"/>
          <w:lang w:eastAsia="ja-JP" w:bidi="ar-SA"/>
        </w:rPr>
        <w:t xml:space="preserve">was </w:t>
      </w:r>
      <w:r w:rsidRPr="00370E25">
        <w:rPr>
          <w:rFonts w:ascii="Times New Roman" w:eastAsia="Times New Roman" w:hAnsi="Times New Roman" w:cs="Times New Roman"/>
          <w:kern w:val="0"/>
          <w:lang w:eastAsia="ja-JP" w:bidi="ar-SA"/>
        </w:rPr>
        <w:t>dynamic in the journal, as</w:t>
      </w:r>
      <w:r>
        <w:rPr>
          <w:rFonts w:ascii="Times New Roman" w:eastAsia="Times New Roman" w:hAnsi="Times New Roman" w:cs="Times New Roman"/>
          <w:kern w:val="0"/>
          <w:lang w:eastAsia="ja-JP" w:bidi="ar-SA"/>
        </w:rPr>
        <w:t xml:space="preserve"> was</w:t>
      </w:r>
      <w:r w:rsidRPr="00370E25">
        <w:rPr>
          <w:rFonts w:ascii="Times New Roman" w:eastAsia="Times New Roman" w:hAnsi="Times New Roman" w:cs="Times New Roman"/>
          <w:kern w:val="0"/>
          <w:lang w:eastAsia="ja-JP" w:bidi="ar-SA"/>
        </w:rPr>
        <w:t xml:space="preserve"> the struggle to define the precarious position of Arab Jews in relation to the Israeli mainstream, on the one hand, and the Palestinian minority on the other. Nonetheless, in the years to follow, a shared Palestinian-Jewish Arabic language literature—which was simultaneously engaged with the reconstruction of Arabic cultural life and with shaping a Palestinian-Jewish aesthetics—was fostered by these collaborations. </w:t>
      </w:r>
    </w:p>
    <w:p w14:paraId="3A8972E6" w14:textId="77777777" w:rsidR="007F0D5D" w:rsidRDefault="007F0D5D" w:rsidP="007F0D5D">
      <w:pPr>
        <w:spacing w:after="40" w:line="480" w:lineRule="auto"/>
        <w:rPr>
          <w:rFonts w:ascii="Times New Roman" w:eastAsia="Times New Roman" w:hAnsi="Times New Roman" w:cs="Times New Roman"/>
          <w:kern w:val="0"/>
          <w:lang w:eastAsia="ja-JP" w:bidi="ar-SA"/>
        </w:rPr>
      </w:pPr>
      <w:r w:rsidRPr="00370E25">
        <w:rPr>
          <w:rFonts w:ascii="Times New Roman" w:eastAsia="Times New Roman" w:hAnsi="Times New Roman" w:cs="Times New Roman"/>
          <w:kern w:val="0"/>
          <w:lang w:eastAsia="ja-JP" w:bidi="ar-SA"/>
        </w:rPr>
        <w:lastRenderedPageBreak/>
        <w:t>Harnessing socialist realist and anti-colonial aesthetics in the service of this popular literary project, writers produced the first local corpus of oppositional, minor literature in Hebrew and Arabic, struggling to articulate the intersections between the working classes, Palestinians under military rule, refugees, Arab Jewish communities and other outliers of the Israeli state. The group’s cultural and political work provided the only democratic cultural alternative to Zionist nationalism within Israel during the 1950s, formed part of the root system for the emergence of the movement for Palestinian national liberation in the 1960s, and bolstered Mizrahi (Arab Jewish) radical politics, literature and culture.</w:t>
      </w:r>
    </w:p>
    <w:p w14:paraId="4C6B7A63" w14:textId="77777777" w:rsidR="007F0D5D" w:rsidRDefault="007F0D5D" w:rsidP="007F0D5D">
      <w:pPr>
        <w:spacing w:after="40" w:line="480" w:lineRule="auto"/>
        <w:rPr>
          <w:rFonts w:ascii="Times New Roman" w:hAnsi="Times New Roman" w:cs="Times New Roman"/>
          <w:b/>
        </w:rPr>
      </w:pPr>
    </w:p>
    <w:p w14:paraId="5243124A" w14:textId="77777777" w:rsidR="007F0D5D" w:rsidRPr="007F6141" w:rsidRDefault="007F0D5D" w:rsidP="007F0D5D">
      <w:pPr>
        <w:spacing w:after="40" w:line="480" w:lineRule="auto"/>
        <w:rPr>
          <w:rFonts w:ascii="Times New Roman" w:hAnsi="Times New Roman" w:cs="Times New Roman"/>
          <w:b/>
        </w:rPr>
      </w:pPr>
      <w:r w:rsidRPr="007F6141">
        <w:rPr>
          <w:rFonts w:ascii="Times New Roman" w:hAnsi="Times New Roman" w:cs="Times New Roman"/>
          <w:b/>
        </w:rPr>
        <w:t>Introduction</w:t>
      </w:r>
    </w:p>
    <w:p w14:paraId="7221710E" w14:textId="77777777" w:rsidR="007F0D5D" w:rsidRPr="00370E25" w:rsidRDefault="007F0D5D" w:rsidP="007F0D5D">
      <w:pPr>
        <w:spacing w:after="40" w:line="480" w:lineRule="auto"/>
        <w:rPr>
          <w:rFonts w:ascii="Times New Roman" w:hAnsi="Times New Roman" w:cs="Times New Roman"/>
          <w:b/>
        </w:rPr>
      </w:pPr>
    </w:p>
    <w:p w14:paraId="07FB0D91"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In 1953, the Iraqi Jewish writer Sami Michael penned an editorial celebrating </w:t>
      </w:r>
      <w:r w:rsidRPr="00370E25">
        <w:rPr>
          <w:rFonts w:ascii="Times New Roman" w:hAnsi="Times New Roman" w:cs="Times New Roman"/>
          <w:i/>
          <w:iCs/>
        </w:rPr>
        <w:t>al-Ittihad</w:t>
      </w:r>
      <w:r w:rsidRPr="00370E25">
        <w:rPr>
          <w:rFonts w:ascii="Times New Roman" w:hAnsi="Times New Roman" w:cs="Times New Roman"/>
        </w:rPr>
        <w:t xml:space="preserve">, a Palestinian paper that had greatly influenced the Communist Party intellectuals in Baghdad. The newspaper was founded in 1944 by Palestinian Communists Fu’ad Nassar, Emile Habiby and Emile Tuma, </w:t>
      </w:r>
      <w:r>
        <w:rPr>
          <w:rFonts w:ascii="Times New Roman" w:hAnsi="Times New Roman" w:cs="Times New Roman"/>
        </w:rPr>
        <w:t>and sought to connect</w:t>
      </w:r>
      <w:r w:rsidRPr="00370E25">
        <w:rPr>
          <w:rFonts w:ascii="Times New Roman" w:hAnsi="Times New Roman" w:cs="Times New Roman"/>
        </w:rPr>
        <w:t xml:space="preserve"> the struggle for Palestinian national independence with antifascism, communist internationalism and anti-colonialism.</w:t>
      </w:r>
      <w:r w:rsidRPr="00370E25">
        <w:rPr>
          <w:rFonts w:ascii="Times New Roman" w:hAnsi="Times New Roman" w:cs="Times New Roman"/>
          <w:vertAlign w:val="superscript"/>
        </w:rPr>
        <w:footnoteReference w:id="1"/>
      </w:r>
      <w:r w:rsidRPr="00370E25">
        <w:rPr>
          <w:rFonts w:ascii="Times New Roman" w:hAnsi="Times New Roman" w:cs="Times New Roman"/>
        </w:rPr>
        <w:t xml:space="preserve"> Michael describes how the paper was smuggled into Iraq and the communist underground,</w:t>
      </w:r>
      <w:r w:rsidRPr="00370E25">
        <w:rPr>
          <w:rFonts w:ascii="Times New Roman" w:hAnsi="Times New Roman" w:cs="Times New Roman"/>
          <w:vertAlign w:val="superscript"/>
        </w:rPr>
        <w:footnoteReference w:id="2"/>
      </w:r>
      <w:r w:rsidRPr="00370E25">
        <w:rPr>
          <w:rFonts w:ascii="Times New Roman" w:hAnsi="Times New Roman" w:cs="Times New Roman"/>
        </w:rPr>
        <w:t xml:space="preserve"> travelling “with the youth through Baghdad’s neighbourhoods and streets, tree-shaded park benches and busy cafes, its contents illuminated by the glow of an electric lamp inside a comrade’s house.”</w:t>
      </w:r>
      <w:r w:rsidRPr="00370E25">
        <w:rPr>
          <w:rFonts w:ascii="Times New Roman" w:hAnsi="Times New Roman" w:cs="Times New Roman"/>
          <w:vertAlign w:val="superscript"/>
        </w:rPr>
        <w:footnoteReference w:id="3"/>
      </w:r>
      <w:r w:rsidRPr="00370E25">
        <w:rPr>
          <w:rFonts w:ascii="Times New Roman" w:hAnsi="Times New Roman" w:cs="Times New Roman"/>
        </w:rPr>
        <w:t xml:space="preserve"> Communist newspapers, Michael notes, were characterised by readers as ‘beating hearts’ (</w:t>
      </w:r>
      <w:r w:rsidRPr="00370E25">
        <w:rPr>
          <w:rFonts w:ascii="Times New Roman" w:hAnsi="Times New Roman" w:cs="Times New Roman"/>
          <w:i/>
          <w:iCs/>
        </w:rPr>
        <w:t>al-qulub al-nabitha</w:t>
      </w:r>
      <w:r w:rsidRPr="00370E25">
        <w:rPr>
          <w:rFonts w:ascii="Times New Roman" w:hAnsi="Times New Roman" w:cs="Times New Roman"/>
        </w:rPr>
        <w:t xml:space="preserve">), organs </w:t>
      </w:r>
      <w:r w:rsidRPr="00370E25">
        <w:rPr>
          <w:rFonts w:ascii="Times New Roman" w:hAnsi="Times New Roman" w:cs="Times New Roman"/>
        </w:rPr>
        <w:lastRenderedPageBreak/>
        <w:t>that circulated ideas and news between movements in the region.</w:t>
      </w:r>
      <w:r w:rsidRPr="00370E25">
        <w:rPr>
          <w:rFonts w:ascii="Times New Roman" w:hAnsi="Times New Roman" w:cs="Times New Roman"/>
          <w:vertAlign w:val="superscript"/>
        </w:rPr>
        <w:footnoteReference w:id="4"/>
      </w:r>
      <w:r w:rsidRPr="00370E25">
        <w:rPr>
          <w:rFonts w:ascii="Times New Roman" w:hAnsi="Times New Roman" w:cs="Times New Roman"/>
        </w:rPr>
        <w:t xml:space="preserve"> Like many of these newspapers, </w:t>
      </w:r>
      <w:r w:rsidRPr="00370E25">
        <w:rPr>
          <w:rFonts w:ascii="Times New Roman" w:hAnsi="Times New Roman" w:cs="Times New Roman"/>
          <w:i/>
          <w:iCs/>
        </w:rPr>
        <w:t>al-Ittihad</w:t>
      </w:r>
      <w:r w:rsidRPr="00370E25">
        <w:rPr>
          <w:rFonts w:ascii="Times New Roman" w:hAnsi="Times New Roman" w:cs="Times New Roman"/>
        </w:rPr>
        <w:t xml:space="preserve"> circulated to various cities in the Arab world, featuring local news, essays, editorials, short stories and poems, educat</w:t>
      </w:r>
      <w:r>
        <w:rPr>
          <w:rFonts w:ascii="Times New Roman" w:hAnsi="Times New Roman" w:cs="Times New Roman"/>
        </w:rPr>
        <w:t>ing</w:t>
      </w:r>
      <w:r w:rsidRPr="00370E25">
        <w:rPr>
          <w:rFonts w:ascii="Times New Roman" w:hAnsi="Times New Roman" w:cs="Times New Roman"/>
        </w:rPr>
        <w:t xml:space="preserve"> readers through translation and publication of key Marxist texts, and reporting on global and regional political struggles. In the following passage Michael reflects upon </w:t>
      </w:r>
      <w:r w:rsidRPr="00370E25">
        <w:rPr>
          <w:rFonts w:ascii="Times New Roman" w:hAnsi="Times New Roman" w:cs="Times New Roman"/>
          <w:i/>
          <w:iCs/>
        </w:rPr>
        <w:t>al-Ittihad</w:t>
      </w:r>
      <w:r w:rsidRPr="00370E25">
        <w:rPr>
          <w:rFonts w:ascii="Times New Roman" w:hAnsi="Times New Roman" w:cs="Times New Roman"/>
        </w:rPr>
        <w:t>’s role in the political education of young communists in Baghdad:</w:t>
      </w:r>
    </w:p>
    <w:p w14:paraId="4544214F" w14:textId="77777777" w:rsidR="007F0D5D" w:rsidRPr="00370E25" w:rsidRDefault="007F0D5D" w:rsidP="007F0D5D">
      <w:pPr>
        <w:spacing w:after="40" w:line="480" w:lineRule="auto"/>
        <w:rPr>
          <w:rFonts w:ascii="Times New Roman" w:hAnsi="Times New Roman" w:cs="Times New Roman"/>
        </w:rPr>
      </w:pPr>
    </w:p>
    <w:p w14:paraId="61BE9EED" w14:textId="77777777" w:rsidR="007F0D5D" w:rsidRPr="00370E25" w:rsidRDefault="007F0D5D" w:rsidP="007F0D5D">
      <w:pPr>
        <w:spacing w:after="40" w:line="480" w:lineRule="auto"/>
        <w:ind w:left="720" w:right="720"/>
        <w:rPr>
          <w:rFonts w:ascii="Times New Roman" w:hAnsi="Times New Roman" w:cs="Times New Roman"/>
        </w:rPr>
      </w:pPr>
      <w:r w:rsidRPr="00370E25">
        <w:rPr>
          <w:rFonts w:ascii="Times New Roman" w:hAnsi="Times New Roman" w:cs="Times New Roman"/>
        </w:rPr>
        <w:t xml:space="preserve">We used to rub our eyes and look at the real Baghdad, the barefoot Baghdad that suffers from trachoma and anaemia, the forgotten Baghdad whose geography has not been mapped and whose history is not discussed. The Baghdad that sleeps on the bridge walkways when night comes, where swarms of flies fight over dry breadcrumbs. We did not have to don new glasses to discover this truth. We merely had to destroy the old, fake glasses, the glasses of tradition, fear, selfishness and ignorance. </w:t>
      </w:r>
      <w:r w:rsidRPr="00370E25">
        <w:rPr>
          <w:rFonts w:ascii="Times New Roman" w:hAnsi="Times New Roman" w:cs="Times New Roman"/>
          <w:i/>
          <w:iCs/>
        </w:rPr>
        <w:t>Al-Ittihad</w:t>
      </w:r>
      <w:r w:rsidRPr="00370E25">
        <w:rPr>
          <w:rFonts w:ascii="Times New Roman" w:hAnsi="Times New Roman" w:cs="Times New Roman"/>
        </w:rPr>
        <w:t>, arriving from afar, helped us to destroy these glasses and rid ourselves of the short-sightedness that was imposed on us.</w:t>
      </w:r>
      <w:r w:rsidRPr="00370E25">
        <w:rPr>
          <w:rFonts w:ascii="Times New Roman" w:hAnsi="Times New Roman" w:cs="Times New Roman"/>
          <w:vertAlign w:val="superscript"/>
        </w:rPr>
        <w:footnoteReference w:id="5"/>
      </w:r>
    </w:p>
    <w:p w14:paraId="68E3D205" w14:textId="77777777" w:rsidR="007F0D5D" w:rsidRPr="00370E25" w:rsidRDefault="007F0D5D" w:rsidP="007F0D5D">
      <w:pPr>
        <w:spacing w:after="40" w:line="480" w:lineRule="auto"/>
        <w:rPr>
          <w:rFonts w:ascii="Times New Roman" w:hAnsi="Times New Roman" w:cs="Times New Roman"/>
        </w:rPr>
      </w:pPr>
    </w:p>
    <w:p w14:paraId="06FD078D"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This passage underscores the pedagogical and collective-making power of left newspapers in the heyday of communism and decolonisation, as well as the interconnected visions of Palestinian and Iraqi-Jewish Communists as Arab Marxists. It was published on the ninth anniversary of </w:t>
      </w:r>
      <w:r w:rsidRPr="00370E25">
        <w:rPr>
          <w:rFonts w:ascii="Times New Roman" w:hAnsi="Times New Roman" w:cs="Times New Roman"/>
          <w:i/>
          <w:iCs/>
        </w:rPr>
        <w:t>al-Ittihad</w:t>
      </w:r>
      <w:r w:rsidRPr="00370E25">
        <w:rPr>
          <w:rFonts w:ascii="Times New Roman" w:hAnsi="Times New Roman" w:cs="Times New Roman"/>
        </w:rPr>
        <w:t xml:space="preserve"> a few years after Sami Michael joined the newspaper’s editorial board when he fled from Baghdad to Palestine/Israel. </w:t>
      </w:r>
    </w:p>
    <w:p w14:paraId="341757C2" w14:textId="77777777" w:rsidR="007F0D5D" w:rsidRDefault="007F0D5D" w:rsidP="007F0D5D">
      <w:pPr>
        <w:spacing w:after="40" w:line="480" w:lineRule="auto"/>
        <w:rPr>
          <w:rFonts w:ascii="Times New Roman" w:hAnsi="Times New Roman" w:cs="Times New Roman"/>
        </w:rPr>
      </w:pPr>
    </w:p>
    <w:p w14:paraId="7E8E7567" w14:textId="77777777" w:rsidR="007F0D5D"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Like Michael, </w:t>
      </w:r>
      <w:r>
        <w:rPr>
          <w:rFonts w:ascii="Times New Roman" w:hAnsi="Times New Roman" w:cs="Times New Roman"/>
        </w:rPr>
        <w:t>other</w:t>
      </w:r>
      <w:r w:rsidRPr="00370E25">
        <w:rPr>
          <w:rFonts w:ascii="Times New Roman" w:hAnsi="Times New Roman" w:cs="Times New Roman"/>
        </w:rPr>
        <w:t xml:space="preserve"> Arab Jewish intellectuals who had been involved in the Left in the Arab world joined the Israeli Communist Party (MAKI), became involved with its Palestinian-led Arabic language publications, actively collaborating with the Palestinian intelligentsia on work in </w:t>
      </w:r>
      <w:r w:rsidRPr="00370E25">
        <w:rPr>
          <w:rFonts w:ascii="Times New Roman" w:hAnsi="Times New Roman" w:cs="Times New Roman"/>
          <w:i/>
          <w:iCs/>
        </w:rPr>
        <w:t>al-Ittihad</w:t>
      </w:r>
      <w:r w:rsidRPr="00370E25">
        <w:rPr>
          <w:rFonts w:ascii="Times New Roman" w:hAnsi="Times New Roman" w:cs="Times New Roman"/>
        </w:rPr>
        <w:t xml:space="preserve"> and on the MAKI-sponsored cultural journal </w:t>
      </w:r>
      <w:r w:rsidRPr="00370E25">
        <w:rPr>
          <w:rFonts w:ascii="Times New Roman" w:hAnsi="Times New Roman" w:cs="Times New Roman"/>
          <w:i/>
          <w:iCs/>
        </w:rPr>
        <w:t xml:space="preserve">al-Jadid </w:t>
      </w:r>
      <w:r w:rsidRPr="00370E25">
        <w:rPr>
          <w:rFonts w:ascii="Times New Roman" w:hAnsi="Times New Roman" w:cs="Times New Roman"/>
        </w:rPr>
        <w:t xml:space="preserve">(established by </w:t>
      </w:r>
      <w:r w:rsidRPr="00370E25">
        <w:rPr>
          <w:rFonts w:ascii="Times New Roman" w:hAnsi="Times New Roman" w:cs="Times New Roman"/>
          <w:i/>
          <w:iCs/>
        </w:rPr>
        <w:t>al-Ittihad</w:t>
      </w:r>
      <w:r w:rsidRPr="00370E25">
        <w:rPr>
          <w:rFonts w:ascii="Times New Roman" w:hAnsi="Times New Roman" w:cs="Times New Roman"/>
        </w:rPr>
        <w:t xml:space="preserve"> in 1951 and published independently from 1953), whose mission was to form an anti-colonial literature and culture of resistance that would constitute the core of a popular political movement. Throughout the 1950s and early 1960s major Palestinian and Mizrahi writers and intellectuals such as Jabra Nicola, Sami Michael, Shimon Ballas, Emile Habiby, Emile Tuma, Samih al-Qassem, David Semah, Mahmoud Darwish and Hana Ibrahim would draw on their common connection as internationalist Marxists of the Arab World and their common mission to combat the colonial erasure of committed Arabic culture and develop an anti-colonial Arabic alternative to the prevailing culture and literature of Zionism and ethnic separatism during the 1950s and 1960s. They utilised the journal, as well as popular Communist organising strategies such as intellectual clubs and festivals, to promote Arabic literacy, cultural education and the formation of a literary scene after the destruction of the Palestinian </w:t>
      </w:r>
      <w:r w:rsidRPr="00370E25">
        <w:rPr>
          <w:rFonts w:ascii="Times New Roman" w:hAnsi="Times New Roman" w:cs="Times New Roman"/>
          <w:i/>
        </w:rPr>
        <w:t>nakba</w:t>
      </w:r>
      <w:r w:rsidRPr="00370E25">
        <w:rPr>
          <w:rFonts w:ascii="Times New Roman" w:hAnsi="Times New Roman" w:cs="Times New Roman"/>
        </w:rPr>
        <w:t xml:space="preserve">. Simultaneously they strove to form a Palestinian-Jewish literary oeuvre composed of short stories, poetry, criticism, and educational writing on heritage, which supported the goals of combatting cultural erasure, military occupation, poverty and racism, and supporting democratic co-existence. The tension between these goals and the de facto segregation of Palestinians and Jews is dynamic in the journal, as is the struggle to define the precarious position of Arab Jews in relation to the Israeli mainstream, on the one hand, and to the Palestinian minority on the other. Nonetheless, in the years to follow, a shared Palestinian-Jewish Arabic-language literature—which was </w:t>
      </w:r>
      <w:r w:rsidRPr="00370E25">
        <w:rPr>
          <w:rFonts w:ascii="Times New Roman" w:hAnsi="Times New Roman" w:cs="Times New Roman"/>
        </w:rPr>
        <w:lastRenderedPageBreak/>
        <w:t>simultaneously engaged with the reconstruction of Arabic cultural life and with shaping a Palestinian-Jewish aesthetics—was fostered by these collaborations.</w:t>
      </w:r>
    </w:p>
    <w:p w14:paraId="3A3AFF02" w14:textId="77777777" w:rsidR="007F0D5D" w:rsidRDefault="007F0D5D" w:rsidP="007F0D5D">
      <w:pPr>
        <w:spacing w:after="40" w:line="480" w:lineRule="auto"/>
        <w:rPr>
          <w:rFonts w:ascii="Times New Roman" w:hAnsi="Times New Roman" w:cs="Times New Roman"/>
        </w:rPr>
      </w:pPr>
    </w:p>
    <w:p w14:paraId="0455BCAF" w14:textId="77777777" w:rsidR="007F0D5D" w:rsidRPr="007F6141" w:rsidRDefault="007F0D5D" w:rsidP="007F0D5D">
      <w:pPr>
        <w:spacing w:after="40" w:line="480" w:lineRule="auto"/>
        <w:rPr>
          <w:rFonts w:ascii="Times New Roman" w:hAnsi="Times New Roman" w:cs="Times New Roman"/>
          <w:b/>
          <w:bCs/>
        </w:rPr>
      </w:pPr>
      <w:r w:rsidRPr="007F6141">
        <w:rPr>
          <w:rFonts w:ascii="Times New Roman" w:hAnsi="Times New Roman" w:cs="Times New Roman"/>
          <w:b/>
          <w:bCs/>
        </w:rPr>
        <w:t xml:space="preserve">Radical Networks and Affiliations </w:t>
      </w:r>
    </w:p>
    <w:p w14:paraId="68342797" w14:textId="77777777" w:rsidR="007F0D5D" w:rsidRDefault="007F0D5D" w:rsidP="007F0D5D">
      <w:pPr>
        <w:spacing w:after="40" w:line="480" w:lineRule="auto"/>
        <w:rPr>
          <w:rFonts w:ascii="Times New Roman" w:hAnsi="Times New Roman" w:cs="Times New Roman"/>
        </w:rPr>
      </w:pPr>
    </w:p>
    <w:p w14:paraId="33DFB787"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How are we to understand what led these intellectuals to share in a politico-cultural vision, given Zionism’s hegemony amongst Israeli Jews after 1948 and the major difference between Arab Jewish and Palestinian communities in their relationship to Zionist rule? I propose to read this collaboration in light of a cluster of interconnected histories that provided alternative imaginaries for Palestinians and Arab Jews in their opposition to Zionist, colonial paradigms. Broadly, these alternatives are rooted in the regional and international networks of Marxism, Communism, Pan-Arabism and anti-colonialism, which were fundamental to political developments in the Middle East and Africa during the first six decades of the twentieth century. This milieu fundamentally shaped the political, social and cultural world views of the intellectuals involved in this movement, tied them to local and international progressive movements, enabled them to think about democracy and liberation across national and religious borders, and exposed them to an oeuvre of progressive Arabic and international literature. Drawing on the co-existence of historic Palestine, Communists spent two decades in an internationalist Palestinian-Jewish struggle against partition and for a state of all its inhabitants within the Palestine Communist Party (PCP) and the National Liberation League (NLL). During the same period, the Iraqi Jews who later joined the party were part of a communist and leftist literary culture that celebrated the confluence of Arab and Jewish identities and vociferously opposed Zionism. The culture of Arab-Jewish co-existence resonated with their experience in the Iraqi Communist Party as well </w:t>
      </w:r>
      <w:r w:rsidRPr="00370E25">
        <w:rPr>
          <w:rFonts w:ascii="Times New Roman" w:hAnsi="Times New Roman" w:cs="Times New Roman"/>
        </w:rPr>
        <w:lastRenderedPageBreak/>
        <w:t>as with the national state of affairs that Jews were accustomed to in Iraq before the 1940s.</w:t>
      </w:r>
      <w:r w:rsidRPr="00370E25">
        <w:rPr>
          <w:rFonts w:ascii="Times New Roman" w:hAnsi="Times New Roman" w:cs="Times New Roman"/>
          <w:vertAlign w:val="superscript"/>
        </w:rPr>
        <w:footnoteReference w:id="6"/>
      </w:r>
      <w:r w:rsidRPr="00370E25">
        <w:rPr>
          <w:rFonts w:ascii="Times New Roman" w:hAnsi="Times New Roman" w:cs="Times New Roman"/>
        </w:rPr>
        <w:t xml:space="preserve"> As Bashkin notes, Iraqi Jews had long been integral participants in Iraqi nationalism and in the development of Arabic intellectual and literary life. Jewish intellectuals had begun defining themselves as ‘Arab-Jews’ during the monarchic period beginning in 1921, demonstrating that they ‘not only considered themselves citizens of the new nation of Iraq but [had] also adopted a new Arab ethnicity.’</w:t>
      </w:r>
      <w:r w:rsidRPr="00370E25">
        <w:rPr>
          <w:rFonts w:ascii="Times New Roman" w:hAnsi="Times New Roman" w:cs="Times New Roman"/>
          <w:vertAlign w:val="superscript"/>
        </w:rPr>
        <w:footnoteReference w:id="7"/>
      </w:r>
      <w:r w:rsidRPr="00370E25">
        <w:rPr>
          <w:rFonts w:ascii="Times New Roman" w:hAnsi="Times New Roman" w:cs="Times New Roman"/>
        </w:rPr>
        <w:t xml:space="preserve"> Ironically, communist Jews of the Arab world, who embodied the culture and lifeworld of progressive Arab-Jewish co-existence that the PCP struggled to form, only joined the local movement after 1948. </w:t>
      </w:r>
    </w:p>
    <w:p w14:paraId="2890908F" w14:textId="77777777" w:rsidR="007F0D5D" w:rsidRDefault="007F0D5D" w:rsidP="007F0D5D">
      <w:pPr>
        <w:spacing w:after="40" w:line="480" w:lineRule="auto"/>
        <w:rPr>
          <w:rFonts w:ascii="Times New Roman" w:hAnsi="Times New Roman" w:cs="Times New Roman"/>
        </w:rPr>
      </w:pPr>
    </w:p>
    <w:p w14:paraId="4D06819C"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Beginning in 1947, the Palestinian </w:t>
      </w:r>
      <w:r w:rsidRPr="00370E25">
        <w:rPr>
          <w:rFonts w:ascii="Times New Roman" w:hAnsi="Times New Roman" w:cs="Times New Roman"/>
          <w:i/>
        </w:rPr>
        <w:t>nakba</w:t>
      </w:r>
      <w:r w:rsidRPr="00370E25">
        <w:rPr>
          <w:rFonts w:ascii="Times New Roman" w:hAnsi="Times New Roman" w:cs="Times New Roman"/>
        </w:rPr>
        <w:t>, the Arab-Israeli war and the establishment of the state of Israel brought about the near destruction of Palestinian society and culture, while setting in motion events that would also lead to the demise of the Jewish community in the Arab world. Although these two communities suffered from different modes of colonial exploitation under the Zionist establishment, they were both subject to anti-Arab racism, Orientalism and cultural colonisation, including the forced erasure of Arabic language, literature and heritage.</w:t>
      </w:r>
      <w:r w:rsidRPr="00370E25">
        <w:rPr>
          <w:rFonts w:ascii="Times New Roman" w:hAnsi="Times New Roman" w:cs="Times New Roman"/>
          <w:vertAlign w:val="superscript"/>
        </w:rPr>
        <w:footnoteReference w:id="8"/>
      </w:r>
      <w:r w:rsidRPr="00370E25">
        <w:rPr>
          <w:rFonts w:ascii="Times New Roman" w:hAnsi="Times New Roman" w:cs="Times New Roman"/>
        </w:rPr>
        <w:t xml:space="preserve"> Palestinian intellectuals bolstered Arab Jewish understanding of the importance and possibility of an anti-colonial initiative that resisted the erasure of Arabic and the cleaving of the Arab Jewish identity; Iraqi Jewish writers and intellectuals likewise supplied Palestinians intellectuals with regional and cultural solidarity and with literary materials from the burgeoning Arabic literary scene in Baghdad.</w:t>
      </w:r>
      <w:r w:rsidRPr="00370E25">
        <w:rPr>
          <w:rFonts w:ascii="Times New Roman" w:hAnsi="Times New Roman" w:cs="Times New Roman"/>
          <w:vertAlign w:val="superscript"/>
        </w:rPr>
        <w:footnoteReference w:id="9"/>
      </w:r>
    </w:p>
    <w:p w14:paraId="0DA71857" w14:textId="77777777" w:rsidR="007F0D5D" w:rsidRDefault="007F0D5D" w:rsidP="007F0D5D">
      <w:pPr>
        <w:spacing w:after="40" w:line="480" w:lineRule="auto"/>
        <w:rPr>
          <w:rFonts w:ascii="Times New Roman" w:hAnsi="Times New Roman" w:cs="Times New Roman"/>
        </w:rPr>
      </w:pPr>
    </w:p>
    <w:p w14:paraId="5E5D6CD6"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Tracing these complex lines draws our attention to the regional history of Arab Marxism, internationalism and the communist parties in the Arab world, and to various local and regional radicalisms, components that shaped this application of Marxism, anti-colonialism and internationalism in Palestine/Israel. An analysis of these intersections engages directly with the relationship between micro and macro histories of the Left raised by the editor of this volume, as well as concomitant calls to deprovincialise Marxism from its western European orientation and identify its specific contours within histories of the Middle East and the Global South.</w:t>
      </w:r>
      <w:r w:rsidRPr="00370E25">
        <w:rPr>
          <w:rFonts w:ascii="Times New Roman" w:hAnsi="Times New Roman" w:cs="Times New Roman"/>
          <w:vertAlign w:val="superscript"/>
        </w:rPr>
        <w:footnoteReference w:id="10"/>
      </w:r>
      <w:r w:rsidRPr="00370E25">
        <w:rPr>
          <w:rFonts w:ascii="Times New Roman" w:hAnsi="Times New Roman" w:cs="Times New Roman"/>
        </w:rPr>
        <w:t xml:space="preserve"> In this vein, this essay will attempt to provide a deeper understand of how universal principles and international streams interacted with particular and locally grounded circumstances, resulting in new and distinct cultural legacies.</w:t>
      </w:r>
    </w:p>
    <w:p w14:paraId="41254687" w14:textId="77777777" w:rsidR="007F0D5D" w:rsidRPr="00370E25" w:rsidRDefault="007F0D5D" w:rsidP="007F0D5D">
      <w:pPr>
        <w:spacing w:after="40" w:line="480" w:lineRule="auto"/>
        <w:rPr>
          <w:rFonts w:ascii="Times New Roman" w:hAnsi="Times New Roman" w:cs="Times New Roman"/>
        </w:rPr>
      </w:pPr>
    </w:p>
    <w:p w14:paraId="4E0F7B63"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For Palestinian communist intellectuals who remained in Israel after 1948, the cultural imagination of co-existence in Palestine was fundamentally informed by internationalism and by the twenty-year struggle for a democratic state waged by the Palestine Communist Party (PCP) and the National Liberation League (NLL) between 1929 and 1947. During this period, Jewish and Palestinian Arab communists working in Palestine believed that by building solidarity between their communities, they could form a political front capable of ousting the British colonisers, while combating the Zionist and Arab reactionaries whom they saw as agents of imperialism. However, designating class as the central form of shared interest between them did not successfully unite the two communities, whose political affiliations and analyses varied significantly. Nationalist conflicts between Palestinians and parts of the Jewish membership, </w:t>
      </w:r>
      <w:r w:rsidRPr="00370E25">
        <w:rPr>
          <w:rFonts w:ascii="Times New Roman" w:hAnsi="Times New Roman" w:cs="Times New Roman"/>
        </w:rPr>
        <w:lastRenderedPageBreak/>
        <w:t>especially around the 1936 Arab revolts, gave rise to political pressures that led to a 1943 split in the Party. Despite these events, the factions that emerged from that split continued to adamantly oppose partition and demand the formation of a democratic, Arab-Jewish state. After the establishment of Israel, the newly reformed Israeli Communist Party (MAKI) became even more embroiled in the tug-of-war between nationalism and internationalism. On the one hand, it supported the establishment of Israel and capitulated to partition under the Soviet line that viewed Israel as an anti-imperial force in the region, and on the other they continued to oppose Zionism, fighting for Palestinian national determination and civil equality.</w:t>
      </w:r>
      <w:r w:rsidRPr="00370E25">
        <w:rPr>
          <w:rFonts w:ascii="Times New Roman" w:hAnsi="Times New Roman" w:cs="Times New Roman"/>
          <w:vertAlign w:val="superscript"/>
        </w:rPr>
        <w:footnoteReference w:id="11"/>
      </w:r>
      <w:r w:rsidRPr="00370E25">
        <w:rPr>
          <w:rFonts w:ascii="Times New Roman" w:hAnsi="Times New Roman" w:cs="Times New Roman"/>
        </w:rPr>
        <w:t xml:space="preserve"> The complex position of Arab communists at this moment is well expressed by Budeiri who argues that the twenty-odd years during which Palestinian and Jewish communists ‘waged a fierce struggle against the establishment of a [Jewish] “national home” and the partitioning of Palestine’ attested to the fact that the last-minute acceptance of the partition plan in 1947 was not due to ‘any internal ideological revision’ but was rather a capitulation to the pressures of Soviet foreign policy, as well as to overwhelming political circumstances.</w:t>
      </w:r>
      <w:r w:rsidRPr="00370E25">
        <w:rPr>
          <w:rFonts w:ascii="Times New Roman" w:hAnsi="Times New Roman" w:cs="Times New Roman"/>
          <w:vertAlign w:val="superscript"/>
        </w:rPr>
        <w:footnoteReference w:id="12"/>
      </w:r>
    </w:p>
    <w:p w14:paraId="42FD76B5" w14:textId="77777777" w:rsidR="007F0D5D" w:rsidRDefault="007F0D5D" w:rsidP="007F0D5D">
      <w:pPr>
        <w:spacing w:after="40" w:line="480" w:lineRule="auto"/>
        <w:rPr>
          <w:rFonts w:ascii="Times New Roman" w:hAnsi="Times New Roman" w:cs="Times New Roman"/>
        </w:rPr>
      </w:pPr>
    </w:p>
    <w:p w14:paraId="10BFCD42" w14:textId="77777777" w:rsidR="007F0D5D"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In addition to its political roots in the Communist movement, many aspects of </w:t>
      </w:r>
      <w:r w:rsidRPr="00370E25">
        <w:rPr>
          <w:rFonts w:ascii="Times New Roman" w:hAnsi="Times New Roman" w:cs="Times New Roman"/>
          <w:i/>
          <w:iCs/>
        </w:rPr>
        <w:t xml:space="preserve">al-Jadid </w:t>
      </w:r>
      <w:r w:rsidRPr="00370E25">
        <w:rPr>
          <w:rFonts w:ascii="Times New Roman" w:hAnsi="Times New Roman" w:cs="Times New Roman"/>
        </w:rPr>
        <w:t>and the surrounding literary scene were influenced by the earlier program featured in publications such as the NLL’s journal</w:t>
      </w:r>
      <w:r w:rsidRPr="00370E25">
        <w:rPr>
          <w:rFonts w:ascii="Times New Roman" w:hAnsi="Times New Roman" w:cs="Times New Roman"/>
          <w:i/>
          <w:iCs/>
        </w:rPr>
        <w:t xml:space="preserve"> al-Ghad </w:t>
      </w:r>
      <w:r w:rsidRPr="00370E25">
        <w:rPr>
          <w:rFonts w:ascii="Times New Roman" w:hAnsi="Times New Roman" w:cs="Times New Roman"/>
        </w:rPr>
        <w:t xml:space="preserve">and inspired by leftist Palestinian culture in the country before 1948. </w:t>
      </w:r>
      <w:r w:rsidRPr="00370E25">
        <w:rPr>
          <w:rFonts w:ascii="Times New Roman" w:hAnsi="Times New Roman" w:cs="Times New Roman"/>
          <w:i/>
          <w:iCs/>
        </w:rPr>
        <w:t xml:space="preserve">Al-Ghad </w:t>
      </w:r>
      <w:r w:rsidRPr="00370E25">
        <w:rPr>
          <w:rFonts w:ascii="Times New Roman" w:hAnsi="Times New Roman" w:cs="Times New Roman"/>
        </w:rPr>
        <w:t>was a theoretical, cultural and literary Marxist journal engaged in the local Palestinian scene, publishing anti-colonial Palestinian poets of the period such as Ibrahim Tuqan and Abu Salma</w:t>
      </w:r>
      <w:r w:rsidRPr="00370E25">
        <w:rPr>
          <w:rFonts w:ascii="Times New Roman" w:hAnsi="Times New Roman" w:cs="Times New Roman"/>
          <w:i/>
          <w:iCs/>
        </w:rPr>
        <w:t>.</w:t>
      </w:r>
      <w:r w:rsidRPr="00370E25">
        <w:rPr>
          <w:rFonts w:ascii="Times New Roman" w:hAnsi="Times New Roman" w:cs="Times New Roman"/>
        </w:rPr>
        <w:t xml:space="preserve"> It was modeled on other Arab communist party journals that were designed to </w:t>
      </w:r>
      <w:r w:rsidRPr="00370E25">
        <w:rPr>
          <w:rFonts w:ascii="Times New Roman" w:hAnsi="Times New Roman" w:cs="Times New Roman"/>
        </w:rPr>
        <w:lastRenderedPageBreak/>
        <w:t xml:space="preserve">broaden the local communist movement by rooting Marxism in local politics and culture in order to make it accessible to a larger audience. Like </w:t>
      </w:r>
      <w:r w:rsidRPr="00370E25">
        <w:rPr>
          <w:rFonts w:ascii="Times New Roman" w:hAnsi="Times New Roman" w:cs="Times New Roman"/>
          <w:i/>
          <w:iCs/>
        </w:rPr>
        <w:t>al-Jadid</w:t>
      </w:r>
      <w:r w:rsidRPr="00370E25">
        <w:rPr>
          <w:rFonts w:ascii="Times New Roman" w:hAnsi="Times New Roman" w:cs="Times New Roman"/>
        </w:rPr>
        <w:t xml:space="preserve">, </w:t>
      </w:r>
      <w:r w:rsidRPr="00370E25">
        <w:rPr>
          <w:rFonts w:ascii="Times New Roman" w:hAnsi="Times New Roman" w:cs="Times New Roman"/>
          <w:i/>
          <w:iCs/>
        </w:rPr>
        <w:t>al-Ghad</w:t>
      </w:r>
      <w:r w:rsidRPr="00370E25">
        <w:rPr>
          <w:rFonts w:ascii="Times New Roman" w:hAnsi="Times New Roman" w:cs="Times New Roman"/>
        </w:rPr>
        <w:t xml:space="preserve"> sought to attract young intelligentsia to the party by creating a bridge between Marxism and the radical political and intellectual milieu. The journal boasted a literary and cultural section that included local, regional and international poetry and prose in addition to cultural criticism and articles on socialist realism. It also published theoretical introductions to Marxism and Marxist analysis of Arabic-Islamic heritage. In addition, from 1944 onwards, </w:t>
      </w:r>
      <w:r w:rsidRPr="00370E25">
        <w:rPr>
          <w:rFonts w:ascii="Times New Roman" w:hAnsi="Times New Roman" w:cs="Times New Roman"/>
          <w:i/>
          <w:iCs/>
        </w:rPr>
        <w:t>al-Ittihad</w:t>
      </w:r>
      <w:r w:rsidRPr="00370E25">
        <w:rPr>
          <w:rFonts w:ascii="Times New Roman" w:hAnsi="Times New Roman" w:cs="Times New Roman"/>
        </w:rPr>
        <w:t xml:space="preserve"> regularly published realist, popular prose, as well as poetry that documented political resistance and the conditions of local communities. Even after 1953, short literary works continued to complement and enrich journalism in the newspaper, although </w:t>
      </w:r>
      <w:r w:rsidRPr="00370E25">
        <w:rPr>
          <w:rFonts w:ascii="Times New Roman" w:hAnsi="Times New Roman" w:cs="Times New Roman"/>
          <w:i/>
          <w:iCs/>
        </w:rPr>
        <w:t>al-Jadid</w:t>
      </w:r>
      <w:r w:rsidRPr="00370E25">
        <w:rPr>
          <w:rFonts w:ascii="Times New Roman" w:hAnsi="Times New Roman" w:cs="Times New Roman"/>
        </w:rPr>
        <w:t xml:space="preserve"> became the central Arabic cultural organ of the movement. </w:t>
      </w:r>
    </w:p>
    <w:p w14:paraId="293205BD" w14:textId="77777777" w:rsidR="007F0D5D" w:rsidRPr="000A4EF8" w:rsidRDefault="007F0D5D" w:rsidP="007F0D5D">
      <w:pPr>
        <w:spacing w:after="40" w:line="480" w:lineRule="auto"/>
        <w:rPr>
          <w:rFonts w:ascii="Times New Roman" w:hAnsi="Times New Roman" w:cs="Times New Roman"/>
        </w:rPr>
      </w:pPr>
    </w:p>
    <w:p w14:paraId="7F12F64D" w14:textId="77777777" w:rsidR="007F0D5D" w:rsidRPr="000A4EF8" w:rsidRDefault="007F0D5D" w:rsidP="007F0D5D">
      <w:pPr>
        <w:spacing w:after="40" w:line="480" w:lineRule="auto"/>
        <w:rPr>
          <w:rFonts w:ascii="Times New Roman" w:hAnsi="Times New Roman" w:cs="Times New Roman"/>
          <w:b/>
          <w:bCs/>
        </w:rPr>
      </w:pPr>
      <w:r w:rsidRPr="000A4EF8">
        <w:rPr>
          <w:rFonts w:ascii="Times New Roman" w:eastAsiaTheme="minorHAnsi" w:hAnsi="Times New Roman" w:cs="Times New Roman"/>
          <w:b/>
          <w:bCs/>
          <w:kern w:val="0"/>
          <w:lang w:val="en-US" w:eastAsia="en-US" w:bidi="ar-SA"/>
        </w:rPr>
        <w:t>A Culture from the Ashes: Literary</w:t>
      </w:r>
      <w:r>
        <w:rPr>
          <w:rFonts w:ascii="Times New Roman" w:eastAsiaTheme="minorHAnsi" w:hAnsi="Times New Roman" w:cs="Times New Roman"/>
          <w:b/>
          <w:bCs/>
          <w:kern w:val="0"/>
          <w:lang w:val="en-US" w:eastAsia="en-US" w:bidi="ar-SA"/>
        </w:rPr>
        <w:t>-</w:t>
      </w:r>
      <w:r w:rsidRPr="000A4EF8">
        <w:rPr>
          <w:rFonts w:ascii="Times New Roman" w:eastAsiaTheme="minorHAnsi" w:hAnsi="Times New Roman" w:cs="Times New Roman"/>
          <w:b/>
          <w:bCs/>
          <w:kern w:val="0"/>
          <w:lang w:val="en-US" w:eastAsia="en-US" w:bidi="ar-SA"/>
        </w:rPr>
        <w:t xml:space="preserve">Political Reconstruction in the Formative Years of </w:t>
      </w:r>
      <w:r w:rsidRPr="000A4EF8">
        <w:rPr>
          <w:rFonts w:ascii="Times New Roman" w:eastAsiaTheme="minorHAnsi" w:hAnsi="Times New Roman" w:cs="Times New Roman"/>
          <w:b/>
          <w:bCs/>
          <w:i/>
          <w:iCs/>
          <w:kern w:val="0"/>
          <w:lang w:val="en-US" w:eastAsia="en-US" w:bidi="ar-SA"/>
        </w:rPr>
        <w:t>al-Jadid</w:t>
      </w:r>
    </w:p>
    <w:p w14:paraId="157FF597" w14:textId="77777777" w:rsidR="007F0D5D" w:rsidRPr="00370E25" w:rsidRDefault="007F0D5D" w:rsidP="007F0D5D">
      <w:pPr>
        <w:spacing w:after="40" w:line="480" w:lineRule="auto"/>
        <w:rPr>
          <w:rFonts w:ascii="Times New Roman" w:hAnsi="Times New Roman" w:cs="Times New Roman"/>
        </w:rPr>
      </w:pPr>
    </w:p>
    <w:p w14:paraId="68FD6105"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i/>
          <w:iCs/>
        </w:rPr>
        <w:t>Al-Ittihad</w:t>
      </w:r>
      <w:r w:rsidRPr="00370E25">
        <w:rPr>
          <w:rFonts w:ascii="Times New Roman" w:hAnsi="Times New Roman" w:cs="Times New Roman"/>
        </w:rPr>
        <w:t xml:space="preserve"> was the only pre-1948 Arabic-language newspaper that was able to resume publishing after the 1948 war; after a shutdown that lasted a number of months, it reopened in October 1948. During the war Habiby briefly escaped Haifa, his native city and the seat of the headquarters for the Communist Party; upon his return he joined the party and the editorial committee of </w:t>
      </w:r>
      <w:r w:rsidRPr="00370E25">
        <w:rPr>
          <w:rFonts w:ascii="Times New Roman" w:hAnsi="Times New Roman" w:cs="Times New Roman"/>
          <w:i/>
          <w:iCs/>
        </w:rPr>
        <w:t>al-Ittihad,</w:t>
      </w:r>
      <w:r w:rsidRPr="00370E25">
        <w:rPr>
          <w:rFonts w:ascii="Times New Roman" w:hAnsi="Times New Roman" w:cs="Times New Roman"/>
        </w:rPr>
        <w:t xml:space="preserve"> which was in the process of becoming MAKI’s communist Arabic-language newspaper. The Palestinian society that Habiby had been active in organising before the war had virtually disappeared; in Haifa it had been reduced from 75,000 to 3,000 </w:t>
      </w:r>
      <w:r w:rsidRPr="00370E25">
        <w:rPr>
          <w:rFonts w:ascii="Times New Roman" w:hAnsi="Times New Roman" w:cs="Times New Roman"/>
        </w:rPr>
        <w:lastRenderedPageBreak/>
        <w:t xml:space="preserve">Palestinians, almost all of its political leadership had fled, and only a handful of intellectuals and writers remained inside Israeli territory. </w:t>
      </w:r>
    </w:p>
    <w:p w14:paraId="5B7FDB60" w14:textId="77777777" w:rsidR="007F0D5D" w:rsidRDefault="007F0D5D" w:rsidP="007F0D5D">
      <w:pPr>
        <w:spacing w:after="40" w:line="480" w:lineRule="auto"/>
        <w:rPr>
          <w:rFonts w:ascii="Times New Roman" w:hAnsi="Times New Roman" w:cs="Times New Roman"/>
        </w:rPr>
      </w:pPr>
    </w:p>
    <w:p w14:paraId="530FD48E"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Habiby continued to be a chief figure and driving force behind </w:t>
      </w:r>
      <w:r w:rsidRPr="00370E25">
        <w:rPr>
          <w:rFonts w:ascii="Times New Roman" w:hAnsi="Times New Roman" w:cs="Times New Roman"/>
          <w:i/>
          <w:iCs/>
        </w:rPr>
        <w:t>al-Ittihad</w:t>
      </w:r>
      <w:r w:rsidRPr="00370E25">
        <w:rPr>
          <w:rFonts w:ascii="Times New Roman" w:hAnsi="Times New Roman" w:cs="Times New Roman"/>
        </w:rPr>
        <w:t xml:space="preserve"> and </w:t>
      </w:r>
      <w:r w:rsidRPr="00370E25">
        <w:rPr>
          <w:rFonts w:ascii="Times New Roman" w:hAnsi="Times New Roman" w:cs="Times New Roman"/>
          <w:i/>
          <w:iCs/>
        </w:rPr>
        <w:t>al-Jadid</w:t>
      </w:r>
      <w:r w:rsidRPr="00370E25">
        <w:rPr>
          <w:rFonts w:ascii="Times New Roman" w:hAnsi="Times New Roman" w:cs="Times New Roman"/>
        </w:rPr>
        <w:t xml:space="preserve">, where he was a prolific cultural critic, journalist, editor, and later a celebrated fiction writer. Having joined the Communist Party at the age of fourteen he rose to a prominent leadership position within MAKI, serving as a member of the Israeli Knesset. Tuma, who had also fled during the war, joined Habiby on </w:t>
      </w:r>
      <w:r w:rsidRPr="00370E25">
        <w:rPr>
          <w:rFonts w:ascii="Times New Roman" w:hAnsi="Times New Roman" w:cs="Times New Roman"/>
          <w:i/>
          <w:iCs/>
        </w:rPr>
        <w:t>al-Ittihad</w:t>
      </w:r>
      <w:r w:rsidRPr="00370E25">
        <w:rPr>
          <w:rFonts w:ascii="Times New Roman" w:hAnsi="Times New Roman" w:cs="Times New Roman"/>
        </w:rPr>
        <w:t xml:space="preserve">’s editorial board in 1951. Another towering figure in the Palestinian communist movement, Tuma was a Cambridge-educated Marxist historian, political theorist and journalist. The two were joined by Palestinian intellectual Jabra Nicola, a Trotskyite who had been active in the PCP as a writer, editor, Arabic-Hebrew translator and a critic of Stalinist policy during the 1930s. The fourth member of </w:t>
      </w:r>
      <w:r w:rsidRPr="00370E25">
        <w:rPr>
          <w:rFonts w:ascii="Times New Roman" w:hAnsi="Times New Roman" w:cs="Times New Roman"/>
          <w:i/>
          <w:iCs/>
        </w:rPr>
        <w:t>al-Ittihad</w:t>
      </w:r>
      <w:r w:rsidRPr="00370E25">
        <w:rPr>
          <w:rFonts w:ascii="Times New Roman" w:hAnsi="Times New Roman" w:cs="Times New Roman"/>
        </w:rPr>
        <w:t>’s editorial committee was Sami Michael, a former member of the Iraqi Communist Party who arrived in Israel in 1949, on the run from the Iraqi government due to his activities in the communist underground in Baghdad.</w:t>
      </w:r>
      <w:r w:rsidRPr="00370E25">
        <w:rPr>
          <w:rFonts w:ascii="Times New Roman" w:hAnsi="Times New Roman" w:cs="Times New Roman"/>
          <w:vertAlign w:val="superscript"/>
        </w:rPr>
        <w:footnoteReference w:id="13"/>
      </w:r>
      <w:r w:rsidRPr="00370E25">
        <w:rPr>
          <w:rFonts w:ascii="Times New Roman" w:hAnsi="Times New Roman" w:cs="Times New Roman"/>
        </w:rPr>
        <w:t xml:space="preserve"> Recounting this story, Michael noted that the first thing he did upon arrival at the Haifa airport was to ask for the local Communist Party headquarters.</w:t>
      </w:r>
      <w:r w:rsidRPr="00370E25">
        <w:rPr>
          <w:rFonts w:ascii="Times New Roman" w:hAnsi="Times New Roman" w:cs="Times New Roman"/>
          <w:vertAlign w:val="superscript"/>
        </w:rPr>
        <w:footnoteReference w:id="14"/>
      </w:r>
      <w:r w:rsidRPr="00370E25">
        <w:rPr>
          <w:rFonts w:ascii="Times New Roman" w:hAnsi="Times New Roman" w:cs="Times New Roman"/>
        </w:rPr>
        <w:t xml:space="preserve"> Like Habiby and Tuma, Michael had significant background organising in an Arab communist party and working as a writer and editor for its publications, and he began publishing in </w:t>
      </w:r>
      <w:r w:rsidRPr="00370E25">
        <w:rPr>
          <w:rFonts w:ascii="Times New Roman" w:hAnsi="Times New Roman" w:cs="Times New Roman"/>
          <w:i/>
          <w:iCs/>
        </w:rPr>
        <w:t>al-Ittihad</w:t>
      </w:r>
      <w:r w:rsidRPr="00370E25">
        <w:rPr>
          <w:rFonts w:ascii="Times New Roman" w:hAnsi="Times New Roman" w:cs="Times New Roman"/>
        </w:rPr>
        <w:t xml:space="preserve"> the same year. Between 1949 and 1953 Sami Michael authored a programmatic essay forecasting the appearance of </w:t>
      </w:r>
      <w:r w:rsidRPr="00370E25">
        <w:rPr>
          <w:rFonts w:ascii="Times New Roman" w:hAnsi="Times New Roman" w:cs="Times New Roman"/>
          <w:i/>
          <w:iCs/>
        </w:rPr>
        <w:t>al-Jadid</w:t>
      </w:r>
      <w:r w:rsidRPr="00370E25">
        <w:rPr>
          <w:rFonts w:ascii="Times New Roman" w:hAnsi="Times New Roman" w:cs="Times New Roman"/>
        </w:rPr>
        <w:t xml:space="preserve"> as well as eight stories. Alongside a handful of Palestinian writers publishing in that catastrophic period, he penned socialist realist prose about Palestinians, Jews from the Arab world and Palestinian-</w:t>
      </w:r>
      <w:r w:rsidRPr="00370E25">
        <w:rPr>
          <w:rFonts w:ascii="Times New Roman" w:hAnsi="Times New Roman" w:cs="Times New Roman"/>
        </w:rPr>
        <w:lastRenderedPageBreak/>
        <w:t>Jewish solidarity in Israel/Palestine, pioneering the popular aesthetic that would come to characterise the journal a few years later. His activities also anticipated the intellectual collaboration between Iraqi Jewish and Palestinian intellectuals that was to become part of the magazine’s culture and intellectual milieu.</w:t>
      </w:r>
    </w:p>
    <w:p w14:paraId="215A2DE5" w14:textId="77777777" w:rsidR="007F0D5D" w:rsidRDefault="007F0D5D" w:rsidP="007F0D5D">
      <w:pPr>
        <w:spacing w:after="40" w:line="480" w:lineRule="auto"/>
        <w:rPr>
          <w:rFonts w:ascii="Times New Roman" w:hAnsi="Times New Roman" w:cs="Times New Roman"/>
        </w:rPr>
      </w:pPr>
    </w:p>
    <w:p w14:paraId="1B9F69A9"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Michael’s political background provides an example of the common ground that Palestinian and Iraqi Jewish communists shared as Arab Marxist intellectuals. He integrated quickly into the circle around</w:t>
      </w:r>
      <w:r w:rsidRPr="00370E25">
        <w:rPr>
          <w:rFonts w:ascii="Times New Roman" w:hAnsi="Times New Roman" w:cs="Times New Roman"/>
          <w:i/>
          <w:iCs/>
        </w:rPr>
        <w:t xml:space="preserve"> al-Ittihad</w:t>
      </w:r>
      <w:r w:rsidRPr="00370E25">
        <w:rPr>
          <w:rFonts w:ascii="Times New Roman" w:hAnsi="Times New Roman" w:cs="Times New Roman"/>
        </w:rPr>
        <w:t>, reporting on the conditions of the Palestinian villages under military rule, the transit camps, and the difficulties of new immigrants who had just arrived in the country from the Arab world.</w:t>
      </w:r>
      <w:r w:rsidRPr="00370E25">
        <w:rPr>
          <w:rFonts w:ascii="Times New Roman" w:hAnsi="Times New Roman" w:cs="Times New Roman"/>
          <w:vertAlign w:val="superscript"/>
        </w:rPr>
        <w:footnoteReference w:id="15"/>
      </w:r>
      <w:r w:rsidRPr="00370E25">
        <w:rPr>
          <w:rFonts w:ascii="Times New Roman" w:hAnsi="Times New Roman" w:cs="Times New Roman"/>
        </w:rPr>
        <w:t xml:space="preserve"> He also worked with Nicola, Habiby and Tuma on the formation of </w:t>
      </w:r>
      <w:r w:rsidRPr="00370E25">
        <w:rPr>
          <w:rFonts w:ascii="Times New Roman" w:hAnsi="Times New Roman" w:cs="Times New Roman"/>
          <w:i/>
          <w:iCs/>
        </w:rPr>
        <w:t>al-Jadid</w:t>
      </w:r>
      <w:r w:rsidRPr="00370E25">
        <w:rPr>
          <w:rFonts w:ascii="Times New Roman" w:hAnsi="Times New Roman" w:cs="Times New Roman"/>
        </w:rPr>
        <w:t xml:space="preserve"> and its aesthetic program, penning a key piece calling for a movement for popular, progressive Arab resistance literature in 1950, which was soon followed by the introduction of al-Jadid as a cultural and literary supplement in </w:t>
      </w:r>
      <w:r w:rsidRPr="00370E25">
        <w:rPr>
          <w:rFonts w:ascii="Times New Roman" w:hAnsi="Times New Roman" w:cs="Times New Roman"/>
          <w:i/>
          <w:iCs/>
        </w:rPr>
        <w:t>al-Ittihad</w:t>
      </w:r>
      <w:r w:rsidRPr="00370E25">
        <w:rPr>
          <w:rFonts w:ascii="Times New Roman" w:hAnsi="Times New Roman" w:cs="Times New Roman"/>
        </w:rPr>
        <w:t>. The first piece calls for littérateurs to harness popular socialist realist literature in the service of three different areas: internationalism, Arab-Jewish understanding, and the mobilisation of a local communist political movement.</w:t>
      </w:r>
      <w:r w:rsidRPr="00370E25">
        <w:rPr>
          <w:rFonts w:ascii="Times New Roman" w:hAnsi="Times New Roman" w:cs="Times New Roman"/>
          <w:vertAlign w:val="superscript"/>
        </w:rPr>
        <w:footnoteReference w:id="16"/>
      </w:r>
      <w:r w:rsidRPr="00370E25">
        <w:rPr>
          <w:rFonts w:ascii="Times New Roman" w:hAnsi="Times New Roman" w:cs="Times New Roman"/>
        </w:rPr>
        <w:t xml:space="preserve"> Michael’s fiction undoubtedly drew on the materials of his reportage, which gave him access to Palestinian areas that were out of bounds for Jewish civilians. He was also able to access and write about transit camps, the impoverished immigration camps where many Jews from the Arab world began their life in Israel, which were generally isolated from the main population centers. Living and working amongst Palestinians in the Wadi Nisnas neighbourhood of Haifa also gave him intimate knowledge of that community. His </w:t>
      </w:r>
      <w:r w:rsidRPr="00370E25">
        <w:rPr>
          <w:rFonts w:ascii="Times New Roman" w:hAnsi="Times New Roman" w:cs="Times New Roman"/>
          <w:i/>
          <w:iCs/>
        </w:rPr>
        <w:t>al-Ittihad</w:t>
      </w:r>
      <w:r w:rsidRPr="00370E25">
        <w:rPr>
          <w:rFonts w:ascii="Times New Roman" w:hAnsi="Times New Roman" w:cs="Times New Roman"/>
        </w:rPr>
        <w:t xml:space="preserve"> stories depicted common issues that </w:t>
      </w:r>
      <w:r w:rsidRPr="00370E25">
        <w:rPr>
          <w:rFonts w:ascii="Times New Roman" w:hAnsi="Times New Roman" w:cs="Times New Roman"/>
        </w:rPr>
        <w:lastRenderedPageBreak/>
        <w:t>Palestinians faced under military governance—regular identification round-ups, expulsions, land seizures, the plight of refugees and the attempts of the military to turn civilians into informants. Michael’s collection was part of a genre of literary works focused on local struggles, and planted the early seeds of a post-48, popular anti-Zionist style. This style of popular literature, and especially short stories—emphasising narrative documentation of the local communities in terms of culture, habit, language and environs—shaped the work of Palestinian and Iraqi Jewish writers of the journal.</w:t>
      </w:r>
    </w:p>
    <w:p w14:paraId="4DA5261A" w14:textId="77777777" w:rsidR="007F0D5D" w:rsidRDefault="007F0D5D" w:rsidP="007F0D5D">
      <w:pPr>
        <w:spacing w:after="40" w:line="480" w:lineRule="auto"/>
        <w:rPr>
          <w:rFonts w:ascii="Times New Roman" w:hAnsi="Times New Roman" w:cs="Times New Roman"/>
        </w:rPr>
      </w:pPr>
    </w:p>
    <w:p w14:paraId="53B385A4"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In 1953, in the city of Haifa, </w:t>
      </w:r>
      <w:r w:rsidRPr="00370E25">
        <w:rPr>
          <w:rFonts w:ascii="Times New Roman" w:hAnsi="Times New Roman" w:cs="Times New Roman"/>
          <w:i/>
          <w:iCs/>
        </w:rPr>
        <w:t>al-Ittihad</w:t>
      </w:r>
      <w:r w:rsidRPr="00370E25">
        <w:rPr>
          <w:rFonts w:ascii="Times New Roman" w:hAnsi="Times New Roman" w:cs="Times New Roman"/>
        </w:rPr>
        <w:t xml:space="preserve">, (MAKI) launched its first issue of </w:t>
      </w:r>
      <w:r w:rsidRPr="00370E25">
        <w:rPr>
          <w:rFonts w:ascii="Times New Roman" w:hAnsi="Times New Roman" w:cs="Times New Roman"/>
          <w:i/>
          <w:iCs/>
        </w:rPr>
        <w:t>al-Jadid</w:t>
      </w:r>
      <w:r w:rsidRPr="00370E25">
        <w:rPr>
          <w:rFonts w:ascii="Times New Roman" w:hAnsi="Times New Roman" w:cs="Times New Roman"/>
        </w:rPr>
        <w:t>,</w:t>
      </w:r>
      <w:r w:rsidRPr="00370E25">
        <w:rPr>
          <w:rFonts w:ascii="Times New Roman" w:hAnsi="Times New Roman" w:cs="Times New Roman"/>
          <w:i/>
          <w:iCs/>
        </w:rPr>
        <w:t xml:space="preserve"> </w:t>
      </w:r>
      <w:r w:rsidRPr="00370E25">
        <w:rPr>
          <w:rFonts w:ascii="Times New Roman" w:hAnsi="Times New Roman" w:cs="Times New Roman"/>
        </w:rPr>
        <w:t xml:space="preserve">an Arabic literary magazine of society, culture and politics. Habiby’s inaugural speech kicked off the event, announcing that the magazine’s mission was ‘not merely to establish an organisation, but to incite a movement, a literary movement for the people in our land, a movement that begins with </w:t>
      </w:r>
      <w:r w:rsidRPr="00370E25">
        <w:rPr>
          <w:rFonts w:ascii="Times New Roman" w:hAnsi="Times New Roman" w:cs="Times New Roman"/>
          <w:i/>
          <w:iCs/>
        </w:rPr>
        <w:t>al-Jadid</w:t>
      </w:r>
      <w:r w:rsidRPr="00370E25">
        <w:rPr>
          <w:rFonts w:ascii="Times New Roman" w:hAnsi="Times New Roman" w:cs="Times New Roman"/>
        </w:rPr>
        <w:t xml:space="preserve"> but does not end with </w:t>
      </w:r>
      <w:r w:rsidRPr="00370E25">
        <w:rPr>
          <w:rFonts w:ascii="Times New Roman" w:hAnsi="Times New Roman" w:cs="Times New Roman"/>
          <w:i/>
          <w:iCs/>
        </w:rPr>
        <w:t>al-Jadid</w:t>
      </w:r>
      <w:r w:rsidRPr="00370E25">
        <w:rPr>
          <w:rFonts w:ascii="Times New Roman" w:hAnsi="Times New Roman" w:cs="Times New Roman"/>
        </w:rPr>
        <w:t>.’</w:t>
      </w:r>
      <w:r w:rsidRPr="00370E25">
        <w:rPr>
          <w:rFonts w:ascii="Times New Roman" w:hAnsi="Times New Roman" w:cs="Times New Roman"/>
          <w:vertAlign w:val="superscript"/>
        </w:rPr>
        <w:footnoteReference w:id="17"/>
      </w:r>
      <w:r w:rsidRPr="00370E25">
        <w:rPr>
          <w:rFonts w:ascii="Times New Roman" w:hAnsi="Times New Roman" w:cs="Times New Roman"/>
          <w:vertAlign w:val="superscript"/>
        </w:rPr>
        <w:t xml:space="preserve"> </w:t>
      </w:r>
      <w:r w:rsidRPr="00370E25">
        <w:rPr>
          <w:rFonts w:ascii="Times New Roman" w:hAnsi="Times New Roman" w:cs="Times New Roman"/>
        </w:rPr>
        <w:t xml:space="preserve"> He then defined the mission of literature in relation to the specificities of the political struggle: </w:t>
      </w:r>
    </w:p>
    <w:p w14:paraId="291AC862" w14:textId="77777777" w:rsidR="007F0D5D" w:rsidRPr="00370E25" w:rsidRDefault="007F0D5D" w:rsidP="007F0D5D">
      <w:pPr>
        <w:spacing w:after="40" w:line="480" w:lineRule="auto"/>
        <w:rPr>
          <w:rFonts w:ascii="Times New Roman" w:hAnsi="Times New Roman" w:cs="Times New Roman"/>
        </w:rPr>
      </w:pPr>
    </w:p>
    <w:p w14:paraId="03862F59" w14:textId="77777777" w:rsidR="007F0D5D" w:rsidRPr="00370E25" w:rsidRDefault="007F0D5D" w:rsidP="007F0D5D">
      <w:pPr>
        <w:spacing w:after="40" w:line="480" w:lineRule="auto"/>
        <w:ind w:left="720" w:right="720"/>
        <w:rPr>
          <w:rFonts w:ascii="Times New Roman" w:hAnsi="Times New Roman" w:cs="Times New Roman"/>
        </w:rPr>
      </w:pPr>
      <w:r w:rsidRPr="00370E25">
        <w:rPr>
          <w:rFonts w:ascii="Times New Roman" w:hAnsi="Times New Roman" w:cs="Times New Roman"/>
        </w:rPr>
        <w:t xml:space="preserve">In order to carry out their nefarious goals in our country and in the Near East, the colonisers and their collaborators create division between the Jewish and the Arab masses, and the policy of national oppression serves them best in this regard. Therefore the mission of popular Arabic literature in our country is to wage a full-fledged battle on national oppression, and to carry to the masses, here and in the Arab world, the message of Arab-Jewish fraternity, expressing manifestations of </w:t>
      </w:r>
      <w:r w:rsidRPr="00370E25">
        <w:rPr>
          <w:rFonts w:ascii="Times New Roman" w:hAnsi="Times New Roman" w:cs="Times New Roman"/>
        </w:rPr>
        <w:lastRenderedPageBreak/>
        <w:t>the common Arab-Jewish struggle in Israel, which is the essence of this connection and of the future of Arab-Jewish relations in this part of the world.</w:t>
      </w:r>
      <w:r w:rsidRPr="00370E25">
        <w:rPr>
          <w:rFonts w:ascii="Times New Roman" w:hAnsi="Times New Roman" w:cs="Times New Roman"/>
          <w:vertAlign w:val="superscript"/>
        </w:rPr>
        <w:footnoteReference w:id="18"/>
      </w:r>
    </w:p>
    <w:p w14:paraId="4DD31158" w14:textId="77777777" w:rsidR="007F0D5D" w:rsidRPr="00370E25" w:rsidRDefault="007F0D5D" w:rsidP="007F0D5D">
      <w:pPr>
        <w:spacing w:after="40" w:line="480" w:lineRule="auto"/>
        <w:rPr>
          <w:rFonts w:ascii="Times New Roman" w:hAnsi="Times New Roman" w:cs="Times New Roman"/>
        </w:rPr>
      </w:pPr>
    </w:p>
    <w:p w14:paraId="354D36A9" w14:textId="77777777" w:rsidR="007F0D5D"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Here Habiby situates anti-colonialism at the centre of </w:t>
      </w:r>
      <w:r w:rsidRPr="00370E25">
        <w:rPr>
          <w:rFonts w:ascii="Times New Roman" w:hAnsi="Times New Roman" w:cs="Times New Roman"/>
          <w:i/>
        </w:rPr>
        <w:t>al-Jadid’s</w:t>
      </w:r>
      <w:r w:rsidRPr="00370E25">
        <w:rPr>
          <w:rFonts w:ascii="Times New Roman" w:hAnsi="Times New Roman" w:cs="Times New Roman"/>
        </w:rPr>
        <w:t xml:space="preserve"> cultural program, locating Palestinian national oppression and the division of Arabs and Jews as mutually reinforcing political phenomena that enabled colonial modes of rule. The struggle for co-existence was thus intersectiona</w:t>
      </w:r>
      <w:r>
        <w:rPr>
          <w:rFonts w:ascii="Times New Roman" w:hAnsi="Times New Roman" w:cs="Times New Roman"/>
        </w:rPr>
        <w:t>lly linked to the national self-</w:t>
      </w:r>
      <w:r w:rsidRPr="00370E25">
        <w:rPr>
          <w:rFonts w:ascii="Times New Roman" w:hAnsi="Times New Roman" w:cs="Times New Roman"/>
        </w:rPr>
        <w:t xml:space="preserve">determination of Palestinians as an anti-colonial ethics to emulate within cultural production. While this discourse instrumentalised literature in many ways, and produced some prescriptive work, it also provided a blueprint for a series of inspired and dynamic practices that positively shaped the cultural agenda. These included poetic and intellectual exchanges, literary translations, a popular anti-Zionist literary program that took up the plight of oppressed Palestinian and Jewish communities, and regular features on progressive Arabic culture and heritage.  </w:t>
      </w:r>
    </w:p>
    <w:p w14:paraId="6E36B521" w14:textId="77777777" w:rsidR="007F0D5D" w:rsidRDefault="007F0D5D" w:rsidP="007F0D5D">
      <w:pPr>
        <w:spacing w:after="40" w:line="480" w:lineRule="auto"/>
        <w:rPr>
          <w:rFonts w:ascii="Times New Roman" w:hAnsi="Times New Roman" w:cs="Times New Roman"/>
        </w:rPr>
      </w:pPr>
    </w:p>
    <w:p w14:paraId="43CF949F" w14:textId="77777777" w:rsidR="007F0D5D" w:rsidRDefault="007F0D5D" w:rsidP="007F0D5D">
      <w:pPr>
        <w:spacing w:after="40" w:line="480" w:lineRule="auto"/>
        <w:rPr>
          <w:rFonts w:ascii="Times New Roman" w:hAnsi="Times New Roman" w:cs="Times New Roman"/>
        </w:rPr>
      </w:pPr>
    </w:p>
    <w:p w14:paraId="0D856551" w14:textId="77777777" w:rsidR="007F0D5D" w:rsidRPr="000A4EF8" w:rsidRDefault="007F0D5D" w:rsidP="007F0D5D">
      <w:pPr>
        <w:spacing w:after="40" w:line="480" w:lineRule="auto"/>
        <w:rPr>
          <w:rFonts w:ascii="Times New Roman" w:hAnsi="Times New Roman" w:cs="Times New Roman"/>
          <w:b/>
          <w:bCs/>
        </w:rPr>
      </w:pPr>
      <w:r w:rsidRPr="000A4EF8">
        <w:rPr>
          <w:rFonts w:ascii="Times New Roman" w:hAnsi="Times New Roman" w:cs="Times New Roman"/>
          <w:b/>
          <w:bCs/>
        </w:rPr>
        <w:t xml:space="preserve">Literature as News and Public Record </w:t>
      </w:r>
    </w:p>
    <w:p w14:paraId="518C87D3" w14:textId="77777777" w:rsidR="007F0D5D" w:rsidRDefault="007F0D5D" w:rsidP="007F0D5D">
      <w:pPr>
        <w:spacing w:after="40" w:line="480" w:lineRule="auto"/>
        <w:rPr>
          <w:rFonts w:ascii="Times New Roman" w:hAnsi="Times New Roman" w:cs="Times New Roman"/>
        </w:rPr>
      </w:pPr>
    </w:p>
    <w:p w14:paraId="17439AB9"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In fiction, and often in poetry as well, writers drew on these tenets of socialist and popular realism from the Soviet Union, the Arab world and the anti-colonial Left to support the conceptualisation of literature as a form of history, news and social documentary. This aesthetic approach was a general feature of socialist realism, and was readily applied </w:t>
      </w:r>
      <w:r w:rsidRPr="00370E25">
        <w:rPr>
          <w:rFonts w:ascii="Times New Roman" w:hAnsi="Times New Roman" w:cs="Times New Roman"/>
          <w:iCs/>
        </w:rPr>
        <w:t>by</w:t>
      </w:r>
      <w:r w:rsidRPr="00370E25">
        <w:rPr>
          <w:rFonts w:ascii="Times New Roman" w:hAnsi="Times New Roman" w:cs="Times New Roman"/>
          <w:i/>
          <w:iCs/>
        </w:rPr>
        <w:t xml:space="preserve"> al-Jadid</w:t>
      </w:r>
      <w:r w:rsidRPr="00370E25">
        <w:rPr>
          <w:rFonts w:ascii="Times New Roman" w:hAnsi="Times New Roman" w:cs="Times New Roman"/>
        </w:rPr>
        <w:t xml:space="preserve"> to the social and historical documentation of Palestinian society and to the chronicles of Arab Jews </w:t>
      </w:r>
      <w:r w:rsidRPr="00370E25">
        <w:rPr>
          <w:rFonts w:ascii="Times New Roman" w:hAnsi="Times New Roman" w:cs="Times New Roman"/>
        </w:rPr>
        <w:lastRenderedPageBreak/>
        <w:t xml:space="preserve">living in the transit camp. Likewise, the preservation of language, culture and the historical record became a pressing necessity in light of the Zionist establishment’s determination to exclude Arab culture, whether Jewish or Palestinian, from state life. </w:t>
      </w:r>
    </w:p>
    <w:p w14:paraId="1793625B" w14:textId="77777777" w:rsidR="007F0D5D" w:rsidRDefault="007F0D5D" w:rsidP="007F0D5D">
      <w:pPr>
        <w:spacing w:after="40" w:line="480" w:lineRule="auto"/>
        <w:rPr>
          <w:rFonts w:ascii="Times New Roman" w:hAnsi="Times New Roman" w:cs="Times New Roman"/>
        </w:rPr>
      </w:pPr>
    </w:p>
    <w:p w14:paraId="0C310AEA" w14:textId="77777777" w:rsidR="007F0D5D" w:rsidRDefault="007F0D5D" w:rsidP="007F0D5D">
      <w:pPr>
        <w:spacing w:after="40" w:line="480" w:lineRule="auto"/>
        <w:rPr>
          <w:rFonts w:ascii="Times New Roman" w:hAnsi="Times New Roman" w:cs="Times New Roman"/>
        </w:rPr>
      </w:pPr>
      <w:r w:rsidRPr="00370E25">
        <w:rPr>
          <w:rFonts w:ascii="Times New Roman" w:hAnsi="Times New Roman" w:cs="Times New Roman"/>
        </w:rPr>
        <w:t>An emblematic aspect of this project of popular literature was carried out under the banner of a collection of shorter stories called ‘</w:t>
      </w:r>
      <w:r w:rsidRPr="00370E25">
        <w:rPr>
          <w:rFonts w:ascii="Times New Roman" w:hAnsi="Times New Roman" w:cs="Times New Roman"/>
          <w:i/>
        </w:rPr>
        <w:t>qisas israʾiliyya</w:t>
      </w:r>
      <w:r w:rsidRPr="00370E25">
        <w:rPr>
          <w:rFonts w:ascii="Times New Roman" w:hAnsi="Times New Roman" w:cs="Times New Roman"/>
        </w:rPr>
        <w:t xml:space="preserve"> (Israeli Stories),’ including over thirty pieces published between 1953 and 1956. Addressing a symposium on the realist short story, Jabra Nicola characterised MAKI’s Palestinian and Jewish intellectuals as ‘Israeli, realist, and revolutionary writers.’</w:t>
      </w:r>
      <w:r w:rsidRPr="00370E25">
        <w:rPr>
          <w:rFonts w:ascii="Times New Roman" w:hAnsi="Times New Roman" w:cs="Times New Roman"/>
          <w:vertAlign w:val="superscript"/>
        </w:rPr>
        <w:footnoteReference w:id="19"/>
      </w:r>
      <w:r w:rsidRPr="00370E25">
        <w:rPr>
          <w:rFonts w:ascii="Times New Roman" w:hAnsi="Times New Roman" w:cs="Times New Roman"/>
        </w:rPr>
        <w:t xml:space="preserve"> While this application of the term ‘Israeli’ could be seen as potentially assimilationist, the context of the project coupled with a closer look at the political content of the stories in themselves demonstrates that this move can more plausibly be understood as entailing a radical, if futile, attempt at de-Zionizing and democratising the ‘Israeli’ cultural space from within: these ‘Israeli Stories’ included tales like </w:t>
      </w:r>
      <w:r w:rsidRPr="00370E25">
        <w:rPr>
          <w:rFonts w:ascii="Times New Roman" w:hAnsi="Times New Roman" w:cs="Times New Roman"/>
          <w:i/>
        </w:rPr>
        <w:t>Security Breach</w:t>
      </w:r>
      <w:r w:rsidRPr="00370E25">
        <w:rPr>
          <w:rFonts w:ascii="Times New Roman" w:hAnsi="Times New Roman" w:cs="Times New Roman"/>
        </w:rPr>
        <w:t xml:space="preserve"> (</w:t>
      </w:r>
      <w:r w:rsidRPr="00370E25">
        <w:rPr>
          <w:rFonts w:ascii="Times New Roman" w:hAnsi="Times New Roman" w:cs="Times New Roman"/>
          <w:i/>
          <w:iCs/>
        </w:rPr>
        <w:t>akhalla bi al-amn</w:t>
      </w:r>
      <w:r w:rsidRPr="00370E25">
        <w:rPr>
          <w:rFonts w:ascii="Times New Roman" w:hAnsi="Times New Roman" w:cs="Times New Roman"/>
          <w:iCs/>
        </w:rPr>
        <w:t>)</w:t>
      </w:r>
      <w:r w:rsidRPr="00370E25">
        <w:rPr>
          <w:rFonts w:ascii="Times New Roman" w:hAnsi="Times New Roman" w:cs="Times New Roman"/>
        </w:rPr>
        <w:t xml:space="preserve"> by Hana Ibrahim, in which a young Palestinian man violates the military curfew to go to work on Christmas day because he is desperate to procure his marriage dowry; Michael’s </w:t>
      </w:r>
      <w:r w:rsidRPr="00370E25">
        <w:rPr>
          <w:rFonts w:ascii="Times New Roman" w:hAnsi="Times New Roman" w:cs="Times New Roman"/>
          <w:i/>
        </w:rPr>
        <w:t xml:space="preserve">The Great Shadow </w:t>
      </w:r>
      <w:r w:rsidRPr="00370E25">
        <w:rPr>
          <w:rFonts w:ascii="Times New Roman" w:hAnsi="Times New Roman" w:cs="Times New Roman"/>
        </w:rPr>
        <w:t>(</w:t>
      </w:r>
      <w:r w:rsidRPr="00370E25">
        <w:rPr>
          <w:rFonts w:ascii="Times New Roman" w:hAnsi="Times New Roman" w:cs="Times New Roman"/>
          <w:i/>
        </w:rPr>
        <w:t>al</w:t>
      </w:r>
      <w:r w:rsidRPr="00370E25">
        <w:rPr>
          <w:rFonts w:ascii="Times New Roman" w:hAnsi="Times New Roman" w:cs="Times New Roman"/>
          <w:i/>
          <w:iCs/>
        </w:rPr>
        <w:t>-zill al-kabir</w:t>
      </w:r>
      <w:r w:rsidRPr="00370E25">
        <w:rPr>
          <w:rFonts w:ascii="Times New Roman" w:hAnsi="Times New Roman" w:cs="Times New Roman"/>
          <w:iCs/>
        </w:rPr>
        <w:t>)</w:t>
      </w:r>
      <w:r w:rsidRPr="00370E25">
        <w:rPr>
          <w:rFonts w:ascii="Times New Roman" w:hAnsi="Times New Roman" w:cs="Times New Roman"/>
        </w:rPr>
        <w:t xml:space="preserve"> in which a group of imprisoned Arab communists encounter a Palestinian peasant who is being threatened with torture and expulsion if he does not collaborate with the Israeli army; Jamal Musa’s Blood and Tears (</w:t>
      </w:r>
      <w:r w:rsidRPr="00370E25">
        <w:rPr>
          <w:rFonts w:ascii="Times New Roman" w:hAnsi="Times New Roman" w:cs="Times New Roman"/>
          <w:i/>
          <w:iCs/>
        </w:rPr>
        <w:t>dima‘ wa radhadh</w:t>
      </w:r>
      <w:r w:rsidRPr="00370E25">
        <w:rPr>
          <w:rFonts w:ascii="Times New Roman" w:hAnsi="Times New Roman" w:cs="Times New Roman"/>
        </w:rPr>
        <w:t xml:space="preserve">), in which a holocaust survivor is abused by an Israeli policeman at a demonstration against the Israeli-German Reparations Agreement, and eventually begins to imagine the policeman as an SS officer; Michael’s </w:t>
      </w:r>
      <w:r w:rsidRPr="00370E25">
        <w:rPr>
          <w:rFonts w:ascii="Times New Roman" w:hAnsi="Times New Roman" w:cs="Times New Roman"/>
          <w:i/>
        </w:rPr>
        <w:t>Two Women</w:t>
      </w:r>
      <w:r w:rsidRPr="00370E25">
        <w:rPr>
          <w:rFonts w:ascii="Times New Roman" w:hAnsi="Times New Roman" w:cs="Times New Roman"/>
        </w:rPr>
        <w:t xml:space="preserve"> (</w:t>
      </w:r>
      <w:r w:rsidRPr="00370E25">
        <w:rPr>
          <w:rFonts w:ascii="Times New Roman" w:hAnsi="Times New Roman" w:cs="Times New Roman"/>
          <w:i/>
          <w:iCs/>
        </w:rPr>
        <w:t>imraʾatayn</w:t>
      </w:r>
      <w:r w:rsidRPr="00370E25">
        <w:rPr>
          <w:rFonts w:ascii="Times New Roman" w:hAnsi="Times New Roman" w:cs="Times New Roman"/>
          <w:iCs/>
        </w:rPr>
        <w:t>)</w:t>
      </w:r>
      <w:r w:rsidRPr="00370E25">
        <w:rPr>
          <w:rFonts w:ascii="Times New Roman" w:hAnsi="Times New Roman" w:cs="Times New Roman"/>
        </w:rPr>
        <w:t xml:space="preserve">, in which a woman being accused of infiltration seeks legal and organisational help from leftist Jewish supporters to advocate for her and her and two young </w:t>
      </w:r>
      <w:r w:rsidRPr="00370E25">
        <w:rPr>
          <w:rFonts w:ascii="Times New Roman" w:hAnsi="Times New Roman" w:cs="Times New Roman"/>
        </w:rPr>
        <w:lastRenderedPageBreak/>
        <w:t>children to stay in the country; and a number of stories by Shimon Ballas that tell the story of young men struggling to get work in the immigrant transit camps. Thus, under the banner of a people’s literature, the ‘Israeli Stories’ exposed stories of poverty, unemployment, murder and expulsion that took place on the borders and in the underbelly of the state.</w:t>
      </w:r>
    </w:p>
    <w:p w14:paraId="507C5BEB" w14:textId="77777777" w:rsidR="007F0D5D" w:rsidRDefault="007F0D5D" w:rsidP="007F0D5D">
      <w:pPr>
        <w:spacing w:after="40" w:line="480" w:lineRule="auto"/>
        <w:rPr>
          <w:rFonts w:ascii="Times New Roman" w:hAnsi="Times New Roman" w:cs="Times New Roman"/>
        </w:rPr>
      </w:pPr>
    </w:p>
    <w:p w14:paraId="4DDF26F4" w14:textId="77777777" w:rsidR="007F0D5D" w:rsidRDefault="007F0D5D" w:rsidP="007F0D5D">
      <w:pPr>
        <w:spacing w:after="40" w:line="480" w:lineRule="auto"/>
        <w:rPr>
          <w:rFonts w:ascii="Times New Roman" w:hAnsi="Times New Roman" w:cs="Times New Roman"/>
        </w:rPr>
      </w:pPr>
    </w:p>
    <w:p w14:paraId="04E63DA7" w14:textId="77777777" w:rsidR="007F0D5D" w:rsidRPr="000A4EF8" w:rsidRDefault="007F0D5D" w:rsidP="007F0D5D">
      <w:pPr>
        <w:spacing w:after="40" w:line="480" w:lineRule="auto"/>
        <w:rPr>
          <w:rFonts w:ascii="Times New Roman" w:hAnsi="Times New Roman" w:cs="Times New Roman"/>
          <w:b/>
          <w:bCs/>
        </w:rPr>
      </w:pPr>
      <w:r>
        <w:rPr>
          <w:rFonts w:ascii="Times New Roman" w:hAnsi="Times New Roman" w:cs="Times New Roman"/>
          <w:b/>
          <w:bCs/>
        </w:rPr>
        <w:t xml:space="preserve">Anti-Colonial Heritage </w:t>
      </w:r>
    </w:p>
    <w:p w14:paraId="0FD7EF6F" w14:textId="77777777" w:rsidR="007F0D5D" w:rsidRDefault="007F0D5D" w:rsidP="007F0D5D">
      <w:pPr>
        <w:spacing w:after="40" w:line="480" w:lineRule="auto"/>
        <w:rPr>
          <w:rFonts w:ascii="Times New Roman" w:hAnsi="Times New Roman" w:cs="Times New Roman"/>
        </w:rPr>
      </w:pPr>
    </w:p>
    <w:p w14:paraId="6A093EE7"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Another aspect of the program for co-existence was the emphasis on Arabic culture and heritage, as part of which </w:t>
      </w:r>
      <w:r w:rsidRPr="00370E25">
        <w:rPr>
          <w:rFonts w:ascii="Times New Roman" w:hAnsi="Times New Roman" w:cs="Times New Roman"/>
          <w:i/>
          <w:iCs/>
        </w:rPr>
        <w:t>al-Jadid</w:t>
      </w:r>
      <w:r w:rsidRPr="00370E25">
        <w:rPr>
          <w:rFonts w:ascii="Times New Roman" w:hAnsi="Times New Roman" w:cs="Times New Roman"/>
        </w:rPr>
        <w:t xml:space="preserve"> featured pieces that traced historical Arab-Jewish heritage, for example an article about Maimonides, the Sephardic Jewish philosopher and doctor who lived in Andalusia, Morroco and Egypt during the Middle Ages, aiming to show the influence of Maimonides’ writings on Arab philosophy, thereby establishing a historical legacy of Arab-Jewish cooperation.</w:t>
      </w:r>
      <w:r w:rsidRPr="00370E25">
        <w:rPr>
          <w:rFonts w:ascii="Times New Roman" w:hAnsi="Times New Roman" w:cs="Times New Roman"/>
          <w:vertAlign w:val="superscript"/>
        </w:rPr>
        <w:footnoteReference w:id="20"/>
      </w:r>
      <w:r w:rsidRPr="00370E25">
        <w:rPr>
          <w:rFonts w:ascii="Times New Roman" w:hAnsi="Times New Roman" w:cs="Times New Roman"/>
        </w:rPr>
        <w:t xml:space="preserve"> Aiming to recover Maimonides as an Arabic-Jewish figure, the artic</w:t>
      </w:r>
      <w:r>
        <w:rPr>
          <w:rFonts w:ascii="Times New Roman" w:hAnsi="Times New Roman" w:cs="Times New Roman"/>
        </w:rPr>
        <w:t>le highlights how he was a well-</w:t>
      </w:r>
      <w:r w:rsidRPr="00370E25">
        <w:rPr>
          <w:rFonts w:ascii="Times New Roman" w:hAnsi="Times New Roman" w:cs="Times New Roman"/>
        </w:rPr>
        <w:t>integrated member of Jewish society as well as deeply rooted in Arabic culture. Interestingly, the religious persecution that forced Maimonides to leave his native Andalusia is not downplayed in the article, but rather viewed as a result of the religious fanaticism associated with the conflict between Muslims and Christians in an era defined by the crusades. With a clear eye towards politic persuasion, this fanaticism is portrayed as a threat to cultural development and co- existence, and as the outcome of the struggles between foreign powers rather than any internal dynamics of local society.</w:t>
      </w:r>
    </w:p>
    <w:p w14:paraId="7FBF0BFD" w14:textId="77777777" w:rsidR="007F0D5D" w:rsidRDefault="007F0D5D" w:rsidP="007F0D5D">
      <w:pPr>
        <w:spacing w:after="40" w:line="480" w:lineRule="auto"/>
        <w:rPr>
          <w:rFonts w:ascii="Times New Roman" w:hAnsi="Times New Roman" w:cs="Times New Roman"/>
        </w:rPr>
      </w:pPr>
    </w:p>
    <w:p w14:paraId="5F3BF493" w14:textId="77777777" w:rsidR="007F0D5D" w:rsidRDefault="007F0D5D" w:rsidP="007F0D5D">
      <w:pPr>
        <w:spacing w:after="40" w:line="480" w:lineRule="auto"/>
        <w:rPr>
          <w:rFonts w:ascii="Times New Roman" w:hAnsi="Times New Roman" w:cs="Times New Roman"/>
        </w:rPr>
      </w:pPr>
      <w:r w:rsidRPr="00370E25">
        <w:rPr>
          <w:rFonts w:ascii="Times New Roman" w:hAnsi="Times New Roman" w:cs="Times New Roman"/>
        </w:rPr>
        <w:lastRenderedPageBreak/>
        <w:t>Such articles reflected the beginnings of a popular local intellectual and literary agenda, characterised by a comprehensive focus on the popularisation of culture and literature on the basis of Marxist and anti-colonial thought. In the first six months of the journal’s publication the reader encountered essays that applied these popular frameworks to Arabic literature, heritage and culture. A piece by Iraqi Jewish intellectual Ibrahim Khayyat reviewed works of contemporary Iraqi poetry.</w:t>
      </w:r>
      <w:r w:rsidRPr="00370E25">
        <w:rPr>
          <w:rFonts w:ascii="Times New Roman" w:hAnsi="Times New Roman" w:cs="Times New Roman"/>
          <w:vertAlign w:val="superscript"/>
        </w:rPr>
        <w:t xml:space="preserve"> </w:t>
      </w:r>
      <w:r w:rsidRPr="00370E25">
        <w:rPr>
          <w:rFonts w:ascii="Times New Roman" w:hAnsi="Times New Roman" w:cs="Times New Roman"/>
          <w:vertAlign w:val="superscript"/>
        </w:rPr>
        <w:footnoteReference w:id="21"/>
      </w:r>
      <w:r w:rsidRPr="00370E25">
        <w:rPr>
          <w:rFonts w:ascii="Times New Roman" w:hAnsi="Times New Roman" w:cs="Times New Roman"/>
        </w:rPr>
        <w:t xml:space="preserve"> Others examined Islamic history and classical Arabic culture, as in a critical piece by Jabra Nicola analysing the Kharajite revolt as a proto-Marxist, revolutionary historical event.</w:t>
      </w:r>
      <w:r w:rsidRPr="00370E25">
        <w:rPr>
          <w:rFonts w:ascii="Times New Roman" w:hAnsi="Times New Roman" w:cs="Times New Roman"/>
          <w:vertAlign w:val="superscript"/>
        </w:rPr>
        <w:footnoteReference w:id="22"/>
      </w:r>
      <w:r w:rsidRPr="00370E25">
        <w:rPr>
          <w:rFonts w:ascii="Times New Roman" w:hAnsi="Times New Roman" w:cs="Times New Roman"/>
        </w:rPr>
        <w:t xml:space="preserve"> Arabic literature, art, folklore and heritage were made available to the general public, in line with a detailed program laid out by Emile Habiby.</w:t>
      </w:r>
      <w:r w:rsidRPr="00370E25">
        <w:rPr>
          <w:rFonts w:ascii="Times New Roman" w:hAnsi="Times New Roman" w:cs="Times New Roman"/>
          <w:vertAlign w:val="superscript"/>
        </w:rPr>
        <w:footnoteReference w:id="23"/>
      </w:r>
      <w:r w:rsidRPr="00370E25">
        <w:rPr>
          <w:rFonts w:ascii="Times New Roman" w:hAnsi="Times New Roman" w:cs="Times New Roman"/>
        </w:rPr>
        <w:t xml:space="preserve">  In an article by Emile Tuma, </w:t>
      </w:r>
      <w:r w:rsidRPr="00370E25">
        <w:rPr>
          <w:rFonts w:ascii="Times New Roman" w:hAnsi="Times New Roman" w:cs="Times New Roman"/>
          <w:i/>
          <w:iCs/>
        </w:rPr>
        <w:t>al-Jadid</w:t>
      </w:r>
      <w:r w:rsidRPr="00370E25">
        <w:rPr>
          <w:rFonts w:ascii="Times New Roman" w:hAnsi="Times New Roman" w:cs="Times New Roman"/>
        </w:rPr>
        <w:t>’s program is distinguished from the establishment’s approach to Arabic culture. Tuma critiques the Orientalist and chauvinist colonialist discourse of the Israeli establishment’s new Arabic publishing house, The Arabic Book Chest</w:t>
      </w:r>
      <w:r w:rsidRPr="00370E25">
        <w:rPr>
          <w:rFonts w:ascii="Times New Roman" w:hAnsi="Times New Roman" w:cs="Times New Roman"/>
          <w:i/>
          <w:iCs/>
        </w:rPr>
        <w:t xml:space="preserve"> </w:t>
      </w:r>
      <w:r w:rsidRPr="00370E25">
        <w:rPr>
          <w:rFonts w:ascii="Times New Roman" w:hAnsi="Times New Roman" w:cs="Times New Roman"/>
          <w:iCs/>
        </w:rPr>
        <w:t>(</w:t>
      </w:r>
      <w:r w:rsidRPr="00370E25">
        <w:rPr>
          <w:rFonts w:ascii="Times New Roman" w:hAnsi="Times New Roman" w:cs="Times New Roman"/>
          <w:i/>
          <w:iCs/>
        </w:rPr>
        <w:t>sunduq al-kitab al-ʿarabi</w:t>
      </w:r>
      <w:r w:rsidRPr="00370E25">
        <w:rPr>
          <w:rFonts w:ascii="Times New Roman" w:hAnsi="Times New Roman" w:cs="Times New Roman"/>
        </w:rPr>
        <w:t>), insisting that the chauvinism of its founders could only deter true cultural exchange.</w:t>
      </w:r>
      <w:r w:rsidRPr="00370E25">
        <w:rPr>
          <w:rFonts w:ascii="Times New Roman" w:hAnsi="Times New Roman" w:cs="Times New Roman"/>
          <w:vertAlign w:val="superscript"/>
        </w:rPr>
        <w:footnoteReference w:id="24"/>
      </w:r>
    </w:p>
    <w:p w14:paraId="1A229B6C" w14:textId="77777777" w:rsidR="007F0D5D" w:rsidRDefault="007F0D5D" w:rsidP="007F0D5D">
      <w:pPr>
        <w:spacing w:after="40" w:line="480" w:lineRule="auto"/>
        <w:rPr>
          <w:rFonts w:ascii="Times New Roman" w:hAnsi="Times New Roman" w:cs="Times New Roman"/>
        </w:rPr>
      </w:pPr>
    </w:p>
    <w:p w14:paraId="3CB146EA" w14:textId="77777777" w:rsidR="007F0D5D" w:rsidRDefault="007F0D5D" w:rsidP="007F0D5D">
      <w:pPr>
        <w:spacing w:after="40" w:line="480" w:lineRule="auto"/>
        <w:rPr>
          <w:rFonts w:ascii="Times New Roman" w:hAnsi="Times New Roman" w:cs="Times New Roman"/>
        </w:rPr>
      </w:pPr>
    </w:p>
    <w:p w14:paraId="77FA6030" w14:textId="77777777" w:rsidR="007F0D5D" w:rsidRPr="000A4EF8" w:rsidRDefault="007F0D5D" w:rsidP="007F0D5D">
      <w:pPr>
        <w:spacing w:after="40" w:line="480" w:lineRule="auto"/>
        <w:rPr>
          <w:rFonts w:ascii="Times New Roman" w:hAnsi="Times New Roman" w:cs="Times New Roman"/>
          <w:b/>
          <w:bCs/>
        </w:rPr>
      </w:pPr>
      <w:r w:rsidRPr="000A4EF8">
        <w:rPr>
          <w:rFonts w:ascii="Times New Roman" w:hAnsi="Times New Roman" w:cs="Times New Roman"/>
          <w:b/>
          <w:bCs/>
        </w:rPr>
        <w:t xml:space="preserve">Poetry as Missive and Resistance: The Festivals </w:t>
      </w:r>
    </w:p>
    <w:p w14:paraId="5B4901D4" w14:textId="77777777" w:rsidR="007F0D5D" w:rsidRDefault="007F0D5D" w:rsidP="007F0D5D">
      <w:pPr>
        <w:spacing w:after="40" w:line="480" w:lineRule="auto"/>
        <w:rPr>
          <w:rFonts w:ascii="Times New Roman" w:hAnsi="Times New Roman" w:cs="Times New Roman"/>
        </w:rPr>
      </w:pPr>
    </w:p>
    <w:p w14:paraId="1AD80D8A"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Of all </w:t>
      </w:r>
      <w:r w:rsidRPr="00370E25">
        <w:rPr>
          <w:rFonts w:ascii="Times New Roman" w:hAnsi="Times New Roman" w:cs="Times New Roman"/>
          <w:i/>
        </w:rPr>
        <w:t>al-Jadid</w:t>
      </w:r>
      <w:r w:rsidRPr="00370E25">
        <w:rPr>
          <w:rFonts w:ascii="Times New Roman" w:hAnsi="Times New Roman" w:cs="Times New Roman"/>
        </w:rPr>
        <w:t xml:space="preserve">’s ventures, the poetry festivals it organised have been attributed with playing the greatest role in popularising literature and fomenting political resistance amongst the Palestinian population in Israel. Festivals were held in cities like Haifa and Acre, but were also recurrently </w:t>
      </w:r>
      <w:r w:rsidRPr="00370E25">
        <w:rPr>
          <w:rFonts w:ascii="Times New Roman" w:hAnsi="Times New Roman" w:cs="Times New Roman"/>
        </w:rPr>
        <w:lastRenderedPageBreak/>
        <w:t>arranged illegally in Palestinian villages under military rule, nevertheless attracting hundreds and sometimes thousands of participants. According to multiple accounts the village festivals were often held in the town square, around which a crowd of people would gather, some carrying kerosene lanterns, while others watched from their windows or rooftops.</w:t>
      </w:r>
      <w:r w:rsidRPr="00370E25">
        <w:rPr>
          <w:rFonts w:ascii="Times New Roman" w:hAnsi="Times New Roman" w:cs="Times New Roman"/>
          <w:vertAlign w:val="superscript"/>
        </w:rPr>
        <w:footnoteReference w:id="25"/>
      </w:r>
      <w:r w:rsidRPr="00370E25">
        <w:rPr>
          <w:rFonts w:ascii="Times New Roman" w:hAnsi="Times New Roman" w:cs="Times New Roman"/>
        </w:rPr>
        <w:t xml:space="preserve"> Audience members would listen, often for hours, while local poets recited verses on topics such as the struggles of the villagers and peasants, working class solidarity, the plight of the refugees, massacres and land dispossession, and revolutionary struggles in other parts of the world. Unlike some of the poetry in </w:t>
      </w:r>
      <w:r w:rsidRPr="00370E25">
        <w:rPr>
          <w:rFonts w:ascii="Times New Roman" w:hAnsi="Times New Roman" w:cs="Times New Roman"/>
          <w:i/>
        </w:rPr>
        <w:t>al-Jadid</w:t>
      </w:r>
      <w:r w:rsidRPr="00370E25">
        <w:rPr>
          <w:rFonts w:ascii="Times New Roman" w:hAnsi="Times New Roman" w:cs="Times New Roman"/>
        </w:rPr>
        <w:t>’s pages, where poets had begun experimenting with free verse and poetic enjambment, the festival poetry was usually constructed according to the rhyming, two-hemistich poetic conventions of classical Arabic literature, a form that was closer to the traditional classical heritage and religious texts that literate and illiterate people had been exposed to. This form was also more conducive to oral presentation. The language was clear and direct, so as to be more easily received and absorbed by the listeners. As part of his discussion of the festivals in connection to the central role of local Arabic poetry in Palestinian political life before 1967, Furani attributes the poetry’s unique political power to the ability to ‘be recited, memorized and disseminated with the agility unavailable to other forms.’</w:t>
      </w:r>
      <w:r w:rsidRPr="00370E25">
        <w:rPr>
          <w:rFonts w:ascii="Times New Roman" w:hAnsi="Times New Roman" w:cs="Times New Roman"/>
          <w:vertAlign w:val="superscript"/>
        </w:rPr>
        <w:footnoteReference w:id="26"/>
      </w:r>
      <w:r w:rsidRPr="00370E25">
        <w:rPr>
          <w:rFonts w:ascii="Times New Roman" w:hAnsi="Times New Roman" w:cs="Times New Roman"/>
        </w:rPr>
        <w:t xml:space="preserve"> </w:t>
      </w:r>
      <w:r w:rsidRPr="00370E25">
        <w:rPr>
          <w:rFonts w:ascii="Times New Roman" w:hAnsi="Times New Roman" w:cs="Times New Roman"/>
          <w:i/>
        </w:rPr>
        <w:t>Al-Jadid</w:t>
      </w:r>
      <w:r w:rsidRPr="00370E25">
        <w:rPr>
          <w:rFonts w:ascii="Times New Roman" w:hAnsi="Times New Roman" w:cs="Times New Roman"/>
        </w:rPr>
        <w:t xml:space="preserve"> published accounts of the festivals, usually including a sampling of the poetry that had been recited at the reading. Scores of poets participated in the gathering, including Hanna Abu Hanna, Tawfiq Zayyad, Salim Jubran, Rashid Husayn, Mahmoud Darwish and Samih al-Qasim. During the 1950s Sasson Somekh, David Semah and other Arab Jewish writers also participated in a number of poetry festivals.</w:t>
      </w:r>
    </w:p>
    <w:p w14:paraId="6D8C33B5" w14:textId="77777777" w:rsidR="007F0D5D" w:rsidRDefault="007F0D5D" w:rsidP="007F0D5D">
      <w:pPr>
        <w:spacing w:after="40" w:line="480" w:lineRule="auto"/>
        <w:rPr>
          <w:rFonts w:ascii="Times New Roman" w:hAnsi="Times New Roman" w:cs="Times New Roman"/>
        </w:rPr>
      </w:pPr>
    </w:p>
    <w:p w14:paraId="36A89905"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At a poetry festival organised by the popular culture club in Acre in July 1958, the poetry engaged with themes of Palestinian-Jewish solidarity in the context of anti-colonialism and global solidarity, including readings by David Semah, Mahmoud Darwish, Samih al-Qasim, Hanna Abu Hanna and other poets. Al-Qasim read poetry about the anti-colonial struggle in Algeria, while Darwish’s poem The Martyr (</w:t>
      </w:r>
      <w:r w:rsidRPr="00370E25">
        <w:rPr>
          <w:rFonts w:ascii="Times New Roman" w:hAnsi="Times New Roman" w:cs="Times New Roman"/>
          <w:i/>
        </w:rPr>
        <w:t>al-shahid</w:t>
      </w:r>
      <w:r w:rsidRPr="00370E25">
        <w:rPr>
          <w:rFonts w:ascii="Times New Roman" w:hAnsi="Times New Roman" w:cs="Times New Roman"/>
        </w:rPr>
        <w:t>) tied the universal struggle for freedom to Palestinian and communist political motifs.</w:t>
      </w:r>
      <w:r w:rsidRPr="00370E25">
        <w:rPr>
          <w:rFonts w:ascii="Times New Roman" w:hAnsi="Times New Roman" w:cs="Times New Roman"/>
          <w:vertAlign w:val="superscript"/>
        </w:rPr>
        <w:footnoteReference w:id="27"/>
      </w:r>
      <w:r w:rsidRPr="00370E25">
        <w:rPr>
          <w:rFonts w:ascii="Times New Roman" w:hAnsi="Times New Roman" w:cs="Times New Roman"/>
        </w:rPr>
        <w:t xml:space="preserve"> Dedicating one of the first poems he ever publicly read to ‘every martyr in every struggle of the movement for freedom,’</w:t>
      </w:r>
      <w:r w:rsidRPr="00370E25">
        <w:rPr>
          <w:rFonts w:ascii="Times New Roman" w:hAnsi="Times New Roman" w:cs="Times New Roman"/>
          <w:vertAlign w:val="superscript"/>
        </w:rPr>
        <w:footnoteReference w:id="28"/>
      </w:r>
      <w:r w:rsidRPr="00370E25">
        <w:rPr>
          <w:rFonts w:ascii="Times New Roman" w:hAnsi="Times New Roman" w:cs="Times New Roman"/>
          <w:i/>
        </w:rPr>
        <w:t xml:space="preserve"> </w:t>
      </w:r>
      <w:r w:rsidRPr="00370E25">
        <w:rPr>
          <w:rFonts w:ascii="Times New Roman" w:hAnsi="Times New Roman" w:cs="Times New Roman"/>
        </w:rPr>
        <w:t>the young Darwish took to the stage and recited:</w:t>
      </w:r>
    </w:p>
    <w:p w14:paraId="7D032ECD" w14:textId="77777777" w:rsidR="007F0D5D" w:rsidRPr="00370E25" w:rsidRDefault="007F0D5D" w:rsidP="007F0D5D">
      <w:pPr>
        <w:spacing w:after="40" w:line="480" w:lineRule="auto"/>
        <w:rPr>
          <w:rFonts w:ascii="Times New Roman" w:hAnsi="Times New Roman" w:cs="Times New Roman"/>
        </w:rPr>
      </w:pPr>
    </w:p>
    <w:p w14:paraId="7E277471"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To you, killed on the paths of the sun, Oh flame of steadfastness and sacrifice </w:t>
      </w:r>
    </w:p>
    <w:p w14:paraId="4AAB0A90"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Oh, fire’s beloved, Oh hope of the dawn, Oh anger of iron and flame,</w:t>
      </w:r>
    </w:p>
    <w:p w14:paraId="1EC1055D"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Oh vulture’s departure on the spacious horizon, Oh vigilance of blood and vow</w:t>
      </w:r>
    </w:p>
    <w:p w14:paraId="6DF78C76"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To you, killed on the trails of glory, in the fields of battle and roaming</w:t>
      </w:r>
    </w:p>
    <w:p w14:paraId="4CD4763D"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Oh martyr, Oh son of volcanoes, Oh firebrand of the stubborn struggle</w:t>
      </w:r>
    </w:p>
    <w:p w14:paraId="0DC8E73E"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Oh call of the morning coming after the thickness of night,</w:t>
      </w:r>
    </w:p>
    <w:p w14:paraId="6F5BEA45"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Pouring light into the bosom of being</w:t>
      </w:r>
    </w:p>
    <w:p w14:paraId="34375479"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Oh you who light up the shadows with your free blood.</w:t>
      </w:r>
      <w:r w:rsidRPr="00370E25">
        <w:rPr>
          <w:rFonts w:ascii="Times New Roman" w:hAnsi="Times New Roman" w:cs="Times New Roman"/>
          <w:vertAlign w:val="superscript"/>
        </w:rPr>
        <w:footnoteReference w:id="29"/>
      </w:r>
    </w:p>
    <w:p w14:paraId="49B08617" w14:textId="77777777" w:rsidR="007F0D5D" w:rsidRPr="00370E25" w:rsidRDefault="007F0D5D" w:rsidP="007F0D5D">
      <w:pPr>
        <w:spacing w:after="40" w:line="480" w:lineRule="auto"/>
        <w:rPr>
          <w:rFonts w:ascii="Times New Roman" w:hAnsi="Times New Roman" w:cs="Times New Roman"/>
        </w:rPr>
      </w:pPr>
    </w:p>
    <w:p w14:paraId="1414FBEC"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lastRenderedPageBreak/>
        <w:t xml:space="preserve">Darwish’s dialogic poetic conceit, a conversation between the poet and the martyrs, was another device commonly employed in festival poems. This approach fit well with the call-and-response dynamic that characterised the festivals, creating the sense of a dialogue between the poet and the audience. Darwish’s dialogic verse thus rouses the audience into identifying with the martyrs that the poet speaks to, and then extols and mythologises the listeners as martyrs in themselves. In this way, these literary works aim to shift the political consciousness of the audience as a group. A similar structure is operative in many of Darwish’s poems, most notably his renowned piece </w:t>
      </w:r>
      <w:r w:rsidRPr="00370E25">
        <w:rPr>
          <w:rFonts w:ascii="Times New Roman" w:hAnsi="Times New Roman" w:cs="Times New Roman"/>
          <w:i/>
        </w:rPr>
        <w:t>Record, I Am an Arab</w:t>
      </w:r>
      <w:r w:rsidRPr="00370E25">
        <w:rPr>
          <w:rFonts w:ascii="Times New Roman" w:hAnsi="Times New Roman" w:cs="Times New Roman"/>
        </w:rPr>
        <w:t xml:space="preserve"> (</w:t>
      </w:r>
      <w:r w:rsidRPr="00370E25">
        <w:rPr>
          <w:rFonts w:ascii="Times New Roman" w:hAnsi="Times New Roman" w:cs="Times New Roman"/>
          <w:i/>
        </w:rPr>
        <w:t>sajjal ana ʿarabi</w:t>
      </w:r>
      <w:r w:rsidRPr="00370E25">
        <w:rPr>
          <w:rFonts w:ascii="Times New Roman" w:hAnsi="Times New Roman" w:cs="Times New Roman"/>
        </w:rPr>
        <w:t xml:space="preserve">) which adopts the conceit of a conversation between a Palestinian fellah and an Israeli soldier. This style, grounded in classical motifs and re-popularised in the genre of the festival poem, became one of the landmarks of Palestinian poetry. </w:t>
      </w:r>
    </w:p>
    <w:p w14:paraId="04113EDE"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 After Darwish’s reading, David Semah recited a poem dedicated to Tawfiq Zayyad, titled </w:t>
      </w:r>
      <w:r w:rsidRPr="00370E25">
        <w:rPr>
          <w:rFonts w:ascii="Times New Roman" w:hAnsi="Times New Roman" w:cs="Times New Roman"/>
          <w:i/>
        </w:rPr>
        <w:t>My Brother Tawfiq</w:t>
      </w:r>
      <w:r w:rsidRPr="00370E25" w:rsidDel="00DD030C">
        <w:rPr>
          <w:rFonts w:ascii="Times New Roman" w:hAnsi="Times New Roman" w:cs="Times New Roman"/>
        </w:rPr>
        <w:t xml:space="preserve"> </w:t>
      </w:r>
      <w:r w:rsidRPr="00370E25">
        <w:rPr>
          <w:rFonts w:ascii="Times New Roman" w:hAnsi="Times New Roman" w:cs="Times New Roman"/>
        </w:rPr>
        <w:t>(</w:t>
      </w:r>
      <w:r w:rsidRPr="00370E25">
        <w:rPr>
          <w:rFonts w:ascii="Times New Roman" w:hAnsi="Times New Roman" w:cs="Times New Roman"/>
          <w:i/>
        </w:rPr>
        <w:t>akhi tawfiq</w:t>
      </w:r>
      <w:r w:rsidRPr="00370E25">
        <w:rPr>
          <w:rFonts w:ascii="Times New Roman" w:hAnsi="Times New Roman" w:cs="Times New Roman"/>
        </w:rPr>
        <w:t>). The poet and activist Zayyad was being held in Dimona prison at the time of the festival, and his poetry was read out loud to the audience by Hanna Abu Hanna and Semah. ‘You are not alone in prison,’ Semah tells Zayyad and the audience, ‘Because here a whole people is imprisoned.’</w:t>
      </w:r>
      <w:r w:rsidRPr="00370E25">
        <w:rPr>
          <w:rFonts w:ascii="Times New Roman" w:hAnsi="Times New Roman" w:cs="Times New Roman"/>
          <w:vertAlign w:val="superscript"/>
        </w:rPr>
        <w:footnoteReference w:id="30"/>
      </w:r>
      <w:r w:rsidRPr="00370E25">
        <w:rPr>
          <w:rFonts w:ascii="Times New Roman" w:hAnsi="Times New Roman" w:cs="Times New Roman"/>
        </w:rPr>
        <w:t xml:space="preserve"> Semah’s poem is written in the rhymed and metered, two-hemistich classical Arabic form. As I note above, this form was often employed in festival poems, most probably due to the fact that it was widely recognisable by the Arabic speaking public. While the language of Semah’s poem leans towards classical Arabic, including the use of some Koranic diction and vocabulary, the poem’s images and message remain uncomplicated and accessible: </w:t>
      </w:r>
    </w:p>
    <w:p w14:paraId="24A56B9E" w14:textId="77777777" w:rsidR="007F0D5D" w:rsidRPr="00370E25" w:rsidRDefault="007F0D5D" w:rsidP="007F0D5D">
      <w:pPr>
        <w:spacing w:after="40" w:line="480" w:lineRule="auto"/>
        <w:ind w:left="720" w:right="720"/>
        <w:contextualSpacing/>
        <w:rPr>
          <w:rFonts w:ascii="Times New Roman" w:hAnsi="Times New Roman" w:cs="Times New Roman"/>
        </w:rPr>
      </w:pPr>
    </w:p>
    <w:p w14:paraId="791E633D"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My brother Tawfiq! We revere hope</w:t>
      </w:r>
    </w:p>
    <w:p w14:paraId="1DD20902"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lastRenderedPageBreak/>
        <w:t>And love dominates our feelings</w:t>
      </w:r>
    </w:p>
    <w:p w14:paraId="1DB0504B" w14:textId="77777777" w:rsidR="007F0D5D" w:rsidRPr="00370E25" w:rsidRDefault="007F0D5D" w:rsidP="007F0D5D">
      <w:pPr>
        <w:spacing w:after="40" w:line="480" w:lineRule="auto"/>
        <w:ind w:left="720" w:right="720"/>
        <w:contextualSpacing/>
        <w:rPr>
          <w:rFonts w:ascii="Times New Roman" w:hAnsi="Times New Roman" w:cs="Times New Roman"/>
        </w:rPr>
      </w:pPr>
    </w:p>
    <w:p w14:paraId="10051A6D"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 xml:space="preserve">Rhymes obey without question </w:t>
      </w:r>
    </w:p>
    <w:p w14:paraId="2ED37E85"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 xml:space="preserve">And lines compose themselves </w:t>
      </w:r>
    </w:p>
    <w:p w14:paraId="02A993A1" w14:textId="77777777" w:rsidR="007F0D5D" w:rsidRPr="00370E25" w:rsidRDefault="007F0D5D" w:rsidP="007F0D5D">
      <w:pPr>
        <w:spacing w:after="40" w:line="480" w:lineRule="auto"/>
        <w:ind w:left="720" w:right="720"/>
        <w:contextualSpacing/>
        <w:rPr>
          <w:rFonts w:ascii="Times New Roman" w:hAnsi="Times New Roman" w:cs="Times New Roman"/>
        </w:rPr>
      </w:pPr>
    </w:p>
    <w:p w14:paraId="3E913CC3"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Poetry flows from the heads of spears</w:t>
      </w:r>
    </w:p>
    <w:p w14:paraId="64D4E44D"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When the chest can no longer bear feeling</w:t>
      </w:r>
    </w:p>
    <w:p w14:paraId="5647382F" w14:textId="77777777" w:rsidR="007F0D5D" w:rsidRPr="00370E25" w:rsidRDefault="007F0D5D" w:rsidP="007F0D5D">
      <w:pPr>
        <w:spacing w:after="40" w:line="480" w:lineRule="auto"/>
        <w:ind w:left="720" w:right="720"/>
        <w:contextualSpacing/>
        <w:rPr>
          <w:rFonts w:ascii="Times New Roman" w:hAnsi="Times New Roman" w:cs="Times New Roman"/>
        </w:rPr>
      </w:pPr>
    </w:p>
    <w:p w14:paraId="05435797"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Both of us are poets and poetry is a spring</w:t>
      </w:r>
    </w:p>
    <w:p w14:paraId="038400A5"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 xml:space="preserve">Overflowing with faith and conscience </w:t>
      </w:r>
    </w:p>
    <w:p w14:paraId="7A1963AC" w14:textId="77777777" w:rsidR="007F0D5D" w:rsidRPr="00370E25" w:rsidRDefault="007F0D5D" w:rsidP="007F0D5D">
      <w:pPr>
        <w:spacing w:after="40" w:line="480" w:lineRule="auto"/>
        <w:ind w:left="720" w:right="720"/>
        <w:contextualSpacing/>
        <w:rPr>
          <w:rFonts w:ascii="Times New Roman" w:hAnsi="Times New Roman" w:cs="Times New Roman"/>
        </w:rPr>
      </w:pPr>
    </w:p>
    <w:p w14:paraId="3B11C45B"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The love of the East feeds our hearts</w:t>
      </w:r>
    </w:p>
    <w:p w14:paraId="33A6AF1A"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We continue to live by its dictates</w:t>
      </w:r>
    </w:p>
    <w:p w14:paraId="1C983C55" w14:textId="77777777" w:rsidR="007F0D5D" w:rsidRPr="00370E25" w:rsidRDefault="007F0D5D" w:rsidP="007F0D5D">
      <w:pPr>
        <w:spacing w:after="40" w:line="480" w:lineRule="auto"/>
        <w:ind w:left="720" w:right="720"/>
        <w:contextualSpacing/>
        <w:rPr>
          <w:rFonts w:ascii="Times New Roman" w:hAnsi="Times New Roman" w:cs="Times New Roman"/>
        </w:rPr>
      </w:pPr>
    </w:p>
    <w:p w14:paraId="174F5216"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 xml:space="preserve">Your struggle makes the river Dijla flow </w:t>
      </w:r>
    </w:p>
    <w:p w14:paraId="590CDB3A"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Gently, or seethe and churn</w:t>
      </w:r>
    </w:p>
    <w:p w14:paraId="5D43139D" w14:textId="77777777" w:rsidR="007F0D5D" w:rsidRPr="00370E25" w:rsidRDefault="007F0D5D" w:rsidP="007F0D5D">
      <w:pPr>
        <w:spacing w:after="40" w:line="480" w:lineRule="auto"/>
        <w:ind w:left="720" w:right="720"/>
        <w:contextualSpacing/>
        <w:rPr>
          <w:rFonts w:ascii="Times New Roman" w:hAnsi="Times New Roman" w:cs="Times New Roman"/>
        </w:rPr>
      </w:pPr>
    </w:p>
    <w:p w14:paraId="71545C2D"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How many times have I soaked my limbs in the Deejla</w:t>
      </w:r>
    </w:p>
    <w:p w14:paraId="4C612B00"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And been drunk on its water when I was a child</w:t>
      </w:r>
    </w:p>
    <w:p w14:paraId="46BB7432" w14:textId="77777777" w:rsidR="007F0D5D" w:rsidRPr="00370E25" w:rsidRDefault="007F0D5D" w:rsidP="007F0D5D">
      <w:pPr>
        <w:spacing w:after="40" w:line="480" w:lineRule="auto"/>
        <w:ind w:left="720" w:right="720"/>
        <w:contextualSpacing/>
        <w:rPr>
          <w:rFonts w:ascii="Times New Roman" w:hAnsi="Times New Roman" w:cs="Times New Roman"/>
        </w:rPr>
      </w:pPr>
    </w:p>
    <w:p w14:paraId="206569CC"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We have a homeland</w:t>
      </w:r>
    </w:p>
    <w:p w14:paraId="6D988375"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Our two peoples have a sky, flowers, winds and land</w:t>
      </w:r>
    </w:p>
    <w:p w14:paraId="0EF8233B" w14:textId="77777777" w:rsidR="007F0D5D" w:rsidRPr="00370E25" w:rsidRDefault="007F0D5D" w:rsidP="007F0D5D">
      <w:pPr>
        <w:spacing w:after="40" w:line="480" w:lineRule="auto"/>
        <w:ind w:left="720" w:right="720"/>
        <w:contextualSpacing/>
        <w:rPr>
          <w:rFonts w:ascii="Times New Roman" w:hAnsi="Times New Roman" w:cs="Times New Roman"/>
        </w:rPr>
      </w:pPr>
    </w:p>
    <w:p w14:paraId="606C4E7F"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lastRenderedPageBreak/>
        <w:t>If they sow skulls in its dirt</w:t>
      </w:r>
    </w:p>
    <w:p w14:paraId="360C4397"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Our harvest will be hope and light</w:t>
      </w:r>
      <w:r w:rsidRPr="00370E25">
        <w:rPr>
          <w:rFonts w:ascii="Times New Roman" w:hAnsi="Times New Roman" w:cs="Times New Roman"/>
          <w:vertAlign w:val="superscript"/>
        </w:rPr>
        <w:footnoteReference w:id="31"/>
      </w:r>
      <w:r w:rsidRPr="00370E25">
        <w:rPr>
          <w:rFonts w:ascii="Times New Roman" w:hAnsi="Times New Roman" w:cs="Times New Roman"/>
        </w:rPr>
        <w:t xml:space="preserve"> </w:t>
      </w:r>
    </w:p>
    <w:p w14:paraId="0F89CF73" w14:textId="77777777" w:rsidR="007F0D5D" w:rsidRPr="00370E25" w:rsidRDefault="007F0D5D" w:rsidP="007F0D5D">
      <w:pPr>
        <w:spacing w:after="40" w:line="480" w:lineRule="auto"/>
        <w:rPr>
          <w:rFonts w:ascii="Times New Roman" w:hAnsi="Times New Roman" w:cs="Times New Roman"/>
        </w:rPr>
      </w:pPr>
    </w:p>
    <w:p w14:paraId="34E82F37"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In this passage, Semah extols the connection between himself and Zayyad as resistance poets of the Arab world, whose two people live in the same ‘homeland.’ As they flow towards the East, the common origins of the poets intertwine in the river Deejla. The force of Zayyad’s political struggle drives the motion of the river at the core of Semah’s formative childhood memories of his native Baghdad. Semah thus transforms the river Deejla from a symbol of libidinal and cultural origins into a space of joint political struggle for Arab-Jewish co-existence and Palestinian liberation. He draws the connection between the two people, utilising a similar set of natural tropes that bind their collective bodies and fates in interrelationship under a common sky and wind that blows between them. The final stanza above is in direct dialogue with a poem written by Zayyad on the occasion of the Kufr Qasim massacre of 1956, when a group of Palestinian villagers was killed by the Israeli army: </w:t>
      </w:r>
    </w:p>
    <w:p w14:paraId="4A6832E9" w14:textId="77777777" w:rsidR="007F0D5D" w:rsidRPr="00370E25" w:rsidRDefault="007F0D5D" w:rsidP="007F0D5D">
      <w:pPr>
        <w:spacing w:after="40" w:line="480" w:lineRule="auto"/>
        <w:rPr>
          <w:rFonts w:ascii="Times New Roman" w:hAnsi="Times New Roman" w:cs="Times New Roman"/>
        </w:rPr>
      </w:pPr>
    </w:p>
    <w:p w14:paraId="1A75FDFF"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 xml:space="preserve">Have you heard talk of the battle </w:t>
      </w:r>
    </w:p>
    <w:p w14:paraId="3B9DE1F3"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 xml:space="preserve">The people slaughtered like sheep </w:t>
      </w:r>
    </w:p>
    <w:p w14:paraId="32F1F79A"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The story is called</w:t>
      </w:r>
    </w:p>
    <w:p w14:paraId="07B49E00"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‘The harvest of skulls’</w:t>
      </w:r>
    </w:p>
    <w:p w14:paraId="371E0B51"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The scene of the crime:</w:t>
      </w:r>
    </w:p>
    <w:p w14:paraId="16A4E770" w14:textId="77777777" w:rsidR="007F0D5D" w:rsidRPr="00370E25" w:rsidRDefault="007F0D5D" w:rsidP="007F0D5D">
      <w:pPr>
        <w:spacing w:after="40" w:line="480" w:lineRule="auto"/>
        <w:ind w:left="720" w:right="720"/>
        <w:contextualSpacing/>
        <w:rPr>
          <w:rFonts w:ascii="Times New Roman" w:hAnsi="Times New Roman" w:cs="Times New Roman"/>
        </w:rPr>
      </w:pPr>
      <w:r w:rsidRPr="00370E25">
        <w:rPr>
          <w:rFonts w:ascii="Times New Roman" w:hAnsi="Times New Roman" w:cs="Times New Roman"/>
        </w:rPr>
        <w:t>‘Kufr al-Qasim’</w:t>
      </w:r>
      <w:r w:rsidRPr="00370E25">
        <w:rPr>
          <w:rFonts w:ascii="Times New Roman" w:hAnsi="Times New Roman" w:cs="Times New Roman"/>
          <w:vertAlign w:val="superscript"/>
        </w:rPr>
        <w:footnoteReference w:id="32"/>
      </w:r>
    </w:p>
    <w:p w14:paraId="4F4F7254" w14:textId="77777777" w:rsidR="007F0D5D" w:rsidRPr="00370E25" w:rsidRDefault="007F0D5D" w:rsidP="007F0D5D">
      <w:pPr>
        <w:spacing w:after="40" w:line="480" w:lineRule="auto"/>
        <w:rPr>
          <w:rFonts w:ascii="Times New Roman" w:hAnsi="Times New Roman" w:cs="Times New Roman"/>
        </w:rPr>
      </w:pPr>
    </w:p>
    <w:p w14:paraId="35E1D4A9"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Thus begins Zayyad’s poem, published in </w:t>
      </w:r>
      <w:r w:rsidRPr="00370E25">
        <w:rPr>
          <w:rFonts w:ascii="Times New Roman" w:hAnsi="Times New Roman" w:cs="Times New Roman"/>
          <w:i/>
        </w:rPr>
        <w:t>al-Jadid</w:t>
      </w:r>
      <w:r w:rsidRPr="00370E25">
        <w:rPr>
          <w:rFonts w:ascii="Times New Roman" w:hAnsi="Times New Roman" w:cs="Times New Roman"/>
        </w:rPr>
        <w:t xml:space="preserve"> in 1957, a long epic that ties the Kufr Qasim massacre to other massacres of the </w:t>
      </w:r>
      <w:r w:rsidRPr="00370E25">
        <w:rPr>
          <w:rFonts w:ascii="Times New Roman" w:hAnsi="Times New Roman" w:cs="Times New Roman"/>
          <w:i/>
          <w:iCs/>
        </w:rPr>
        <w:t>nakba,</w:t>
      </w:r>
      <w:r w:rsidRPr="00370E25">
        <w:rPr>
          <w:rFonts w:ascii="Times New Roman" w:hAnsi="Times New Roman" w:cs="Times New Roman"/>
        </w:rPr>
        <w:t xml:space="preserve"> as well as to the Marxist struggle for national liberation. In response, Semah writes: ‘If they sow skulls in its dirt / Our harvest will be hope and light.’ This messianic line raises the image of the poet as prophet who boldly determines that the political struggle and its victims will fertilise the ground of social transformation. Upon this new common ground, the poem seems to suggest, the two peoples might, finally, live peacefully together in a common homeland. </w:t>
      </w:r>
    </w:p>
    <w:p w14:paraId="33A8308F" w14:textId="77777777" w:rsidR="007F0D5D" w:rsidRDefault="007F0D5D" w:rsidP="007F0D5D">
      <w:pPr>
        <w:spacing w:after="40" w:line="480" w:lineRule="auto"/>
        <w:rPr>
          <w:rFonts w:ascii="Times New Roman" w:hAnsi="Times New Roman" w:cs="Times New Roman"/>
        </w:rPr>
      </w:pPr>
    </w:p>
    <w:p w14:paraId="565BBDA2" w14:textId="77777777" w:rsidR="007F0D5D" w:rsidRDefault="007F0D5D" w:rsidP="007F0D5D">
      <w:pPr>
        <w:spacing w:after="40" w:line="480" w:lineRule="auto"/>
        <w:rPr>
          <w:rFonts w:ascii="Times New Roman" w:hAnsi="Times New Roman" w:cs="Times New Roman"/>
        </w:rPr>
      </w:pPr>
    </w:p>
    <w:p w14:paraId="1886C7F8" w14:textId="77777777" w:rsidR="007F0D5D" w:rsidRPr="000A4EF8" w:rsidRDefault="007F0D5D" w:rsidP="007F0D5D">
      <w:pPr>
        <w:spacing w:after="40" w:line="480" w:lineRule="auto"/>
        <w:rPr>
          <w:rFonts w:ascii="Times New Roman" w:hAnsi="Times New Roman" w:cs="Times New Roman"/>
          <w:b/>
          <w:bCs/>
        </w:rPr>
      </w:pPr>
      <w:r w:rsidRPr="000A4EF8">
        <w:rPr>
          <w:rFonts w:ascii="Times New Roman" w:hAnsi="Times New Roman" w:cs="Times New Roman"/>
          <w:b/>
          <w:bCs/>
        </w:rPr>
        <w:t>Conclusion</w:t>
      </w:r>
    </w:p>
    <w:p w14:paraId="05B23FF3" w14:textId="77777777" w:rsidR="007F0D5D" w:rsidRPr="00370E25" w:rsidRDefault="007F0D5D" w:rsidP="007F0D5D">
      <w:pPr>
        <w:spacing w:after="40" w:line="480" w:lineRule="auto"/>
        <w:rPr>
          <w:rFonts w:ascii="Times New Roman" w:hAnsi="Times New Roman" w:cs="Times New Roman"/>
        </w:rPr>
      </w:pPr>
    </w:p>
    <w:p w14:paraId="224C125D"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In much the same way that internationalist Communism, Arab Marxism and anti-colonial, anti-Zionist politics provided prototypes that enabled the coherence of this extraordinary cultural scene, the damage to these collective models led to the gradual demise of its activities. The 1960s saw the widespread exposure of the crimes of Stalin and disillusionment of many with communist internationalism; this set the scene for intensification of conflicts in MAKI and its eventual split into Jewish Zionist and (largely) Palestinian, anti-Zionist factions in 1965. These events formed a political backdrop to the personal disillusionment of Sami Michael and Shimon Ballas with Stalinism and their exit from the party, alongside the slow assimilation of the Arab Jewish members of the scene into the Hebrew literary milieu. On the one hand, this assimilation was the result of an argument surrounding the importance of the production of progressive literature and Arab culture accessible to Hebrew-speaking audiences. Yet it was also indicative of </w:t>
      </w:r>
      <w:r w:rsidRPr="00370E25">
        <w:rPr>
          <w:rFonts w:ascii="Times New Roman" w:hAnsi="Times New Roman" w:cs="Times New Roman"/>
        </w:rPr>
        <w:lastRenderedPageBreak/>
        <w:t xml:space="preserve">the gradual colonial erasure of Arabic culture in Jewish communities, and the impossibility for Jewish writers in Arabic to find a readership. In the Palestinian community inside Israeli, the fight for progressive Arabic literature continued and even flowered throughout the 1960s, with the work of Habiby, Darwish and Samih al-Qassem exploding onto the world stage in the 1970s. Yet, although this coterie of writers went in their own separate directions, some continued to work together on discrete literary projects, and the cultural blueprints they set in motion continued to take various forms in the generations to come. In addition to popular democratic social realism as a local style, the group identified a number of key themes and styles as salient anti-separatist models for a neo-colonial era: Arab and Muslim-Jewish cultural exchange throughout the ages, anti-colonialism aesthetics, bilingualism in literature, and politicised translation between Arabic and Hebrew. These functioned as precursors to both the popular and political styles of Mizrahi Jewish and Palestinian writers, as well as to bi-lingual magazines, presses and anti-occupation and anti-separatist translation projects, models that continue to evolve throughout the contemporary period. </w:t>
      </w:r>
    </w:p>
    <w:p w14:paraId="5B693F64" w14:textId="77777777" w:rsidR="007F0D5D" w:rsidRDefault="007F0D5D" w:rsidP="007F0D5D">
      <w:pPr>
        <w:spacing w:after="40" w:line="480" w:lineRule="auto"/>
        <w:rPr>
          <w:rFonts w:ascii="Times New Roman" w:hAnsi="Times New Roman" w:cs="Times New Roman"/>
          <w:b/>
          <w:bCs/>
        </w:rPr>
      </w:pPr>
    </w:p>
    <w:p w14:paraId="6FB1D5B6" w14:textId="77777777" w:rsidR="007F0D5D" w:rsidRPr="00370E25" w:rsidRDefault="007F0D5D" w:rsidP="007F0D5D">
      <w:pPr>
        <w:spacing w:after="40" w:line="480" w:lineRule="auto"/>
        <w:rPr>
          <w:rFonts w:ascii="Times New Roman" w:hAnsi="Times New Roman" w:cs="Times New Roman"/>
          <w:b/>
          <w:bCs/>
        </w:rPr>
      </w:pPr>
    </w:p>
    <w:p w14:paraId="1460A706" w14:textId="77777777" w:rsidR="007F0D5D" w:rsidRDefault="007F0D5D" w:rsidP="007F0D5D">
      <w:pPr>
        <w:spacing w:after="40" w:line="480" w:lineRule="auto"/>
        <w:rPr>
          <w:rFonts w:ascii="Times New Roman" w:hAnsi="Times New Roman" w:cs="Times New Roman"/>
          <w:b/>
          <w:bCs/>
        </w:rPr>
      </w:pPr>
      <w:r w:rsidRPr="00370E25">
        <w:rPr>
          <w:rFonts w:ascii="Times New Roman" w:hAnsi="Times New Roman" w:cs="Times New Roman"/>
          <w:b/>
          <w:bCs/>
        </w:rPr>
        <w:t>Bibliography</w:t>
      </w:r>
    </w:p>
    <w:p w14:paraId="5AF4470D" w14:textId="77777777" w:rsidR="007F0D5D" w:rsidRPr="00370E25" w:rsidRDefault="007F0D5D" w:rsidP="007F0D5D">
      <w:pPr>
        <w:spacing w:after="40" w:line="480" w:lineRule="auto"/>
        <w:rPr>
          <w:rFonts w:ascii="Times New Roman" w:hAnsi="Times New Roman" w:cs="Times New Roman"/>
          <w:b/>
          <w:bCs/>
        </w:rPr>
      </w:pPr>
    </w:p>
    <w:p w14:paraId="6856AE90"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Assadi, Jamal and Saif Abu Saleh, </w:t>
      </w:r>
      <w:r w:rsidRPr="00370E25">
        <w:rPr>
          <w:rFonts w:ascii="Times New Roman" w:hAnsi="Times New Roman" w:cs="Times New Roman"/>
          <w:i/>
          <w:iCs/>
        </w:rPr>
        <w:t>Short Fiction as a Mirror of Palestinian Life in Israel, 1944-1967: Critique and Anthology</w:t>
      </w:r>
      <w:r w:rsidRPr="00370E25">
        <w:rPr>
          <w:rFonts w:ascii="Times New Roman" w:hAnsi="Times New Roman" w:cs="Times New Roman"/>
        </w:rPr>
        <w:t xml:space="preserve"> (New York: Peter Lang Inc., International Academic Publishers, 2017).</w:t>
      </w:r>
    </w:p>
    <w:p w14:paraId="6073B948"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Bashkin, Orit, </w:t>
      </w:r>
      <w:r w:rsidRPr="00370E25">
        <w:rPr>
          <w:rFonts w:ascii="Times New Roman" w:hAnsi="Times New Roman" w:cs="Times New Roman"/>
          <w:i/>
          <w:iCs/>
        </w:rPr>
        <w:t>New Babylonians: A History of Jews in Modern Iraq</w:t>
      </w:r>
      <w:r w:rsidRPr="00370E25">
        <w:rPr>
          <w:rFonts w:ascii="Times New Roman" w:hAnsi="Times New Roman" w:cs="Times New Roman"/>
        </w:rPr>
        <w:t xml:space="preserve"> (Stanford: Stanford University Press, 2012). </w:t>
      </w:r>
    </w:p>
    <w:p w14:paraId="5297D95E"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bCs/>
        </w:rPr>
        <w:lastRenderedPageBreak/>
        <w:t xml:space="preserve">– </w:t>
      </w:r>
      <w:r w:rsidRPr="00370E25">
        <w:rPr>
          <w:rFonts w:ascii="Times New Roman" w:hAnsi="Times New Roman" w:cs="Times New Roman"/>
          <w:i/>
          <w:iCs/>
        </w:rPr>
        <w:t>Impossible Exodus: Iraqi Jews in Israel</w:t>
      </w:r>
      <w:r w:rsidRPr="00370E25">
        <w:rPr>
          <w:rFonts w:ascii="Times New Roman" w:hAnsi="Times New Roman" w:cs="Times New Roman"/>
        </w:rPr>
        <w:t xml:space="preserve"> (Stanford: Stanford University Press, 2017. KOBO books).</w:t>
      </w:r>
    </w:p>
    <w:p w14:paraId="267ADFAA"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Beinin, Joel, </w:t>
      </w:r>
      <w:r w:rsidRPr="00370E25">
        <w:rPr>
          <w:rFonts w:ascii="Times New Roman" w:hAnsi="Times New Roman" w:cs="Times New Roman"/>
          <w:i/>
          <w:iCs/>
        </w:rPr>
        <w:t xml:space="preserve">Was the Red Flag Flying There? Marxist Politics and the Arab-Israeli Conflict in Egypt and Israel </w:t>
      </w:r>
      <w:r w:rsidRPr="00370E25">
        <w:rPr>
          <w:rFonts w:ascii="Times New Roman" w:hAnsi="Times New Roman" w:cs="Times New Roman"/>
        </w:rPr>
        <w:t>(Berkeley: University of California Press, 1990).</w:t>
      </w:r>
    </w:p>
    <w:p w14:paraId="52E3418B"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Budeiri, Musa, </w:t>
      </w:r>
      <w:r w:rsidRPr="00370E25">
        <w:rPr>
          <w:rFonts w:ascii="Times New Roman" w:hAnsi="Times New Roman" w:cs="Times New Roman"/>
          <w:i/>
          <w:iCs/>
        </w:rPr>
        <w:t>The Palestine Communist Party 1919-1948: Arab and Jew in the Struggle for Internationalism</w:t>
      </w:r>
      <w:r w:rsidRPr="00370E25">
        <w:rPr>
          <w:rFonts w:ascii="Times New Roman" w:hAnsi="Times New Roman" w:cs="Times New Roman"/>
        </w:rPr>
        <w:t xml:space="preserve"> (Chicago: Haymarket Books, 2010).</w:t>
      </w:r>
    </w:p>
    <w:p w14:paraId="73564197"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Darwish, Mahmoud, ‘Al-shahid’ (the martyr), </w:t>
      </w:r>
      <w:r w:rsidRPr="00370E25">
        <w:rPr>
          <w:rFonts w:ascii="Times New Roman" w:hAnsi="Times New Roman" w:cs="Times New Roman"/>
          <w:i/>
          <w:iCs/>
        </w:rPr>
        <w:t>al-Jadid</w:t>
      </w:r>
      <w:r w:rsidRPr="00370E25">
        <w:rPr>
          <w:rFonts w:ascii="Times New Roman" w:hAnsi="Times New Roman" w:cs="Times New Roman"/>
        </w:rPr>
        <w:t xml:space="preserve"> 5, 7 (1958).</w:t>
      </w:r>
    </w:p>
    <w:p w14:paraId="4F1F44BA"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fldChar w:fldCharType="begin"/>
      </w:r>
      <w:r w:rsidRPr="00370E25">
        <w:rPr>
          <w:rFonts w:ascii="Times New Roman" w:hAnsi="Times New Roman" w:cs="Times New Roman"/>
        </w:rPr>
        <w:instrText>ADDIN ZOTERO_ITEM CSL_CITATION {"citationID":"ODfqZDfV","properties":{"formattedCitation":"{\\rtf Khaled Furani, \\i Silencing the Sea: Secular Rhythms in Palestinian Poetry\\i0{} (Stanford, California: Stanford University Press, 2012).}","plainCitation":"Khaled Furani, Silencing the Sea: Secular Rhythms in Palestinian Poetry (Stanford, California: Stanford University Press, 2012).","dontUpdate":true},"citationItems":[{"id":61,"uris":["http://zotero.org/users/2265432/items/9FWZF2AM"],"uri":["http://zotero.org/users/2265432/items/9FWZF2AM"],"itemData":{"id":61,"type":"book","title":"Silencing the Sea: Secular Rhythms in Palestinian Poetry","publisher":"Stanford University Press","publisher-place":"Stanford, California","number-of-pages":"312","source":"Amazon.com","event-place":"Stanford, California","abstract":"Silencing the Sea follows Palestinian poets' debates about their craft as they traverse multiple and competing realities of secularism and religion, expulsion and occupation, art, politics, immortality, death, fame, and obscurity. Khaled Furani takes his reader down ancient roads and across military checkpoints to join the poets' worlds and engage with the rhythms of their lifelong journeys in Islamic and Arabic history, language, and verse. This excursion offers newfound understandings of how today's secular age goes far beyond doctrine, to inhabit our very senses, imbuing all that we see, hear, feel, and say.Poetry, the traditional repository of Arab history, has become the preeminent medium of Palestinian memory in exile. In probing poets' writings, this work investigates how struggles over poetic form can host larger struggles over authority, knowledge, language, and freedom. It reveals a very intimate and venerated world, entwining art, intellect, and politics, narrating previously untold stories of a highly stereotyped people.","ISBN":"978-0-8047-7646-2","shortTitle":"Silencing the Sea","language":"English","author":[{"family":"Furani","given":"Khaled"}],"issued":{"date-parts":[["2012",8,15]]}}}],"schema":"https://github.com/citation-style-language/schema/raw/master/csl-citation.json"}</w:instrText>
      </w:r>
      <w:r w:rsidRPr="00370E25">
        <w:rPr>
          <w:rFonts w:ascii="Times New Roman" w:hAnsi="Times New Roman" w:cs="Times New Roman"/>
        </w:rPr>
        <w:fldChar w:fldCharType="end"/>
      </w:r>
      <w:r w:rsidRPr="00370E25">
        <w:rPr>
          <w:rFonts w:ascii="Times New Roman" w:hAnsi="Times New Roman" w:cs="Times New Roman"/>
        </w:rPr>
        <w:t xml:space="preserve">Furani, Khaled, </w:t>
      </w:r>
      <w:r w:rsidRPr="00370E25">
        <w:rPr>
          <w:rFonts w:ascii="Times New Roman" w:hAnsi="Times New Roman" w:cs="Times New Roman"/>
          <w:i/>
          <w:iCs/>
        </w:rPr>
        <w:t>Silencing the Sea: Secular Rhythms in Palestinian Poetry</w:t>
      </w:r>
      <w:r w:rsidRPr="00370E25">
        <w:rPr>
          <w:rFonts w:ascii="Times New Roman" w:hAnsi="Times New Roman" w:cs="Times New Roman"/>
        </w:rPr>
        <w:t xml:space="preserve"> (Stanford: Stanford University Press, 2012).</w:t>
      </w:r>
    </w:p>
    <w:p w14:paraId="7D9C6B9C"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Habiby, Emile, ‘Al-insan hadaf al-adab wa-mawduʿhu’ (humanity is the goal and subject of literature), </w:t>
      </w:r>
      <w:r w:rsidRPr="00370E25">
        <w:rPr>
          <w:rFonts w:ascii="Times New Roman" w:hAnsi="Times New Roman" w:cs="Times New Roman"/>
          <w:i/>
          <w:iCs/>
        </w:rPr>
        <w:t>al-Jadid</w:t>
      </w:r>
      <w:r w:rsidRPr="00370E25">
        <w:rPr>
          <w:rFonts w:ascii="Times New Roman" w:hAnsi="Times New Roman" w:cs="Times New Roman"/>
        </w:rPr>
        <w:t xml:space="preserve"> 1, 3 (1954).</w:t>
      </w:r>
    </w:p>
    <w:p w14:paraId="74D929EB"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Harootunian, Harry, </w:t>
      </w:r>
      <w:r w:rsidRPr="00370E25">
        <w:rPr>
          <w:rFonts w:ascii="Times New Roman" w:hAnsi="Times New Roman" w:cs="Times New Roman"/>
          <w:i/>
          <w:iCs/>
        </w:rPr>
        <w:t>Marx After Marx: History and Time in the Expansion of Capitalism</w:t>
      </w:r>
      <w:r w:rsidRPr="00370E25">
        <w:rPr>
          <w:rFonts w:ascii="Times New Roman" w:hAnsi="Times New Roman" w:cs="Times New Roman"/>
        </w:rPr>
        <w:t xml:space="preserve"> (New York: Columbia University Press, 2017). </w:t>
      </w:r>
    </w:p>
    <w:p w14:paraId="4A2A0C17"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Hoffman, Adina, </w:t>
      </w:r>
      <w:r w:rsidRPr="00370E25">
        <w:rPr>
          <w:rFonts w:ascii="Times New Roman" w:hAnsi="Times New Roman" w:cs="Times New Roman"/>
          <w:i/>
          <w:iCs/>
        </w:rPr>
        <w:t>My Happiness Bears No Relation to Happiness: A Poet’s Life in the Palestinian Century</w:t>
      </w:r>
      <w:r w:rsidRPr="00370E25">
        <w:rPr>
          <w:rFonts w:ascii="Times New Roman" w:hAnsi="Times New Roman" w:cs="Times New Roman"/>
        </w:rPr>
        <w:t xml:space="preserve"> (New Haven: Yale University Press, 2010).</w:t>
      </w:r>
    </w:p>
    <w:p w14:paraId="4A1EA19A"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Khass, Muhammad, ‘Muʾtamar watani bi-lughat al-shiʿr’</w:t>
      </w:r>
      <w:r w:rsidRPr="00370E25">
        <w:rPr>
          <w:rFonts w:ascii="Times New Roman" w:hAnsi="Times New Roman" w:cs="Times New Roman"/>
          <w:i/>
        </w:rPr>
        <w:t xml:space="preserve"> </w:t>
      </w:r>
      <w:r w:rsidRPr="00370E25">
        <w:rPr>
          <w:rFonts w:ascii="Times New Roman" w:hAnsi="Times New Roman" w:cs="Times New Roman"/>
        </w:rPr>
        <w:t xml:space="preserve">(a national festival in the language of poetry), </w:t>
      </w:r>
      <w:r w:rsidRPr="00370E25">
        <w:rPr>
          <w:rFonts w:ascii="Times New Roman" w:hAnsi="Times New Roman" w:cs="Times New Roman"/>
          <w:i/>
          <w:iCs/>
        </w:rPr>
        <w:t>al-Jadid</w:t>
      </w:r>
      <w:r w:rsidRPr="00370E25">
        <w:rPr>
          <w:rFonts w:ascii="Times New Roman" w:hAnsi="Times New Roman" w:cs="Times New Roman"/>
        </w:rPr>
        <w:t xml:space="preserve"> 5, 7 (1958). </w:t>
      </w:r>
    </w:p>
    <w:p w14:paraId="142A6338"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Khayyat, Ibrahim, ‘Al-shiʿr al-ʿiraqi al-hadith’ (modern Iraqi poetry), </w:t>
      </w:r>
      <w:r w:rsidRPr="00370E25">
        <w:rPr>
          <w:rFonts w:ascii="Times New Roman" w:hAnsi="Times New Roman" w:cs="Times New Roman"/>
          <w:i/>
        </w:rPr>
        <w:t>al-Ittihad</w:t>
      </w:r>
      <w:r w:rsidRPr="00370E25">
        <w:rPr>
          <w:rFonts w:ascii="Times New Roman" w:hAnsi="Times New Roman" w:cs="Times New Roman"/>
        </w:rPr>
        <w:t xml:space="preserve"> (1951).</w:t>
      </w:r>
    </w:p>
    <w:p w14:paraId="392D1FC1"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bCs/>
        </w:rPr>
        <w:t xml:space="preserve">– </w:t>
      </w:r>
      <w:r w:rsidRPr="00370E25">
        <w:rPr>
          <w:rFonts w:ascii="Times New Roman" w:hAnsi="Times New Roman" w:cs="Times New Roman"/>
        </w:rPr>
        <w:t>‘Al-ukhuwwa fi al-shiʿr al-ʿiraqi’</w:t>
      </w:r>
      <w:r w:rsidRPr="00370E25">
        <w:rPr>
          <w:rFonts w:ascii="Times New Roman" w:hAnsi="Times New Roman" w:cs="Times New Roman"/>
          <w:i/>
        </w:rPr>
        <w:t xml:space="preserve"> </w:t>
      </w:r>
      <w:r w:rsidRPr="00370E25">
        <w:rPr>
          <w:rFonts w:ascii="Times New Roman" w:hAnsi="Times New Roman" w:cs="Times New Roman"/>
        </w:rPr>
        <w:t xml:space="preserve">(fraternity in Iraqi poetry), </w:t>
      </w:r>
      <w:r w:rsidRPr="00370E25">
        <w:rPr>
          <w:rFonts w:ascii="Times New Roman" w:hAnsi="Times New Roman" w:cs="Times New Roman"/>
          <w:i/>
        </w:rPr>
        <w:t xml:space="preserve">al-Jadid </w:t>
      </w:r>
      <w:r w:rsidRPr="00370E25">
        <w:rPr>
          <w:rFonts w:ascii="Times New Roman" w:hAnsi="Times New Roman" w:cs="Times New Roman"/>
        </w:rPr>
        <w:t xml:space="preserve">2, 10 (1955). </w:t>
      </w:r>
    </w:p>
    <w:p w14:paraId="132802BC"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Liu, Jihui and Viren Murthy (eds.), </w:t>
      </w:r>
      <w:r w:rsidRPr="00370E25">
        <w:rPr>
          <w:rFonts w:ascii="Times New Roman" w:hAnsi="Times New Roman" w:cs="Times New Roman"/>
          <w:i/>
          <w:iCs/>
        </w:rPr>
        <w:t>East-Asian Marxisms and Their Trajectories</w:t>
      </w:r>
      <w:r w:rsidRPr="00370E25">
        <w:rPr>
          <w:rFonts w:ascii="Times New Roman" w:hAnsi="Times New Roman" w:cs="Times New Roman"/>
        </w:rPr>
        <w:t xml:space="preserve"> (London: Routledge, 2017).</w:t>
      </w:r>
    </w:p>
    <w:p w14:paraId="00FDB50D"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Marid, Samir [Sami Michael], ‘Al-jarida al-atiya min wara al-hudud’ (the newspaper from across the borders), </w:t>
      </w:r>
      <w:r w:rsidRPr="00370E25">
        <w:rPr>
          <w:rFonts w:ascii="Times New Roman" w:hAnsi="Times New Roman" w:cs="Times New Roman"/>
          <w:i/>
        </w:rPr>
        <w:t>al-Ittihad</w:t>
      </w:r>
      <w:r w:rsidRPr="00370E25">
        <w:rPr>
          <w:rFonts w:ascii="Times New Roman" w:hAnsi="Times New Roman" w:cs="Times New Roman"/>
        </w:rPr>
        <w:t xml:space="preserve"> (1 October 1953). </w:t>
      </w:r>
    </w:p>
    <w:p w14:paraId="20176387"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lastRenderedPageBreak/>
        <w:t xml:space="preserve">Marid, Samir [Sami Michael], ‘Nahwa inshaʾ adab shaʿbi taqaddumi ʿarabi fi israʾil’ (towards a popular progressive Arab literature in Israel), </w:t>
      </w:r>
      <w:r w:rsidRPr="00370E25">
        <w:rPr>
          <w:rFonts w:ascii="Times New Roman" w:hAnsi="Times New Roman" w:cs="Times New Roman"/>
          <w:i/>
        </w:rPr>
        <w:t>al-Ittihad</w:t>
      </w:r>
      <w:r w:rsidRPr="00370E25">
        <w:rPr>
          <w:rFonts w:ascii="Times New Roman" w:hAnsi="Times New Roman" w:cs="Times New Roman"/>
        </w:rPr>
        <w:t xml:space="preserve"> 6 (1950): 48-49.</w:t>
      </w:r>
    </w:p>
    <w:p w14:paraId="3C52078A"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Marqis, Nimr, ‘Hasd shiʿr aw lawhat shaʿb’ (a harvest of poems or a portrait of a people),’ </w:t>
      </w:r>
      <w:r w:rsidRPr="00370E25">
        <w:rPr>
          <w:rFonts w:ascii="Times New Roman" w:hAnsi="Times New Roman" w:cs="Times New Roman"/>
          <w:i/>
          <w:iCs/>
        </w:rPr>
        <w:t xml:space="preserve">al-Jadid </w:t>
      </w:r>
      <w:r w:rsidRPr="00370E25">
        <w:rPr>
          <w:rFonts w:ascii="Times New Roman" w:hAnsi="Times New Roman" w:cs="Times New Roman"/>
        </w:rPr>
        <w:t>4, 7 (1957).</w:t>
      </w:r>
    </w:p>
    <w:p w14:paraId="31F801C7"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Massad, Joseph, ‘Zionism's Internal Others: Israel and the Oriental Jews,’ </w:t>
      </w:r>
      <w:r w:rsidRPr="00370E25">
        <w:rPr>
          <w:rFonts w:ascii="Times New Roman" w:hAnsi="Times New Roman" w:cs="Times New Roman"/>
          <w:i/>
          <w:iCs/>
        </w:rPr>
        <w:t>Journal of Palestine Studies</w:t>
      </w:r>
      <w:r w:rsidRPr="00370E25">
        <w:rPr>
          <w:rFonts w:ascii="Times New Roman" w:hAnsi="Times New Roman" w:cs="Times New Roman"/>
        </w:rPr>
        <w:t xml:space="preserve"> 25, 4 (Summer 1996): 53-68. </w:t>
      </w:r>
    </w:p>
    <w:p w14:paraId="1268F9C6"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Michael, Sami, </w:t>
      </w:r>
      <w:r w:rsidRPr="00370E25">
        <w:rPr>
          <w:rFonts w:ascii="Times New Roman" w:hAnsi="Times New Roman" w:cs="Times New Roman"/>
          <w:i/>
        </w:rPr>
        <w:t xml:space="preserve">Gevulot ha-ruah: sihot </w:t>
      </w:r>
      <w:r w:rsidRPr="00370E25">
        <w:rPr>
          <w:rFonts w:ascii="Times New Roman" w:hAnsi="Times New Roman" w:cs="Times New Roman"/>
        </w:rPr>
        <w:t>ʻ</w:t>
      </w:r>
      <w:r w:rsidRPr="00370E25">
        <w:rPr>
          <w:rFonts w:ascii="Times New Roman" w:hAnsi="Times New Roman" w:cs="Times New Roman"/>
          <w:i/>
        </w:rPr>
        <w:t xml:space="preserve">im rubik rozental </w:t>
      </w:r>
      <w:r w:rsidRPr="00370E25">
        <w:rPr>
          <w:rFonts w:ascii="Times New Roman" w:hAnsi="Times New Roman" w:cs="Times New Roman"/>
          <w:iCs/>
        </w:rPr>
        <w:t>(the bounds of the wind: conversations with Ruvik Rosenthal)</w:t>
      </w:r>
      <w:r w:rsidRPr="00370E25">
        <w:rPr>
          <w:rFonts w:ascii="Times New Roman" w:hAnsi="Times New Roman" w:cs="Times New Roman"/>
          <w:i/>
          <w:iCs/>
        </w:rPr>
        <w:t xml:space="preserve"> </w:t>
      </w:r>
      <w:r w:rsidRPr="00370E25">
        <w:rPr>
          <w:rFonts w:ascii="Times New Roman" w:hAnsi="Times New Roman" w:cs="Times New Roman"/>
        </w:rPr>
        <w:t>(Tel Aviv: ha-Kibuts ha-meʼuhad, 2000).</w:t>
      </w:r>
    </w:p>
    <w:p w14:paraId="6042E989"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Nassar, Maha, </w:t>
      </w:r>
      <w:r w:rsidRPr="00370E25">
        <w:rPr>
          <w:rFonts w:ascii="Times New Roman" w:hAnsi="Times New Roman" w:cs="Times New Roman"/>
          <w:i/>
          <w:iCs/>
        </w:rPr>
        <w:t xml:space="preserve">Brothers Apart: Palestinian Citizens of Israel and the Arab World </w:t>
      </w:r>
      <w:r w:rsidRPr="00370E25">
        <w:rPr>
          <w:rFonts w:ascii="Times New Roman" w:hAnsi="Times New Roman" w:cs="Times New Roman"/>
        </w:rPr>
        <w:t>(Stanford: Stanford University Press, 2017).</w:t>
      </w:r>
    </w:p>
    <w:p w14:paraId="020606FD"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Nicola, Jabra, ‘Al-qissa illati nuriduha’ (the short story we want), </w:t>
      </w:r>
      <w:r w:rsidRPr="00370E25">
        <w:rPr>
          <w:rFonts w:ascii="Times New Roman" w:hAnsi="Times New Roman" w:cs="Times New Roman"/>
          <w:i/>
          <w:iCs/>
        </w:rPr>
        <w:t>al-Jadid</w:t>
      </w:r>
      <w:r w:rsidRPr="00370E25">
        <w:rPr>
          <w:rFonts w:ascii="Times New Roman" w:hAnsi="Times New Roman" w:cs="Times New Roman"/>
        </w:rPr>
        <w:t xml:space="preserve"> 2, 5 (1955). </w:t>
      </w:r>
    </w:p>
    <w:p w14:paraId="3C46BFB3"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bCs/>
        </w:rPr>
        <w:t xml:space="preserve">– </w:t>
      </w:r>
      <w:r w:rsidRPr="00370E25">
        <w:rPr>
          <w:rFonts w:ascii="Times New Roman" w:hAnsi="Times New Roman" w:cs="Times New Roman"/>
        </w:rPr>
        <w:t xml:space="preserve">‘Musa ibn maymun wa-taʾaththuruh bi al-fikr al-ʿarabi’ (Maimonides and his influence on Arabic thought), </w:t>
      </w:r>
      <w:r w:rsidRPr="00370E25">
        <w:rPr>
          <w:rFonts w:ascii="Times New Roman" w:hAnsi="Times New Roman" w:cs="Times New Roman"/>
          <w:i/>
          <w:iCs/>
        </w:rPr>
        <w:t>al-Jadid</w:t>
      </w:r>
      <w:r w:rsidRPr="00370E25">
        <w:rPr>
          <w:rFonts w:ascii="Times New Roman" w:hAnsi="Times New Roman" w:cs="Times New Roman"/>
        </w:rPr>
        <w:t xml:space="preserve"> 1, 3 (1954).</w:t>
      </w:r>
    </w:p>
    <w:p w14:paraId="0134FAD1"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bCs/>
        </w:rPr>
        <w:t xml:space="preserve">– </w:t>
      </w:r>
      <w:r w:rsidRPr="00370E25">
        <w:rPr>
          <w:rFonts w:ascii="Times New Roman" w:hAnsi="Times New Roman" w:cs="Times New Roman"/>
        </w:rPr>
        <w:t xml:space="preserve">‘Awwal haraka thawriyya fi al-islam: al-khawarij” (the first revolutionary movement in Islam: the Kharajites), </w:t>
      </w:r>
      <w:r w:rsidRPr="00370E25">
        <w:rPr>
          <w:rFonts w:ascii="Times New Roman" w:hAnsi="Times New Roman" w:cs="Times New Roman"/>
          <w:i/>
        </w:rPr>
        <w:t xml:space="preserve">al-Jadid </w:t>
      </w:r>
      <w:r w:rsidRPr="00370E25">
        <w:rPr>
          <w:rFonts w:ascii="Times New Roman" w:hAnsi="Times New Roman" w:cs="Times New Roman"/>
        </w:rPr>
        <w:t>2, 4 (1955).</w:t>
      </w:r>
    </w:p>
    <w:p w14:paraId="6886E4A9"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Semah, David, ‘Akhi tawfiq’ (my brother Tawfiq), </w:t>
      </w:r>
      <w:r w:rsidRPr="00370E25">
        <w:rPr>
          <w:rFonts w:ascii="Times New Roman" w:hAnsi="Times New Roman" w:cs="Times New Roman"/>
          <w:i/>
          <w:iCs/>
        </w:rPr>
        <w:t>al-Jadid</w:t>
      </w:r>
      <w:r w:rsidRPr="00370E25">
        <w:rPr>
          <w:rFonts w:ascii="Times New Roman" w:hAnsi="Times New Roman" w:cs="Times New Roman"/>
        </w:rPr>
        <w:t xml:space="preserve"> 5, 7 (1958).</w:t>
      </w:r>
    </w:p>
    <w:p w14:paraId="19FF2534"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Shohat, Ella, ‘Sephardim in Israel: Zionism from the Standpoint of Its Jewish Victims,’ </w:t>
      </w:r>
      <w:r w:rsidRPr="00370E25">
        <w:rPr>
          <w:rFonts w:ascii="Times New Roman" w:hAnsi="Times New Roman" w:cs="Times New Roman"/>
          <w:i/>
          <w:iCs/>
        </w:rPr>
        <w:t>Social Text</w:t>
      </w:r>
      <w:r w:rsidRPr="00370E25">
        <w:rPr>
          <w:rFonts w:ascii="Times New Roman" w:hAnsi="Times New Roman" w:cs="Times New Roman"/>
        </w:rPr>
        <w:t xml:space="preserve"> 19/20 (Autumn 1988): 1-35. </w:t>
      </w:r>
    </w:p>
    <w:p w14:paraId="6C42F9DB"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Tuma, Emile, ‘Nahwa taʿawun thaqafi’ (towards cultural cooperation), </w:t>
      </w:r>
      <w:r w:rsidRPr="00370E25">
        <w:rPr>
          <w:rFonts w:ascii="Times New Roman" w:hAnsi="Times New Roman" w:cs="Times New Roman"/>
          <w:i/>
        </w:rPr>
        <w:t xml:space="preserve">al-Jadid </w:t>
      </w:r>
      <w:r w:rsidRPr="00370E25">
        <w:rPr>
          <w:rFonts w:ascii="Times New Roman" w:hAnsi="Times New Roman" w:cs="Times New Roman"/>
        </w:rPr>
        <w:t>1, 1 (1953).</w:t>
      </w:r>
    </w:p>
    <w:p w14:paraId="607828B7" w14:textId="77777777" w:rsidR="007F0D5D" w:rsidRPr="00370E25" w:rsidRDefault="007F0D5D" w:rsidP="007F0D5D">
      <w:pPr>
        <w:spacing w:after="40" w:line="480" w:lineRule="auto"/>
        <w:rPr>
          <w:rFonts w:ascii="Times New Roman" w:hAnsi="Times New Roman" w:cs="Times New Roman"/>
        </w:rPr>
      </w:pPr>
      <w:r w:rsidRPr="00370E25">
        <w:rPr>
          <w:rFonts w:ascii="Times New Roman" w:hAnsi="Times New Roman" w:cs="Times New Roman"/>
        </w:rPr>
        <w:t xml:space="preserve">Zayyad, Tawfiq, ‘Hisad al-jamajim’ (the harvest of skulls), </w:t>
      </w:r>
      <w:r w:rsidRPr="00370E25">
        <w:rPr>
          <w:rFonts w:ascii="Times New Roman" w:hAnsi="Times New Roman" w:cs="Times New Roman"/>
          <w:i/>
          <w:iCs/>
        </w:rPr>
        <w:t>al-Jadid</w:t>
      </w:r>
      <w:r w:rsidRPr="00370E25">
        <w:rPr>
          <w:rFonts w:ascii="Times New Roman" w:hAnsi="Times New Roman" w:cs="Times New Roman"/>
        </w:rPr>
        <w:t xml:space="preserve"> 4, 1 (1957).</w:t>
      </w:r>
    </w:p>
    <w:p w14:paraId="7CBECC85" w14:textId="77777777" w:rsidR="007F0D5D" w:rsidRDefault="007F0D5D" w:rsidP="007F0D5D">
      <w:pPr>
        <w:spacing w:after="40" w:line="480" w:lineRule="auto"/>
        <w:rPr>
          <w:rFonts w:ascii="Times New Roman" w:eastAsia="Noto Sans CJK SC Regular" w:hAnsi="Times New Roman" w:cs="Times New Roman"/>
          <w:bCs/>
          <w:color w:val="000000"/>
        </w:rPr>
      </w:pPr>
    </w:p>
    <w:p w14:paraId="3EB8F491" w14:textId="77777777" w:rsidR="007F0D5D" w:rsidRDefault="007F0D5D" w:rsidP="007F0D5D">
      <w:pPr>
        <w:spacing w:line="480" w:lineRule="auto"/>
        <w:rPr>
          <w:rFonts w:hint="eastAsia"/>
        </w:rPr>
      </w:pPr>
    </w:p>
    <w:p w14:paraId="588B2808" w14:textId="77777777" w:rsidR="007F0D5D" w:rsidRDefault="007F0D5D" w:rsidP="007F0D5D">
      <w:pPr>
        <w:spacing w:after="40" w:line="480" w:lineRule="auto"/>
        <w:rPr>
          <w:rFonts w:ascii="Times New Roman" w:hAnsi="Times New Roman" w:cs="Times New Roman"/>
          <w:b/>
          <w:bCs/>
          <w:i/>
        </w:rPr>
      </w:pPr>
    </w:p>
    <w:p w14:paraId="6D8B8E13" w14:textId="77777777" w:rsidR="007F0D5D" w:rsidRDefault="007F0D5D" w:rsidP="007F0D5D">
      <w:pPr>
        <w:spacing w:after="40" w:line="480" w:lineRule="auto"/>
        <w:rPr>
          <w:rFonts w:ascii="Times New Roman" w:hAnsi="Times New Roman" w:cs="Times New Roman"/>
          <w:b/>
          <w:bCs/>
          <w:i/>
        </w:rPr>
      </w:pPr>
    </w:p>
    <w:p w14:paraId="1DD66092" w14:textId="77777777" w:rsidR="007F0D5D" w:rsidRDefault="007F0D5D" w:rsidP="007F0D5D">
      <w:pPr>
        <w:spacing w:after="40" w:line="480" w:lineRule="auto"/>
        <w:rPr>
          <w:rFonts w:ascii="Times New Roman" w:hAnsi="Times New Roman" w:cs="Times New Roman"/>
          <w:b/>
          <w:bCs/>
          <w:i/>
        </w:rPr>
      </w:pPr>
    </w:p>
    <w:p w14:paraId="444389A5" w14:textId="77777777" w:rsidR="007F0D5D" w:rsidRPr="00370E25" w:rsidRDefault="007F0D5D" w:rsidP="007F0D5D">
      <w:pPr>
        <w:spacing w:after="40" w:line="480" w:lineRule="auto"/>
        <w:rPr>
          <w:rFonts w:ascii="Times New Roman" w:eastAsia="Noto Sans CJK SC Regular" w:hAnsi="Times New Roman" w:cs="Times New Roman"/>
          <w:bCs/>
          <w:color w:val="000000"/>
        </w:rPr>
      </w:pPr>
    </w:p>
    <w:p w14:paraId="58561489" w14:textId="77777777" w:rsidR="00EE3BEF" w:rsidRDefault="00174A9C"/>
    <w:sectPr w:rsidR="00EE3BEF" w:rsidSect="00ED72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2323A1" w14:textId="77777777" w:rsidR="00174A9C" w:rsidRDefault="00174A9C" w:rsidP="007F0D5D">
      <w:r>
        <w:separator/>
      </w:r>
    </w:p>
  </w:endnote>
  <w:endnote w:type="continuationSeparator" w:id="0">
    <w:p w14:paraId="5CCCB84A" w14:textId="77777777" w:rsidR="00174A9C" w:rsidRDefault="00174A9C" w:rsidP="007F0D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JaghbUni">
    <w:altName w:val="Times New Roman"/>
    <w:panose1 w:val="020B0604020202020204"/>
    <w:charset w:val="00"/>
    <w:family w:val="roman"/>
    <w:pitch w:val="default"/>
  </w:font>
  <w:font w:name="SimSun">
    <w:altName w:val="宋体"/>
    <w:panose1 w:val="02010600030101010101"/>
    <w:charset w:val="86"/>
    <w:family w:val="auto"/>
    <w:pitch w:val="variable"/>
    <w:sig w:usb0="00000003" w:usb1="288F0000" w:usb2="00000016" w:usb3="00000000" w:csb0="00040001" w:csb1="00000000"/>
  </w:font>
  <w:font w:name="Lohit Devanagari">
    <w:altName w:val="Times New Roman"/>
    <w:panose1 w:val="020B0604020202020204"/>
    <w:charset w:val="00"/>
    <w:family w:val="roman"/>
    <w:notTrueType/>
    <w:pitch w:val="default"/>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 w:name="Noto Sans CJK SC Regular">
    <w:altName w:val="Times New Roman"/>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919A97" w14:textId="77777777" w:rsidR="00174A9C" w:rsidRDefault="00174A9C" w:rsidP="007F0D5D">
      <w:r>
        <w:separator/>
      </w:r>
    </w:p>
  </w:footnote>
  <w:footnote w:type="continuationSeparator" w:id="0">
    <w:p w14:paraId="52AA90BA" w14:textId="77777777" w:rsidR="00174A9C" w:rsidRDefault="00174A9C" w:rsidP="007F0D5D">
      <w:r>
        <w:continuationSeparator/>
      </w:r>
    </w:p>
  </w:footnote>
  <w:footnote w:id="1">
    <w:p w14:paraId="6E045927" w14:textId="77777777" w:rsidR="007F0D5D" w:rsidRPr="009846E9" w:rsidRDefault="007F0D5D" w:rsidP="007F0D5D">
      <w:pPr>
        <w:pStyle w:val="FootnoteText"/>
        <w:ind w:left="0" w:firstLine="0"/>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rPr>
        <w:t xml:space="preserve"> </w:t>
      </w:r>
      <w:r w:rsidRPr="009846E9">
        <w:rPr>
          <w:rFonts w:ascii="Times New Roman" w:hAnsi="Times New Roman" w:cs="Times New Roman"/>
          <w:sz w:val="22"/>
          <w:szCs w:val="22"/>
        </w:rPr>
        <w:t xml:space="preserve">Nassar, </w:t>
      </w:r>
      <w:r w:rsidRPr="009846E9">
        <w:rPr>
          <w:rFonts w:ascii="Times New Roman" w:hAnsi="Times New Roman" w:cs="Times New Roman"/>
          <w:i/>
          <w:iCs/>
          <w:sz w:val="22"/>
          <w:szCs w:val="22"/>
        </w:rPr>
        <w:t xml:space="preserve">Brothers Apart, </w:t>
      </w:r>
      <w:r w:rsidRPr="009846E9">
        <w:rPr>
          <w:rFonts w:ascii="Times New Roman" w:hAnsi="Times New Roman" w:cs="Times New Roman"/>
          <w:sz w:val="22"/>
          <w:szCs w:val="22"/>
        </w:rPr>
        <w:t>40; Bashkin, in this volume.</w:t>
      </w:r>
    </w:p>
  </w:footnote>
  <w:footnote w:id="2">
    <w:p w14:paraId="37DD21AF" w14:textId="77777777" w:rsidR="007F0D5D" w:rsidRPr="009846E9" w:rsidRDefault="007F0D5D" w:rsidP="007F0D5D">
      <w:pPr>
        <w:pStyle w:val="FootnoteText"/>
        <w:ind w:left="0" w:firstLine="0"/>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rPr>
        <w:t xml:space="preserve"> </w:t>
      </w:r>
      <w:r w:rsidRPr="009846E9">
        <w:rPr>
          <w:rFonts w:ascii="Times New Roman" w:hAnsi="Times New Roman" w:cs="Times New Roman"/>
          <w:sz w:val="22"/>
          <w:szCs w:val="22"/>
        </w:rPr>
        <w:t>Communism was illegal in Iraq at the time. The article glorifies the risks taken by those who flouted the secret service and the police in order to transport and read the newspaper, despite the fact that a number of them were thrown in prison.</w:t>
      </w:r>
    </w:p>
  </w:footnote>
  <w:footnote w:id="3">
    <w:p w14:paraId="3961FB6F" w14:textId="77777777" w:rsidR="007F0D5D" w:rsidRPr="009846E9" w:rsidRDefault="007F0D5D" w:rsidP="007F0D5D">
      <w:pPr>
        <w:rPr>
          <w:rFonts w:ascii="Times New Roman" w:hAnsi="Times New Roman" w:cs="Times New Roman"/>
          <w:sz w:val="22"/>
          <w:szCs w:val="22"/>
          <w:lang w:val="en-US"/>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lang w:val="sv-SE"/>
        </w:rPr>
        <w:t xml:space="preserve"> </w:t>
      </w:r>
      <w:r w:rsidRPr="009846E9">
        <w:rPr>
          <w:rFonts w:ascii="Times New Roman" w:hAnsi="Times New Roman" w:cs="Times New Roman"/>
          <w:sz w:val="22"/>
          <w:szCs w:val="22"/>
          <w:lang w:val="sv-SE"/>
        </w:rPr>
        <w:t xml:space="preserve">Michael, ‘al-jarida al-atiya.’ </w:t>
      </w:r>
      <w:r w:rsidRPr="009846E9">
        <w:rPr>
          <w:rFonts w:ascii="Times New Roman" w:hAnsi="Times New Roman" w:cs="Times New Roman"/>
          <w:sz w:val="22"/>
          <w:szCs w:val="22"/>
          <w:lang w:val="en-US"/>
        </w:rPr>
        <w:t>[Unless otherwise noted all translation are mine]</w:t>
      </w:r>
    </w:p>
  </w:footnote>
  <w:footnote w:id="4">
    <w:p w14:paraId="7EF7A863" w14:textId="77777777" w:rsidR="007F0D5D" w:rsidRPr="009846E9" w:rsidRDefault="007F0D5D" w:rsidP="007F0D5D">
      <w:pPr>
        <w:pStyle w:val="FootnoteText"/>
        <w:ind w:left="0" w:firstLine="0"/>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Fonts w:ascii="Times New Roman" w:hAnsi="Times New Roman" w:cs="Times New Roman"/>
          <w:sz w:val="22"/>
          <w:szCs w:val="22"/>
        </w:rPr>
        <w:t xml:space="preserve"> Ibid.</w:t>
      </w:r>
    </w:p>
  </w:footnote>
  <w:footnote w:id="5">
    <w:p w14:paraId="7E03E0B6" w14:textId="77777777" w:rsidR="007F0D5D" w:rsidRPr="009846E9" w:rsidRDefault="007F0D5D" w:rsidP="007F0D5D">
      <w:pPr>
        <w:pStyle w:val="FootnoteText"/>
        <w:ind w:left="0" w:firstLine="0"/>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rPr>
        <w:t xml:space="preserve"> </w:t>
      </w:r>
      <w:r w:rsidRPr="009846E9">
        <w:rPr>
          <w:rFonts w:ascii="Times New Roman" w:hAnsi="Times New Roman" w:cs="Times New Roman"/>
          <w:sz w:val="22"/>
          <w:szCs w:val="22"/>
        </w:rPr>
        <w:t>Ibid.</w:t>
      </w:r>
    </w:p>
  </w:footnote>
  <w:footnote w:id="6">
    <w:p w14:paraId="75D0A4F8" w14:textId="77777777" w:rsidR="007F0D5D" w:rsidRPr="009846E9" w:rsidRDefault="007F0D5D" w:rsidP="007F0D5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Fonts w:ascii="Times New Roman" w:hAnsi="Times New Roman" w:cs="Times New Roman"/>
          <w:sz w:val="22"/>
          <w:szCs w:val="22"/>
        </w:rPr>
        <w:t xml:space="preserve"> Bashkin, </w:t>
      </w:r>
      <w:r w:rsidRPr="009846E9">
        <w:rPr>
          <w:rFonts w:ascii="Times New Roman" w:hAnsi="Times New Roman" w:cs="Times New Roman"/>
          <w:i/>
          <w:iCs/>
          <w:sz w:val="22"/>
          <w:szCs w:val="22"/>
        </w:rPr>
        <w:t xml:space="preserve">New Babylonians, </w:t>
      </w:r>
      <w:r w:rsidRPr="009846E9">
        <w:rPr>
          <w:rFonts w:ascii="Times New Roman" w:hAnsi="Times New Roman" w:cs="Times New Roman"/>
          <w:sz w:val="22"/>
          <w:szCs w:val="22"/>
        </w:rPr>
        <w:t>Chapter 5.</w:t>
      </w:r>
    </w:p>
  </w:footnote>
  <w:footnote w:id="7">
    <w:p w14:paraId="6055ABDD" w14:textId="77777777" w:rsidR="007F0D5D" w:rsidRPr="009846E9" w:rsidRDefault="007F0D5D" w:rsidP="007F0D5D">
      <w:pPr>
        <w:pStyle w:val="FootnoteText"/>
        <w:ind w:left="0" w:firstLine="0"/>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rPr>
        <w:t xml:space="preserve"> </w:t>
      </w:r>
      <w:r w:rsidRPr="009846E9">
        <w:rPr>
          <w:rFonts w:ascii="Times New Roman" w:hAnsi="Times New Roman" w:cs="Times New Roman"/>
          <w:sz w:val="22"/>
          <w:szCs w:val="22"/>
        </w:rPr>
        <w:t>Ibid.</w:t>
      </w:r>
    </w:p>
  </w:footnote>
  <w:footnote w:id="8">
    <w:p w14:paraId="51AF1B2B" w14:textId="77777777" w:rsidR="007F0D5D" w:rsidRPr="009846E9" w:rsidRDefault="007F0D5D" w:rsidP="007F0D5D">
      <w:pPr>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rPr>
        <w:t xml:space="preserve"> </w:t>
      </w:r>
      <w:r w:rsidRPr="009846E9">
        <w:rPr>
          <w:rFonts w:ascii="Times New Roman" w:hAnsi="Times New Roman" w:cs="Times New Roman"/>
          <w:sz w:val="22"/>
          <w:szCs w:val="22"/>
        </w:rPr>
        <w:t xml:space="preserve">For an analysis of the colonial position of Jews of the Arab world in Israel see </w:t>
      </w:r>
      <w:r w:rsidRPr="009846E9">
        <w:rPr>
          <w:rFonts w:ascii="Times New Roman" w:eastAsia="Times New Roman" w:hAnsi="Times New Roman" w:cs="Times New Roman"/>
          <w:sz w:val="22"/>
          <w:szCs w:val="22"/>
        </w:rPr>
        <w:t xml:space="preserve">Shohat, ‘Sephardim in Israel,’ 1; </w:t>
      </w:r>
      <w:r w:rsidRPr="009846E9">
        <w:rPr>
          <w:rFonts w:ascii="Times New Roman" w:hAnsi="Times New Roman" w:cs="Times New Roman"/>
          <w:sz w:val="22"/>
          <w:szCs w:val="22"/>
        </w:rPr>
        <w:t xml:space="preserve">Massad, ‘Zionism's Internal Others’; Orit </w:t>
      </w:r>
      <w:r w:rsidRPr="009846E9">
        <w:rPr>
          <w:rFonts w:ascii="Times New Roman" w:eastAsia="Times New Roman" w:hAnsi="Times New Roman" w:cs="Times New Roman"/>
          <w:sz w:val="22"/>
          <w:szCs w:val="22"/>
        </w:rPr>
        <w:t xml:space="preserve">Bashkin, </w:t>
      </w:r>
      <w:r w:rsidRPr="009846E9">
        <w:rPr>
          <w:rFonts w:ascii="Times New Roman" w:eastAsia="Times New Roman" w:hAnsi="Times New Roman" w:cs="Times New Roman"/>
          <w:i/>
          <w:iCs/>
          <w:sz w:val="22"/>
          <w:szCs w:val="22"/>
        </w:rPr>
        <w:t>Impossible Exodus.</w:t>
      </w:r>
    </w:p>
  </w:footnote>
  <w:footnote w:id="9">
    <w:p w14:paraId="45B23150" w14:textId="77777777" w:rsidR="007F0D5D" w:rsidRPr="009846E9" w:rsidRDefault="007F0D5D" w:rsidP="007F0D5D">
      <w:pPr>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rPr>
        <w:t xml:space="preserve"> </w:t>
      </w:r>
      <w:r w:rsidRPr="009846E9">
        <w:rPr>
          <w:rFonts w:ascii="Times New Roman" w:hAnsi="Times New Roman" w:cs="Times New Roman"/>
          <w:sz w:val="22"/>
          <w:szCs w:val="22"/>
        </w:rPr>
        <w:t xml:space="preserve">See Assadi, </w:t>
      </w:r>
      <w:r w:rsidRPr="009846E9">
        <w:rPr>
          <w:rFonts w:ascii="Times New Roman" w:hAnsi="Times New Roman" w:cs="Times New Roman"/>
          <w:i/>
          <w:iCs/>
          <w:sz w:val="22"/>
          <w:szCs w:val="22"/>
        </w:rPr>
        <w:t xml:space="preserve">Short Fiction, </w:t>
      </w:r>
      <w:r w:rsidRPr="009846E9">
        <w:rPr>
          <w:rFonts w:ascii="Times New Roman" w:hAnsi="Times New Roman" w:cs="Times New Roman"/>
          <w:sz w:val="22"/>
          <w:szCs w:val="22"/>
        </w:rPr>
        <w:t>19.</w:t>
      </w:r>
    </w:p>
  </w:footnote>
  <w:footnote w:id="10">
    <w:p w14:paraId="601AAB18" w14:textId="77777777" w:rsidR="007F0D5D" w:rsidRPr="009846E9" w:rsidRDefault="007F0D5D" w:rsidP="007F0D5D">
      <w:pPr>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rPr>
        <w:t xml:space="preserve"> </w:t>
      </w:r>
      <w:r w:rsidRPr="009846E9">
        <w:rPr>
          <w:rFonts w:ascii="Times New Roman" w:hAnsi="Times New Roman" w:cs="Times New Roman"/>
          <w:sz w:val="22"/>
          <w:szCs w:val="22"/>
        </w:rPr>
        <w:t xml:space="preserve">See for example Harootunian, </w:t>
      </w:r>
      <w:r w:rsidRPr="009846E9">
        <w:rPr>
          <w:rFonts w:ascii="Times New Roman" w:hAnsi="Times New Roman" w:cs="Times New Roman"/>
          <w:i/>
          <w:iCs/>
          <w:sz w:val="22"/>
          <w:szCs w:val="22"/>
        </w:rPr>
        <w:t xml:space="preserve">Marx After Marx; </w:t>
      </w:r>
      <w:r w:rsidRPr="009846E9">
        <w:rPr>
          <w:rFonts w:ascii="Times New Roman" w:hAnsi="Times New Roman" w:cs="Times New Roman"/>
          <w:sz w:val="22"/>
          <w:szCs w:val="22"/>
        </w:rPr>
        <w:t xml:space="preserve">Liu, </w:t>
      </w:r>
      <w:r w:rsidRPr="009846E9">
        <w:rPr>
          <w:rFonts w:ascii="Times New Roman" w:hAnsi="Times New Roman" w:cs="Times New Roman"/>
          <w:i/>
          <w:iCs/>
          <w:sz w:val="22"/>
          <w:szCs w:val="22"/>
        </w:rPr>
        <w:t>East-Asian Marxisms.</w:t>
      </w:r>
    </w:p>
  </w:footnote>
  <w:footnote w:id="11">
    <w:p w14:paraId="7A229A2C" w14:textId="77777777" w:rsidR="007F0D5D" w:rsidRPr="009846E9" w:rsidRDefault="007F0D5D" w:rsidP="007F0D5D">
      <w:pPr>
        <w:pStyle w:val="FootnoteText"/>
        <w:ind w:left="0" w:firstLine="0"/>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rPr>
        <w:t xml:space="preserve"> </w:t>
      </w:r>
      <w:r w:rsidRPr="009846E9">
        <w:rPr>
          <w:rFonts w:ascii="Times New Roman" w:hAnsi="Times New Roman" w:cs="Times New Roman"/>
          <w:spacing w:val="-31"/>
          <w:w w:val="95"/>
          <w:sz w:val="22"/>
          <w:szCs w:val="22"/>
        </w:rPr>
        <w:t xml:space="preserve"> </w:t>
      </w:r>
      <w:r w:rsidRPr="009846E9">
        <w:rPr>
          <w:rFonts w:ascii="Times New Roman" w:hAnsi="Times New Roman" w:cs="Times New Roman"/>
          <w:w w:val="95"/>
          <w:sz w:val="22"/>
          <w:szCs w:val="22"/>
        </w:rPr>
        <w:t>Beinin,</w:t>
      </w:r>
      <w:r w:rsidRPr="009846E9">
        <w:rPr>
          <w:rFonts w:ascii="Times New Roman" w:hAnsi="Times New Roman" w:cs="Times New Roman"/>
          <w:spacing w:val="-30"/>
          <w:w w:val="95"/>
          <w:sz w:val="22"/>
          <w:szCs w:val="22"/>
        </w:rPr>
        <w:t xml:space="preserve"> </w:t>
      </w:r>
      <w:r w:rsidRPr="009846E9">
        <w:rPr>
          <w:rFonts w:ascii="Times New Roman" w:hAnsi="Times New Roman" w:cs="Times New Roman"/>
          <w:i/>
          <w:w w:val="95"/>
          <w:sz w:val="22"/>
          <w:szCs w:val="22"/>
        </w:rPr>
        <w:t>Was</w:t>
      </w:r>
      <w:r w:rsidRPr="009846E9">
        <w:rPr>
          <w:rFonts w:ascii="Times New Roman" w:hAnsi="Times New Roman" w:cs="Times New Roman"/>
          <w:i/>
          <w:spacing w:val="-31"/>
          <w:w w:val="95"/>
          <w:sz w:val="22"/>
          <w:szCs w:val="22"/>
        </w:rPr>
        <w:t xml:space="preserve"> </w:t>
      </w:r>
      <w:r w:rsidRPr="009846E9">
        <w:rPr>
          <w:rFonts w:ascii="Times New Roman" w:hAnsi="Times New Roman" w:cs="Times New Roman"/>
          <w:i/>
          <w:w w:val="95"/>
          <w:sz w:val="22"/>
          <w:szCs w:val="22"/>
        </w:rPr>
        <w:t>the</w:t>
      </w:r>
      <w:r w:rsidRPr="009846E9">
        <w:rPr>
          <w:rFonts w:ascii="Times New Roman" w:hAnsi="Times New Roman" w:cs="Times New Roman"/>
          <w:i/>
          <w:spacing w:val="-30"/>
          <w:w w:val="95"/>
          <w:sz w:val="22"/>
          <w:szCs w:val="22"/>
        </w:rPr>
        <w:t xml:space="preserve"> </w:t>
      </w:r>
      <w:r w:rsidRPr="009846E9">
        <w:rPr>
          <w:rFonts w:ascii="Times New Roman" w:hAnsi="Times New Roman" w:cs="Times New Roman"/>
          <w:i/>
          <w:w w:val="95"/>
          <w:sz w:val="22"/>
          <w:szCs w:val="22"/>
        </w:rPr>
        <w:t>Red</w:t>
      </w:r>
      <w:r w:rsidRPr="009846E9">
        <w:rPr>
          <w:rFonts w:ascii="Times New Roman" w:hAnsi="Times New Roman" w:cs="Times New Roman"/>
          <w:i/>
          <w:spacing w:val="-30"/>
          <w:w w:val="95"/>
          <w:sz w:val="22"/>
          <w:szCs w:val="22"/>
        </w:rPr>
        <w:t xml:space="preserve"> </w:t>
      </w:r>
      <w:r w:rsidRPr="009846E9">
        <w:rPr>
          <w:rFonts w:ascii="Times New Roman" w:hAnsi="Times New Roman" w:cs="Times New Roman"/>
          <w:i/>
          <w:w w:val="95"/>
          <w:sz w:val="22"/>
          <w:szCs w:val="22"/>
        </w:rPr>
        <w:t>Flag</w:t>
      </w:r>
      <w:r w:rsidRPr="009846E9">
        <w:rPr>
          <w:rFonts w:ascii="Times New Roman" w:hAnsi="Times New Roman" w:cs="Times New Roman"/>
          <w:i/>
          <w:spacing w:val="-31"/>
          <w:w w:val="95"/>
          <w:sz w:val="22"/>
          <w:szCs w:val="22"/>
        </w:rPr>
        <w:t xml:space="preserve"> </w:t>
      </w:r>
      <w:r w:rsidRPr="009846E9">
        <w:rPr>
          <w:rFonts w:ascii="Times New Roman" w:hAnsi="Times New Roman" w:cs="Times New Roman"/>
          <w:i/>
          <w:w w:val="95"/>
          <w:sz w:val="22"/>
          <w:szCs w:val="22"/>
        </w:rPr>
        <w:t>Flying</w:t>
      </w:r>
      <w:r w:rsidRPr="009846E9">
        <w:rPr>
          <w:rFonts w:ascii="Times New Roman" w:hAnsi="Times New Roman" w:cs="Times New Roman"/>
          <w:i/>
          <w:spacing w:val="-30"/>
          <w:w w:val="95"/>
          <w:sz w:val="22"/>
          <w:szCs w:val="22"/>
        </w:rPr>
        <w:t xml:space="preserve"> </w:t>
      </w:r>
      <w:r w:rsidRPr="009846E9">
        <w:rPr>
          <w:rFonts w:ascii="Times New Roman" w:hAnsi="Times New Roman" w:cs="Times New Roman"/>
          <w:i/>
          <w:w w:val="95"/>
          <w:sz w:val="22"/>
          <w:szCs w:val="22"/>
        </w:rPr>
        <w:t>There?</w:t>
      </w:r>
      <w:r w:rsidRPr="009846E9">
        <w:rPr>
          <w:rFonts w:ascii="Times New Roman" w:hAnsi="Times New Roman" w:cs="Times New Roman"/>
          <w:sz w:val="22"/>
          <w:szCs w:val="22"/>
        </w:rPr>
        <w:t>125.</w:t>
      </w:r>
    </w:p>
  </w:footnote>
  <w:footnote w:id="12">
    <w:p w14:paraId="1C817DC0" w14:textId="77777777" w:rsidR="007F0D5D" w:rsidRPr="009846E9" w:rsidRDefault="007F0D5D" w:rsidP="007F0D5D">
      <w:pPr>
        <w:pStyle w:val="FootnoteText"/>
        <w:ind w:left="0" w:firstLine="0"/>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rPr>
        <w:t xml:space="preserve"> </w:t>
      </w:r>
      <w:r w:rsidRPr="009846E9">
        <w:rPr>
          <w:rFonts w:ascii="Times New Roman" w:hAnsi="Times New Roman" w:cs="Times New Roman"/>
          <w:sz w:val="22"/>
          <w:szCs w:val="22"/>
        </w:rPr>
        <w:t xml:space="preserve">Budeiri, </w:t>
      </w:r>
      <w:r w:rsidRPr="009846E9">
        <w:rPr>
          <w:rFonts w:ascii="Times New Roman" w:hAnsi="Times New Roman" w:cs="Times New Roman"/>
          <w:i/>
          <w:iCs/>
          <w:sz w:val="22"/>
          <w:szCs w:val="22"/>
        </w:rPr>
        <w:t xml:space="preserve">The Palestine Communist Party, </w:t>
      </w:r>
      <w:r w:rsidRPr="009846E9">
        <w:rPr>
          <w:rFonts w:ascii="Times New Roman" w:hAnsi="Times New Roman" w:cs="Times New Roman"/>
          <w:sz w:val="22"/>
          <w:szCs w:val="22"/>
        </w:rPr>
        <w:t>115.</w:t>
      </w:r>
    </w:p>
  </w:footnote>
  <w:footnote w:id="13">
    <w:p w14:paraId="2EC1FAA7" w14:textId="77777777" w:rsidR="007F0D5D" w:rsidRPr="009846E9" w:rsidRDefault="007F0D5D" w:rsidP="007F0D5D">
      <w:pPr>
        <w:rPr>
          <w:rFonts w:ascii="Times New Roman" w:hAnsi="Times New Roman" w:cs="Times New Roman"/>
          <w:sz w:val="22"/>
          <w:szCs w:val="22"/>
        </w:rPr>
      </w:pPr>
      <w:r w:rsidRPr="009846E9">
        <w:rPr>
          <w:rFonts w:ascii="Times New Roman" w:hAnsi="Times New Roman" w:cs="Times New Roman"/>
          <w:sz w:val="22"/>
          <w:szCs w:val="22"/>
        </w:rPr>
        <w:t xml:space="preserve"> </w:t>
      </w:r>
      <w:r w:rsidRPr="009846E9">
        <w:rPr>
          <w:rStyle w:val="EndnoteCharacters"/>
          <w:rFonts w:ascii="Times New Roman" w:hAnsi="Times New Roman" w:cs="Times New Roman"/>
          <w:sz w:val="22"/>
          <w:szCs w:val="22"/>
        </w:rPr>
        <w:footnoteRef/>
      </w:r>
      <w:r w:rsidRPr="009846E9">
        <w:rPr>
          <w:rFonts w:ascii="Times New Roman" w:hAnsi="Times New Roman" w:cs="Times New Roman"/>
          <w:sz w:val="22"/>
          <w:szCs w:val="22"/>
        </w:rPr>
        <w:t xml:space="preserve"> For</w:t>
      </w:r>
      <w:r w:rsidRPr="009846E9">
        <w:rPr>
          <w:rFonts w:ascii="Times New Roman" w:hAnsi="Times New Roman" w:cs="Times New Roman"/>
          <w:spacing w:val="-17"/>
          <w:sz w:val="22"/>
          <w:szCs w:val="22"/>
        </w:rPr>
        <w:t xml:space="preserve"> </w:t>
      </w:r>
      <w:r w:rsidRPr="009846E9">
        <w:rPr>
          <w:rFonts w:ascii="Times New Roman" w:hAnsi="Times New Roman" w:cs="Times New Roman"/>
          <w:sz w:val="22"/>
          <w:szCs w:val="22"/>
        </w:rPr>
        <w:t>an</w:t>
      </w:r>
      <w:r w:rsidRPr="009846E9">
        <w:rPr>
          <w:rFonts w:ascii="Times New Roman" w:hAnsi="Times New Roman" w:cs="Times New Roman"/>
          <w:spacing w:val="-17"/>
          <w:sz w:val="22"/>
          <w:szCs w:val="22"/>
        </w:rPr>
        <w:t xml:space="preserve"> </w:t>
      </w:r>
      <w:r w:rsidRPr="009846E9">
        <w:rPr>
          <w:rFonts w:ascii="Times New Roman" w:hAnsi="Times New Roman" w:cs="Times New Roman"/>
          <w:sz w:val="22"/>
          <w:szCs w:val="22"/>
        </w:rPr>
        <w:t>account</w:t>
      </w:r>
      <w:r w:rsidRPr="009846E9">
        <w:rPr>
          <w:rFonts w:ascii="Times New Roman" w:hAnsi="Times New Roman" w:cs="Times New Roman"/>
          <w:spacing w:val="-17"/>
          <w:sz w:val="22"/>
          <w:szCs w:val="22"/>
        </w:rPr>
        <w:t xml:space="preserve"> </w:t>
      </w:r>
      <w:r w:rsidRPr="009846E9">
        <w:rPr>
          <w:rFonts w:ascii="Times New Roman" w:hAnsi="Times New Roman" w:cs="Times New Roman"/>
          <w:sz w:val="22"/>
          <w:szCs w:val="22"/>
        </w:rPr>
        <w:t>of</w:t>
      </w:r>
      <w:r w:rsidRPr="009846E9">
        <w:rPr>
          <w:rFonts w:ascii="Times New Roman" w:hAnsi="Times New Roman" w:cs="Times New Roman"/>
          <w:spacing w:val="-18"/>
          <w:sz w:val="22"/>
          <w:szCs w:val="22"/>
        </w:rPr>
        <w:t xml:space="preserve"> </w:t>
      </w:r>
      <w:r w:rsidRPr="009846E9">
        <w:rPr>
          <w:rFonts w:ascii="Times New Roman" w:hAnsi="Times New Roman" w:cs="Times New Roman"/>
          <w:sz w:val="22"/>
          <w:szCs w:val="22"/>
        </w:rPr>
        <w:t>Michael’s</w:t>
      </w:r>
      <w:r w:rsidRPr="009846E9">
        <w:rPr>
          <w:rFonts w:ascii="Times New Roman" w:hAnsi="Times New Roman" w:cs="Times New Roman"/>
          <w:spacing w:val="-17"/>
          <w:sz w:val="22"/>
          <w:szCs w:val="22"/>
        </w:rPr>
        <w:t xml:space="preserve"> </w:t>
      </w:r>
      <w:r w:rsidRPr="009846E9">
        <w:rPr>
          <w:rFonts w:ascii="Times New Roman" w:hAnsi="Times New Roman" w:cs="Times New Roman"/>
          <w:sz w:val="22"/>
          <w:szCs w:val="22"/>
        </w:rPr>
        <w:t>escape</w:t>
      </w:r>
      <w:r w:rsidRPr="009846E9">
        <w:rPr>
          <w:rFonts w:ascii="Times New Roman" w:hAnsi="Times New Roman" w:cs="Times New Roman"/>
          <w:spacing w:val="-17"/>
          <w:sz w:val="22"/>
          <w:szCs w:val="22"/>
        </w:rPr>
        <w:t xml:space="preserve"> </w:t>
      </w:r>
      <w:r w:rsidRPr="009846E9">
        <w:rPr>
          <w:rFonts w:ascii="Times New Roman" w:hAnsi="Times New Roman" w:cs="Times New Roman"/>
          <w:sz w:val="22"/>
          <w:szCs w:val="22"/>
        </w:rPr>
        <w:t>from</w:t>
      </w:r>
      <w:r w:rsidRPr="009846E9">
        <w:rPr>
          <w:rFonts w:ascii="Times New Roman" w:hAnsi="Times New Roman" w:cs="Times New Roman"/>
          <w:spacing w:val="-16"/>
          <w:sz w:val="22"/>
          <w:szCs w:val="22"/>
        </w:rPr>
        <w:t xml:space="preserve"> </w:t>
      </w:r>
      <w:r w:rsidRPr="009846E9">
        <w:rPr>
          <w:rFonts w:ascii="Times New Roman" w:hAnsi="Times New Roman" w:cs="Times New Roman"/>
          <w:sz w:val="22"/>
          <w:szCs w:val="22"/>
        </w:rPr>
        <w:t>Iraq</w:t>
      </w:r>
      <w:r w:rsidRPr="009846E9">
        <w:rPr>
          <w:rFonts w:ascii="Times New Roman" w:hAnsi="Times New Roman" w:cs="Times New Roman"/>
          <w:spacing w:val="-17"/>
          <w:sz w:val="22"/>
          <w:szCs w:val="22"/>
        </w:rPr>
        <w:t xml:space="preserve"> </w:t>
      </w:r>
      <w:r w:rsidRPr="009846E9">
        <w:rPr>
          <w:rFonts w:ascii="Times New Roman" w:hAnsi="Times New Roman" w:cs="Times New Roman"/>
          <w:sz w:val="22"/>
          <w:szCs w:val="22"/>
        </w:rPr>
        <w:t>see</w:t>
      </w:r>
      <w:r w:rsidRPr="009846E9">
        <w:rPr>
          <w:rFonts w:ascii="Times New Roman" w:hAnsi="Times New Roman" w:cs="Times New Roman"/>
          <w:spacing w:val="-18"/>
          <w:sz w:val="22"/>
          <w:szCs w:val="22"/>
        </w:rPr>
        <w:t xml:space="preserve"> </w:t>
      </w:r>
      <w:r w:rsidRPr="009846E9">
        <w:rPr>
          <w:rFonts w:ascii="Times New Roman" w:hAnsi="Times New Roman" w:cs="Times New Roman"/>
          <w:sz w:val="22"/>
          <w:szCs w:val="22"/>
        </w:rPr>
        <w:t>Michael,</w:t>
      </w:r>
      <w:r w:rsidRPr="009846E9">
        <w:rPr>
          <w:rFonts w:ascii="Times New Roman" w:hAnsi="Times New Roman" w:cs="Times New Roman"/>
          <w:spacing w:val="-18"/>
          <w:sz w:val="22"/>
          <w:szCs w:val="22"/>
        </w:rPr>
        <w:t xml:space="preserve"> </w:t>
      </w:r>
      <w:r w:rsidRPr="009846E9">
        <w:rPr>
          <w:rFonts w:ascii="Times New Roman" w:hAnsi="Times New Roman" w:cs="Times New Roman"/>
          <w:i/>
          <w:sz w:val="22"/>
          <w:szCs w:val="22"/>
        </w:rPr>
        <w:t>Gevulot</w:t>
      </w:r>
      <w:r w:rsidRPr="009846E9">
        <w:rPr>
          <w:rFonts w:ascii="Times New Roman" w:hAnsi="Times New Roman" w:cs="Times New Roman"/>
          <w:i/>
          <w:spacing w:val="-18"/>
          <w:sz w:val="22"/>
          <w:szCs w:val="22"/>
        </w:rPr>
        <w:t xml:space="preserve"> </w:t>
      </w:r>
      <w:r w:rsidRPr="009846E9">
        <w:rPr>
          <w:rFonts w:ascii="Times New Roman" w:hAnsi="Times New Roman" w:cs="Times New Roman"/>
          <w:i/>
          <w:sz w:val="22"/>
          <w:szCs w:val="22"/>
        </w:rPr>
        <w:t>ha-ruah</w:t>
      </w:r>
      <w:r w:rsidRPr="009846E9">
        <w:rPr>
          <w:rFonts w:ascii="Times New Roman" w:hAnsi="Times New Roman" w:cs="Times New Roman"/>
          <w:sz w:val="22"/>
          <w:szCs w:val="22"/>
        </w:rPr>
        <w:t>, 133-137.</w:t>
      </w:r>
    </w:p>
  </w:footnote>
  <w:footnote w:id="14">
    <w:p w14:paraId="62B9B295" w14:textId="77777777" w:rsidR="007F0D5D" w:rsidRPr="009846E9" w:rsidRDefault="007F0D5D" w:rsidP="007F0D5D">
      <w:pPr>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rPr>
        <w:t xml:space="preserve"> </w:t>
      </w:r>
      <w:r w:rsidRPr="009846E9">
        <w:rPr>
          <w:rFonts w:ascii="Times New Roman" w:hAnsi="Times New Roman" w:cs="Times New Roman"/>
          <w:sz w:val="22"/>
          <w:szCs w:val="22"/>
        </w:rPr>
        <w:t>Ibid, 125.</w:t>
      </w:r>
    </w:p>
  </w:footnote>
  <w:footnote w:id="15">
    <w:p w14:paraId="0904D6C6" w14:textId="77777777" w:rsidR="007F0D5D" w:rsidRPr="009846E9" w:rsidRDefault="007F0D5D" w:rsidP="007F0D5D">
      <w:pPr>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rPr>
        <w:t xml:space="preserve"> </w:t>
      </w:r>
      <w:r w:rsidRPr="009846E9">
        <w:rPr>
          <w:rFonts w:ascii="Times New Roman" w:hAnsi="Times New Roman" w:cs="Times New Roman"/>
          <w:sz w:val="22"/>
          <w:szCs w:val="22"/>
        </w:rPr>
        <w:t>Ibid</w:t>
      </w:r>
      <w:r w:rsidRPr="009846E9">
        <w:rPr>
          <w:rFonts w:ascii="Times New Roman" w:hAnsi="Times New Roman" w:cs="Times New Roman"/>
          <w:i/>
          <w:sz w:val="22"/>
          <w:szCs w:val="22"/>
        </w:rPr>
        <w:t xml:space="preserve">, </w:t>
      </w:r>
      <w:r w:rsidRPr="009846E9">
        <w:rPr>
          <w:rFonts w:ascii="Times New Roman" w:hAnsi="Times New Roman" w:cs="Times New Roman"/>
          <w:sz w:val="22"/>
          <w:szCs w:val="22"/>
        </w:rPr>
        <w:t>142.</w:t>
      </w:r>
    </w:p>
  </w:footnote>
  <w:footnote w:id="16">
    <w:p w14:paraId="19B018D6" w14:textId="77777777" w:rsidR="007F0D5D" w:rsidRPr="009846E9" w:rsidRDefault="007F0D5D" w:rsidP="007F0D5D">
      <w:pPr>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Fonts w:ascii="Times New Roman" w:hAnsi="Times New Roman" w:cs="Times New Roman"/>
          <w:sz w:val="22"/>
          <w:szCs w:val="22"/>
        </w:rPr>
        <w:t xml:space="preserve"> Marid</w:t>
      </w:r>
      <w:r w:rsidRPr="009846E9">
        <w:rPr>
          <w:rFonts w:ascii="Times New Roman" w:hAnsi="Times New Roman" w:cs="Times New Roman"/>
          <w:spacing w:val="-23"/>
          <w:sz w:val="22"/>
          <w:szCs w:val="22"/>
        </w:rPr>
        <w:t>, ‘</w:t>
      </w:r>
      <w:r w:rsidRPr="009846E9">
        <w:rPr>
          <w:rFonts w:ascii="Times New Roman" w:hAnsi="Times New Roman" w:cs="Times New Roman"/>
          <w:sz w:val="22"/>
          <w:szCs w:val="22"/>
        </w:rPr>
        <w:t>Nahwa</w:t>
      </w:r>
      <w:r w:rsidRPr="009846E9">
        <w:rPr>
          <w:rFonts w:ascii="Times New Roman" w:hAnsi="Times New Roman" w:cs="Times New Roman"/>
          <w:spacing w:val="-23"/>
          <w:sz w:val="22"/>
          <w:szCs w:val="22"/>
        </w:rPr>
        <w:t xml:space="preserve"> </w:t>
      </w:r>
      <w:r w:rsidRPr="009846E9">
        <w:rPr>
          <w:rFonts w:ascii="Times New Roman" w:hAnsi="Times New Roman" w:cs="Times New Roman"/>
          <w:sz w:val="22"/>
          <w:szCs w:val="22"/>
        </w:rPr>
        <w:t>insha,’ 48-49.</w:t>
      </w:r>
    </w:p>
  </w:footnote>
  <w:footnote w:id="17">
    <w:p w14:paraId="13B59858" w14:textId="77777777" w:rsidR="007F0D5D" w:rsidRPr="009846E9" w:rsidRDefault="007F0D5D" w:rsidP="007F0D5D">
      <w:pPr>
        <w:pStyle w:val="FootnoteText"/>
        <w:ind w:left="0" w:firstLine="0"/>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rPr>
        <w:t xml:space="preserve"> </w:t>
      </w:r>
      <w:r w:rsidRPr="009846E9">
        <w:rPr>
          <w:rFonts w:ascii="Times New Roman" w:hAnsi="Times New Roman" w:cs="Times New Roman"/>
          <w:sz w:val="22"/>
          <w:szCs w:val="22"/>
        </w:rPr>
        <w:t>Habiby, ‘Al-insan hadaf al-adab wa mawduʿhu.’</w:t>
      </w:r>
    </w:p>
  </w:footnote>
  <w:footnote w:id="18">
    <w:p w14:paraId="38A23033" w14:textId="77777777" w:rsidR="007F0D5D" w:rsidRPr="009846E9" w:rsidRDefault="007F0D5D" w:rsidP="007F0D5D">
      <w:pPr>
        <w:pStyle w:val="FootnoteText"/>
        <w:ind w:left="0" w:firstLine="0"/>
        <w:rPr>
          <w:rFonts w:ascii="Times New Roman" w:hAnsi="Times New Roman" w:cs="Times New Roman"/>
          <w:sz w:val="22"/>
          <w:szCs w:val="22"/>
          <w:lang w:val="fr-FR"/>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lang w:val="fr-FR"/>
        </w:rPr>
        <w:t xml:space="preserve"> </w:t>
      </w:r>
      <w:r w:rsidRPr="009846E9">
        <w:rPr>
          <w:rFonts w:ascii="Times New Roman" w:hAnsi="Times New Roman" w:cs="Times New Roman"/>
          <w:sz w:val="22"/>
          <w:szCs w:val="22"/>
          <w:lang w:val="fr-FR"/>
        </w:rPr>
        <w:t>Ibid.</w:t>
      </w:r>
    </w:p>
  </w:footnote>
  <w:footnote w:id="19">
    <w:p w14:paraId="411FF243" w14:textId="77777777" w:rsidR="007F0D5D" w:rsidRPr="009846E9" w:rsidRDefault="007F0D5D" w:rsidP="007F0D5D">
      <w:pPr>
        <w:rPr>
          <w:rFonts w:ascii="Times New Roman" w:hAnsi="Times New Roman" w:cs="Times New Roman"/>
          <w:sz w:val="22"/>
          <w:szCs w:val="22"/>
          <w:lang w:val="fr-FR"/>
        </w:rPr>
      </w:pPr>
      <w:r w:rsidRPr="009846E9">
        <w:rPr>
          <w:rStyle w:val="EndnoteCharacters"/>
          <w:rFonts w:ascii="Times New Roman" w:hAnsi="Times New Roman" w:cs="Times New Roman"/>
          <w:sz w:val="22"/>
          <w:szCs w:val="22"/>
        </w:rPr>
        <w:footnoteRef/>
      </w:r>
      <w:r w:rsidRPr="009846E9">
        <w:rPr>
          <w:rFonts w:ascii="Times New Roman" w:hAnsi="Times New Roman" w:cs="Times New Roman"/>
          <w:sz w:val="22"/>
          <w:szCs w:val="22"/>
          <w:lang w:val="fr-FR"/>
        </w:rPr>
        <w:t xml:space="preserve"> Nicola, ‘Al-qissa allati nuriduha,’ 8.</w:t>
      </w:r>
    </w:p>
  </w:footnote>
  <w:footnote w:id="20">
    <w:p w14:paraId="019DD719" w14:textId="77777777" w:rsidR="007F0D5D" w:rsidRPr="009846E9" w:rsidRDefault="007F0D5D" w:rsidP="007F0D5D">
      <w:pPr>
        <w:rPr>
          <w:rFonts w:ascii="Times New Roman" w:hAnsi="Times New Roman" w:cs="Times New Roman"/>
          <w:sz w:val="22"/>
          <w:szCs w:val="22"/>
          <w:lang w:val="fr-FR"/>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lang w:val="fr-FR"/>
        </w:rPr>
        <w:t xml:space="preserve"> </w:t>
      </w:r>
      <w:r w:rsidRPr="009846E9">
        <w:rPr>
          <w:rFonts w:ascii="Times New Roman" w:hAnsi="Times New Roman" w:cs="Times New Roman"/>
          <w:sz w:val="22"/>
          <w:szCs w:val="22"/>
          <w:lang w:val="fr-FR"/>
        </w:rPr>
        <w:t>Nicola,</w:t>
      </w:r>
      <w:r w:rsidRPr="009846E9">
        <w:rPr>
          <w:rFonts w:ascii="Times New Roman" w:hAnsi="Times New Roman" w:cs="Times New Roman"/>
          <w:spacing w:val="-27"/>
          <w:sz w:val="22"/>
          <w:szCs w:val="22"/>
          <w:lang w:val="fr-FR"/>
        </w:rPr>
        <w:t xml:space="preserve"> ‘</w:t>
      </w:r>
      <w:r w:rsidRPr="009846E9">
        <w:rPr>
          <w:rFonts w:ascii="Times New Roman" w:hAnsi="Times New Roman" w:cs="Times New Roman"/>
          <w:sz w:val="22"/>
          <w:szCs w:val="22"/>
          <w:lang w:val="fr-FR"/>
        </w:rPr>
        <w:t>Musa</w:t>
      </w:r>
      <w:r w:rsidRPr="009846E9">
        <w:rPr>
          <w:rFonts w:ascii="Times New Roman" w:hAnsi="Times New Roman" w:cs="Times New Roman"/>
          <w:spacing w:val="-26"/>
          <w:sz w:val="22"/>
          <w:szCs w:val="22"/>
          <w:lang w:val="fr-FR"/>
        </w:rPr>
        <w:t xml:space="preserve"> </w:t>
      </w:r>
      <w:r w:rsidRPr="009846E9">
        <w:rPr>
          <w:rFonts w:ascii="Times New Roman" w:hAnsi="Times New Roman" w:cs="Times New Roman"/>
          <w:sz w:val="22"/>
          <w:szCs w:val="22"/>
          <w:lang w:val="fr-FR"/>
        </w:rPr>
        <w:t>ibn</w:t>
      </w:r>
      <w:r w:rsidRPr="009846E9">
        <w:rPr>
          <w:rFonts w:ascii="Times New Roman" w:hAnsi="Times New Roman" w:cs="Times New Roman"/>
          <w:spacing w:val="-26"/>
          <w:sz w:val="22"/>
          <w:szCs w:val="22"/>
          <w:lang w:val="fr-FR"/>
        </w:rPr>
        <w:t xml:space="preserve"> </w:t>
      </w:r>
      <w:r w:rsidRPr="009846E9">
        <w:rPr>
          <w:rFonts w:ascii="Times New Roman" w:hAnsi="Times New Roman" w:cs="Times New Roman"/>
          <w:sz w:val="22"/>
          <w:szCs w:val="22"/>
          <w:lang w:val="fr-FR"/>
        </w:rPr>
        <w:t>maymun</w:t>
      </w:r>
      <w:r w:rsidRPr="009846E9">
        <w:rPr>
          <w:rFonts w:ascii="Times New Roman" w:hAnsi="Times New Roman" w:cs="Times New Roman"/>
          <w:spacing w:val="-26"/>
          <w:sz w:val="22"/>
          <w:szCs w:val="22"/>
          <w:lang w:val="fr-FR"/>
        </w:rPr>
        <w:t>.’</w:t>
      </w:r>
    </w:p>
  </w:footnote>
  <w:footnote w:id="21">
    <w:p w14:paraId="1F519CFF" w14:textId="77777777" w:rsidR="007F0D5D" w:rsidRPr="009846E9" w:rsidRDefault="007F0D5D" w:rsidP="007F0D5D">
      <w:pPr>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lang w:val="fr-FR"/>
        </w:rPr>
        <w:t xml:space="preserve"> </w:t>
      </w:r>
      <w:r w:rsidRPr="009846E9">
        <w:rPr>
          <w:rFonts w:ascii="Times New Roman" w:hAnsi="Times New Roman" w:cs="Times New Roman"/>
          <w:sz w:val="22"/>
          <w:szCs w:val="22"/>
          <w:lang w:val="fr-FR"/>
        </w:rPr>
        <w:t>Khayyat,</w:t>
      </w:r>
      <w:r w:rsidRPr="009846E9">
        <w:rPr>
          <w:rFonts w:ascii="Times New Roman" w:hAnsi="Times New Roman" w:cs="Times New Roman"/>
          <w:spacing w:val="-26"/>
          <w:sz w:val="22"/>
          <w:szCs w:val="22"/>
          <w:lang w:val="fr-FR"/>
        </w:rPr>
        <w:t xml:space="preserve"> ‘</w:t>
      </w:r>
      <w:r w:rsidRPr="009846E9">
        <w:rPr>
          <w:rFonts w:ascii="Times New Roman" w:hAnsi="Times New Roman" w:cs="Times New Roman"/>
          <w:sz w:val="22"/>
          <w:szCs w:val="22"/>
          <w:lang w:val="fr-FR"/>
        </w:rPr>
        <w:t xml:space="preserve">Al-ukhuwwa’. </w:t>
      </w:r>
      <w:r w:rsidRPr="009846E9">
        <w:rPr>
          <w:rFonts w:ascii="Times New Roman" w:hAnsi="Times New Roman" w:cs="Times New Roman"/>
          <w:sz w:val="22"/>
          <w:szCs w:val="22"/>
        </w:rPr>
        <w:t>See also Khayyat, ‘Al-shiʿr.’</w:t>
      </w:r>
    </w:p>
  </w:footnote>
  <w:footnote w:id="22">
    <w:p w14:paraId="19009DFC" w14:textId="77777777" w:rsidR="007F0D5D" w:rsidRPr="009846E9" w:rsidRDefault="007F0D5D" w:rsidP="007F0D5D">
      <w:pPr>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rPr>
        <w:t xml:space="preserve"> </w:t>
      </w:r>
      <w:r w:rsidRPr="009846E9">
        <w:rPr>
          <w:rFonts w:ascii="Times New Roman" w:hAnsi="Times New Roman" w:cs="Times New Roman"/>
          <w:sz w:val="22"/>
          <w:szCs w:val="22"/>
        </w:rPr>
        <w:t>Nicola,</w:t>
      </w:r>
      <w:r w:rsidRPr="009846E9">
        <w:rPr>
          <w:rFonts w:ascii="Times New Roman" w:hAnsi="Times New Roman" w:cs="Times New Roman"/>
          <w:spacing w:val="-32"/>
          <w:sz w:val="22"/>
          <w:szCs w:val="22"/>
        </w:rPr>
        <w:t xml:space="preserve"> ‘</w:t>
      </w:r>
      <w:r w:rsidRPr="009846E9">
        <w:rPr>
          <w:rFonts w:ascii="Times New Roman" w:hAnsi="Times New Roman" w:cs="Times New Roman"/>
          <w:sz w:val="22"/>
          <w:szCs w:val="22"/>
        </w:rPr>
        <w:t xml:space="preserve">Awwal </w:t>
      </w:r>
      <w:r w:rsidRPr="009846E9">
        <w:rPr>
          <w:rFonts w:ascii="Times New Roman" w:hAnsi="Times New Roman" w:cs="Times New Roman"/>
          <w:spacing w:val="-33"/>
          <w:sz w:val="22"/>
          <w:szCs w:val="22"/>
        </w:rPr>
        <w:t xml:space="preserve"> </w:t>
      </w:r>
      <w:r w:rsidRPr="009846E9">
        <w:rPr>
          <w:rFonts w:ascii="Times New Roman" w:hAnsi="Times New Roman" w:cs="Times New Roman"/>
          <w:sz w:val="22"/>
          <w:szCs w:val="22"/>
        </w:rPr>
        <w:t xml:space="preserve">haraka </w:t>
      </w:r>
      <w:r w:rsidRPr="009846E9">
        <w:rPr>
          <w:rFonts w:ascii="Times New Roman" w:hAnsi="Times New Roman" w:cs="Times New Roman"/>
          <w:spacing w:val="-32"/>
          <w:sz w:val="22"/>
          <w:szCs w:val="22"/>
        </w:rPr>
        <w:t xml:space="preserve"> </w:t>
      </w:r>
      <w:r w:rsidRPr="009846E9">
        <w:rPr>
          <w:rFonts w:ascii="Times New Roman" w:hAnsi="Times New Roman" w:cs="Times New Roman"/>
          <w:sz w:val="22"/>
          <w:szCs w:val="22"/>
        </w:rPr>
        <w:t>thawriyya</w:t>
      </w:r>
      <w:r w:rsidRPr="009846E9">
        <w:rPr>
          <w:rFonts w:ascii="Times New Roman" w:hAnsi="Times New Roman" w:cs="Times New Roman"/>
          <w:spacing w:val="-33"/>
          <w:sz w:val="22"/>
          <w:szCs w:val="22"/>
        </w:rPr>
        <w:t xml:space="preserve">  </w:t>
      </w:r>
      <w:r w:rsidRPr="009846E9">
        <w:rPr>
          <w:rFonts w:ascii="Times New Roman" w:hAnsi="Times New Roman" w:cs="Times New Roman"/>
          <w:sz w:val="22"/>
          <w:szCs w:val="22"/>
        </w:rPr>
        <w:t>fi</w:t>
      </w:r>
      <w:r w:rsidRPr="009846E9">
        <w:rPr>
          <w:rFonts w:ascii="Times New Roman" w:hAnsi="Times New Roman" w:cs="Times New Roman"/>
          <w:spacing w:val="-33"/>
          <w:sz w:val="22"/>
          <w:szCs w:val="22"/>
        </w:rPr>
        <w:t xml:space="preserve"> </w:t>
      </w:r>
      <w:r w:rsidRPr="009846E9">
        <w:rPr>
          <w:rFonts w:ascii="Times New Roman" w:hAnsi="Times New Roman" w:cs="Times New Roman"/>
          <w:sz w:val="22"/>
          <w:szCs w:val="22"/>
        </w:rPr>
        <w:t>al-islam.’</w:t>
      </w:r>
    </w:p>
  </w:footnote>
  <w:footnote w:id="23">
    <w:p w14:paraId="47B98621" w14:textId="77777777" w:rsidR="007F0D5D" w:rsidRPr="009846E9" w:rsidRDefault="007F0D5D" w:rsidP="007F0D5D">
      <w:pPr>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rPr>
        <w:t xml:space="preserve"> </w:t>
      </w:r>
      <w:r w:rsidRPr="009846E9">
        <w:rPr>
          <w:rFonts w:ascii="Times New Roman" w:hAnsi="Times New Roman" w:cs="Times New Roman"/>
          <w:sz w:val="22"/>
          <w:szCs w:val="22"/>
        </w:rPr>
        <w:t>Habiby, ‘Al-insan hadaf al-adab wa-mawduʿuh.’</w:t>
      </w:r>
    </w:p>
  </w:footnote>
  <w:footnote w:id="24">
    <w:p w14:paraId="335B7D50" w14:textId="77777777" w:rsidR="007F0D5D" w:rsidRPr="009846E9" w:rsidRDefault="007F0D5D" w:rsidP="007F0D5D">
      <w:pPr>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rPr>
        <w:t xml:space="preserve"> </w:t>
      </w:r>
      <w:r w:rsidRPr="009846E9">
        <w:rPr>
          <w:rFonts w:ascii="Times New Roman" w:hAnsi="Times New Roman" w:cs="Times New Roman"/>
          <w:sz w:val="22"/>
          <w:szCs w:val="22"/>
        </w:rPr>
        <w:t>Tuma, ‘Nahwa taʿawun thaqafi.’</w:t>
      </w:r>
    </w:p>
  </w:footnote>
  <w:footnote w:id="25">
    <w:p w14:paraId="57E335A3" w14:textId="77777777" w:rsidR="007F0D5D" w:rsidRPr="009846E9" w:rsidRDefault="007F0D5D" w:rsidP="007F0D5D">
      <w:pPr>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rPr>
        <w:t xml:space="preserve"> </w:t>
      </w:r>
      <w:r w:rsidRPr="009846E9">
        <w:rPr>
          <w:rFonts w:ascii="Times New Roman" w:hAnsi="Times New Roman" w:cs="Times New Roman"/>
          <w:sz w:val="22"/>
          <w:szCs w:val="22"/>
        </w:rPr>
        <w:t>Descriptions taken from Marqis,</w:t>
      </w:r>
      <w:r w:rsidRPr="009846E9">
        <w:rPr>
          <w:rFonts w:ascii="Times New Roman" w:hAnsi="Times New Roman" w:cs="Times New Roman"/>
          <w:spacing w:val="19"/>
          <w:sz w:val="22"/>
          <w:szCs w:val="22"/>
        </w:rPr>
        <w:t xml:space="preserve"> ‘</w:t>
      </w:r>
      <w:r w:rsidRPr="009846E9">
        <w:rPr>
          <w:rFonts w:ascii="Times New Roman" w:hAnsi="Times New Roman" w:cs="Times New Roman"/>
          <w:sz w:val="22"/>
          <w:szCs w:val="22"/>
        </w:rPr>
        <w:t>Hasd</w:t>
      </w:r>
      <w:r w:rsidRPr="009846E9">
        <w:rPr>
          <w:rFonts w:ascii="Times New Roman" w:hAnsi="Times New Roman" w:cs="Times New Roman"/>
          <w:spacing w:val="44"/>
          <w:sz w:val="22"/>
          <w:szCs w:val="22"/>
        </w:rPr>
        <w:t xml:space="preserve"> </w:t>
      </w:r>
      <w:r w:rsidRPr="009846E9">
        <w:rPr>
          <w:rFonts w:ascii="Times New Roman" w:hAnsi="Times New Roman" w:cs="Times New Roman"/>
          <w:sz w:val="22"/>
          <w:szCs w:val="22"/>
        </w:rPr>
        <w:t>shiʿr aw</w:t>
      </w:r>
      <w:r w:rsidRPr="009846E9">
        <w:rPr>
          <w:rFonts w:ascii="Times New Roman" w:hAnsi="Times New Roman" w:cs="Times New Roman"/>
          <w:spacing w:val="19"/>
          <w:sz w:val="22"/>
          <w:szCs w:val="22"/>
        </w:rPr>
        <w:t xml:space="preserve"> </w:t>
      </w:r>
      <w:r w:rsidRPr="009846E9">
        <w:rPr>
          <w:rFonts w:ascii="Times New Roman" w:hAnsi="Times New Roman" w:cs="Times New Roman"/>
          <w:sz w:val="22"/>
          <w:szCs w:val="22"/>
        </w:rPr>
        <w:t>lawhat</w:t>
      </w:r>
      <w:r w:rsidRPr="009846E9">
        <w:rPr>
          <w:rFonts w:ascii="Times New Roman" w:hAnsi="Times New Roman" w:cs="Times New Roman"/>
          <w:spacing w:val="21"/>
          <w:sz w:val="22"/>
          <w:szCs w:val="22"/>
        </w:rPr>
        <w:t xml:space="preserve"> </w:t>
      </w:r>
      <w:r w:rsidRPr="009846E9">
        <w:rPr>
          <w:rFonts w:ascii="Times New Roman" w:hAnsi="Times New Roman" w:cs="Times New Roman"/>
          <w:sz w:val="22"/>
          <w:szCs w:val="22"/>
        </w:rPr>
        <w:t xml:space="preserve">shaʿb,’15-20; Hoffman, </w:t>
      </w:r>
      <w:r w:rsidRPr="009846E9">
        <w:rPr>
          <w:rFonts w:ascii="Times New Roman" w:hAnsi="Times New Roman" w:cs="Times New Roman"/>
          <w:i/>
          <w:iCs/>
          <w:sz w:val="22"/>
          <w:szCs w:val="22"/>
        </w:rPr>
        <w:t xml:space="preserve">My Happiness Bears No Relation to Happiness,’ </w:t>
      </w:r>
      <w:r w:rsidRPr="009846E9">
        <w:rPr>
          <w:rFonts w:ascii="Times New Roman" w:hAnsi="Times New Roman" w:cs="Times New Roman"/>
          <w:sz w:val="22"/>
          <w:szCs w:val="22"/>
        </w:rPr>
        <w:t xml:space="preserve">258-263 and Furani, </w:t>
      </w:r>
      <w:r w:rsidRPr="009846E9">
        <w:rPr>
          <w:rFonts w:ascii="Times New Roman" w:hAnsi="Times New Roman" w:cs="Times New Roman"/>
          <w:i/>
          <w:iCs/>
          <w:sz w:val="22"/>
          <w:szCs w:val="22"/>
        </w:rPr>
        <w:t>Silencing the Sea.</w:t>
      </w:r>
    </w:p>
  </w:footnote>
  <w:footnote w:id="26">
    <w:p w14:paraId="428D844F" w14:textId="77777777" w:rsidR="007F0D5D" w:rsidRPr="009846E9" w:rsidRDefault="007F0D5D" w:rsidP="007F0D5D">
      <w:pPr>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rPr>
        <w:t xml:space="preserve"> </w:t>
      </w:r>
      <w:r w:rsidRPr="009846E9">
        <w:rPr>
          <w:rFonts w:ascii="Times New Roman" w:hAnsi="Times New Roman" w:cs="Times New Roman"/>
          <w:sz w:val="22"/>
          <w:szCs w:val="22"/>
        </w:rPr>
        <w:fldChar w:fldCharType="begin"/>
      </w:r>
      <w:r w:rsidRPr="009846E9">
        <w:rPr>
          <w:rFonts w:ascii="Times New Roman" w:hAnsi="Times New Roman" w:cs="Times New Roman"/>
          <w:sz w:val="22"/>
          <w:szCs w:val="22"/>
        </w:rPr>
        <w:instrText>ADDIN ZOTERO_ITEM CSL_CITATION {"citationID":"IxdjU613","properties":{"formattedCitation":"{\\rtf Furani, \\i Silencing the Sea\\i0{}.}","plainCitation":"Furani, Silencing the Sea.","dontUpdate":true},"citationItems":[{"id":61,"uris":["http://zotero.org/users/2265432/items/9FWZF2AM"],"uri":["http://zotero.org/users/2265432/items/9FWZF2AM"],"itemData":{"id":61,"type":"book","title":"Silencing the Sea: Secular Rhythms in Palestinian Poetry","publisher":"Stanford University Press","publisher-place":"Stanford, California","number-of-pages":"312","source":"Amazon.com","event-place":"Stanford, California","abstract":"Silencing the Sea follows Palestinian poets' debates about their craft as they traverse multiple and competing realities of secularism and religion, expulsion and occupation, art, politics, immortality, death, fame, and obscurity. Khaled Furani takes his reader down ancient roads and across military checkpoints to join the poets' worlds and engage with the rhythms of their lifelong journeys in Islamic and Arabic history, language, and verse. This excursion offers newfound understandings of how today's secular age goes far beyond doctrine, to inhabit our very senses, imbuing all that we see, hear, feel, and say.Poetry, the traditional repository of Arab history, has become the preeminent medium of Palestinian memory in exile. In probing poets' writings, this work investigates how struggles over poetic form can host larger struggles over authority, knowledge, language, and freedom. It reveals a very intimate and venerated world, entwining art, intellect, and politics, narrating previously untold stories of a highly stereotyped people.","ISBN":"978-0-8047-7646-2","shortTitle":"Silencing the Sea","language":"English","author":[{"family":"Furani","given":"Khaled"}],"issued":{"date-parts":[["2012",8,15]]}}}],"schema":"https://github.com/citation-style-language/schema/raw/master/csl-citation.json"}</w:instrText>
      </w:r>
      <w:r w:rsidRPr="009846E9">
        <w:rPr>
          <w:rFonts w:ascii="Times New Roman" w:hAnsi="Times New Roman" w:cs="Times New Roman"/>
          <w:sz w:val="22"/>
          <w:szCs w:val="22"/>
        </w:rPr>
        <w:fldChar w:fldCharType="end"/>
      </w:r>
      <w:r w:rsidRPr="009846E9">
        <w:rPr>
          <w:rFonts w:ascii="Times New Roman" w:hAnsi="Times New Roman" w:cs="Times New Roman"/>
          <w:sz w:val="22"/>
          <w:szCs w:val="22"/>
        </w:rPr>
        <w:t xml:space="preserve">Furani, </w:t>
      </w:r>
      <w:r w:rsidRPr="009846E9">
        <w:rPr>
          <w:rFonts w:ascii="Times New Roman" w:hAnsi="Times New Roman" w:cs="Times New Roman"/>
          <w:i/>
          <w:iCs/>
          <w:sz w:val="22"/>
          <w:szCs w:val="22"/>
        </w:rPr>
        <w:t>Silencing the Sea</w:t>
      </w:r>
      <w:r w:rsidRPr="009846E9">
        <w:rPr>
          <w:rFonts w:ascii="Times New Roman" w:hAnsi="Times New Roman" w:cs="Times New Roman"/>
          <w:iCs/>
          <w:sz w:val="22"/>
          <w:szCs w:val="22"/>
        </w:rPr>
        <w:t>,</w:t>
      </w:r>
      <w:r w:rsidRPr="009846E9">
        <w:rPr>
          <w:rFonts w:ascii="Times New Roman" w:hAnsi="Times New Roman" w:cs="Times New Roman"/>
          <w:i/>
          <w:iCs/>
          <w:sz w:val="22"/>
          <w:szCs w:val="22"/>
        </w:rPr>
        <w:t xml:space="preserve"> </w:t>
      </w:r>
      <w:r w:rsidRPr="009846E9">
        <w:rPr>
          <w:rFonts w:ascii="Times New Roman" w:hAnsi="Times New Roman" w:cs="Times New Roman"/>
          <w:sz w:val="22"/>
          <w:szCs w:val="22"/>
        </w:rPr>
        <w:t>40.</w:t>
      </w:r>
    </w:p>
  </w:footnote>
  <w:footnote w:id="27">
    <w:p w14:paraId="4A199939" w14:textId="77777777" w:rsidR="007F0D5D" w:rsidRPr="009846E9" w:rsidRDefault="007F0D5D" w:rsidP="007F0D5D">
      <w:pPr>
        <w:pStyle w:val="FootnoteText"/>
        <w:ind w:left="0" w:firstLine="0"/>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rPr>
        <w:t xml:space="preserve"> </w:t>
      </w:r>
      <w:r w:rsidRPr="009846E9">
        <w:rPr>
          <w:rFonts w:ascii="Times New Roman" w:hAnsi="Times New Roman" w:cs="Times New Roman"/>
          <w:sz w:val="22"/>
          <w:szCs w:val="22"/>
        </w:rPr>
        <w:t xml:space="preserve">Some poem excerpts and accounts of festivals events can be found in al-Khass, ‘Muʾtamar watani bi-lughat al-shiʿr.’ </w:t>
      </w:r>
    </w:p>
  </w:footnote>
  <w:footnote w:id="28">
    <w:p w14:paraId="53180755" w14:textId="77777777" w:rsidR="007F0D5D" w:rsidRPr="009846E9" w:rsidRDefault="007F0D5D" w:rsidP="007F0D5D">
      <w:pPr>
        <w:pStyle w:val="FootnoteText"/>
        <w:ind w:left="0" w:firstLine="0"/>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Fonts w:ascii="Times New Roman" w:hAnsi="Times New Roman" w:cs="Times New Roman"/>
          <w:sz w:val="22"/>
          <w:szCs w:val="22"/>
        </w:rPr>
        <w:t xml:space="preserve"> Darwish, ‘Al-shahid,’ 19-21.</w:t>
      </w:r>
    </w:p>
  </w:footnote>
  <w:footnote w:id="29">
    <w:p w14:paraId="5BDE29BC" w14:textId="77777777" w:rsidR="007F0D5D" w:rsidRPr="009846E9" w:rsidRDefault="007F0D5D" w:rsidP="007F0D5D">
      <w:pPr>
        <w:pStyle w:val="FootnoteText"/>
        <w:ind w:left="0" w:firstLine="0"/>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rPr>
        <w:t xml:space="preserve"> </w:t>
      </w:r>
      <w:r w:rsidRPr="009846E9">
        <w:rPr>
          <w:rFonts w:ascii="Times New Roman" w:hAnsi="Times New Roman" w:cs="Times New Roman"/>
          <w:sz w:val="22"/>
          <w:szCs w:val="22"/>
        </w:rPr>
        <w:fldChar w:fldCharType="begin"/>
      </w:r>
      <w:r w:rsidRPr="009846E9">
        <w:rPr>
          <w:rFonts w:ascii="Times New Roman" w:hAnsi="Times New Roman" w:cs="Times New Roman"/>
          <w:sz w:val="22"/>
          <w:szCs w:val="22"/>
        </w:rPr>
        <w:instrText>ADDIN ZOTERO_ITEM CSL_CITATION {"citationID":"9wckYerw","properties":{"formattedCitation":"Darwish.","plainCitation":"Darwish."},"citationItems":[{"id":31,"uris":["http://zotero.org/users/2265432/items/5AUES34Q"],"uri":["http://zotero.org/users/2265432/items/5AUES34Q"],"itemData":{"id":31,"type":"article-journal","title":"al-Shahid (The Martyr)","container-title":"al-Jadid","page":"19-21","volume":"5","issue":"7","author":[{"family":"Darwish","given":"Mahmud"}],"issued":{"date-parts":[["1958"]]}}}],"schema":"https://github.com/citation-style-language/schema/raw/master/csl-citation.json"}</w:instrText>
      </w:r>
      <w:r w:rsidRPr="009846E9">
        <w:rPr>
          <w:rFonts w:ascii="Times New Roman" w:hAnsi="Times New Roman" w:cs="Times New Roman"/>
          <w:sz w:val="22"/>
          <w:szCs w:val="22"/>
        </w:rPr>
        <w:fldChar w:fldCharType="end"/>
      </w:r>
      <w:r w:rsidRPr="009846E9">
        <w:rPr>
          <w:rFonts w:ascii="Times New Roman" w:hAnsi="Times New Roman" w:cs="Times New Roman"/>
          <w:sz w:val="22"/>
          <w:szCs w:val="22"/>
        </w:rPr>
        <w:t>Ibid.</w:t>
      </w:r>
    </w:p>
  </w:footnote>
  <w:footnote w:id="30">
    <w:p w14:paraId="74F3F3AD" w14:textId="77777777" w:rsidR="007F0D5D" w:rsidRPr="009846E9" w:rsidRDefault="007F0D5D" w:rsidP="007F0D5D">
      <w:pPr>
        <w:pStyle w:val="FootnoteText"/>
        <w:ind w:left="0" w:firstLine="0"/>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Fonts w:ascii="Times New Roman" w:hAnsi="Times New Roman" w:cs="Times New Roman"/>
          <w:sz w:val="22"/>
          <w:szCs w:val="22"/>
        </w:rPr>
        <w:t xml:space="preserve"> </w:t>
      </w:r>
      <w:r w:rsidRPr="009846E9">
        <w:rPr>
          <w:rFonts w:ascii="Times New Roman" w:hAnsi="Times New Roman" w:cs="Times New Roman"/>
          <w:sz w:val="22"/>
          <w:szCs w:val="22"/>
        </w:rPr>
        <w:fldChar w:fldCharType="begin"/>
      </w:r>
      <w:r w:rsidRPr="009846E9">
        <w:rPr>
          <w:rFonts w:ascii="Times New Roman" w:hAnsi="Times New Roman" w:cs="Times New Roman"/>
          <w:sz w:val="22"/>
          <w:szCs w:val="22"/>
        </w:rPr>
        <w:instrText>ADDIN ZOTERO_ITEM CSL_CITATION {"citationID":"rAap8s2W","properties":{"formattedCitation":"{\\rtf David Semah, \\uc0\\u8220{}Akhi Tawfiq (My Brother Tawfiq),\\uc0\\u8221{} \\i Al-Jadid\\i0{} 5, no. 7 (1958): 39\\uc0\\u8211{}41.}","plainCitation":"David Semah, “Akhi Tawfiq (My Brother Tawfiq),” Al-Jadid 5, no. 7 (1958): 39–41.","dontUpdate":true},"citationItems":[{"id":132,"uris":["http://zotero.org/users/2265432/items/K53R6EZH"],"uri":["http://zotero.org/users/2265432/items/K53R6EZH"],"itemData":{"id":132,"type":"article-journal","title":"Akhi Tawfiq (My Brother Tawfiq)","container-title":"al-Jadid","page":"39-41","volume":"5","issue":"7","author":[{"family":"Semah","given":"David"}],"issued":{"date-parts":[["1958"]]}}}],"schema":"https://github.com/citation-style-language/schema/raw/master/csl-citation.json"}</w:instrText>
      </w:r>
      <w:r w:rsidRPr="009846E9">
        <w:rPr>
          <w:rFonts w:ascii="Times New Roman" w:hAnsi="Times New Roman" w:cs="Times New Roman"/>
          <w:sz w:val="22"/>
          <w:szCs w:val="22"/>
        </w:rPr>
        <w:fldChar w:fldCharType="end"/>
      </w:r>
      <w:r w:rsidRPr="009846E9">
        <w:rPr>
          <w:rFonts w:ascii="Times New Roman" w:hAnsi="Times New Roman" w:cs="Times New Roman"/>
          <w:sz w:val="22"/>
          <w:szCs w:val="22"/>
        </w:rPr>
        <w:t>Semah, ‘Akhi tawfiq,’ 39-41.</w:t>
      </w:r>
    </w:p>
  </w:footnote>
  <w:footnote w:id="31">
    <w:p w14:paraId="4DD820A5" w14:textId="77777777" w:rsidR="007F0D5D" w:rsidRPr="009846E9" w:rsidRDefault="007F0D5D" w:rsidP="007F0D5D">
      <w:pPr>
        <w:pStyle w:val="FootnoteText"/>
        <w:ind w:left="0" w:firstLine="0"/>
        <w:rPr>
          <w:rFonts w:ascii="Times New Roman" w:hAnsi="Times New Roman" w:cs="Times New Roman"/>
          <w:sz w:val="22"/>
          <w:szCs w:val="22"/>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rPr>
        <w:t xml:space="preserve"> </w:t>
      </w:r>
      <w:r w:rsidRPr="009846E9">
        <w:rPr>
          <w:rFonts w:ascii="Times New Roman" w:hAnsi="Times New Roman" w:cs="Times New Roman"/>
          <w:sz w:val="22"/>
          <w:szCs w:val="22"/>
        </w:rPr>
        <w:fldChar w:fldCharType="begin"/>
      </w:r>
      <w:r w:rsidRPr="009846E9">
        <w:rPr>
          <w:rFonts w:ascii="Times New Roman" w:hAnsi="Times New Roman" w:cs="Times New Roman"/>
          <w:sz w:val="22"/>
          <w:szCs w:val="22"/>
        </w:rPr>
        <w:instrText>ADDIN ZOTERO_ITEM CSL_CITATION {"citationID":"YoAFUjS2","properties":{"formattedCitation":"Semah.","plainCitation":"Semah."},"citationItems":[{"id":132,"uris":["http://zotero.org/users/2265432/items/K53R6EZH"],"uri":["http://zotero.org/users/2265432/items/K53R6EZH"],"itemData":{"id":132,"type":"article-journal","title":"Akhi Tawfiq (My Brother Tawfiq)","container-title":"al-Jadid","page":"39-41","volume":"5","issue":"7","author":[{"family":"Semah","given":"David"}],"issued":{"date-parts":[["1958"]]}}}],"schema":"https://github.com/citation-style-language/schema/raw/master/csl-citation.json"}</w:instrText>
      </w:r>
      <w:r w:rsidRPr="009846E9">
        <w:rPr>
          <w:rFonts w:ascii="Times New Roman" w:hAnsi="Times New Roman" w:cs="Times New Roman"/>
          <w:sz w:val="22"/>
          <w:szCs w:val="22"/>
        </w:rPr>
        <w:fldChar w:fldCharType="end"/>
      </w:r>
      <w:r w:rsidRPr="009846E9">
        <w:rPr>
          <w:rFonts w:ascii="Times New Roman" w:hAnsi="Times New Roman" w:cs="Times New Roman"/>
          <w:sz w:val="22"/>
          <w:szCs w:val="22"/>
        </w:rPr>
        <w:t>Ibid.</w:t>
      </w:r>
    </w:p>
  </w:footnote>
  <w:footnote w:id="32">
    <w:p w14:paraId="776929E3" w14:textId="77777777" w:rsidR="007F0D5D" w:rsidRPr="009846E9" w:rsidRDefault="007F0D5D" w:rsidP="007F0D5D">
      <w:pPr>
        <w:pStyle w:val="FootnoteText"/>
        <w:ind w:left="0" w:firstLine="0"/>
        <w:rPr>
          <w:rFonts w:ascii="Times New Roman" w:hAnsi="Times New Roman" w:cs="Times New Roman"/>
          <w:sz w:val="22"/>
          <w:szCs w:val="22"/>
          <w:lang w:val="fr-FR"/>
        </w:rPr>
      </w:pPr>
      <w:r w:rsidRPr="009846E9">
        <w:rPr>
          <w:rStyle w:val="EndnoteCharacters"/>
          <w:rFonts w:ascii="Times New Roman" w:hAnsi="Times New Roman" w:cs="Times New Roman"/>
          <w:sz w:val="22"/>
          <w:szCs w:val="22"/>
        </w:rPr>
        <w:footnoteRef/>
      </w:r>
      <w:r w:rsidRPr="009846E9">
        <w:rPr>
          <w:rStyle w:val="EndnoteCharacters"/>
          <w:rFonts w:ascii="Times New Roman" w:hAnsi="Times New Roman" w:cs="Times New Roman"/>
          <w:sz w:val="22"/>
          <w:szCs w:val="22"/>
          <w:lang w:val="fr-FR"/>
        </w:rPr>
        <w:t xml:space="preserve"> </w:t>
      </w:r>
      <w:r w:rsidRPr="009846E9">
        <w:rPr>
          <w:rFonts w:ascii="Times New Roman" w:hAnsi="Times New Roman" w:cs="Times New Roman"/>
          <w:sz w:val="22"/>
          <w:szCs w:val="22"/>
          <w:lang w:val="fr-FR"/>
        </w:rPr>
        <w:t>Zayyad, ‘Hisad al-jamajim.’</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7"/>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0D5D"/>
    <w:rsid w:val="00174A9C"/>
    <w:rsid w:val="007F0D5D"/>
    <w:rsid w:val="00ED7211"/>
    <w:rsid w:val="00F7004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17EB6B"/>
  <w15:chartTrackingRefBased/>
  <w15:docId w15:val="{934B8159-2644-A540-BDB2-7843EDABDE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F0D5D"/>
    <w:rPr>
      <w:rFonts w:ascii="JaghbUni" w:eastAsia="SimSun" w:hAnsi="JaghbUni" w:cs="Lohit Devanagari"/>
      <w:kern w:val="2"/>
      <w:lang w:val="en-GB" w:eastAsia="zh-C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EndnoteCharacters">
    <w:name w:val="Endnote Characters"/>
    <w:uiPriority w:val="99"/>
    <w:qFormat/>
    <w:rsid w:val="007F0D5D"/>
    <w:rPr>
      <w:vertAlign w:val="superscript"/>
    </w:rPr>
  </w:style>
  <w:style w:type="paragraph" w:styleId="FootnoteText">
    <w:name w:val="footnote text"/>
    <w:aliases w:val="Schriftart: 9 pt,Schriftart: 10 pt,Schriftart: 8 pt,WB-Fußnotentext,fn,footnote text,Footnotes,Footnote ak,FoodNote,ft,Footnote text,Footnote,Footnote Text Char1 Char Char,Footnote Text Char1 Char,Reference,Fußnote,Char, Char"/>
    <w:basedOn w:val="Normal"/>
    <w:link w:val="FootnoteTextChar"/>
    <w:uiPriority w:val="99"/>
    <w:rsid w:val="007F0D5D"/>
    <w:pPr>
      <w:suppressLineNumbers/>
      <w:ind w:left="339" w:hanging="339"/>
    </w:pPr>
    <w:rPr>
      <w:sz w:val="20"/>
      <w:szCs w:val="20"/>
    </w:rPr>
  </w:style>
  <w:style w:type="character" w:customStyle="1" w:styleId="FootnoteTextChar">
    <w:name w:val="Footnote Text Char"/>
    <w:aliases w:val="Schriftart: 9 pt Char,Schriftart: 10 pt Char,Schriftart: 8 pt Char,WB-Fußnotentext Char,fn Char,footnote text Char,Footnotes Char,Footnote ak Char,FoodNote Char,ft Char,Footnote text Char,Footnote Char,Footnote Text Char1 Char Char1"/>
    <w:basedOn w:val="DefaultParagraphFont"/>
    <w:link w:val="FootnoteText"/>
    <w:uiPriority w:val="99"/>
    <w:qFormat/>
    <w:rsid w:val="007F0D5D"/>
    <w:rPr>
      <w:rFonts w:ascii="JaghbUni" w:eastAsia="SimSun" w:hAnsi="JaghbUni" w:cs="Lohit Devanagari"/>
      <w:kern w:val="2"/>
      <w:sz w:val="20"/>
      <w:szCs w:val="20"/>
      <w:lang w:val="en-GB"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26</Pages>
  <Words>6369</Words>
  <Characters>36307</Characters>
  <Application>Microsoft Office Word</Application>
  <DocSecurity>0</DocSecurity>
  <Lines>302</Lines>
  <Paragraphs>85</Paragraphs>
  <ScaleCrop>false</ScaleCrop>
  <Company/>
  <LinksUpToDate>false</LinksUpToDate>
  <CharactersWithSpaces>42591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Chana Morgenstern</dc:creator>
  <cp:keywords/>
  <dc:description/>
  <cp:lastModifiedBy>Chana Morgenstern</cp:lastModifiedBy>
  <cp:revision>1</cp:revision>
  <dcterms:created xsi:type="dcterms:W3CDTF">2020-02-06T16:15:00Z</dcterms:created>
  <dcterms:modified xsi:type="dcterms:W3CDTF">2020-02-06T16:16:00Z</dcterms:modified>
</cp:coreProperties>
</file>