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8D33A86" w14:textId="5DEAE4D5" w:rsidR="002A6D5D" w:rsidRPr="00EA1F22" w:rsidRDefault="002A6D5D" w:rsidP="009D0DF2">
      <w:pPr>
        <w:jc w:val="center"/>
        <w:rPr>
          <w:rFonts w:ascii="Times" w:hAnsi="Times"/>
          <w:b/>
          <w:sz w:val="24"/>
          <w:lang w:val="en-GB"/>
        </w:rPr>
      </w:pPr>
      <w:r w:rsidRPr="00EA1F22">
        <w:rPr>
          <w:rFonts w:ascii="Times" w:hAnsi="Times"/>
          <w:b/>
          <w:sz w:val="24"/>
          <w:lang w:val="en-GB"/>
        </w:rPr>
        <w:t>State Formation under International Supervision and the Construction of Hierarchies in National Membership: A Balkan Story</w:t>
      </w:r>
    </w:p>
    <w:p w14:paraId="17FAEAC1" w14:textId="77777777" w:rsidR="00BD57B9" w:rsidRPr="00EA1F22" w:rsidRDefault="00BD57B9" w:rsidP="00BD57B9">
      <w:pPr>
        <w:jc w:val="both"/>
        <w:rPr>
          <w:rFonts w:ascii="Times" w:hAnsi="Times"/>
          <w:b/>
          <w:sz w:val="24"/>
          <w:lang w:val="en-GB"/>
        </w:rPr>
      </w:pPr>
    </w:p>
    <w:p w14:paraId="0CB70719" w14:textId="6AB0B012" w:rsidR="00EA1F22" w:rsidRDefault="00EA1F22" w:rsidP="00EA1F22">
      <w:pPr>
        <w:jc w:val="center"/>
        <w:rPr>
          <w:rFonts w:ascii="Times" w:hAnsi="Times"/>
          <w:b/>
          <w:sz w:val="24"/>
          <w:lang w:val="en-GB"/>
        </w:rPr>
      </w:pPr>
      <w:r>
        <w:rPr>
          <w:rFonts w:ascii="Times" w:hAnsi="Times"/>
          <w:b/>
          <w:sz w:val="24"/>
          <w:lang w:val="en-GB"/>
        </w:rPr>
        <w:t xml:space="preserve">Dr </w:t>
      </w:r>
      <w:r w:rsidRPr="00EA1F22">
        <w:rPr>
          <w:rFonts w:ascii="Times" w:hAnsi="Times"/>
          <w:b/>
          <w:sz w:val="24"/>
          <w:lang w:val="en-GB"/>
        </w:rPr>
        <w:t>Maja Spanu,</w:t>
      </w:r>
      <w:r>
        <w:rPr>
          <w:rFonts w:ascii="Times" w:hAnsi="Times"/>
          <w:b/>
          <w:sz w:val="24"/>
          <w:lang w:val="en-GB"/>
        </w:rPr>
        <w:t xml:space="preserve"> University of Cambridge</w:t>
      </w:r>
    </w:p>
    <w:p w14:paraId="500F0146" w14:textId="6E0EA4D9" w:rsidR="00EA1F22" w:rsidRDefault="00D25583" w:rsidP="00EA1F22">
      <w:pPr>
        <w:jc w:val="center"/>
        <w:rPr>
          <w:rFonts w:ascii="Times" w:hAnsi="Times"/>
          <w:b/>
          <w:sz w:val="24"/>
          <w:lang w:val="en-GB"/>
        </w:rPr>
      </w:pPr>
      <w:hyperlink r:id="rId7" w:history="1">
        <w:r w:rsidR="00EA1F22" w:rsidRPr="00F95C30">
          <w:rPr>
            <w:rStyle w:val="Hyperlink"/>
            <w:rFonts w:ascii="Times" w:hAnsi="Times"/>
            <w:b/>
            <w:sz w:val="24"/>
            <w:lang w:val="en-GB"/>
          </w:rPr>
          <w:t>Ms2406@cam.ac.uk</w:t>
        </w:r>
      </w:hyperlink>
      <w:r w:rsidR="00EA1F22">
        <w:rPr>
          <w:rFonts w:ascii="Times" w:hAnsi="Times"/>
          <w:b/>
          <w:sz w:val="24"/>
          <w:lang w:val="en-GB"/>
        </w:rPr>
        <w:t xml:space="preserve"> </w:t>
      </w:r>
    </w:p>
    <w:p w14:paraId="42D70268" w14:textId="77777777" w:rsidR="00EA1F22" w:rsidRDefault="00EA1F22" w:rsidP="00EA1F22">
      <w:pPr>
        <w:jc w:val="center"/>
        <w:rPr>
          <w:rFonts w:ascii="Times" w:hAnsi="Times"/>
          <w:b/>
          <w:sz w:val="24"/>
          <w:lang w:val="en-GB"/>
        </w:rPr>
      </w:pPr>
    </w:p>
    <w:p w14:paraId="7416E573" w14:textId="77777777" w:rsidR="0008647B" w:rsidRDefault="0008647B" w:rsidP="0008647B">
      <w:pPr>
        <w:rPr>
          <w:rFonts w:ascii="Times" w:hAnsi="Times"/>
          <w:b/>
          <w:sz w:val="24"/>
          <w:lang w:val="en-GB"/>
        </w:rPr>
      </w:pPr>
    </w:p>
    <w:p w14:paraId="3C0D38F3" w14:textId="7AA2F545" w:rsidR="0008647B" w:rsidRPr="00324FAE" w:rsidRDefault="0008647B" w:rsidP="0008647B">
      <w:pPr>
        <w:rPr>
          <w:rFonts w:ascii="Times" w:hAnsi="Times"/>
          <w:sz w:val="24"/>
          <w:lang w:val="en-GB"/>
        </w:rPr>
      </w:pPr>
      <w:r w:rsidRPr="00324FAE">
        <w:rPr>
          <w:rFonts w:ascii="Times" w:hAnsi="Times"/>
          <w:b/>
          <w:sz w:val="24"/>
          <w:lang w:val="en-GB"/>
        </w:rPr>
        <w:t>Bio</w:t>
      </w:r>
      <w:r>
        <w:rPr>
          <w:rFonts w:ascii="Times" w:hAnsi="Times"/>
          <w:b/>
          <w:sz w:val="24"/>
          <w:lang w:val="en-GB"/>
        </w:rPr>
        <w:t>graphy -</w:t>
      </w:r>
      <w:r w:rsidRPr="00324FAE">
        <w:rPr>
          <w:rFonts w:ascii="Times" w:hAnsi="Times"/>
          <w:sz w:val="24"/>
          <w:lang w:val="en-GB"/>
        </w:rPr>
        <w:t xml:space="preserve"> Maja Spanu is a Junior Research Fellow in International Relations at the University of Cambridge</w:t>
      </w:r>
    </w:p>
    <w:p w14:paraId="5AEB224B" w14:textId="77777777" w:rsidR="0047292A" w:rsidRPr="00494ABB" w:rsidRDefault="0047292A" w:rsidP="00BD57B9">
      <w:pPr>
        <w:jc w:val="both"/>
        <w:rPr>
          <w:rFonts w:ascii="Times" w:hAnsi="Times"/>
          <w:sz w:val="24"/>
          <w:lang w:val="en-GB"/>
        </w:rPr>
      </w:pPr>
    </w:p>
    <w:p w14:paraId="100CAF01" w14:textId="0F1F3AA4" w:rsidR="00BD57B9" w:rsidRPr="00494ABB" w:rsidRDefault="00BD57B9" w:rsidP="00BD57B9">
      <w:pPr>
        <w:jc w:val="both"/>
        <w:rPr>
          <w:rFonts w:ascii="Times" w:hAnsi="Times"/>
          <w:sz w:val="24"/>
          <w:lang w:val="en-GB"/>
        </w:rPr>
      </w:pPr>
      <w:r w:rsidRPr="00494ABB">
        <w:rPr>
          <w:rFonts w:ascii="Times" w:hAnsi="Times"/>
          <w:b/>
          <w:sz w:val="24"/>
          <w:lang w:val="en-GB"/>
        </w:rPr>
        <w:t xml:space="preserve">Abstract </w:t>
      </w:r>
      <w:r w:rsidR="00C26B1C" w:rsidRPr="00494ABB">
        <w:rPr>
          <w:rFonts w:ascii="Times" w:hAnsi="Times"/>
          <w:b/>
          <w:sz w:val="24"/>
          <w:lang w:val="en-GB"/>
        </w:rPr>
        <w:t xml:space="preserve">– </w:t>
      </w:r>
      <w:r w:rsidR="00C26B1C" w:rsidRPr="00494ABB">
        <w:rPr>
          <w:rFonts w:ascii="Times" w:hAnsi="Times"/>
          <w:sz w:val="24"/>
          <w:lang w:val="en-GB"/>
        </w:rPr>
        <w:t xml:space="preserve">While territorial integrity is largely described as the norm in post-1945 </w:t>
      </w:r>
      <w:r w:rsidR="00CA5767" w:rsidRPr="00494ABB">
        <w:rPr>
          <w:rFonts w:ascii="Times" w:hAnsi="Times"/>
          <w:sz w:val="24"/>
          <w:lang w:val="en-GB"/>
        </w:rPr>
        <w:t xml:space="preserve">Western </w:t>
      </w:r>
      <w:r w:rsidR="00FB7AD8">
        <w:rPr>
          <w:rFonts w:ascii="Times" w:hAnsi="Times"/>
          <w:sz w:val="24"/>
          <w:lang w:val="en-GB"/>
        </w:rPr>
        <w:t>Europe, this article</w:t>
      </w:r>
      <w:r w:rsidR="00C26B1C" w:rsidRPr="00494ABB">
        <w:rPr>
          <w:rFonts w:ascii="Times" w:hAnsi="Times"/>
          <w:sz w:val="24"/>
          <w:lang w:val="en-GB"/>
        </w:rPr>
        <w:t xml:space="preserve"> shows that it is not one in twentieth century history. This article examines the post-World War I formation of the Kingdom of Yugoslavia at the Paris Peace Conference and the internationally supervised formation of the post-Yugoslav states in the 1990s. It argues that each time multinational entities dissolved and new states were formed in the name of self-determination, territorial rescaling had direct consequences for the status and rights of domestic populations leading to ethnic and citizenship stratification</w:t>
      </w:r>
      <w:r w:rsidR="00DF0B04" w:rsidRPr="00494ABB">
        <w:rPr>
          <w:rFonts w:ascii="Times" w:hAnsi="Times"/>
          <w:sz w:val="24"/>
          <w:lang w:val="en-GB"/>
        </w:rPr>
        <w:t>s</w:t>
      </w:r>
      <w:r w:rsidR="00C26B1C" w:rsidRPr="00494ABB">
        <w:rPr>
          <w:rFonts w:ascii="Times" w:hAnsi="Times"/>
          <w:sz w:val="24"/>
          <w:lang w:val="en-GB"/>
        </w:rPr>
        <w:t xml:space="preserve"> further supported by international supervisory regimes.</w:t>
      </w:r>
    </w:p>
    <w:p w14:paraId="50443192" w14:textId="77777777" w:rsidR="00462B62" w:rsidRPr="00494ABB" w:rsidRDefault="00462B62" w:rsidP="00BD57B9">
      <w:pPr>
        <w:jc w:val="both"/>
        <w:rPr>
          <w:rFonts w:ascii="Times" w:hAnsi="Times"/>
          <w:sz w:val="24"/>
          <w:lang w:val="en-GB"/>
        </w:rPr>
      </w:pPr>
    </w:p>
    <w:p w14:paraId="1622C82A" w14:textId="51586097" w:rsidR="0008647B" w:rsidRDefault="00462B62" w:rsidP="00462B62">
      <w:pPr>
        <w:ind w:right="362"/>
        <w:jc w:val="both"/>
        <w:outlineLvl w:val="0"/>
        <w:rPr>
          <w:rFonts w:ascii="Times" w:hAnsi="Times"/>
          <w:sz w:val="24"/>
          <w:lang w:val="en-GB"/>
        </w:rPr>
      </w:pPr>
      <w:r w:rsidRPr="00494ABB">
        <w:rPr>
          <w:rFonts w:ascii="Times" w:hAnsi="Times"/>
          <w:b/>
          <w:sz w:val="24"/>
          <w:lang w:val="en-GB"/>
        </w:rPr>
        <w:t>Keywords</w:t>
      </w:r>
      <w:r w:rsidR="0008647B">
        <w:rPr>
          <w:rFonts w:ascii="Times" w:hAnsi="Times"/>
          <w:sz w:val="24"/>
          <w:lang w:val="en-GB"/>
        </w:rPr>
        <w:t xml:space="preserve"> -</w:t>
      </w:r>
      <w:r w:rsidRPr="00494ABB">
        <w:rPr>
          <w:rFonts w:ascii="Times" w:hAnsi="Times"/>
          <w:sz w:val="24"/>
          <w:lang w:val="en-GB"/>
        </w:rPr>
        <w:t xml:space="preserve"> state formation, international supervision, national membership, Balkans, history</w:t>
      </w:r>
    </w:p>
    <w:p w14:paraId="0D74A109" w14:textId="77777777" w:rsidR="0008647B" w:rsidRPr="00324FAE" w:rsidRDefault="0008647B" w:rsidP="0008647B">
      <w:pPr>
        <w:rPr>
          <w:rFonts w:ascii="Times" w:hAnsi="Times"/>
          <w:b/>
          <w:sz w:val="24"/>
          <w:lang w:val="en-GB"/>
        </w:rPr>
      </w:pPr>
    </w:p>
    <w:p w14:paraId="4E52962F" w14:textId="062086FB" w:rsidR="0008647B" w:rsidRDefault="0008647B" w:rsidP="0008647B">
      <w:pPr>
        <w:jc w:val="both"/>
        <w:rPr>
          <w:rFonts w:ascii="Times" w:hAnsi="Times"/>
          <w:sz w:val="24"/>
          <w:lang w:val="en-GB"/>
        </w:rPr>
      </w:pPr>
      <w:r>
        <w:rPr>
          <w:rFonts w:ascii="Times" w:hAnsi="Times"/>
          <w:b/>
          <w:sz w:val="24"/>
          <w:lang w:val="en-GB"/>
        </w:rPr>
        <w:t>Acknowledgements -</w:t>
      </w:r>
      <w:r w:rsidRPr="00324FAE">
        <w:rPr>
          <w:rFonts w:ascii="Times" w:hAnsi="Times"/>
          <w:b/>
          <w:sz w:val="24"/>
          <w:lang w:val="en-GB"/>
        </w:rPr>
        <w:t xml:space="preserve"> </w:t>
      </w:r>
      <w:r w:rsidRPr="00324FAE">
        <w:rPr>
          <w:rFonts w:ascii="Times" w:hAnsi="Times"/>
          <w:sz w:val="24"/>
          <w:lang w:val="en-GB"/>
        </w:rPr>
        <w:t>I would like to thank the organisers of this Special Issue</w:t>
      </w:r>
      <w:r>
        <w:rPr>
          <w:rFonts w:ascii="Times" w:hAnsi="Times"/>
          <w:sz w:val="24"/>
          <w:lang w:val="en-GB"/>
        </w:rPr>
        <w:t xml:space="preserve">, the editors of </w:t>
      </w:r>
      <w:proofErr w:type="spellStart"/>
      <w:r w:rsidRPr="0090503C">
        <w:rPr>
          <w:rFonts w:ascii="Times" w:hAnsi="Times"/>
          <w:i/>
          <w:sz w:val="24"/>
          <w:lang w:val="en-GB"/>
        </w:rPr>
        <w:t>Ethnopolitics</w:t>
      </w:r>
      <w:proofErr w:type="spellEnd"/>
      <w:r>
        <w:rPr>
          <w:rFonts w:ascii="Times" w:hAnsi="Times"/>
          <w:sz w:val="24"/>
          <w:lang w:val="en-GB"/>
        </w:rPr>
        <w:t>, the anonymous reviewer</w:t>
      </w:r>
      <w:r w:rsidRPr="00324FAE">
        <w:rPr>
          <w:rFonts w:ascii="Times" w:hAnsi="Times"/>
          <w:sz w:val="24"/>
          <w:lang w:val="en-GB"/>
        </w:rPr>
        <w:t xml:space="preserve"> and the participants to the workshop related to this publication organised in Neuchâtel in December 2017 for their helpful comments. I also wish to thank Christian Reus-</w:t>
      </w:r>
      <w:proofErr w:type="spellStart"/>
      <w:r w:rsidRPr="00324FAE">
        <w:rPr>
          <w:rFonts w:ascii="Times" w:hAnsi="Times"/>
          <w:sz w:val="24"/>
          <w:lang w:val="en-GB"/>
        </w:rPr>
        <w:t>Sm</w:t>
      </w:r>
      <w:r>
        <w:rPr>
          <w:rFonts w:ascii="Times" w:hAnsi="Times"/>
          <w:sz w:val="24"/>
          <w:lang w:val="en-GB"/>
        </w:rPr>
        <w:t>it</w:t>
      </w:r>
      <w:proofErr w:type="spellEnd"/>
      <w:r>
        <w:rPr>
          <w:rFonts w:ascii="Times" w:hAnsi="Times"/>
          <w:sz w:val="24"/>
          <w:lang w:val="en-GB"/>
        </w:rPr>
        <w:t xml:space="preserve">, Jennifer Welsh, Eddie Keene, </w:t>
      </w:r>
      <w:r w:rsidRPr="00324FAE">
        <w:rPr>
          <w:rFonts w:ascii="Times" w:hAnsi="Times"/>
          <w:sz w:val="24"/>
          <w:lang w:val="en-GB"/>
        </w:rPr>
        <w:t>George Lawson</w:t>
      </w:r>
      <w:r>
        <w:rPr>
          <w:rFonts w:ascii="Times" w:hAnsi="Times"/>
          <w:sz w:val="24"/>
          <w:lang w:val="en-GB"/>
        </w:rPr>
        <w:t xml:space="preserve"> and Heather Rae</w:t>
      </w:r>
      <w:r w:rsidRPr="00324FAE">
        <w:rPr>
          <w:rFonts w:ascii="Times" w:hAnsi="Times"/>
          <w:sz w:val="24"/>
          <w:lang w:val="en-GB"/>
        </w:rPr>
        <w:t xml:space="preserve"> for earlier comm</w:t>
      </w:r>
      <w:r>
        <w:rPr>
          <w:rFonts w:ascii="Times" w:hAnsi="Times"/>
          <w:sz w:val="24"/>
          <w:lang w:val="en-GB"/>
        </w:rPr>
        <w:t>ents on parts of the argument</w:t>
      </w:r>
      <w:r w:rsidR="00D44E93">
        <w:rPr>
          <w:rFonts w:ascii="Times" w:hAnsi="Times"/>
          <w:sz w:val="24"/>
          <w:lang w:val="en-GB"/>
        </w:rPr>
        <w:t>.</w:t>
      </w:r>
    </w:p>
    <w:p w14:paraId="4F65BF9C" w14:textId="77777777" w:rsidR="0008647B" w:rsidRPr="00494ABB" w:rsidRDefault="0008647B" w:rsidP="00462B62">
      <w:pPr>
        <w:ind w:right="362"/>
        <w:jc w:val="both"/>
        <w:outlineLvl w:val="0"/>
        <w:rPr>
          <w:rFonts w:ascii="Times" w:hAnsi="Times"/>
          <w:sz w:val="24"/>
          <w:lang w:val="en-GB"/>
        </w:rPr>
      </w:pPr>
    </w:p>
    <w:p w14:paraId="0B6760D8" w14:textId="77777777" w:rsidR="00BD57B9" w:rsidRPr="00494ABB" w:rsidRDefault="00BD57B9" w:rsidP="00BD57B9">
      <w:pPr>
        <w:jc w:val="both"/>
        <w:rPr>
          <w:rFonts w:ascii="Times" w:hAnsi="Times"/>
          <w:sz w:val="24"/>
          <w:lang w:val="en-GB"/>
        </w:rPr>
      </w:pPr>
    </w:p>
    <w:p w14:paraId="7200B72D" w14:textId="7A257E33" w:rsidR="003D1DBC" w:rsidRPr="00494ABB" w:rsidRDefault="003D1DBC" w:rsidP="00BD57B9">
      <w:pPr>
        <w:jc w:val="both"/>
        <w:rPr>
          <w:rFonts w:ascii="Times" w:eastAsia="Times New Roman" w:hAnsi="Times"/>
          <w:b/>
          <w:sz w:val="24"/>
          <w:shd w:val="clear" w:color="auto" w:fill="FFFFFF"/>
          <w:lang w:val="en-GB"/>
        </w:rPr>
      </w:pPr>
      <w:r w:rsidRPr="00494ABB">
        <w:rPr>
          <w:rFonts w:ascii="Times" w:eastAsia="Times New Roman" w:hAnsi="Times"/>
          <w:b/>
          <w:sz w:val="24"/>
          <w:shd w:val="clear" w:color="auto" w:fill="FFFFFF"/>
          <w:lang w:val="en-GB"/>
        </w:rPr>
        <w:t>Introduction</w:t>
      </w:r>
    </w:p>
    <w:p w14:paraId="70639C74" w14:textId="77777777" w:rsidR="003D1DBC" w:rsidRPr="00494ABB" w:rsidRDefault="003D1DBC" w:rsidP="006E3F77">
      <w:pPr>
        <w:jc w:val="both"/>
        <w:rPr>
          <w:rFonts w:ascii="Times" w:eastAsia="Times New Roman" w:hAnsi="Times"/>
          <w:b/>
          <w:sz w:val="24"/>
          <w:shd w:val="clear" w:color="auto" w:fill="FFFFFF"/>
          <w:lang w:val="en-GB"/>
        </w:rPr>
      </w:pPr>
    </w:p>
    <w:p w14:paraId="7219E02C" w14:textId="208DA2D6" w:rsidR="00BD57B9" w:rsidRPr="00494ABB" w:rsidRDefault="00BD57B9" w:rsidP="00BD57B9">
      <w:pPr>
        <w:jc w:val="both"/>
        <w:rPr>
          <w:rFonts w:ascii="Times" w:hAnsi="Times"/>
          <w:sz w:val="24"/>
          <w:lang w:val="en-GB"/>
        </w:rPr>
      </w:pPr>
      <w:r w:rsidRPr="00494ABB">
        <w:rPr>
          <w:rFonts w:ascii="Times" w:hAnsi="Times"/>
          <w:sz w:val="24"/>
          <w:lang w:val="en-GB"/>
        </w:rPr>
        <w:t>The question of territorial rescaling and its consequences for the status and rights of populations has gained traction in c</w:t>
      </w:r>
      <w:r w:rsidR="0047292A" w:rsidRPr="00494ABB">
        <w:rPr>
          <w:rFonts w:ascii="Times" w:hAnsi="Times"/>
          <w:sz w:val="24"/>
          <w:lang w:val="en-GB"/>
        </w:rPr>
        <w:t>urrent public European debate</w:t>
      </w:r>
      <w:r w:rsidRPr="00494ABB">
        <w:rPr>
          <w:rFonts w:ascii="Times" w:hAnsi="Times"/>
          <w:sz w:val="24"/>
          <w:lang w:val="en-GB"/>
        </w:rPr>
        <w:t xml:space="preserve">. Whether </w:t>
      </w:r>
      <w:r w:rsidR="00DF0B04" w:rsidRPr="00494ABB">
        <w:rPr>
          <w:rFonts w:ascii="Times" w:hAnsi="Times"/>
          <w:sz w:val="24"/>
          <w:lang w:val="en-GB"/>
        </w:rPr>
        <w:t>in relation to the Crimean crisis, to</w:t>
      </w:r>
      <w:r w:rsidRPr="00494ABB">
        <w:rPr>
          <w:rFonts w:ascii="Times" w:hAnsi="Times"/>
          <w:sz w:val="24"/>
          <w:lang w:val="en-GB"/>
        </w:rPr>
        <w:t xml:space="preserve"> the decision of British citizens to leave the Europ</w:t>
      </w:r>
      <w:r w:rsidR="00DF0B04" w:rsidRPr="00494ABB">
        <w:rPr>
          <w:rFonts w:ascii="Times" w:hAnsi="Times"/>
          <w:sz w:val="24"/>
          <w:lang w:val="en-GB"/>
        </w:rPr>
        <w:t>ean Union</w:t>
      </w:r>
      <w:r w:rsidR="005D44F7" w:rsidRPr="00494ABB">
        <w:rPr>
          <w:rFonts w:ascii="Times" w:hAnsi="Times"/>
          <w:sz w:val="24"/>
          <w:lang w:val="en-GB"/>
        </w:rPr>
        <w:t xml:space="preserve"> (EU)</w:t>
      </w:r>
      <w:r w:rsidR="00DF0B04" w:rsidRPr="00494ABB">
        <w:rPr>
          <w:rFonts w:ascii="Times" w:hAnsi="Times"/>
          <w:sz w:val="24"/>
          <w:lang w:val="en-GB"/>
        </w:rPr>
        <w:t>, or to the referenda for</w:t>
      </w:r>
      <w:r w:rsidRPr="00494ABB">
        <w:rPr>
          <w:rFonts w:ascii="Times" w:hAnsi="Times"/>
          <w:sz w:val="24"/>
          <w:lang w:val="en-GB"/>
        </w:rPr>
        <w:t xml:space="preserve"> self-determination in Scotland, Catalonia and New Caledonia, territorial rescaling </w:t>
      </w:r>
      <w:r w:rsidR="00DF0B04" w:rsidRPr="00494ABB">
        <w:rPr>
          <w:rFonts w:ascii="Times" w:hAnsi="Times"/>
          <w:sz w:val="24"/>
          <w:lang w:val="en-GB"/>
        </w:rPr>
        <w:t>is</w:t>
      </w:r>
      <w:r w:rsidRPr="00494ABB">
        <w:rPr>
          <w:rFonts w:ascii="Times" w:hAnsi="Times"/>
          <w:sz w:val="24"/>
          <w:lang w:val="en-GB"/>
        </w:rPr>
        <w:t xml:space="preserve"> largely presented as</w:t>
      </w:r>
      <w:r w:rsidR="00DF0B04" w:rsidRPr="00494ABB">
        <w:rPr>
          <w:rFonts w:ascii="Times" w:hAnsi="Times"/>
          <w:sz w:val="24"/>
          <w:lang w:val="en-GB"/>
        </w:rPr>
        <w:t xml:space="preserve"> an unsettling phenomenon for European order. </w:t>
      </w:r>
      <w:r w:rsidR="005D44F7" w:rsidRPr="00494ABB">
        <w:rPr>
          <w:rFonts w:ascii="Times" w:hAnsi="Times"/>
          <w:sz w:val="24"/>
          <w:lang w:val="en-GB"/>
        </w:rPr>
        <w:t>While reasons behind each case may be old, their potential for destabilisation is</w:t>
      </w:r>
      <w:r w:rsidR="000769CB" w:rsidRPr="00494ABB">
        <w:rPr>
          <w:rFonts w:ascii="Times" w:hAnsi="Times"/>
          <w:sz w:val="24"/>
          <w:lang w:val="en-GB"/>
        </w:rPr>
        <w:t xml:space="preserve"> supposedly</w:t>
      </w:r>
      <w:r w:rsidR="005D44F7" w:rsidRPr="00494ABB">
        <w:rPr>
          <w:rFonts w:ascii="Times" w:hAnsi="Times"/>
          <w:sz w:val="24"/>
          <w:lang w:val="en-GB"/>
        </w:rPr>
        <w:t xml:space="preserve">, for the EU, novel. </w:t>
      </w:r>
      <w:r w:rsidRPr="00494ABB">
        <w:rPr>
          <w:rFonts w:ascii="Times" w:hAnsi="Times"/>
          <w:sz w:val="24"/>
          <w:lang w:val="en-GB"/>
        </w:rPr>
        <w:t xml:space="preserve">However, in the broader history of Europe territorial integrity has rarely been the norm. The point has been made since the early 1990s that, be this for strategic reasons or ahistorical </w:t>
      </w:r>
      <w:r w:rsidR="000769CB" w:rsidRPr="00494ABB">
        <w:rPr>
          <w:rFonts w:ascii="Times" w:hAnsi="Times"/>
          <w:sz w:val="24"/>
          <w:lang w:val="en-GB"/>
        </w:rPr>
        <w:t>view</w:t>
      </w:r>
      <w:r w:rsidRPr="00494ABB">
        <w:rPr>
          <w:rFonts w:ascii="Times" w:hAnsi="Times"/>
          <w:sz w:val="24"/>
          <w:lang w:val="en-GB"/>
        </w:rPr>
        <w:t xml:space="preserve">s, practitioners and scholars across politics and International Relations have participated in constructing the ‘myth’ that states have been there as compact wholes (Walker, 1993; Agnew, 1994). Yet, this is rather a recent historical parenthesis, that of the post-World War II reality in Western Europe. Internationally, the formation of a multitude of post-imperial states following the end of colonial rule from the 1960s showed that despite </w:t>
      </w:r>
      <w:r w:rsidR="000769CB" w:rsidRPr="00494ABB">
        <w:rPr>
          <w:rFonts w:ascii="Times" w:hAnsi="Times"/>
          <w:sz w:val="24"/>
          <w:lang w:val="en-GB"/>
        </w:rPr>
        <w:t>initial hopes</w:t>
      </w:r>
      <w:r w:rsidR="00165720" w:rsidRPr="00494ABB">
        <w:rPr>
          <w:rFonts w:ascii="Times" w:hAnsi="Times"/>
          <w:sz w:val="24"/>
          <w:lang w:val="en-GB"/>
        </w:rPr>
        <w:t xml:space="preserve"> for recognition and equality (Reus-</w:t>
      </w:r>
      <w:proofErr w:type="spellStart"/>
      <w:r w:rsidR="00165720" w:rsidRPr="00494ABB">
        <w:rPr>
          <w:rFonts w:ascii="Times" w:hAnsi="Times"/>
          <w:sz w:val="24"/>
          <w:lang w:val="en-GB"/>
        </w:rPr>
        <w:t>Smit</w:t>
      </w:r>
      <w:proofErr w:type="spellEnd"/>
      <w:r w:rsidR="00165720" w:rsidRPr="00494ABB">
        <w:rPr>
          <w:rFonts w:ascii="Times" w:hAnsi="Times"/>
          <w:sz w:val="24"/>
          <w:lang w:val="en-GB"/>
        </w:rPr>
        <w:t>, 2013: Chapter 5)</w:t>
      </w:r>
      <w:r w:rsidRPr="00494ABB">
        <w:rPr>
          <w:rFonts w:ascii="Times" w:hAnsi="Times"/>
          <w:sz w:val="24"/>
          <w:lang w:val="en-GB"/>
        </w:rPr>
        <w:t>, the legitimacy of the new states and their borders would be regularly contested</w:t>
      </w:r>
      <w:r w:rsidR="000769CB" w:rsidRPr="00494ABB">
        <w:rPr>
          <w:rFonts w:ascii="Times" w:hAnsi="Times"/>
          <w:sz w:val="24"/>
          <w:lang w:val="en-GB"/>
        </w:rPr>
        <w:t xml:space="preserve"> both externally and internally</w:t>
      </w:r>
      <w:r w:rsidRPr="00494ABB">
        <w:rPr>
          <w:rFonts w:ascii="Times" w:hAnsi="Times"/>
          <w:sz w:val="24"/>
          <w:lang w:val="en-GB"/>
        </w:rPr>
        <w:t xml:space="preserve"> – </w:t>
      </w:r>
      <w:r w:rsidR="000769CB" w:rsidRPr="00494ABB">
        <w:rPr>
          <w:rFonts w:ascii="Times" w:hAnsi="Times"/>
          <w:sz w:val="24"/>
          <w:lang w:val="en-GB"/>
        </w:rPr>
        <w:t xml:space="preserve">the 1960s </w:t>
      </w:r>
      <w:r w:rsidRPr="00494ABB">
        <w:rPr>
          <w:rFonts w:ascii="Times" w:hAnsi="Times"/>
          <w:sz w:val="24"/>
          <w:lang w:val="en-GB"/>
        </w:rPr>
        <w:t xml:space="preserve">Congo and Nigeria </w:t>
      </w:r>
      <w:r w:rsidR="000769CB" w:rsidRPr="00494ABB">
        <w:rPr>
          <w:rFonts w:ascii="Times" w:hAnsi="Times"/>
          <w:sz w:val="24"/>
          <w:lang w:val="en-GB"/>
        </w:rPr>
        <w:t>crises</w:t>
      </w:r>
      <w:r w:rsidRPr="00494ABB">
        <w:rPr>
          <w:rFonts w:ascii="Times" w:hAnsi="Times"/>
          <w:sz w:val="24"/>
          <w:lang w:val="en-GB"/>
        </w:rPr>
        <w:t xml:space="preserve"> being early cases in point (</w:t>
      </w:r>
      <w:proofErr w:type="spellStart"/>
      <w:r w:rsidR="000769CB" w:rsidRPr="00494ABB">
        <w:rPr>
          <w:rFonts w:ascii="Times" w:hAnsi="Times"/>
          <w:sz w:val="24"/>
          <w:lang w:val="en-GB"/>
        </w:rPr>
        <w:t>Rafiqul</w:t>
      </w:r>
      <w:proofErr w:type="spellEnd"/>
      <w:r w:rsidR="000769CB" w:rsidRPr="00494ABB">
        <w:rPr>
          <w:rFonts w:ascii="Times" w:hAnsi="Times"/>
          <w:sz w:val="24"/>
          <w:lang w:val="en-GB"/>
        </w:rPr>
        <w:t xml:space="preserve"> Islam, 1985</w:t>
      </w:r>
      <w:r w:rsidRPr="00494ABB">
        <w:rPr>
          <w:rFonts w:ascii="Times" w:hAnsi="Times"/>
          <w:sz w:val="24"/>
          <w:lang w:val="en-GB"/>
        </w:rPr>
        <w:t>). In Europe more specifically, though often cast as phenomena at the ‘borderlands’ of the continent, the dissolution of imperial and multinational orders first after World War I, then in the 1990s, led to the constitution of numerous states which borders and citizenries are to this day regularly disputed. While territorial rescaling may be a novelty in the short life of the European Union, it is certainly not one in European twentieth century history.</w:t>
      </w:r>
    </w:p>
    <w:p w14:paraId="65B9D9D7" w14:textId="083921EF" w:rsidR="00BD57B9" w:rsidRPr="00494ABB" w:rsidRDefault="002245A8" w:rsidP="002245A8">
      <w:pPr>
        <w:ind w:firstLine="720"/>
        <w:jc w:val="both"/>
        <w:rPr>
          <w:rFonts w:ascii="Times" w:hAnsi="Times"/>
          <w:sz w:val="24"/>
          <w:lang w:val="en-GB"/>
        </w:rPr>
      </w:pPr>
      <w:r w:rsidRPr="00494ABB">
        <w:rPr>
          <w:rFonts w:ascii="Times" w:hAnsi="Times"/>
          <w:sz w:val="24"/>
          <w:lang w:val="en-GB"/>
        </w:rPr>
        <w:t>Across International Relations, legal and political theory, literature on state formation and self-determination regularly acknowledges historical developments (</w:t>
      </w:r>
      <w:proofErr w:type="spellStart"/>
      <w:r w:rsidRPr="00494ABB">
        <w:rPr>
          <w:rFonts w:ascii="Times" w:hAnsi="Times"/>
          <w:sz w:val="24"/>
          <w:lang w:val="en-GB"/>
        </w:rPr>
        <w:t>Mayall</w:t>
      </w:r>
      <w:proofErr w:type="spellEnd"/>
      <w:r w:rsidRPr="00494ABB">
        <w:rPr>
          <w:rFonts w:ascii="Times" w:hAnsi="Times"/>
          <w:sz w:val="24"/>
          <w:lang w:val="en-GB"/>
        </w:rPr>
        <w:t xml:space="preserve"> 1990; Cassese 1995; </w:t>
      </w:r>
      <w:proofErr w:type="spellStart"/>
      <w:r w:rsidRPr="00494ABB">
        <w:rPr>
          <w:rFonts w:ascii="Times" w:hAnsi="Times"/>
          <w:sz w:val="24"/>
          <w:lang w:val="en-GB"/>
        </w:rPr>
        <w:t>Hannum</w:t>
      </w:r>
      <w:proofErr w:type="spellEnd"/>
      <w:r w:rsidRPr="00494ABB">
        <w:rPr>
          <w:rFonts w:ascii="Times" w:hAnsi="Times"/>
          <w:sz w:val="24"/>
          <w:lang w:val="en-GB"/>
        </w:rPr>
        <w:t xml:space="preserve"> 1996; </w:t>
      </w:r>
      <w:proofErr w:type="spellStart"/>
      <w:r w:rsidRPr="00494ABB">
        <w:rPr>
          <w:rFonts w:ascii="Times" w:hAnsi="Times"/>
          <w:sz w:val="24"/>
          <w:lang w:val="en-GB"/>
        </w:rPr>
        <w:t>Macedo</w:t>
      </w:r>
      <w:proofErr w:type="spellEnd"/>
      <w:r w:rsidRPr="00494ABB">
        <w:rPr>
          <w:rFonts w:ascii="Times" w:hAnsi="Times"/>
          <w:sz w:val="24"/>
          <w:lang w:val="en-GB"/>
        </w:rPr>
        <w:t xml:space="preserve"> 2003; Buchanan 2004; Rae </w:t>
      </w:r>
      <w:r w:rsidRPr="00494ABB">
        <w:rPr>
          <w:rFonts w:ascii="Times" w:hAnsi="Times"/>
          <w:sz w:val="24"/>
          <w:lang w:val="en-GB"/>
        </w:rPr>
        <w:lastRenderedPageBreak/>
        <w:t xml:space="preserve">2002; </w:t>
      </w:r>
      <w:proofErr w:type="spellStart"/>
      <w:r w:rsidRPr="00494ABB">
        <w:rPr>
          <w:rFonts w:ascii="Times" w:hAnsi="Times"/>
          <w:sz w:val="24"/>
          <w:lang w:val="en-GB"/>
        </w:rPr>
        <w:t>Coppieters</w:t>
      </w:r>
      <w:proofErr w:type="spellEnd"/>
      <w:r w:rsidRPr="00494ABB">
        <w:rPr>
          <w:rFonts w:ascii="Times" w:hAnsi="Times"/>
          <w:sz w:val="24"/>
          <w:lang w:val="en-GB"/>
        </w:rPr>
        <w:t xml:space="preserve"> &amp; </w:t>
      </w:r>
      <w:proofErr w:type="spellStart"/>
      <w:r w:rsidRPr="00494ABB">
        <w:rPr>
          <w:rFonts w:ascii="Times" w:hAnsi="Times"/>
          <w:sz w:val="24"/>
          <w:lang w:val="en-GB"/>
        </w:rPr>
        <w:t>Sakwa</w:t>
      </w:r>
      <w:proofErr w:type="spellEnd"/>
      <w:r w:rsidRPr="00494ABB">
        <w:rPr>
          <w:rFonts w:ascii="Times" w:hAnsi="Times"/>
          <w:sz w:val="24"/>
          <w:lang w:val="en-GB"/>
        </w:rPr>
        <w:t xml:space="preserve"> 2005). Adding to this scholarship, this article engages with past domestic and international practices in contexts of state formation and how these connect to more recent debates. </w:t>
      </w:r>
      <w:r w:rsidR="00BD57B9" w:rsidRPr="00494ABB">
        <w:rPr>
          <w:rFonts w:ascii="Times" w:hAnsi="Times"/>
          <w:sz w:val="24"/>
          <w:lang w:val="en-GB"/>
        </w:rPr>
        <w:t>Every time multinational entities dissolved – be these empires or federations - and self-determination claims were realised, domestic and international actors have been faced with delineating the borders of new states and their national communities. This article argues that territorial rescaling following the breakup of multinational entities has had, each time, direct consequences for domestic populations leading to ethnic and membership stratifications in new states’ allocation of status and rights. Domestic stratifications have taken different forms and have been institutionalised to different degrees but they have largely followed pre-existing identification</w:t>
      </w:r>
      <w:r w:rsidR="0070764D">
        <w:rPr>
          <w:rFonts w:ascii="Times" w:hAnsi="Times"/>
          <w:sz w:val="24"/>
          <w:lang w:val="en-GB"/>
        </w:rPr>
        <w:t xml:space="preserve"> categories</w:t>
      </w:r>
      <w:r w:rsidR="00BD57B9" w:rsidRPr="00494ABB">
        <w:rPr>
          <w:rFonts w:ascii="Times" w:hAnsi="Times"/>
          <w:sz w:val="24"/>
          <w:lang w:val="en-GB"/>
        </w:rPr>
        <w:t xml:space="preserve"> developed through multinational politics of recognition. Each time, these inherited categories available to national political élites have been integrated within international supervisory regimes yet leading to the unequal recognition of population groups, and of some of their claims, over others. </w:t>
      </w:r>
      <w:r w:rsidR="00804E4C" w:rsidRPr="00494ABB">
        <w:rPr>
          <w:rFonts w:ascii="Times" w:hAnsi="Times"/>
          <w:sz w:val="24"/>
          <w:lang w:val="en-GB"/>
        </w:rPr>
        <w:t>I</w:t>
      </w:r>
      <w:r w:rsidR="00BD57B9" w:rsidRPr="00494ABB">
        <w:rPr>
          <w:rFonts w:ascii="Times" w:hAnsi="Times"/>
          <w:sz w:val="24"/>
          <w:lang w:val="en-GB"/>
        </w:rPr>
        <w:t xml:space="preserve">nternational actors and institutions have regularly facilitated the presence of hierarchies in </w:t>
      </w:r>
      <w:r w:rsidR="007D114C">
        <w:rPr>
          <w:rFonts w:ascii="Times" w:hAnsi="Times"/>
          <w:sz w:val="24"/>
          <w:lang w:val="en-GB"/>
        </w:rPr>
        <w:t xml:space="preserve">new states’ </w:t>
      </w:r>
      <w:r w:rsidR="00BD57B9" w:rsidRPr="00494ABB">
        <w:rPr>
          <w:rFonts w:ascii="Times" w:hAnsi="Times"/>
          <w:sz w:val="24"/>
          <w:lang w:val="en-GB"/>
        </w:rPr>
        <w:t xml:space="preserve">membership regimes. </w:t>
      </w:r>
    </w:p>
    <w:p w14:paraId="25E6EFA3" w14:textId="2F37FE04" w:rsidR="00BD57B9" w:rsidRPr="00494ABB" w:rsidRDefault="00416D07" w:rsidP="00665020">
      <w:pPr>
        <w:ind w:firstLine="720"/>
        <w:jc w:val="both"/>
        <w:rPr>
          <w:rFonts w:ascii="Times" w:hAnsi="Times"/>
          <w:sz w:val="24"/>
          <w:lang w:val="en-GB"/>
        </w:rPr>
      </w:pPr>
      <w:r w:rsidRPr="00494ABB">
        <w:rPr>
          <w:rFonts w:ascii="Times" w:hAnsi="Times"/>
          <w:sz w:val="24"/>
          <w:lang w:val="en-GB"/>
        </w:rPr>
        <w:t xml:space="preserve">The overarching argument of this </w:t>
      </w:r>
      <w:r w:rsidR="0070354E" w:rsidRPr="00494ABB">
        <w:rPr>
          <w:rFonts w:ascii="Times" w:hAnsi="Times"/>
          <w:sz w:val="24"/>
          <w:lang w:val="en-GB"/>
        </w:rPr>
        <w:t xml:space="preserve">article </w:t>
      </w:r>
      <w:r w:rsidR="00BD57B9" w:rsidRPr="00494ABB">
        <w:rPr>
          <w:rFonts w:ascii="Times" w:hAnsi="Times"/>
          <w:sz w:val="24"/>
          <w:lang w:val="en-GB"/>
        </w:rPr>
        <w:t xml:space="preserve">is supported through the examination of two cases of state formation in twentieth century European history: the creation of the Kingdom of Yugoslavia following the break-up of the Austro-Hungarian and Ottoman Empires with World War I, and the creation of new states following the dissolution of Yugoslavia in the 1990s. In both cases self-determination has been invoked as the basis for territorial rescaling. </w:t>
      </w:r>
      <w:r w:rsidR="00665020" w:rsidRPr="00494ABB">
        <w:rPr>
          <w:rFonts w:ascii="Times" w:hAnsi="Times"/>
          <w:sz w:val="24"/>
          <w:lang w:val="en-GB"/>
        </w:rPr>
        <w:t>D</w:t>
      </w:r>
      <w:r w:rsidR="00BD57B9" w:rsidRPr="00494ABB">
        <w:rPr>
          <w:rFonts w:ascii="Times" w:hAnsi="Times"/>
          <w:sz w:val="24"/>
          <w:lang w:val="en-GB"/>
        </w:rPr>
        <w:t>omestic claims of self-determination have been</w:t>
      </w:r>
      <w:r w:rsidR="00665020" w:rsidRPr="00494ABB">
        <w:rPr>
          <w:rFonts w:ascii="Times" w:hAnsi="Times"/>
          <w:sz w:val="24"/>
          <w:lang w:val="en-GB"/>
        </w:rPr>
        <w:t>, moreover,</w:t>
      </w:r>
      <w:r w:rsidR="00BD57B9" w:rsidRPr="00494ABB">
        <w:rPr>
          <w:rFonts w:ascii="Times" w:hAnsi="Times"/>
          <w:sz w:val="24"/>
          <w:lang w:val="en-GB"/>
        </w:rPr>
        <w:t xml:space="preserve"> accompanied by</w:t>
      </w:r>
      <w:r w:rsidR="00665020" w:rsidRPr="00494ABB">
        <w:rPr>
          <w:rFonts w:ascii="Times" w:hAnsi="Times"/>
          <w:sz w:val="24"/>
          <w:lang w:val="en-GB"/>
        </w:rPr>
        <w:t xml:space="preserve"> ambivalent</w:t>
      </w:r>
      <w:r w:rsidR="00BD57B9" w:rsidRPr="00494ABB">
        <w:rPr>
          <w:rFonts w:ascii="Times" w:hAnsi="Times"/>
          <w:sz w:val="24"/>
          <w:lang w:val="en-GB"/>
        </w:rPr>
        <w:t xml:space="preserve"> international interference in the delineation of new states</w:t>
      </w:r>
      <w:r w:rsidR="00665020" w:rsidRPr="00494ABB">
        <w:rPr>
          <w:rFonts w:ascii="Times" w:hAnsi="Times"/>
          <w:sz w:val="24"/>
          <w:lang w:val="en-GB"/>
        </w:rPr>
        <w:t>’ borders</w:t>
      </w:r>
      <w:r w:rsidR="00BD57B9" w:rsidRPr="00494ABB">
        <w:rPr>
          <w:rFonts w:ascii="Times" w:hAnsi="Times"/>
          <w:sz w:val="24"/>
          <w:lang w:val="en-GB"/>
        </w:rPr>
        <w:t xml:space="preserve"> and in the delimitation of their national communities. In 1919 this happens through the so-called Minority Treaties that the Allies and Associated Powers winners of the war establish at the Paris Peace Conference for post-imperial states. These treaties define the terms of allocation of citizenship status and rights whilst addressing the recognition of </w:t>
      </w:r>
      <w:r w:rsidR="00665020" w:rsidRPr="00494ABB">
        <w:rPr>
          <w:rFonts w:ascii="Times" w:hAnsi="Times"/>
          <w:sz w:val="24"/>
          <w:lang w:val="en-GB"/>
        </w:rPr>
        <w:t>only some</w:t>
      </w:r>
      <w:r w:rsidR="00887779">
        <w:rPr>
          <w:rFonts w:ascii="Times" w:hAnsi="Times"/>
          <w:sz w:val="24"/>
          <w:lang w:val="en-GB"/>
        </w:rPr>
        <w:t xml:space="preserve"> minoritie</w:t>
      </w:r>
      <w:r w:rsidR="00BD57B9" w:rsidRPr="00494ABB">
        <w:rPr>
          <w:rFonts w:ascii="Times" w:hAnsi="Times"/>
          <w:sz w:val="24"/>
          <w:lang w:val="en-GB"/>
        </w:rPr>
        <w:t>s. In the 1990s, the</w:t>
      </w:r>
      <w:r w:rsidR="0070354E" w:rsidRPr="00494ABB">
        <w:rPr>
          <w:rFonts w:ascii="Times" w:hAnsi="Times"/>
          <w:sz w:val="24"/>
          <w:lang w:val="en-GB"/>
        </w:rPr>
        <w:t xml:space="preserve"> European Community (EC) decides</w:t>
      </w:r>
      <w:r w:rsidR="00BD57B9" w:rsidRPr="00494ABB">
        <w:rPr>
          <w:rFonts w:ascii="Times" w:hAnsi="Times"/>
          <w:sz w:val="24"/>
          <w:lang w:val="en-GB"/>
        </w:rPr>
        <w:t xml:space="preserve"> to create a special arbitration commission to settle disputes over self-determination claims accompanying the dissolution of Yugoslavia, best known as the </w:t>
      </w:r>
      <w:proofErr w:type="spellStart"/>
      <w:r w:rsidR="00BD57B9" w:rsidRPr="00494ABB">
        <w:rPr>
          <w:rFonts w:ascii="Times" w:hAnsi="Times"/>
          <w:sz w:val="24"/>
          <w:lang w:val="en-GB"/>
        </w:rPr>
        <w:t>Badinter</w:t>
      </w:r>
      <w:proofErr w:type="spellEnd"/>
      <w:r w:rsidR="00BD57B9" w:rsidRPr="00494ABB">
        <w:rPr>
          <w:rFonts w:ascii="Times" w:hAnsi="Times"/>
          <w:sz w:val="24"/>
          <w:lang w:val="en-GB"/>
        </w:rPr>
        <w:t xml:space="preserve"> Committee. </w:t>
      </w:r>
      <w:r w:rsidR="00665020" w:rsidRPr="00494ABB">
        <w:rPr>
          <w:rFonts w:ascii="Times" w:hAnsi="Times"/>
          <w:sz w:val="24"/>
          <w:lang w:val="en-GB"/>
        </w:rPr>
        <w:t xml:space="preserve">Much criticised for its differed recognition of some </w:t>
      </w:r>
      <w:r w:rsidR="00887779">
        <w:rPr>
          <w:rFonts w:ascii="Times" w:hAnsi="Times"/>
          <w:sz w:val="24"/>
          <w:lang w:val="en-GB"/>
        </w:rPr>
        <w:t xml:space="preserve">new </w:t>
      </w:r>
      <w:r w:rsidR="00665020" w:rsidRPr="00494ABB">
        <w:rPr>
          <w:rFonts w:ascii="Times" w:hAnsi="Times"/>
          <w:sz w:val="24"/>
          <w:lang w:val="en-GB"/>
        </w:rPr>
        <w:t>states over others, in time</w:t>
      </w:r>
      <w:r w:rsidR="00BD57B9" w:rsidRPr="00494ABB">
        <w:rPr>
          <w:rFonts w:ascii="Times" w:hAnsi="Times"/>
          <w:sz w:val="24"/>
          <w:lang w:val="en-GB"/>
        </w:rPr>
        <w:t xml:space="preserve"> the arrangements that the </w:t>
      </w:r>
      <w:proofErr w:type="spellStart"/>
      <w:r w:rsidR="00BD57B9" w:rsidRPr="00494ABB">
        <w:rPr>
          <w:rFonts w:ascii="Times" w:hAnsi="Times"/>
          <w:sz w:val="24"/>
          <w:lang w:val="en-GB"/>
        </w:rPr>
        <w:t>Badinter</w:t>
      </w:r>
      <w:proofErr w:type="spellEnd"/>
      <w:r w:rsidR="00BD57B9" w:rsidRPr="00494ABB">
        <w:rPr>
          <w:rFonts w:ascii="Times" w:hAnsi="Times"/>
          <w:sz w:val="24"/>
          <w:lang w:val="en-GB"/>
        </w:rPr>
        <w:t xml:space="preserve"> Committee took have come to be accompanied by international </w:t>
      </w:r>
      <w:r w:rsidR="00BD57B9" w:rsidRPr="00494ABB">
        <w:rPr>
          <w:rFonts w:ascii="Times" w:hAnsi="Times"/>
          <w:i/>
          <w:sz w:val="24"/>
          <w:lang w:val="en-GB"/>
        </w:rPr>
        <w:t xml:space="preserve">ad hoc </w:t>
      </w:r>
      <w:r w:rsidR="00BD57B9" w:rsidRPr="00494ABB">
        <w:rPr>
          <w:rFonts w:ascii="Times" w:hAnsi="Times"/>
          <w:sz w:val="24"/>
          <w:lang w:val="en-GB"/>
        </w:rPr>
        <w:t xml:space="preserve">tools, norms and measures addressed to the successor </w:t>
      </w:r>
      <w:r w:rsidR="00EA27AD" w:rsidRPr="00494ABB">
        <w:rPr>
          <w:rFonts w:ascii="Times" w:hAnsi="Times"/>
          <w:sz w:val="24"/>
          <w:lang w:val="en-GB"/>
        </w:rPr>
        <w:t>states of Yugoslavia on matters such as the</w:t>
      </w:r>
      <w:r w:rsidR="00BD57B9" w:rsidRPr="00494ABB">
        <w:rPr>
          <w:rFonts w:ascii="Times" w:hAnsi="Times"/>
          <w:sz w:val="24"/>
          <w:lang w:val="en-GB"/>
        </w:rPr>
        <w:t xml:space="preserve"> rule </w:t>
      </w:r>
      <w:r w:rsidR="004106BF" w:rsidRPr="00494ABB">
        <w:rPr>
          <w:rFonts w:ascii="Times" w:hAnsi="Times"/>
          <w:sz w:val="24"/>
          <w:lang w:val="en-GB"/>
        </w:rPr>
        <w:t xml:space="preserve">of law, </w:t>
      </w:r>
      <w:r w:rsidR="00EA27AD" w:rsidRPr="00494ABB">
        <w:rPr>
          <w:rFonts w:ascii="Times" w:hAnsi="Times"/>
          <w:sz w:val="24"/>
          <w:lang w:val="en-GB"/>
        </w:rPr>
        <w:t xml:space="preserve">the </w:t>
      </w:r>
      <w:r w:rsidR="004106BF" w:rsidRPr="00494ABB">
        <w:rPr>
          <w:rFonts w:ascii="Times" w:hAnsi="Times"/>
          <w:sz w:val="24"/>
          <w:lang w:val="en-GB"/>
        </w:rPr>
        <w:t xml:space="preserve">respect of human </w:t>
      </w:r>
      <w:r w:rsidR="00BD57B9" w:rsidRPr="00494ABB">
        <w:rPr>
          <w:rFonts w:ascii="Times" w:hAnsi="Times"/>
          <w:sz w:val="24"/>
          <w:lang w:val="en-GB"/>
        </w:rPr>
        <w:t>and minority rights. For this second case study, the article draw</w:t>
      </w:r>
      <w:r w:rsidR="00665020" w:rsidRPr="00494ABB">
        <w:rPr>
          <w:rFonts w:ascii="Times" w:hAnsi="Times"/>
          <w:sz w:val="24"/>
          <w:lang w:val="en-GB"/>
        </w:rPr>
        <w:t>s specific attention to Croatia</w:t>
      </w:r>
      <w:r w:rsidR="00BD57B9" w:rsidRPr="00494ABB">
        <w:rPr>
          <w:rFonts w:ascii="Times" w:hAnsi="Times"/>
          <w:sz w:val="24"/>
          <w:lang w:val="en-GB"/>
        </w:rPr>
        <w:t xml:space="preserve"> for its peculiar circumstances.</w:t>
      </w:r>
      <w:r w:rsidR="0070354E" w:rsidRPr="00494ABB">
        <w:rPr>
          <w:rFonts w:ascii="Times" w:hAnsi="Times"/>
          <w:sz w:val="24"/>
          <w:lang w:val="en-GB"/>
        </w:rPr>
        <w:t xml:space="preserve"> From the start, hierarchies ar</w:t>
      </w:r>
      <w:r w:rsidR="00BD57B9" w:rsidRPr="00494ABB">
        <w:rPr>
          <w:rFonts w:ascii="Times" w:hAnsi="Times"/>
          <w:sz w:val="24"/>
          <w:lang w:val="en-GB"/>
        </w:rPr>
        <w:t>e a legal feature of Croatia’s citizenship regime. Largely unques</w:t>
      </w:r>
      <w:r w:rsidR="0070354E" w:rsidRPr="00494ABB">
        <w:rPr>
          <w:rFonts w:ascii="Times" w:hAnsi="Times"/>
          <w:sz w:val="24"/>
          <w:lang w:val="en-GB"/>
        </w:rPr>
        <w:t>tioned for a whole decade, it i</w:t>
      </w:r>
      <w:r w:rsidR="00BD57B9" w:rsidRPr="00494ABB">
        <w:rPr>
          <w:rFonts w:ascii="Times" w:hAnsi="Times"/>
          <w:sz w:val="24"/>
          <w:lang w:val="en-GB"/>
        </w:rPr>
        <w:t>s only later that Croatia’s initial practices of self-determination combining territorial rescali</w:t>
      </w:r>
      <w:r w:rsidR="0070354E" w:rsidRPr="00494ABB">
        <w:rPr>
          <w:rFonts w:ascii="Times" w:hAnsi="Times"/>
          <w:sz w:val="24"/>
          <w:lang w:val="en-GB"/>
        </w:rPr>
        <w:t>ng with ethnic stratification</w:t>
      </w:r>
      <w:r w:rsidR="004106BF" w:rsidRPr="00494ABB">
        <w:rPr>
          <w:rFonts w:ascii="Times" w:hAnsi="Times"/>
          <w:sz w:val="24"/>
          <w:lang w:val="en-GB"/>
        </w:rPr>
        <w:t xml:space="preserve"> and in part undertaken in the name of international principles</w:t>
      </w:r>
      <w:r w:rsidR="0070354E" w:rsidRPr="00494ABB">
        <w:rPr>
          <w:rFonts w:ascii="Times" w:hAnsi="Times"/>
          <w:sz w:val="24"/>
          <w:lang w:val="en-GB"/>
        </w:rPr>
        <w:t xml:space="preserve"> a</w:t>
      </w:r>
      <w:r w:rsidR="00BD57B9" w:rsidRPr="00494ABB">
        <w:rPr>
          <w:rFonts w:ascii="Times" w:hAnsi="Times"/>
          <w:sz w:val="24"/>
          <w:lang w:val="en-GB"/>
        </w:rPr>
        <w:t>re internationally disputed. As it sought to become a member of the EU, Croatia was required to adapt its domestic practices</w:t>
      </w:r>
      <w:r w:rsidR="00665020" w:rsidRPr="00494ABB">
        <w:rPr>
          <w:rFonts w:ascii="Times" w:hAnsi="Times"/>
          <w:sz w:val="24"/>
          <w:lang w:val="en-GB"/>
        </w:rPr>
        <w:t xml:space="preserve"> </w:t>
      </w:r>
      <w:r w:rsidR="00BD57B9" w:rsidRPr="00494ABB">
        <w:rPr>
          <w:rFonts w:ascii="Times" w:hAnsi="Times"/>
          <w:sz w:val="24"/>
          <w:lang w:val="en-GB"/>
        </w:rPr>
        <w:t>to European expectations.</w:t>
      </w:r>
    </w:p>
    <w:p w14:paraId="07184F75" w14:textId="1D376451" w:rsidR="000238CD" w:rsidRPr="00494ABB" w:rsidRDefault="00EA27AD" w:rsidP="000238CD">
      <w:pPr>
        <w:ind w:firstLine="720"/>
        <w:jc w:val="both"/>
        <w:rPr>
          <w:rFonts w:ascii="Times" w:hAnsi="Times"/>
          <w:sz w:val="24"/>
          <w:lang w:val="en-GB"/>
        </w:rPr>
      </w:pPr>
      <w:r w:rsidRPr="00494ABB">
        <w:rPr>
          <w:rFonts w:ascii="Times" w:hAnsi="Times"/>
          <w:sz w:val="24"/>
          <w:lang w:val="en-GB"/>
        </w:rPr>
        <w:t>As discussed in other</w:t>
      </w:r>
      <w:r w:rsidR="007C5885">
        <w:rPr>
          <w:rFonts w:ascii="Times" w:hAnsi="Times"/>
          <w:sz w:val="24"/>
          <w:lang w:val="en-GB"/>
        </w:rPr>
        <w:t xml:space="preserve"> contributions to this </w:t>
      </w:r>
      <w:r w:rsidR="00422AC2">
        <w:rPr>
          <w:rFonts w:ascii="Times" w:hAnsi="Times"/>
          <w:sz w:val="24"/>
          <w:lang w:val="en-GB"/>
        </w:rPr>
        <w:t>Special I</w:t>
      </w:r>
      <w:r w:rsidRPr="00494ABB">
        <w:rPr>
          <w:rFonts w:ascii="Times" w:hAnsi="Times"/>
          <w:sz w:val="24"/>
          <w:lang w:val="en-GB"/>
        </w:rPr>
        <w:t>ssue,</w:t>
      </w:r>
      <w:r w:rsidR="00BD57B9" w:rsidRPr="00494ABB">
        <w:rPr>
          <w:rFonts w:ascii="Times" w:hAnsi="Times"/>
          <w:sz w:val="24"/>
          <w:lang w:val="en-GB"/>
        </w:rPr>
        <w:t xml:space="preserve"> territorial rescaling takes a multitude of forms and or</w:t>
      </w:r>
      <w:r w:rsidRPr="00494ABB">
        <w:rPr>
          <w:rFonts w:ascii="Times" w:hAnsi="Times"/>
          <w:sz w:val="24"/>
          <w:lang w:val="en-GB"/>
        </w:rPr>
        <w:t>iginates from different causes but</w:t>
      </w:r>
      <w:r w:rsidR="00BD57B9" w:rsidRPr="00494ABB">
        <w:rPr>
          <w:rFonts w:ascii="Times" w:hAnsi="Times"/>
          <w:sz w:val="24"/>
          <w:lang w:val="en-GB"/>
        </w:rPr>
        <w:t xml:space="preserve"> this article is concerned with </w:t>
      </w:r>
      <w:r w:rsidR="00437189">
        <w:rPr>
          <w:rFonts w:ascii="Times" w:hAnsi="Times"/>
          <w:sz w:val="24"/>
          <w:lang w:val="en-GB"/>
        </w:rPr>
        <w:t>one particular aspect</w:t>
      </w:r>
      <w:r w:rsidR="00BD57B9" w:rsidRPr="00494ABB">
        <w:rPr>
          <w:rFonts w:ascii="Times" w:hAnsi="Times"/>
          <w:sz w:val="24"/>
          <w:lang w:val="en-GB"/>
        </w:rPr>
        <w:t xml:space="preserve">. It deals with the dissolution of multinational entities and the settlement of self-determination claims through the formation of new states and the delineation of their national communities. The article consists of a comparison of two different historical contexts – the early and late twentieth century – and focuses on one area, South-Eastern Europe. Combining </w:t>
      </w:r>
      <w:r w:rsidR="00887779">
        <w:rPr>
          <w:rFonts w:ascii="Times" w:hAnsi="Times"/>
          <w:sz w:val="24"/>
          <w:lang w:val="en-GB"/>
        </w:rPr>
        <w:t>primary</w:t>
      </w:r>
      <w:r w:rsidR="00BD57B9" w:rsidRPr="00494ABB">
        <w:rPr>
          <w:rFonts w:ascii="Times" w:hAnsi="Times"/>
          <w:sz w:val="24"/>
          <w:lang w:val="en-GB"/>
        </w:rPr>
        <w:t xml:space="preserve"> and secondary material, this macro-historical comparison serves two objectives. First, it </w:t>
      </w:r>
      <w:r w:rsidR="00D46B58" w:rsidRPr="00494ABB">
        <w:rPr>
          <w:rFonts w:ascii="Times" w:hAnsi="Times"/>
          <w:sz w:val="24"/>
          <w:lang w:val="en-GB"/>
        </w:rPr>
        <w:t>underscore</w:t>
      </w:r>
      <w:r w:rsidR="00BD57B9" w:rsidRPr="00494ABB">
        <w:rPr>
          <w:rFonts w:ascii="Times" w:hAnsi="Times"/>
          <w:sz w:val="24"/>
          <w:lang w:val="en-GB"/>
        </w:rPr>
        <w:t xml:space="preserve">s logics of continuity and change across time. </w:t>
      </w:r>
      <w:r w:rsidR="004106BF" w:rsidRPr="00494ABB">
        <w:rPr>
          <w:rFonts w:ascii="Times" w:hAnsi="Times"/>
          <w:sz w:val="24"/>
          <w:lang w:val="en-GB"/>
        </w:rPr>
        <w:t>Though domestic practices vary, the institutional intent to craft laws and norms that stratify populations is common to both cases. The internati</w:t>
      </w:r>
      <w:r w:rsidR="00D46B58" w:rsidRPr="00494ABB">
        <w:rPr>
          <w:rFonts w:ascii="Times" w:hAnsi="Times"/>
          <w:sz w:val="24"/>
          <w:lang w:val="en-GB"/>
        </w:rPr>
        <w:t>onal environment also changes since</w:t>
      </w:r>
      <w:r w:rsidR="004106BF" w:rsidRPr="00494ABB">
        <w:rPr>
          <w:rFonts w:ascii="Times" w:hAnsi="Times"/>
          <w:sz w:val="24"/>
          <w:lang w:val="en-GB"/>
        </w:rPr>
        <w:t xml:space="preserve">, in 1919, empire </w:t>
      </w:r>
      <w:r w:rsidR="000238CD" w:rsidRPr="00494ABB">
        <w:rPr>
          <w:rFonts w:ascii="Times" w:hAnsi="Times"/>
          <w:sz w:val="24"/>
          <w:lang w:val="en-GB"/>
        </w:rPr>
        <w:t>and hierarchy are a</w:t>
      </w:r>
      <w:r w:rsidR="004106BF" w:rsidRPr="00494ABB">
        <w:rPr>
          <w:rFonts w:ascii="Times" w:hAnsi="Times"/>
          <w:sz w:val="24"/>
          <w:lang w:val="en-GB"/>
        </w:rPr>
        <w:t xml:space="preserve"> legitimate form of </w:t>
      </w:r>
      <w:r w:rsidR="000238CD" w:rsidRPr="00494ABB">
        <w:rPr>
          <w:rFonts w:ascii="Times" w:hAnsi="Times"/>
          <w:sz w:val="24"/>
          <w:lang w:val="en-GB"/>
        </w:rPr>
        <w:t>organisation whilst</w:t>
      </w:r>
      <w:r w:rsidR="004106BF" w:rsidRPr="00494ABB">
        <w:rPr>
          <w:rFonts w:ascii="Times" w:hAnsi="Times"/>
          <w:sz w:val="24"/>
          <w:lang w:val="en-GB"/>
        </w:rPr>
        <w:t>, in the early 1990s</w:t>
      </w:r>
      <w:r w:rsidR="000238CD" w:rsidRPr="00494ABB">
        <w:rPr>
          <w:rFonts w:ascii="Times" w:hAnsi="Times"/>
          <w:sz w:val="24"/>
          <w:lang w:val="en-GB"/>
        </w:rPr>
        <w:t>,</w:t>
      </w:r>
      <w:r w:rsidR="004106BF" w:rsidRPr="00494ABB">
        <w:rPr>
          <w:rFonts w:ascii="Times" w:hAnsi="Times"/>
          <w:sz w:val="24"/>
          <w:lang w:val="en-GB"/>
        </w:rPr>
        <w:t xml:space="preserve"> Europe commits - at least formally – to liberal norms of equality and inclusion. Yet, in both cases international actors establish supervi</w:t>
      </w:r>
      <w:r w:rsidR="002655EC" w:rsidRPr="00494ABB">
        <w:rPr>
          <w:rFonts w:ascii="Times" w:hAnsi="Times"/>
          <w:sz w:val="24"/>
          <w:lang w:val="en-GB"/>
        </w:rPr>
        <w:t>sory regimes that interfere in</w:t>
      </w:r>
      <w:r w:rsidR="004106BF" w:rsidRPr="00494ABB">
        <w:rPr>
          <w:rFonts w:ascii="Times" w:hAnsi="Times"/>
          <w:sz w:val="24"/>
          <w:lang w:val="en-GB"/>
        </w:rPr>
        <w:t xml:space="preserve"> domestic jurisdictions, with one main difference. </w:t>
      </w:r>
      <w:r w:rsidR="000238CD" w:rsidRPr="00494ABB">
        <w:rPr>
          <w:rFonts w:ascii="Times" w:hAnsi="Times"/>
          <w:sz w:val="24"/>
          <w:lang w:val="en-GB"/>
        </w:rPr>
        <w:t>If</w:t>
      </w:r>
      <w:r w:rsidR="004106BF" w:rsidRPr="00494ABB">
        <w:rPr>
          <w:rFonts w:ascii="Times" w:hAnsi="Times"/>
          <w:sz w:val="24"/>
          <w:lang w:val="en-GB"/>
        </w:rPr>
        <w:t xml:space="preserve"> in 1919 no legal enforcement mechanism is attached to the Minority Treaties, the opinions of the </w:t>
      </w:r>
      <w:proofErr w:type="spellStart"/>
      <w:r w:rsidR="004106BF" w:rsidRPr="00494ABB">
        <w:rPr>
          <w:rFonts w:ascii="Times" w:hAnsi="Times"/>
          <w:sz w:val="24"/>
          <w:lang w:val="en-GB"/>
        </w:rPr>
        <w:t>Badinter</w:t>
      </w:r>
      <w:proofErr w:type="spellEnd"/>
      <w:r w:rsidR="004106BF" w:rsidRPr="00494ABB">
        <w:rPr>
          <w:rFonts w:ascii="Times" w:hAnsi="Times"/>
          <w:sz w:val="24"/>
          <w:lang w:val="en-GB"/>
        </w:rPr>
        <w:t xml:space="preserve"> Committee are supplemented throughout the 1990s by strong monitoring instruments (Bain, 2003).</w:t>
      </w:r>
      <w:r w:rsidR="000238CD" w:rsidRPr="00494ABB">
        <w:rPr>
          <w:rFonts w:ascii="Times" w:hAnsi="Times"/>
          <w:sz w:val="24"/>
          <w:lang w:val="en-GB"/>
        </w:rPr>
        <w:t xml:space="preserve"> </w:t>
      </w:r>
      <w:r w:rsidR="00BD57B9" w:rsidRPr="00494ABB">
        <w:rPr>
          <w:rFonts w:ascii="Times" w:hAnsi="Times"/>
          <w:sz w:val="24"/>
          <w:lang w:val="en-GB"/>
        </w:rPr>
        <w:t xml:space="preserve">Second, the historical comparison undertaken in this article </w:t>
      </w:r>
      <w:r w:rsidR="000238CD" w:rsidRPr="00494ABB">
        <w:rPr>
          <w:rFonts w:ascii="Times" w:hAnsi="Times"/>
          <w:sz w:val="24"/>
          <w:lang w:val="en-GB"/>
        </w:rPr>
        <w:t xml:space="preserve">stresses that some problems are not as new as often thought and that looking at the predicted and unforeseen effects that past ideas and practices produced can be beneficial to </w:t>
      </w:r>
      <w:r w:rsidR="00BD57B9" w:rsidRPr="00494ABB">
        <w:rPr>
          <w:rFonts w:ascii="Times" w:hAnsi="Times"/>
          <w:sz w:val="24"/>
          <w:lang w:val="en-GB"/>
        </w:rPr>
        <w:t xml:space="preserve">address </w:t>
      </w:r>
      <w:r w:rsidR="00887779">
        <w:rPr>
          <w:rFonts w:ascii="Times" w:hAnsi="Times"/>
          <w:sz w:val="24"/>
          <w:lang w:val="en-GB"/>
        </w:rPr>
        <w:t>contemporary challenges.</w:t>
      </w:r>
    </w:p>
    <w:p w14:paraId="2475B344" w14:textId="77777777" w:rsidR="003D1DBC" w:rsidRPr="00494ABB" w:rsidRDefault="003D1DBC" w:rsidP="006E3F77">
      <w:pPr>
        <w:jc w:val="both"/>
        <w:rPr>
          <w:rFonts w:ascii="Times" w:eastAsia="Times New Roman" w:hAnsi="Times"/>
          <w:b/>
          <w:sz w:val="24"/>
          <w:shd w:val="clear" w:color="auto" w:fill="FFFFFF"/>
          <w:lang w:val="en-GB"/>
        </w:rPr>
      </w:pPr>
    </w:p>
    <w:p w14:paraId="7614D48E" w14:textId="20802DA3" w:rsidR="006E3F77" w:rsidRPr="00494ABB" w:rsidRDefault="006E3F77" w:rsidP="006E3F77">
      <w:pPr>
        <w:jc w:val="both"/>
        <w:rPr>
          <w:rFonts w:ascii="Times" w:eastAsia="Times New Roman" w:hAnsi="Times"/>
          <w:b/>
          <w:sz w:val="24"/>
          <w:shd w:val="clear" w:color="auto" w:fill="FFFFFF"/>
          <w:lang w:val="en-GB"/>
        </w:rPr>
      </w:pPr>
      <w:r w:rsidRPr="00494ABB">
        <w:rPr>
          <w:rFonts w:ascii="Times" w:eastAsia="Times New Roman" w:hAnsi="Times"/>
          <w:b/>
          <w:sz w:val="24"/>
          <w:shd w:val="clear" w:color="auto" w:fill="FFFFFF"/>
          <w:lang w:val="en-GB"/>
        </w:rPr>
        <w:t>The 1919 Paris Peace Conference, Minority Treaties and the Formation of the Kingdom of Yugoslavia</w:t>
      </w:r>
    </w:p>
    <w:p w14:paraId="182B419A" w14:textId="77777777" w:rsidR="006E3F77" w:rsidRPr="00494ABB" w:rsidRDefault="006E3F77" w:rsidP="006E3F77">
      <w:pPr>
        <w:jc w:val="both"/>
        <w:rPr>
          <w:rFonts w:ascii="Times" w:hAnsi="Times"/>
          <w:sz w:val="24"/>
          <w:lang w:val="en-GB"/>
        </w:rPr>
      </w:pPr>
    </w:p>
    <w:p w14:paraId="4E8067B8" w14:textId="7AD50180" w:rsidR="006E3F77" w:rsidRPr="00494ABB" w:rsidRDefault="006E3F77" w:rsidP="006E3F77">
      <w:pPr>
        <w:jc w:val="both"/>
        <w:rPr>
          <w:rFonts w:ascii="Times" w:hAnsi="Times"/>
          <w:sz w:val="24"/>
          <w:lang w:val="en-GB"/>
        </w:rPr>
      </w:pPr>
      <w:r w:rsidRPr="00494ABB">
        <w:rPr>
          <w:rFonts w:ascii="Times" w:hAnsi="Times"/>
          <w:sz w:val="24"/>
          <w:lang w:val="en-GB"/>
        </w:rPr>
        <w:t>With the 1919 Paris Peace Conference, territorial rescaling following the dissolution of the Austro-Hungarian and Ottoman Empire led to the recognition of self-determination and the formation of new states for some of the groups that had mobilised nationalist sentiment during the ni</w:t>
      </w:r>
      <w:r w:rsidR="005B6F94">
        <w:rPr>
          <w:rFonts w:ascii="Times" w:hAnsi="Times"/>
          <w:sz w:val="24"/>
          <w:lang w:val="en-GB"/>
        </w:rPr>
        <w:t xml:space="preserve">neteenth century. To become equal members of international society </w:t>
      </w:r>
      <w:r w:rsidRPr="00494ABB">
        <w:rPr>
          <w:rFonts w:ascii="Times" w:hAnsi="Times"/>
          <w:sz w:val="24"/>
          <w:lang w:val="en-GB"/>
        </w:rPr>
        <w:t xml:space="preserve">new states </w:t>
      </w:r>
      <w:r w:rsidR="008C55D2">
        <w:rPr>
          <w:rFonts w:ascii="Times" w:hAnsi="Times"/>
          <w:sz w:val="24"/>
          <w:lang w:val="en-GB"/>
        </w:rPr>
        <w:t>had</w:t>
      </w:r>
      <w:r w:rsidR="00A1417D" w:rsidRPr="00494ABB">
        <w:rPr>
          <w:rFonts w:ascii="Times" w:hAnsi="Times"/>
          <w:sz w:val="24"/>
          <w:lang w:val="en-GB"/>
        </w:rPr>
        <w:t xml:space="preserve"> to </w:t>
      </w:r>
      <w:r w:rsidRPr="00494ABB">
        <w:rPr>
          <w:rFonts w:ascii="Times" w:hAnsi="Times"/>
          <w:sz w:val="24"/>
          <w:lang w:val="en-GB"/>
        </w:rPr>
        <w:t>ratify the so-cal</w:t>
      </w:r>
      <w:r w:rsidR="00A1417D" w:rsidRPr="00494ABB">
        <w:rPr>
          <w:rFonts w:ascii="Times" w:hAnsi="Times"/>
          <w:sz w:val="24"/>
          <w:lang w:val="en-GB"/>
        </w:rPr>
        <w:t xml:space="preserve">led Minority Treaties that the Allied </w:t>
      </w:r>
      <w:r w:rsidR="005B6F94">
        <w:rPr>
          <w:rFonts w:ascii="Times" w:hAnsi="Times"/>
          <w:sz w:val="24"/>
          <w:lang w:val="en-GB"/>
        </w:rPr>
        <w:t>drafted</w:t>
      </w:r>
      <w:r w:rsidRPr="00494ABB">
        <w:rPr>
          <w:rFonts w:ascii="Times" w:hAnsi="Times"/>
          <w:sz w:val="24"/>
          <w:lang w:val="en-GB"/>
        </w:rPr>
        <w:t>. Their major novelty was that they each delineated internationally how national authorities should define and treat internal societies. However, the treaties bore numerous inconsistencies. Upholding equality domestically, they concurrently provided for the unequal recognition of groups within new states</w:t>
      </w:r>
      <w:r w:rsidR="0075468F" w:rsidRPr="00494ABB">
        <w:rPr>
          <w:rFonts w:ascii="Times" w:hAnsi="Times"/>
          <w:sz w:val="24"/>
          <w:lang w:val="en-GB"/>
        </w:rPr>
        <w:t xml:space="preserve"> supporting</w:t>
      </w:r>
      <w:r w:rsidRPr="00494ABB">
        <w:rPr>
          <w:rFonts w:ascii="Times" w:hAnsi="Times"/>
          <w:sz w:val="24"/>
          <w:lang w:val="en-GB"/>
        </w:rPr>
        <w:t xml:space="preserve"> domestic hierarchies in the allocation of rights and status</w:t>
      </w:r>
      <w:r w:rsidR="0075468F" w:rsidRPr="00494ABB">
        <w:rPr>
          <w:rFonts w:ascii="Times" w:hAnsi="Times"/>
          <w:sz w:val="24"/>
          <w:lang w:val="en-GB"/>
        </w:rPr>
        <w:t>.</w:t>
      </w:r>
    </w:p>
    <w:p w14:paraId="2F17CF38" w14:textId="35F140B2" w:rsidR="006E3F77" w:rsidRPr="00494ABB" w:rsidRDefault="006E3F77" w:rsidP="006E3F77">
      <w:pPr>
        <w:ind w:firstLine="720"/>
        <w:jc w:val="both"/>
        <w:rPr>
          <w:rFonts w:ascii="Times" w:hAnsi="Times"/>
          <w:sz w:val="24"/>
          <w:lang w:val="en-GB"/>
        </w:rPr>
      </w:pPr>
      <w:r w:rsidRPr="00494ABB">
        <w:rPr>
          <w:rFonts w:ascii="Times" w:hAnsi="Times"/>
          <w:sz w:val="24"/>
          <w:lang w:val="en-GB"/>
        </w:rPr>
        <w:t xml:space="preserve">Soon after the ratification of the treaties, forms of hierarchical membership within the new </w:t>
      </w:r>
      <w:r w:rsidR="0078218E">
        <w:rPr>
          <w:rFonts w:ascii="Times" w:hAnsi="Times"/>
          <w:sz w:val="24"/>
          <w:lang w:val="en-GB"/>
        </w:rPr>
        <w:t>states</w:t>
      </w:r>
      <w:r w:rsidRPr="00494ABB">
        <w:rPr>
          <w:rFonts w:ascii="Times" w:hAnsi="Times"/>
          <w:sz w:val="24"/>
          <w:lang w:val="en-GB"/>
        </w:rPr>
        <w:t xml:space="preserve"> emerged in contrast to the international conception of equality that, despite obvious flaws, was embedded in the documents. The case of the Kingdom of Serbs, Croats and Slovenes is in this sense emblematic.</w:t>
      </w:r>
      <w:r w:rsidRPr="00494ABB">
        <w:rPr>
          <w:rStyle w:val="FootnoteReference"/>
          <w:rFonts w:ascii="Times" w:hAnsi="Times"/>
          <w:sz w:val="24"/>
          <w:lang w:val="en-GB"/>
        </w:rPr>
        <w:footnoteReference w:id="1"/>
      </w:r>
      <w:r w:rsidRPr="00494ABB">
        <w:rPr>
          <w:rFonts w:ascii="Times" w:hAnsi="Times"/>
          <w:sz w:val="24"/>
          <w:lang w:val="en-GB"/>
        </w:rPr>
        <w:t xml:space="preserve"> Formed on the eve of the Paris Peace Conference on the basis of citizens’ equality,</w:t>
      </w:r>
      <w:r w:rsidRPr="00494ABB">
        <w:rPr>
          <w:rStyle w:val="FootnoteReference"/>
          <w:rFonts w:ascii="Times" w:hAnsi="Times"/>
          <w:sz w:val="24"/>
          <w:lang w:val="en-GB"/>
        </w:rPr>
        <w:t xml:space="preserve"> </w:t>
      </w:r>
      <w:r w:rsidRPr="00494ABB">
        <w:rPr>
          <w:rFonts w:ascii="Times" w:hAnsi="Times"/>
          <w:sz w:val="24"/>
          <w:lang w:val="en-GB"/>
        </w:rPr>
        <w:t xml:space="preserve"> it was soon after recognised by the Allied and Associated Powers.</w:t>
      </w:r>
      <w:r w:rsidRPr="00494ABB">
        <w:rPr>
          <w:rStyle w:val="FootnoteReference"/>
          <w:rFonts w:ascii="Times" w:hAnsi="Times"/>
          <w:sz w:val="24"/>
          <w:lang w:val="en-GB"/>
        </w:rPr>
        <w:t xml:space="preserve"> </w:t>
      </w:r>
      <w:r w:rsidRPr="00494ABB">
        <w:rPr>
          <w:rFonts w:ascii="Times" w:hAnsi="Times"/>
          <w:sz w:val="24"/>
          <w:lang w:val="en-GB"/>
        </w:rPr>
        <w:t xml:space="preserve">This new state was the object of lengthy discussions by the Peace Conference Committee on New States and the Protection of National Minorities in charge of drafting Minority Treaties. Only some months after the Kingdom’s formation and ratification of its Minority Treaty, </w:t>
      </w:r>
      <w:r w:rsidR="00CC6DF0" w:rsidRPr="00494ABB">
        <w:rPr>
          <w:rFonts w:ascii="Times" w:hAnsi="Times"/>
          <w:sz w:val="24"/>
          <w:lang w:val="en-GB"/>
        </w:rPr>
        <w:t>the treaty of Saint-</w:t>
      </w:r>
      <w:proofErr w:type="spellStart"/>
      <w:r w:rsidR="00CC6DF0" w:rsidRPr="00494ABB">
        <w:rPr>
          <w:rFonts w:ascii="Times" w:hAnsi="Times"/>
          <w:sz w:val="24"/>
          <w:lang w:val="en-GB"/>
        </w:rPr>
        <w:t>Germain</w:t>
      </w:r>
      <w:proofErr w:type="spellEnd"/>
      <w:r w:rsidR="00CC6DF0" w:rsidRPr="00494ABB">
        <w:rPr>
          <w:rFonts w:ascii="Times" w:hAnsi="Times"/>
          <w:sz w:val="24"/>
          <w:lang w:val="en-GB"/>
        </w:rPr>
        <w:t>-en-</w:t>
      </w:r>
      <w:proofErr w:type="spellStart"/>
      <w:r w:rsidRPr="00494ABB">
        <w:rPr>
          <w:rFonts w:ascii="Times" w:hAnsi="Times"/>
          <w:sz w:val="24"/>
          <w:lang w:val="en-GB"/>
        </w:rPr>
        <w:t>Laye</w:t>
      </w:r>
      <w:proofErr w:type="spellEnd"/>
      <w:r w:rsidRPr="00494ABB">
        <w:rPr>
          <w:rFonts w:ascii="Times" w:hAnsi="Times"/>
          <w:sz w:val="24"/>
          <w:lang w:val="en-GB"/>
        </w:rPr>
        <w:t>,</w:t>
      </w:r>
      <w:r w:rsidR="00CC6DF0" w:rsidRPr="00494ABB">
        <w:rPr>
          <w:rFonts w:ascii="Times" w:hAnsi="Times"/>
          <w:sz w:val="24"/>
          <w:lang w:val="en-GB"/>
        </w:rPr>
        <w:t xml:space="preserve"> </w:t>
      </w:r>
      <w:r w:rsidRPr="00494ABB">
        <w:rPr>
          <w:rFonts w:ascii="Times" w:hAnsi="Times"/>
          <w:sz w:val="24"/>
          <w:lang w:val="en-GB"/>
        </w:rPr>
        <w:t xml:space="preserve">the Committee realised that national authorities had inaugurated forms of unequal membership domestically, favouring specific groups at the expense of others. Hierarchical membership showed that self-determination’s promise of equality had not been met. </w:t>
      </w:r>
    </w:p>
    <w:p w14:paraId="3F7554DC" w14:textId="2961160D" w:rsidR="006E3F77" w:rsidRPr="00494ABB" w:rsidRDefault="00790DE4" w:rsidP="00E03D35">
      <w:pPr>
        <w:ind w:firstLine="720"/>
        <w:jc w:val="both"/>
        <w:rPr>
          <w:rFonts w:ascii="Times" w:hAnsi="Times"/>
          <w:sz w:val="24"/>
          <w:lang w:val="en-GB"/>
        </w:rPr>
      </w:pPr>
      <w:r>
        <w:rPr>
          <w:rFonts w:ascii="Times" w:hAnsi="Times"/>
          <w:color w:val="000000"/>
          <w:sz w:val="24"/>
          <w:lang w:val="en-GB"/>
        </w:rPr>
        <w:t>T</w:t>
      </w:r>
      <w:r w:rsidR="00E03D35">
        <w:rPr>
          <w:rFonts w:ascii="Times" w:hAnsi="Times"/>
          <w:color w:val="000000"/>
          <w:sz w:val="24"/>
          <w:lang w:val="en-GB"/>
        </w:rPr>
        <w:t>his</w:t>
      </w:r>
      <w:r w:rsidR="006E3F77" w:rsidRPr="00494ABB">
        <w:rPr>
          <w:rFonts w:ascii="Times" w:hAnsi="Times"/>
          <w:color w:val="000000"/>
          <w:sz w:val="24"/>
          <w:lang w:val="en-GB"/>
        </w:rPr>
        <w:t xml:space="preserve"> section</w:t>
      </w:r>
      <w:r w:rsidR="00E03D35">
        <w:rPr>
          <w:rFonts w:ascii="Times" w:hAnsi="Times"/>
          <w:color w:val="000000"/>
          <w:sz w:val="24"/>
          <w:lang w:val="en-GB"/>
        </w:rPr>
        <w:t xml:space="preserve"> begins</w:t>
      </w:r>
      <w:r w:rsidR="006E3F77" w:rsidRPr="00494ABB">
        <w:rPr>
          <w:rFonts w:ascii="Times" w:hAnsi="Times"/>
          <w:color w:val="000000"/>
          <w:sz w:val="24"/>
          <w:lang w:val="en-GB"/>
        </w:rPr>
        <w:t xml:space="preserve"> by </w:t>
      </w:r>
      <w:r w:rsidR="00E03D35">
        <w:rPr>
          <w:rFonts w:ascii="Times" w:hAnsi="Times"/>
          <w:color w:val="000000"/>
          <w:sz w:val="24"/>
          <w:lang w:val="en-GB"/>
        </w:rPr>
        <w:t>examining</w:t>
      </w:r>
      <w:r w:rsidR="006E3F77" w:rsidRPr="00494ABB">
        <w:rPr>
          <w:rFonts w:ascii="Times" w:hAnsi="Times"/>
          <w:color w:val="000000"/>
          <w:sz w:val="24"/>
          <w:lang w:val="en-GB"/>
        </w:rPr>
        <w:t xml:space="preserve"> </w:t>
      </w:r>
      <w:r w:rsidR="006E3F77" w:rsidRPr="00494ABB">
        <w:rPr>
          <w:rFonts w:ascii="Times" w:hAnsi="Times"/>
          <w:sz w:val="24"/>
          <w:lang w:val="en-GB"/>
        </w:rPr>
        <w:t>how the Minority Treaties delineated standard</w:t>
      </w:r>
      <w:r>
        <w:rPr>
          <w:rFonts w:ascii="Times" w:hAnsi="Times"/>
          <w:sz w:val="24"/>
          <w:lang w:val="en-GB"/>
        </w:rPr>
        <w:t>s of rightful organisation for new states’</w:t>
      </w:r>
      <w:r w:rsidR="006E3F77" w:rsidRPr="00494ABB">
        <w:rPr>
          <w:rFonts w:ascii="Times" w:hAnsi="Times"/>
          <w:sz w:val="24"/>
          <w:lang w:val="en-GB"/>
        </w:rPr>
        <w:t xml:space="preserve"> national communities. </w:t>
      </w:r>
      <w:r w:rsidR="00E03D35">
        <w:rPr>
          <w:rFonts w:ascii="Times" w:hAnsi="Times"/>
          <w:sz w:val="24"/>
          <w:lang w:val="en-GB"/>
        </w:rPr>
        <w:t>It then</w:t>
      </w:r>
      <w:r w:rsidR="006E3F77" w:rsidRPr="00494ABB">
        <w:rPr>
          <w:rFonts w:ascii="Times" w:hAnsi="Times"/>
          <w:sz w:val="24"/>
          <w:lang w:val="en-GB"/>
        </w:rPr>
        <w:t xml:space="preserve"> discuss</w:t>
      </w:r>
      <w:r w:rsidR="00E03D35">
        <w:rPr>
          <w:rFonts w:ascii="Times" w:hAnsi="Times"/>
          <w:sz w:val="24"/>
          <w:lang w:val="en-GB"/>
        </w:rPr>
        <w:t>es</w:t>
      </w:r>
      <w:r w:rsidR="006E3F77" w:rsidRPr="00494ABB">
        <w:rPr>
          <w:rFonts w:ascii="Times" w:hAnsi="Times"/>
          <w:sz w:val="24"/>
          <w:lang w:val="en-GB"/>
        </w:rPr>
        <w:t xml:space="preserve"> the Minority Treaty of Saint-</w:t>
      </w:r>
      <w:proofErr w:type="spellStart"/>
      <w:r w:rsidR="006E3F77" w:rsidRPr="00494ABB">
        <w:rPr>
          <w:rFonts w:ascii="Times" w:hAnsi="Times"/>
          <w:sz w:val="24"/>
          <w:lang w:val="en-GB"/>
        </w:rPr>
        <w:t>Germain</w:t>
      </w:r>
      <w:proofErr w:type="spellEnd"/>
      <w:r w:rsidR="00E03D35">
        <w:rPr>
          <w:rFonts w:ascii="Times" w:hAnsi="Times"/>
          <w:sz w:val="24"/>
          <w:lang w:val="en-GB"/>
        </w:rPr>
        <w:t xml:space="preserve"> for the Yugoslav </w:t>
      </w:r>
      <w:r w:rsidR="00BE7041">
        <w:rPr>
          <w:rFonts w:ascii="Times" w:hAnsi="Times"/>
          <w:sz w:val="24"/>
          <w:lang w:val="en-GB"/>
        </w:rPr>
        <w:t>Kingdom and ends by sketching</w:t>
      </w:r>
      <w:r w:rsidR="00E03D35">
        <w:rPr>
          <w:rFonts w:ascii="Times" w:hAnsi="Times"/>
          <w:sz w:val="24"/>
          <w:lang w:val="en-GB"/>
        </w:rPr>
        <w:t xml:space="preserve"> domestic implications for the national community </w:t>
      </w:r>
      <w:r w:rsidR="006E3F77" w:rsidRPr="00494ABB">
        <w:rPr>
          <w:rFonts w:ascii="Times" w:hAnsi="Times"/>
          <w:sz w:val="24"/>
          <w:lang w:val="en-GB"/>
        </w:rPr>
        <w:t xml:space="preserve">stressing how international expectations and domestic practices were intertwined. </w:t>
      </w:r>
    </w:p>
    <w:p w14:paraId="13455AA2" w14:textId="77777777" w:rsidR="006E3F77" w:rsidRPr="00494ABB" w:rsidRDefault="006E3F77" w:rsidP="006E3F77">
      <w:pPr>
        <w:jc w:val="both"/>
        <w:rPr>
          <w:rFonts w:ascii="Times" w:hAnsi="Times"/>
          <w:color w:val="000000"/>
          <w:sz w:val="24"/>
          <w:lang w:val="en-GB"/>
        </w:rPr>
      </w:pPr>
    </w:p>
    <w:p w14:paraId="66B2C31A" w14:textId="736617F7" w:rsidR="006E3F77" w:rsidRPr="00494ABB" w:rsidRDefault="006E3F77" w:rsidP="006E3F77">
      <w:pPr>
        <w:jc w:val="both"/>
        <w:outlineLvl w:val="0"/>
        <w:rPr>
          <w:rFonts w:ascii="Times" w:hAnsi="Times"/>
          <w:b/>
          <w:i/>
          <w:sz w:val="24"/>
          <w:lang w:val="en-GB"/>
        </w:rPr>
      </w:pPr>
      <w:r w:rsidRPr="00494ABB">
        <w:rPr>
          <w:rFonts w:ascii="Times" w:hAnsi="Times"/>
          <w:b/>
          <w:i/>
          <w:sz w:val="24"/>
          <w:lang w:val="en-GB"/>
        </w:rPr>
        <w:t>State Formati</w:t>
      </w:r>
      <w:r w:rsidR="00F446EC">
        <w:rPr>
          <w:rFonts w:ascii="Times" w:hAnsi="Times"/>
          <w:b/>
          <w:i/>
          <w:sz w:val="24"/>
          <w:lang w:val="en-GB"/>
        </w:rPr>
        <w:t>on and Minority Treaties at the</w:t>
      </w:r>
      <w:r w:rsidRPr="00494ABB">
        <w:rPr>
          <w:rFonts w:ascii="Times" w:hAnsi="Times"/>
          <w:b/>
          <w:i/>
          <w:sz w:val="24"/>
          <w:lang w:val="en-GB"/>
        </w:rPr>
        <w:t xml:space="preserve"> Paris Peace Conference</w:t>
      </w:r>
    </w:p>
    <w:p w14:paraId="72F3BCDF" w14:textId="77777777" w:rsidR="006E3F77" w:rsidRPr="00494ABB" w:rsidRDefault="006E3F77" w:rsidP="006E3F77">
      <w:pPr>
        <w:jc w:val="both"/>
        <w:rPr>
          <w:rFonts w:ascii="Times" w:hAnsi="Times"/>
          <w:sz w:val="24"/>
          <w:lang w:val="en-GB"/>
        </w:rPr>
      </w:pPr>
    </w:p>
    <w:p w14:paraId="0BA19D98" w14:textId="684F41FB" w:rsidR="006E3F77" w:rsidRPr="00494ABB" w:rsidRDefault="006E3F77" w:rsidP="006E3F77">
      <w:pPr>
        <w:jc w:val="both"/>
        <w:rPr>
          <w:rFonts w:ascii="Times" w:hAnsi="Times"/>
          <w:sz w:val="24"/>
          <w:lang w:val="en-GB"/>
        </w:rPr>
      </w:pPr>
      <w:r w:rsidRPr="00494ABB">
        <w:rPr>
          <w:rFonts w:ascii="Times" w:hAnsi="Times"/>
          <w:sz w:val="24"/>
          <w:lang w:val="en-GB"/>
        </w:rPr>
        <w:t xml:space="preserve">In January 1919, the Allies inaugurated the Paris Peace Conference </w:t>
      </w:r>
      <w:r w:rsidR="00AE1850">
        <w:rPr>
          <w:rFonts w:ascii="Times" w:hAnsi="Times"/>
          <w:sz w:val="24"/>
          <w:lang w:val="en-GB"/>
        </w:rPr>
        <w:t>to settle</w:t>
      </w:r>
      <w:r w:rsidRPr="00494ABB">
        <w:rPr>
          <w:rFonts w:ascii="Times" w:hAnsi="Times"/>
          <w:sz w:val="24"/>
          <w:lang w:val="en-GB"/>
        </w:rPr>
        <w:t xml:space="preserve"> the post-war order. Among the many issues discussed was the settlement of self-determination claims in South Eastern and Central Europe following the dissolution of the Austro-Hungarian and Ottoman Empires. As a legacy of imperial politics of recognition, groups in </w:t>
      </w:r>
      <w:r w:rsidR="00AB46E8">
        <w:rPr>
          <w:rFonts w:ascii="Times" w:hAnsi="Times"/>
          <w:sz w:val="24"/>
          <w:lang w:val="en-GB"/>
        </w:rPr>
        <w:t>these areas</w:t>
      </w:r>
      <w:r w:rsidRPr="00494ABB">
        <w:rPr>
          <w:rFonts w:ascii="Times" w:hAnsi="Times"/>
          <w:sz w:val="24"/>
          <w:lang w:val="en-GB"/>
        </w:rPr>
        <w:t xml:space="preserve"> identified primarily along lines of ethnicity, language and religion. To maintain peace, the peacemakers believed that new states ought to be formed but that their territorial borders should be drawn as far as possible along </w:t>
      </w:r>
      <w:r w:rsidR="00AB46E8">
        <w:rPr>
          <w:rFonts w:ascii="Times" w:hAnsi="Times"/>
          <w:sz w:val="24"/>
          <w:lang w:val="en-GB"/>
        </w:rPr>
        <w:t>such</w:t>
      </w:r>
      <w:r w:rsidRPr="00494ABB">
        <w:rPr>
          <w:rFonts w:ascii="Times" w:hAnsi="Times"/>
          <w:sz w:val="24"/>
          <w:lang w:val="en-GB"/>
        </w:rPr>
        <w:t xml:space="preserve"> lines. Specialised commissions worked on drawin</w:t>
      </w:r>
      <w:r w:rsidR="00317156">
        <w:rPr>
          <w:rFonts w:ascii="Times" w:hAnsi="Times"/>
          <w:sz w:val="24"/>
          <w:lang w:val="en-GB"/>
        </w:rPr>
        <w:t xml:space="preserve">g </w:t>
      </w:r>
      <w:r w:rsidR="0093157D">
        <w:rPr>
          <w:rFonts w:ascii="Times" w:hAnsi="Times"/>
          <w:sz w:val="24"/>
          <w:lang w:val="en-GB"/>
        </w:rPr>
        <w:t>new states’ borders</w:t>
      </w:r>
      <w:r w:rsidR="00317156">
        <w:rPr>
          <w:rFonts w:ascii="Times" w:hAnsi="Times"/>
          <w:sz w:val="24"/>
          <w:lang w:val="en-GB"/>
        </w:rPr>
        <w:t>. I</w:t>
      </w:r>
      <w:r w:rsidRPr="00494ABB">
        <w:rPr>
          <w:rFonts w:ascii="Times" w:hAnsi="Times"/>
          <w:sz w:val="24"/>
          <w:lang w:val="en-GB"/>
        </w:rPr>
        <w:t>t became clear that if majoritarian ethnic groups were to have a state of their own, this would inevitably create minorities (Miller, 1924, pp.40-44).</w:t>
      </w:r>
      <w:r w:rsidRPr="00494ABB">
        <w:rPr>
          <w:rStyle w:val="FootnoteReference"/>
          <w:rFonts w:ascii="Times" w:hAnsi="Times"/>
          <w:sz w:val="24"/>
          <w:lang w:val="en-GB"/>
        </w:rPr>
        <w:t xml:space="preserve"> </w:t>
      </w:r>
      <w:r w:rsidRPr="00494ABB">
        <w:rPr>
          <w:rFonts w:ascii="Times" w:hAnsi="Times"/>
          <w:sz w:val="24"/>
          <w:lang w:val="en-GB"/>
        </w:rPr>
        <w:t xml:space="preserve">There were too many groups that would exist beyond any territorial boundary that could ever have been drawn. </w:t>
      </w:r>
      <w:r w:rsidR="00317156">
        <w:rPr>
          <w:rFonts w:ascii="Times" w:hAnsi="Times"/>
          <w:sz w:val="24"/>
          <w:lang w:val="en-GB"/>
        </w:rPr>
        <w:t>National groups</w:t>
      </w:r>
      <w:r w:rsidRPr="00494ABB">
        <w:rPr>
          <w:rFonts w:ascii="Times" w:hAnsi="Times"/>
          <w:sz w:val="24"/>
          <w:lang w:val="en-GB"/>
        </w:rPr>
        <w:t xml:space="preserve"> would overlap because they could not identify with clearly demarcated territories, while smaller groups would find themselves in states defined along ethnic allegiances.</w:t>
      </w:r>
    </w:p>
    <w:p w14:paraId="4F0B6B52" w14:textId="17462DF8" w:rsidR="006E3F77" w:rsidRPr="00494ABB" w:rsidRDefault="006E3F77" w:rsidP="00317156">
      <w:pPr>
        <w:ind w:firstLine="720"/>
        <w:jc w:val="both"/>
        <w:rPr>
          <w:rFonts w:ascii="Times" w:hAnsi="Times"/>
          <w:sz w:val="24"/>
          <w:lang w:val="en-GB"/>
        </w:rPr>
      </w:pPr>
      <w:r w:rsidRPr="00494ABB">
        <w:rPr>
          <w:rFonts w:ascii="Times" w:hAnsi="Times"/>
          <w:sz w:val="24"/>
          <w:lang w:val="en-GB"/>
        </w:rPr>
        <w:t xml:space="preserve">The peacemakers could not allow the creation of categories of semi- or non-citizens domestically and thus agreed to overcome this unexpected discrepancy by granting certain guarantees to minorities within post-imperial states. The Allies decided that specific Minority Treaties signed between them and post-imperial states would delineate the contours of new states’ domestic communities. Representatives of new states were against the </w:t>
      </w:r>
      <w:r w:rsidRPr="00494ABB">
        <w:rPr>
          <w:rFonts w:ascii="Times" w:hAnsi="Times"/>
          <w:i/>
          <w:sz w:val="24"/>
          <w:lang w:val="en-GB"/>
        </w:rPr>
        <w:t>ad hoc</w:t>
      </w:r>
      <w:r w:rsidRPr="00494ABB">
        <w:rPr>
          <w:rFonts w:ascii="Times" w:hAnsi="Times"/>
          <w:sz w:val="24"/>
          <w:lang w:val="en-GB"/>
        </w:rPr>
        <w:t xml:space="preserve"> imposition of international responsibilities through treaties, which, nevertheless, they ended up signing. The treaties included provisions on minorities as well as clauses on the allocation of nationality. They all assured that the criteria of citizenship allocation should be equality and that anyone who could not be granted the nationality of another state could acquire citizenship, either through birth or residence in the new state. The treaties also stated that all those having the same nationality should be equally treated by state authorities and granted the same guarantees of protection as well as political and civic rights (Report on the Protection of Minorities, 1926, p.6).</w:t>
      </w:r>
    </w:p>
    <w:p w14:paraId="04210C39" w14:textId="310683D6" w:rsidR="006E3F77" w:rsidRPr="00494ABB" w:rsidRDefault="00BD1BD9" w:rsidP="006E3F77">
      <w:pPr>
        <w:ind w:firstLine="720"/>
        <w:jc w:val="both"/>
        <w:rPr>
          <w:rFonts w:ascii="Times" w:hAnsi="Times"/>
          <w:sz w:val="24"/>
          <w:lang w:val="en-GB"/>
        </w:rPr>
      </w:pPr>
      <w:r>
        <w:rPr>
          <w:rFonts w:ascii="Times" w:hAnsi="Times"/>
          <w:sz w:val="24"/>
          <w:lang w:val="en-GB"/>
        </w:rPr>
        <w:t>As a result, m</w:t>
      </w:r>
      <w:r w:rsidR="006E3F77" w:rsidRPr="00494ABB">
        <w:rPr>
          <w:rFonts w:ascii="Times" w:hAnsi="Times"/>
          <w:sz w:val="24"/>
          <w:lang w:val="en-GB"/>
        </w:rPr>
        <w:t xml:space="preserve">inority rights were codified in the idea of equality of individuals, and not just that of groups. </w:t>
      </w:r>
      <w:r w:rsidR="00602F4A" w:rsidRPr="00494ABB">
        <w:rPr>
          <w:rFonts w:ascii="Times" w:hAnsi="Times"/>
          <w:sz w:val="24"/>
          <w:lang w:val="en-GB"/>
        </w:rPr>
        <w:t>T</w:t>
      </w:r>
      <w:r>
        <w:rPr>
          <w:rFonts w:ascii="Times" w:hAnsi="Times"/>
          <w:sz w:val="24"/>
          <w:lang w:val="en-GB"/>
        </w:rPr>
        <w:t>he peacemakers</w:t>
      </w:r>
      <w:r w:rsidR="006E3F77" w:rsidRPr="00494ABB">
        <w:rPr>
          <w:rFonts w:ascii="Times" w:hAnsi="Times"/>
          <w:sz w:val="24"/>
          <w:lang w:val="en-GB"/>
        </w:rPr>
        <w:t xml:space="preserve"> introduced the idea of political equality and equality of rights. All the treaties’ templates presented the same article on the equality of citizens of one state: ‘All … nationals shall be equal before the law and shall enjoy the same civil and political rights without distinction as to race, religion or language’. Nevertheless, treaties were flawed and presented various contradictions. One matter was particularly salient. While the treaties upheld political equality and equality of rights within the polity, they promoted hierarchical recognition of national and ethnic groups. The problem lay in the criteria used for recognition and ensuing allocation of rights. Despite available population censuses, the treaties did not recognise all the ethno-religious groups present in the territories of the </w:t>
      </w:r>
      <w:r w:rsidR="00504DEF">
        <w:rPr>
          <w:rFonts w:ascii="Times" w:hAnsi="Times"/>
          <w:sz w:val="24"/>
          <w:lang w:val="en-GB"/>
        </w:rPr>
        <w:t xml:space="preserve">new states. </w:t>
      </w:r>
      <w:proofErr w:type="gramStart"/>
      <w:r w:rsidR="00504DEF">
        <w:rPr>
          <w:rFonts w:ascii="Times" w:hAnsi="Times"/>
          <w:sz w:val="24"/>
          <w:lang w:val="en-GB"/>
        </w:rPr>
        <w:t xml:space="preserve">These distinctions </w:t>
      </w:r>
      <w:r w:rsidR="006E3F77" w:rsidRPr="00494ABB">
        <w:rPr>
          <w:rFonts w:ascii="Times" w:hAnsi="Times"/>
          <w:sz w:val="24"/>
          <w:lang w:val="en-GB"/>
        </w:rPr>
        <w:t>created different categories of citizens within states (Fink</w:t>
      </w:r>
      <w:r w:rsidR="00504DEF">
        <w:rPr>
          <w:rFonts w:ascii="Times" w:hAnsi="Times"/>
          <w:sz w:val="24"/>
          <w:lang w:val="en-GB"/>
        </w:rPr>
        <w:t>,</w:t>
      </w:r>
      <w:r w:rsidR="006E3F77" w:rsidRPr="00494ABB">
        <w:rPr>
          <w:rFonts w:ascii="Times" w:hAnsi="Times"/>
          <w:sz w:val="24"/>
          <w:lang w:val="en-GB"/>
        </w:rPr>
        <w:t xml:space="preserve"> 2004).</w:t>
      </w:r>
      <w:proofErr w:type="gramEnd"/>
    </w:p>
    <w:p w14:paraId="02DE9B9C" w14:textId="77777777" w:rsidR="006E3F77" w:rsidRPr="00494ABB" w:rsidRDefault="006E3F77" w:rsidP="006E3F77">
      <w:pPr>
        <w:jc w:val="both"/>
        <w:rPr>
          <w:rFonts w:ascii="Times" w:hAnsi="Times"/>
          <w:sz w:val="24"/>
          <w:lang w:val="en-GB"/>
        </w:rPr>
      </w:pPr>
    </w:p>
    <w:p w14:paraId="31046C4A" w14:textId="4591C55F" w:rsidR="006E3F77" w:rsidRPr="00494ABB" w:rsidRDefault="006E3F77" w:rsidP="006E3F77">
      <w:pPr>
        <w:jc w:val="both"/>
        <w:rPr>
          <w:rFonts w:ascii="Times" w:hAnsi="Times"/>
          <w:b/>
          <w:i/>
          <w:sz w:val="24"/>
          <w:lang w:val="en-GB"/>
        </w:rPr>
      </w:pPr>
      <w:r w:rsidRPr="00494ABB">
        <w:rPr>
          <w:rFonts w:ascii="Times" w:hAnsi="Times"/>
          <w:b/>
          <w:i/>
          <w:sz w:val="24"/>
          <w:lang w:val="en-GB"/>
        </w:rPr>
        <w:t>The Minority</w:t>
      </w:r>
      <w:r w:rsidR="005B6F94">
        <w:rPr>
          <w:rFonts w:ascii="Times" w:hAnsi="Times"/>
          <w:b/>
          <w:i/>
          <w:sz w:val="24"/>
          <w:lang w:val="en-GB"/>
        </w:rPr>
        <w:t xml:space="preserve"> Treaty of Saint-</w:t>
      </w:r>
      <w:proofErr w:type="spellStart"/>
      <w:r w:rsidR="005B6F94">
        <w:rPr>
          <w:rFonts w:ascii="Times" w:hAnsi="Times"/>
          <w:b/>
          <w:i/>
          <w:sz w:val="24"/>
          <w:lang w:val="en-GB"/>
        </w:rPr>
        <w:t>Germain</w:t>
      </w:r>
      <w:proofErr w:type="spellEnd"/>
      <w:r w:rsidRPr="00494ABB">
        <w:rPr>
          <w:rFonts w:ascii="Times" w:hAnsi="Times"/>
          <w:b/>
          <w:i/>
          <w:sz w:val="24"/>
          <w:lang w:val="en-GB"/>
        </w:rPr>
        <w:t>: between equality and differentiated recognition</w:t>
      </w:r>
    </w:p>
    <w:p w14:paraId="11BB2AB4" w14:textId="77777777" w:rsidR="006E3F77" w:rsidRPr="00494ABB" w:rsidRDefault="006E3F77" w:rsidP="006E3F77">
      <w:pPr>
        <w:jc w:val="both"/>
        <w:rPr>
          <w:rFonts w:ascii="Times" w:hAnsi="Times"/>
          <w:b/>
          <w:sz w:val="24"/>
          <w:lang w:val="en-GB"/>
        </w:rPr>
      </w:pPr>
    </w:p>
    <w:p w14:paraId="5462015F" w14:textId="68917C82" w:rsidR="006E3F77" w:rsidRPr="00494ABB" w:rsidRDefault="006E3F77" w:rsidP="006E3F77">
      <w:pPr>
        <w:jc w:val="both"/>
        <w:rPr>
          <w:rFonts w:ascii="Times" w:hAnsi="Times"/>
          <w:sz w:val="24"/>
          <w:lang w:val="en-GB"/>
        </w:rPr>
      </w:pPr>
      <w:r w:rsidRPr="00494ABB">
        <w:rPr>
          <w:rFonts w:ascii="Times" w:hAnsi="Times"/>
          <w:sz w:val="24"/>
          <w:lang w:val="en-GB"/>
        </w:rPr>
        <w:t>Not unlike other Minority Treaties, the Treaty of Saint-</w:t>
      </w:r>
      <w:proofErr w:type="spellStart"/>
      <w:r w:rsidRPr="00494ABB">
        <w:rPr>
          <w:rFonts w:ascii="Times" w:hAnsi="Times"/>
          <w:sz w:val="24"/>
          <w:lang w:val="en-GB"/>
        </w:rPr>
        <w:t>Germain</w:t>
      </w:r>
      <w:proofErr w:type="spellEnd"/>
      <w:r w:rsidRPr="00494ABB">
        <w:rPr>
          <w:rFonts w:ascii="Times" w:hAnsi="Times"/>
          <w:sz w:val="24"/>
          <w:lang w:val="en-GB"/>
        </w:rPr>
        <w:t xml:space="preserve"> for the Kingdom of Croats, Serbs and Slovenes failed to grasp the complexity of the domestic context to which it was directed. The Kingdom’s creation had been proclaimed a month before the start of the peace conference, and, despite its name, it included the territories of Bosnia and Herzegovina, Croatia, part of Kosovo, part of Macedonia, Montenegro, Serbia and Slovenia. The national delegation sent to Paris </w:t>
      </w:r>
      <w:r w:rsidR="000D0F9F">
        <w:rPr>
          <w:rFonts w:ascii="Times" w:hAnsi="Times"/>
          <w:sz w:val="24"/>
          <w:lang w:val="en-GB"/>
        </w:rPr>
        <w:t xml:space="preserve">for the conference </w:t>
      </w:r>
      <w:r w:rsidRPr="00494ABB">
        <w:rPr>
          <w:rFonts w:ascii="Times" w:hAnsi="Times"/>
          <w:sz w:val="24"/>
          <w:lang w:val="en-GB"/>
        </w:rPr>
        <w:t xml:space="preserve">contended that the Kingdom of Croats, Serbs and Slovenes </w:t>
      </w:r>
      <w:proofErr w:type="gramStart"/>
      <w:r w:rsidRPr="00494ABB">
        <w:rPr>
          <w:rFonts w:ascii="Times" w:hAnsi="Times"/>
          <w:sz w:val="24"/>
          <w:lang w:val="en-GB"/>
        </w:rPr>
        <w:t>was</w:t>
      </w:r>
      <w:proofErr w:type="gramEnd"/>
      <w:r w:rsidRPr="00494ABB">
        <w:rPr>
          <w:rFonts w:ascii="Times" w:hAnsi="Times"/>
          <w:sz w:val="24"/>
          <w:lang w:val="en-GB"/>
        </w:rPr>
        <w:t xml:space="preserve"> the state of a ‘single people, with three names, three religions and two alphabets’ (Miller 1924, p. 473). However, when the Peace Conference began in January 1919, the newly formed Kingdom did not possess clearly defined boundaries, be they linguistic, ethnic, religious or territorial. These were to be defined at the conference. Similar to other post-imperial states, this process was surrounded by several inconsistencies, both on the side of the Yugoslav delegates and the Allies. </w:t>
      </w:r>
    </w:p>
    <w:p w14:paraId="4EDB8C60" w14:textId="30626710" w:rsidR="006E3F77" w:rsidRPr="00494ABB" w:rsidRDefault="006E3F77" w:rsidP="006E3F77">
      <w:pPr>
        <w:ind w:firstLine="720"/>
        <w:jc w:val="both"/>
        <w:rPr>
          <w:rFonts w:ascii="Times" w:hAnsi="Times"/>
          <w:b/>
          <w:sz w:val="24"/>
          <w:lang w:val="en-GB"/>
        </w:rPr>
      </w:pPr>
      <w:r w:rsidRPr="00494ABB">
        <w:rPr>
          <w:rFonts w:ascii="Times" w:hAnsi="Times"/>
          <w:sz w:val="24"/>
          <w:lang w:val="en-GB"/>
        </w:rPr>
        <w:t xml:space="preserve">The delegation’s discourse in Paris consisted in claiming that the Yugoslavs had managed to reunite in one ‘single nation’. However, what that meant was not </w:t>
      </w:r>
      <w:r w:rsidR="000D0F9F">
        <w:rPr>
          <w:rFonts w:ascii="Times" w:hAnsi="Times"/>
          <w:sz w:val="24"/>
          <w:lang w:val="en-GB"/>
        </w:rPr>
        <w:t xml:space="preserve">fully </w:t>
      </w:r>
      <w:r w:rsidRPr="00494ABB">
        <w:rPr>
          <w:rFonts w:ascii="Times" w:hAnsi="Times"/>
          <w:sz w:val="24"/>
          <w:lang w:val="en-GB"/>
        </w:rPr>
        <w:t xml:space="preserve">clear. As </w:t>
      </w:r>
      <w:proofErr w:type="spellStart"/>
      <w:r w:rsidRPr="00494ABB">
        <w:rPr>
          <w:rFonts w:ascii="Times" w:hAnsi="Times"/>
          <w:sz w:val="24"/>
          <w:lang w:val="en-GB"/>
        </w:rPr>
        <w:t>Dejan</w:t>
      </w:r>
      <w:proofErr w:type="spellEnd"/>
      <w:r w:rsidRPr="00494ABB">
        <w:rPr>
          <w:rFonts w:ascii="Times" w:hAnsi="Times"/>
          <w:sz w:val="24"/>
          <w:lang w:val="en-GB"/>
        </w:rPr>
        <w:t xml:space="preserve"> </w:t>
      </w:r>
      <w:proofErr w:type="spellStart"/>
      <w:r w:rsidRPr="00494ABB">
        <w:rPr>
          <w:rFonts w:ascii="Times" w:hAnsi="Times"/>
          <w:sz w:val="24"/>
          <w:lang w:val="en-GB"/>
        </w:rPr>
        <w:t>Djokić</w:t>
      </w:r>
      <w:proofErr w:type="spellEnd"/>
      <w:r w:rsidRPr="00494ABB">
        <w:rPr>
          <w:rFonts w:ascii="Times" w:hAnsi="Times"/>
          <w:sz w:val="24"/>
          <w:lang w:val="en-GB"/>
        </w:rPr>
        <w:t xml:space="preserve"> writes, ‘it is too easy, especially in retrospect, to point out ethnic rivalries as undermining Yugoslavia from the very start’ (2010, p. 80). In Paris though, the two principal representatives of the Delegation, Nikola </w:t>
      </w:r>
      <w:proofErr w:type="spellStart"/>
      <w:r w:rsidRPr="00494ABB">
        <w:rPr>
          <w:rFonts w:ascii="Times" w:hAnsi="Times"/>
          <w:sz w:val="24"/>
          <w:lang w:val="en-GB"/>
        </w:rPr>
        <w:t>Pašić</w:t>
      </w:r>
      <w:proofErr w:type="spellEnd"/>
      <w:r w:rsidRPr="00494ABB">
        <w:rPr>
          <w:rFonts w:ascii="Times" w:hAnsi="Times"/>
          <w:sz w:val="24"/>
          <w:lang w:val="en-GB"/>
        </w:rPr>
        <w:t xml:space="preserve"> and Ante </w:t>
      </w:r>
      <w:proofErr w:type="spellStart"/>
      <w:r w:rsidRPr="00494ABB">
        <w:rPr>
          <w:rFonts w:ascii="Times" w:hAnsi="Times"/>
          <w:sz w:val="24"/>
          <w:lang w:val="en-GB"/>
        </w:rPr>
        <w:t>Trumbić</w:t>
      </w:r>
      <w:proofErr w:type="spellEnd"/>
      <w:r w:rsidRPr="00494ABB">
        <w:rPr>
          <w:rFonts w:ascii="Times" w:hAnsi="Times"/>
          <w:sz w:val="24"/>
          <w:lang w:val="en-GB"/>
        </w:rPr>
        <w:t xml:space="preserve">, embodied very different views of the Yugoslav nation. </w:t>
      </w:r>
      <w:proofErr w:type="spellStart"/>
      <w:r w:rsidRPr="00494ABB">
        <w:rPr>
          <w:rFonts w:ascii="Times" w:hAnsi="Times"/>
          <w:sz w:val="24"/>
          <w:lang w:val="en-GB"/>
        </w:rPr>
        <w:t>Pašić</w:t>
      </w:r>
      <w:proofErr w:type="spellEnd"/>
      <w:r w:rsidRPr="00494ABB">
        <w:rPr>
          <w:rFonts w:ascii="Times" w:hAnsi="Times"/>
          <w:sz w:val="24"/>
          <w:lang w:val="en-GB"/>
        </w:rPr>
        <w:t xml:space="preserve"> understood </w:t>
      </w:r>
      <w:proofErr w:type="spellStart"/>
      <w:r w:rsidRPr="00494ABB">
        <w:rPr>
          <w:rFonts w:ascii="Times" w:hAnsi="Times"/>
          <w:sz w:val="24"/>
          <w:lang w:val="en-GB"/>
        </w:rPr>
        <w:t>Yugoslavism</w:t>
      </w:r>
      <w:proofErr w:type="spellEnd"/>
      <w:r w:rsidRPr="00494ABB">
        <w:rPr>
          <w:rFonts w:ascii="Times" w:hAnsi="Times"/>
          <w:sz w:val="24"/>
          <w:lang w:val="en-GB"/>
        </w:rPr>
        <w:t xml:space="preserve"> as a one version of </w:t>
      </w:r>
      <w:r w:rsidRPr="00494ABB">
        <w:rPr>
          <w:rFonts w:ascii="Times" w:hAnsi="Times"/>
          <w:i/>
          <w:sz w:val="24"/>
          <w:lang w:val="en-GB"/>
        </w:rPr>
        <w:t xml:space="preserve">Greater </w:t>
      </w:r>
      <w:proofErr w:type="spellStart"/>
      <w:r w:rsidRPr="00494ABB">
        <w:rPr>
          <w:rFonts w:ascii="Times" w:hAnsi="Times"/>
          <w:i/>
          <w:sz w:val="24"/>
          <w:lang w:val="en-GB"/>
        </w:rPr>
        <w:t>Serbianism</w:t>
      </w:r>
      <w:proofErr w:type="spellEnd"/>
      <w:r w:rsidRPr="00494ABB">
        <w:rPr>
          <w:rFonts w:ascii="Times" w:hAnsi="Times"/>
          <w:i/>
          <w:sz w:val="24"/>
          <w:lang w:val="en-GB"/>
        </w:rPr>
        <w:t xml:space="preserve"> </w:t>
      </w:r>
      <w:r w:rsidRPr="00494ABB">
        <w:rPr>
          <w:rFonts w:ascii="Times" w:hAnsi="Times"/>
          <w:sz w:val="24"/>
          <w:lang w:val="en-GB"/>
        </w:rPr>
        <w:t xml:space="preserve">by which not all groups were equal; </w:t>
      </w:r>
      <w:proofErr w:type="spellStart"/>
      <w:r w:rsidRPr="00494ABB">
        <w:rPr>
          <w:rFonts w:ascii="Times" w:hAnsi="Times"/>
          <w:sz w:val="24"/>
          <w:lang w:val="en-GB"/>
        </w:rPr>
        <w:t>Trumbić</w:t>
      </w:r>
      <w:proofErr w:type="spellEnd"/>
      <w:r w:rsidRPr="00494ABB">
        <w:rPr>
          <w:rFonts w:ascii="Times" w:hAnsi="Times"/>
          <w:sz w:val="24"/>
          <w:lang w:val="en-GB"/>
        </w:rPr>
        <w:t xml:space="preserve"> viewed Yugoslavia as the union of three equal groups.</w:t>
      </w:r>
      <w:r w:rsidRPr="00494ABB">
        <w:rPr>
          <w:rStyle w:val="FootnoteReference"/>
          <w:rFonts w:ascii="Times" w:hAnsi="Times"/>
          <w:sz w:val="24"/>
          <w:lang w:val="en-GB"/>
        </w:rPr>
        <w:t xml:space="preserve"> </w:t>
      </w:r>
      <w:r w:rsidRPr="00494ABB">
        <w:rPr>
          <w:rFonts w:ascii="Times" w:hAnsi="Times"/>
          <w:sz w:val="24"/>
          <w:lang w:val="en-GB"/>
        </w:rPr>
        <w:t>Neither approach recognised the existence of other minorities within the boundaries of the Kingdom. In direct opposition to these claims, the Yugoslav 1921 census showed, two years after, that several other groups inhabited the country.</w:t>
      </w:r>
      <w:r w:rsidRPr="00494ABB">
        <w:rPr>
          <w:rStyle w:val="FootnoteReference"/>
          <w:rFonts w:ascii="Times" w:hAnsi="Times"/>
          <w:sz w:val="24"/>
          <w:lang w:val="en-GB"/>
        </w:rPr>
        <w:footnoteReference w:id="2"/>
      </w:r>
      <w:r w:rsidRPr="00494ABB">
        <w:rPr>
          <w:rFonts w:ascii="Times" w:hAnsi="Times"/>
          <w:sz w:val="24"/>
          <w:lang w:val="en-GB"/>
        </w:rPr>
        <w:t xml:space="preserve"> Made up of a mosaic of ethnic allegiances and kinships, the </w:t>
      </w:r>
      <w:r w:rsidR="00C02444">
        <w:rPr>
          <w:rFonts w:ascii="Times" w:hAnsi="Times"/>
          <w:sz w:val="24"/>
          <w:lang w:val="en-GB"/>
        </w:rPr>
        <w:t>Yugoslav Kingdom</w:t>
      </w:r>
      <w:r w:rsidRPr="00494ABB">
        <w:rPr>
          <w:rFonts w:ascii="Times" w:hAnsi="Times"/>
          <w:sz w:val="24"/>
          <w:lang w:val="en-GB"/>
        </w:rPr>
        <w:t xml:space="preserve"> presented a particularly complex situation. Difficulties proceeded in part from the discrepancy between demographic information that the Committee for the constitution of new states possessed and the claims of the Yugoslav delegates. While the national delegates declared that the Kingdom was composed of one single people, with </w:t>
      </w:r>
      <w:r w:rsidRPr="00494ABB">
        <w:rPr>
          <w:rFonts w:ascii="Times" w:hAnsi="Times"/>
          <w:i/>
          <w:sz w:val="24"/>
          <w:lang w:val="en-GB"/>
        </w:rPr>
        <w:t>three</w:t>
      </w:r>
      <w:r w:rsidRPr="00494ABB">
        <w:rPr>
          <w:rFonts w:ascii="Times" w:hAnsi="Times"/>
          <w:sz w:val="24"/>
          <w:lang w:val="en-GB"/>
        </w:rPr>
        <w:t xml:space="preserve"> names – Serbs, Croats and Slovenes – the last Austro-Hungarian census of 1910, indicated that in the region there were at least nine ethnic groups.</w:t>
      </w:r>
      <w:r w:rsidRPr="00494ABB">
        <w:rPr>
          <w:rStyle w:val="FootnoteReference"/>
          <w:rFonts w:ascii="Times" w:hAnsi="Times"/>
          <w:sz w:val="24"/>
          <w:lang w:val="en-GB"/>
        </w:rPr>
        <w:footnoteReference w:id="3"/>
      </w:r>
      <w:r w:rsidRPr="00494ABB">
        <w:rPr>
          <w:rFonts w:ascii="Times" w:hAnsi="Times"/>
          <w:sz w:val="24"/>
          <w:lang w:val="en-GB"/>
        </w:rPr>
        <w:t xml:space="preserve"> </w:t>
      </w:r>
    </w:p>
    <w:p w14:paraId="57A52A2C" w14:textId="77777777" w:rsidR="006E3F77" w:rsidRPr="00494ABB" w:rsidRDefault="006E3F77" w:rsidP="006E3F77">
      <w:pPr>
        <w:ind w:firstLine="720"/>
        <w:jc w:val="both"/>
        <w:rPr>
          <w:rFonts w:ascii="Times" w:hAnsi="Times"/>
          <w:sz w:val="24"/>
          <w:lang w:val="en-GB"/>
        </w:rPr>
      </w:pPr>
      <w:r w:rsidRPr="00494ABB">
        <w:rPr>
          <w:rFonts w:ascii="Times" w:hAnsi="Times"/>
          <w:sz w:val="24"/>
          <w:lang w:val="en-GB"/>
        </w:rPr>
        <w:t>In the final version of the Treaty of Saint-</w:t>
      </w:r>
      <w:proofErr w:type="spellStart"/>
      <w:r w:rsidRPr="00494ABB">
        <w:rPr>
          <w:rFonts w:ascii="Times" w:hAnsi="Times"/>
          <w:sz w:val="24"/>
          <w:lang w:val="en-GB"/>
        </w:rPr>
        <w:t>Germain</w:t>
      </w:r>
      <w:proofErr w:type="spellEnd"/>
      <w:r w:rsidRPr="00494ABB">
        <w:rPr>
          <w:rFonts w:ascii="Times" w:hAnsi="Times"/>
          <w:sz w:val="24"/>
          <w:lang w:val="en-GB"/>
        </w:rPr>
        <w:t xml:space="preserve">, the only four minority groups to be granted international recognition were the Austrian, Bulgarian, ‘Muslim’ (most probably including Muslims from Bosnia, </w:t>
      </w:r>
      <w:proofErr w:type="spellStart"/>
      <w:r w:rsidRPr="00494ABB">
        <w:rPr>
          <w:rFonts w:ascii="Times" w:hAnsi="Times"/>
          <w:sz w:val="24"/>
          <w:lang w:val="en-GB"/>
        </w:rPr>
        <w:t>Goranis</w:t>
      </w:r>
      <w:proofErr w:type="spellEnd"/>
      <w:r w:rsidRPr="00494ABB">
        <w:rPr>
          <w:rFonts w:ascii="Times" w:hAnsi="Times"/>
          <w:sz w:val="24"/>
          <w:lang w:val="en-GB"/>
        </w:rPr>
        <w:t xml:space="preserve">, and </w:t>
      </w:r>
      <w:proofErr w:type="spellStart"/>
      <w:r w:rsidRPr="00494ABB">
        <w:rPr>
          <w:rFonts w:ascii="Times" w:hAnsi="Times"/>
          <w:sz w:val="24"/>
          <w:lang w:val="en-GB"/>
        </w:rPr>
        <w:t>Torbesh</w:t>
      </w:r>
      <w:proofErr w:type="spellEnd"/>
      <w:r w:rsidRPr="00494ABB">
        <w:rPr>
          <w:rFonts w:ascii="Times" w:hAnsi="Times"/>
          <w:sz w:val="24"/>
          <w:lang w:val="en-GB"/>
        </w:rPr>
        <w:t>, although this was not specified) and Hungarian minorities.</w:t>
      </w:r>
      <w:r w:rsidRPr="00494ABB">
        <w:rPr>
          <w:rStyle w:val="FootnoteReference"/>
          <w:rFonts w:ascii="Times" w:hAnsi="Times"/>
          <w:sz w:val="24"/>
          <w:lang w:val="en-GB"/>
        </w:rPr>
        <w:footnoteReference w:id="4"/>
      </w:r>
      <w:r w:rsidRPr="00494ABB">
        <w:rPr>
          <w:rFonts w:ascii="Times" w:hAnsi="Times"/>
          <w:sz w:val="24"/>
          <w:lang w:val="en-GB"/>
        </w:rPr>
        <w:t xml:space="preserve"> Minority provisions were to be integrated in Yugoslav domestic legislation while the principle of equality of people ‘without distinction as to race, language or religion’</w:t>
      </w:r>
      <w:r w:rsidRPr="00494ABB">
        <w:rPr>
          <w:rStyle w:val="FootnoteReference"/>
          <w:rFonts w:ascii="Times" w:hAnsi="Times"/>
          <w:sz w:val="24"/>
          <w:lang w:val="en-GB"/>
        </w:rPr>
        <w:footnoteReference w:id="5"/>
      </w:r>
      <w:r w:rsidRPr="00494ABB">
        <w:rPr>
          <w:rFonts w:ascii="Times" w:hAnsi="Times"/>
          <w:sz w:val="24"/>
          <w:lang w:val="en-GB"/>
        </w:rPr>
        <w:t xml:space="preserve"> present in the treaty was included in the Kingdom’s constitution enacted in 1921. However, it was only in 1928 that the first national citizenship law was established. For almost ten years, the boundaries of the Yugoslav political community were blurred, and so were the norms establishing how such boundaries were to be delineated. Yugoslavia was a state founded on the principles of equality and ethno-national self-determination, yet with membership overlaps and uneven recognition. </w:t>
      </w:r>
    </w:p>
    <w:p w14:paraId="764FB804" w14:textId="77777777" w:rsidR="006E3F77" w:rsidRPr="00494ABB" w:rsidRDefault="006E3F77" w:rsidP="006E3F77">
      <w:pPr>
        <w:jc w:val="both"/>
        <w:rPr>
          <w:rFonts w:ascii="Times" w:hAnsi="Times"/>
          <w:b/>
          <w:sz w:val="24"/>
          <w:lang w:val="en-GB"/>
        </w:rPr>
      </w:pPr>
    </w:p>
    <w:p w14:paraId="6B537014" w14:textId="0963E24C" w:rsidR="006E3F77" w:rsidRPr="00494ABB" w:rsidRDefault="006E3F77" w:rsidP="006E3F77">
      <w:pPr>
        <w:jc w:val="both"/>
        <w:outlineLvl w:val="0"/>
        <w:rPr>
          <w:rFonts w:ascii="Times" w:hAnsi="Times"/>
          <w:b/>
          <w:i/>
          <w:sz w:val="24"/>
          <w:lang w:val="en-GB"/>
        </w:rPr>
      </w:pPr>
      <w:r w:rsidRPr="00494ABB">
        <w:rPr>
          <w:rFonts w:ascii="Times" w:hAnsi="Times"/>
          <w:b/>
          <w:i/>
          <w:sz w:val="24"/>
          <w:lang w:val="en-GB"/>
        </w:rPr>
        <w:t>Unequal Rights and Treatment in the</w:t>
      </w:r>
      <w:r w:rsidR="00C02444">
        <w:rPr>
          <w:rFonts w:ascii="Times" w:hAnsi="Times"/>
          <w:b/>
          <w:i/>
          <w:sz w:val="24"/>
          <w:lang w:val="en-GB"/>
        </w:rPr>
        <w:t xml:space="preserve"> Yugoslav Kingdom</w:t>
      </w:r>
    </w:p>
    <w:p w14:paraId="7AFFAE91" w14:textId="77777777" w:rsidR="006E3F77" w:rsidRPr="00494ABB" w:rsidRDefault="006E3F77" w:rsidP="006E3F77">
      <w:pPr>
        <w:jc w:val="both"/>
        <w:rPr>
          <w:rFonts w:ascii="Times" w:hAnsi="Times"/>
          <w:sz w:val="24"/>
          <w:lang w:val="en-GB"/>
        </w:rPr>
      </w:pPr>
    </w:p>
    <w:p w14:paraId="3DD8E1E5" w14:textId="3CFEC393" w:rsidR="006E3F77" w:rsidRPr="00494ABB" w:rsidRDefault="00AC65F2" w:rsidP="006E3F77">
      <w:pPr>
        <w:jc w:val="both"/>
        <w:rPr>
          <w:rFonts w:ascii="Times" w:hAnsi="Times"/>
          <w:sz w:val="24"/>
          <w:lang w:val="en-GB"/>
        </w:rPr>
      </w:pPr>
      <w:r>
        <w:rPr>
          <w:rFonts w:ascii="Times" w:hAnsi="Times"/>
          <w:sz w:val="24"/>
          <w:lang w:val="en-GB"/>
        </w:rPr>
        <w:t xml:space="preserve">From the Kingdom’s creation, </w:t>
      </w:r>
      <w:r w:rsidR="006E3F77" w:rsidRPr="00494ABB">
        <w:rPr>
          <w:rFonts w:ascii="Times" w:hAnsi="Times"/>
          <w:sz w:val="24"/>
          <w:lang w:val="en-GB"/>
        </w:rPr>
        <w:t xml:space="preserve">Yugoslav </w:t>
      </w:r>
      <w:proofErr w:type="gramStart"/>
      <w:r w:rsidR="006E3F77" w:rsidRPr="00494ABB">
        <w:rPr>
          <w:rFonts w:ascii="Times" w:hAnsi="Times"/>
          <w:sz w:val="24"/>
          <w:lang w:val="en-GB"/>
        </w:rPr>
        <w:t>officials</w:t>
      </w:r>
      <w:proofErr w:type="gramEnd"/>
      <w:r w:rsidR="006E3F77" w:rsidRPr="00494ABB">
        <w:rPr>
          <w:rFonts w:ascii="Times" w:hAnsi="Times"/>
          <w:sz w:val="24"/>
          <w:lang w:val="en-GB"/>
        </w:rPr>
        <w:t xml:space="preserve"> </w:t>
      </w:r>
      <w:r>
        <w:rPr>
          <w:rFonts w:ascii="Times" w:hAnsi="Times"/>
          <w:sz w:val="24"/>
          <w:lang w:val="en-GB"/>
        </w:rPr>
        <w:t>inaugurated</w:t>
      </w:r>
      <w:r w:rsidR="006E3F77" w:rsidRPr="00494ABB">
        <w:rPr>
          <w:rFonts w:ascii="Times" w:hAnsi="Times"/>
          <w:sz w:val="24"/>
          <w:lang w:val="en-GB"/>
        </w:rPr>
        <w:t xml:space="preserve"> discriminatory practices of differentiated membership as certain groups were recognised over others. </w:t>
      </w:r>
      <w:r>
        <w:rPr>
          <w:rFonts w:ascii="Times" w:hAnsi="Times"/>
          <w:sz w:val="24"/>
          <w:lang w:val="en-GB"/>
        </w:rPr>
        <w:t>The</w:t>
      </w:r>
      <w:r w:rsidR="006E3F77" w:rsidRPr="00494ABB">
        <w:rPr>
          <w:rFonts w:ascii="Times" w:hAnsi="Times"/>
          <w:sz w:val="24"/>
          <w:lang w:val="en-GB"/>
        </w:rPr>
        <w:t xml:space="preserve"> Treaties led to the possibility of justifying domestic discrimination in the name of international tools. T</w:t>
      </w:r>
      <w:r w:rsidR="006E3F77" w:rsidRPr="00494ABB">
        <w:rPr>
          <w:rFonts w:ascii="Times" w:hAnsi="Times"/>
          <w:color w:val="000000"/>
          <w:sz w:val="24"/>
          <w:lang w:val="en-GB"/>
        </w:rPr>
        <w:t xml:space="preserve">he unequal allocation of certain rights allowed the gradual exclusion of groups residing in the territory of Yugoslavia from its political community. These exclusions were represented by the loss of political rights or by the loss of other rights that impeded full membership in the political community. </w:t>
      </w:r>
    </w:p>
    <w:p w14:paraId="445ED35A" w14:textId="77777777" w:rsidR="006E3F77" w:rsidRPr="00494ABB" w:rsidRDefault="006E3F77" w:rsidP="006E3F77">
      <w:pPr>
        <w:ind w:firstLine="720"/>
        <w:jc w:val="both"/>
        <w:rPr>
          <w:rFonts w:ascii="Times" w:hAnsi="Times"/>
          <w:color w:val="000000"/>
          <w:sz w:val="24"/>
          <w:lang w:val="en-GB"/>
        </w:rPr>
      </w:pPr>
      <w:r w:rsidRPr="00494ABB">
        <w:rPr>
          <w:rFonts w:ascii="Times" w:hAnsi="Times"/>
          <w:color w:val="000000"/>
          <w:sz w:val="24"/>
          <w:lang w:val="en-GB"/>
        </w:rPr>
        <w:t>Accordingly, it is possible to identify within the Kingdom four population groups that experienced differentiated treatments. The first category, at the bottom of the hierarchy, encompassed all those individuals identifying with what Carole Fink has called the ‘unnamed minorities’; these were minorities that were not mentioned in the post-war international treaties (Fink, 2004, p.272). Individuals belonging to these groups were, in fact, denied their rights through the use of violence.</w:t>
      </w:r>
      <w:r w:rsidRPr="00494ABB">
        <w:rPr>
          <w:rStyle w:val="FootnoteReference"/>
          <w:rFonts w:ascii="Times" w:hAnsi="Times"/>
          <w:sz w:val="24"/>
          <w:lang w:val="en-GB"/>
        </w:rPr>
        <w:footnoteReference w:id="6"/>
      </w:r>
      <w:r w:rsidRPr="00494ABB">
        <w:rPr>
          <w:rFonts w:ascii="Times" w:hAnsi="Times"/>
          <w:color w:val="000000"/>
          <w:sz w:val="24"/>
          <w:lang w:val="en-GB"/>
        </w:rPr>
        <w:t xml:space="preserve"> The case of the Albanian minority is emblematic. Recognised in the censuses of the Ottoman Empire for the areas of contemporary Southern Serbia and Kosovo and representing 3.67% of the entire population (Yugoslav Census, 1921), most of the members of this minority group lived concentrated in the rural areas of the South of the Kingdom. During the 1920s, Albanians were deprived of their lands on a huge scale. The Kingdom’s authorities often redistributed these lands to other – principally Serbian – individuals, ‘</w:t>
      </w:r>
      <w:proofErr w:type="spellStart"/>
      <w:r w:rsidRPr="00494ABB">
        <w:rPr>
          <w:rFonts w:ascii="Times" w:hAnsi="Times"/>
          <w:i/>
          <w:color w:val="000000"/>
          <w:sz w:val="24"/>
          <w:lang w:val="en-GB"/>
        </w:rPr>
        <w:t>dans</w:t>
      </w:r>
      <w:proofErr w:type="spellEnd"/>
      <w:r w:rsidRPr="00494ABB">
        <w:rPr>
          <w:rFonts w:ascii="Times" w:hAnsi="Times"/>
          <w:i/>
          <w:color w:val="000000"/>
          <w:sz w:val="24"/>
          <w:lang w:val="en-GB"/>
        </w:rPr>
        <w:t xml:space="preserve"> le but </w:t>
      </w:r>
      <w:proofErr w:type="spellStart"/>
      <w:r w:rsidRPr="00494ABB">
        <w:rPr>
          <w:rFonts w:ascii="Times" w:hAnsi="Times"/>
          <w:i/>
          <w:color w:val="000000"/>
          <w:sz w:val="24"/>
          <w:lang w:val="en-GB"/>
        </w:rPr>
        <w:t>évident</w:t>
      </w:r>
      <w:proofErr w:type="spellEnd"/>
      <w:r w:rsidRPr="00494ABB">
        <w:rPr>
          <w:rFonts w:ascii="Times" w:hAnsi="Times"/>
          <w:i/>
          <w:color w:val="000000"/>
          <w:sz w:val="24"/>
          <w:lang w:val="en-GB"/>
        </w:rPr>
        <w:t xml:space="preserve"> de changer la </w:t>
      </w:r>
      <w:proofErr w:type="spellStart"/>
      <w:r w:rsidRPr="00494ABB">
        <w:rPr>
          <w:rFonts w:ascii="Times" w:hAnsi="Times"/>
          <w:i/>
          <w:color w:val="000000"/>
          <w:sz w:val="24"/>
          <w:lang w:val="en-GB"/>
        </w:rPr>
        <w:t>physionomie</w:t>
      </w:r>
      <w:proofErr w:type="spellEnd"/>
      <w:r w:rsidRPr="00494ABB">
        <w:rPr>
          <w:rFonts w:ascii="Times" w:hAnsi="Times"/>
          <w:i/>
          <w:color w:val="000000"/>
          <w:sz w:val="24"/>
          <w:lang w:val="en-GB"/>
        </w:rPr>
        <w:t xml:space="preserve"> </w:t>
      </w:r>
      <w:proofErr w:type="spellStart"/>
      <w:r w:rsidRPr="00494ABB">
        <w:rPr>
          <w:rFonts w:ascii="Times" w:hAnsi="Times"/>
          <w:i/>
          <w:color w:val="000000"/>
          <w:sz w:val="24"/>
          <w:lang w:val="en-GB"/>
        </w:rPr>
        <w:t>ethnique</w:t>
      </w:r>
      <w:proofErr w:type="spellEnd"/>
      <w:r w:rsidRPr="00494ABB">
        <w:rPr>
          <w:rFonts w:ascii="Times" w:hAnsi="Times"/>
          <w:i/>
          <w:color w:val="000000"/>
          <w:sz w:val="24"/>
          <w:lang w:val="en-GB"/>
        </w:rPr>
        <w:t xml:space="preserve"> de la </w:t>
      </w:r>
      <w:proofErr w:type="spellStart"/>
      <w:r w:rsidRPr="00494ABB">
        <w:rPr>
          <w:rFonts w:ascii="Times" w:hAnsi="Times"/>
          <w:i/>
          <w:color w:val="000000"/>
          <w:sz w:val="24"/>
          <w:lang w:val="en-GB"/>
        </w:rPr>
        <w:t>région</w:t>
      </w:r>
      <w:proofErr w:type="spellEnd"/>
      <w:r w:rsidRPr="00494ABB">
        <w:rPr>
          <w:rFonts w:ascii="Times" w:hAnsi="Times"/>
          <w:color w:val="000000"/>
          <w:sz w:val="24"/>
          <w:lang w:val="en-GB"/>
        </w:rPr>
        <w:t>’ [with the obvious goal of changing the ethnic composition of the region].</w:t>
      </w:r>
      <w:r w:rsidRPr="00494ABB">
        <w:rPr>
          <w:rStyle w:val="FootnoteReference"/>
          <w:rFonts w:ascii="Times" w:hAnsi="Times"/>
          <w:sz w:val="24"/>
          <w:lang w:val="en-GB"/>
        </w:rPr>
        <w:footnoteReference w:id="7"/>
      </w:r>
      <w:r w:rsidRPr="00494ABB">
        <w:rPr>
          <w:rFonts w:ascii="Times" w:hAnsi="Times"/>
          <w:color w:val="000000"/>
          <w:sz w:val="24"/>
          <w:lang w:val="en-GB"/>
        </w:rPr>
        <w:t xml:space="preserve"> Either because they were deprived of their resources and residence, or because the Kingdom’s authorities physically compelled them, numerous Albanians fled.</w:t>
      </w:r>
      <w:r w:rsidRPr="00494ABB">
        <w:rPr>
          <w:rStyle w:val="FootnoteReference"/>
          <w:rFonts w:ascii="Times" w:hAnsi="Times"/>
          <w:sz w:val="24"/>
          <w:lang w:val="en-GB"/>
        </w:rPr>
        <w:footnoteReference w:id="8"/>
      </w:r>
      <w:r w:rsidRPr="00494ABB">
        <w:rPr>
          <w:rFonts w:ascii="Times" w:hAnsi="Times"/>
          <w:color w:val="000000"/>
          <w:sz w:val="24"/>
          <w:lang w:val="en-GB"/>
        </w:rPr>
        <w:t xml:space="preserve"> </w:t>
      </w:r>
    </w:p>
    <w:p w14:paraId="04DEF047" w14:textId="208CF8CF" w:rsidR="006E3F77" w:rsidRPr="00285B8F" w:rsidRDefault="006E3F77" w:rsidP="006E3F77">
      <w:pPr>
        <w:ind w:firstLine="720"/>
        <w:jc w:val="both"/>
        <w:rPr>
          <w:rFonts w:ascii="Times" w:hAnsi="Times"/>
          <w:color w:val="000000"/>
          <w:sz w:val="24"/>
          <w:lang w:val="en-GB"/>
        </w:rPr>
      </w:pPr>
      <w:r w:rsidRPr="00494ABB">
        <w:rPr>
          <w:rFonts w:ascii="Times" w:hAnsi="Times"/>
          <w:color w:val="000000"/>
          <w:sz w:val="24"/>
          <w:lang w:val="en-GB"/>
        </w:rPr>
        <w:t xml:space="preserve">The second category encompassed groups self-identifying as minorities within the Kingdom and yet included in the Serbian ‘group’. These were internationally unnamed minorities, which, despite manifold protestations during the drafting of the Yugoslav minority treaty, were not recognised. The difference from the first group is that the state authorities were not interested in expelling them from the Kingdom. On the contrary, the Serbian majority perceived them as part of the same </w:t>
      </w:r>
      <w:r w:rsidR="00641E15" w:rsidRPr="00494ABB">
        <w:rPr>
          <w:rFonts w:ascii="Times" w:hAnsi="Times"/>
          <w:color w:val="000000"/>
          <w:sz w:val="24"/>
          <w:lang w:val="en-GB"/>
        </w:rPr>
        <w:t>kin</w:t>
      </w:r>
      <w:r w:rsidR="00641E15">
        <w:rPr>
          <w:rFonts w:ascii="Times" w:hAnsi="Times"/>
          <w:color w:val="000000"/>
          <w:sz w:val="24"/>
          <w:lang w:val="en-GB"/>
        </w:rPr>
        <w:t>, something that did not necessarily pose a problem to the Croats</w:t>
      </w:r>
      <w:r w:rsidRPr="00494ABB">
        <w:rPr>
          <w:rFonts w:ascii="Times" w:hAnsi="Times"/>
          <w:color w:val="000000"/>
          <w:sz w:val="24"/>
          <w:lang w:val="en-GB"/>
        </w:rPr>
        <w:t xml:space="preserve">. Indeed, in the 1921 census, these groups were ‘subsumed in the category </w:t>
      </w:r>
      <w:proofErr w:type="spellStart"/>
      <w:r w:rsidRPr="00494ABB">
        <w:rPr>
          <w:rFonts w:ascii="Times" w:hAnsi="Times"/>
          <w:color w:val="000000"/>
          <w:sz w:val="24"/>
          <w:lang w:val="en-GB"/>
        </w:rPr>
        <w:t>Serbo</w:t>
      </w:r>
      <w:proofErr w:type="spellEnd"/>
      <w:r w:rsidRPr="00494ABB">
        <w:rPr>
          <w:rFonts w:ascii="Times" w:hAnsi="Times"/>
          <w:color w:val="000000"/>
          <w:sz w:val="24"/>
          <w:lang w:val="en-GB"/>
        </w:rPr>
        <w:t>-Croats’ (</w:t>
      </w:r>
      <w:proofErr w:type="spellStart"/>
      <w:r w:rsidRPr="00494ABB">
        <w:rPr>
          <w:rFonts w:ascii="Times" w:hAnsi="Times"/>
          <w:color w:val="000000"/>
          <w:sz w:val="24"/>
          <w:lang w:val="en-GB"/>
        </w:rPr>
        <w:t>Kamusella</w:t>
      </w:r>
      <w:proofErr w:type="spellEnd"/>
      <w:r w:rsidRPr="00494ABB">
        <w:rPr>
          <w:rFonts w:ascii="Times" w:hAnsi="Times"/>
          <w:color w:val="000000"/>
          <w:sz w:val="24"/>
          <w:lang w:val="en-GB"/>
        </w:rPr>
        <w:t xml:space="preserve">, 2009, p. 251). Two cases specifically fell into this category, interestingly echoed by more contemporary </w:t>
      </w:r>
      <w:proofErr w:type="spellStart"/>
      <w:r w:rsidRPr="00494ABB">
        <w:rPr>
          <w:rFonts w:ascii="Times" w:hAnsi="Times"/>
          <w:color w:val="000000"/>
          <w:sz w:val="24"/>
          <w:lang w:val="en-GB"/>
        </w:rPr>
        <w:t>problematics</w:t>
      </w:r>
      <w:proofErr w:type="spellEnd"/>
      <w:r w:rsidRPr="00494ABB">
        <w:rPr>
          <w:rFonts w:ascii="Times" w:hAnsi="Times"/>
          <w:color w:val="000000"/>
          <w:sz w:val="24"/>
          <w:lang w:val="en-GB"/>
        </w:rPr>
        <w:t xml:space="preserve">: Montenegrins and Macedonians. </w:t>
      </w:r>
      <w:r w:rsidRPr="00494ABB">
        <w:rPr>
          <w:rFonts w:ascii="Times" w:hAnsi="Times"/>
          <w:sz w:val="24"/>
          <w:lang w:val="en-GB"/>
        </w:rPr>
        <w:t>Despite Wilson’s promise to grant a certain degree of recognition and autonomy to Montenegro in his famous Fourteen Points referring to it as one of the ‘Balkan states’,</w:t>
      </w:r>
      <w:r w:rsidRPr="00494ABB">
        <w:rPr>
          <w:rStyle w:val="FootnoteReference"/>
          <w:rFonts w:ascii="Times" w:hAnsi="Times"/>
          <w:sz w:val="24"/>
          <w:lang w:val="en-GB"/>
        </w:rPr>
        <w:footnoteReference w:id="9"/>
      </w:r>
      <w:r w:rsidRPr="00494ABB">
        <w:rPr>
          <w:rFonts w:ascii="Times" w:hAnsi="Times"/>
          <w:sz w:val="24"/>
          <w:lang w:val="en-GB"/>
        </w:rPr>
        <w:t xml:space="preserve"> Montenegrins were not given any special status within the Kingdom.</w:t>
      </w:r>
      <w:r w:rsidRPr="00494ABB">
        <w:rPr>
          <w:rFonts w:ascii="Times" w:hAnsi="Times"/>
          <w:color w:val="000000"/>
          <w:sz w:val="24"/>
          <w:lang w:val="en-GB"/>
        </w:rPr>
        <w:t xml:space="preserve"> From protestations against the lack of recognition of Montenegro’s sovereignty, throughout the 1920s these claims became allegations of physical mistreatment by militaries, and of deprivation of political and civil rights. Similar to the Montenegrin situation was the case of Macedonians from the area </w:t>
      </w:r>
      <w:r w:rsidR="00641E15">
        <w:rPr>
          <w:rFonts w:ascii="Times" w:hAnsi="Times"/>
          <w:color w:val="000000"/>
          <w:sz w:val="24"/>
          <w:lang w:val="en-GB"/>
        </w:rPr>
        <w:t>of</w:t>
      </w:r>
      <w:r w:rsidRPr="00494ABB">
        <w:rPr>
          <w:rFonts w:ascii="Times" w:hAnsi="Times"/>
          <w:color w:val="000000"/>
          <w:sz w:val="24"/>
          <w:lang w:val="en-GB"/>
        </w:rPr>
        <w:t xml:space="preserve"> ‘Southern Serbia’ (</w:t>
      </w:r>
      <w:proofErr w:type="spellStart"/>
      <w:r w:rsidRPr="00494ABB">
        <w:rPr>
          <w:rFonts w:ascii="Times" w:hAnsi="Times"/>
          <w:color w:val="000000"/>
          <w:sz w:val="24"/>
          <w:lang w:val="en-GB"/>
        </w:rPr>
        <w:t>Kamusella</w:t>
      </w:r>
      <w:proofErr w:type="spellEnd"/>
      <w:r w:rsidRPr="00494ABB">
        <w:rPr>
          <w:rFonts w:ascii="Times" w:hAnsi="Times"/>
          <w:color w:val="000000"/>
          <w:sz w:val="24"/>
          <w:lang w:val="en-GB"/>
        </w:rPr>
        <w:t xml:space="preserve">, 2009, p. 251). During the peace conference, Macedonians did not seek recognition as a sovereign state but as a minority group. This did not happen. </w:t>
      </w:r>
      <w:proofErr w:type="spellStart"/>
      <w:r w:rsidRPr="00494ABB">
        <w:rPr>
          <w:rFonts w:ascii="Times" w:hAnsi="Times"/>
          <w:color w:val="000000"/>
          <w:sz w:val="24"/>
          <w:lang w:val="en-GB"/>
        </w:rPr>
        <w:t>Pašić</w:t>
      </w:r>
      <w:proofErr w:type="spellEnd"/>
      <w:r w:rsidRPr="00494ABB">
        <w:rPr>
          <w:rFonts w:ascii="Times" w:hAnsi="Times"/>
          <w:color w:val="000000"/>
          <w:sz w:val="24"/>
          <w:lang w:val="en-GB"/>
        </w:rPr>
        <w:t xml:space="preserve"> declared before the Committee for new states, ‘</w:t>
      </w:r>
      <w:r w:rsidRPr="00494ABB">
        <w:rPr>
          <w:rFonts w:ascii="Times" w:hAnsi="Times"/>
          <w:sz w:val="24"/>
          <w:lang w:val="en-GB"/>
        </w:rPr>
        <w:t xml:space="preserve">the </w:t>
      </w:r>
      <w:r w:rsidRPr="00285B8F">
        <w:rPr>
          <w:rFonts w:ascii="Times" w:hAnsi="Times"/>
          <w:sz w:val="24"/>
          <w:lang w:val="en-GB"/>
        </w:rPr>
        <w:t>Macedonian Slavs have always been considered by the authorities of our state as Serbs</w:t>
      </w:r>
      <w:r w:rsidRPr="00285B8F">
        <w:rPr>
          <w:rFonts w:ascii="Times" w:hAnsi="Times"/>
          <w:color w:val="000000"/>
          <w:sz w:val="24"/>
          <w:lang w:val="en-GB"/>
        </w:rPr>
        <w:t>’</w:t>
      </w:r>
      <w:r w:rsidRPr="00285B8F">
        <w:rPr>
          <w:rStyle w:val="FootnoteReference"/>
          <w:rFonts w:ascii="Times" w:hAnsi="Times"/>
          <w:sz w:val="24"/>
          <w:lang w:val="en-GB"/>
        </w:rPr>
        <w:footnoteReference w:id="10"/>
      </w:r>
      <w:r w:rsidRPr="00285B8F">
        <w:rPr>
          <w:rFonts w:ascii="Times" w:hAnsi="Times"/>
          <w:color w:val="000000"/>
          <w:sz w:val="24"/>
          <w:lang w:val="en-GB"/>
        </w:rPr>
        <w:t xml:space="preserve"> </w:t>
      </w:r>
      <w:r w:rsidR="00285B8F" w:rsidRPr="00285B8F">
        <w:rPr>
          <w:rFonts w:ascii="Times" w:hAnsi="Times"/>
          <w:color w:val="000000"/>
          <w:sz w:val="24"/>
          <w:lang w:val="en-GB"/>
        </w:rPr>
        <w:t xml:space="preserve">– a comment with </w:t>
      </w:r>
      <w:r w:rsidRPr="00285B8F">
        <w:rPr>
          <w:rFonts w:ascii="Times" w:hAnsi="Times"/>
          <w:color w:val="000000"/>
          <w:sz w:val="24"/>
          <w:lang w:val="en-GB"/>
        </w:rPr>
        <w:t>which other Yugoslav deleg</w:t>
      </w:r>
      <w:r w:rsidR="00285B8F" w:rsidRPr="00285B8F">
        <w:rPr>
          <w:rFonts w:ascii="Times" w:hAnsi="Times"/>
          <w:color w:val="000000"/>
          <w:sz w:val="24"/>
          <w:lang w:val="en-GB"/>
        </w:rPr>
        <w:t>ates at the conference did not engage publicly</w:t>
      </w:r>
      <w:r w:rsidRPr="00285B8F">
        <w:rPr>
          <w:rFonts w:ascii="Times" w:hAnsi="Times"/>
          <w:color w:val="000000"/>
          <w:sz w:val="24"/>
          <w:lang w:val="en-GB"/>
        </w:rPr>
        <w:t>.</w:t>
      </w:r>
    </w:p>
    <w:p w14:paraId="77B47954" w14:textId="38A37AE5" w:rsidR="006E3F77" w:rsidRPr="00494ABB" w:rsidRDefault="006E3F77" w:rsidP="006E3F77">
      <w:pPr>
        <w:ind w:firstLine="720"/>
        <w:jc w:val="both"/>
        <w:rPr>
          <w:rFonts w:ascii="Times" w:hAnsi="Times"/>
          <w:color w:val="000000"/>
          <w:sz w:val="24"/>
          <w:lang w:val="en-GB"/>
        </w:rPr>
      </w:pPr>
      <w:r w:rsidRPr="00285B8F">
        <w:rPr>
          <w:rFonts w:ascii="Times" w:hAnsi="Times"/>
          <w:color w:val="000000"/>
          <w:sz w:val="24"/>
          <w:lang w:val="en-GB"/>
        </w:rPr>
        <w:t>Recognised minorities within the Treaty embodied the third category of discriminated individuals. As</w:t>
      </w:r>
      <w:r w:rsidRPr="00494ABB">
        <w:rPr>
          <w:rFonts w:ascii="Times" w:hAnsi="Times"/>
          <w:color w:val="000000"/>
          <w:sz w:val="24"/>
          <w:lang w:val="en-GB"/>
        </w:rPr>
        <w:t xml:space="preserve"> we have seen, the internationally recognised minorities were the Austrian, Bulgarian, Hungarian and ‘</w:t>
      </w:r>
      <w:proofErr w:type="spellStart"/>
      <w:r w:rsidRPr="00494ABB">
        <w:rPr>
          <w:rFonts w:ascii="Times" w:hAnsi="Times"/>
          <w:color w:val="000000"/>
          <w:sz w:val="24"/>
          <w:lang w:val="en-GB"/>
        </w:rPr>
        <w:t>Musulman</w:t>
      </w:r>
      <w:proofErr w:type="spellEnd"/>
      <w:r w:rsidRPr="00494ABB">
        <w:rPr>
          <w:rFonts w:ascii="Times" w:hAnsi="Times"/>
          <w:color w:val="000000"/>
          <w:sz w:val="24"/>
          <w:lang w:val="en-GB"/>
        </w:rPr>
        <w:t>’ groups. In a</w:t>
      </w:r>
      <w:r w:rsidR="00263FF4">
        <w:rPr>
          <w:rFonts w:ascii="Times" w:hAnsi="Times"/>
          <w:color w:val="000000"/>
          <w:sz w:val="24"/>
          <w:lang w:val="en-GB"/>
        </w:rPr>
        <w:t xml:space="preserve">ddition to these, the Kingdom </w:t>
      </w:r>
      <w:r w:rsidRPr="00494ABB">
        <w:rPr>
          <w:rFonts w:ascii="Times" w:hAnsi="Times"/>
          <w:color w:val="000000"/>
          <w:sz w:val="24"/>
          <w:lang w:val="en-GB"/>
        </w:rPr>
        <w:t>recognised the German minority. While the national constitution acknowledged provisions established in the Treaty of Saint-</w:t>
      </w:r>
      <w:proofErr w:type="spellStart"/>
      <w:r w:rsidRPr="00494ABB">
        <w:rPr>
          <w:rFonts w:ascii="Times" w:hAnsi="Times"/>
          <w:color w:val="000000"/>
          <w:sz w:val="24"/>
          <w:lang w:val="en-GB"/>
        </w:rPr>
        <w:t>Germain</w:t>
      </w:r>
      <w:proofErr w:type="spellEnd"/>
      <w:r w:rsidR="00263FF4">
        <w:rPr>
          <w:rFonts w:ascii="Times" w:hAnsi="Times"/>
          <w:color w:val="000000"/>
          <w:sz w:val="24"/>
          <w:lang w:val="en-GB"/>
        </w:rPr>
        <w:t xml:space="preserve"> on minority recognition and equality of rights</w:t>
      </w:r>
      <w:r w:rsidRPr="00494ABB">
        <w:rPr>
          <w:rFonts w:ascii="Times" w:hAnsi="Times"/>
          <w:color w:val="000000"/>
          <w:sz w:val="24"/>
          <w:lang w:val="en-GB"/>
        </w:rPr>
        <w:t xml:space="preserve">, specific laws were </w:t>
      </w:r>
      <w:r w:rsidR="00263FF4">
        <w:rPr>
          <w:rFonts w:ascii="Times" w:hAnsi="Times"/>
          <w:color w:val="000000"/>
          <w:sz w:val="24"/>
          <w:lang w:val="en-GB"/>
        </w:rPr>
        <w:t>re</w:t>
      </w:r>
      <w:r w:rsidRPr="00494ABB">
        <w:rPr>
          <w:rFonts w:ascii="Times" w:hAnsi="Times"/>
          <w:color w:val="000000"/>
          <w:sz w:val="24"/>
          <w:lang w:val="en-GB"/>
        </w:rPr>
        <w:t>strict</w:t>
      </w:r>
      <w:r w:rsidR="00263FF4">
        <w:rPr>
          <w:rFonts w:ascii="Times" w:hAnsi="Times"/>
          <w:color w:val="000000"/>
          <w:sz w:val="24"/>
          <w:lang w:val="en-GB"/>
        </w:rPr>
        <w:t>ive</w:t>
      </w:r>
      <w:r w:rsidRPr="00494ABB">
        <w:rPr>
          <w:rFonts w:ascii="Times" w:hAnsi="Times"/>
          <w:color w:val="000000"/>
          <w:sz w:val="24"/>
          <w:lang w:val="en-GB"/>
        </w:rPr>
        <w:t>. In relation to education, for example, the constitution authorised minorities to have their own schools (art. XVI). However, by looking at the law on national education, it becomes evident that minority schools could not easily exist.</w:t>
      </w:r>
      <w:r w:rsidRPr="00494ABB">
        <w:rPr>
          <w:rStyle w:val="FootnoteReference"/>
          <w:rFonts w:ascii="Times" w:hAnsi="Times"/>
          <w:sz w:val="24"/>
          <w:lang w:val="en-GB"/>
        </w:rPr>
        <w:footnoteReference w:id="11"/>
      </w:r>
      <w:r w:rsidRPr="00494ABB">
        <w:rPr>
          <w:rFonts w:ascii="Times" w:hAnsi="Times"/>
          <w:color w:val="000000"/>
          <w:sz w:val="24"/>
          <w:lang w:val="en-GB"/>
        </w:rPr>
        <w:t xml:space="preserve"> Freedom of religion was guaranteed in article II of the Constitution. Religions practised by recognised minorities coincided essentially with those of Serbs, Croats and Slovenes; these were Roman Catholicism (for Croats, Slovenes, Hungarians and Austrians) and Orthodox Catholicism (for Serbs and Bulgarians).</w:t>
      </w:r>
      <w:r w:rsidR="004152EE">
        <w:rPr>
          <w:rFonts w:ascii="Times" w:hAnsi="Times"/>
          <w:color w:val="000000"/>
          <w:sz w:val="24"/>
          <w:lang w:val="en-GB"/>
        </w:rPr>
        <w:t xml:space="preserve"> Toleration of other religions </w:t>
      </w:r>
      <w:r w:rsidRPr="00494ABB">
        <w:rPr>
          <w:rFonts w:ascii="Times" w:hAnsi="Times"/>
          <w:color w:val="000000"/>
          <w:sz w:val="24"/>
          <w:lang w:val="en-GB"/>
        </w:rPr>
        <w:t>was a more complex matter. By their very name, ‘Muslims’ were granted recognition on a religious basis. While other individua</w:t>
      </w:r>
      <w:r w:rsidR="00AC65F2">
        <w:rPr>
          <w:rFonts w:ascii="Times" w:hAnsi="Times"/>
          <w:color w:val="000000"/>
          <w:sz w:val="24"/>
          <w:lang w:val="en-GB"/>
        </w:rPr>
        <w:t>ls also practiced Islam (</w:t>
      </w:r>
      <w:r w:rsidRPr="00494ABB">
        <w:rPr>
          <w:rFonts w:ascii="Times" w:hAnsi="Times"/>
          <w:color w:val="000000"/>
          <w:sz w:val="24"/>
          <w:lang w:val="en-GB"/>
        </w:rPr>
        <w:t>Albanians in Kosovo and Macedonia) these were not recognised minorities in the treaties and were not allowed to publicly practise their religion. Jews</w:t>
      </w:r>
      <w:r w:rsidR="00AC65F2">
        <w:rPr>
          <w:rFonts w:ascii="Times" w:hAnsi="Times"/>
          <w:color w:val="000000"/>
          <w:sz w:val="24"/>
          <w:lang w:val="en-GB"/>
        </w:rPr>
        <w:t xml:space="preserve"> were in a similar situation</w:t>
      </w:r>
      <w:r w:rsidRPr="00494ABB">
        <w:rPr>
          <w:rFonts w:ascii="Times" w:hAnsi="Times"/>
          <w:color w:val="000000"/>
          <w:sz w:val="24"/>
          <w:lang w:val="en-GB"/>
        </w:rPr>
        <w:t>. Specifically in relation to political rights, recognised minorities were authorised by law to have their own political organisations and parties (</w:t>
      </w:r>
      <w:proofErr w:type="spellStart"/>
      <w:r w:rsidRPr="00494ABB">
        <w:rPr>
          <w:rFonts w:ascii="Times" w:hAnsi="Times"/>
          <w:color w:val="000000"/>
          <w:sz w:val="24"/>
          <w:lang w:val="en-GB"/>
        </w:rPr>
        <w:t>Bozić</w:t>
      </w:r>
      <w:proofErr w:type="spellEnd"/>
      <w:r w:rsidRPr="00494ABB">
        <w:rPr>
          <w:rFonts w:ascii="Times" w:hAnsi="Times"/>
          <w:color w:val="000000"/>
          <w:sz w:val="24"/>
          <w:lang w:val="en-GB"/>
        </w:rPr>
        <w:t>, 2007). Nonetheless, at the first parliamentary elections of 1923, only Muslims and Germans were granted seats.</w:t>
      </w:r>
      <w:r w:rsidRPr="00494ABB">
        <w:rPr>
          <w:rStyle w:val="FootnoteReference"/>
          <w:rFonts w:ascii="Times" w:hAnsi="Times"/>
          <w:sz w:val="24"/>
          <w:lang w:val="en-GB"/>
        </w:rPr>
        <w:footnoteReference w:id="12"/>
      </w:r>
      <w:r w:rsidRPr="00494ABB">
        <w:rPr>
          <w:rFonts w:ascii="Times" w:hAnsi="Times"/>
          <w:color w:val="000000"/>
          <w:sz w:val="24"/>
          <w:lang w:val="en-GB"/>
        </w:rPr>
        <w:t xml:space="preserve"> While other minority parties were allowed to participate in the elections, none gained any seat. For example, the Hungarian party had been proclaimed illegal by the Yugoslav authorities the same day of the elections and was accused of insurrectionism.</w:t>
      </w:r>
      <w:r w:rsidRPr="00494ABB">
        <w:rPr>
          <w:rStyle w:val="FootnoteReference"/>
          <w:rFonts w:ascii="Times" w:hAnsi="Times"/>
          <w:sz w:val="24"/>
          <w:lang w:val="en-GB"/>
        </w:rPr>
        <w:footnoteReference w:id="13"/>
      </w:r>
      <w:r w:rsidRPr="00494ABB">
        <w:rPr>
          <w:rFonts w:ascii="Times" w:hAnsi="Times"/>
          <w:color w:val="000000"/>
          <w:sz w:val="24"/>
          <w:lang w:val="en-GB"/>
        </w:rPr>
        <w:t xml:space="preserve"> Violations of political rights concerned other minorities too. Bulgarians for instance never even had the possibility of establishing a political party </w:t>
      </w:r>
      <w:r w:rsidR="00AC65F2">
        <w:rPr>
          <w:rFonts w:ascii="Times" w:hAnsi="Times"/>
          <w:color w:val="000000"/>
          <w:sz w:val="24"/>
          <w:lang w:val="en-GB"/>
        </w:rPr>
        <w:t>during the existence</w:t>
      </w:r>
      <w:r w:rsidRPr="00494ABB">
        <w:rPr>
          <w:rFonts w:ascii="Times" w:hAnsi="Times"/>
          <w:color w:val="000000"/>
          <w:sz w:val="24"/>
          <w:lang w:val="en-GB"/>
        </w:rPr>
        <w:t xml:space="preserve"> of the Kingdom. </w:t>
      </w:r>
    </w:p>
    <w:p w14:paraId="619F8BCB" w14:textId="49062677" w:rsidR="006E3F77" w:rsidRPr="00494ABB" w:rsidRDefault="006E3F77" w:rsidP="006E3F77">
      <w:pPr>
        <w:ind w:firstLine="720"/>
        <w:jc w:val="both"/>
        <w:rPr>
          <w:rFonts w:ascii="Times" w:hAnsi="Times"/>
          <w:color w:val="000000"/>
          <w:sz w:val="24"/>
          <w:lang w:val="en-GB"/>
        </w:rPr>
      </w:pPr>
      <w:r w:rsidRPr="00494ABB">
        <w:rPr>
          <w:rFonts w:ascii="Times" w:hAnsi="Times"/>
          <w:color w:val="000000"/>
          <w:sz w:val="24"/>
          <w:lang w:val="en-GB"/>
        </w:rPr>
        <w:t xml:space="preserve">The last discriminated category is more peculiar, as it includes Croats and Slovenes. These two ‘tribes,’ or ‘groups,’ officially part of a single nation along with Serbia, did not go through discriminations directly related to the exercise of their political rights; they were full members of the political community. Nonetheless, as pointed out by Sabrina </w:t>
      </w:r>
      <w:proofErr w:type="spellStart"/>
      <w:r w:rsidRPr="00494ABB">
        <w:rPr>
          <w:rFonts w:ascii="Times" w:hAnsi="Times"/>
          <w:color w:val="000000"/>
          <w:sz w:val="24"/>
          <w:lang w:val="en-GB"/>
        </w:rPr>
        <w:t>Ramet</w:t>
      </w:r>
      <w:proofErr w:type="spellEnd"/>
      <w:r w:rsidRPr="00494ABB">
        <w:rPr>
          <w:rFonts w:ascii="Times" w:hAnsi="Times"/>
          <w:color w:val="000000"/>
          <w:sz w:val="24"/>
          <w:lang w:val="en-GB"/>
        </w:rPr>
        <w:t xml:space="preserve">, throughout the existence of the Kingdom Serbs relegated Croatian and Slovenian language and culture to a secondary status (2006, p. 51). Serbian authorities found their justification in international discourse. </w:t>
      </w:r>
      <w:r w:rsidRPr="00C11944">
        <w:rPr>
          <w:rFonts w:ascii="Times" w:hAnsi="Times"/>
          <w:color w:val="000000"/>
          <w:sz w:val="24"/>
          <w:lang w:val="en-GB"/>
        </w:rPr>
        <w:t>The peacemakers recognised in the Minority Treaty pre-war Serbian obligations as a state. The Allies in Paris had legitimated Serbian primacy over other groups. They had acknowledged that Serbia lay at the foundation of the Kingdom of Serbs, Croats and Slovenes</w:t>
      </w:r>
      <w:r w:rsidR="00C11944" w:rsidRPr="00C11944">
        <w:rPr>
          <w:rFonts w:ascii="Times" w:hAnsi="Times"/>
          <w:color w:val="000000"/>
          <w:sz w:val="24"/>
          <w:lang w:val="en-GB"/>
        </w:rPr>
        <w:t xml:space="preserve"> </w:t>
      </w:r>
      <w:r w:rsidR="00C11944" w:rsidRPr="00C11944">
        <w:rPr>
          <w:rFonts w:ascii="Times" w:hAnsi="Times"/>
          <w:sz w:val="24"/>
          <w:lang w:val="en-GB"/>
        </w:rPr>
        <w:t>recognising Serbia as a pre-existing state to the conference,</w:t>
      </w:r>
      <w:r w:rsidR="00C11944" w:rsidRPr="00C11944">
        <w:rPr>
          <w:rFonts w:ascii="Times" w:hAnsi="Times"/>
          <w:color w:val="000000"/>
          <w:sz w:val="24"/>
          <w:lang w:val="en-GB"/>
        </w:rPr>
        <w:t xml:space="preserve"> </w:t>
      </w:r>
      <w:r w:rsidRPr="00C11944">
        <w:rPr>
          <w:rFonts w:ascii="Times" w:hAnsi="Times"/>
          <w:color w:val="000000"/>
          <w:sz w:val="24"/>
          <w:lang w:val="en-GB"/>
        </w:rPr>
        <w:t>thereby undermining the principle of equality on which, they also argued, the new state should be formed.</w:t>
      </w:r>
      <w:r w:rsidRPr="00494ABB">
        <w:rPr>
          <w:rFonts w:ascii="Times" w:hAnsi="Times"/>
          <w:color w:val="000000"/>
          <w:sz w:val="24"/>
          <w:lang w:val="en-GB"/>
        </w:rPr>
        <w:t xml:space="preserve"> </w:t>
      </w:r>
    </w:p>
    <w:p w14:paraId="066AE555" w14:textId="4A937A2E" w:rsidR="00335E5C" w:rsidRDefault="006E3F77" w:rsidP="00335E5C">
      <w:pPr>
        <w:ind w:firstLine="720"/>
        <w:jc w:val="both"/>
        <w:rPr>
          <w:rFonts w:ascii="Times" w:hAnsi="Times"/>
          <w:color w:val="000000"/>
          <w:sz w:val="24"/>
          <w:lang w:val="en-GB"/>
        </w:rPr>
      </w:pPr>
      <w:r w:rsidRPr="00494ABB">
        <w:rPr>
          <w:rFonts w:ascii="Times" w:hAnsi="Times"/>
          <w:color w:val="000000"/>
          <w:sz w:val="24"/>
          <w:lang w:val="en-GB"/>
        </w:rPr>
        <w:t>In the years l</w:t>
      </w:r>
      <w:r w:rsidR="005914C7">
        <w:rPr>
          <w:rFonts w:ascii="Times" w:hAnsi="Times"/>
          <w:color w:val="000000"/>
          <w:sz w:val="24"/>
          <w:lang w:val="en-GB"/>
        </w:rPr>
        <w:t xml:space="preserve">eading up to World War II, </w:t>
      </w:r>
      <w:r w:rsidRPr="00494ABB">
        <w:rPr>
          <w:rFonts w:ascii="Times" w:hAnsi="Times"/>
          <w:color w:val="000000"/>
          <w:sz w:val="24"/>
          <w:lang w:val="en-GB"/>
        </w:rPr>
        <w:t xml:space="preserve">uneven recognition and allocation of rights was used </w:t>
      </w:r>
      <w:r w:rsidR="00335E5C">
        <w:rPr>
          <w:rFonts w:ascii="Times" w:hAnsi="Times"/>
          <w:color w:val="000000"/>
          <w:sz w:val="24"/>
          <w:lang w:val="en-GB"/>
        </w:rPr>
        <w:t xml:space="preserve">in the post-imperial states </w:t>
      </w:r>
      <w:r w:rsidRPr="00494ABB">
        <w:rPr>
          <w:rFonts w:ascii="Times" w:hAnsi="Times"/>
          <w:color w:val="000000"/>
          <w:sz w:val="24"/>
          <w:lang w:val="en-GB"/>
        </w:rPr>
        <w:t>as a rationale for exclusion and</w:t>
      </w:r>
      <w:r w:rsidR="00335E5C">
        <w:rPr>
          <w:rFonts w:ascii="Times" w:hAnsi="Times"/>
          <w:color w:val="000000"/>
          <w:sz w:val="24"/>
          <w:lang w:val="en-GB"/>
        </w:rPr>
        <w:t>, at times,</w:t>
      </w:r>
      <w:r w:rsidRPr="00494ABB">
        <w:rPr>
          <w:rFonts w:ascii="Times" w:hAnsi="Times"/>
          <w:color w:val="000000"/>
          <w:sz w:val="24"/>
          <w:lang w:val="en-GB"/>
        </w:rPr>
        <w:t xml:space="preserve"> mass killings</w:t>
      </w:r>
      <w:r w:rsidR="005914C7">
        <w:rPr>
          <w:rFonts w:ascii="Times" w:hAnsi="Times"/>
          <w:color w:val="000000"/>
          <w:sz w:val="24"/>
          <w:lang w:val="en-GB"/>
        </w:rPr>
        <w:t xml:space="preserve"> (</w:t>
      </w:r>
      <w:proofErr w:type="spellStart"/>
      <w:r w:rsidR="005914C7">
        <w:rPr>
          <w:rFonts w:ascii="Times" w:hAnsi="Times"/>
          <w:color w:val="000000"/>
          <w:sz w:val="24"/>
          <w:lang w:val="en-GB"/>
        </w:rPr>
        <w:t>Weitz</w:t>
      </w:r>
      <w:proofErr w:type="spellEnd"/>
      <w:r w:rsidR="005914C7">
        <w:rPr>
          <w:rFonts w:ascii="Times" w:hAnsi="Times"/>
          <w:color w:val="000000"/>
          <w:sz w:val="24"/>
          <w:lang w:val="en-GB"/>
        </w:rPr>
        <w:t>, 2008)</w:t>
      </w:r>
      <w:r w:rsidRPr="00494ABB">
        <w:rPr>
          <w:rFonts w:ascii="Times" w:hAnsi="Times"/>
          <w:color w:val="000000"/>
          <w:sz w:val="24"/>
          <w:lang w:val="en-GB"/>
        </w:rPr>
        <w:t xml:space="preserve">. These were undertaken under the eyes of the League. In some sense, flawed international provisions permitted the occurrence of discrimination. Despite international clauses on equality and recognition, no action was taken since the Minority Treaties bore no enforcement mechanism. Having said that, the Minority Section at the League decided that individuals and groups </w:t>
      </w:r>
      <w:r w:rsidR="000254CF" w:rsidRPr="00494ABB">
        <w:rPr>
          <w:rFonts w:ascii="Times" w:hAnsi="Times"/>
          <w:color w:val="000000"/>
          <w:sz w:val="24"/>
          <w:lang w:val="en-GB"/>
        </w:rPr>
        <w:t>living in new</w:t>
      </w:r>
      <w:r w:rsidR="00276FC6">
        <w:rPr>
          <w:rFonts w:ascii="Times" w:hAnsi="Times"/>
          <w:color w:val="000000"/>
          <w:sz w:val="24"/>
          <w:lang w:val="en-GB"/>
        </w:rPr>
        <w:t xml:space="preserve"> </w:t>
      </w:r>
      <w:r w:rsidR="000254CF" w:rsidRPr="00494ABB">
        <w:rPr>
          <w:rFonts w:ascii="Times" w:hAnsi="Times"/>
          <w:color w:val="000000"/>
          <w:sz w:val="24"/>
          <w:lang w:val="en-GB"/>
        </w:rPr>
        <w:t xml:space="preserve">states </w:t>
      </w:r>
      <w:r w:rsidRPr="00494ABB">
        <w:rPr>
          <w:rFonts w:ascii="Times" w:hAnsi="Times"/>
          <w:color w:val="000000"/>
          <w:sz w:val="24"/>
          <w:lang w:val="en-GB"/>
        </w:rPr>
        <w:t xml:space="preserve">– no matter whether </w:t>
      </w:r>
      <w:r w:rsidR="000254CF">
        <w:rPr>
          <w:rFonts w:ascii="Times" w:hAnsi="Times"/>
          <w:color w:val="000000"/>
          <w:sz w:val="24"/>
          <w:lang w:val="en-GB"/>
        </w:rPr>
        <w:t>members of internationally recognised minorities</w:t>
      </w:r>
      <w:r w:rsidRPr="00494ABB">
        <w:rPr>
          <w:rFonts w:ascii="Times" w:hAnsi="Times"/>
          <w:color w:val="000000"/>
          <w:sz w:val="24"/>
          <w:lang w:val="en-GB"/>
        </w:rPr>
        <w:t xml:space="preserve"> - could send petitions to the organisation to complain against the violation of their rights as defined in Paris. A number of petitions </w:t>
      </w:r>
      <w:proofErr w:type="gramStart"/>
      <w:r w:rsidRPr="00494ABB">
        <w:rPr>
          <w:rFonts w:ascii="Times" w:hAnsi="Times"/>
          <w:color w:val="000000"/>
          <w:sz w:val="24"/>
          <w:lang w:val="en-GB"/>
        </w:rPr>
        <w:t>was</w:t>
      </w:r>
      <w:proofErr w:type="gramEnd"/>
      <w:r w:rsidRPr="00494ABB">
        <w:rPr>
          <w:rFonts w:ascii="Times" w:hAnsi="Times"/>
          <w:color w:val="000000"/>
          <w:sz w:val="24"/>
          <w:lang w:val="en-GB"/>
        </w:rPr>
        <w:t xml:space="preserve"> received throughout the 1920s to the Minority Section and some were transferred to the newly established Permanent Court of International Justice, though the majority was left unanswered (</w:t>
      </w:r>
      <w:proofErr w:type="spellStart"/>
      <w:r w:rsidRPr="00494ABB">
        <w:rPr>
          <w:rFonts w:ascii="Times" w:hAnsi="Times"/>
          <w:color w:val="000000"/>
          <w:sz w:val="24"/>
          <w:lang w:val="en-GB"/>
        </w:rPr>
        <w:t>Broelmann</w:t>
      </w:r>
      <w:proofErr w:type="spellEnd"/>
      <w:r w:rsidRPr="00494ABB">
        <w:rPr>
          <w:rFonts w:ascii="Times" w:hAnsi="Times"/>
          <w:color w:val="000000"/>
          <w:sz w:val="24"/>
          <w:lang w:val="en-GB"/>
        </w:rPr>
        <w:t xml:space="preserve"> in Tams and Fitzmaurice, 2013, pp. 123-144). </w:t>
      </w:r>
      <w:r w:rsidR="00263FF4">
        <w:rPr>
          <w:rFonts w:ascii="Times" w:hAnsi="Times"/>
          <w:color w:val="000000"/>
          <w:sz w:val="24"/>
          <w:lang w:val="en-GB"/>
        </w:rPr>
        <w:t>T</w:t>
      </w:r>
      <w:r w:rsidRPr="00494ABB">
        <w:rPr>
          <w:rFonts w:ascii="Times" w:hAnsi="Times"/>
          <w:color w:val="000000"/>
          <w:sz w:val="24"/>
          <w:lang w:val="en-GB"/>
        </w:rPr>
        <w:t xml:space="preserve">he international supervisory regime for new post-imperial states as inaugurated in Paris and later pursued at the League </w:t>
      </w:r>
      <w:r w:rsidR="00263FF4">
        <w:rPr>
          <w:rFonts w:ascii="Times" w:hAnsi="Times"/>
          <w:color w:val="000000"/>
          <w:sz w:val="24"/>
          <w:lang w:val="en-GB"/>
        </w:rPr>
        <w:t xml:space="preserve">thus </w:t>
      </w:r>
      <w:r w:rsidRPr="00494ABB">
        <w:rPr>
          <w:rFonts w:ascii="Times" w:hAnsi="Times"/>
          <w:color w:val="000000"/>
          <w:sz w:val="24"/>
          <w:lang w:val="en-GB"/>
        </w:rPr>
        <w:t>had a twofold role. On the one hand it allowed for citizenship and ethnic stratifications in post-imperial states; on the other it enabled those very same individuals giving them the right to express against mistreatment internationally</w:t>
      </w:r>
      <w:r w:rsidR="009C2C0D" w:rsidRPr="00494ABB">
        <w:rPr>
          <w:rFonts w:ascii="Times" w:hAnsi="Times"/>
          <w:color w:val="000000"/>
          <w:sz w:val="24"/>
          <w:lang w:val="en-GB"/>
        </w:rPr>
        <w:t>.</w:t>
      </w:r>
      <w:r w:rsidR="00335E5C">
        <w:rPr>
          <w:rFonts w:ascii="Times" w:hAnsi="Times"/>
          <w:color w:val="000000"/>
          <w:sz w:val="24"/>
          <w:lang w:val="en-GB"/>
        </w:rPr>
        <w:t xml:space="preserve"> </w:t>
      </w:r>
      <w:r w:rsidR="000254CF">
        <w:rPr>
          <w:rFonts w:ascii="Times" w:hAnsi="Times"/>
          <w:color w:val="000000"/>
          <w:sz w:val="24"/>
          <w:lang w:val="en-GB"/>
        </w:rPr>
        <w:t xml:space="preserve">The </w:t>
      </w:r>
      <w:r w:rsidR="00666DC5">
        <w:rPr>
          <w:rFonts w:ascii="Times" w:hAnsi="Times"/>
          <w:color w:val="000000"/>
          <w:sz w:val="24"/>
          <w:lang w:val="en-GB"/>
        </w:rPr>
        <w:t>1990s context would resonate with the</w:t>
      </w:r>
      <w:r w:rsidR="00666DC5" w:rsidRPr="00666DC5">
        <w:rPr>
          <w:rFonts w:ascii="Times" w:hAnsi="Times"/>
          <w:color w:val="000000"/>
          <w:sz w:val="24"/>
          <w:lang w:val="en-GB"/>
        </w:rPr>
        <w:t xml:space="preserve"> </w:t>
      </w:r>
      <w:r w:rsidR="00666DC5">
        <w:rPr>
          <w:rFonts w:ascii="Times" w:hAnsi="Times"/>
          <w:color w:val="000000"/>
          <w:sz w:val="24"/>
          <w:lang w:val="en-GB"/>
        </w:rPr>
        <w:t>post-World</w:t>
      </w:r>
      <w:bookmarkStart w:id="0" w:name="_GoBack"/>
      <w:bookmarkEnd w:id="0"/>
      <w:r w:rsidR="00666DC5">
        <w:rPr>
          <w:rFonts w:ascii="Times" w:hAnsi="Times"/>
          <w:color w:val="000000"/>
          <w:sz w:val="24"/>
          <w:lang w:val="en-GB"/>
        </w:rPr>
        <w:t xml:space="preserve"> War I period</w:t>
      </w:r>
      <w:r w:rsidR="00335E5C">
        <w:rPr>
          <w:rFonts w:ascii="Times" w:hAnsi="Times"/>
          <w:color w:val="000000"/>
          <w:sz w:val="24"/>
          <w:lang w:val="en-GB"/>
        </w:rPr>
        <w:t>.</w:t>
      </w:r>
    </w:p>
    <w:p w14:paraId="0ACE823D" w14:textId="77777777" w:rsidR="006E3F77" w:rsidRPr="00494ABB" w:rsidRDefault="006E3F77" w:rsidP="006E3F77">
      <w:pPr>
        <w:jc w:val="both"/>
        <w:rPr>
          <w:rFonts w:ascii="Times" w:hAnsi="Times"/>
          <w:sz w:val="24"/>
          <w:highlight w:val="yellow"/>
          <w:lang w:val="en-GB"/>
        </w:rPr>
      </w:pPr>
    </w:p>
    <w:p w14:paraId="2F670666" w14:textId="77777777" w:rsidR="006E3F77" w:rsidRPr="00494ABB" w:rsidRDefault="006E3F77" w:rsidP="006E3F77">
      <w:pPr>
        <w:jc w:val="both"/>
        <w:rPr>
          <w:rFonts w:ascii="Times" w:hAnsi="Times"/>
          <w:b/>
          <w:sz w:val="24"/>
          <w:lang w:val="en-GB"/>
        </w:rPr>
      </w:pPr>
      <w:r w:rsidRPr="00494ABB">
        <w:rPr>
          <w:rFonts w:ascii="Times" w:hAnsi="Times"/>
          <w:b/>
          <w:sz w:val="24"/>
          <w:lang w:val="en-GB"/>
        </w:rPr>
        <w:t xml:space="preserve">The Dismemberment of Yugoslavia inside out: recognising new states and defining domestic membership </w:t>
      </w:r>
    </w:p>
    <w:p w14:paraId="1E6D3F4A" w14:textId="77777777" w:rsidR="006E3F77" w:rsidRPr="00494ABB" w:rsidRDefault="006E3F77" w:rsidP="006E3F77">
      <w:pPr>
        <w:jc w:val="both"/>
        <w:rPr>
          <w:rFonts w:ascii="Times" w:hAnsi="Times"/>
          <w:i/>
          <w:sz w:val="24"/>
          <w:lang w:val="en-GB"/>
        </w:rPr>
      </w:pPr>
    </w:p>
    <w:p w14:paraId="6021B141" w14:textId="14B83E9D" w:rsidR="006E3F77" w:rsidRPr="00494ABB" w:rsidRDefault="006E3F77" w:rsidP="006E3F77">
      <w:pPr>
        <w:jc w:val="both"/>
        <w:rPr>
          <w:rFonts w:ascii="Times" w:hAnsi="Times"/>
          <w:sz w:val="24"/>
          <w:lang w:val="en-GB"/>
        </w:rPr>
      </w:pPr>
      <w:r w:rsidRPr="00494ABB">
        <w:rPr>
          <w:rFonts w:ascii="Times" w:hAnsi="Times"/>
          <w:sz w:val="24"/>
          <w:lang w:val="en-GB"/>
        </w:rPr>
        <w:t xml:space="preserve">As violence and exclusion were surrounding the break-up of Yugoslavia, the </w:t>
      </w:r>
      <w:r w:rsidR="00894210" w:rsidRPr="00494ABB">
        <w:rPr>
          <w:rFonts w:ascii="Times" w:hAnsi="Times"/>
          <w:sz w:val="24"/>
          <w:lang w:val="en-GB"/>
        </w:rPr>
        <w:t xml:space="preserve">EC </w:t>
      </w:r>
      <w:r w:rsidRPr="00494ABB">
        <w:rPr>
          <w:rFonts w:ascii="Times" w:hAnsi="Times"/>
          <w:sz w:val="24"/>
          <w:lang w:val="en-GB"/>
        </w:rPr>
        <w:t>create</w:t>
      </w:r>
      <w:r w:rsidR="00894210" w:rsidRPr="00494ABB">
        <w:rPr>
          <w:rFonts w:ascii="Times" w:hAnsi="Times"/>
          <w:sz w:val="24"/>
          <w:lang w:val="en-GB"/>
        </w:rPr>
        <w:t>d</w:t>
      </w:r>
      <w:r w:rsidRPr="00494ABB">
        <w:rPr>
          <w:rFonts w:ascii="Times" w:hAnsi="Times"/>
          <w:sz w:val="24"/>
          <w:lang w:val="en-GB"/>
        </w:rPr>
        <w:t xml:space="preserve"> a special arbitration</w:t>
      </w:r>
      <w:r w:rsidR="0070354E" w:rsidRPr="00494ABB">
        <w:rPr>
          <w:rFonts w:ascii="Times" w:hAnsi="Times"/>
          <w:sz w:val="24"/>
          <w:lang w:val="en-GB"/>
        </w:rPr>
        <w:t xml:space="preserve"> commission on the events, </w:t>
      </w:r>
      <w:r w:rsidRPr="00494ABB">
        <w:rPr>
          <w:rFonts w:ascii="Times" w:hAnsi="Times"/>
          <w:sz w:val="24"/>
          <w:lang w:val="en-GB"/>
        </w:rPr>
        <w:t xml:space="preserve">the </w:t>
      </w:r>
      <w:proofErr w:type="spellStart"/>
      <w:r w:rsidRPr="00494ABB">
        <w:rPr>
          <w:rFonts w:ascii="Times" w:hAnsi="Times"/>
          <w:sz w:val="24"/>
          <w:lang w:val="en-GB"/>
        </w:rPr>
        <w:t>Badinter</w:t>
      </w:r>
      <w:proofErr w:type="spellEnd"/>
      <w:r w:rsidRPr="00494ABB">
        <w:rPr>
          <w:rFonts w:ascii="Times" w:hAnsi="Times"/>
          <w:sz w:val="24"/>
          <w:lang w:val="en-GB"/>
        </w:rPr>
        <w:t xml:space="preserve"> Committee. From 1991, the Committee pronounced itself through legal opinions on the scope and application of the right of self-determination in the Balkans. Just like 1919, the international supervisory regime put in place operated on contradictory grounds. The Committee </w:t>
      </w:r>
      <w:r w:rsidR="00384F40">
        <w:rPr>
          <w:rFonts w:ascii="Times" w:hAnsi="Times"/>
          <w:sz w:val="24"/>
          <w:lang w:val="en-GB"/>
        </w:rPr>
        <w:t>along with</w:t>
      </w:r>
      <w:r w:rsidRPr="00494ABB">
        <w:rPr>
          <w:rFonts w:ascii="Times" w:hAnsi="Times"/>
          <w:sz w:val="24"/>
          <w:lang w:val="en-GB"/>
        </w:rPr>
        <w:t xml:space="preserve"> other international actors stressed the importance of human rights and of an ethnically blind conception of the polity</w:t>
      </w:r>
      <w:r w:rsidR="00384F40">
        <w:rPr>
          <w:rFonts w:ascii="Times" w:hAnsi="Times"/>
          <w:sz w:val="24"/>
          <w:lang w:val="en-GB"/>
        </w:rPr>
        <w:t>,</w:t>
      </w:r>
      <w:r w:rsidRPr="00494ABB">
        <w:rPr>
          <w:rFonts w:ascii="Times" w:hAnsi="Times"/>
          <w:sz w:val="24"/>
          <w:lang w:val="en-GB"/>
        </w:rPr>
        <w:t xml:space="preserve"> coinciding with Europe’s ideological commitment to democracy and human rights.</w:t>
      </w:r>
      <w:r w:rsidRPr="00494ABB">
        <w:rPr>
          <w:rStyle w:val="FootnoteReference"/>
          <w:rFonts w:ascii="Times" w:hAnsi="Times"/>
          <w:sz w:val="24"/>
          <w:lang w:val="en-GB"/>
        </w:rPr>
        <w:footnoteReference w:id="14"/>
      </w:r>
      <w:r w:rsidRPr="00494ABB">
        <w:rPr>
          <w:rFonts w:ascii="Times" w:hAnsi="Times"/>
          <w:sz w:val="24"/>
          <w:lang w:val="en-GB"/>
        </w:rPr>
        <w:t xml:space="preserve"> </w:t>
      </w:r>
      <w:r w:rsidR="00384F40">
        <w:rPr>
          <w:rFonts w:ascii="Times" w:hAnsi="Times"/>
          <w:sz w:val="24"/>
          <w:lang w:val="en-GB"/>
        </w:rPr>
        <w:t>However, t</w:t>
      </w:r>
      <w:r w:rsidRPr="00494ABB">
        <w:rPr>
          <w:rFonts w:ascii="Times" w:hAnsi="Times"/>
          <w:sz w:val="24"/>
          <w:lang w:val="en-GB"/>
        </w:rPr>
        <w:t xml:space="preserve">he Committee concurrently fostered the uneven recognition of ethnic groups and, consequently, of only some of their claims. Just like 1919, </w:t>
      </w:r>
      <w:r w:rsidR="00384F40">
        <w:rPr>
          <w:rFonts w:ascii="Times" w:hAnsi="Times"/>
          <w:sz w:val="24"/>
          <w:lang w:val="en-GB"/>
        </w:rPr>
        <w:t>this had direct consequences. F</w:t>
      </w:r>
      <w:r w:rsidRPr="00494ABB">
        <w:rPr>
          <w:rFonts w:ascii="Times" w:hAnsi="Times"/>
          <w:sz w:val="24"/>
          <w:lang w:val="en-GB"/>
        </w:rPr>
        <w:t>orms of hierarchical membership had started to characterise redefinitions of national communities. In an alleged continuity with Yugoslav politics of recognition</w:t>
      </w:r>
      <w:r w:rsidR="00CB597D" w:rsidRPr="00494ABB">
        <w:rPr>
          <w:rFonts w:ascii="Times" w:hAnsi="Times"/>
          <w:sz w:val="24"/>
          <w:lang w:val="en-GB"/>
        </w:rPr>
        <w:t xml:space="preserve"> (</w:t>
      </w:r>
      <w:r w:rsidR="00F92C61" w:rsidRPr="00494ABB">
        <w:rPr>
          <w:rFonts w:ascii="Times" w:hAnsi="Times"/>
          <w:sz w:val="24"/>
          <w:lang w:val="en-GB"/>
        </w:rPr>
        <w:t xml:space="preserve">Hayden 1992; </w:t>
      </w:r>
      <w:proofErr w:type="spellStart"/>
      <w:r w:rsidR="00CB597D" w:rsidRPr="00494ABB">
        <w:rPr>
          <w:rFonts w:ascii="Times" w:hAnsi="Times"/>
          <w:sz w:val="24"/>
          <w:lang w:val="en-GB"/>
        </w:rPr>
        <w:t>Štiks</w:t>
      </w:r>
      <w:proofErr w:type="spellEnd"/>
      <w:r w:rsidR="00CB597D" w:rsidRPr="00494ABB">
        <w:rPr>
          <w:rFonts w:ascii="Times" w:hAnsi="Times"/>
          <w:sz w:val="24"/>
          <w:lang w:val="en-GB"/>
        </w:rPr>
        <w:t xml:space="preserve"> 2009; author 2015, 245-276</w:t>
      </w:r>
      <w:r w:rsidR="0035389E" w:rsidRPr="00494ABB">
        <w:rPr>
          <w:rFonts w:ascii="Times" w:hAnsi="Times"/>
          <w:sz w:val="24"/>
          <w:lang w:val="en-GB"/>
        </w:rPr>
        <w:t>)</w:t>
      </w:r>
      <w:r w:rsidRPr="00494ABB">
        <w:rPr>
          <w:rFonts w:ascii="Times" w:hAnsi="Times"/>
          <w:sz w:val="24"/>
          <w:lang w:val="en-GB"/>
        </w:rPr>
        <w:t xml:space="preserve">, exclusionary practices were also justified in the name of international settlement. Throughout the 1990s national authorities pursued their respective state-building activities and international involvement in the area became increasingly </w:t>
      </w:r>
      <w:r w:rsidRPr="00494ABB">
        <w:rPr>
          <w:rFonts w:ascii="Times" w:hAnsi="Times"/>
          <w:i/>
          <w:sz w:val="24"/>
          <w:lang w:val="en-GB"/>
        </w:rPr>
        <w:t>ad hoc.</w:t>
      </w:r>
      <w:r w:rsidRPr="00494ABB">
        <w:rPr>
          <w:rFonts w:ascii="Times" w:hAnsi="Times"/>
          <w:sz w:val="24"/>
          <w:lang w:val="en-GB"/>
        </w:rPr>
        <w:t xml:space="preserve"> Standards defined by the Committee came to be coupled with specific interventions on the side of the EC/EU and other international actors, and with detailed guidelines and monitoring tools regarding membership and the organisation of domestic citizenries. These largely took the form of enhanced conditions of appropriate institutional behaviour to which new states had to conform.</w:t>
      </w:r>
    </w:p>
    <w:p w14:paraId="0799ED5F" w14:textId="6A5C2A60" w:rsidR="006E3F77" w:rsidRPr="00494ABB" w:rsidRDefault="00FD768F" w:rsidP="00FD768F">
      <w:pPr>
        <w:ind w:firstLine="720"/>
        <w:jc w:val="both"/>
        <w:rPr>
          <w:rFonts w:ascii="Times" w:hAnsi="Times"/>
          <w:sz w:val="24"/>
          <w:lang w:val="en-GB"/>
        </w:rPr>
      </w:pPr>
      <w:r>
        <w:rPr>
          <w:rFonts w:ascii="Times" w:hAnsi="Times"/>
          <w:sz w:val="24"/>
          <w:lang w:val="en-GB"/>
        </w:rPr>
        <w:t>This section</w:t>
      </w:r>
      <w:r w:rsidR="0023619E">
        <w:rPr>
          <w:rFonts w:ascii="Times" w:hAnsi="Times"/>
          <w:sz w:val="24"/>
          <w:lang w:val="en-GB"/>
        </w:rPr>
        <w:t xml:space="preserve"> discusses</w:t>
      </w:r>
      <w:r w:rsidR="006E3F77" w:rsidRPr="00494ABB">
        <w:rPr>
          <w:rFonts w:ascii="Times" w:hAnsi="Times"/>
          <w:sz w:val="24"/>
          <w:lang w:val="en-GB"/>
        </w:rPr>
        <w:t xml:space="preserve"> the attempt of the EC and other international actors to redefine international expectations attached to the realisation of self-determination in the process of formation of the </w:t>
      </w:r>
      <w:r w:rsidR="0023619E">
        <w:rPr>
          <w:rFonts w:ascii="Times" w:hAnsi="Times"/>
          <w:sz w:val="24"/>
          <w:lang w:val="en-GB"/>
        </w:rPr>
        <w:t>post-</w:t>
      </w:r>
      <w:r w:rsidR="006E3F77" w:rsidRPr="00494ABB">
        <w:rPr>
          <w:rFonts w:ascii="Times" w:hAnsi="Times"/>
          <w:sz w:val="24"/>
          <w:lang w:val="en-GB"/>
        </w:rPr>
        <w:t>Yugoslav states</w:t>
      </w:r>
      <w:r>
        <w:rPr>
          <w:rFonts w:ascii="Times" w:hAnsi="Times"/>
          <w:sz w:val="24"/>
          <w:lang w:val="en-GB"/>
        </w:rPr>
        <w:t xml:space="preserve">. It then examines </w:t>
      </w:r>
      <w:r w:rsidR="006E3F77" w:rsidRPr="00494ABB">
        <w:rPr>
          <w:rFonts w:ascii="Times" w:hAnsi="Times"/>
          <w:sz w:val="24"/>
          <w:lang w:val="en-GB"/>
        </w:rPr>
        <w:t xml:space="preserve">domestic membership hierarchies through the case of Croatia. </w:t>
      </w:r>
    </w:p>
    <w:p w14:paraId="3734186C" w14:textId="77777777" w:rsidR="006E3F77" w:rsidRPr="00494ABB" w:rsidRDefault="006E3F77" w:rsidP="006E3F77">
      <w:pPr>
        <w:jc w:val="both"/>
        <w:rPr>
          <w:rFonts w:ascii="Times" w:hAnsi="Times"/>
          <w:sz w:val="24"/>
          <w:lang w:val="en-GB"/>
        </w:rPr>
      </w:pPr>
    </w:p>
    <w:p w14:paraId="6499C8F0" w14:textId="4FEC1161" w:rsidR="006E3F77" w:rsidRPr="00494ABB" w:rsidRDefault="006E3F77" w:rsidP="006E3F77">
      <w:pPr>
        <w:jc w:val="both"/>
        <w:outlineLvl w:val="0"/>
        <w:rPr>
          <w:rFonts w:ascii="Times" w:hAnsi="Times"/>
          <w:b/>
          <w:i/>
          <w:sz w:val="24"/>
          <w:lang w:val="en-GB"/>
        </w:rPr>
      </w:pPr>
      <w:r w:rsidRPr="00494ABB">
        <w:rPr>
          <w:rFonts w:ascii="Times" w:hAnsi="Times"/>
          <w:b/>
          <w:i/>
          <w:sz w:val="24"/>
          <w:lang w:val="en-GB"/>
        </w:rPr>
        <w:t xml:space="preserve">The Recognition of New States and the </w:t>
      </w:r>
      <w:proofErr w:type="spellStart"/>
      <w:r w:rsidRPr="00494ABB">
        <w:rPr>
          <w:rFonts w:ascii="Times" w:hAnsi="Times"/>
          <w:b/>
          <w:i/>
          <w:sz w:val="24"/>
          <w:lang w:val="en-GB"/>
        </w:rPr>
        <w:t>Badinter</w:t>
      </w:r>
      <w:proofErr w:type="spellEnd"/>
      <w:r w:rsidR="003B33DD" w:rsidRPr="00494ABB">
        <w:rPr>
          <w:rFonts w:ascii="Times" w:hAnsi="Times"/>
          <w:b/>
          <w:i/>
          <w:sz w:val="24"/>
          <w:lang w:val="en-GB"/>
        </w:rPr>
        <w:t xml:space="preserve"> Committee</w:t>
      </w:r>
    </w:p>
    <w:p w14:paraId="7ABE99FE" w14:textId="77777777" w:rsidR="006E3F77" w:rsidRPr="00494ABB" w:rsidRDefault="006E3F77" w:rsidP="006E3F77">
      <w:pPr>
        <w:jc w:val="both"/>
        <w:rPr>
          <w:rFonts w:ascii="Times" w:hAnsi="Times"/>
          <w:sz w:val="24"/>
          <w:lang w:val="en-GB"/>
        </w:rPr>
      </w:pPr>
    </w:p>
    <w:p w14:paraId="7D269A4F" w14:textId="0207CDF8" w:rsidR="006E3F77" w:rsidRPr="00494ABB" w:rsidRDefault="009F19AE" w:rsidP="006E3F77">
      <w:pPr>
        <w:jc w:val="both"/>
        <w:rPr>
          <w:rFonts w:ascii="Times" w:hAnsi="Times"/>
          <w:sz w:val="24"/>
          <w:lang w:val="en-GB"/>
        </w:rPr>
      </w:pPr>
      <w:r>
        <w:rPr>
          <w:rFonts w:ascii="Times" w:hAnsi="Times"/>
          <w:sz w:val="24"/>
          <w:lang w:val="en-GB"/>
        </w:rPr>
        <w:t>In June</w:t>
      </w:r>
      <w:r w:rsidR="006E3F77" w:rsidRPr="00494ABB">
        <w:rPr>
          <w:rFonts w:ascii="Times" w:hAnsi="Times"/>
          <w:sz w:val="24"/>
          <w:lang w:val="en-GB"/>
        </w:rPr>
        <w:t xml:space="preserve"> 1991, following their respective referenda on self-determination Croatia and Slovenia declared independence from Yugoslavia. Two months later, the Council of Ministers of the </w:t>
      </w:r>
      <w:r>
        <w:rPr>
          <w:rFonts w:ascii="Times" w:hAnsi="Times"/>
          <w:sz w:val="24"/>
          <w:lang w:val="en-GB"/>
        </w:rPr>
        <w:t>EC</w:t>
      </w:r>
      <w:r w:rsidR="006E3F77" w:rsidRPr="00494ABB">
        <w:rPr>
          <w:rFonts w:ascii="Times" w:hAnsi="Times"/>
          <w:sz w:val="24"/>
          <w:lang w:val="en-GB"/>
        </w:rPr>
        <w:t xml:space="preserve"> decided to create </w:t>
      </w:r>
      <w:r>
        <w:rPr>
          <w:rFonts w:ascii="Times" w:hAnsi="Times"/>
          <w:sz w:val="24"/>
          <w:lang w:val="en-GB"/>
        </w:rPr>
        <w:t>an</w:t>
      </w:r>
      <w:r w:rsidR="006E3F77" w:rsidRPr="00494ABB">
        <w:rPr>
          <w:rFonts w:ascii="Times" w:hAnsi="Times"/>
          <w:sz w:val="24"/>
          <w:lang w:val="en-GB"/>
        </w:rPr>
        <w:t xml:space="preserve"> arbitration commission on the events, the </w:t>
      </w:r>
      <w:proofErr w:type="spellStart"/>
      <w:r w:rsidR="006E3F77" w:rsidRPr="00494ABB">
        <w:rPr>
          <w:rFonts w:ascii="Times" w:hAnsi="Times"/>
          <w:sz w:val="24"/>
          <w:lang w:val="en-GB"/>
        </w:rPr>
        <w:t>Badinter</w:t>
      </w:r>
      <w:proofErr w:type="spellEnd"/>
      <w:r w:rsidR="006E3F77" w:rsidRPr="00494ABB">
        <w:rPr>
          <w:rFonts w:ascii="Times" w:hAnsi="Times"/>
          <w:sz w:val="24"/>
          <w:lang w:val="en-GB"/>
        </w:rPr>
        <w:t xml:space="preserve"> Committee. A month later, the European Conference on Yugoslavia was inaugurated, composed of EC mediators and all the representatives of the parties involved: the Yugoslav delegates and the delegates of each constituent republic. </w:t>
      </w:r>
      <w:r>
        <w:rPr>
          <w:rFonts w:ascii="Times" w:hAnsi="Times"/>
          <w:sz w:val="24"/>
          <w:lang w:val="en-GB"/>
        </w:rPr>
        <w:t>The</w:t>
      </w:r>
      <w:r w:rsidR="006E3F77" w:rsidRPr="00494ABB">
        <w:rPr>
          <w:rFonts w:ascii="Times" w:hAnsi="Times"/>
          <w:sz w:val="24"/>
          <w:lang w:val="en-GB"/>
        </w:rPr>
        <w:t xml:space="preserve"> conference invited the Arbitration Committee to intervene directly on the effect of self-determination</w:t>
      </w:r>
      <w:r w:rsidR="00E83390">
        <w:rPr>
          <w:rFonts w:ascii="Times" w:hAnsi="Times"/>
          <w:sz w:val="24"/>
          <w:lang w:val="en-GB"/>
        </w:rPr>
        <w:t xml:space="preserve"> claims for the area. From </w:t>
      </w:r>
      <w:r w:rsidR="006E3F77" w:rsidRPr="00494ABB">
        <w:rPr>
          <w:rFonts w:ascii="Times" w:hAnsi="Times"/>
          <w:sz w:val="24"/>
          <w:lang w:val="en-GB"/>
        </w:rPr>
        <w:t>autumn 1991 until the middle of 1993, ten legal opinions were formulated. They were used as grounds to settle the application of self-determination to the region.</w:t>
      </w:r>
    </w:p>
    <w:p w14:paraId="4CFABE69" w14:textId="32EE6E03" w:rsidR="006E3F77" w:rsidRPr="00494ABB" w:rsidRDefault="006E3F77" w:rsidP="006E3F77">
      <w:pPr>
        <w:ind w:firstLine="720"/>
        <w:jc w:val="both"/>
        <w:rPr>
          <w:rFonts w:ascii="Times" w:hAnsi="Times"/>
          <w:sz w:val="24"/>
          <w:lang w:val="en-GB"/>
        </w:rPr>
      </w:pPr>
      <w:r w:rsidRPr="00494ABB">
        <w:rPr>
          <w:rFonts w:ascii="Times" w:hAnsi="Times"/>
          <w:sz w:val="24"/>
          <w:lang w:val="en-GB"/>
        </w:rPr>
        <w:t xml:space="preserve">As Croatia, Slovenia and Macedonia had by then declared their independence, regulating self-determination claims and access to statehood in territorial rather than ethno-cultural terms was tempting for at least two reasons (Ratner, 1996). First, for the </w:t>
      </w:r>
      <w:proofErr w:type="spellStart"/>
      <w:r w:rsidRPr="00494ABB">
        <w:rPr>
          <w:rFonts w:ascii="Times" w:hAnsi="Times"/>
          <w:sz w:val="24"/>
          <w:lang w:val="en-GB"/>
        </w:rPr>
        <w:t>Badinter</w:t>
      </w:r>
      <w:proofErr w:type="spellEnd"/>
      <w:r w:rsidRPr="00494ABB">
        <w:rPr>
          <w:rFonts w:ascii="Times" w:hAnsi="Times"/>
          <w:sz w:val="24"/>
          <w:lang w:val="en-GB"/>
        </w:rPr>
        <w:t xml:space="preserve"> Committee this meant maintaining the international commitment to view self-determination in ethnically blind terms. This, after all, had been the United Nations institutional understanding of it after World War II and decolonisation.</w:t>
      </w:r>
      <w:r w:rsidRPr="00494ABB">
        <w:rPr>
          <w:rStyle w:val="FootnoteReference"/>
          <w:rFonts w:ascii="Times" w:hAnsi="Times"/>
          <w:sz w:val="24"/>
          <w:lang w:val="en-GB"/>
        </w:rPr>
        <w:footnoteReference w:id="15"/>
      </w:r>
      <w:r w:rsidRPr="00494ABB">
        <w:rPr>
          <w:rFonts w:ascii="Times" w:hAnsi="Times"/>
          <w:sz w:val="24"/>
          <w:lang w:val="en-GB"/>
        </w:rPr>
        <w:t xml:space="preserve"> Second, the interwar years had already showed in the area the unexpected consequences of recognising self-determination and membership in ethnic terms. It was clear that exclusionary claims in the name of ethnic self-determination had emerged, again, in the Balkans. For many within the Conference on Yugoslavia, recognising self-determination claims along territory rather than culture was thus supposed to keep the dissolution </w:t>
      </w:r>
      <w:r w:rsidR="00E83390">
        <w:rPr>
          <w:rFonts w:ascii="Times" w:hAnsi="Times"/>
          <w:sz w:val="24"/>
          <w:lang w:val="en-GB"/>
        </w:rPr>
        <w:t xml:space="preserve">process </w:t>
      </w:r>
      <w:r w:rsidRPr="00494ABB">
        <w:rPr>
          <w:rFonts w:ascii="Times" w:hAnsi="Times"/>
          <w:sz w:val="24"/>
          <w:lang w:val="en-GB"/>
        </w:rPr>
        <w:t>more orderly and avoid past problems (Ratner, 1996, p. 614). The question was dealt wit</w:t>
      </w:r>
      <w:r w:rsidR="00E83390">
        <w:rPr>
          <w:rFonts w:ascii="Times" w:hAnsi="Times"/>
          <w:sz w:val="24"/>
          <w:lang w:val="en-GB"/>
        </w:rPr>
        <w:t>h in the EC Committee Opinion 3</w:t>
      </w:r>
      <w:r w:rsidRPr="00494ABB">
        <w:rPr>
          <w:rFonts w:ascii="Times" w:hAnsi="Times"/>
          <w:sz w:val="24"/>
          <w:lang w:val="en-GB"/>
        </w:rPr>
        <w:t xml:space="preserve"> on the international recognition of the internal borders between Croatia, Serbia and Bosnia. Opinion 2 had previously nuanced the matter for ethnic Serbs living in Croatia and Bosnia who, the document stated, were</w:t>
      </w:r>
      <w:r w:rsidR="00E83390">
        <w:rPr>
          <w:rFonts w:ascii="Times" w:hAnsi="Times"/>
          <w:sz w:val="24"/>
          <w:lang w:val="en-GB"/>
        </w:rPr>
        <w:t xml:space="preserve"> entitled to self-determination</w:t>
      </w:r>
      <w:r w:rsidRPr="00494ABB">
        <w:rPr>
          <w:rFonts w:ascii="Times" w:hAnsi="Times"/>
          <w:sz w:val="24"/>
          <w:lang w:val="en-GB"/>
        </w:rPr>
        <w:t xml:space="preserve"> yet strictly in the sense of autonomy and recognition within sovereign countries</w:t>
      </w:r>
      <w:r w:rsidR="006C415B" w:rsidRPr="00494ABB">
        <w:rPr>
          <w:rFonts w:ascii="Times" w:hAnsi="Times"/>
          <w:sz w:val="24"/>
          <w:lang w:val="en-GB"/>
        </w:rPr>
        <w:t>.</w:t>
      </w:r>
    </w:p>
    <w:p w14:paraId="4A67A9C5" w14:textId="54F96511" w:rsidR="006E3F77" w:rsidRPr="00494ABB" w:rsidRDefault="006E3F77" w:rsidP="006E3F77">
      <w:pPr>
        <w:ind w:firstLine="720"/>
        <w:jc w:val="both"/>
        <w:rPr>
          <w:rFonts w:ascii="Times" w:hAnsi="Times"/>
          <w:sz w:val="24"/>
          <w:lang w:val="en-GB"/>
        </w:rPr>
      </w:pPr>
      <w:r w:rsidRPr="00494ABB">
        <w:rPr>
          <w:rFonts w:ascii="Times" w:hAnsi="Times"/>
          <w:sz w:val="24"/>
          <w:lang w:val="en-GB"/>
        </w:rPr>
        <w:t xml:space="preserve">In applying the colonial principle of </w:t>
      </w:r>
      <w:proofErr w:type="spellStart"/>
      <w:r w:rsidRPr="00494ABB">
        <w:rPr>
          <w:rFonts w:ascii="Times" w:hAnsi="Times"/>
          <w:i/>
          <w:sz w:val="24"/>
          <w:lang w:val="en-GB"/>
        </w:rPr>
        <w:t>uti</w:t>
      </w:r>
      <w:proofErr w:type="spellEnd"/>
      <w:r w:rsidRPr="00494ABB">
        <w:rPr>
          <w:rFonts w:ascii="Times" w:hAnsi="Times"/>
          <w:i/>
          <w:sz w:val="24"/>
          <w:lang w:val="en-GB"/>
        </w:rPr>
        <w:t xml:space="preserve"> </w:t>
      </w:r>
      <w:proofErr w:type="spellStart"/>
      <w:r w:rsidRPr="00494ABB">
        <w:rPr>
          <w:rFonts w:ascii="Times" w:hAnsi="Times"/>
          <w:i/>
          <w:sz w:val="24"/>
          <w:lang w:val="en-GB"/>
        </w:rPr>
        <w:t>possidetis</w:t>
      </w:r>
      <w:proofErr w:type="spellEnd"/>
      <w:r w:rsidRPr="00494ABB">
        <w:rPr>
          <w:rFonts w:ascii="Times" w:hAnsi="Times"/>
          <w:sz w:val="24"/>
          <w:lang w:val="en-GB"/>
        </w:rPr>
        <w:t xml:space="preserve"> to the Balkans the Conference on Yugoslavia recognised domestic borders internal to the Federation as new international frontiers. The m</w:t>
      </w:r>
      <w:r w:rsidR="00E83390">
        <w:rPr>
          <w:rFonts w:ascii="Times" w:hAnsi="Times"/>
          <w:sz w:val="24"/>
          <w:lang w:val="en-GB"/>
        </w:rPr>
        <w:t>ajor problem with the principle</w:t>
      </w:r>
      <w:r w:rsidRPr="00494ABB">
        <w:rPr>
          <w:rFonts w:ascii="Times" w:hAnsi="Times"/>
          <w:sz w:val="24"/>
          <w:lang w:val="en-GB"/>
        </w:rPr>
        <w:t xml:space="preserve"> </w:t>
      </w:r>
      <w:r w:rsidR="00E83390">
        <w:rPr>
          <w:rFonts w:ascii="Times" w:hAnsi="Times"/>
          <w:sz w:val="24"/>
          <w:lang w:val="en-GB"/>
        </w:rPr>
        <w:t>as it was applied to Yugoslavia</w:t>
      </w:r>
      <w:r w:rsidRPr="00494ABB">
        <w:rPr>
          <w:rFonts w:ascii="Times" w:hAnsi="Times"/>
          <w:sz w:val="24"/>
          <w:lang w:val="en-GB"/>
        </w:rPr>
        <w:t xml:space="preserve"> was that it confirmed the influence of ethno-national discour</w:t>
      </w:r>
      <w:r w:rsidR="00E83390">
        <w:rPr>
          <w:rFonts w:ascii="Times" w:hAnsi="Times"/>
          <w:sz w:val="24"/>
          <w:lang w:val="en-GB"/>
        </w:rPr>
        <w:t>ses within the new states. The c</w:t>
      </w:r>
      <w:r w:rsidRPr="00494ABB">
        <w:rPr>
          <w:rFonts w:ascii="Times" w:hAnsi="Times"/>
          <w:sz w:val="24"/>
          <w:lang w:val="en-GB"/>
        </w:rPr>
        <w:t xml:space="preserve">onference acknowledged the coincidence between the boundaries of the new states and those of the ‘nations’ ethnically defined. Except for Bosnia, where no constituent people existed under Yugoslav administration, in the cases of Croatia, Slovenia, Macedonia and finally Serbia and Montenegro (together as Federal Republic of Yugoslavia), the application of the principle was fairly straightforward. </w:t>
      </w:r>
      <w:proofErr w:type="spellStart"/>
      <w:r w:rsidRPr="00494ABB">
        <w:rPr>
          <w:rFonts w:ascii="Times" w:hAnsi="Times"/>
          <w:i/>
          <w:sz w:val="24"/>
          <w:lang w:val="en-GB"/>
        </w:rPr>
        <w:t>Uti</w:t>
      </w:r>
      <w:proofErr w:type="spellEnd"/>
      <w:r w:rsidRPr="00494ABB">
        <w:rPr>
          <w:rFonts w:ascii="Times" w:hAnsi="Times"/>
          <w:i/>
          <w:sz w:val="24"/>
          <w:lang w:val="en-GB"/>
        </w:rPr>
        <w:t xml:space="preserve"> </w:t>
      </w:r>
      <w:proofErr w:type="spellStart"/>
      <w:r w:rsidRPr="00494ABB">
        <w:rPr>
          <w:rFonts w:ascii="Times" w:hAnsi="Times"/>
          <w:i/>
          <w:sz w:val="24"/>
          <w:lang w:val="en-GB"/>
        </w:rPr>
        <w:t>possidetis</w:t>
      </w:r>
      <w:proofErr w:type="spellEnd"/>
      <w:r w:rsidRPr="00494ABB">
        <w:rPr>
          <w:rFonts w:ascii="Times" w:hAnsi="Times"/>
          <w:sz w:val="24"/>
          <w:lang w:val="en-GB"/>
        </w:rPr>
        <w:t xml:space="preserve"> confirmed the advantage of an ethno-cultural understanding of the </w:t>
      </w:r>
      <w:r w:rsidR="00E83390">
        <w:rPr>
          <w:rFonts w:ascii="Times" w:hAnsi="Times"/>
          <w:sz w:val="24"/>
          <w:lang w:val="en-GB"/>
        </w:rPr>
        <w:t>national</w:t>
      </w:r>
      <w:r w:rsidRPr="00494ABB">
        <w:rPr>
          <w:rFonts w:ascii="Times" w:hAnsi="Times"/>
          <w:sz w:val="24"/>
          <w:lang w:val="en-GB"/>
        </w:rPr>
        <w:t xml:space="preserve"> community over ideas of ethnically blind equality and inclusion. </w:t>
      </w:r>
      <w:r w:rsidR="00E83390">
        <w:rPr>
          <w:rFonts w:ascii="Times" w:hAnsi="Times"/>
          <w:sz w:val="24"/>
          <w:lang w:val="en-GB"/>
        </w:rPr>
        <w:t>N</w:t>
      </w:r>
      <w:r w:rsidRPr="00494ABB">
        <w:rPr>
          <w:rFonts w:ascii="Times" w:hAnsi="Times"/>
          <w:sz w:val="24"/>
          <w:lang w:val="en-GB"/>
        </w:rPr>
        <w:t xml:space="preserve">ewly proclaimed leaders found in this international recognition the justification to continue constituting exclusive political communities. </w:t>
      </w:r>
      <w:r w:rsidRPr="00494ABB">
        <w:rPr>
          <w:sz w:val="24"/>
          <w:lang w:val="en-GB"/>
        </w:rPr>
        <w:t xml:space="preserve">Kosovo, in turn, was left aside despite the organisation of a referendum of self-determination, on the ground that it was previously an autonomous region and not a constitutive republic of Yugoslavia. As illustrated by </w:t>
      </w:r>
      <w:proofErr w:type="spellStart"/>
      <w:r w:rsidRPr="00494ABB">
        <w:rPr>
          <w:sz w:val="24"/>
          <w:lang w:val="en-GB"/>
        </w:rPr>
        <w:t>Krasniqi</w:t>
      </w:r>
      <w:proofErr w:type="spellEnd"/>
      <w:r w:rsidRPr="00494ABB">
        <w:rPr>
          <w:sz w:val="24"/>
          <w:lang w:val="en-GB"/>
        </w:rPr>
        <w:t xml:space="preserve"> </w:t>
      </w:r>
      <w:r w:rsidR="00422AC2">
        <w:rPr>
          <w:sz w:val="24"/>
          <w:lang w:val="en-GB"/>
        </w:rPr>
        <w:t>(this issue)</w:t>
      </w:r>
      <w:r w:rsidRPr="00494ABB">
        <w:rPr>
          <w:sz w:val="24"/>
          <w:lang w:val="en-GB"/>
        </w:rPr>
        <w:t>, only later did Kosovo start performing citizenship in order to seek legitimacy as a state.</w:t>
      </w:r>
    </w:p>
    <w:p w14:paraId="05E8CC6D" w14:textId="2BF5A705" w:rsidR="006E3F77" w:rsidRPr="00494ABB" w:rsidRDefault="006E3F77" w:rsidP="006E3F77">
      <w:pPr>
        <w:ind w:firstLine="720"/>
        <w:jc w:val="both"/>
        <w:rPr>
          <w:rFonts w:ascii="Times" w:hAnsi="Times"/>
          <w:sz w:val="24"/>
          <w:lang w:val="en-GB"/>
        </w:rPr>
      </w:pPr>
      <w:r w:rsidRPr="00494ABB">
        <w:rPr>
          <w:rFonts w:ascii="Times" w:hAnsi="Times"/>
          <w:sz w:val="24"/>
          <w:lang w:val="en-GB"/>
        </w:rPr>
        <w:t xml:space="preserve">Parallel to the application of </w:t>
      </w:r>
      <w:proofErr w:type="spellStart"/>
      <w:r w:rsidRPr="00494ABB">
        <w:rPr>
          <w:rFonts w:ascii="Times" w:hAnsi="Times"/>
          <w:i/>
          <w:sz w:val="24"/>
          <w:lang w:val="en-GB"/>
        </w:rPr>
        <w:t>uti</w:t>
      </w:r>
      <w:proofErr w:type="spellEnd"/>
      <w:r w:rsidRPr="00494ABB">
        <w:rPr>
          <w:rFonts w:ascii="Times" w:hAnsi="Times"/>
          <w:i/>
          <w:sz w:val="24"/>
          <w:lang w:val="en-GB"/>
        </w:rPr>
        <w:t xml:space="preserve"> </w:t>
      </w:r>
      <w:proofErr w:type="spellStart"/>
      <w:r w:rsidRPr="00494ABB">
        <w:rPr>
          <w:rFonts w:ascii="Times" w:hAnsi="Times"/>
          <w:i/>
          <w:sz w:val="24"/>
          <w:lang w:val="en-GB"/>
        </w:rPr>
        <w:t>possidetis</w:t>
      </w:r>
      <w:proofErr w:type="spellEnd"/>
      <w:r w:rsidRPr="00494ABB">
        <w:rPr>
          <w:rFonts w:ascii="Times" w:hAnsi="Times"/>
          <w:i/>
          <w:sz w:val="24"/>
          <w:lang w:val="en-GB"/>
        </w:rPr>
        <w:t xml:space="preserve">, </w:t>
      </w:r>
      <w:r w:rsidRPr="00494ABB">
        <w:rPr>
          <w:rFonts w:ascii="Times" w:hAnsi="Times"/>
          <w:sz w:val="24"/>
          <w:lang w:val="en-GB"/>
        </w:rPr>
        <w:t xml:space="preserve">the EC Committee used a second criterion for recognition of self-determination claims into statehood. For a state to </w:t>
      </w:r>
      <w:r w:rsidR="00500923">
        <w:rPr>
          <w:rFonts w:ascii="Times" w:hAnsi="Times"/>
          <w:sz w:val="24"/>
          <w:lang w:val="en-GB"/>
        </w:rPr>
        <w:t xml:space="preserve">be legitimately recognised </w:t>
      </w:r>
      <w:r w:rsidRPr="00494ABB">
        <w:rPr>
          <w:rFonts w:ascii="Times" w:hAnsi="Times"/>
          <w:sz w:val="24"/>
          <w:lang w:val="en-GB"/>
        </w:rPr>
        <w:t xml:space="preserve">the will of its people should be first expressed through a </w:t>
      </w:r>
      <w:r w:rsidRPr="00494ABB">
        <w:rPr>
          <w:rFonts w:ascii="Times" w:hAnsi="Times"/>
          <w:color w:val="000000"/>
          <w:sz w:val="24"/>
          <w:lang w:val="en-GB"/>
        </w:rPr>
        <w:t xml:space="preserve">plebiscite or elections. </w:t>
      </w:r>
      <w:r w:rsidRPr="00494ABB">
        <w:rPr>
          <w:rFonts w:ascii="Times" w:hAnsi="Times"/>
          <w:sz w:val="24"/>
          <w:lang w:val="en-GB"/>
        </w:rPr>
        <w:t xml:space="preserve">The EC Committee established that only those republics where referenda for independence had taken place could be recognised as sovereign (Weller, 1992, p. 593). Despite the imposition of these criteria, how referenda would be undertaken domestically - namely, who could vote and who could not - was not a matter of concern for the EC Committee. In the case of the Bosnian referendum held in </w:t>
      </w:r>
      <w:r w:rsidR="00500923">
        <w:rPr>
          <w:rFonts w:ascii="Times" w:hAnsi="Times"/>
          <w:sz w:val="24"/>
          <w:lang w:val="en-GB"/>
        </w:rPr>
        <w:t>early</w:t>
      </w:r>
      <w:r w:rsidRPr="00494ABB">
        <w:rPr>
          <w:rFonts w:ascii="Times" w:hAnsi="Times"/>
          <w:sz w:val="24"/>
          <w:lang w:val="en-GB"/>
        </w:rPr>
        <w:t xml:space="preserve"> 1992, for instance, that Bosnian Serbs would boycott </w:t>
      </w:r>
      <w:r w:rsidRPr="00494ABB">
        <w:rPr>
          <w:rFonts w:ascii="Times" w:hAnsi="Times"/>
          <w:i/>
          <w:sz w:val="24"/>
          <w:lang w:val="en-GB"/>
        </w:rPr>
        <w:t>en masse</w:t>
      </w:r>
      <w:r w:rsidRPr="00494ABB">
        <w:rPr>
          <w:rFonts w:ascii="Times" w:hAnsi="Times"/>
          <w:sz w:val="24"/>
          <w:lang w:val="en-GB"/>
        </w:rPr>
        <w:t xml:space="preserve"> was apparently a well-known fact internationally following the numerous warnings that local authorities had given (</w:t>
      </w:r>
      <w:proofErr w:type="spellStart"/>
      <w:r w:rsidRPr="00494ABB">
        <w:rPr>
          <w:rFonts w:ascii="Times" w:hAnsi="Times"/>
          <w:sz w:val="24"/>
          <w:lang w:val="en-GB"/>
        </w:rPr>
        <w:t>Fabry</w:t>
      </w:r>
      <w:proofErr w:type="spellEnd"/>
      <w:r w:rsidRPr="00494ABB">
        <w:rPr>
          <w:rFonts w:ascii="Times" w:hAnsi="Times"/>
          <w:sz w:val="24"/>
          <w:lang w:val="en-GB"/>
        </w:rPr>
        <w:t xml:space="preserve">, 2010, pp. 198-199). Both the EC and US claimed that the organisation of a plebiscite might avoid the spread of violence, yet war in Bosnia officially started on the last day of the referendum. If, already, the holding of referenda to formally recognise self-determination claims and statehood was flawed, this was to be added to the other problem that not all the republics were recognised simultaneously, even if they held elections and referenda. As constituent republics enjoyed different treatments, some claims were granted more recognition than others. </w:t>
      </w:r>
    </w:p>
    <w:p w14:paraId="4EF72D9D" w14:textId="6AD769E0" w:rsidR="006E3F77" w:rsidRPr="00494ABB" w:rsidRDefault="006E3F77" w:rsidP="006E3F77">
      <w:pPr>
        <w:ind w:firstLine="720"/>
        <w:jc w:val="both"/>
        <w:rPr>
          <w:rFonts w:ascii="Times" w:hAnsi="Times"/>
          <w:sz w:val="24"/>
          <w:lang w:val="en-GB"/>
        </w:rPr>
      </w:pPr>
      <w:r w:rsidRPr="00494ABB">
        <w:rPr>
          <w:rFonts w:ascii="Times" w:hAnsi="Times"/>
          <w:sz w:val="24"/>
          <w:lang w:val="en-GB"/>
        </w:rPr>
        <w:t xml:space="preserve">It did not take long for the EC Conference to realise its contradictions. Robert </w:t>
      </w:r>
      <w:proofErr w:type="spellStart"/>
      <w:r w:rsidRPr="00494ABB">
        <w:rPr>
          <w:rFonts w:ascii="Times" w:hAnsi="Times"/>
          <w:sz w:val="24"/>
          <w:lang w:val="en-GB"/>
        </w:rPr>
        <w:t>Badinter</w:t>
      </w:r>
      <w:proofErr w:type="spellEnd"/>
      <w:r w:rsidRPr="00494ABB">
        <w:rPr>
          <w:rFonts w:ascii="Times" w:hAnsi="Times"/>
          <w:sz w:val="24"/>
          <w:lang w:val="en-GB"/>
        </w:rPr>
        <w:t xml:space="preserve"> himself was preoccupied by the application of the opinions that he had contributed to drafting (</w:t>
      </w:r>
      <w:proofErr w:type="spellStart"/>
      <w:r w:rsidRPr="00494ABB">
        <w:rPr>
          <w:rFonts w:ascii="Times" w:hAnsi="Times"/>
          <w:sz w:val="24"/>
          <w:lang w:val="en-GB"/>
        </w:rPr>
        <w:t>Navari</w:t>
      </w:r>
      <w:proofErr w:type="spellEnd"/>
      <w:r w:rsidRPr="00494ABB">
        <w:rPr>
          <w:rFonts w:ascii="Times" w:hAnsi="Times"/>
          <w:sz w:val="24"/>
          <w:lang w:val="en-GB"/>
        </w:rPr>
        <w:t>, 2014, p. 1303).</w:t>
      </w:r>
      <w:r w:rsidRPr="00494ABB">
        <w:rPr>
          <w:rStyle w:val="FootnoteReference"/>
          <w:rFonts w:ascii="Times" w:hAnsi="Times"/>
          <w:sz w:val="24"/>
          <w:lang w:val="en-GB"/>
        </w:rPr>
        <w:t xml:space="preserve"> </w:t>
      </w:r>
      <w:r w:rsidRPr="00494ABB">
        <w:rPr>
          <w:rFonts w:ascii="Times" w:hAnsi="Times"/>
          <w:sz w:val="24"/>
          <w:lang w:val="en-GB"/>
        </w:rPr>
        <w:t xml:space="preserve"> It was obvious that local claimants had already defined in exclusive terms who the ‘people’ entitled to self-determination were and what rights would they have. </w:t>
      </w:r>
      <w:r w:rsidRPr="00494ABB">
        <w:rPr>
          <w:sz w:val="24"/>
          <w:lang w:val="en-GB"/>
        </w:rPr>
        <w:t xml:space="preserve">As </w:t>
      </w:r>
      <w:proofErr w:type="spellStart"/>
      <w:r w:rsidRPr="00494ABB">
        <w:rPr>
          <w:sz w:val="24"/>
          <w:lang w:val="en-GB"/>
        </w:rPr>
        <w:t>Stjepanović</w:t>
      </w:r>
      <w:proofErr w:type="spellEnd"/>
      <w:r w:rsidRPr="00494ABB">
        <w:rPr>
          <w:sz w:val="24"/>
          <w:lang w:val="en-GB"/>
        </w:rPr>
        <w:t xml:space="preserve"> and Tierney argue </w:t>
      </w:r>
      <w:r w:rsidR="00422AC2">
        <w:rPr>
          <w:sz w:val="24"/>
          <w:lang w:val="en-GB"/>
        </w:rPr>
        <w:t>(this issue)</w:t>
      </w:r>
      <w:r w:rsidRPr="00494ABB">
        <w:rPr>
          <w:sz w:val="24"/>
          <w:lang w:val="en-GB"/>
        </w:rPr>
        <w:t xml:space="preserve"> there is indeed a fundamental legitimacy problem with constitutive referenda and their role in the creation of new domestic orders that, as in the case of former Yugoslav states, led to the constitution of highly exclusive political communities. </w:t>
      </w:r>
      <w:r w:rsidRPr="00494ABB">
        <w:rPr>
          <w:rFonts w:ascii="Times" w:hAnsi="Times"/>
          <w:sz w:val="24"/>
          <w:lang w:val="en-GB"/>
        </w:rPr>
        <w:t xml:space="preserve">Through its opinions, the EC Committee entrenched them further. International insistence was in turn attached to the responsibilities correlative to the realisation of self-determination claims into independent statehood. The various international actors involved in the </w:t>
      </w:r>
      <w:r w:rsidR="00244C75">
        <w:rPr>
          <w:rFonts w:ascii="Times" w:hAnsi="Times"/>
          <w:sz w:val="24"/>
          <w:lang w:val="en-GB"/>
        </w:rPr>
        <w:t xml:space="preserve">Yugoslav </w:t>
      </w:r>
      <w:r w:rsidRPr="00494ABB">
        <w:rPr>
          <w:rFonts w:ascii="Times" w:hAnsi="Times"/>
          <w:sz w:val="24"/>
          <w:lang w:val="en-GB"/>
        </w:rPr>
        <w:t>settlement stressed from the early 1990s that new states would have to uphold international responsibilities, in spite of nationalistic discourses and exclusionary practices.</w:t>
      </w:r>
    </w:p>
    <w:p w14:paraId="7B9DCCD4" w14:textId="77777777" w:rsidR="006E3F77" w:rsidRPr="00494ABB" w:rsidRDefault="006E3F77" w:rsidP="006E3F77">
      <w:pPr>
        <w:ind w:firstLine="720"/>
        <w:jc w:val="both"/>
        <w:rPr>
          <w:rFonts w:ascii="Times" w:hAnsi="Times"/>
          <w:sz w:val="24"/>
          <w:lang w:val="en-GB"/>
        </w:rPr>
      </w:pPr>
      <w:r w:rsidRPr="00494ABB">
        <w:rPr>
          <w:rFonts w:ascii="Times" w:hAnsi="Times"/>
          <w:sz w:val="24"/>
          <w:lang w:val="en-GB"/>
        </w:rPr>
        <w:t>In a way not dissimilar to 1919, a group of powerful (and largely Western) actors made new states’ legitimacy conditional upon the acceptance of criteria internationally imposed. These criteria concerned the delineation of what good domestic order ought to be. In December 1991, a group of EC foreign ministers presented before the Peace Conference a set of conditions that post-Yugoslav Republics needed to meet when seeking international recognition (</w:t>
      </w:r>
      <w:proofErr w:type="spellStart"/>
      <w:r w:rsidRPr="00494ABB">
        <w:rPr>
          <w:rFonts w:ascii="Times" w:hAnsi="Times"/>
          <w:sz w:val="24"/>
          <w:lang w:val="en-GB"/>
        </w:rPr>
        <w:t>Navari</w:t>
      </w:r>
      <w:proofErr w:type="spellEnd"/>
      <w:r w:rsidRPr="00494ABB">
        <w:rPr>
          <w:rFonts w:ascii="Times" w:hAnsi="Times"/>
          <w:sz w:val="24"/>
          <w:lang w:val="en-GB"/>
        </w:rPr>
        <w:t>, 2014, p. 1301). In addition to being constituted on a democratic basis through the exercise of the right to self-determination, the guidelines presented a list of other prerequisites. New states should give the guarantee that they would comply with the UN Charter and the 1975 Helsinki Final Act, that they would respect the inviolability of international borders and, in particular, that they would conform to the 1990 Conference for the Security and Cooperation in Europe (CSCE, predecessor of the OSCE) Paris Charter (</w:t>
      </w:r>
      <w:proofErr w:type="spellStart"/>
      <w:r w:rsidRPr="00494ABB">
        <w:rPr>
          <w:rFonts w:ascii="Times" w:hAnsi="Times"/>
          <w:sz w:val="24"/>
          <w:lang w:val="en-GB"/>
        </w:rPr>
        <w:t>Navari</w:t>
      </w:r>
      <w:proofErr w:type="spellEnd"/>
      <w:r w:rsidRPr="00494ABB">
        <w:rPr>
          <w:rFonts w:ascii="Times" w:hAnsi="Times"/>
          <w:sz w:val="24"/>
          <w:lang w:val="en-GB"/>
        </w:rPr>
        <w:t>, 2014, p. 1301). The Charter outlined a set of commitments to which members of the organisation agreed upon as grounds to govern what they referred to as the post-Cold War liberal order. These included the respect of human rights and of the equality and rights of minorities.</w:t>
      </w:r>
    </w:p>
    <w:p w14:paraId="6FC7D753" w14:textId="2FBEB606" w:rsidR="006E3F77" w:rsidRPr="00494ABB" w:rsidRDefault="006E3F77" w:rsidP="006E3F77">
      <w:pPr>
        <w:ind w:firstLine="720"/>
        <w:jc w:val="both"/>
        <w:rPr>
          <w:rFonts w:ascii="Times" w:hAnsi="Times"/>
          <w:sz w:val="24"/>
          <w:lang w:val="en-GB"/>
        </w:rPr>
      </w:pPr>
      <w:r w:rsidRPr="00494ABB">
        <w:rPr>
          <w:rFonts w:ascii="Times" w:hAnsi="Times"/>
          <w:sz w:val="24"/>
          <w:lang w:val="en-GB"/>
        </w:rPr>
        <w:t xml:space="preserve">Post-Yugoslav states formally included, in their national jurisdictions, references to ‘human rights’ and ‘equality.’ In practice, we know, new states did not conform to internationally defined expectations. It might well be argued that for Croatian President </w:t>
      </w:r>
      <w:proofErr w:type="spellStart"/>
      <w:r w:rsidRPr="00494ABB">
        <w:rPr>
          <w:rFonts w:ascii="Times" w:hAnsi="Times"/>
          <w:sz w:val="24"/>
          <w:lang w:val="en-GB"/>
        </w:rPr>
        <w:t>Franjo</w:t>
      </w:r>
      <w:proofErr w:type="spellEnd"/>
      <w:r w:rsidRPr="00494ABB">
        <w:rPr>
          <w:rFonts w:ascii="Times" w:hAnsi="Times"/>
          <w:sz w:val="24"/>
          <w:lang w:val="en-GB"/>
        </w:rPr>
        <w:t xml:space="preserve"> </w:t>
      </w:r>
      <w:proofErr w:type="spellStart"/>
      <w:r w:rsidRPr="00494ABB">
        <w:rPr>
          <w:rFonts w:ascii="Times" w:hAnsi="Times"/>
          <w:sz w:val="24"/>
          <w:lang w:val="en-GB"/>
        </w:rPr>
        <w:t>Tu</w:t>
      </w:r>
      <w:r w:rsidRPr="00494ABB">
        <w:rPr>
          <w:rFonts w:ascii="Times" w:hAnsi="Times" w:cs="Times"/>
          <w:sz w:val="24"/>
          <w:lang w:val="en-GB"/>
        </w:rPr>
        <w:t>đ</w:t>
      </w:r>
      <w:r w:rsidRPr="00494ABB">
        <w:rPr>
          <w:rFonts w:ascii="Times" w:hAnsi="Times"/>
          <w:sz w:val="24"/>
          <w:lang w:val="en-GB"/>
        </w:rPr>
        <w:t>man</w:t>
      </w:r>
      <w:proofErr w:type="spellEnd"/>
      <w:r w:rsidRPr="00494ABB">
        <w:rPr>
          <w:rFonts w:ascii="Times" w:hAnsi="Times"/>
          <w:sz w:val="24"/>
          <w:lang w:val="en-GB"/>
        </w:rPr>
        <w:t xml:space="preserve">, for instance, this was not really a matter of primary concern. He was, after all, engaged in a nationalistic project of Croatian expansion and discrimination. If </w:t>
      </w:r>
      <w:proofErr w:type="spellStart"/>
      <w:r w:rsidRPr="00494ABB">
        <w:rPr>
          <w:rFonts w:ascii="Times" w:hAnsi="Times"/>
          <w:sz w:val="24"/>
          <w:lang w:val="en-GB"/>
        </w:rPr>
        <w:t>Tuđman</w:t>
      </w:r>
      <w:proofErr w:type="spellEnd"/>
      <w:r w:rsidRPr="00494ABB">
        <w:rPr>
          <w:rFonts w:ascii="Times" w:hAnsi="Times"/>
          <w:sz w:val="24"/>
          <w:lang w:val="en-GB"/>
        </w:rPr>
        <w:t xml:space="preserve"> had formally included references to liberal principles, it was less for a concern to comply with international norms and more to avoid international involvement in the area. Moreover</w:t>
      </w:r>
      <w:r w:rsidRPr="00494ABB">
        <w:rPr>
          <w:rFonts w:ascii="Times" w:eastAsiaTheme="minorEastAsia" w:hAnsi="Times"/>
          <w:sz w:val="24"/>
          <w:lang w:val="en-GB" w:eastAsia="en-US"/>
        </w:rPr>
        <w:t>, how the degree of compliance would be assessed was not, in 1991-1992, a matter open for discussion</w:t>
      </w:r>
      <w:r w:rsidRPr="00494ABB">
        <w:rPr>
          <w:rFonts w:ascii="Times" w:hAnsi="Times"/>
          <w:sz w:val="24"/>
          <w:lang w:val="en-GB"/>
        </w:rPr>
        <w:t xml:space="preserve"> and the Paris Charter, just like the Minority Treaties in 1919, did not constitute a legally binding document. </w:t>
      </w:r>
    </w:p>
    <w:p w14:paraId="609C8429" w14:textId="0C9E97E1" w:rsidR="006E3F77" w:rsidRPr="00494ABB" w:rsidRDefault="006E3F77" w:rsidP="006E3F77">
      <w:pPr>
        <w:ind w:firstLine="720"/>
        <w:jc w:val="both"/>
        <w:rPr>
          <w:rFonts w:ascii="Times" w:hAnsi="Times"/>
          <w:sz w:val="24"/>
          <w:lang w:val="en-GB"/>
        </w:rPr>
      </w:pPr>
      <w:r w:rsidRPr="00494ABB">
        <w:rPr>
          <w:rFonts w:ascii="Times" w:hAnsi="Times"/>
          <w:sz w:val="24"/>
          <w:lang w:val="en-GB"/>
        </w:rPr>
        <w:t xml:space="preserve">This mattered little at the time of the independences. However, throughout the 1990s and 2000s international actors would keep reminding new states that they ought to comply with international expectations attached to the initial realisation of self-determination to be deemed democratic, or liberal, as other European states. Indeed, the standards that were set in the early 1990s were to be often referred to by an array of international actors. These would be invoked along with other increasingly </w:t>
      </w:r>
      <w:r w:rsidRPr="00494ABB">
        <w:rPr>
          <w:rFonts w:ascii="Times" w:hAnsi="Times"/>
          <w:i/>
          <w:sz w:val="24"/>
          <w:lang w:val="en-GB"/>
        </w:rPr>
        <w:t xml:space="preserve">ad hoc </w:t>
      </w:r>
      <w:r w:rsidRPr="00494ABB">
        <w:rPr>
          <w:rFonts w:ascii="Times" w:hAnsi="Times"/>
          <w:sz w:val="24"/>
          <w:lang w:val="en-GB"/>
        </w:rPr>
        <w:t>criteria as benchmarks to which post-Yugoslav states had to conform if willing to be deemed legitimate members of international society. This was striking in the case of Bosnia. The Dayton Agreement both furthered ethnic politics of recognition domestically (</w:t>
      </w:r>
      <w:proofErr w:type="spellStart"/>
      <w:r w:rsidRPr="00494ABB">
        <w:rPr>
          <w:rFonts w:ascii="Times" w:hAnsi="Times"/>
          <w:sz w:val="24"/>
          <w:lang w:val="en-GB"/>
        </w:rPr>
        <w:t>Sarajlić</w:t>
      </w:r>
      <w:proofErr w:type="spellEnd"/>
      <w:r w:rsidRPr="00494ABB">
        <w:rPr>
          <w:rFonts w:ascii="Times" w:hAnsi="Times"/>
          <w:sz w:val="24"/>
          <w:lang w:val="en-GB"/>
        </w:rPr>
        <w:t xml:space="preserve">, 2012) whilst calling for the respect of liberal norms of inclusion and equality. As we shall see, though, Croatia also represents an interesting case in point. Less politicised internationally, the country presented highly exclusive citizenship norms and practices whilst going through the longest </w:t>
      </w:r>
      <w:r w:rsidRPr="00494ABB">
        <w:rPr>
          <w:rFonts w:ascii="Times" w:hAnsi="Times"/>
          <w:color w:val="000000"/>
          <w:sz w:val="24"/>
          <w:lang w:val="en-GB" w:eastAsia="ar-SA"/>
        </w:rPr>
        <w:t xml:space="preserve">process of accession in the </w:t>
      </w:r>
      <w:r w:rsidR="00244C75">
        <w:rPr>
          <w:rFonts w:ascii="Times" w:hAnsi="Times"/>
          <w:color w:val="000000"/>
          <w:sz w:val="24"/>
          <w:lang w:val="en-GB" w:eastAsia="ar-SA"/>
        </w:rPr>
        <w:t xml:space="preserve">EU </w:t>
      </w:r>
      <w:r w:rsidRPr="00494ABB">
        <w:rPr>
          <w:rFonts w:ascii="Times" w:hAnsi="Times"/>
          <w:color w:val="000000"/>
          <w:sz w:val="24"/>
          <w:lang w:val="en-GB" w:eastAsia="ar-SA"/>
        </w:rPr>
        <w:t>history.</w:t>
      </w:r>
    </w:p>
    <w:p w14:paraId="6F870038" w14:textId="77777777" w:rsidR="006E3F77" w:rsidRPr="00494ABB" w:rsidRDefault="006E3F77" w:rsidP="006E3F77">
      <w:pPr>
        <w:jc w:val="both"/>
        <w:rPr>
          <w:rFonts w:ascii="Times" w:hAnsi="Times"/>
          <w:sz w:val="24"/>
          <w:lang w:val="en-GB"/>
        </w:rPr>
      </w:pPr>
    </w:p>
    <w:p w14:paraId="292050B1" w14:textId="77777777" w:rsidR="006E3F77" w:rsidRPr="00494ABB" w:rsidRDefault="006E3F77" w:rsidP="006E3F77">
      <w:pPr>
        <w:jc w:val="both"/>
        <w:outlineLvl w:val="0"/>
        <w:rPr>
          <w:rFonts w:ascii="Times" w:hAnsi="Times"/>
          <w:b/>
          <w:i/>
          <w:sz w:val="24"/>
          <w:lang w:val="en-GB"/>
        </w:rPr>
      </w:pPr>
      <w:r w:rsidRPr="00494ABB">
        <w:rPr>
          <w:rFonts w:ascii="Times" w:hAnsi="Times"/>
          <w:b/>
          <w:i/>
          <w:sz w:val="24"/>
          <w:lang w:val="en-GB"/>
        </w:rPr>
        <w:t>Territorial Rescaling and Unequal Citizenship in Croatia</w:t>
      </w:r>
    </w:p>
    <w:p w14:paraId="57C462F4" w14:textId="77777777" w:rsidR="006E3F77" w:rsidRPr="00494ABB" w:rsidRDefault="006E3F77" w:rsidP="006E3F77">
      <w:pPr>
        <w:jc w:val="both"/>
        <w:rPr>
          <w:rFonts w:ascii="Times" w:hAnsi="Times"/>
          <w:b/>
          <w:i/>
          <w:sz w:val="24"/>
          <w:lang w:val="en-GB"/>
        </w:rPr>
      </w:pPr>
    </w:p>
    <w:p w14:paraId="2414FD83" w14:textId="7523E80B" w:rsidR="006E3F77" w:rsidRPr="00494ABB" w:rsidRDefault="006E3F77" w:rsidP="006E3F77">
      <w:pPr>
        <w:jc w:val="both"/>
        <w:rPr>
          <w:rFonts w:ascii="Times" w:hAnsi="Times"/>
          <w:sz w:val="24"/>
          <w:lang w:val="en-GB"/>
        </w:rPr>
      </w:pPr>
      <w:r w:rsidRPr="00494ABB">
        <w:rPr>
          <w:rFonts w:ascii="Times" w:hAnsi="Times"/>
          <w:sz w:val="24"/>
          <w:lang w:val="en-GB"/>
        </w:rPr>
        <w:t xml:space="preserve">In May 1991, the population of Croatia was asked to express itself in a referendum as to whether it wanted the </w:t>
      </w:r>
      <w:r w:rsidRPr="00494ABB">
        <w:rPr>
          <w:rFonts w:ascii="Times" w:hAnsi="Times"/>
          <w:bCs/>
          <w:sz w:val="24"/>
          <w:lang w:val="en-GB"/>
        </w:rPr>
        <w:t>‘Republic of Croatia as a sovereign</w:t>
      </w:r>
      <w:r w:rsidRPr="00494ABB">
        <w:rPr>
          <w:rFonts w:ascii="Times" w:hAnsi="Times"/>
          <w:sz w:val="24"/>
          <w:lang w:val="en-GB"/>
        </w:rPr>
        <w:t xml:space="preserve"> </w:t>
      </w:r>
      <w:r w:rsidRPr="00494ABB">
        <w:rPr>
          <w:rFonts w:ascii="Times" w:hAnsi="Times"/>
          <w:bCs/>
          <w:sz w:val="24"/>
          <w:lang w:val="en-GB"/>
        </w:rPr>
        <w:t>and independent state that guarantees the Serbs and members of other nationalities in Croatia</w:t>
      </w:r>
      <w:r w:rsidRPr="00494ABB">
        <w:rPr>
          <w:rFonts w:ascii="Times" w:hAnsi="Times"/>
          <w:sz w:val="24"/>
          <w:lang w:val="en-GB"/>
        </w:rPr>
        <w:t xml:space="preserve"> </w:t>
      </w:r>
      <w:r w:rsidRPr="00494ABB">
        <w:rPr>
          <w:rFonts w:ascii="Times" w:hAnsi="Times"/>
          <w:bCs/>
          <w:sz w:val="24"/>
          <w:lang w:val="en-GB"/>
        </w:rPr>
        <w:t>cultural autonomy and all rights of a citizen (…).’ Although the wording suggested that</w:t>
      </w:r>
      <w:r w:rsidR="00431CCD">
        <w:rPr>
          <w:rFonts w:ascii="Times" w:hAnsi="Times"/>
          <w:bCs/>
          <w:sz w:val="24"/>
          <w:lang w:val="en-GB"/>
        </w:rPr>
        <w:t xml:space="preserve"> just like in the previous socialist Constitution,</w:t>
      </w:r>
      <w:r w:rsidRPr="00494ABB">
        <w:rPr>
          <w:rFonts w:ascii="Times" w:hAnsi="Times"/>
          <w:bCs/>
          <w:sz w:val="24"/>
          <w:lang w:val="en-GB"/>
        </w:rPr>
        <w:t xml:space="preserve"> Serbs and other ethnic minorities would be equally treated, the Croatian Constitution enacted a year earlier defined Croatia as primarily the state of ethnic Croats. While ethnic Serbs living in Croatia (and representing, according to the 1991 census, 12.2 % of the total population) boycotted the referendum, 94.7% of the participants voted in favour of independence. The outcome of the referendum was no surprise. From 1990, following its victory, </w:t>
      </w:r>
      <w:proofErr w:type="spellStart"/>
      <w:r w:rsidRPr="00494ABB">
        <w:rPr>
          <w:rFonts w:ascii="Times" w:hAnsi="Times"/>
          <w:bCs/>
          <w:sz w:val="24"/>
          <w:lang w:val="en-GB"/>
        </w:rPr>
        <w:t>Franjo</w:t>
      </w:r>
      <w:proofErr w:type="spellEnd"/>
      <w:r w:rsidRPr="00494ABB">
        <w:rPr>
          <w:rFonts w:ascii="Times" w:hAnsi="Times"/>
          <w:bCs/>
          <w:sz w:val="24"/>
          <w:lang w:val="en-GB"/>
        </w:rPr>
        <w:t xml:space="preserve"> </w:t>
      </w:r>
      <w:proofErr w:type="spellStart"/>
      <w:r w:rsidRPr="00494ABB">
        <w:rPr>
          <w:rFonts w:ascii="Times" w:hAnsi="Times"/>
          <w:bCs/>
          <w:sz w:val="24"/>
          <w:lang w:val="en-GB"/>
        </w:rPr>
        <w:t>Tuđman’s</w:t>
      </w:r>
      <w:proofErr w:type="spellEnd"/>
      <w:r w:rsidRPr="00494ABB">
        <w:rPr>
          <w:rFonts w:ascii="Times" w:hAnsi="Times"/>
          <w:bCs/>
          <w:sz w:val="24"/>
          <w:lang w:val="en-GB"/>
        </w:rPr>
        <w:t xml:space="preserve"> conservative </w:t>
      </w:r>
      <w:proofErr w:type="spellStart"/>
      <w:r w:rsidRPr="00494ABB">
        <w:rPr>
          <w:rFonts w:ascii="Times" w:hAnsi="Times"/>
          <w:bCs/>
          <w:sz w:val="24"/>
          <w:lang w:val="en-GB"/>
        </w:rPr>
        <w:t>Hrvatska</w:t>
      </w:r>
      <w:proofErr w:type="spellEnd"/>
      <w:r w:rsidRPr="00494ABB">
        <w:rPr>
          <w:rFonts w:ascii="Times" w:hAnsi="Times"/>
          <w:bCs/>
          <w:sz w:val="24"/>
          <w:lang w:val="en-GB"/>
        </w:rPr>
        <w:t xml:space="preserve"> </w:t>
      </w:r>
      <w:proofErr w:type="spellStart"/>
      <w:r w:rsidRPr="00494ABB">
        <w:rPr>
          <w:rFonts w:ascii="Times" w:hAnsi="Times"/>
          <w:bCs/>
          <w:sz w:val="24"/>
          <w:lang w:val="en-GB"/>
        </w:rPr>
        <w:t>Demokratska</w:t>
      </w:r>
      <w:proofErr w:type="spellEnd"/>
      <w:r w:rsidRPr="00494ABB">
        <w:rPr>
          <w:rFonts w:ascii="Times" w:hAnsi="Times"/>
          <w:bCs/>
          <w:sz w:val="24"/>
          <w:lang w:val="en-GB"/>
        </w:rPr>
        <w:t xml:space="preserve"> </w:t>
      </w:r>
      <w:proofErr w:type="spellStart"/>
      <w:r w:rsidRPr="00494ABB">
        <w:rPr>
          <w:rFonts w:ascii="Times" w:hAnsi="Times"/>
          <w:bCs/>
          <w:sz w:val="24"/>
          <w:lang w:val="en-GB"/>
        </w:rPr>
        <w:t>Stranka</w:t>
      </w:r>
      <w:proofErr w:type="spellEnd"/>
      <w:r w:rsidRPr="00494ABB">
        <w:rPr>
          <w:rFonts w:ascii="Times" w:hAnsi="Times"/>
          <w:bCs/>
          <w:sz w:val="24"/>
          <w:lang w:val="en-GB"/>
        </w:rPr>
        <w:t xml:space="preserve"> (‘Croatian Democratic Party’ - HDZ) at the ‘first free elections’ (Constitution of Croatia, 1990) had started a pro-independence campaign marked by a nationalist tone (</w:t>
      </w:r>
      <w:proofErr w:type="spellStart"/>
      <w:r w:rsidRPr="00494ABB">
        <w:rPr>
          <w:rFonts w:ascii="Times" w:hAnsi="Times"/>
          <w:bCs/>
          <w:sz w:val="24"/>
          <w:lang w:val="en-GB"/>
        </w:rPr>
        <w:t>Pavković</w:t>
      </w:r>
      <w:proofErr w:type="spellEnd"/>
      <w:r w:rsidRPr="00494ABB">
        <w:rPr>
          <w:rFonts w:ascii="Times" w:hAnsi="Times"/>
          <w:bCs/>
          <w:sz w:val="24"/>
          <w:lang w:val="en-GB"/>
        </w:rPr>
        <w:t xml:space="preserve">, 2000, p. 127). </w:t>
      </w:r>
      <w:r w:rsidRPr="00494ABB">
        <w:rPr>
          <w:rFonts w:ascii="Times" w:hAnsi="Times"/>
          <w:sz w:val="24"/>
          <w:lang w:val="en-GB"/>
        </w:rPr>
        <w:t>This tone was institutionalised in the 1990 Constitution, which was not amended until 2010.</w:t>
      </w:r>
      <w:r w:rsidRPr="00494ABB">
        <w:rPr>
          <w:rStyle w:val="FootnoteReference"/>
          <w:rFonts w:ascii="Times" w:hAnsi="Times"/>
          <w:sz w:val="24"/>
          <w:lang w:val="en-GB"/>
        </w:rPr>
        <w:footnoteReference w:id="16"/>
      </w:r>
      <w:r w:rsidRPr="00494ABB">
        <w:rPr>
          <w:rFonts w:ascii="Times" w:hAnsi="Times"/>
          <w:sz w:val="24"/>
          <w:lang w:val="en-GB"/>
        </w:rPr>
        <w:t xml:space="preserve"> </w:t>
      </w:r>
    </w:p>
    <w:p w14:paraId="544E6062" w14:textId="481B4556" w:rsidR="006E3F77" w:rsidRPr="00494ABB" w:rsidRDefault="006E3F77" w:rsidP="006E3F77">
      <w:pPr>
        <w:ind w:firstLine="720"/>
        <w:jc w:val="both"/>
        <w:rPr>
          <w:rFonts w:ascii="Times" w:hAnsi="Times"/>
          <w:bCs/>
          <w:sz w:val="24"/>
          <w:lang w:val="en-GB"/>
        </w:rPr>
      </w:pPr>
      <w:r w:rsidRPr="00494ABB">
        <w:rPr>
          <w:rFonts w:ascii="Times" w:hAnsi="Times"/>
          <w:sz w:val="24"/>
          <w:lang w:val="en-GB"/>
        </w:rPr>
        <w:t xml:space="preserve">Robert Hayden has qualified the 1990 Croatian constitution as the clearest example of ‘constitutional nationalism’ (Hayden, 1992, p. 5). Hayden has also noted that the legal definition of Croatia and its right to self-determination in exclusive terms allowed for the </w:t>
      </w:r>
      <w:r w:rsidRPr="00494ABB">
        <w:rPr>
          <w:rFonts w:ascii="Times" w:hAnsi="Times"/>
          <w:bCs/>
          <w:sz w:val="24"/>
          <w:lang w:val="en-GB"/>
        </w:rPr>
        <w:t>administrative ‘omission’ of other citizens from the national community (Hayden, 1992, p. 5).</w:t>
      </w:r>
      <w:r w:rsidRPr="00494ABB">
        <w:rPr>
          <w:rFonts w:ascii="Times" w:hAnsi="Times"/>
          <w:sz w:val="24"/>
          <w:lang w:val="en-GB"/>
        </w:rPr>
        <w:t xml:space="preserve"> In the first article of the 1974 Constitution of the Socialist Republic, Croatia was defined ‘as a national state of the Croatian people, state of the Serbian people in Croatia and state of nationalities living on its territory’.</w:t>
      </w:r>
      <w:r w:rsidRPr="00494ABB">
        <w:rPr>
          <w:rStyle w:val="FootnoteReference"/>
          <w:rFonts w:ascii="Times" w:hAnsi="Times"/>
          <w:sz w:val="24"/>
          <w:lang w:val="en-GB"/>
        </w:rPr>
        <w:footnoteReference w:id="17"/>
      </w:r>
      <w:r w:rsidRPr="00494ABB">
        <w:rPr>
          <w:rFonts w:ascii="Times" w:hAnsi="Times"/>
          <w:sz w:val="24"/>
          <w:lang w:val="en-GB"/>
        </w:rPr>
        <w:t xml:space="preserve"> The first article of the 1990 Constitution instead instituted ‘the Republic of Croatia as the national state of the Croatian people and the state of members of other nations and minorities who are its citizens’.</w:t>
      </w:r>
      <w:r w:rsidRPr="00494ABB">
        <w:rPr>
          <w:rStyle w:val="FootnoteReference"/>
          <w:rFonts w:ascii="Times" w:hAnsi="Times"/>
          <w:sz w:val="24"/>
          <w:lang w:val="en-GB"/>
        </w:rPr>
        <w:footnoteReference w:id="18"/>
      </w:r>
      <w:r w:rsidRPr="00494ABB">
        <w:rPr>
          <w:rFonts w:ascii="Times" w:hAnsi="Times"/>
          <w:sz w:val="24"/>
          <w:lang w:val="en-GB"/>
        </w:rPr>
        <w:t xml:space="preserve"> In addition to that, while the preamble of the 1990 Constitution defined as national minorities Serbs, Czechs, Slovaks, Italians, Hungarians, Jews, Germans, Austrians, Ukrainians and </w:t>
      </w:r>
      <w:proofErr w:type="spellStart"/>
      <w:r w:rsidRPr="00494ABB">
        <w:rPr>
          <w:rFonts w:ascii="Times" w:hAnsi="Times"/>
          <w:sz w:val="24"/>
          <w:lang w:val="en-GB"/>
        </w:rPr>
        <w:t>Ruthenians</w:t>
      </w:r>
      <w:proofErr w:type="spellEnd"/>
      <w:r w:rsidRPr="00494ABB">
        <w:rPr>
          <w:rFonts w:ascii="Times" w:hAnsi="Times"/>
          <w:sz w:val="24"/>
          <w:lang w:val="en-GB"/>
        </w:rPr>
        <w:t xml:space="preserve">, according to the first minority law </w:t>
      </w:r>
      <w:r w:rsidRPr="00494ABB">
        <w:rPr>
          <w:rFonts w:ascii="Times" w:hAnsi="Times"/>
          <w:color w:val="000000"/>
          <w:sz w:val="24"/>
          <w:lang w:val="en-GB" w:eastAsia="ar-SA"/>
        </w:rPr>
        <w:t xml:space="preserve">enacted in 1992 only minorities representing more than 8% of the total population </w:t>
      </w:r>
      <w:r w:rsidRPr="00494ABB">
        <w:rPr>
          <w:rFonts w:ascii="Times" w:hAnsi="Times"/>
          <w:iCs/>
          <w:color w:val="000000"/>
          <w:sz w:val="24"/>
          <w:lang w:val="en-GB" w:eastAsia="ar-SA"/>
        </w:rPr>
        <w:t xml:space="preserve">had the right to vote. </w:t>
      </w:r>
      <w:r w:rsidRPr="00494ABB">
        <w:rPr>
          <w:rFonts w:ascii="Times" w:hAnsi="Times"/>
          <w:color w:val="000000"/>
          <w:sz w:val="24"/>
          <w:lang w:val="en-GB" w:eastAsia="ar-SA"/>
        </w:rPr>
        <w:t>In the 1991 census, however, only ethnic Serbs represented more than 8% of the total population (</w:t>
      </w:r>
      <w:proofErr w:type="spellStart"/>
      <w:r w:rsidRPr="00494ABB">
        <w:rPr>
          <w:rFonts w:ascii="Times" w:hAnsi="Times"/>
          <w:color w:val="000000"/>
          <w:sz w:val="24"/>
          <w:lang w:val="en-GB" w:eastAsia="ar-SA"/>
        </w:rPr>
        <w:t>Ragazzi</w:t>
      </w:r>
      <w:proofErr w:type="spellEnd"/>
      <w:r w:rsidRPr="00494ABB">
        <w:rPr>
          <w:rFonts w:ascii="Times" w:hAnsi="Times"/>
          <w:color w:val="000000"/>
          <w:sz w:val="24"/>
          <w:lang w:val="en-GB" w:eastAsia="ar-SA"/>
        </w:rPr>
        <w:t xml:space="preserve">, 2010, pp. 282-283). They therefore were, legally, the only group entitled to vote. This law was later abolished in 1995. Nonetheless, until </w:t>
      </w:r>
      <w:proofErr w:type="spellStart"/>
      <w:r w:rsidRPr="00494ABB">
        <w:rPr>
          <w:rFonts w:ascii="Times" w:hAnsi="Times"/>
          <w:color w:val="000000"/>
          <w:sz w:val="24"/>
          <w:lang w:val="en-GB" w:eastAsia="ar-SA"/>
        </w:rPr>
        <w:t>Tuđman</w:t>
      </w:r>
      <w:proofErr w:type="spellEnd"/>
      <w:r w:rsidRPr="00494ABB">
        <w:rPr>
          <w:rFonts w:ascii="Times" w:hAnsi="Times"/>
          <w:color w:val="000000"/>
          <w:sz w:val="24"/>
          <w:lang w:val="en-GB" w:eastAsia="ar-SA"/>
        </w:rPr>
        <w:t xml:space="preserve"> died in 1999 no law regulating the matter existed. </w:t>
      </w:r>
    </w:p>
    <w:p w14:paraId="5DD4689D" w14:textId="6EBA34CB" w:rsidR="006E3F77" w:rsidRPr="00494ABB" w:rsidRDefault="006E3F77" w:rsidP="006E3F77">
      <w:pPr>
        <w:ind w:firstLine="720"/>
        <w:jc w:val="both"/>
        <w:rPr>
          <w:rFonts w:ascii="Times" w:hAnsi="Times"/>
          <w:color w:val="000000"/>
          <w:sz w:val="24"/>
          <w:lang w:val="en-GB" w:eastAsia="ar-SA"/>
        </w:rPr>
      </w:pPr>
      <w:r w:rsidRPr="00494ABB">
        <w:rPr>
          <w:rFonts w:ascii="Times" w:hAnsi="Times"/>
          <w:color w:val="000000"/>
          <w:sz w:val="24"/>
          <w:lang w:val="en-GB" w:eastAsia="ar-SA"/>
        </w:rPr>
        <w:t xml:space="preserve">The </w:t>
      </w:r>
      <w:r w:rsidRPr="00494ABB">
        <w:rPr>
          <w:rFonts w:ascii="Times" w:hAnsi="Times"/>
          <w:sz w:val="24"/>
          <w:lang w:val="en-GB"/>
        </w:rPr>
        <w:t xml:space="preserve">matter for those who did not identify with Croatian ethnicity was further complicated by citizenship requirements. </w:t>
      </w:r>
      <w:r w:rsidRPr="00494ABB">
        <w:rPr>
          <w:rFonts w:ascii="Times" w:hAnsi="Times"/>
          <w:color w:val="000000"/>
          <w:sz w:val="24"/>
          <w:lang w:val="en-GB" w:eastAsia="ar-SA"/>
        </w:rPr>
        <w:t>If the first criterion to seek citizenship was the possession of the previous socialist Croatian citizenship, the second was (and still is) Croatian ethnicity.</w:t>
      </w:r>
      <w:r w:rsidRPr="00494ABB">
        <w:rPr>
          <w:rStyle w:val="FootnoteReference"/>
          <w:rFonts w:ascii="Times" w:hAnsi="Times"/>
          <w:color w:val="000000"/>
          <w:sz w:val="24"/>
          <w:lang w:val="en-GB" w:eastAsia="ar-SA"/>
        </w:rPr>
        <w:footnoteReference w:id="19"/>
      </w:r>
      <w:r w:rsidRPr="00494ABB">
        <w:rPr>
          <w:rFonts w:ascii="Times" w:hAnsi="Times"/>
          <w:color w:val="000000"/>
          <w:sz w:val="24"/>
          <w:lang w:val="en-GB" w:eastAsia="ar-SA"/>
        </w:rPr>
        <w:t xml:space="preserve"> Those who did not identify with Croatian ethnicity and who until 1991 had been citizens of socialist Croatia, without even moving, were from one day to the next turned into aliens. They were asked to apply for the new citizenship from the start, needing to prove that they had lived in Croatia at least for the previous fi</w:t>
      </w:r>
      <w:r w:rsidR="00276FC6">
        <w:rPr>
          <w:rFonts w:ascii="Times" w:hAnsi="Times"/>
          <w:color w:val="000000"/>
          <w:sz w:val="24"/>
          <w:lang w:val="en-GB" w:eastAsia="ar-SA"/>
        </w:rPr>
        <w:t>ve years. For some, this was easy</w:t>
      </w:r>
      <w:r w:rsidRPr="00494ABB">
        <w:rPr>
          <w:rFonts w:ascii="Times" w:hAnsi="Times"/>
          <w:color w:val="000000"/>
          <w:sz w:val="24"/>
          <w:lang w:val="en-GB" w:eastAsia="ar-SA"/>
        </w:rPr>
        <w:t>. For those who had migrated to Croatia during the Yugoslav regime, however, the matter was complicated. When individuals migrated from one republic to the other, often the required changes in citizenship status were not undertaken since migrations were internal to Yugoslavia (</w:t>
      </w:r>
      <w:proofErr w:type="spellStart"/>
      <w:r w:rsidRPr="00494ABB">
        <w:rPr>
          <w:rFonts w:ascii="Times" w:hAnsi="Times"/>
          <w:color w:val="000000"/>
          <w:sz w:val="24"/>
          <w:lang w:val="en-GB" w:eastAsia="ar-SA"/>
        </w:rPr>
        <w:t>Štiks</w:t>
      </w:r>
      <w:proofErr w:type="spellEnd"/>
      <w:r w:rsidRPr="00494ABB">
        <w:rPr>
          <w:rFonts w:ascii="Times" w:hAnsi="Times"/>
          <w:color w:val="000000"/>
          <w:sz w:val="24"/>
          <w:lang w:val="en-GB" w:eastAsia="ar-SA"/>
        </w:rPr>
        <w:t xml:space="preserve"> 2009, p. 278)</w:t>
      </w:r>
      <w:r w:rsidRPr="00494ABB">
        <w:rPr>
          <w:rFonts w:ascii="Times" w:hAnsi="Times"/>
          <w:sz w:val="24"/>
          <w:lang w:val="en-GB"/>
        </w:rPr>
        <w:t>.</w:t>
      </w:r>
      <w:r w:rsidRPr="00494ABB">
        <w:rPr>
          <w:rFonts w:ascii="Times" w:hAnsi="Times"/>
          <w:color w:val="000000"/>
          <w:sz w:val="24"/>
          <w:lang w:val="en-GB" w:eastAsia="ar-SA"/>
        </w:rPr>
        <w:t xml:space="preserve"> W</w:t>
      </w:r>
      <w:r w:rsidR="00276FC6">
        <w:rPr>
          <w:rFonts w:ascii="Times" w:hAnsi="Times"/>
          <w:color w:val="000000"/>
          <w:sz w:val="24"/>
          <w:lang w:val="en-GB" w:eastAsia="ar-SA"/>
        </w:rPr>
        <w:t xml:space="preserve">hat was a simple oversight </w:t>
      </w:r>
      <w:r w:rsidRPr="00494ABB">
        <w:rPr>
          <w:rFonts w:ascii="Times" w:hAnsi="Times"/>
          <w:color w:val="000000"/>
          <w:sz w:val="24"/>
          <w:lang w:val="en-GB" w:eastAsia="ar-SA"/>
        </w:rPr>
        <w:t>had direct consequences in the definition of the new national constituency (</w:t>
      </w:r>
      <w:proofErr w:type="spellStart"/>
      <w:r w:rsidRPr="00494ABB">
        <w:rPr>
          <w:rFonts w:ascii="Times" w:hAnsi="Times"/>
          <w:color w:val="000000"/>
          <w:sz w:val="24"/>
          <w:lang w:val="en-GB" w:eastAsia="ar-SA"/>
        </w:rPr>
        <w:t>Ragazzi</w:t>
      </w:r>
      <w:proofErr w:type="spellEnd"/>
      <w:r w:rsidRPr="00494ABB">
        <w:rPr>
          <w:rFonts w:ascii="Times" w:hAnsi="Times"/>
          <w:color w:val="000000"/>
          <w:sz w:val="24"/>
          <w:lang w:val="en-GB" w:eastAsia="ar-SA"/>
        </w:rPr>
        <w:t xml:space="preserve"> and </w:t>
      </w:r>
      <w:proofErr w:type="spellStart"/>
      <w:r w:rsidRPr="00494ABB">
        <w:rPr>
          <w:rFonts w:ascii="Times" w:hAnsi="Times"/>
          <w:color w:val="000000"/>
          <w:sz w:val="24"/>
          <w:lang w:val="en-GB" w:eastAsia="ar-SA"/>
        </w:rPr>
        <w:t>Štiks</w:t>
      </w:r>
      <w:proofErr w:type="spellEnd"/>
      <w:r w:rsidRPr="00494ABB">
        <w:rPr>
          <w:rFonts w:ascii="Times" w:hAnsi="Times"/>
          <w:color w:val="000000"/>
          <w:sz w:val="24"/>
          <w:lang w:val="en-GB" w:eastAsia="ar-SA"/>
        </w:rPr>
        <w:t xml:space="preserve">, 2010). </w:t>
      </w:r>
    </w:p>
    <w:p w14:paraId="38BE4725" w14:textId="1C53DE5C" w:rsidR="006E3F77" w:rsidRPr="00494ABB" w:rsidRDefault="006E3F77" w:rsidP="006E3F77">
      <w:pPr>
        <w:ind w:firstLine="720"/>
        <w:jc w:val="both"/>
        <w:rPr>
          <w:rFonts w:ascii="Times" w:hAnsi="Times"/>
          <w:color w:val="000000"/>
          <w:sz w:val="24"/>
          <w:lang w:val="en-GB" w:eastAsia="ar-SA"/>
        </w:rPr>
      </w:pPr>
      <w:proofErr w:type="spellStart"/>
      <w:r w:rsidRPr="00494ABB">
        <w:rPr>
          <w:rFonts w:ascii="Times" w:hAnsi="Times"/>
          <w:sz w:val="24"/>
          <w:lang w:val="en-GB"/>
        </w:rPr>
        <w:t>Tuđman</w:t>
      </w:r>
      <w:proofErr w:type="spellEnd"/>
      <w:r w:rsidRPr="00494ABB">
        <w:rPr>
          <w:rFonts w:ascii="Times" w:hAnsi="Times"/>
          <w:sz w:val="24"/>
          <w:lang w:val="en-GB"/>
        </w:rPr>
        <w:t xml:space="preserve"> kept invoking non-interference and Croatia’s natural right to self-determination to justify </w:t>
      </w:r>
      <w:proofErr w:type="gramStart"/>
      <w:r w:rsidRPr="00494ABB">
        <w:rPr>
          <w:rFonts w:ascii="Times" w:hAnsi="Times"/>
          <w:sz w:val="24"/>
          <w:lang w:val="en-GB"/>
        </w:rPr>
        <w:t>state-building</w:t>
      </w:r>
      <w:proofErr w:type="gramEnd"/>
      <w:r w:rsidRPr="00494ABB">
        <w:rPr>
          <w:rFonts w:ascii="Times" w:hAnsi="Times"/>
          <w:sz w:val="24"/>
          <w:lang w:val="en-GB"/>
        </w:rPr>
        <w:t xml:space="preserve">. </w:t>
      </w:r>
      <w:r w:rsidRPr="00494ABB">
        <w:rPr>
          <w:rFonts w:ascii="Times" w:hAnsi="Times"/>
          <w:color w:val="000000"/>
          <w:sz w:val="24"/>
          <w:lang w:val="en-GB" w:eastAsia="ar-SA"/>
        </w:rPr>
        <w:t xml:space="preserve">It was in this context that national officials inaugurated unequal membership in a fiction of legal continuity with previous Yugoslav </w:t>
      </w:r>
      <w:r w:rsidR="00276FC6">
        <w:rPr>
          <w:rFonts w:ascii="Times" w:hAnsi="Times"/>
          <w:color w:val="000000"/>
          <w:sz w:val="24"/>
          <w:lang w:val="en-GB" w:eastAsia="ar-SA"/>
        </w:rPr>
        <w:t>membership categories</w:t>
      </w:r>
      <w:r w:rsidRPr="00494ABB">
        <w:rPr>
          <w:rFonts w:ascii="Times" w:hAnsi="Times"/>
          <w:color w:val="000000"/>
          <w:sz w:val="24"/>
          <w:lang w:val="en-GB" w:eastAsia="ar-SA"/>
        </w:rPr>
        <w:t xml:space="preserve">. While the literature largely presents Croatia’s state-building project as one of homogenisation, clear hierarchies in the allocation of status and rights existed. In 1990s Croatia at least four categories of included/excluded individuals existed. </w:t>
      </w:r>
    </w:p>
    <w:p w14:paraId="76BC36CC" w14:textId="255C828C" w:rsidR="006E3F77" w:rsidRPr="00494ABB" w:rsidRDefault="006E3F77" w:rsidP="006E3F77">
      <w:pPr>
        <w:ind w:firstLine="720"/>
        <w:jc w:val="both"/>
        <w:rPr>
          <w:rFonts w:ascii="Times" w:hAnsi="Times"/>
          <w:sz w:val="24"/>
          <w:lang w:val="en-GB"/>
        </w:rPr>
      </w:pPr>
      <w:r w:rsidRPr="00494ABB">
        <w:rPr>
          <w:rFonts w:ascii="Times" w:hAnsi="Times"/>
          <w:sz w:val="24"/>
          <w:lang w:val="en-GB"/>
        </w:rPr>
        <w:t>The first category was – and still is - const</w:t>
      </w:r>
      <w:r w:rsidR="00276FC6">
        <w:rPr>
          <w:rFonts w:ascii="Times" w:hAnsi="Times"/>
          <w:sz w:val="24"/>
          <w:lang w:val="en-GB"/>
        </w:rPr>
        <w:t>ituted of ethnic Croats</w:t>
      </w:r>
      <w:r w:rsidRPr="00494ABB">
        <w:rPr>
          <w:rFonts w:ascii="Times" w:hAnsi="Times"/>
          <w:sz w:val="24"/>
          <w:lang w:val="en-GB"/>
        </w:rPr>
        <w:t>. Two cases specifically entered into this category: ethnic Croats living in the territory of Croatia and the diaspora. The definition of Croatia’s self-determination in ethnic terms directly translated into the inclusion in the body politic of those ethnic ‘Croats’ living abroad. Individuals belonging to the diaspora were given the possibility to acquire a double, Croatian, citizenship and the right to vote while remaining in their country of residence</w:t>
      </w:r>
      <w:r w:rsidR="00276FC6">
        <w:rPr>
          <w:rFonts w:ascii="Times" w:hAnsi="Times"/>
          <w:sz w:val="24"/>
          <w:lang w:val="en-GB"/>
        </w:rPr>
        <w:t>,</w:t>
      </w:r>
      <w:r w:rsidRPr="00494ABB">
        <w:rPr>
          <w:rFonts w:ascii="Times" w:hAnsi="Times"/>
          <w:sz w:val="24"/>
          <w:lang w:val="en-GB"/>
        </w:rPr>
        <w:t xml:space="preserve"> or origin. With regard to the diaspora, two separate typologies were considered in the citizenship law: the diaspora living in the far abroad and, more ambiguously, the diaspora living in the near abroad, in the other successor states. Over the past thirty years, this second group has specifically benefitted from facilitated naturalisation procedures and, even though numbers are not official, is mainly embodied by Croats from Herzegovina (Croatian Citizenship Law, 1991, art. 18). When the citizenship law was enacted in 1991, both </w:t>
      </w:r>
      <w:proofErr w:type="spellStart"/>
      <w:r w:rsidRPr="00494ABB">
        <w:rPr>
          <w:rFonts w:ascii="Times" w:hAnsi="Times"/>
          <w:sz w:val="24"/>
          <w:lang w:val="en-GB"/>
        </w:rPr>
        <w:t>Tuđman</w:t>
      </w:r>
      <w:proofErr w:type="spellEnd"/>
      <w:r w:rsidRPr="00494ABB">
        <w:rPr>
          <w:rFonts w:ascii="Times" w:hAnsi="Times"/>
          <w:sz w:val="24"/>
          <w:lang w:val="en-GB"/>
        </w:rPr>
        <w:t xml:space="preserve"> and then Serbian President Slobodan </w:t>
      </w:r>
      <w:proofErr w:type="spellStart"/>
      <w:r w:rsidRPr="00494ABB">
        <w:rPr>
          <w:rFonts w:ascii="Times" w:hAnsi="Times"/>
          <w:sz w:val="24"/>
          <w:lang w:val="en-GB"/>
        </w:rPr>
        <w:t>Milo</w:t>
      </w:r>
      <w:r w:rsidRPr="00494ABB">
        <w:rPr>
          <w:rFonts w:ascii="Times" w:hAnsi="Times" w:cs="Times"/>
          <w:sz w:val="24"/>
          <w:lang w:val="en-GB"/>
        </w:rPr>
        <w:t>š</w:t>
      </w:r>
      <w:r w:rsidRPr="00494ABB">
        <w:rPr>
          <w:rFonts w:ascii="Times" w:hAnsi="Times"/>
          <w:sz w:val="24"/>
          <w:lang w:val="en-GB"/>
        </w:rPr>
        <w:t>evi</w:t>
      </w:r>
      <w:r w:rsidRPr="00494ABB">
        <w:rPr>
          <w:rFonts w:ascii="Times" w:hAnsi="Times" w:cs="Times"/>
          <w:sz w:val="24"/>
          <w:lang w:val="en-GB"/>
        </w:rPr>
        <w:t>ć</w:t>
      </w:r>
      <w:proofErr w:type="spellEnd"/>
      <w:r w:rsidRPr="00494ABB">
        <w:rPr>
          <w:rFonts w:ascii="Times" w:hAnsi="Times"/>
          <w:sz w:val="24"/>
          <w:lang w:val="en-GB"/>
        </w:rPr>
        <w:t xml:space="preserve"> had projects of territorial expansion. </w:t>
      </w:r>
      <w:proofErr w:type="spellStart"/>
      <w:r w:rsidRPr="00494ABB">
        <w:rPr>
          <w:rFonts w:ascii="Times" w:hAnsi="Times"/>
          <w:sz w:val="24"/>
          <w:lang w:val="en-GB"/>
        </w:rPr>
        <w:t>Tuđman’s</w:t>
      </w:r>
      <w:proofErr w:type="spellEnd"/>
      <w:r w:rsidRPr="00494ABB">
        <w:rPr>
          <w:rFonts w:ascii="Times" w:hAnsi="Times"/>
          <w:sz w:val="24"/>
          <w:lang w:val="en-GB"/>
        </w:rPr>
        <w:t xml:space="preserve"> project of ‘Great Croatia’ specifically, included the whole of the territory of Herzegovina (</w:t>
      </w:r>
      <w:proofErr w:type="spellStart"/>
      <w:r w:rsidRPr="00494ABB">
        <w:rPr>
          <w:rFonts w:ascii="Times" w:hAnsi="Times"/>
          <w:sz w:val="24"/>
          <w:lang w:val="en-GB"/>
        </w:rPr>
        <w:t>Ragazzi</w:t>
      </w:r>
      <w:proofErr w:type="spellEnd"/>
      <w:r w:rsidRPr="00494ABB">
        <w:rPr>
          <w:rFonts w:ascii="Times" w:hAnsi="Times"/>
          <w:sz w:val="24"/>
          <w:lang w:val="en-GB"/>
        </w:rPr>
        <w:t>, 2010, p. 163). As Bosnian statehood was internationally recognised, Croats from Bosnia were granted, as an alternative to territorial annexation, Croatian citizenship (</w:t>
      </w:r>
      <w:proofErr w:type="spellStart"/>
      <w:r w:rsidRPr="00494ABB">
        <w:rPr>
          <w:rFonts w:ascii="Times" w:hAnsi="Times"/>
          <w:sz w:val="24"/>
          <w:lang w:val="en-GB"/>
        </w:rPr>
        <w:t>Ragazzi</w:t>
      </w:r>
      <w:proofErr w:type="spellEnd"/>
      <w:r w:rsidRPr="00494ABB">
        <w:rPr>
          <w:rFonts w:ascii="Times" w:hAnsi="Times"/>
          <w:sz w:val="24"/>
          <w:lang w:val="en-GB"/>
        </w:rPr>
        <w:t xml:space="preserve">, 2010). After all, following Yugoslav politics of recognition, they were as ethnically Croats as ethnic Croats in Croatia. </w:t>
      </w:r>
    </w:p>
    <w:p w14:paraId="2D8F2094" w14:textId="697CD8B5" w:rsidR="006E3F77" w:rsidRDefault="006E3F77" w:rsidP="006E3F77">
      <w:pPr>
        <w:ind w:firstLine="720"/>
        <w:jc w:val="both"/>
        <w:rPr>
          <w:rFonts w:ascii="Times" w:hAnsi="Times"/>
          <w:color w:val="000000"/>
          <w:sz w:val="24"/>
          <w:lang w:val="en-GB" w:eastAsia="ar-SA"/>
        </w:rPr>
      </w:pPr>
      <w:r w:rsidRPr="00494ABB">
        <w:rPr>
          <w:rFonts w:ascii="Times" w:hAnsi="Times"/>
          <w:color w:val="000000"/>
          <w:sz w:val="24"/>
          <w:lang w:val="en-GB" w:eastAsia="ar-SA"/>
        </w:rPr>
        <w:t xml:space="preserve">Minorities recognised during Socialist Yugoslavia, as well as other ‘nationalities’ of Yugoslavia – exclusive of Serbs - constituted the second category. These were following the 1990 Constitution: </w:t>
      </w:r>
      <w:r w:rsidRPr="00494ABB">
        <w:rPr>
          <w:rFonts w:ascii="Times" w:hAnsi="Times"/>
          <w:sz w:val="24"/>
          <w:lang w:val="en-GB"/>
        </w:rPr>
        <w:t xml:space="preserve">Czechs, Slovaks, Italians, Hungarians, Jews, Germans, Austrians, Ukrainians and </w:t>
      </w:r>
      <w:proofErr w:type="spellStart"/>
      <w:r w:rsidRPr="00494ABB">
        <w:rPr>
          <w:rFonts w:ascii="Times" w:hAnsi="Times"/>
          <w:sz w:val="24"/>
          <w:lang w:val="en-GB"/>
        </w:rPr>
        <w:t>Ruthenians</w:t>
      </w:r>
      <w:proofErr w:type="spellEnd"/>
      <w:r w:rsidRPr="00494ABB">
        <w:rPr>
          <w:rFonts w:ascii="Times" w:hAnsi="Times"/>
          <w:sz w:val="24"/>
          <w:lang w:val="en-GB"/>
        </w:rPr>
        <w:t>. Interestingly, while in 1919 only four minorities had been recognised internationally, the then available census of 1910 recognised exactly these same nine groups.</w:t>
      </w:r>
      <w:r w:rsidRPr="00494ABB">
        <w:rPr>
          <w:rFonts w:ascii="Times" w:hAnsi="Times"/>
          <w:color w:val="000000"/>
          <w:sz w:val="24"/>
          <w:lang w:val="en-GB" w:eastAsia="ar-SA"/>
        </w:rPr>
        <w:t xml:space="preserve"> As mentioned earlier, however, even if individual members of minorities had a legal citizenship status and recognised membership affiliation, until 1999 they were denied the possibility to exercise full political rights.</w:t>
      </w:r>
    </w:p>
    <w:p w14:paraId="691E5DCD" w14:textId="08FBD581" w:rsidR="00FE7BF9" w:rsidRPr="00DD4051" w:rsidRDefault="00FE7BF9" w:rsidP="00602F87">
      <w:pPr>
        <w:ind w:firstLine="720"/>
        <w:jc w:val="both"/>
        <w:rPr>
          <w:rFonts w:ascii="Times" w:hAnsi="Times"/>
          <w:color w:val="000000"/>
          <w:sz w:val="24"/>
          <w:lang w:val="en-GB" w:eastAsia="ar-SA"/>
        </w:rPr>
      </w:pPr>
      <w:r w:rsidRPr="00494ABB">
        <w:rPr>
          <w:rFonts w:ascii="Times" w:hAnsi="Times"/>
          <w:sz w:val="24"/>
          <w:lang w:val="en-GB"/>
        </w:rPr>
        <w:t xml:space="preserve">Ethnic Serbs, excluded internally, constituted the third category. </w:t>
      </w:r>
      <w:r>
        <w:rPr>
          <w:rFonts w:ascii="Times" w:hAnsi="Times"/>
          <w:sz w:val="24"/>
          <w:lang w:val="en-GB"/>
        </w:rPr>
        <w:t xml:space="preserve">In 1991, as the new citizenship law was passed, many individuals formally identified in censuses as Serbs were denied the new Croatia citizenship. </w:t>
      </w:r>
      <w:r>
        <w:rPr>
          <w:rFonts w:ascii="Times" w:hAnsi="Times"/>
          <w:color w:val="000000"/>
          <w:sz w:val="24"/>
          <w:lang w:val="en-GB" w:eastAsia="ar-SA"/>
        </w:rPr>
        <w:t xml:space="preserve">From one day to the other, </w:t>
      </w:r>
      <w:r w:rsidR="00DF30DE">
        <w:rPr>
          <w:rFonts w:ascii="Times" w:hAnsi="Times"/>
          <w:color w:val="000000"/>
          <w:sz w:val="24"/>
          <w:lang w:val="en-GB" w:eastAsia="ar-SA"/>
        </w:rPr>
        <w:t>many found themselves stateless.</w:t>
      </w:r>
      <w:r w:rsidR="00060242">
        <w:rPr>
          <w:rFonts w:ascii="Times" w:hAnsi="Times"/>
          <w:color w:val="000000"/>
          <w:sz w:val="24"/>
          <w:lang w:val="en-GB" w:eastAsia="ar-SA"/>
        </w:rPr>
        <w:t xml:space="preserve"> </w:t>
      </w:r>
      <w:r w:rsidR="00DF30DE">
        <w:rPr>
          <w:rFonts w:ascii="Times" w:hAnsi="Times"/>
          <w:sz w:val="24"/>
          <w:lang w:val="en-GB"/>
        </w:rPr>
        <w:t xml:space="preserve">They </w:t>
      </w:r>
      <w:r w:rsidR="00B25783">
        <w:rPr>
          <w:rFonts w:ascii="Times" w:hAnsi="Times"/>
          <w:sz w:val="24"/>
          <w:lang w:val="en-GB"/>
        </w:rPr>
        <w:t>then had to</w:t>
      </w:r>
      <w:r w:rsidR="00DF30DE" w:rsidRPr="00494ABB">
        <w:rPr>
          <w:rFonts w:ascii="Times" w:hAnsi="Times"/>
          <w:color w:val="000000"/>
          <w:sz w:val="24"/>
          <w:lang w:val="en-GB" w:eastAsia="ar-SA"/>
        </w:rPr>
        <w:t xml:space="preserve"> formally reapply for citizenship of the new state.</w:t>
      </w:r>
      <w:r w:rsidR="00DF30DE">
        <w:rPr>
          <w:rFonts w:ascii="Times" w:hAnsi="Times"/>
          <w:color w:val="000000"/>
          <w:sz w:val="24"/>
          <w:lang w:val="en-GB" w:eastAsia="ar-SA"/>
        </w:rPr>
        <w:t xml:space="preserve"> </w:t>
      </w:r>
      <w:r w:rsidR="00060242">
        <w:rPr>
          <w:rFonts w:ascii="Times" w:hAnsi="Times"/>
          <w:color w:val="000000"/>
          <w:sz w:val="24"/>
          <w:lang w:val="en-GB" w:eastAsia="ar-SA"/>
        </w:rPr>
        <w:t>However, because of the context of the war (then between Croatia and the Croatian Republic o</w:t>
      </w:r>
      <w:r w:rsidR="00FA3C5F">
        <w:rPr>
          <w:rFonts w:ascii="Times" w:hAnsi="Times"/>
          <w:color w:val="000000"/>
          <w:sz w:val="24"/>
          <w:lang w:val="en-GB" w:eastAsia="ar-SA"/>
        </w:rPr>
        <w:t xml:space="preserve">f Bosnia and </w:t>
      </w:r>
      <w:proofErr w:type="spellStart"/>
      <w:r w:rsidR="00FA3C5F">
        <w:rPr>
          <w:rFonts w:ascii="Times" w:hAnsi="Times"/>
          <w:color w:val="000000"/>
          <w:sz w:val="24"/>
          <w:lang w:val="en-GB" w:eastAsia="ar-SA"/>
        </w:rPr>
        <w:t>Hercegovina</w:t>
      </w:r>
      <w:proofErr w:type="spellEnd"/>
      <w:r w:rsidR="00FA3C5F">
        <w:rPr>
          <w:rFonts w:ascii="Times" w:hAnsi="Times"/>
          <w:color w:val="000000"/>
          <w:sz w:val="24"/>
          <w:lang w:val="en-GB" w:eastAsia="ar-SA"/>
        </w:rPr>
        <w:t xml:space="preserve"> on </w:t>
      </w:r>
      <w:r w:rsidR="00060242">
        <w:rPr>
          <w:rFonts w:ascii="Times" w:hAnsi="Times"/>
          <w:color w:val="000000"/>
          <w:sz w:val="24"/>
          <w:lang w:val="en-GB" w:eastAsia="ar-SA"/>
        </w:rPr>
        <w:t xml:space="preserve">one side, and, on the other, the Yugoslav federal army initially composed of the rest of Yugoslavia and later reduced to Serbia and Montenegro) major obstacles existed. For example, </w:t>
      </w:r>
      <w:r w:rsidR="003B5238">
        <w:rPr>
          <w:rFonts w:ascii="Times" w:hAnsi="Times"/>
          <w:color w:val="000000"/>
          <w:sz w:val="24"/>
          <w:lang w:val="en-GB" w:eastAsia="ar-SA"/>
        </w:rPr>
        <w:t>proving o</w:t>
      </w:r>
      <w:r w:rsidR="00B25783">
        <w:rPr>
          <w:rFonts w:ascii="Times" w:hAnsi="Times"/>
          <w:color w:val="000000"/>
          <w:sz w:val="24"/>
          <w:lang w:val="en-GB" w:eastAsia="ar-SA"/>
        </w:rPr>
        <w:t xml:space="preserve">r establishing one’s residence </w:t>
      </w:r>
      <w:r w:rsidR="003B5238">
        <w:rPr>
          <w:rFonts w:ascii="Times" w:hAnsi="Times"/>
          <w:color w:val="000000"/>
          <w:sz w:val="24"/>
          <w:lang w:val="en-GB" w:eastAsia="ar-SA"/>
        </w:rPr>
        <w:t xml:space="preserve">was complex both locally and nationally. For the Serbian minority, the matter was even more complex in </w:t>
      </w:r>
      <w:proofErr w:type="spellStart"/>
      <w:r w:rsidR="003B5238">
        <w:rPr>
          <w:rFonts w:ascii="Times" w:hAnsi="Times"/>
          <w:color w:val="000000"/>
          <w:sz w:val="24"/>
          <w:lang w:val="en-GB" w:eastAsia="ar-SA"/>
        </w:rPr>
        <w:t>Krajina</w:t>
      </w:r>
      <w:proofErr w:type="spellEnd"/>
      <w:r w:rsidR="003B5238">
        <w:rPr>
          <w:rFonts w:ascii="Times" w:hAnsi="Times"/>
          <w:color w:val="000000"/>
          <w:sz w:val="24"/>
          <w:lang w:val="en-GB" w:eastAsia="ar-SA"/>
        </w:rPr>
        <w:t xml:space="preserve">, the area in </w:t>
      </w:r>
      <w:r w:rsidR="00FA3C5F">
        <w:rPr>
          <w:rFonts w:ascii="Times" w:hAnsi="Times"/>
          <w:color w:val="000000"/>
          <w:sz w:val="24"/>
          <w:lang w:val="en-GB" w:eastAsia="ar-SA"/>
        </w:rPr>
        <w:t>Southeast</w:t>
      </w:r>
      <w:r w:rsidR="003B5238">
        <w:rPr>
          <w:rFonts w:ascii="Times" w:hAnsi="Times"/>
          <w:color w:val="000000"/>
          <w:sz w:val="24"/>
          <w:lang w:val="en-GB" w:eastAsia="ar-SA"/>
        </w:rPr>
        <w:t xml:space="preserve"> Croatia that, from 1991</w:t>
      </w:r>
      <w:r w:rsidR="00FA3C5F">
        <w:rPr>
          <w:rFonts w:ascii="Times" w:hAnsi="Times"/>
          <w:color w:val="000000"/>
          <w:sz w:val="24"/>
          <w:lang w:val="en-GB" w:eastAsia="ar-SA"/>
        </w:rPr>
        <w:t xml:space="preserve"> until 1995</w:t>
      </w:r>
      <w:r w:rsidR="003B5238">
        <w:rPr>
          <w:rFonts w:ascii="Times" w:hAnsi="Times"/>
          <w:color w:val="000000"/>
          <w:sz w:val="24"/>
          <w:lang w:val="en-GB" w:eastAsia="ar-SA"/>
        </w:rPr>
        <w:t xml:space="preserve">, </w:t>
      </w:r>
      <w:r w:rsidR="00DD4051">
        <w:rPr>
          <w:rFonts w:ascii="Times" w:hAnsi="Times"/>
          <w:color w:val="000000"/>
          <w:sz w:val="24"/>
          <w:lang w:val="en-GB" w:eastAsia="ar-SA"/>
        </w:rPr>
        <w:t xml:space="preserve">was under </w:t>
      </w:r>
      <w:r w:rsidR="00FA3C5F">
        <w:rPr>
          <w:rFonts w:ascii="Times" w:hAnsi="Times"/>
          <w:color w:val="000000"/>
          <w:sz w:val="24"/>
          <w:lang w:val="en-GB" w:eastAsia="ar-SA"/>
        </w:rPr>
        <w:t xml:space="preserve">the </w:t>
      </w:r>
      <w:r w:rsidR="00DD4051">
        <w:rPr>
          <w:rFonts w:ascii="Times" w:hAnsi="Times"/>
          <w:color w:val="000000"/>
          <w:sz w:val="24"/>
          <w:lang w:val="en-GB" w:eastAsia="ar-SA"/>
        </w:rPr>
        <w:t>control of the Croatian Serb militia supported by the Yugoslav federal army</w:t>
      </w:r>
      <w:r w:rsidR="00FA3C5F">
        <w:rPr>
          <w:rFonts w:ascii="Times" w:hAnsi="Times"/>
          <w:color w:val="000000"/>
          <w:sz w:val="24"/>
          <w:lang w:val="en-GB" w:eastAsia="ar-SA"/>
        </w:rPr>
        <w:t xml:space="preserve">. </w:t>
      </w:r>
      <w:r w:rsidR="00B25783">
        <w:rPr>
          <w:rFonts w:ascii="Times" w:hAnsi="Times"/>
          <w:color w:val="000000"/>
          <w:sz w:val="24"/>
          <w:lang w:val="en-GB" w:eastAsia="ar-SA"/>
        </w:rPr>
        <w:t>While, in 1995, the Croatian army led its operation Storm to acquire control of the area, the</w:t>
      </w:r>
      <w:r w:rsidR="00FA3C5F">
        <w:rPr>
          <w:rFonts w:ascii="Times" w:hAnsi="Times"/>
          <w:color w:val="000000"/>
          <w:sz w:val="24"/>
          <w:lang w:val="en-GB" w:eastAsia="ar-SA"/>
        </w:rPr>
        <w:t xml:space="preserve"> status </w:t>
      </w:r>
      <w:r w:rsidR="00602F87">
        <w:rPr>
          <w:rFonts w:ascii="Times" w:hAnsi="Times"/>
          <w:color w:val="000000"/>
          <w:sz w:val="24"/>
          <w:lang w:val="en-GB" w:eastAsia="ar-SA"/>
        </w:rPr>
        <w:t xml:space="preserve">and access to social and political rights </w:t>
      </w:r>
      <w:r w:rsidR="00B25783">
        <w:rPr>
          <w:rFonts w:ascii="Times" w:hAnsi="Times"/>
          <w:color w:val="000000"/>
          <w:sz w:val="24"/>
          <w:lang w:val="en-GB" w:eastAsia="ar-SA"/>
        </w:rPr>
        <w:t xml:space="preserve">of Croatian Serbs </w:t>
      </w:r>
      <w:r w:rsidR="00FA3C5F">
        <w:rPr>
          <w:rFonts w:ascii="Times" w:hAnsi="Times"/>
          <w:color w:val="000000"/>
          <w:sz w:val="24"/>
          <w:lang w:val="en-GB" w:eastAsia="ar-SA"/>
        </w:rPr>
        <w:t>remained unsettled for a decade</w:t>
      </w:r>
      <w:r w:rsidR="00602F87">
        <w:rPr>
          <w:rFonts w:ascii="Times" w:hAnsi="Times"/>
          <w:color w:val="000000"/>
          <w:sz w:val="24"/>
          <w:lang w:val="en-GB" w:eastAsia="ar-SA"/>
        </w:rPr>
        <w:t xml:space="preserve"> after the war</w:t>
      </w:r>
      <w:r w:rsidR="00FA3C5F">
        <w:rPr>
          <w:rFonts w:ascii="Times" w:hAnsi="Times"/>
          <w:color w:val="000000"/>
          <w:sz w:val="24"/>
          <w:lang w:val="en-GB" w:eastAsia="ar-SA"/>
        </w:rPr>
        <w:t xml:space="preserve"> (</w:t>
      </w:r>
      <w:proofErr w:type="spellStart"/>
      <w:r w:rsidR="00FA3C5F">
        <w:rPr>
          <w:rFonts w:ascii="Times" w:hAnsi="Times"/>
          <w:color w:val="000000"/>
          <w:sz w:val="24"/>
          <w:lang w:val="en-GB" w:eastAsia="ar-SA"/>
        </w:rPr>
        <w:t>Ragazzi</w:t>
      </w:r>
      <w:proofErr w:type="spellEnd"/>
      <w:r w:rsidR="00FA3C5F">
        <w:rPr>
          <w:rFonts w:ascii="Times" w:hAnsi="Times"/>
          <w:color w:val="000000"/>
          <w:sz w:val="24"/>
          <w:lang w:val="en-GB" w:eastAsia="ar-SA"/>
        </w:rPr>
        <w:t xml:space="preserve"> and </w:t>
      </w:r>
      <w:proofErr w:type="spellStart"/>
      <w:r w:rsidR="00FA3C5F">
        <w:rPr>
          <w:rFonts w:ascii="Times" w:hAnsi="Times"/>
          <w:color w:val="000000"/>
          <w:sz w:val="24"/>
          <w:lang w:val="en-GB" w:eastAsia="ar-SA"/>
        </w:rPr>
        <w:t>Štiks</w:t>
      </w:r>
      <w:proofErr w:type="spellEnd"/>
      <w:r w:rsidR="00FA3C5F">
        <w:rPr>
          <w:rFonts w:ascii="Times" w:hAnsi="Times"/>
          <w:color w:val="000000"/>
          <w:sz w:val="24"/>
          <w:lang w:val="en-GB" w:eastAsia="ar-SA"/>
        </w:rPr>
        <w:t>, 2010, p.</w:t>
      </w:r>
      <w:r w:rsidR="00602F87">
        <w:rPr>
          <w:rFonts w:ascii="Times" w:hAnsi="Times"/>
          <w:color w:val="000000"/>
          <w:sz w:val="24"/>
          <w:lang w:val="en-GB" w:eastAsia="ar-SA"/>
        </w:rPr>
        <w:t xml:space="preserve">8). </w:t>
      </w:r>
    </w:p>
    <w:p w14:paraId="77DC8E84" w14:textId="759279FB" w:rsidR="006E3F77" w:rsidRPr="00494ABB" w:rsidRDefault="006E3F77" w:rsidP="006E3F77">
      <w:pPr>
        <w:ind w:firstLine="720"/>
        <w:jc w:val="both"/>
        <w:rPr>
          <w:rFonts w:ascii="Times" w:hAnsi="Times"/>
          <w:color w:val="000000"/>
          <w:sz w:val="24"/>
          <w:lang w:val="en-GB" w:eastAsia="ar-SA"/>
        </w:rPr>
      </w:pPr>
      <w:r w:rsidRPr="00494ABB">
        <w:rPr>
          <w:rFonts w:ascii="Times" w:hAnsi="Times"/>
          <w:color w:val="000000"/>
          <w:sz w:val="24"/>
          <w:lang w:val="en-GB" w:eastAsia="ar-SA"/>
        </w:rPr>
        <w:t>Finally, individuals associated during the years of Socialist Yugoslavia to nations without a ‘homeland’ also fell into the category of internal excluded. This was the case of Roma people who, differently from other recognised minorities in Croatia, did not have a kin-state to which they could refer. During the 1990s they were less visibly discriminated than Serbs. One of the reasons for that was that in continuity with Yugoslav politics of recognition, these groups were simply not visible in public debate. Domestically, they were excluded from the project of Croat self-determination. Internationally, the concern with regard to Croatia was directed towards recognised minorities and ethnic Serbs.</w:t>
      </w:r>
      <w:r w:rsidRPr="00494ABB">
        <w:rPr>
          <w:rFonts w:ascii="Times" w:hAnsi="Times"/>
          <w:sz w:val="24"/>
          <w:lang w:val="en-GB"/>
        </w:rPr>
        <w:t xml:space="preserve"> </w:t>
      </w:r>
      <w:r w:rsidRPr="00494ABB">
        <w:rPr>
          <w:rFonts w:ascii="Times" w:hAnsi="Times"/>
          <w:color w:val="000000"/>
          <w:sz w:val="24"/>
          <w:lang w:val="en-GB" w:eastAsia="ar-SA"/>
        </w:rPr>
        <w:t xml:space="preserve">It was only at the end of the 1990s that discrimination against Roma people became an issue of international debate. Namely, when the OSCE and the EU politicised the matter and made of minority protection one of the explicit criteria for EU membership. </w:t>
      </w:r>
    </w:p>
    <w:p w14:paraId="63544C78" w14:textId="73A27EAE" w:rsidR="006E3F77" w:rsidRPr="00494ABB" w:rsidRDefault="006E3F77" w:rsidP="006E3F77">
      <w:pPr>
        <w:ind w:firstLine="720"/>
        <w:jc w:val="both"/>
        <w:rPr>
          <w:rFonts w:ascii="Times" w:hAnsi="Times"/>
          <w:sz w:val="24"/>
          <w:lang w:val="en-GB"/>
        </w:rPr>
      </w:pPr>
      <w:r w:rsidRPr="00494ABB">
        <w:rPr>
          <w:rFonts w:ascii="Times" w:hAnsi="Times"/>
          <w:color w:val="000000"/>
          <w:sz w:val="24"/>
          <w:lang w:val="en-GB" w:eastAsia="ar-SA"/>
        </w:rPr>
        <w:t xml:space="preserve">To be sure, hierarchical membership was initiated in Croatia before the disciplining work of the EC Committee, though </w:t>
      </w:r>
      <w:proofErr w:type="spellStart"/>
      <w:r w:rsidRPr="00494ABB">
        <w:rPr>
          <w:rFonts w:ascii="Times" w:hAnsi="Times"/>
          <w:color w:val="000000"/>
          <w:sz w:val="24"/>
          <w:lang w:val="en-GB" w:eastAsia="ar-SA"/>
        </w:rPr>
        <w:t>Tuđman</w:t>
      </w:r>
      <w:proofErr w:type="spellEnd"/>
      <w:r w:rsidRPr="00494ABB">
        <w:rPr>
          <w:rFonts w:ascii="Times" w:hAnsi="Times"/>
          <w:color w:val="000000"/>
          <w:sz w:val="24"/>
          <w:lang w:val="en-GB" w:eastAsia="ar-SA"/>
        </w:rPr>
        <w:t xml:space="preserve"> might have also found in the opinions of the Committee a legitimising ground. Yet, be it because of international attention focused on war and explicit hierarchies in Bosnia, or because of the continuity with a past commitment to non-interference in the early 1990s, for a whole decade, internationa</w:t>
      </w:r>
      <w:r w:rsidR="0087735C">
        <w:rPr>
          <w:rFonts w:ascii="Times" w:hAnsi="Times"/>
          <w:color w:val="000000"/>
          <w:sz w:val="24"/>
          <w:lang w:val="en-GB" w:eastAsia="ar-SA"/>
        </w:rPr>
        <w:t xml:space="preserve">l actors involved in the Balkans </w:t>
      </w:r>
      <w:r w:rsidRPr="00494ABB">
        <w:rPr>
          <w:rFonts w:ascii="Times" w:hAnsi="Times"/>
          <w:color w:val="000000"/>
          <w:sz w:val="24"/>
          <w:lang w:val="en-GB" w:eastAsia="ar-SA"/>
        </w:rPr>
        <w:t>tolerated Croatia’s discriminatory practices.</w:t>
      </w:r>
      <w:r w:rsidRPr="00494ABB">
        <w:rPr>
          <w:rFonts w:ascii="Times" w:hAnsi="Times"/>
          <w:i/>
          <w:color w:val="000000"/>
          <w:sz w:val="24"/>
          <w:lang w:val="en-GB" w:eastAsia="ar-SA"/>
        </w:rPr>
        <w:t xml:space="preserve"> </w:t>
      </w:r>
      <w:r w:rsidRPr="00494ABB">
        <w:rPr>
          <w:rFonts w:ascii="Times" w:hAnsi="Times"/>
          <w:color w:val="000000"/>
          <w:sz w:val="24"/>
          <w:lang w:val="en-GB" w:eastAsia="ar-SA"/>
        </w:rPr>
        <w:t xml:space="preserve">With </w:t>
      </w:r>
      <w:proofErr w:type="spellStart"/>
      <w:r w:rsidRPr="00494ABB">
        <w:rPr>
          <w:rFonts w:ascii="Times" w:hAnsi="Times"/>
          <w:color w:val="000000"/>
          <w:sz w:val="24"/>
          <w:lang w:val="en-GB" w:eastAsia="ar-SA"/>
        </w:rPr>
        <w:t>Tuđman’s</w:t>
      </w:r>
      <w:proofErr w:type="spellEnd"/>
      <w:r w:rsidRPr="00494ABB">
        <w:rPr>
          <w:rFonts w:ascii="Times" w:hAnsi="Times"/>
          <w:color w:val="000000"/>
          <w:sz w:val="24"/>
          <w:lang w:val="en-GB" w:eastAsia="ar-SA"/>
        </w:rPr>
        <w:t xml:space="preserve"> death in 1999, Croatia started to show its will to join the </w:t>
      </w:r>
      <w:r w:rsidR="0087735C">
        <w:rPr>
          <w:rFonts w:ascii="Times" w:hAnsi="Times"/>
          <w:color w:val="000000"/>
          <w:sz w:val="24"/>
          <w:lang w:val="en-GB" w:eastAsia="ar-SA"/>
        </w:rPr>
        <w:t>EU</w:t>
      </w:r>
      <w:r w:rsidRPr="00494ABB">
        <w:rPr>
          <w:rFonts w:ascii="Times" w:hAnsi="Times"/>
          <w:color w:val="000000"/>
          <w:sz w:val="24"/>
          <w:lang w:val="en-GB" w:eastAsia="ar-SA"/>
        </w:rPr>
        <w:t xml:space="preserve">. It became clear that if Croatia wanted to become a </w:t>
      </w:r>
      <w:r w:rsidR="0087735C">
        <w:rPr>
          <w:rFonts w:ascii="Times" w:hAnsi="Times"/>
          <w:color w:val="000000"/>
          <w:sz w:val="24"/>
          <w:lang w:val="en-GB" w:eastAsia="ar-SA"/>
        </w:rPr>
        <w:t>EU member</w:t>
      </w:r>
      <w:r w:rsidRPr="00494ABB">
        <w:rPr>
          <w:rFonts w:ascii="Times" w:hAnsi="Times"/>
          <w:color w:val="000000"/>
          <w:sz w:val="24"/>
          <w:lang w:val="en-GB" w:eastAsia="ar-SA"/>
        </w:rPr>
        <w:t>, it was required to adapt internally to broader regional integration.</w:t>
      </w:r>
      <w:r w:rsidRPr="00494ABB">
        <w:rPr>
          <w:rStyle w:val="FootnoteReference"/>
          <w:rFonts w:ascii="Times" w:hAnsi="Times"/>
          <w:sz w:val="24"/>
          <w:lang w:val="en-GB"/>
        </w:rPr>
        <w:t xml:space="preserve"> </w:t>
      </w:r>
      <w:r w:rsidRPr="00494ABB">
        <w:rPr>
          <w:rFonts w:ascii="Times" w:hAnsi="Times"/>
          <w:sz w:val="24"/>
          <w:lang w:val="en-GB"/>
        </w:rPr>
        <w:t xml:space="preserve"> </w:t>
      </w:r>
      <w:r w:rsidRPr="00494ABB">
        <w:rPr>
          <w:rFonts w:ascii="Times" w:hAnsi="Times"/>
          <w:color w:val="000000"/>
          <w:sz w:val="24"/>
          <w:lang w:val="en-GB" w:eastAsia="ar-SA"/>
        </w:rPr>
        <w:t xml:space="preserve">In addition to the standard endorsement of the EU </w:t>
      </w:r>
      <w:proofErr w:type="spellStart"/>
      <w:r w:rsidRPr="00494ABB">
        <w:rPr>
          <w:rFonts w:ascii="Times" w:hAnsi="Times"/>
          <w:i/>
          <w:color w:val="000000"/>
          <w:sz w:val="24"/>
          <w:lang w:val="en-GB" w:eastAsia="ar-SA"/>
        </w:rPr>
        <w:t>acquis</w:t>
      </w:r>
      <w:proofErr w:type="spellEnd"/>
      <w:r w:rsidRPr="00494ABB">
        <w:rPr>
          <w:rFonts w:ascii="Times" w:hAnsi="Times"/>
          <w:i/>
          <w:color w:val="000000"/>
          <w:sz w:val="24"/>
          <w:lang w:val="en-GB" w:eastAsia="ar-SA"/>
        </w:rPr>
        <w:t xml:space="preserve"> </w:t>
      </w:r>
      <w:r w:rsidRPr="00494ABB">
        <w:rPr>
          <w:rFonts w:ascii="Times" w:hAnsi="Times"/>
          <w:color w:val="000000"/>
          <w:sz w:val="24"/>
          <w:lang w:val="en-GB" w:eastAsia="ar-SA"/>
        </w:rPr>
        <w:t xml:space="preserve">requirements, Croatia was asked to </w:t>
      </w:r>
      <w:r w:rsidRPr="00494ABB">
        <w:rPr>
          <w:rFonts w:ascii="Times" w:hAnsi="Times"/>
          <w:color w:val="000000"/>
          <w:sz w:val="24"/>
          <w:lang w:val="en-GB"/>
        </w:rPr>
        <w:t>respect ‘specific conditions related to stability - namely, respect for existing peace treaties and cooperation with the International Criminal Tribunal for the Former Yugoslavia - and to regional cooperation’ (</w:t>
      </w:r>
      <w:proofErr w:type="spellStart"/>
      <w:r w:rsidRPr="00494ABB">
        <w:rPr>
          <w:rFonts w:ascii="Times" w:hAnsi="Times"/>
          <w:color w:val="000000"/>
          <w:sz w:val="24"/>
          <w:lang w:val="en-GB"/>
        </w:rPr>
        <w:t>Štiks</w:t>
      </w:r>
      <w:proofErr w:type="spellEnd"/>
      <w:r w:rsidRPr="00494ABB">
        <w:rPr>
          <w:rFonts w:ascii="Times" w:hAnsi="Times"/>
          <w:color w:val="000000"/>
          <w:sz w:val="24"/>
          <w:lang w:val="en-GB"/>
        </w:rPr>
        <w:t xml:space="preserve">, 2009, p. 305). Croatia was thus the object of </w:t>
      </w:r>
      <w:proofErr w:type="gramStart"/>
      <w:r w:rsidRPr="00494ABB">
        <w:rPr>
          <w:rFonts w:ascii="Times" w:hAnsi="Times"/>
          <w:color w:val="000000"/>
          <w:sz w:val="24"/>
          <w:lang w:val="en-GB"/>
        </w:rPr>
        <w:t>an ‘enhanced</w:t>
      </w:r>
      <w:proofErr w:type="gramEnd"/>
      <w:r w:rsidRPr="00494ABB">
        <w:rPr>
          <w:rFonts w:ascii="Times" w:hAnsi="Times"/>
          <w:color w:val="000000"/>
          <w:sz w:val="24"/>
          <w:lang w:val="en-GB"/>
        </w:rPr>
        <w:t xml:space="preserve"> conditionality’ (</w:t>
      </w:r>
      <w:proofErr w:type="spellStart"/>
      <w:r w:rsidRPr="00494ABB">
        <w:rPr>
          <w:rFonts w:ascii="Times" w:hAnsi="Times"/>
          <w:color w:val="000000"/>
          <w:sz w:val="24"/>
          <w:lang w:val="en-GB"/>
        </w:rPr>
        <w:t>Kostovicova</w:t>
      </w:r>
      <w:proofErr w:type="spellEnd"/>
      <w:r w:rsidRPr="00494ABB">
        <w:rPr>
          <w:rFonts w:ascii="Times" w:hAnsi="Times"/>
          <w:color w:val="000000"/>
          <w:sz w:val="24"/>
          <w:lang w:val="en-GB"/>
        </w:rPr>
        <w:t xml:space="preserve"> and </w:t>
      </w:r>
      <w:proofErr w:type="spellStart"/>
      <w:r w:rsidRPr="00494ABB">
        <w:rPr>
          <w:rFonts w:ascii="Times" w:hAnsi="Times"/>
          <w:color w:val="000000"/>
          <w:sz w:val="24"/>
          <w:lang w:val="en-GB"/>
        </w:rPr>
        <w:t>Bojičić-Dželilović</w:t>
      </w:r>
      <w:proofErr w:type="spellEnd"/>
      <w:r w:rsidRPr="00494ABB">
        <w:rPr>
          <w:rFonts w:ascii="Times" w:hAnsi="Times"/>
          <w:color w:val="000000"/>
          <w:sz w:val="24"/>
          <w:lang w:val="en-GB"/>
        </w:rPr>
        <w:t xml:space="preserve">, 2006, p. 225) when compared to other states that joined the organisation either before or after. </w:t>
      </w:r>
    </w:p>
    <w:p w14:paraId="340694CD" w14:textId="0F0F336C" w:rsidR="006E3F77" w:rsidRPr="00494ABB" w:rsidRDefault="006E3F77" w:rsidP="006E3F77">
      <w:pPr>
        <w:ind w:firstLine="720"/>
        <w:jc w:val="both"/>
        <w:rPr>
          <w:rFonts w:ascii="Times" w:hAnsi="Times"/>
          <w:color w:val="000000"/>
          <w:sz w:val="24"/>
          <w:lang w:val="en-GB" w:eastAsia="ar-SA"/>
        </w:rPr>
      </w:pPr>
      <w:r w:rsidRPr="00494ABB">
        <w:rPr>
          <w:rFonts w:ascii="Times" w:hAnsi="Times"/>
          <w:color w:val="000000"/>
          <w:sz w:val="24"/>
          <w:lang w:val="en-GB" w:eastAsia="ar-SA"/>
        </w:rPr>
        <w:t>EU Politics Literature largely presents EU conditionality as the most efficient tool of democratisation and domestic change since it requires legal adaptation to EU standards (</w:t>
      </w:r>
      <w:proofErr w:type="spellStart"/>
      <w:r w:rsidRPr="00494ABB">
        <w:rPr>
          <w:rFonts w:ascii="Times" w:hAnsi="Times"/>
          <w:color w:val="000000"/>
          <w:sz w:val="24"/>
          <w:lang w:val="en-GB" w:eastAsia="ar-SA"/>
        </w:rPr>
        <w:t>Graziano</w:t>
      </w:r>
      <w:proofErr w:type="spellEnd"/>
      <w:r w:rsidRPr="00494ABB">
        <w:rPr>
          <w:rFonts w:ascii="Times" w:hAnsi="Times"/>
          <w:color w:val="000000"/>
          <w:sz w:val="24"/>
          <w:lang w:val="en-GB" w:eastAsia="ar-SA"/>
        </w:rPr>
        <w:t xml:space="preserve"> and </w:t>
      </w:r>
      <w:proofErr w:type="spellStart"/>
      <w:r w:rsidRPr="00494ABB">
        <w:rPr>
          <w:rFonts w:ascii="Times" w:hAnsi="Times"/>
          <w:color w:val="000000"/>
          <w:sz w:val="24"/>
          <w:lang w:val="en-GB" w:eastAsia="ar-SA"/>
        </w:rPr>
        <w:t>Vink</w:t>
      </w:r>
      <w:proofErr w:type="spellEnd"/>
      <w:r w:rsidRPr="00494ABB">
        <w:rPr>
          <w:rFonts w:ascii="Times" w:hAnsi="Times"/>
          <w:color w:val="000000"/>
          <w:sz w:val="24"/>
          <w:lang w:val="en-GB" w:eastAsia="ar-SA"/>
        </w:rPr>
        <w:t xml:space="preserve">, 2008; </w:t>
      </w:r>
      <w:proofErr w:type="spellStart"/>
      <w:r w:rsidRPr="00494ABB">
        <w:rPr>
          <w:rFonts w:ascii="Times" w:hAnsi="Times"/>
          <w:color w:val="000000"/>
          <w:sz w:val="24"/>
          <w:lang w:val="en-GB" w:eastAsia="ar-SA"/>
        </w:rPr>
        <w:t>Trauner</w:t>
      </w:r>
      <w:proofErr w:type="spellEnd"/>
      <w:r w:rsidRPr="00494ABB">
        <w:rPr>
          <w:rFonts w:ascii="Times" w:hAnsi="Times"/>
          <w:color w:val="000000"/>
          <w:sz w:val="24"/>
          <w:lang w:val="en-GB" w:eastAsia="ar-SA"/>
        </w:rPr>
        <w:t xml:space="preserve"> 2011). Yet, a strand of International Relations scholarship has shown how EU’s accession policies also equate with stronger conditions and expectations for what the organisation assumes are less </w:t>
      </w:r>
      <w:r w:rsidR="0087735C">
        <w:rPr>
          <w:rFonts w:ascii="Times" w:hAnsi="Times"/>
          <w:color w:val="000000"/>
          <w:sz w:val="24"/>
          <w:lang w:val="en-GB" w:eastAsia="ar-SA"/>
        </w:rPr>
        <w:t>legitimate</w:t>
      </w:r>
      <w:r w:rsidRPr="00494ABB">
        <w:rPr>
          <w:rFonts w:ascii="Times" w:hAnsi="Times"/>
          <w:color w:val="000000"/>
          <w:sz w:val="24"/>
          <w:lang w:val="en-GB" w:eastAsia="ar-SA"/>
        </w:rPr>
        <w:t xml:space="preserve"> state practices (Behr, 2007; </w:t>
      </w:r>
      <w:proofErr w:type="spellStart"/>
      <w:r w:rsidRPr="00494ABB">
        <w:rPr>
          <w:rFonts w:ascii="Times" w:hAnsi="Times"/>
          <w:color w:val="000000"/>
          <w:sz w:val="24"/>
          <w:lang w:val="en-GB" w:eastAsia="ar-SA"/>
        </w:rPr>
        <w:t>Stivachtis</w:t>
      </w:r>
      <w:proofErr w:type="spellEnd"/>
      <w:r w:rsidRPr="00494ABB">
        <w:rPr>
          <w:rFonts w:ascii="Times" w:hAnsi="Times"/>
          <w:color w:val="000000"/>
          <w:sz w:val="24"/>
          <w:lang w:val="en-GB" w:eastAsia="ar-SA"/>
        </w:rPr>
        <w:t>, 2008). Following the endorsement of the Pact of Stability with South-Eastern Europe in 1999, EU authorities repeatedly asked Croatia to change its citizenship law and comply with European guidelines on human rights and minority rights (</w:t>
      </w:r>
      <w:proofErr w:type="spellStart"/>
      <w:r w:rsidRPr="00494ABB">
        <w:rPr>
          <w:rFonts w:ascii="Times" w:hAnsi="Times"/>
          <w:color w:val="000000"/>
          <w:sz w:val="24"/>
          <w:lang w:val="en-GB" w:eastAsia="ar-SA"/>
        </w:rPr>
        <w:t>Štiks</w:t>
      </w:r>
      <w:proofErr w:type="spellEnd"/>
      <w:r w:rsidRPr="00494ABB">
        <w:rPr>
          <w:rFonts w:ascii="Times" w:hAnsi="Times"/>
          <w:color w:val="000000"/>
          <w:sz w:val="24"/>
          <w:lang w:val="en-GB" w:eastAsia="ar-SA"/>
        </w:rPr>
        <w:t xml:space="preserve">, 2009, p. 312). For nine years, the </w:t>
      </w:r>
      <w:r w:rsidR="00720678">
        <w:rPr>
          <w:rFonts w:ascii="Times" w:hAnsi="Times"/>
          <w:color w:val="000000"/>
          <w:sz w:val="24"/>
          <w:lang w:val="en-GB" w:eastAsia="ar-SA"/>
        </w:rPr>
        <w:t>EU</w:t>
      </w:r>
      <w:r w:rsidRPr="00494ABB">
        <w:rPr>
          <w:rFonts w:ascii="Times" w:hAnsi="Times"/>
          <w:color w:val="000000"/>
          <w:sz w:val="24"/>
          <w:lang w:val="en-GB" w:eastAsia="ar-SA"/>
        </w:rPr>
        <w:t xml:space="preserve"> asked Croatia to redefine its domestic order to reach European standards - to which no old EU member needs to comply with - and gain EU membership. </w:t>
      </w:r>
      <w:proofErr w:type="spellStart"/>
      <w:r w:rsidRPr="00494ABB">
        <w:rPr>
          <w:rFonts w:ascii="Times" w:hAnsi="Times"/>
          <w:color w:val="000000"/>
          <w:sz w:val="24"/>
          <w:lang w:val="en-GB" w:eastAsia="ar-SA"/>
        </w:rPr>
        <w:t>Nenad</w:t>
      </w:r>
      <w:proofErr w:type="spellEnd"/>
      <w:r w:rsidRPr="00494ABB">
        <w:rPr>
          <w:rFonts w:ascii="Times" w:hAnsi="Times"/>
          <w:color w:val="000000"/>
          <w:sz w:val="24"/>
          <w:lang w:val="en-GB" w:eastAsia="ar-SA"/>
        </w:rPr>
        <w:t xml:space="preserve"> </w:t>
      </w:r>
      <w:proofErr w:type="spellStart"/>
      <w:r w:rsidRPr="00494ABB">
        <w:rPr>
          <w:rFonts w:ascii="Times" w:hAnsi="Times"/>
          <w:color w:val="000000"/>
          <w:sz w:val="24"/>
          <w:lang w:val="en-GB" w:eastAsia="ar-SA"/>
        </w:rPr>
        <w:t>Stojanović</w:t>
      </w:r>
      <w:proofErr w:type="spellEnd"/>
      <w:r w:rsidRPr="00494ABB">
        <w:rPr>
          <w:rFonts w:ascii="Times" w:hAnsi="Times"/>
          <w:color w:val="000000"/>
          <w:sz w:val="24"/>
          <w:lang w:val="en-GB" w:eastAsia="ar-SA"/>
        </w:rPr>
        <w:t xml:space="preserve"> indeed argues that states that are neither considered undemocratic, nor illiberal often witness hierarchical structures in the organisation of the political community (2018).</w:t>
      </w:r>
    </w:p>
    <w:p w14:paraId="7B8743F3" w14:textId="6BF7D679" w:rsidR="006E3F77" w:rsidRPr="00494ABB" w:rsidRDefault="006E3F77" w:rsidP="006E3F77">
      <w:pPr>
        <w:ind w:firstLine="720"/>
        <w:jc w:val="both"/>
        <w:rPr>
          <w:rFonts w:ascii="Times" w:hAnsi="Times"/>
          <w:sz w:val="24"/>
          <w:lang w:val="en-GB"/>
        </w:rPr>
      </w:pPr>
      <w:r w:rsidRPr="00494ABB">
        <w:rPr>
          <w:rFonts w:ascii="Times" w:hAnsi="Times"/>
          <w:color w:val="000000"/>
          <w:sz w:val="24"/>
          <w:lang w:val="en-GB" w:eastAsia="ar-SA"/>
        </w:rPr>
        <w:t>Viewed in these terms,</w:t>
      </w:r>
      <w:r w:rsidRPr="00494ABB">
        <w:rPr>
          <w:rFonts w:ascii="Times" w:hAnsi="Times"/>
          <w:sz w:val="24"/>
          <w:lang w:val="en-GB"/>
        </w:rPr>
        <w:t xml:space="preserve"> the post-Cold War European context becomes a specific normative environment promoting liberal ideas about membership and rights. This environment is generative in two ways. First, it creates the possibility for an international judgment in relation to the organisation of domestic orders and treatment of internal societies, in particular for new states or st</w:t>
      </w:r>
      <w:r w:rsidR="0087029B">
        <w:rPr>
          <w:rFonts w:ascii="Times" w:hAnsi="Times"/>
          <w:sz w:val="24"/>
          <w:lang w:val="en-GB"/>
        </w:rPr>
        <w:t>ates that want to join. Second, the EU</w:t>
      </w:r>
      <w:r w:rsidRPr="00494ABB">
        <w:rPr>
          <w:rFonts w:ascii="Times" w:hAnsi="Times"/>
          <w:sz w:val="24"/>
          <w:lang w:val="en-GB"/>
        </w:rPr>
        <w:t xml:space="preserve"> also fosters </w:t>
      </w:r>
      <w:r w:rsidRPr="00494ABB">
        <w:rPr>
          <w:rFonts w:ascii="Times" w:hAnsi="Times"/>
          <w:color w:val="000000"/>
          <w:sz w:val="24"/>
          <w:lang w:val="en-GB"/>
        </w:rPr>
        <w:t>standards of rightful state conduct and membership within it.</w:t>
      </w:r>
      <w:r w:rsidRPr="00494ABB">
        <w:rPr>
          <w:rFonts w:ascii="Times" w:hAnsi="Times"/>
          <w:sz w:val="24"/>
          <w:lang w:val="en-GB"/>
        </w:rPr>
        <w:t xml:space="preserve"> These standards, however, are not just inclusive of specific identities and behaviours. They can also be discriminatory and hierarchical. New members that do not conform (or not entirely) to European expectations are often deemed less legitimate than older members (author, 2015, pp. 253-255) though the latter do not necessarily conform to standards generated for others. </w:t>
      </w:r>
    </w:p>
    <w:p w14:paraId="4D2280FE" w14:textId="7543590B" w:rsidR="00F92C61" w:rsidRPr="00494ABB" w:rsidRDefault="006E3F77" w:rsidP="00F92C61">
      <w:pPr>
        <w:ind w:firstLine="720"/>
        <w:jc w:val="both"/>
        <w:rPr>
          <w:rFonts w:ascii="Times" w:hAnsi="Times"/>
          <w:sz w:val="24"/>
          <w:lang w:val="en-GB"/>
        </w:rPr>
      </w:pPr>
      <w:r w:rsidRPr="00494ABB">
        <w:rPr>
          <w:rFonts w:ascii="Times" w:hAnsi="Times"/>
          <w:sz w:val="24"/>
          <w:lang w:val="en-GB"/>
        </w:rPr>
        <w:t>Concerning specifically the definition of the boundaries of national citizenship, a clearly identifiable European mo</w:t>
      </w:r>
      <w:r w:rsidR="00F67E11">
        <w:rPr>
          <w:rFonts w:ascii="Times" w:hAnsi="Times"/>
          <w:sz w:val="24"/>
          <w:lang w:val="en-GB"/>
        </w:rPr>
        <w:t xml:space="preserve">del does not exist. The EU </w:t>
      </w:r>
      <w:r w:rsidRPr="00494ABB">
        <w:rPr>
          <w:rFonts w:ascii="Times" w:hAnsi="Times"/>
          <w:sz w:val="24"/>
          <w:lang w:val="en-GB"/>
        </w:rPr>
        <w:t xml:space="preserve">claims to be promoting an archetypal conception of citizenship defined </w:t>
      </w:r>
      <w:r w:rsidR="002B1788">
        <w:rPr>
          <w:rFonts w:ascii="Times" w:hAnsi="Times"/>
          <w:sz w:val="24"/>
          <w:lang w:val="en-GB"/>
        </w:rPr>
        <w:t>along</w:t>
      </w:r>
      <w:r w:rsidRPr="00494ABB">
        <w:rPr>
          <w:rFonts w:ascii="Times" w:hAnsi="Times"/>
          <w:sz w:val="24"/>
          <w:lang w:val="en-GB"/>
        </w:rPr>
        <w:t xml:space="preserve"> equality of membership and inclusiveness of rights. However, how the assessment is made as to when an aspirational candidate conforms sufficiently is not fully clear. To be sure, the respect of human and citizenship rights, democracy and minority rights have constituted the ‘conditionality package’ to which Croatia had to conform. The EU’s judgement on Croatia’s sufficient compliance, though, revealed both peremptory and elusive logics behind it. Croatia joined the EU in 2013. While it has integrated provisions on minority rights and non-discrimination, it has not changed its exclusive citizenship law. Reasons for that can be attributed to the fact that, after all, the establishment of a citizenship law falls under the competence of governments and that, in this sense, the EU cannot deal with the matter. Nevertheless, the same day that Croatia celebrated its accession, EU representatives made it clear that even </w:t>
      </w:r>
      <w:r w:rsidR="00703D7C" w:rsidRPr="00494ABB">
        <w:rPr>
          <w:rFonts w:ascii="Times" w:hAnsi="Times"/>
          <w:sz w:val="24"/>
          <w:lang w:val="en-GB"/>
        </w:rPr>
        <w:t>if</w:t>
      </w:r>
      <w:r w:rsidRPr="00494ABB">
        <w:rPr>
          <w:rFonts w:ascii="Times" w:hAnsi="Times"/>
          <w:sz w:val="24"/>
          <w:lang w:val="en-GB"/>
        </w:rPr>
        <w:t xml:space="preserve"> Croatia had become a member of European society, Brussels was still concerned about its domestic practices and guarantees of equality.</w:t>
      </w:r>
      <w:r w:rsidRPr="00494ABB">
        <w:rPr>
          <w:rStyle w:val="FootnoteReference"/>
          <w:rFonts w:ascii="Times" w:hAnsi="Times"/>
          <w:sz w:val="24"/>
          <w:lang w:val="en-GB"/>
        </w:rPr>
        <w:footnoteReference w:id="20"/>
      </w:r>
      <w:r w:rsidRPr="00494ABB">
        <w:rPr>
          <w:rFonts w:ascii="Times" w:hAnsi="Times"/>
          <w:sz w:val="24"/>
          <w:lang w:val="en-GB"/>
        </w:rPr>
        <w:t xml:space="preserve"> </w:t>
      </w:r>
      <w:r w:rsidR="00257A1C">
        <w:rPr>
          <w:rFonts w:ascii="Times" w:hAnsi="Times"/>
          <w:sz w:val="24"/>
          <w:lang w:val="en-GB"/>
        </w:rPr>
        <w:t>I</w:t>
      </w:r>
      <w:r w:rsidRPr="00494ABB">
        <w:rPr>
          <w:rFonts w:ascii="Times" w:hAnsi="Times"/>
          <w:sz w:val="24"/>
          <w:lang w:val="en-GB"/>
        </w:rPr>
        <w:t xml:space="preserve">t is not implausible </w:t>
      </w:r>
      <w:r w:rsidR="00E225D2">
        <w:rPr>
          <w:rFonts w:ascii="Times" w:hAnsi="Times"/>
          <w:sz w:val="24"/>
          <w:lang w:val="en-GB"/>
        </w:rPr>
        <w:t xml:space="preserve">then </w:t>
      </w:r>
      <w:r w:rsidR="00B82F5D" w:rsidRPr="00494ABB">
        <w:rPr>
          <w:rFonts w:ascii="Times" w:hAnsi="Times"/>
          <w:sz w:val="24"/>
          <w:lang w:val="en-GB"/>
        </w:rPr>
        <w:t>to interpret this and ensuing</w:t>
      </w:r>
      <w:r w:rsidRPr="00494ABB">
        <w:rPr>
          <w:rFonts w:ascii="Times" w:hAnsi="Times"/>
          <w:sz w:val="24"/>
          <w:lang w:val="en-GB"/>
        </w:rPr>
        <w:t xml:space="preserve"> reminders as an ambiguous rhetoric of </w:t>
      </w:r>
      <w:r w:rsidR="00E225D2">
        <w:rPr>
          <w:rFonts w:ascii="Times" w:hAnsi="Times"/>
          <w:sz w:val="24"/>
          <w:lang w:val="en-GB"/>
        </w:rPr>
        <w:t xml:space="preserve">state </w:t>
      </w:r>
      <w:r w:rsidRPr="00494ABB">
        <w:rPr>
          <w:rFonts w:ascii="Times" w:hAnsi="Times"/>
          <w:sz w:val="24"/>
          <w:lang w:val="en-GB"/>
        </w:rPr>
        <w:t>differentiation within the Union</w:t>
      </w:r>
      <w:r w:rsidR="00F92C61" w:rsidRPr="00494ABB">
        <w:rPr>
          <w:rFonts w:ascii="Times" w:hAnsi="Times"/>
          <w:sz w:val="24"/>
          <w:lang w:val="en-GB"/>
        </w:rPr>
        <w:t>.</w:t>
      </w:r>
    </w:p>
    <w:p w14:paraId="7E75F3E3" w14:textId="77777777" w:rsidR="00F92C61" w:rsidRPr="00494ABB" w:rsidRDefault="00F92C61" w:rsidP="00F92C61">
      <w:pPr>
        <w:jc w:val="both"/>
        <w:rPr>
          <w:rFonts w:ascii="Times" w:hAnsi="Times"/>
          <w:sz w:val="24"/>
          <w:lang w:val="en-GB"/>
        </w:rPr>
      </w:pPr>
    </w:p>
    <w:p w14:paraId="0E1A3DCF" w14:textId="6D0F6F1A" w:rsidR="00F92C61" w:rsidRPr="00494ABB" w:rsidRDefault="00F92C61" w:rsidP="00F92C61">
      <w:pPr>
        <w:jc w:val="both"/>
        <w:rPr>
          <w:rFonts w:ascii="Times" w:hAnsi="Times"/>
          <w:b/>
          <w:sz w:val="24"/>
          <w:lang w:val="en-GB"/>
        </w:rPr>
      </w:pPr>
      <w:r w:rsidRPr="00494ABB">
        <w:rPr>
          <w:rFonts w:ascii="Times" w:hAnsi="Times"/>
          <w:b/>
          <w:sz w:val="24"/>
          <w:lang w:val="en-GB"/>
        </w:rPr>
        <w:t>Conclusion</w:t>
      </w:r>
    </w:p>
    <w:p w14:paraId="1FC1E8DF" w14:textId="77777777" w:rsidR="00F92C61" w:rsidRPr="00494ABB" w:rsidRDefault="00F92C61" w:rsidP="00F92C61">
      <w:pPr>
        <w:jc w:val="both"/>
        <w:rPr>
          <w:rFonts w:ascii="Times" w:hAnsi="Times"/>
          <w:b/>
          <w:sz w:val="24"/>
          <w:lang w:val="en-GB"/>
        </w:rPr>
      </w:pPr>
    </w:p>
    <w:p w14:paraId="49929E10" w14:textId="4C61938E" w:rsidR="00140A3B" w:rsidRPr="00494ABB" w:rsidRDefault="00DD0ACA" w:rsidP="00440B33">
      <w:pPr>
        <w:jc w:val="both"/>
        <w:rPr>
          <w:rFonts w:ascii="Times" w:hAnsi="Times"/>
          <w:sz w:val="24"/>
          <w:lang w:val="en-GB"/>
        </w:rPr>
      </w:pPr>
      <w:r w:rsidRPr="00494ABB">
        <w:rPr>
          <w:rFonts w:ascii="Times" w:hAnsi="Times"/>
          <w:sz w:val="24"/>
          <w:lang w:val="en-GB"/>
        </w:rPr>
        <w:t>As, throughout the twentieth century, multinational entities and empires collapsed the realisation of self-determination led</w:t>
      </w:r>
      <w:r w:rsidR="00140A3B" w:rsidRPr="00494ABB">
        <w:rPr>
          <w:rFonts w:ascii="Times" w:hAnsi="Times"/>
          <w:sz w:val="24"/>
          <w:lang w:val="en-GB"/>
        </w:rPr>
        <w:t xml:space="preserve"> to</w:t>
      </w:r>
      <w:r w:rsidRPr="00494ABB">
        <w:rPr>
          <w:rFonts w:ascii="Times" w:hAnsi="Times"/>
          <w:sz w:val="24"/>
          <w:lang w:val="en-GB"/>
        </w:rPr>
        <w:t xml:space="preserve"> the formation of new states. In Europe, this happened after World War I with the dissolution of the aristocratic empires, and with the end of the Cold War, following the break-up of Yugoslavia and the Soviet Union. </w:t>
      </w:r>
      <w:r w:rsidR="00440B33" w:rsidRPr="00494ABB">
        <w:rPr>
          <w:rFonts w:ascii="Times" w:hAnsi="Times"/>
          <w:sz w:val="24"/>
          <w:lang w:val="en-GB"/>
        </w:rPr>
        <w:t xml:space="preserve">Each time, territorial rescaling has carried direct consequences for the status and rights of internal societies. </w:t>
      </w:r>
      <w:r w:rsidR="00140A3B" w:rsidRPr="00494ABB">
        <w:rPr>
          <w:rFonts w:ascii="Times" w:hAnsi="Times"/>
          <w:sz w:val="24"/>
          <w:lang w:val="en-GB"/>
        </w:rPr>
        <w:t>Comparing</w:t>
      </w:r>
      <w:r w:rsidR="00440B33" w:rsidRPr="00494ABB">
        <w:rPr>
          <w:rFonts w:ascii="Times" w:hAnsi="Times"/>
          <w:sz w:val="24"/>
          <w:lang w:val="en-GB"/>
        </w:rPr>
        <w:t xml:space="preserve"> the</w:t>
      </w:r>
      <w:r w:rsidR="005543CC">
        <w:rPr>
          <w:rFonts w:ascii="Times" w:hAnsi="Times"/>
          <w:sz w:val="24"/>
          <w:lang w:val="en-GB"/>
        </w:rPr>
        <w:t xml:space="preserve"> post-1919 context with the 1990s </w:t>
      </w:r>
      <w:r w:rsidR="00440B33" w:rsidRPr="00494ABB">
        <w:rPr>
          <w:rFonts w:ascii="Times" w:hAnsi="Times"/>
          <w:sz w:val="24"/>
          <w:lang w:val="en-GB"/>
        </w:rPr>
        <w:t xml:space="preserve">has revealed that the creation of post-imperial states has been accompanied by </w:t>
      </w:r>
      <w:r w:rsidRPr="00494ABB">
        <w:rPr>
          <w:rFonts w:ascii="Times" w:hAnsi="Times"/>
          <w:sz w:val="24"/>
          <w:lang w:val="en-GB"/>
        </w:rPr>
        <w:t xml:space="preserve">ethnic and membership stratifications in </w:t>
      </w:r>
      <w:r w:rsidR="00440B33" w:rsidRPr="00494ABB">
        <w:rPr>
          <w:rFonts w:ascii="Times" w:hAnsi="Times"/>
          <w:sz w:val="24"/>
          <w:lang w:val="en-GB"/>
        </w:rPr>
        <w:t xml:space="preserve">the </w:t>
      </w:r>
      <w:r w:rsidRPr="00494ABB">
        <w:rPr>
          <w:rFonts w:ascii="Times" w:hAnsi="Times"/>
          <w:sz w:val="24"/>
          <w:lang w:val="en-GB"/>
        </w:rPr>
        <w:t>allocation of status and rights</w:t>
      </w:r>
      <w:r w:rsidR="00440B33" w:rsidRPr="00494ABB">
        <w:rPr>
          <w:rFonts w:ascii="Times" w:hAnsi="Times"/>
          <w:sz w:val="24"/>
          <w:lang w:val="en-GB"/>
        </w:rPr>
        <w:t xml:space="preserve"> to domestic populations</w:t>
      </w:r>
      <w:r w:rsidRPr="00494ABB">
        <w:rPr>
          <w:rFonts w:ascii="Times" w:hAnsi="Times"/>
          <w:sz w:val="24"/>
          <w:lang w:val="en-GB"/>
        </w:rPr>
        <w:t xml:space="preserve">. </w:t>
      </w:r>
      <w:r w:rsidR="00440B33" w:rsidRPr="00494ABB">
        <w:rPr>
          <w:rFonts w:ascii="Times" w:hAnsi="Times"/>
          <w:sz w:val="24"/>
          <w:lang w:val="en-GB"/>
        </w:rPr>
        <w:t xml:space="preserve">Whilst the degree of institutionalisation of such hierarchies has varied, national élites have regularly used pre-existing categories of recognition to justify the inauguration of internal stratifications. </w:t>
      </w:r>
      <w:r w:rsidR="00140A3B" w:rsidRPr="00494ABB">
        <w:rPr>
          <w:rFonts w:ascii="Times" w:hAnsi="Times"/>
          <w:sz w:val="24"/>
          <w:lang w:val="en-GB"/>
        </w:rPr>
        <w:t xml:space="preserve">Domestic discriminatory laws and practices have had, to different extents, the imprimatur of the international supervisory regimes that accompanied territorial rescaling. </w:t>
      </w:r>
      <w:r w:rsidR="00256BA7">
        <w:rPr>
          <w:rFonts w:ascii="Times" w:hAnsi="Times"/>
          <w:sz w:val="24"/>
          <w:lang w:val="en-GB"/>
        </w:rPr>
        <w:t>Domestic</w:t>
      </w:r>
      <w:r w:rsidR="00140A3B" w:rsidRPr="00494ABB">
        <w:rPr>
          <w:rFonts w:ascii="Times" w:hAnsi="Times"/>
          <w:sz w:val="24"/>
          <w:lang w:val="en-GB"/>
        </w:rPr>
        <w:t xml:space="preserve"> hierarchies were thus reflected, if not strengthened, in international norms.</w:t>
      </w:r>
    </w:p>
    <w:p w14:paraId="27283914" w14:textId="3CB7F8AF" w:rsidR="00F92C61" w:rsidRDefault="00DC59AA" w:rsidP="002B0BD3">
      <w:pPr>
        <w:jc w:val="both"/>
        <w:rPr>
          <w:rFonts w:ascii="Times" w:hAnsi="Times"/>
          <w:sz w:val="24"/>
          <w:lang w:val="en-GB"/>
        </w:rPr>
      </w:pPr>
      <w:r w:rsidRPr="00494ABB">
        <w:rPr>
          <w:rFonts w:ascii="Times" w:hAnsi="Times"/>
          <w:sz w:val="24"/>
          <w:lang w:val="en-GB"/>
        </w:rPr>
        <w:tab/>
        <w:t>The explanation offered in this article is based on hist</w:t>
      </w:r>
      <w:r w:rsidR="000F1661">
        <w:rPr>
          <w:rFonts w:ascii="Times" w:hAnsi="Times"/>
          <w:sz w:val="24"/>
          <w:lang w:val="en-GB"/>
        </w:rPr>
        <w:t>orical case-stud</w:t>
      </w:r>
      <w:r w:rsidR="00435230">
        <w:rPr>
          <w:rFonts w:ascii="Times" w:hAnsi="Times"/>
          <w:sz w:val="24"/>
          <w:lang w:val="en-GB"/>
        </w:rPr>
        <w:t>y research</w:t>
      </w:r>
      <w:r w:rsidR="008C7D05">
        <w:rPr>
          <w:rFonts w:ascii="Times" w:hAnsi="Times"/>
          <w:sz w:val="24"/>
          <w:lang w:val="en-GB"/>
        </w:rPr>
        <w:t xml:space="preserve"> </w:t>
      </w:r>
      <w:r w:rsidRPr="00494ABB">
        <w:rPr>
          <w:rFonts w:ascii="Times" w:hAnsi="Times"/>
          <w:sz w:val="24"/>
          <w:lang w:val="en-GB"/>
        </w:rPr>
        <w:t xml:space="preserve">helpful </w:t>
      </w:r>
      <w:r w:rsidR="00991D87" w:rsidRPr="00494ABB">
        <w:rPr>
          <w:rFonts w:ascii="Times" w:hAnsi="Times"/>
          <w:sz w:val="24"/>
          <w:lang w:val="en-GB"/>
        </w:rPr>
        <w:t>in</w:t>
      </w:r>
      <w:r w:rsidRPr="00494ABB">
        <w:rPr>
          <w:rFonts w:ascii="Times" w:hAnsi="Times"/>
          <w:sz w:val="24"/>
          <w:lang w:val="en-GB"/>
        </w:rPr>
        <w:t xml:space="preserve"> reveal</w:t>
      </w:r>
      <w:r w:rsidR="00991D87" w:rsidRPr="00494ABB">
        <w:rPr>
          <w:rFonts w:ascii="Times" w:hAnsi="Times"/>
          <w:sz w:val="24"/>
          <w:lang w:val="en-GB"/>
        </w:rPr>
        <w:t>ing</w:t>
      </w:r>
      <w:r w:rsidRPr="00494ABB">
        <w:rPr>
          <w:rFonts w:ascii="Times" w:hAnsi="Times"/>
          <w:sz w:val="24"/>
          <w:lang w:val="en-GB"/>
        </w:rPr>
        <w:t xml:space="preserve"> logics of continuity and change across time. </w:t>
      </w:r>
      <w:r w:rsidR="006D25E7" w:rsidRPr="00494ABB">
        <w:rPr>
          <w:rFonts w:ascii="Times" w:hAnsi="Times"/>
          <w:sz w:val="24"/>
          <w:lang w:val="en-GB"/>
        </w:rPr>
        <w:t xml:space="preserve">Preceding insights, though, also bear implications for contemporary </w:t>
      </w:r>
      <w:r w:rsidR="00935AD4" w:rsidRPr="00494ABB">
        <w:rPr>
          <w:rFonts w:ascii="Times" w:hAnsi="Times"/>
          <w:sz w:val="24"/>
          <w:lang w:val="en-GB"/>
        </w:rPr>
        <w:t>cases.</w:t>
      </w:r>
      <w:r w:rsidR="00837428" w:rsidRPr="00494ABB">
        <w:rPr>
          <w:rFonts w:ascii="Times" w:hAnsi="Times"/>
          <w:sz w:val="24"/>
          <w:lang w:val="en-GB"/>
        </w:rPr>
        <w:t xml:space="preserve"> For two decades academic and political commentators have</w:t>
      </w:r>
      <w:r w:rsidR="00991D87" w:rsidRPr="00494ABB">
        <w:rPr>
          <w:rFonts w:ascii="Times" w:hAnsi="Times"/>
          <w:sz w:val="24"/>
          <w:lang w:val="en-GB"/>
        </w:rPr>
        <w:t xml:space="preserve"> regularly stressed differences between the peaceful dissolution of the Soviet Union leading to the relatively bloodless formation of new states and the violent implosion of Yugoslavia that, instead, promp</w:t>
      </w:r>
      <w:r w:rsidR="00837428" w:rsidRPr="00494ABB">
        <w:rPr>
          <w:rFonts w:ascii="Times" w:hAnsi="Times"/>
          <w:sz w:val="24"/>
          <w:lang w:val="en-GB"/>
        </w:rPr>
        <w:t>ted international intervention</w:t>
      </w:r>
      <w:r w:rsidR="00991D87" w:rsidRPr="00494ABB">
        <w:rPr>
          <w:rFonts w:ascii="Times" w:hAnsi="Times"/>
          <w:sz w:val="24"/>
          <w:lang w:val="en-GB"/>
        </w:rPr>
        <w:t>. Yet, this type of argument does not hold the test of more recent years. Successor states of the Soviet Union and those previously</w:t>
      </w:r>
      <w:r w:rsidR="008C7D05">
        <w:rPr>
          <w:rFonts w:ascii="Times" w:hAnsi="Times"/>
          <w:sz w:val="24"/>
          <w:lang w:val="en-GB"/>
        </w:rPr>
        <w:t xml:space="preserve"> under its sphere of influence systematicall</w:t>
      </w:r>
      <w:r w:rsidR="008C7D05" w:rsidRPr="00494ABB">
        <w:rPr>
          <w:rFonts w:ascii="Times" w:hAnsi="Times"/>
          <w:sz w:val="24"/>
          <w:lang w:val="en-GB"/>
        </w:rPr>
        <w:t>y</w:t>
      </w:r>
      <w:r w:rsidR="00991D87" w:rsidRPr="00494ABB">
        <w:rPr>
          <w:rFonts w:ascii="Times" w:hAnsi="Times"/>
          <w:sz w:val="24"/>
          <w:lang w:val="en-GB"/>
        </w:rPr>
        <w:t xml:space="preserve"> b</w:t>
      </w:r>
      <w:r w:rsidR="008C7D05">
        <w:rPr>
          <w:rFonts w:ascii="Times" w:hAnsi="Times"/>
          <w:sz w:val="24"/>
          <w:lang w:val="en-GB"/>
        </w:rPr>
        <w:t xml:space="preserve">attle over territorial borders, </w:t>
      </w:r>
      <w:r w:rsidR="00991D87" w:rsidRPr="00494ABB">
        <w:rPr>
          <w:rFonts w:ascii="Times" w:hAnsi="Times"/>
          <w:sz w:val="24"/>
          <w:lang w:val="en-GB"/>
        </w:rPr>
        <w:t>self-determination</w:t>
      </w:r>
      <w:r w:rsidR="00C75393">
        <w:rPr>
          <w:rFonts w:ascii="Times" w:hAnsi="Times"/>
          <w:sz w:val="24"/>
          <w:lang w:val="en-GB"/>
        </w:rPr>
        <w:t xml:space="preserve">, or </w:t>
      </w:r>
      <w:r w:rsidR="00C75393" w:rsidRPr="00494ABB">
        <w:rPr>
          <w:rFonts w:ascii="Times" w:hAnsi="Times"/>
          <w:sz w:val="24"/>
          <w:lang w:val="en-GB"/>
        </w:rPr>
        <w:t>citizens</w:t>
      </w:r>
      <w:r w:rsidR="00C75393">
        <w:rPr>
          <w:rFonts w:ascii="Times" w:hAnsi="Times"/>
          <w:sz w:val="24"/>
          <w:lang w:val="en-GB"/>
        </w:rPr>
        <w:t>’ rights and status.</w:t>
      </w:r>
      <w:r w:rsidR="002B0BD3">
        <w:rPr>
          <w:rFonts w:ascii="Times" w:hAnsi="Times"/>
          <w:sz w:val="24"/>
          <w:lang w:val="en-GB"/>
        </w:rPr>
        <w:t xml:space="preserve"> Looking back at the experience of </w:t>
      </w:r>
      <w:r w:rsidR="002B0BD3" w:rsidRPr="00494ABB">
        <w:rPr>
          <w:rFonts w:ascii="Times" w:hAnsi="Times"/>
          <w:sz w:val="24"/>
          <w:lang w:val="en-GB"/>
        </w:rPr>
        <w:t>the Balkans</w:t>
      </w:r>
      <w:r w:rsidR="002B0BD3">
        <w:rPr>
          <w:rFonts w:ascii="Times" w:hAnsi="Times"/>
          <w:sz w:val="24"/>
          <w:lang w:val="en-GB"/>
        </w:rPr>
        <w:t>, at how specific practices emerged and what effects they produced may then help in comprehending different contexts.</w:t>
      </w:r>
    </w:p>
    <w:p w14:paraId="372A895B" w14:textId="77777777" w:rsidR="00340939" w:rsidRPr="00494ABB" w:rsidRDefault="00340939">
      <w:pPr>
        <w:rPr>
          <w:lang w:val="en-GB"/>
        </w:rPr>
      </w:pPr>
    </w:p>
    <w:p w14:paraId="50D7E531" w14:textId="595ED085" w:rsidR="00340939" w:rsidRPr="00494ABB" w:rsidRDefault="00340939" w:rsidP="00123988">
      <w:pPr>
        <w:jc w:val="both"/>
        <w:outlineLvl w:val="0"/>
        <w:rPr>
          <w:rFonts w:ascii="Times" w:hAnsi="Times"/>
          <w:b/>
          <w:sz w:val="24"/>
          <w:lang w:val="en-GB"/>
        </w:rPr>
      </w:pPr>
      <w:r w:rsidRPr="00494ABB">
        <w:rPr>
          <w:rFonts w:ascii="Times" w:hAnsi="Times"/>
          <w:b/>
          <w:sz w:val="24"/>
          <w:lang w:val="en-GB"/>
        </w:rPr>
        <w:t>References</w:t>
      </w:r>
    </w:p>
    <w:p w14:paraId="058067BD" w14:textId="77777777" w:rsidR="00340939" w:rsidRPr="00494ABB" w:rsidRDefault="00340939" w:rsidP="00340939">
      <w:pPr>
        <w:jc w:val="both"/>
        <w:rPr>
          <w:rFonts w:ascii="Times" w:hAnsi="Times"/>
          <w:b/>
          <w:sz w:val="24"/>
          <w:lang w:val="en-GB"/>
        </w:rPr>
      </w:pPr>
    </w:p>
    <w:p w14:paraId="2A187675" w14:textId="77777777" w:rsidR="00340939" w:rsidRPr="00494ABB" w:rsidRDefault="00340939" w:rsidP="00340939">
      <w:pPr>
        <w:widowControl w:val="0"/>
        <w:autoSpaceDE w:val="0"/>
        <w:autoSpaceDN w:val="0"/>
        <w:adjustRightInd w:val="0"/>
        <w:jc w:val="both"/>
        <w:rPr>
          <w:rFonts w:cs="ArialMT"/>
          <w:sz w:val="24"/>
          <w:lang w:val="en-GB"/>
        </w:rPr>
      </w:pPr>
      <w:r w:rsidRPr="00494ABB">
        <w:rPr>
          <w:rFonts w:cs="ArialMT"/>
          <w:sz w:val="24"/>
          <w:lang w:val="en-GB"/>
        </w:rPr>
        <w:t xml:space="preserve">Agnew, J. (1994). The Territorial Trap: The Geographical Assumptions of International Relations Theory. </w:t>
      </w:r>
      <w:proofErr w:type="gramStart"/>
      <w:r w:rsidRPr="00494ABB">
        <w:rPr>
          <w:rFonts w:cs="ArialMT"/>
          <w:i/>
          <w:sz w:val="24"/>
          <w:lang w:val="en-GB"/>
        </w:rPr>
        <w:t>Review of International Political Economy</w:t>
      </w:r>
      <w:r w:rsidRPr="00494ABB">
        <w:rPr>
          <w:rFonts w:cs="ArialMT"/>
          <w:sz w:val="24"/>
          <w:lang w:val="en-GB"/>
        </w:rPr>
        <w:t>, 1(1), 53-80.</w:t>
      </w:r>
      <w:proofErr w:type="gramEnd"/>
    </w:p>
    <w:p w14:paraId="07853435" w14:textId="77777777" w:rsidR="00340939" w:rsidRPr="00494ABB" w:rsidRDefault="00340939" w:rsidP="00340939">
      <w:pPr>
        <w:widowControl w:val="0"/>
        <w:autoSpaceDE w:val="0"/>
        <w:autoSpaceDN w:val="0"/>
        <w:adjustRightInd w:val="0"/>
        <w:jc w:val="both"/>
        <w:rPr>
          <w:rFonts w:cs="ArialMT"/>
          <w:sz w:val="24"/>
          <w:lang w:val="en-GB"/>
        </w:rPr>
      </w:pPr>
    </w:p>
    <w:p w14:paraId="1BD03406" w14:textId="198351AC" w:rsidR="002655EC" w:rsidRPr="00494ABB" w:rsidRDefault="002655EC" w:rsidP="00340939">
      <w:pPr>
        <w:widowControl w:val="0"/>
        <w:autoSpaceDE w:val="0"/>
        <w:autoSpaceDN w:val="0"/>
        <w:adjustRightInd w:val="0"/>
        <w:jc w:val="both"/>
        <w:rPr>
          <w:rFonts w:cs="ArialMT"/>
          <w:sz w:val="24"/>
          <w:lang w:val="en-GB"/>
        </w:rPr>
      </w:pPr>
      <w:r w:rsidRPr="00494ABB">
        <w:rPr>
          <w:rFonts w:cs="ArialMT"/>
          <w:sz w:val="24"/>
          <w:lang w:val="en-GB"/>
        </w:rPr>
        <w:t xml:space="preserve">Bain, W. (2003). </w:t>
      </w:r>
      <w:r w:rsidRPr="00494ABB">
        <w:rPr>
          <w:rFonts w:ascii="Times" w:hAnsi="Times"/>
          <w:i/>
          <w:iCs/>
          <w:sz w:val="24"/>
          <w:lang w:val="en-GB"/>
        </w:rPr>
        <w:t>Between Anarchy and Society: Trusteeship and the Obligations of Power</w:t>
      </w:r>
      <w:r w:rsidRPr="00494ABB">
        <w:rPr>
          <w:rFonts w:ascii="Times" w:hAnsi="Times"/>
          <w:sz w:val="24"/>
          <w:lang w:val="en-GB"/>
        </w:rPr>
        <w:t>. Oxford: Oxford University Press.</w:t>
      </w:r>
    </w:p>
    <w:p w14:paraId="1D687F9B" w14:textId="77777777" w:rsidR="002655EC" w:rsidRPr="00494ABB" w:rsidRDefault="002655EC" w:rsidP="00340939">
      <w:pPr>
        <w:widowControl w:val="0"/>
        <w:autoSpaceDE w:val="0"/>
        <w:autoSpaceDN w:val="0"/>
        <w:adjustRightInd w:val="0"/>
        <w:jc w:val="both"/>
        <w:rPr>
          <w:rFonts w:cs="ArialMT"/>
          <w:sz w:val="24"/>
          <w:lang w:val="en-GB"/>
        </w:rPr>
      </w:pPr>
    </w:p>
    <w:p w14:paraId="1C309698" w14:textId="77777777" w:rsidR="00340939" w:rsidRPr="00494ABB" w:rsidRDefault="00340939" w:rsidP="00340939">
      <w:pPr>
        <w:widowControl w:val="0"/>
        <w:autoSpaceDE w:val="0"/>
        <w:autoSpaceDN w:val="0"/>
        <w:adjustRightInd w:val="0"/>
        <w:jc w:val="both"/>
        <w:rPr>
          <w:rFonts w:cs="ArialMT"/>
          <w:sz w:val="24"/>
          <w:lang w:val="en-GB"/>
        </w:rPr>
      </w:pPr>
      <w:r w:rsidRPr="00494ABB">
        <w:rPr>
          <w:rFonts w:cs="ArialMT"/>
          <w:sz w:val="24"/>
          <w:lang w:val="en-GB"/>
        </w:rPr>
        <w:t xml:space="preserve">Behr, H. (2007). </w:t>
      </w:r>
      <w:proofErr w:type="gramStart"/>
      <w:r w:rsidRPr="00494ABB">
        <w:rPr>
          <w:rFonts w:cs="ArialMT"/>
          <w:sz w:val="24"/>
          <w:lang w:val="en-GB"/>
        </w:rPr>
        <w:t>The European Union in the Legacies of Imperial Rule?</w:t>
      </w:r>
      <w:proofErr w:type="gramEnd"/>
      <w:r w:rsidRPr="00494ABB">
        <w:rPr>
          <w:rFonts w:cs="ArialMT"/>
          <w:sz w:val="24"/>
          <w:lang w:val="en-GB"/>
        </w:rPr>
        <w:t xml:space="preserve"> </w:t>
      </w:r>
      <w:proofErr w:type="gramStart"/>
      <w:r w:rsidRPr="00494ABB">
        <w:rPr>
          <w:rFonts w:cs="ArialMT"/>
          <w:sz w:val="24"/>
          <w:lang w:val="en-GB"/>
        </w:rPr>
        <w:t>EU Accession Politics Viewed from a Historical Comparative Perspective.</w:t>
      </w:r>
      <w:proofErr w:type="gramEnd"/>
      <w:r w:rsidRPr="00494ABB">
        <w:rPr>
          <w:rFonts w:cs="ArialMT"/>
          <w:sz w:val="24"/>
          <w:lang w:val="en-GB"/>
        </w:rPr>
        <w:t xml:space="preserve"> </w:t>
      </w:r>
      <w:r w:rsidRPr="00494ABB">
        <w:rPr>
          <w:rFonts w:cs="ArialMT"/>
          <w:i/>
          <w:iCs/>
          <w:sz w:val="24"/>
          <w:lang w:val="en-GB"/>
        </w:rPr>
        <w:t>European Journal of International Relations</w:t>
      </w:r>
      <w:r w:rsidRPr="00494ABB">
        <w:rPr>
          <w:rFonts w:cs="ArialMT"/>
          <w:sz w:val="24"/>
          <w:lang w:val="en-GB"/>
        </w:rPr>
        <w:t xml:space="preserve">, </w:t>
      </w:r>
      <w:r w:rsidRPr="00494ABB">
        <w:rPr>
          <w:rFonts w:cs="ArialMT"/>
          <w:i/>
          <w:iCs/>
          <w:sz w:val="24"/>
          <w:lang w:val="en-GB"/>
        </w:rPr>
        <w:t>13</w:t>
      </w:r>
      <w:r w:rsidRPr="00494ABB">
        <w:rPr>
          <w:rFonts w:cs="ArialMT"/>
          <w:sz w:val="24"/>
          <w:lang w:val="en-GB"/>
        </w:rPr>
        <w:t>(2), 239–262.</w:t>
      </w:r>
    </w:p>
    <w:p w14:paraId="0F0E07AF" w14:textId="77777777" w:rsidR="00340939" w:rsidRPr="00494ABB" w:rsidRDefault="00340939" w:rsidP="00340939">
      <w:pPr>
        <w:widowControl w:val="0"/>
        <w:autoSpaceDE w:val="0"/>
        <w:autoSpaceDN w:val="0"/>
        <w:adjustRightInd w:val="0"/>
        <w:jc w:val="both"/>
        <w:rPr>
          <w:rFonts w:cs="ArialMT"/>
          <w:sz w:val="24"/>
          <w:lang w:val="en-GB"/>
        </w:rPr>
      </w:pPr>
    </w:p>
    <w:p w14:paraId="28497C79" w14:textId="77777777" w:rsidR="00340939" w:rsidRPr="00494ABB" w:rsidRDefault="00340939" w:rsidP="00340939">
      <w:pPr>
        <w:widowControl w:val="0"/>
        <w:autoSpaceDE w:val="0"/>
        <w:autoSpaceDN w:val="0"/>
        <w:adjustRightInd w:val="0"/>
        <w:jc w:val="both"/>
        <w:rPr>
          <w:rFonts w:cs="ArialMT"/>
          <w:sz w:val="24"/>
          <w:lang w:val="en-GB"/>
        </w:rPr>
      </w:pPr>
      <w:proofErr w:type="spellStart"/>
      <w:proofErr w:type="gramStart"/>
      <w:r w:rsidRPr="00494ABB">
        <w:rPr>
          <w:rFonts w:cs="ArialMT"/>
          <w:sz w:val="24"/>
          <w:lang w:val="en-GB"/>
        </w:rPr>
        <w:t>Božić</w:t>
      </w:r>
      <w:proofErr w:type="spellEnd"/>
      <w:r w:rsidRPr="00494ABB">
        <w:rPr>
          <w:rFonts w:cs="ArialMT"/>
          <w:sz w:val="24"/>
          <w:lang w:val="en-GB"/>
        </w:rPr>
        <w:t>, S. (2007).</w:t>
      </w:r>
      <w:proofErr w:type="gramEnd"/>
      <w:r w:rsidRPr="00494ABB">
        <w:rPr>
          <w:rFonts w:cs="ArialMT"/>
          <w:sz w:val="24"/>
          <w:lang w:val="en-GB"/>
        </w:rPr>
        <w:t xml:space="preserve"> </w:t>
      </w:r>
      <w:proofErr w:type="spellStart"/>
      <w:proofErr w:type="gramStart"/>
      <w:r w:rsidRPr="00494ABB">
        <w:rPr>
          <w:rFonts w:cs="ArialMT"/>
          <w:sz w:val="24"/>
          <w:lang w:val="en-GB"/>
        </w:rPr>
        <w:t>Između</w:t>
      </w:r>
      <w:proofErr w:type="spellEnd"/>
      <w:r w:rsidRPr="00494ABB">
        <w:rPr>
          <w:rFonts w:cs="ArialMT"/>
          <w:sz w:val="24"/>
          <w:lang w:val="en-GB"/>
        </w:rPr>
        <w:t xml:space="preserve"> </w:t>
      </w:r>
      <w:proofErr w:type="spellStart"/>
      <w:r w:rsidRPr="00494ABB">
        <w:rPr>
          <w:rFonts w:cs="ArialMT"/>
          <w:sz w:val="24"/>
          <w:lang w:val="en-GB"/>
        </w:rPr>
        <w:t>demokrata</w:t>
      </w:r>
      <w:proofErr w:type="spellEnd"/>
      <w:r w:rsidRPr="00494ABB">
        <w:rPr>
          <w:rFonts w:cs="ArialMT"/>
          <w:sz w:val="24"/>
          <w:lang w:val="en-GB"/>
        </w:rPr>
        <w:t xml:space="preserve"> </w:t>
      </w:r>
      <w:proofErr w:type="spellStart"/>
      <w:r w:rsidRPr="00494ABB">
        <w:rPr>
          <w:rFonts w:cs="ArialMT"/>
          <w:sz w:val="24"/>
          <w:lang w:val="en-GB"/>
        </w:rPr>
        <w:t>i</w:t>
      </w:r>
      <w:proofErr w:type="spellEnd"/>
      <w:r w:rsidRPr="00494ABB">
        <w:rPr>
          <w:rFonts w:cs="ArialMT"/>
          <w:sz w:val="24"/>
          <w:lang w:val="en-GB"/>
        </w:rPr>
        <w:t xml:space="preserve"> </w:t>
      </w:r>
      <w:proofErr w:type="spellStart"/>
      <w:r w:rsidRPr="00494ABB">
        <w:rPr>
          <w:rFonts w:cs="ArialMT"/>
          <w:sz w:val="24"/>
          <w:lang w:val="en-GB"/>
        </w:rPr>
        <w:t>radikala</w:t>
      </w:r>
      <w:proofErr w:type="spellEnd"/>
      <w:r w:rsidRPr="00494ABB">
        <w:rPr>
          <w:rFonts w:cs="ArialMT"/>
          <w:sz w:val="24"/>
          <w:lang w:val="en-GB"/>
        </w:rPr>
        <w:t xml:space="preserve"> - </w:t>
      </w:r>
      <w:proofErr w:type="spellStart"/>
      <w:r w:rsidRPr="00494ABB">
        <w:rPr>
          <w:rFonts w:cs="ArialMT"/>
          <w:sz w:val="24"/>
          <w:lang w:val="en-GB"/>
        </w:rPr>
        <w:t>produbljivanje</w:t>
      </w:r>
      <w:proofErr w:type="spellEnd"/>
      <w:r w:rsidRPr="00494ABB">
        <w:rPr>
          <w:rFonts w:cs="ArialMT"/>
          <w:sz w:val="24"/>
          <w:lang w:val="en-GB"/>
        </w:rPr>
        <w:t xml:space="preserve"> </w:t>
      </w:r>
      <w:proofErr w:type="spellStart"/>
      <w:r w:rsidRPr="00494ABB">
        <w:rPr>
          <w:rFonts w:cs="ArialMT"/>
          <w:sz w:val="24"/>
          <w:lang w:val="en-GB"/>
        </w:rPr>
        <w:t>političkih</w:t>
      </w:r>
      <w:proofErr w:type="spellEnd"/>
      <w:r w:rsidRPr="00494ABB">
        <w:rPr>
          <w:rFonts w:cs="ArialMT"/>
          <w:sz w:val="24"/>
          <w:lang w:val="en-GB"/>
        </w:rPr>
        <w:t xml:space="preserve"> </w:t>
      </w:r>
      <w:proofErr w:type="spellStart"/>
      <w:r w:rsidRPr="00494ABB">
        <w:rPr>
          <w:rFonts w:cs="ArialMT"/>
          <w:sz w:val="24"/>
          <w:lang w:val="en-GB"/>
        </w:rPr>
        <w:t>podela</w:t>
      </w:r>
      <w:proofErr w:type="spellEnd"/>
      <w:r w:rsidRPr="00494ABB">
        <w:rPr>
          <w:rFonts w:cs="ArialMT"/>
          <w:sz w:val="24"/>
          <w:lang w:val="en-GB"/>
        </w:rPr>
        <w:t xml:space="preserve"> </w:t>
      </w:r>
      <w:proofErr w:type="spellStart"/>
      <w:r w:rsidRPr="00494ABB">
        <w:rPr>
          <w:rFonts w:cs="ArialMT"/>
          <w:sz w:val="24"/>
          <w:lang w:val="en-GB"/>
        </w:rPr>
        <w:t>među</w:t>
      </w:r>
      <w:proofErr w:type="spellEnd"/>
      <w:r w:rsidRPr="00494ABB">
        <w:rPr>
          <w:rFonts w:cs="ArialMT"/>
          <w:sz w:val="24"/>
          <w:lang w:val="en-GB"/>
        </w:rPr>
        <w:t xml:space="preserve"> </w:t>
      </w:r>
      <w:proofErr w:type="spellStart"/>
      <w:r w:rsidRPr="00494ABB">
        <w:rPr>
          <w:rFonts w:cs="ArialMT"/>
          <w:sz w:val="24"/>
          <w:lang w:val="en-GB"/>
        </w:rPr>
        <w:t>Srbima</w:t>
      </w:r>
      <w:proofErr w:type="spellEnd"/>
      <w:r w:rsidRPr="00494ABB">
        <w:rPr>
          <w:rFonts w:cs="ArialMT"/>
          <w:sz w:val="24"/>
          <w:lang w:val="en-GB"/>
        </w:rPr>
        <w:t xml:space="preserve"> u </w:t>
      </w:r>
      <w:proofErr w:type="spellStart"/>
      <w:r w:rsidRPr="00494ABB">
        <w:rPr>
          <w:rFonts w:cs="ArialMT"/>
          <w:sz w:val="24"/>
          <w:lang w:val="en-GB"/>
        </w:rPr>
        <w:t>Hrvatskoj</w:t>
      </w:r>
      <w:proofErr w:type="spellEnd"/>
      <w:r w:rsidRPr="00494ABB">
        <w:rPr>
          <w:rFonts w:cs="ArialMT"/>
          <w:sz w:val="24"/>
          <w:lang w:val="en-GB"/>
        </w:rPr>
        <w:t xml:space="preserve"> </w:t>
      </w:r>
      <w:proofErr w:type="spellStart"/>
      <w:r w:rsidRPr="00494ABB">
        <w:rPr>
          <w:rFonts w:cs="ArialMT"/>
          <w:sz w:val="24"/>
          <w:lang w:val="en-GB"/>
        </w:rPr>
        <w:t>i</w:t>
      </w:r>
      <w:proofErr w:type="spellEnd"/>
      <w:r w:rsidRPr="00494ABB">
        <w:rPr>
          <w:rFonts w:cs="ArialMT"/>
          <w:sz w:val="24"/>
          <w:lang w:val="en-GB"/>
        </w:rPr>
        <w:t xml:space="preserve"> </w:t>
      </w:r>
      <w:proofErr w:type="spellStart"/>
      <w:r w:rsidRPr="00494ABB">
        <w:rPr>
          <w:rFonts w:cs="ArialMT"/>
          <w:sz w:val="24"/>
          <w:lang w:val="en-GB"/>
        </w:rPr>
        <w:t>parlamentarni</w:t>
      </w:r>
      <w:proofErr w:type="spellEnd"/>
      <w:r w:rsidRPr="00494ABB">
        <w:rPr>
          <w:rFonts w:cs="ArialMT"/>
          <w:sz w:val="24"/>
          <w:lang w:val="en-GB"/>
        </w:rPr>
        <w:t xml:space="preserve"> </w:t>
      </w:r>
      <w:proofErr w:type="spellStart"/>
      <w:r w:rsidRPr="00494ABB">
        <w:rPr>
          <w:rFonts w:cs="ArialMT"/>
          <w:sz w:val="24"/>
          <w:lang w:val="en-GB"/>
        </w:rPr>
        <w:t>izbori</w:t>
      </w:r>
      <w:proofErr w:type="spellEnd"/>
      <w:r w:rsidRPr="00494ABB">
        <w:rPr>
          <w:rFonts w:cs="ArialMT"/>
          <w:sz w:val="24"/>
          <w:lang w:val="en-GB"/>
        </w:rPr>
        <w:t xml:space="preserve"> 1923 [Between democrats and radicals – an insight into political divisions between Serbs and Croats and parliamentary choices].</w:t>
      </w:r>
      <w:proofErr w:type="gramEnd"/>
      <w:r w:rsidRPr="00494ABB">
        <w:rPr>
          <w:rFonts w:cs="ArialMT"/>
          <w:sz w:val="24"/>
          <w:lang w:val="en-GB"/>
        </w:rPr>
        <w:t xml:space="preserve"> </w:t>
      </w:r>
      <w:proofErr w:type="spellStart"/>
      <w:r w:rsidRPr="00494ABB">
        <w:rPr>
          <w:rFonts w:cs="ArialMT"/>
          <w:i/>
          <w:iCs/>
          <w:sz w:val="24"/>
          <w:lang w:val="en-GB"/>
        </w:rPr>
        <w:t>Istorija</w:t>
      </w:r>
      <w:proofErr w:type="spellEnd"/>
      <w:r w:rsidRPr="00494ABB">
        <w:rPr>
          <w:rFonts w:cs="ArialMT"/>
          <w:i/>
          <w:iCs/>
          <w:sz w:val="24"/>
          <w:lang w:val="en-GB"/>
        </w:rPr>
        <w:t xml:space="preserve"> 20. </w:t>
      </w:r>
      <w:proofErr w:type="spellStart"/>
      <w:r w:rsidRPr="00494ABB">
        <w:rPr>
          <w:rFonts w:cs="ArialMT"/>
          <w:i/>
          <w:iCs/>
          <w:sz w:val="24"/>
          <w:lang w:val="en-GB"/>
        </w:rPr>
        <w:t>Veka</w:t>
      </w:r>
      <w:proofErr w:type="spellEnd"/>
      <w:r w:rsidRPr="00494ABB">
        <w:rPr>
          <w:rFonts w:cs="ArialMT"/>
          <w:sz w:val="24"/>
          <w:lang w:val="en-GB"/>
        </w:rPr>
        <w:t xml:space="preserve">, </w:t>
      </w:r>
      <w:r w:rsidRPr="00494ABB">
        <w:rPr>
          <w:rFonts w:cs="ArialMT"/>
          <w:i/>
          <w:iCs/>
          <w:sz w:val="24"/>
          <w:lang w:val="en-GB"/>
        </w:rPr>
        <w:t>25</w:t>
      </w:r>
      <w:r w:rsidRPr="00494ABB">
        <w:rPr>
          <w:rFonts w:cs="ArialMT"/>
          <w:sz w:val="24"/>
          <w:lang w:val="en-GB"/>
        </w:rPr>
        <w:t>(2), 37–58.</w:t>
      </w:r>
    </w:p>
    <w:p w14:paraId="644BC576" w14:textId="77777777" w:rsidR="00B12FB5" w:rsidRPr="00494ABB" w:rsidRDefault="00B12FB5" w:rsidP="00340939">
      <w:pPr>
        <w:widowControl w:val="0"/>
        <w:autoSpaceDE w:val="0"/>
        <w:autoSpaceDN w:val="0"/>
        <w:adjustRightInd w:val="0"/>
        <w:jc w:val="both"/>
        <w:rPr>
          <w:rFonts w:cs="ArialMT"/>
          <w:sz w:val="24"/>
          <w:lang w:val="en-GB"/>
        </w:rPr>
      </w:pPr>
    </w:p>
    <w:p w14:paraId="49E32445" w14:textId="630A1175" w:rsidR="00B12FB5" w:rsidRPr="00494ABB" w:rsidRDefault="00B12FB5" w:rsidP="00340939">
      <w:pPr>
        <w:widowControl w:val="0"/>
        <w:autoSpaceDE w:val="0"/>
        <w:autoSpaceDN w:val="0"/>
        <w:adjustRightInd w:val="0"/>
        <w:jc w:val="both"/>
        <w:rPr>
          <w:rFonts w:cs="ArialMT"/>
          <w:sz w:val="24"/>
          <w:lang w:val="en-GB"/>
        </w:rPr>
      </w:pPr>
      <w:r w:rsidRPr="00494ABB">
        <w:rPr>
          <w:rFonts w:cs="ArialMT"/>
          <w:sz w:val="24"/>
          <w:lang w:val="en-GB"/>
        </w:rPr>
        <w:t xml:space="preserve">Buchannan, A. (2004). </w:t>
      </w:r>
      <w:r w:rsidRPr="00494ABB">
        <w:rPr>
          <w:rFonts w:cs="ArialMT"/>
          <w:i/>
          <w:sz w:val="24"/>
          <w:lang w:val="en-GB"/>
        </w:rPr>
        <w:t xml:space="preserve">Justice, Legitimacy and Self-determination. </w:t>
      </w:r>
      <w:r w:rsidRPr="00494ABB">
        <w:rPr>
          <w:rFonts w:cs="ArialMT"/>
          <w:sz w:val="24"/>
          <w:lang w:val="en-GB"/>
        </w:rPr>
        <w:t>Oxford; New York: Oxford University Press.</w:t>
      </w:r>
    </w:p>
    <w:p w14:paraId="7C021712" w14:textId="77777777" w:rsidR="00B12FB5" w:rsidRPr="00494ABB" w:rsidRDefault="00B12FB5" w:rsidP="00340939">
      <w:pPr>
        <w:widowControl w:val="0"/>
        <w:autoSpaceDE w:val="0"/>
        <w:autoSpaceDN w:val="0"/>
        <w:adjustRightInd w:val="0"/>
        <w:jc w:val="both"/>
        <w:rPr>
          <w:rFonts w:cs="ArialMT"/>
          <w:sz w:val="24"/>
          <w:lang w:val="en-GB"/>
        </w:rPr>
      </w:pPr>
    </w:p>
    <w:p w14:paraId="773BF83C" w14:textId="18EE55F8" w:rsidR="00B12FB5" w:rsidRPr="00494ABB" w:rsidRDefault="00B12FB5" w:rsidP="00340939">
      <w:pPr>
        <w:widowControl w:val="0"/>
        <w:autoSpaceDE w:val="0"/>
        <w:autoSpaceDN w:val="0"/>
        <w:adjustRightInd w:val="0"/>
        <w:jc w:val="both"/>
        <w:rPr>
          <w:rFonts w:cs="ArialMT"/>
          <w:sz w:val="24"/>
          <w:lang w:val="en-GB"/>
        </w:rPr>
      </w:pPr>
      <w:proofErr w:type="gramStart"/>
      <w:r w:rsidRPr="00494ABB">
        <w:rPr>
          <w:rFonts w:cs="ArialMT"/>
          <w:sz w:val="24"/>
          <w:lang w:val="en-GB"/>
        </w:rPr>
        <w:t>Cassese, A. (1996).</w:t>
      </w:r>
      <w:proofErr w:type="gramEnd"/>
      <w:r w:rsidRPr="00494ABB">
        <w:rPr>
          <w:rFonts w:ascii="Times" w:hAnsi="Times"/>
          <w:i/>
          <w:iCs/>
          <w:sz w:val="24"/>
          <w:lang w:val="en-GB"/>
        </w:rPr>
        <w:t xml:space="preserve"> Self-Determination of Peoples</w:t>
      </w:r>
      <w:r w:rsidRPr="00494ABB">
        <w:rPr>
          <w:i/>
          <w:iCs/>
          <w:sz w:val="24"/>
          <w:lang w:val="en-GB"/>
        </w:rPr>
        <w:t> </w:t>
      </w:r>
      <w:r w:rsidRPr="00494ABB">
        <w:rPr>
          <w:rFonts w:ascii="Times" w:hAnsi="Times"/>
          <w:i/>
          <w:iCs/>
          <w:sz w:val="24"/>
          <w:lang w:val="en-GB"/>
        </w:rPr>
        <w:t>: A Legal Reappraisal</w:t>
      </w:r>
      <w:r w:rsidRPr="00494ABB">
        <w:rPr>
          <w:rFonts w:ascii="Times" w:hAnsi="Times"/>
          <w:sz w:val="24"/>
          <w:lang w:val="en-GB"/>
        </w:rPr>
        <w:t>. Reprinted. Cambridge; New York: Cambridge University Press</w:t>
      </w:r>
    </w:p>
    <w:p w14:paraId="2638F4C4" w14:textId="77777777" w:rsidR="00340939" w:rsidRPr="00494ABB" w:rsidRDefault="00340939" w:rsidP="00340939">
      <w:pPr>
        <w:widowControl w:val="0"/>
        <w:autoSpaceDE w:val="0"/>
        <w:autoSpaceDN w:val="0"/>
        <w:adjustRightInd w:val="0"/>
        <w:jc w:val="both"/>
        <w:rPr>
          <w:rFonts w:cs="ArialMT"/>
          <w:sz w:val="24"/>
          <w:lang w:val="en-GB"/>
        </w:rPr>
      </w:pPr>
    </w:p>
    <w:p w14:paraId="7212CFA1" w14:textId="77777777" w:rsidR="00340939" w:rsidRPr="00494ABB" w:rsidRDefault="00340939" w:rsidP="00340939">
      <w:pPr>
        <w:widowControl w:val="0"/>
        <w:autoSpaceDE w:val="0"/>
        <w:autoSpaceDN w:val="0"/>
        <w:adjustRightInd w:val="0"/>
        <w:jc w:val="both"/>
        <w:rPr>
          <w:rFonts w:cs="ArialMT"/>
          <w:sz w:val="24"/>
          <w:lang w:val="en-GB"/>
        </w:rPr>
      </w:pPr>
      <w:r w:rsidRPr="00494ABB">
        <w:rPr>
          <w:rFonts w:cs="ArialMT"/>
          <w:sz w:val="24"/>
          <w:lang w:val="en-GB"/>
        </w:rPr>
        <w:t xml:space="preserve">Claude, I. (1955). </w:t>
      </w:r>
      <w:proofErr w:type="gramStart"/>
      <w:r w:rsidRPr="00494ABB">
        <w:rPr>
          <w:rFonts w:cs="ArialMT"/>
          <w:i/>
          <w:iCs/>
          <w:sz w:val="24"/>
          <w:lang w:val="en-GB"/>
        </w:rPr>
        <w:t>National Minorities an International Problem</w:t>
      </w:r>
      <w:r w:rsidRPr="00494ABB">
        <w:rPr>
          <w:rFonts w:cs="ArialMT"/>
          <w:sz w:val="24"/>
          <w:lang w:val="en-GB"/>
        </w:rPr>
        <w:t>.</w:t>
      </w:r>
      <w:proofErr w:type="gramEnd"/>
      <w:r w:rsidRPr="00494ABB">
        <w:rPr>
          <w:rFonts w:cs="ArialMT"/>
          <w:sz w:val="24"/>
          <w:lang w:val="en-GB"/>
        </w:rPr>
        <w:t xml:space="preserve"> Cambridge, Mass.: Harvard University Press.</w:t>
      </w:r>
    </w:p>
    <w:p w14:paraId="48696372" w14:textId="77777777" w:rsidR="00B12FB5" w:rsidRPr="00494ABB" w:rsidRDefault="00B12FB5" w:rsidP="00340939">
      <w:pPr>
        <w:widowControl w:val="0"/>
        <w:autoSpaceDE w:val="0"/>
        <w:autoSpaceDN w:val="0"/>
        <w:adjustRightInd w:val="0"/>
        <w:jc w:val="both"/>
        <w:rPr>
          <w:rFonts w:cs="ArialMT"/>
          <w:sz w:val="24"/>
          <w:lang w:val="en-GB"/>
        </w:rPr>
      </w:pPr>
    </w:p>
    <w:p w14:paraId="0E18E8E1" w14:textId="17E51822" w:rsidR="00B12FB5" w:rsidRPr="00494ABB" w:rsidRDefault="00B12FB5" w:rsidP="00340939">
      <w:pPr>
        <w:widowControl w:val="0"/>
        <w:autoSpaceDE w:val="0"/>
        <w:autoSpaceDN w:val="0"/>
        <w:adjustRightInd w:val="0"/>
        <w:jc w:val="both"/>
        <w:rPr>
          <w:rFonts w:cs="ArialMT"/>
          <w:sz w:val="24"/>
          <w:lang w:val="en-GB"/>
        </w:rPr>
      </w:pPr>
      <w:proofErr w:type="spellStart"/>
      <w:r w:rsidRPr="00494ABB">
        <w:rPr>
          <w:rFonts w:cs="ArialMT"/>
          <w:sz w:val="24"/>
          <w:lang w:val="en-GB"/>
        </w:rPr>
        <w:t>Coppietters</w:t>
      </w:r>
      <w:proofErr w:type="spellEnd"/>
      <w:r w:rsidRPr="00494ABB">
        <w:rPr>
          <w:rFonts w:cs="ArialMT"/>
          <w:sz w:val="24"/>
          <w:lang w:val="en-GB"/>
        </w:rPr>
        <w:t xml:space="preserve">, B. </w:t>
      </w:r>
      <w:r w:rsidRPr="00494ABB">
        <w:rPr>
          <w:rFonts w:ascii="Times" w:hAnsi="Times"/>
          <w:sz w:val="24"/>
          <w:lang w:val="en-GB"/>
        </w:rPr>
        <w:t xml:space="preserve">and </w:t>
      </w:r>
      <w:proofErr w:type="spellStart"/>
      <w:r w:rsidRPr="00494ABB">
        <w:rPr>
          <w:rFonts w:ascii="Times" w:hAnsi="Times"/>
          <w:sz w:val="24"/>
          <w:lang w:val="en-GB"/>
        </w:rPr>
        <w:t>Sakwa</w:t>
      </w:r>
      <w:proofErr w:type="spellEnd"/>
      <w:r w:rsidRPr="00494ABB">
        <w:rPr>
          <w:rFonts w:ascii="Times" w:hAnsi="Times"/>
          <w:sz w:val="24"/>
          <w:lang w:val="en-GB"/>
        </w:rPr>
        <w:t xml:space="preserve">, R. </w:t>
      </w:r>
      <w:proofErr w:type="gramStart"/>
      <w:r w:rsidRPr="00494ABB">
        <w:rPr>
          <w:rFonts w:ascii="Times" w:hAnsi="Times"/>
          <w:sz w:val="24"/>
          <w:lang w:val="en-GB"/>
        </w:rPr>
        <w:t>eds</w:t>
      </w:r>
      <w:proofErr w:type="gramEnd"/>
      <w:r w:rsidRPr="00494ABB">
        <w:rPr>
          <w:rFonts w:ascii="Times" w:hAnsi="Times"/>
          <w:sz w:val="24"/>
          <w:lang w:val="en-GB"/>
        </w:rPr>
        <w:t xml:space="preserve">. (2003) </w:t>
      </w:r>
      <w:r w:rsidRPr="00494ABB">
        <w:rPr>
          <w:rFonts w:ascii="Times" w:hAnsi="Times"/>
          <w:i/>
          <w:iCs/>
          <w:sz w:val="24"/>
          <w:lang w:val="en-GB"/>
        </w:rPr>
        <w:t>Contextualizing Secession</w:t>
      </w:r>
      <w:r w:rsidRPr="00494ABB">
        <w:rPr>
          <w:i/>
          <w:iCs/>
          <w:sz w:val="24"/>
          <w:lang w:val="en-GB"/>
        </w:rPr>
        <w:t> </w:t>
      </w:r>
      <w:r w:rsidRPr="00494ABB">
        <w:rPr>
          <w:rFonts w:ascii="Times" w:hAnsi="Times"/>
          <w:i/>
          <w:iCs/>
          <w:sz w:val="24"/>
          <w:lang w:val="en-GB"/>
        </w:rPr>
        <w:t>: Normative Studies in Comparative Perspective</w:t>
      </w:r>
      <w:r w:rsidRPr="00494ABB">
        <w:rPr>
          <w:rFonts w:ascii="Times" w:hAnsi="Times"/>
          <w:sz w:val="24"/>
          <w:lang w:val="en-GB"/>
        </w:rPr>
        <w:t>. Oxford: Oxford University Press.</w:t>
      </w:r>
    </w:p>
    <w:p w14:paraId="56B437D1" w14:textId="77777777" w:rsidR="00340939" w:rsidRPr="00494ABB" w:rsidRDefault="00340939" w:rsidP="00340939">
      <w:pPr>
        <w:widowControl w:val="0"/>
        <w:autoSpaceDE w:val="0"/>
        <w:autoSpaceDN w:val="0"/>
        <w:adjustRightInd w:val="0"/>
        <w:jc w:val="both"/>
        <w:rPr>
          <w:rFonts w:cs="ArialMT"/>
          <w:sz w:val="24"/>
          <w:lang w:val="en-GB"/>
        </w:rPr>
      </w:pPr>
    </w:p>
    <w:p w14:paraId="5ACE2F28" w14:textId="77777777" w:rsidR="00340939" w:rsidRPr="00494ABB" w:rsidRDefault="00340939" w:rsidP="00340939">
      <w:pPr>
        <w:widowControl w:val="0"/>
        <w:autoSpaceDE w:val="0"/>
        <w:autoSpaceDN w:val="0"/>
        <w:adjustRightInd w:val="0"/>
        <w:jc w:val="both"/>
        <w:rPr>
          <w:rFonts w:cs="ArialMT"/>
          <w:sz w:val="24"/>
          <w:lang w:val="en-GB"/>
        </w:rPr>
      </w:pPr>
      <w:proofErr w:type="spellStart"/>
      <w:r w:rsidRPr="00494ABB">
        <w:rPr>
          <w:rFonts w:cs="ArialMT"/>
          <w:sz w:val="24"/>
          <w:lang w:val="en-GB"/>
        </w:rPr>
        <w:t>Djokić</w:t>
      </w:r>
      <w:proofErr w:type="spellEnd"/>
      <w:r w:rsidRPr="00494ABB">
        <w:rPr>
          <w:rFonts w:cs="ArialMT"/>
          <w:sz w:val="24"/>
          <w:lang w:val="en-GB"/>
        </w:rPr>
        <w:t xml:space="preserve">, D. (2010). </w:t>
      </w:r>
      <w:proofErr w:type="spellStart"/>
      <w:r w:rsidRPr="00494ABB">
        <w:rPr>
          <w:rFonts w:cs="ArialMT"/>
          <w:i/>
          <w:iCs/>
          <w:sz w:val="24"/>
          <w:lang w:val="en-GB"/>
        </w:rPr>
        <w:t>Pasić</w:t>
      </w:r>
      <w:proofErr w:type="spellEnd"/>
      <w:r w:rsidRPr="00494ABB">
        <w:rPr>
          <w:rFonts w:cs="ArialMT"/>
          <w:i/>
          <w:iCs/>
          <w:sz w:val="24"/>
          <w:lang w:val="en-GB"/>
        </w:rPr>
        <w:t xml:space="preserve"> and </w:t>
      </w:r>
      <w:proofErr w:type="spellStart"/>
      <w:r w:rsidRPr="00494ABB">
        <w:rPr>
          <w:rFonts w:cs="ArialMT"/>
          <w:i/>
          <w:iCs/>
          <w:sz w:val="24"/>
          <w:lang w:val="en-GB"/>
        </w:rPr>
        <w:t>Trumbić</w:t>
      </w:r>
      <w:proofErr w:type="spellEnd"/>
      <w:r w:rsidRPr="00494ABB">
        <w:rPr>
          <w:rFonts w:cs="ArialMT"/>
          <w:i/>
          <w:iCs/>
          <w:sz w:val="24"/>
          <w:lang w:val="en-GB"/>
        </w:rPr>
        <w:t> : the Kingdom of Serbs, Croats and Slovenes</w:t>
      </w:r>
      <w:r w:rsidRPr="00494ABB">
        <w:rPr>
          <w:rFonts w:cs="ArialMT"/>
          <w:sz w:val="24"/>
          <w:lang w:val="en-GB"/>
        </w:rPr>
        <w:t xml:space="preserve">. London, UK: </w:t>
      </w:r>
      <w:proofErr w:type="spellStart"/>
      <w:r w:rsidRPr="00494ABB">
        <w:rPr>
          <w:rFonts w:cs="ArialMT"/>
          <w:sz w:val="24"/>
          <w:lang w:val="en-GB"/>
        </w:rPr>
        <w:t>Haus</w:t>
      </w:r>
      <w:proofErr w:type="spellEnd"/>
      <w:r w:rsidRPr="00494ABB">
        <w:rPr>
          <w:rFonts w:cs="ArialMT"/>
          <w:sz w:val="24"/>
          <w:lang w:val="en-GB"/>
        </w:rPr>
        <w:t>.</w:t>
      </w:r>
    </w:p>
    <w:p w14:paraId="32F3F064" w14:textId="77777777" w:rsidR="00340939" w:rsidRPr="00494ABB" w:rsidRDefault="00340939" w:rsidP="00340939">
      <w:pPr>
        <w:widowControl w:val="0"/>
        <w:autoSpaceDE w:val="0"/>
        <w:autoSpaceDN w:val="0"/>
        <w:adjustRightInd w:val="0"/>
        <w:jc w:val="both"/>
        <w:rPr>
          <w:rFonts w:cs="ArialMT"/>
          <w:sz w:val="24"/>
          <w:lang w:val="en-GB"/>
        </w:rPr>
      </w:pPr>
    </w:p>
    <w:p w14:paraId="535A0485" w14:textId="77777777" w:rsidR="00340939" w:rsidRPr="00494ABB" w:rsidRDefault="00340939" w:rsidP="00340939">
      <w:pPr>
        <w:widowControl w:val="0"/>
        <w:autoSpaceDE w:val="0"/>
        <w:autoSpaceDN w:val="0"/>
        <w:adjustRightInd w:val="0"/>
        <w:jc w:val="both"/>
        <w:rPr>
          <w:rFonts w:cs="ArialMT"/>
          <w:sz w:val="24"/>
          <w:lang w:val="en-GB"/>
        </w:rPr>
      </w:pPr>
      <w:proofErr w:type="spellStart"/>
      <w:r w:rsidRPr="00494ABB">
        <w:rPr>
          <w:rFonts w:cs="ArialMT"/>
          <w:sz w:val="24"/>
          <w:lang w:val="en-GB"/>
        </w:rPr>
        <w:t>Fabry</w:t>
      </w:r>
      <w:proofErr w:type="spellEnd"/>
      <w:r w:rsidRPr="00494ABB">
        <w:rPr>
          <w:rFonts w:cs="ArialMT"/>
          <w:sz w:val="24"/>
          <w:lang w:val="en-GB"/>
        </w:rPr>
        <w:t xml:space="preserve">, M. (2010). </w:t>
      </w:r>
      <w:r w:rsidRPr="00494ABB">
        <w:rPr>
          <w:rFonts w:cs="ArialMT"/>
          <w:i/>
          <w:iCs/>
          <w:sz w:val="24"/>
          <w:lang w:val="en-GB"/>
        </w:rPr>
        <w:t>Recognizing States : international society and the establishment of new states since 1776</w:t>
      </w:r>
      <w:r w:rsidRPr="00494ABB">
        <w:rPr>
          <w:rFonts w:cs="ArialMT"/>
          <w:sz w:val="24"/>
          <w:lang w:val="en-GB"/>
        </w:rPr>
        <w:t>. Oxford, UK and New York, NY: Oxford University Press.</w:t>
      </w:r>
    </w:p>
    <w:p w14:paraId="3F6C3423" w14:textId="77777777" w:rsidR="00340939" w:rsidRPr="00494ABB" w:rsidRDefault="00340939" w:rsidP="00340939">
      <w:pPr>
        <w:widowControl w:val="0"/>
        <w:autoSpaceDE w:val="0"/>
        <w:autoSpaceDN w:val="0"/>
        <w:adjustRightInd w:val="0"/>
        <w:jc w:val="both"/>
        <w:rPr>
          <w:rFonts w:cs="ArialMT"/>
          <w:sz w:val="24"/>
          <w:lang w:val="en-GB"/>
        </w:rPr>
      </w:pPr>
    </w:p>
    <w:p w14:paraId="35190A0B" w14:textId="77777777" w:rsidR="00340939" w:rsidRPr="00494ABB" w:rsidRDefault="00340939" w:rsidP="00340939">
      <w:pPr>
        <w:widowControl w:val="0"/>
        <w:autoSpaceDE w:val="0"/>
        <w:autoSpaceDN w:val="0"/>
        <w:adjustRightInd w:val="0"/>
        <w:jc w:val="both"/>
        <w:rPr>
          <w:rFonts w:cs="ArialMT"/>
          <w:sz w:val="24"/>
          <w:lang w:val="en-GB"/>
        </w:rPr>
      </w:pPr>
      <w:r w:rsidRPr="00494ABB">
        <w:rPr>
          <w:rFonts w:cs="ArialMT"/>
          <w:sz w:val="24"/>
          <w:lang w:val="en-GB"/>
        </w:rPr>
        <w:t xml:space="preserve">Fink, C. (1995). The League of Nations and the Minorities Question. </w:t>
      </w:r>
      <w:r w:rsidRPr="00494ABB">
        <w:rPr>
          <w:rFonts w:cs="ArialMT"/>
          <w:i/>
          <w:iCs/>
          <w:sz w:val="24"/>
          <w:lang w:val="en-GB"/>
        </w:rPr>
        <w:t>World Affairs</w:t>
      </w:r>
      <w:r w:rsidRPr="00494ABB">
        <w:rPr>
          <w:rFonts w:cs="ArialMT"/>
          <w:sz w:val="24"/>
          <w:lang w:val="en-GB"/>
        </w:rPr>
        <w:t xml:space="preserve">, </w:t>
      </w:r>
      <w:r w:rsidRPr="00494ABB">
        <w:rPr>
          <w:rFonts w:cs="ArialMT"/>
          <w:i/>
          <w:iCs/>
          <w:sz w:val="24"/>
          <w:lang w:val="en-GB"/>
        </w:rPr>
        <w:t>157</w:t>
      </w:r>
      <w:r w:rsidRPr="00494ABB">
        <w:rPr>
          <w:rFonts w:cs="ArialMT"/>
          <w:sz w:val="24"/>
          <w:lang w:val="en-GB"/>
        </w:rPr>
        <w:t>(4), 197–205.</w:t>
      </w:r>
    </w:p>
    <w:p w14:paraId="1CA30DFB" w14:textId="77777777" w:rsidR="00340939" w:rsidRPr="00494ABB" w:rsidRDefault="00340939" w:rsidP="00340939">
      <w:pPr>
        <w:widowControl w:val="0"/>
        <w:autoSpaceDE w:val="0"/>
        <w:autoSpaceDN w:val="0"/>
        <w:adjustRightInd w:val="0"/>
        <w:jc w:val="both"/>
        <w:rPr>
          <w:rFonts w:cs="ArialMT"/>
          <w:sz w:val="24"/>
          <w:lang w:val="en-GB"/>
        </w:rPr>
      </w:pPr>
    </w:p>
    <w:p w14:paraId="365C22B0" w14:textId="77777777" w:rsidR="00340939" w:rsidRPr="00494ABB" w:rsidRDefault="00340939" w:rsidP="00340939">
      <w:pPr>
        <w:widowControl w:val="0"/>
        <w:autoSpaceDE w:val="0"/>
        <w:autoSpaceDN w:val="0"/>
        <w:adjustRightInd w:val="0"/>
        <w:jc w:val="both"/>
        <w:rPr>
          <w:rFonts w:cs="ArialMT"/>
          <w:sz w:val="24"/>
          <w:lang w:val="en-GB"/>
        </w:rPr>
      </w:pPr>
      <w:r w:rsidRPr="00494ABB">
        <w:rPr>
          <w:rFonts w:cs="ArialMT"/>
          <w:sz w:val="24"/>
          <w:lang w:val="en-GB"/>
        </w:rPr>
        <w:t xml:space="preserve">Fink, C. (2004). </w:t>
      </w:r>
      <w:r w:rsidRPr="00494ABB">
        <w:rPr>
          <w:rFonts w:cs="ArialMT"/>
          <w:i/>
          <w:iCs/>
          <w:sz w:val="24"/>
          <w:lang w:val="en-GB"/>
        </w:rPr>
        <w:t>Defending the Rights of Others : the great powers, the Jews, and international minority protection, 1878-1938</w:t>
      </w:r>
      <w:r w:rsidRPr="00494ABB">
        <w:rPr>
          <w:rFonts w:cs="ArialMT"/>
          <w:sz w:val="24"/>
          <w:lang w:val="en-GB"/>
        </w:rPr>
        <w:t xml:space="preserve">. </w:t>
      </w:r>
      <w:proofErr w:type="spellStart"/>
      <w:r w:rsidRPr="00494ABB">
        <w:rPr>
          <w:rFonts w:cs="ArialMT"/>
          <w:sz w:val="24"/>
          <w:lang w:val="en-GB"/>
        </w:rPr>
        <w:t>Cambridge</w:t>
      </w:r>
      <w:proofErr w:type="gramStart"/>
      <w:r w:rsidRPr="00494ABB">
        <w:rPr>
          <w:rFonts w:cs="ArialMT"/>
          <w:sz w:val="24"/>
          <w:lang w:val="en-GB"/>
        </w:rPr>
        <w:t>,UK</w:t>
      </w:r>
      <w:proofErr w:type="spellEnd"/>
      <w:proofErr w:type="gramEnd"/>
      <w:r w:rsidRPr="00494ABB">
        <w:rPr>
          <w:rFonts w:cs="ArialMT"/>
          <w:sz w:val="24"/>
          <w:lang w:val="en-GB"/>
        </w:rPr>
        <w:t xml:space="preserve"> and New York, NY: Cambridge University Press.</w:t>
      </w:r>
    </w:p>
    <w:p w14:paraId="07AB7EE0" w14:textId="77777777" w:rsidR="00340939" w:rsidRPr="00494ABB" w:rsidRDefault="00340939" w:rsidP="00340939">
      <w:pPr>
        <w:widowControl w:val="0"/>
        <w:autoSpaceDE w:val="0"/>
        <w:autoSpaceDN w:val="0"/>
        <w:adjustRightInd w:val="0"/>
        <w:jc w:val="both"/>
        <w:rPr>
          <w:rFonts w:cs="ArialMT"/>
          <w:sz w:val="24"/>
          <w:lang w:val="en-GB"/>
        </w:rPr>
      </w:pPr>
    </w:p>
    <w:p w14:paraId="592F0F0C" w14:textId="77777777" w:rsidR="00340939" w:rsidRPr="00494ABB" w:rsidRDefault="00340939" w:rsidP="00340939">
      <w:pPr>
        <w:widowControl w:val="0"/>
        <w:autoSpaceDE w:val="0"/>
        <w:autoSpaceDN w:val="0"/>
        <w:adjustRightInd w:val="0"/>
        <w:jc w:val="both"/>
        <w:rPr>
          <w:rFonts w:cs="ArialMT"/>
          <w:sz w:val="24"/>
          <w:lang w:val="en-GB"/>
        </w:rPr>
      </w:pPr>
      <w:proofErr w:type="spellStart"/>
      <w:r w:rsidRPr="00494ABB">
        <w:rPr>
          <w:rFonts w:cs="ArialMT"/>
          <w:sz w:val="24"/>
          <w:lang w:val="en-GB"/>
        </w:rPr>
        <w:t>Graziano</w:t>
      </w:r>
      <w:proofErr w:type="spellEnd"/>
      <w:r w:rsidRPr="00494ABB">
        <w:rPr>
          <w:rFonts w:cs="ArialMT"/>
          <w:sz w:val="24"/>
          <w:lang w:val="en-GB"/>
        </w:rPr>
        <w:t xml:space="preserve">, P., </w:t>
      </w:r>
      <w:proofErr w:type="spellStart"/>
      <w:r w:rsidRPr="00494ABB">
        <w:rPr>
          <w:rFonts w:cs="ArialMT"/>
          <w:sz w:val="24"/>
          <w:lang w:val="en-GB"/>
        </w:rPr>
        <w:t>Vink</w:t>
      </w:r>
      <w:proofErr w:type="spellEnd"/>
      <w:r w:rsidRPr="00494ABB">
        <w:rPr>
          <w:rFonts w:cs="ArialMT"/>
          <w:sz w:val="24"/>
          <w:lang w:val="en-GB"/>
        </w:rPr>
        <w:t xml:space="preserve">, M. P. (2007). </w:t>
      </w:r>
      <w:r w:rsidRPr="00494ABB">
        <w:rPr>
          <w:rFonts w:cs="ArialMT"/>
          <w:i/>
          <w:iCs/>
          <w:sz w:val="24"/>
          <w:lang w:val="en-GB"/>
        </w:rPr>
        <w:t>Europeanization : new research agendas</w:t>
      </w:r>
      <w:r w:rsidRPr="00494ABB">
        <w:rPr>
          <w:rFonts w:cs="ArialMT"/>
          <w:sz w:val="24"/>
          <w:lang w:val="en-GB"/>
        </w:rPr>
        <w:t>. Basingstoke, UK: Palgrave Macmillan.</w:t>
      </w:r>
    </w:p>
    <w:p w14:paraId="65EC64CD" w14:textId="77777777" w:rsidR="00B12FB5" w:rsidRPr="00494ABB" w:rsidRDefault="00B12FB5" w:rsidP="00340939">
      <w:pPr>
        <w:widowControl w:val="0"/>
        <w:autoSpaceDE w:val="0"/>
        <w:autoSpaceDN w:val="0"/>
        <w:adjustRightInd w:val="0"/>
        <w:jc w:val="both"/>
        <w:rPr>
          <w:rFonts w:cs="ArialMT"/>
          <w:sz w:val="24"/>
          <w:lang w:val="en-GB"/>
        </w:rPr>
      </w:pPr>
    </w:p>
    <w:p w14:paraId="38E3EC3B" w14:textId="482CD243" w:rsidR="00B12FB5" w:rsidRPr="00494ABB" w:rsidRDefault="00B12FB5" w:rsidP="00340939">
      <w:pPr>
        <w:widowControl w:val="0"/>
        <w:autoSpaceDE w:val="0"/>
        <w:autoSpaceDN w:val="0"/>
        <w:adjustRightInd w:val="0"/>
        <w:jc w:val="both"/>
        <w:rPr>
          <w:rFonts w:cs="ArialMT"/>
          <w:sz w:val="24"/>
          <w:lang w:val="en-GB"/>
        </w:rPr>
      </w:pPr>
      <w:proofErr w:type="spellStart"/>
      <w:r w:rsidRPr="00494ABB">
        <w:rPr>
          <w:rFonts w:cs="ArialMT"/>
          <w:sz w:val="24"/>
          <w:lang w:val="en-GB"/>
        </w:rPr>
        <w:t>Hannum</w:t>
      </w:r>
      <w:proofErr w:type="spellEnd"/>
      <w:r w:rsidRPr="00494ABB">
        <w:rPr>
          <w:rFonts w:cs="ArialMT"/>
          <w:sz w:val="24"/>
          <w:lang w:val="en-GB"/>
        </w:rPr>
        <w:t xml:space="preserve">, H. </w:t>
      </w:r>
      <w:r w:rsidRPr="00494ABB">
        <w:rPr>
          <w:rFonts w:ascii="Times" w:hAnsi="Times"/>
          <w:sz w:val="24"/>
          <w:lang w:val="en-GB"/>
        </w:rPr>
        <w:t xml:space="preserve">(1990). </w:t>
      </w:r>
      <w:r w:rsidRPr="00494ABB">
        <w:rPr>
          <w:rFonts w:ascii="Times" w:hAnsi="Times"/>
          <w:i/>
          <w:iCs/>
          <w:sz w:val="24"/>
          <w:lang w:val="en-GB"/>
        </w:rPr>
        <w:t>Autonomy, Sovereignty, and Self-Determination</w:t>
      </w:r>
      <w:r w:rsidRPr="00494ABB">
        <w:rPr>
          <w:i/>
          <w:iCs/>
          <w:sz w:val="24"/>
          <w:lang w:val="en-GB"/>
        </w:rPr>
        <w:t> </w:t>
      </w:r>
      <w:r w:rsidRPr="00494ABB">
        <w:rPr>
          <w:rFonts w:ascii="Times" w:hAnsi="Times"/>
          <w:i/>
          <w:iCs/>
          <w:sz w:val="24"/>
          <w:lang w:val="en-GB"/>
        </w:rPr>
        <w:t>: The Accommodation of Conflicting Rights</w:t>
      </w:r>
      <w:r w:rsidRPr="00494ABB">
        <w:rPr>
          <w:rFonts w:ascii="Times" w:hAnsi="Times"/>
          <w:sz w:val="24"/>
          <w:lang w:val="en-GB"/>
        </w:rPr>
        <w:t>. Philadelphia: University of Pennsylvania Press.</w:t>
      </w:r>
    </w:p>
    <w:p w14:paraId="7D61179F" w14:textId="77777777" w:rsidR="00340939" w:rsidRPr="00494ABB" w:rsidRDefault="00340939" w:rsidP="00340939">
      <w:pPr>
        <w:widowControl w:val="0"/>
        <w:autoSpaceDE w:val="0"/>
        <w:autoSpaceDN w:val="0"/>
        <w:adjustRightInd w:val="0"/>
        <w:jc w:val="both"/>
        <w:rPr>
          <w:rFonts w:cs="ArialMT"/>
          <w:sz w:val="24"/>
          <w:lang w:val="en-GB"/>
        </w:rPr>
      </w:pPr>
    </w:p>
    <w:p w14:paraId="10D42DEB" w14:textId="77777777" w:rsidR="00340939" w:rsidRPr="00494ABB" w:rsidRDefault="00340939" w:rsidP="00340939">
      <w:pPr>
        <w:widowControl w:val="0"/>
        <w:autoSpaceDE w:val="0"/>
        <w:autoSpaceDN w:val="0"/>
        <w:adjustRightInd w:val="0"/>
        <w:jc w:val="both"/>
        <w:rPr>
          <w:rFonts w:cs="ArialMT"/>
          <w:sz w:val="24"/>
          <w:lang w:val="en-GB"/>
        </w:rPr>
      </w:pPr>
      <w:r w:rsidRPr="00494ABB">
        <w:rPr>
          <w:rFonts w:cs="ArialMT"/>
          <w:sz w:val="24"/>
          <w:lang w:val="en-GB"/>
        </w:rPr>
        <w:t xml:space="preserve">Hayden, R. (1992). </w:t>
      </w:r>
      <w:proofErr w:type="gramStart"/>
      <w:r w:rsidRPr="00494ABB">
        <w:rPr>
          <w:rFonts w:cs="ArialMT"/>
          <w:sz w:val="24"/>
          <w:lang w:val="en-GB"/>
        </w:rPr>
        <w:t>Constitutional Nationalism in the Formerly Yugoslav Republics.</w:t>
      </w:r>
      <w:proofErr w:type="gramEnd"/>
      <w:r w:rsidRPr="00494ABB">
        <w:rPr>
          <w:rFonts w:cs="ArialMT"/>
          <w:sz w:val="24"/>
          <w:lang w:val="en-GB"/>
        </w:rPr>
        <w:t xml:space="preserve"> </w:t>
      </w:r>
      <w:r w:rsidRPr="00494ABB">
        <w:rPr>
          <w:rFonts w:cs="ArialMT"/>
          <w:i/>
          <w:iCs/>
          <w:sz w:val="24"/>
          <w:lang w:val="en-GB"/>
        </w:rPr>
        <w:t>Slavic Review</w:t>
      </w:r>
      <w:r w:rsidRPr="00494ABB">
        <w:rPr>
          <w:rFonts w:cs="ArialMT"/>
          <w:sz w:val="24"/>
          <w:lang w:val="en-GB"/>
        </w:rPr>
        <w:t xml:space="preserve">, </w:t>
      </w:r>
      <w:r w:rsidRPr="00494ABB">
        <w:rPr>
          <w:rFonts w:cs="ArialMT"/>
          <w:i/>
          <w:iCs/>
          <w:sz w:val="24"/>
          <w:lang w:val="en-GB"/>
        </w:rPr>
        <w:t>51</w:t>
      </w:r>
      <w:r w:rsidRPr="00494ABB">
        <w:rPr>
          <w:rFonts w:cs="ArialMT"/>
          <w:sz w:val="24"/>
          <w:lang w:val="en-GB"/>
        </w:rPr>
        <w:t>(4), 654–673.</w:t>
      </w:r>
    </w:p>
    <w:p w14:paraId="36F24D4A" w14:textId="77777777" w:rsidR="00340939" w:rsidRPr="00494ABB" w:rsidRDefault="00340939" w:rsidP="00340939">
      <w:pPr>
        <w:widowControl w:val="0"/>
        <w:autoSpaceDE w:val="0"/>
        <w:autoSpaceDN w:val="0"/>
        <w:adjustRightInd w:val="0"/>
        <w:jc w:val="both"/>
        <w:rPr>
          <w:rFonts w:cs="ArialMT"/>
          <w:sz w:val="24"/>
          <w:lang w:val="en-GB"/>
        </w:rPr>
      </w:pPr>
    </w:p>
    <w:p w14:paraId="088BDD36" w14:textId="77777777" w:rsidR="00340939" w:rsidRPr="00494ABB" w:rsidRDefault="00340939" w:rsidP="00340939">
      <w:pPr>
        <w:widowControl w:val="0"/>
        <w:autoSpaceDE w:val="0"/>
        <w:autoSpaceDN w:val="0"/>
        <w:adjustRightInd w:val="0"/>
        <w:jc w:val="both"/>
        <w:rPr>
          <w:rFonts w:cs="ArialMT"/>
          <w:sz w:val="24"/>
          <w:lang w:val="en-GB"/>
        </w:rPr>
      </w:pPr>
      <w:proofErr w:type="spellStart"/>
      <w:r w:rsidRPr="00494ABB">
        <w:rPr>
          <w:rFonts w:cs="ArialMT"/>
          <w:sz w:val="24"/>
          <w:lang w:val="en-GB"/>
        </w:rPr>
        <w:t>Kamusella</w:t>
      </w:r>
      <w:proofErr w:type="spellEnd"/>
      <w:r w:rsidRPr="00494ABB">
        <w:rPr>
          <w:rFonts w:cs="ArialMT"/>
          <w:sz w:val="24"/>
          <w:lang w:val="en-GB"/>
        </w:rPr>
        <w:t xml:space="preserve">, T. (2009). </w:t>
      </w:r>
      <w:proofErr w:type="gramStart"/>
      <w:r w:rsidRPr="00494ABB">
        <w:rPr>
          <w:rFonts w:cs="ArialMT"/>
          <w:i/>
          <w:iCs/>
          <w:sz w:val="24"/>
          <w:lang w:val="en-GB"/>
        </w:rPr>
        <w:t>The politics of Language and Nationalism in Modern Central Europe</w:t>
      </w:r>
      <w:r w:rsidRPr="00494ABB">
        <w:rPr>
          <w:rFonts w:cs="ArialMT"/>
          <w:sz w:val="24"/>
          <w:lang w:val="en-GB"/>
        </w:rPr>
        <w:t>.</w:t>
      </w:r>
      <w:proofErr w:type="gramEnd"/>
      <w:r w:rsidRPr="00494ABB">
        <w:rPr>
          <w:rFonts w:cs="ArialMT"/>
          <w:sz w:val="24"/>
          <w:lang w:val="en-GB"/>
        </w:rPr>
        <w:t xml:space="preserve"> Basingstoke, UK and New York, NY: Palgrave Macmillan.</w:t>
      </w:r>
    </w:p>
    <w:p w14:paraId="78B22579" w14:textId="77777777" w:rsidR="00340939" w:rsidRPr="00494ABB" w:rsidRDefault="00340939" w:rsidP="00340939">
      <w:pPr>
        <w:widowControl w:val="0"/>
        <w:autoSpaceDE w:val="0"/>
        <w:autoSpaceDN w:val="0"/>
        <w:adjustRightInd w:val="0"/>
        <w:jc w:val="both"/>
        <w:rPr>
          <w:rFonts w:cs="ArialMT"/>
          <w:sz w:val="24"/>
          <w:lang w:val="en-GB"/>
        </w:rPr>
      </w:pPr>
    </w:p>
    <w:p w14:paraId="65549063" w14:textId="77777777" w:rsidR="00340939" w:rsidRDefault="00340939" w:rsidP="00340939">
      <w:pPr>
        <w:widowControl w:val="0"/>
        <w:autoSpaceDE w:val="0"/>
        <w:autoSpaceDN w:val="0"/>
        <w:adjustRightInd w:val="0"/>
        <w:jc w:val="both"/>
        <w:rPr>
          <w:rFonts w:cs="ArialMT"/>
          <w:sz w:val="24"/>
          <w:lang w:val="en-GB"/>
        </w:rPr>
      </w:pPr>
      <w:proofErr w:type="spellStart"/>
      <w:proofErr w:type="gramStart"/>
      <w:r w:rsidRPr="00494ABB">
        <w:rPr>
          <w:rFonts w:cs="ArialMT"/>
          <w:sz w:val="24"/>
          <w:lang w:val="en-GB"/>
        </w:rPr>
        <w:t>Kostovicova</w:t>
      </w:r>
      <w:proofErr w:type="spellEnd"/>
      <w:r w:rsidRPr="00494ABB">
        <w:rPr>
          <w:rFonts w:cs="ArialMT"/>
          <w:sz w:val="24"/>
          <w:lang w:val="en-GB"/>
        </w:rPr>
        <w:t xml:space="preserve">, D., </w:t>
      </w:r>
      <w:proofErr w:type="spellStart"/>
      <w:r w:rsidRPr="00494ABB">
        <w:rPr>
          <w:rFonts w:cs="ArialMT"/>
          <w:sz w:val="24"/>
          <w:lang w:val="en-GB"/>
        </w:rPr>
        <w:t>Bojičić-Dželilović</w:t>
      </w:r>
      <w:proofErr w:type="spellEnd"/>
      <w:r w:rsidRPr="00494ABB">
        <w:rPr>
          <w:rFonts w:cs="ArialMT"/>
          <w:sz w:val="24"/>
          <w:lang w:val="en-GB"/>
        </w:rPr>
        <w:t>, V. (2006).</w:t>
      </w:r>
      <w:proofErr w:type="gramEnd"/>
      <w:r w:rsidRPr="00494ABB">
        <w:rPr>
          <w:rFonts w:cs="ArialMT"/>
          <w:sz w:val="24"/>
          <w:lang w:val="en-GB"/>
        </w:rPr>
        <w:t xml:space="preserve"> Europeanizing the Balkans: Rethinking the Post-communist and Post-conflict Transition. </w:t>
      </w:r>
      <w:proofErr w:type="spellStart"/>
      <w:r w:rsidRPr="00494ABB">
        <w:rPr>
          <w:rFonts w:cs="ArialMT"/>
          <w:i/>
          <w:iCs/>
          <w:sz w:val="24"/>
          <w:lang w:val="en-GB"/>
        </w:rPr>
        <w:t>Ethnopolitics</w:t>
      </w:r>
      <w:proofErr w:type="spellEnd"/>
      <w:r w:rsidRPr="00494ABB">
        <w:rPr>
          <w:rFonts w:cs="ArialMT"/>
          <w:sz w:val="24"/>
          <w:lang w:val="en-GB"/>
        </w:rPr>
        <w:t xml:space="preserve">, </w:t>
      </w:r>
      <w:r w:rsidRPr="00494ABB">
        <w:rPr>
          <w:rFonts w:cs="ArialMT"/>
          <w:i/>
          <w:iCs/>
          <w:sz w:val="24"/>
          <w:lang w:val="en-GB"/>
        </w:rPr>
        <w:t>5</w:t>
      </w:r>
      <w:r w:rsidRPr="00494ABB">
        <w:rPr>
          <w:rFonts w:cs="ArialMT"/>
          <w:sz w:val="24"/>
          <w:lang w:val="en-GB"/>
        </w:rPr>
        <w:t>(3), 223–241.</w:t>
      </w:r>
    </w:p>
    <w:p w14:paraId="35769028" w14:textId="77777777" w:rsidR="007E41FF" w:rsidRDefault="007E41FF" w:rsidP="00340939">
      <w:pPr>
        <w:widowControl w:val="0"/>
        <w:autoSpaceDE w:val="0"/>
        <w:autoSpaceDN w:val="0"/>
        <w:adjustRightInd w:val="0"/>
        <w:jc w:val="both"/>
        <w:rPr>
          <w:rFonts w:cs="ArialMT"/>
          <w:sz w:val="24"/>
          <w:lang w:val="en-GB"/>
        </w:rPr>
      </w:pPr>
    </w:p>
    <w:p w14:paraId="20852A2C" w14:textId="1B705EB6" w:rsidR="007E41FF" w:rsidRPr="007E41FF" w:rsidRDefault="007E41FF" w:rsidP="00340939">
      <w:pPr>
        <w:widowControl w:val="0"/>
        <w:autoSpaceDE w:val="0"/>
        <w:autoSpaceDN w:val="0"/>
        <w:adjustRightInd w:val="0"/>
        <w:jc w:val="both"/>
        <w:rPr>
          <w:rFonts w:cs="ArialMT"/>
          <w:sz w:val="24"/>
          <w:lang w:val="en-GB"/>
        </w:rPr>
      </w:pPr>
      <w:proofErr w:type="spellStart"/>
      <w:r>
        <w:rPr>
          <w:rFonts w:cs="ArialMT"/>
          <w:sz w:val="24"/>
          <w:lang w:val="en-GB"/>
        </w:rPr>
        <w:t>Krasniqi</w:t>
      </w:r>
      <w:proofErr w:type="spellEnd"/>
      <w:r>
        <w:rPr>
          <w:rFonts w:cs="ArialMT"/>
          <w:sz w:val="24"/>
          <w:lang w:val="en-GB"/>
        </w:rPr>
        <w:t xml:space="preserve">, G. (2019). Contested States as Liminal Spaces of Citizenship: Comparing Kosovo and the Turkish Republic of Northern Cyprus. </w:t>
      </w:r>
      <w:proofErr w:type="spellStart"/>
      <w:proofErr w:type="gramStart"/>
      <w:r>
        <w:rPr>
          <w:rFonts w:cs="ArialMT"/>
          <w:i/>
          <w:sz w:val="24"/>
          <w:lang w:val="en-GB"/>
        </w:rPr>
        <w:t>Ethnopolitics</w:t>
      </w:r>
      <w:proofErr w:type="spellEnd"/>
      <w:r>
        <w:rPr>
          <w:rFonts w:cs="ArialMT"/>
          <w:i/>
          <w:sz w:val="24"/>
          <w:lang w:val="en-GB"/>
        </w:rPr>
        <w:t xml:space="preserve">, </w:t>
      </w:r>
      <w:r>
        <w:rPr>
          <w:rFonts w:cs="ArialMT"/>
          <w:sz w:val="24"/>
          <w:lang w:val="en-GB"/>
        </w:rPr>
        <w:t>this issue.</w:t>
      </w:r>
      <w:proofErr w:type="gramEnd"/>
    </w:p>
    <w:p w14:paraId="78340280" w14:textId="77777777" w:rsidR="00340939" w:rsidRPr="00494ABB" w:rsidRDefault="00340939" w:rsidP="00340939">
      <w:pPr>
        <w:widowControl w:val="0"/>
        <w:autoSpaceDE w:val="0"/>
        <w:autoSpaceDN w:val="0"/>
        <w:adjustRightInd w:val="0"/>
        <w:jc w:val="both"/>
        <w:rPr>
          <w:rFonts w:cs="ArialMT"/>
          <w:sz w:val="24"/>
          <w:lang w:val="en-GB"/>
        </w:rPr>
      </w:pPr>
    </w:p>
    <w:p w14:paraId="7E50CED9" w14:textId="77777777" w:rsidR="00340939" w:rsidRPr="00494ABB" w:rsidRDefault="00340939" w:rsidP="00340939">
      <w:pPr>
        <w:widowControl w:val="0"/>
        <w:autoSpaceDE w:val="0"/>
        <w:autoSpaceDN w:val="0"/>
        <w:adjustRightInd w:val="0"/>
        <w:jc w:val="both"/>
        <w:rPr>
          <w:rFonts w:cs="ArialMT"/>
          <w:sz w:val="24"/>
          <w:lang w:val="en-GB"/>
        </w:rPr>
      </w:pPr>
      <w:proofErr w:type="gramStart"/>
      <w:r w:rsidRPr="00494ABB">
        <w:rPr>
          <w:rFonts w:cs="ArialMT"/>
          <w:sz w:val="24"/>
          <w:lang w:val="en-GB"/>
        </w:rPr>
        <w:t>Lake, M., Reynolds, H. (2008).</w:t>
      </w:r>
      <w:proofErr w:type="gramEnd"/>
      <w:r w:rsidRPr="00494ABB">
        <w:rPr>
          <w:rFonts w:cs="ArialMT"/>
          <w:sz w:val="24"/>
          <w:lang w:val="en-GB"/>
        </w:rPr>
        <w:t xml:space="preserve"> </w:t>
      </w:r>
      <w:r w:rsidRPr="00494ABB">
        <w:rPr>
          <w:rFonts w:cs="ArialMT"/>
          <w:i/>
          <w:iCs/>
          <w:sz w:val="24"/>
          <w:lang w:val="en-GB"/>
        </w:rPr>
        <w:t>Drawing the Global Colour Line : white men’s countries and the international challenge of racial equality</w:t>
      </w:r>
      <w:r w:rsidRPr="00494ABB">
        <w:rPr>
          <w:rFonts w:cs="ArialMT"/>
          <w:sz w:val="24"/>
          <w:lang w:val="en-GB"/>
        </w:rPr>
        <w:t>. Cambridge, UK and New York, NY: Cambridge University Press.</w:t>
      </w:r>
    </w:p>
    <w:p w14:paraId="0D8E0465" w14:textId="77777777" w:rsidR="00B12FB5" w:rsidRPr="00494ABB" w:rsidRDefault="00B12FB5" w:rsidP="00340939">
      <w:pPr>
        <w:widowControl w:val="0"/>
        <w:autoSpaceDE w:val="0"/>
        <w:autoSpaceDN w:val="0"/>
        <w:adjustRightInd w:val="0"/>
        <w:jc w:val="both"/>
        <w:rPr>
          <w:rFonts w:cs="ArialMT"/>
          <w:sz w:val="24"/>
          <w:lang w:val="en-GB"/>
        </w:rPr>
      </w:pPr>
    </w:p>
    <w:p w14:paraId="1C4B53D6" w14:textId="04BB7D77" w:rsidR="00B12FB5" w:rsidRPr="00494ABB" w:rsidRDefault="00B12FB5" w:rsidP="00340939">
      <w:pPr>
        <w:widowControl w:val="0"/>
        <w:autoSpaceDE w:val="0"/>
        <w:autoSpaceDN w:val="0"/>
        <w:adjustRightInd w:val="0"/>
        <w:jc w:val="both"/>
        <w:rPr>
          <w:rFonts w:cs="ArialMT"/>
          <w:sz w:val="24"/>
          <w:lang w:val="en-GB"/>
        </w:rPr>
      </w:pPr>
      <w:proofErr w:type="spellStart"/>
      <w:proofErr w:type="gramStart"/>
      <w:r w:rsidRPr="00494ABB">
        <w:rPr>
          <w:rFonts w:cs="ArialMT"/>
          <w:sz w:val="24"/>
          <w:lang w:val="en-GB"/>
        </w:rPr>
        <w:t>Macedo</w:t>
      </w:r>
      <w:proofErr w:type="spellEnd"/>
      <w:r w:rsidRPr="00494ABB">
        <w:rPr>
          <w:rFonts w:cs="ArialMT"/>
          <w:sz w:val="24"/>
          <w:lang w:val="en-GB"/>
        </w:rPr>
        <w:t xml:space="preserve">, S. </w:t>
      </w:r>
      <w:r w:rsidRPr="00494ABB">
        <w:rPr>
          <w:rFonts w:ascii="Times" w:hAnsi="Times"/>
          <w:sz w:val="24"/>
          <w:lang w:val="en-GB"/>
        </w:rPr>
        <w:t>(2003).</w:t>
      </w:r>
      <w:proofErr w:type="gramEnd"/>
      <w:r w:rsidRPr="00494ABB">
        <w:rPr>
          <w:rFonts w:ascii="Times" w:hAnsi="Times"/>
          <w:sz w:val="24"/>
          <w:lang w:val="en-GB"/>
        </w:rPr>
        <w:t xml:space="preserve"> </w:t>
      </w:r>
      <w:proofErr w:type="gramStart"/>
      <w:r w:rsidRPr="00494ABB">
        <w:rPr>
          <w:rFonts w:ascii="Times" w:hAnsi="Times"/>
          <w:i/>
          <w:iCs/>
          <w:sz w:val="24"/>
          <w:lang w:val="en-GB"/>
        </w:rPr>
        <w:t>Secession and Self-Determination</w:t>
      </w:r>
      <w:r w:rsidRPr="00494ABB">
        <w:rPr>
          <w:rFonts w:ascii="Times" w:hAnsi="Times"/>
          <w:sz w:val="24"/>
          <w:lang w:val="en-GB"/>
        </w:rPr>
        <w:t>.</w:t>
      </w:r>
      <w:proofErr w:type="gramEnd"/>
      <w:r w:rsidRPr="00494ABB">
        <w:rPr>
          <w:rFonts w:ascii="Times" w:hAnsi="Times"/>
          <w:sz w:val="24"/>
          <w:lang w:val="en-GB"/>
        </w:rPr>
        <w:t xml:space="preserve"> New York: New York University Press.</w:t>
      </w:r>
    </w:p>
    <w:p w14:paraId="7D1C5FD4" w14:textId="77777777" w:rsidR="00340939" w:rsidRPr="00494ABB" w:rsidRDefault="00340939" w:rsidP="00340939">
      <w:pPr>
        <w:widowControl w:val="0"/>
        <w:autoSpaceDE w:val="0"/>
        <w:autoSpaceDN w:val="0"/>
        <w:adjustRightInd w:val="0"/>
        <w:jc w:val="both"/>
        <w:rPr>
          <w:rFonts w:cs="ArialMT"/>
          <w:sz w:val="24"/>
          <w:lang w:val="en-GB"/>
        </w:rPr>
      </w:pPr>
    </w:p>
    <w:p w14:paraId="7B862B9F" w14:textId="6544701D" w:rsidR="00B12FB5" w:rsidRPr="00494ABB" w:rsidRDefault="00340939" w:rsidP="00340939">
      <w:pPr>
        <w:widowControl w:val="0"/>
        <w:autoSpaceDE w:val="0"/>
        <w:autoSpaceDN w:val="0"/>
        <w:adjustRightInd w:val="0"/>
        <w:jc w:val="both"/>
        <w:rPr>
          <w:rFonts w:cs="ArialMT"/>
          <w:sz w:val="24"/>
          <w:lang w:val="en-GB"/>
        </w:rPr>
      </w:pPr>
      <w:proofErr w:type="spellStart"/>
      <w:proofErr w:type="gramStart"/>
      <w:r w:rsidRPr="00494ABB">
        <w:rPr>
          <w:rFonts w:cs="ArialMT"/>
          <w:sz w:val="24"/>
          <w:lang w:val="en-GB"/>
        </w:rPr>
        <w:t>Manela</w:t>
      </w:r>
      <w:proofErr w:type="spellEnd"/>
      <w:r w:rsidRPr="00494ABB">
        <w:rPr>
          <w:rFonts w:cs="ArialMT"/>
          <w:sz w:val="24"/>
          <w:lang w:val="en-GB"/>
        </w:rPr>
        <w:t>, E. (2007).</w:t>
      </w:r>
      <w:proofErr w:type="gramEnd"/>
      <w:r w:rsidRPr="00494ABB">
        <w:rPr>
          <w:rFonts w:cs="ArialMT"/>
          <w:sz w:val="24"/>
          <w:lang w:val="en-GB"/>
        </w:rPr>
        <w:t xml:space="preserve"> </w:t>
      </w:r>
      <w:r w:rsidRPr="00494ABB">
        <w:rPr>
          <w:rFonts w:cs="ArialMT"/>
          <w:i/>
          <w:iCs/>
          <w:sz w:val="24"/>
          <w:lang w:val="en-GB"/>
        </w:rPr>
        <w:t xml:space="preserve">The </w:t>
      </w:r>
      <w:proofErr w:type="spellStart"/>
      <w:r w:rsidRPr="00494ABB">
        <w:rPr>
          <w:rFonts w:cs="ArialMT"/>
          <w:i/>
          <w:iCs/>
          <w:sz w:val="24"/>
          <w:lang w:val="en-GB"/>
        </w:rPr>
        <w:t>Wilsonian</w:t>
      </w:r>
      <w:proofErr w:type="spellEnd"/>
      <w:r w:rsidRPr="00494ABB">
        <w:rPr>
          <w:rFonts w:cs="ArialMT"/>
          <w:i/>
          <w:iCs/>
          <w:sz w:val="24"/>
          <w:lang w:val="en-GB"/>
        </w:rPr>
        <w:t xml:space="preserve"> Moment : self-determination and the international origins of anticolonial nationalism</w:t>
      </w:r>
      <w:r w:rsidRPr="00494ABB">
        <w:rPr>
          <w:rFonts w:cs="ArialMT"/>
          <w:sz w:val="24"/>
          <w:lang w:val="en-GB"/>
        </w:rPr>
        <w:t>. Oxford, UK and New York, NY: Oxford University Press.</w:t>
      </w:r>
    </w:p>
    <w:p w14:paraId="7EB64C00" w14:textId="77777777" w:rsidR="00B12FB5" w:rsidRPr="00494ABB" w:rsidRDefault="00B12FB5" w:rsidP="00340939">
      <w:pPr>
        <w:widowControl w:val="0"/>
        <w:autoSpaceDE w:val="0"/>
        <w:autoSpaceDN w:val="0"/>
        <w:adjustRightInd w:val="0"/>
        <w:jc w:val="both"/>
        <w:rPr>
          <w:rFonts w:cs="ArialMT"/>
          <w:sz w:val="24"/>
          <w:lang w:val="en-GB"/>
        </w:rPr>
      </w:pPr>
    </w:p>
    <w:p w14:paraId="328EA39F" w14:textId="0A7558BB" w:rsidR="00B12FB5" w:rsidRPr="00494ABB" w:rsidRDefault="00B12FB5" w:rsidP="00340939">
      <w:pPr>
        <w:widowControl w:val="0"/>
        <w:autoSpaceDE w:val="0"/>
        <w:autoSpaceDN w:val="0"/>
        <w:adjustRightInd w:val="0"/>
        <w:jc w:val="both"/>
        <w:rPr>
          <w:rFonts w:cs="ArialMT"/>
          <w:sz w:val="24"/>
          <w:lang w:val="en-GB"/>
        </w:rPr>
      </w:pPr>
      <w:proofErr w:type="spellStart"/>
      <w:r w:rsidRPr="00494ABB">
        <w:rPr>
          <w:rFonts w:cs="ArialMT"/>
          <w:sz w:val="24"/>
          <w:lang w:val="en-GB"/>
        </w:rPr>
        <w:t>Mayall</w:t>
      </w:r>
      <w:proofErr w:type="spellEnd"/>
      <w:r w:rsidRPr="00494ABB">
        <w:rPr>
          <w:rFonts w:cs="ArialMT"/>
          <w:sz w:val="24"/>
          <w:lang w:val="en-GB"/>
        </w:rPr>
        <w:t xml:space="preserve">, J. (1990). </w:t>
      </w:r>
      <w:proofErr w:type="gramStart"/>
      <w:r w:rsidRPr="00494ABB">
        <w:rPr>
          <w:rFonts w:ascii="Times" w:hAnsi="Times" w:cs="Helvetica"/>
          <w:i/>
          <w:iCs/>
          <w:sz w:val="24"/>
          <w:lang w:val="en-GB"/>
        </w:rPr>
        <w:t>Nationalism and International Society</w:t>
      </w:r>
      <w:r w:rsidRPr="00494ABB">
        <w:rPr>
          <w:rFonts w:ascii="Times" w:hAnsi="Times" w:cs="Helvetica"/>
          <w:sz w:val="24"/>
          <w:lang w:val="en-GB"/>
        </w:rPr>
        <w:t>.</w:t>
      </w:r>
      <w:proofErr w:type="gramEnd"/>
      <w:r w:rsidRPr="00494ABB">
        <w:rPr>
          <w:rFonts w:ascii="Times" w:hAnsi="Times" w:cs="Helvetica"/>
          <w:sz w:val="24"/>
          <w:lang w:val="en-GB"/>
        </w:rPr>
        <w:t xml:space="preserve"> Cambridge; New York: Cambridge University Press.</w:t>
      </w:r>
    </w:p>
    <w:p w14:paraId="0483D1C2" w14:textId="77777777" w:rsidR="00340939" w:rsidRPr="00494ABB" w:rsidRDefault="00340939" w:rsidP="00340939">
      <w:pPr>
        <w:jc w:val="both"/>
        <w:rPr>
          <w:rFonts w:cs="ArialMT"/>
          <w:sz w:val="24"/>
          <w:lang w:val="en-GB"/>
        </w:rPr>
      </w:pPr>
    </w:p>
    <w:p w14:paraId="5012B9EC" w14:textId="77777777" w:rsidR="00340939" w:rsidRPr="00494ABB" w:rsidRDefault="00340939" w:rsidP="00340939">
      <w:pPr>
        <w:widowControl w:val="0"/>
        <w:autoSpaceDE w:val="0"/>
        <w:autoSpaceDN w:val="0"/>
        <w:adjustRightInd w:val="0"/>
        <w:jc w:val="both"/>
        <w:rPr>
          <w:rFonts w:cs="ArialMT"/>
          <w:sz w:val="24"/>
          <w:lang w:val="en-GB"/>
        </w:rPr>
      </w:pPr>
      <w:proofErr w:type="gramStart"/>
      <w:r w:rsidRPr="00494ABB">
        <w:rPr>
          <w:rFonts w:cs="ArialMT"/>
          <w:sz w:val="24"/>
          <w:lang w:val="en-GB"/>
        </w:rPr>
        <w:t>Miller, D. H. (1924).</w:t>
      </w:r>
      <w:proofErr w:type="gramEnd"/>
      <w:r w:rsidRPr="00494ABB">
        <w:rPr>
          <w:rFonts w:cs="ArialMT"/>
          <w:sz w:val="24"/>
          <w:lang w:val="en-GB"/>
        </w:rPr>
        <w:t xml:space="preserve"> </w:t>
      </w:r>
      <w:proofErr w:type="gramStart"/>
      <w:r w:rsidRPr="00494ABB">
        <w:rPr>
          <w:rFonts w:cs="ArialMT"/>
          <w:i/>
          <w:iCs/>
          <w:sz w:val="24"/>
          <w:lang w:val="en-GB"/>
        </w:rPr>
        <w:t>My Diary at the Conference of Paris, with Documents</w:t>
      </w:r>
      <w:r w:rsidRPr="00494ABB">
        <w:rPr>
          <w:rFonts w:cs="ArialMT"/>
          <w:sz w:val="24"/>
          <w:lang w:val="en-GB"/>
        </w:rPr>
        <w:t>.</w:t>
      </w:r>
      <w:proofErr w:type="gramEnd"/>
      <w:r w:rsidRPr="00494ABB">
        <w:rPr>
          <w:rFonts w:cs="ArialMT"/>
          <w:sz w:val="24"/>
          <w:lang w:val="en-GB"/>
        </w:rPr>
        <w:t xml:space="preserve"> New York, NY: Appeal Printing Company.</w:t>
      </w:r>
    </w:p>
    <w:p w14:paraId="79736048" w14:textId="77777777" w:rsidR="00340939" w:rsidRPr="00494ABB" w:rsidRDefault="00340939" w:rsidP="00340939">
      <w:pPr>
        <w:widowControl w:val="0"/>
        <w:autoSpaceDE w:val="0"/>
        <w:autoSpaceDN w:val="0"/>
        <w:adjustRightInd w:val="0"/>
        <w:jc w:val="both"/>
        <w:rPr>
          <w:rFonts w:cs="ArialMT"/>
          <w:sz w:val="24"/>
          <w:lang w:val="en-GB"/>
        </w:rPr>
      </w:pPr>
    </w:p>
    <w:p w14:paraId="5A41AA48" w14:textId="77777777" w:rsidR="00340939" w:rsidRPr="00494ABB" w:rsidRDefault="00340939" w:rsidP="00340939">
      <w:pPr>
        <w:widowControl w:val="0"/>
        <w:autoSpaceDE w:val="0"/>
        <w:autoSpaceDN w:val="0"/>
        <w:adjustRightInd w:val="0"/>
        <w:jc w:val="both"/>
        <w:rPr>
          <w:rFonts w:cs="ArialMT"/>
          <w:sz w:val="24"/>
          <w:lang w:val="en-GB"/>
        </w:rPr>
      </w:pPr>
      <w:r w:rsidRPr="00494ABB">
        <w:rPr>
          <w:rFonts w:cs="ArialMT"/>
          <w:sz w:val="24"/>
          <w:lang w:val="en-GB"/>
        </w:rPr>
        <w:t xml:space="preserve">Myers, P., Campbell, A. (1954). </w:t>
      </w:r>
      <w:proofErr w:type="gramStart"/>
      <w:r w:rsidRPr="00494ABB">
        <w:rPr>
          <w:rFonts w:cs="ArialMT"/>
          <w:i/>
          <w:sz w:val="24"/>
          <w:lang w:val="en-GB"/>
        </w:rPr>
        <w:t>The Population of Yugoslavia</w:t>
      </w:r>
      <w:r w:rsidRPr="00494ABB">
        <w:rPr>
          <w:rFonts w:cs="ArialMT"/>
          <w:sz w:val="24"/>
          <w:lang w:val="en-GB"/>
        </w:rPr>
        <w:t>.</w:t>
      </w:r>
      <w:proofErr w:type="gramEnd"/>
      <w:r w:rsidRPr="00494ABB">
        <w:rPr>
          <w:rFonts w:cs="ArialMT"/>
          <w:sz w:val="24"/>
          <w:lang w:val="en-GB"/>
        </w:rPr>
        <w:t xml:space="preserve"> International Population Statistics Reports P90: 5. Washington, DC: US Government Printing Office.</w:t>
      </w:r>
    </w:p>
    <w:p w14:paraId="242E7D60" w14:textId="77777777" w:rsidR="00340939" w:rsidRPr="00494ABB" w:rsidRDefault="00340939" w:rsidP="00340939">
      <w:pPr>
        <w:widowControl w:val="0"/>
        <w:autoSpaceDE w:val="0"/>
        <w:autoSpaceDN w:val="0"/>
        <w:adjustRightInd w:val="0"/>
        <w:jc w:val="both"/>
        <w:rPr>
          <w:rFonts w:cs="ArialMT"/>
          <w:sz w:val="24"/>
          <w:lang w:val="en-GB"/>
        </w:rPr>
      </w:pPr>
    </w:p>
    <w:p w14:paraId="268C90F6" w14:textId="77777777" w:rsidR="00340939" w:rsidRPr="00494ABB" w:rsidRDefault="00340939" w:rsidP="00340939">
      <w:pPr>
        <w:widowControl w:val="0"/>
        <w:autoSpaceDE w:val="0"/>
        <w:autoSpaceDN w:val="0"/>
        <w:adjustRightInd w:val="0"/>
        <w:jc w:val="both"/>
        <w:rPr>
          <w:rFonts w:cs="ArialMT"/>
          <w:sz w:val="24"/>
          <w:lang w:val="en-GB"/>
        </w:rPr>
      </w:pPr>
      <w:proofErr w:type="spellStart"/>
      <w:r w:rsidRPr="00494ABB">
        <w:rPr>
          <w:rFonts w:cs="ArialMT"/>
          <w:sz w:val="24"/>
          <w:lang w:val="en-GB"/>
        </w:rPr>
        <w:t>Navari</w:t>
      </w:r>
      <w:proofErr w:type="spellEnd"/>
      <w:r w:rsidRPr="00494ABB">
        <w:rPr>
          <w:rFonts w:cs="ArialMT"/>
          <w:sz w:val="24"/>
          <w:lang w:val="en-GB"/>
        </w:rPr>
        <w:t xml:space="preserve">, C. (2014). </w:t>
      </w:r>
      <w:proofErr w:type="gramStart"/>
      <w:r w:rsidRPr="00494ABB">
        <w:rPr>
          <w:rFonts w:cs="ArialMT"/>
          <w:sz w:val="24"/>
          <w:lang w:val="en-GB"/>
        </w:rPr>
        <w:t xml:space="preserve">Territoriality, Self-determination and Crimea after </w:t>
      </w:r>
      <w:proofErr w:type="spellStart"/>
      <w:r w:rsidRPr="00494ABB">
        <w:rPr>
          <w:rFonts w:cs="ArialMT"/>
          <w:sz w:val="24"/>
          <w:lang w:val="en-GB"/>
        </w:rPr>
        <w:t>Badinter</w:t>
      </w:r>
      <w:proofErr w:type="spellEnd"/>
      <w:r w:rsidRPr="00494ABB">
        <w:rPr>
          <w:rFonts w:cs="ArialMT"/>
          <w:sz w:val="24"/>
          <w:lang w:val="en-GB"/>
        </w:rPr>
        <w:t>.</w:t>
      </w:r>
      <w:proofErr w:type="gramEnd"/>
      <w:r w:rsidRPr="00494ABB">
        <w:rPr>
          <w:rFonts w:cs="ArialMT"/>
          <w:sz w:val="24"/>
          <w:lang w:val="en-GB"/>
        </w:rPr>
        <w:t xml:space="preserve"> </w:t>
      </w:r>
      <w:r w:rsidRPr="00494ABB">
        <w:rPr>
          <w:rFonts w:cs="ArialMT"/>
          <w:i/>
          <w:iCs/>
          <w:sz w:val="24"/>
          <w:lang w:val="en-GB"/>
        </w:rPr>
        <w:t>International Affairs</w:t>
      </w:r>
      <w:r w:rsidRPr="00494ABB">
        <w:rPr>
          <w:rFonts w:cs="ArialMT"/>
          <w:sz w:val="24"/>
          <w:lang w:val="en-GB"/>
        </w:rPr>
        <w:t xml:space="preserve">, </w:t>
      </w:r>
      <w:r w:rsidRPr="00494ABB">
        <w:rPr>
          <w:rFonts w:cs="ArialMT"/>
          <w:i/>
          <w:iCs/>
          <w:sz w:val="24"/>
          <w:lang w:val="en-GB"/>
        </w:rPr>
        <w:t>90</w:t>
      </w:r>
      <w:r w:rsidRPr="00494ABB">
        <w:rPr>
          <w:rFonts w:cs="ArialMT"/>
          <w:sz w:val="24"/>
          <w:lang w:val="en-GB"/>
        </w:rPr>
        <w:t>(6), 1299–1318.</w:t>
      </w:r>
    </w:p>
    <w:p w14:paraId="79A1F2F9" w14:textId="77777777" w:rsidR="00340939" w:rsidRPr="00494ABB" w:rsidRDefault="00340939" w:rsidP="00340939">
      <w:pPr>
        <w:widowControl w:val="0"/>
        <w:autoSpaceDE w:val="0"/>
        <w:autoSpaceDN w:val="0"/>
        <w:adjustRightInd w:val="0"/>
        <w:jc w:val="both"/>
        <w:rPr>
          <w:rFonts w:cs="ArialMT"/>
          <w:sz w:val="24"/>
          <w:lang w:val="en-GB"/>
        </w:rPr>
      </w:pPr>
    </w:p>
    <w:p w14:paraId="54F330D8" w14:textId="77777777" w:rsidR="00340939" w:rsidRPr="00494ABB" w:rsidRDefault="00340939" w:rsidP="00340939">
      <w:pPr>
        <w:widowControl w:val="0"/>
        <w:autoSpaceDE w:val="0"/>
        <w:autoSpaceDN w:val="0"/>
        <w:adjustRightInd w:val="0"/>
        <w:jc w:val="both"/>
        <w:rPr>
          <w:rFonts w:cs="ArialMT"/>
          <w:sz w:val="24"/>
          <w:lang w:val="en-GB"/>
        </w:rPr>
      </w:pPr>
      <w:proofErr w:type="spellStart"/>
      <w:r w:rsidRPr="00494ABB">
        <w:rPr>
          <w:rFonts w:cs="ArialMT"/>
          <w:sz w:val="24"/>
          <w:lang w:val="en-GB"/>
        </w:rPr>
        <w:t>Pavković</w:t>
      </w:r>
      <w:proofErr w:type="spellEnd"/>
      <w:r w:rsidRPr="00494ABB">
        <w:rPr>
          <w:rFonts w:cs="ArialMT"/>
          <w:sz w:val="24"/>
          <w:lang w:val="en-GB"/>
        </w:rPr>
        <w:t xml:space="preserve">, A. (2000). </w:t>
      </w:r>
      <w:r w:rsidRPr="00494ABB">
        <w:rPr>
          <w:rFonts w:cs="ArialMT"/>
          <w:i/>
          <w:iCs/>
          <w:sz w:val="24"/>
          <w:lang w:val="en-GB"/>
        </w:rPr>
        <w:t>The Fragmentation of Yugoslavia: nationalism and war in the Balkans</w:t>
      </w:r>
      <w:r w:rsidRPr="00494ABB">
        <w:rPr>
          <w:rFonts w:cs="ArialMT"/>
          <w:sz w:val="24"/>
          <w:lang w:val="en-GB"/>
        </w:rPr>
        <w:t>. New York, NY: St. Martin’s Press.</w:t>
      </w:r>
    </w:p>
    <w:p w14:paraId="52D9BCB9" w14:textId="77777777" w:rsidR="00B12FB5" w:rsidRPr="00494ABB" w:rsidRDefault="00B12FB5" w:rsidP="00340939">
      <w:pPr>
        <w:widowControl w:val="0"/>
        <w:autoSpaceDE w:val="0"/>
        <w:autoSpaceDN w:val="0"/>
        <w:adjustRightInd w:val="0"/>
        <w:jc w:val="both"/>
        <w:rPr>
          <w:rFonts w:cs="ArialMT"/>
          <w:sz w:val="24"/>
          <w:lang w:val="en-GB"/>
        </w:rPr>
      </w:pPr>
    </w:p>
    <w:p w14:paraId="0629E74B" w14:textId="5322E042" w:rsidR="00B12FB5" w:rsidRPr="00494ABB" w:rsidRDefault="00B12FB5" w:rsidP="00340939">
      <w:pPr>
        <w:widowControl w:val="0"/>
        <w:autoSpaceDE w:val="0"/>
        <w:autoSpaceDN w:val="0"/>
        <w:adjustRightInd w:val="0"/>
        <w:jc w:val="both"/>
        <w:rPr>
          <w:rFonts w:cs="ArialMT"/>
          <w:sz w:val="24"/>
          <w:lang w:val="en-GB"/>
        </w:rPr>
      </w:pPr>
      <w:r w:rsidRPr="00494ABB">
        <w:rPr>
          <w:rFonts w:cs="ArialMT"/>
          <w:sz w:val="24"/>
          <w:lang w:val="en-GB"/>
        </w:rPr>
        <w:t xml:space="preserve">Rae, H. (2002). </w:t>
      </w:r>
      <w:r w:rsidRPr="00494ABB">
        <w:rPr>
          <w:rFonts w:ascii="Times" w:hAnsi="Times" w:cs="Helvetica"/>
          <w:i/>
          <w:iCs/>
          <w:sz w:val="24"/>
          <w:lang w:val="en-GB"/>
        </w:rPr>
        <w:t>State Identities and the Homogenization of Peoples</w:t>
      </w:r>
      <w:r w:rsidRPr="00494ABB">
        <w:rPr>
          <w:rFonts w:ascii="Times" w:hAnsi="Times" w:cs="Helvetica"/>
          <w:sz w:val="24"/>
          <w:lang w:val="en-GB"/>
        </w:rPr>
        <w:t>. Cambridge; New York: Cambridge University Press.</w:t>
      </w:r>
    </w:p>
    <w:p w14:paraId="762EE772" w14:textId="77777777" w:rsidR="000769CB" w:rsidRPr="00494ABB" w:rsidRDefault="000769CB" w:rsidP="00340939">
      <w:pPr>
        <w:widowControl w:val="0"/>
        <w:autoSpaceDE w:val="0"/>
        <w:autoSpaceDN w:val="0"/>
        <w:adjustRightInd w:val="0"/>
        <w:jc w:val="both"/>
        <w:rPr>
          <w:rFonts w:cs="ArialMT"/>
          <w:sz w:val="24"/>
          <w:lang w:val="en-GB"/>
        </w:rPr>
      </w:pPr>
    </w:p>
    <w:p w14:paraId="0071FDA0" w14:textId="636732D6" w:rsidR="000769CB" w:rsidRPr="00494ABB" w:rsidRDefault="000769CB" w:rsidP="00340939">
      <w:pPr>
        <w:widowControl w:val="0"/>
        <w:autoSpaceDE w:val="0"/>
        <w:autoSpaceDN w:val="0"/>
        <w:adjustRightInd w:val="0"/>
        <w:jc w:val="both"/>
        <w:rPr>
          <w:rFonts w:cs="ArialMT"/>
          <w:sz w:val="24"/>
          <w:lang w:val="en-GB"/>
        </w:rPr>
      </w:pPr>
      <w:proofErr w:type="spellStart"/>
      <w:r w:rsidRPr="00494ABB">
        <w:rPr>
          <w:rFonts w:cs="ArialMT"/>
          <w:sz w:val="24"/>
          <w:lang w:val="en-GB"/>
        </w:rPr>
        <w:t>Rafiqul</w:t>
      </w:r>
      <w:proofErr w:type="spellEnd"/>
      <w:r w:rsidRPr="00494ABB">
        <w:rPr>
          <w:rFonts w:cs="ArialMT"/>
          <w:sz w:val="24"/>
          <w:lang w:val="en-GB"/>
        </w:rPr>
        <w:t xml:space="preserve"> Islam, M. (1985). Secessionist Self-determination: some lessons from Katanga, Biafra and Bangladesh. </w:t>
      </w:r>
      <w:r w:rsidRPr="00494ABB">
        <w:rPr>
          <w:rFonts w:cs="ArialMT"/>
          <w:i/>
          <w:sz w:val="24"/>
          <w:lang w:val="en-GB"/>
        </w:rPr>
        <w:t xml:space="preserve">Journal of Peace Research </w:t>
      </w:r>
      <w:r w:rsidRPr="00494ABB">
        <w:rPr>
          <w:rFonts w:cs="ArialMT"/>
          <w:sz w:val="24"/>
          <w:lang w:val="en-GB"/>
        </w:rPr>
        <w:t>(</w:t>
      </w:r>
      <w:proofErr w:type="gramStart"/>
      <w:r w:rsidRPr="00494ABB">
        <w:rPr>
          <w:rFonts w:cs="ArialMT"/>
          <w:sz w:val="24"/>
          <w:lang w:val="en-GB"/>
        </w:rPr>
        <w:t>22)3</w:t>
      </w:r>
      <w:proofErr w:type="gramEnd"/>
      <w:r w:rsidRPr="00494ABB">
        <w:rPr>
          <w:rFonts w:cs="ArialMT"/>
          <w:sz w:val="24"/>
          <w:lang w:val="en-GB"/>
        </w:rPr>
        <w:t>, 211-221.</w:t>
      </w:r>
    </w:p>
    <w:p w14:paraId="10A5A803" w14:textId="77777777" w:rsidR="00340939" w:rsidRPr="00494ABB" w:rsidRDefault="00340939" w:rsidP="00340939">
      <w:pPr>
        <w:widowControl w:val="0"/>
        <w:autoSpaceDE w:val="0"/>
        <w:autoSpaceDN w:val="0"/>
        <w:adjustRightInd w:val="0"/>
        <w:jc w:val="both"/>
        <w:rPr>
          <w:rFonts w:cs="ArialMT"/>
          <w:sz w:val="24"/>
          <w:lang w:val="en-GB"/>
        </w:rPr>
      </w:pPr>
    </w:p>
    <w:p w14:paraId="3E2B30E4" w14:textId="77777777" w:rsidR="00340939" w:rsidRPr="00494ABB" w:rsidRDefault="00340939" w:rsidP="00340939">
      <w:pPr>
        <w:widowControl w:val="0"/>
        <w:autoSpaceDE w:val="0"/>
        <w:autoSpaceDN w:val="0"/>
        <w:adjustRightInd w:val="0"/>
        <w:jc w:val="both"/>
        <w:rPr>
          <w:rFonts w:cs="ArialMT"/>
          <w:sz w:val="24"/>
          <w:lang w:val="en-GB"/>
        </w:rPr>
      </w:pPr>
      <w:proofErr w:type="spellStart"/>
      <w:r w:rsidRPr="00494ABB">
        <w:rPr>
          <w:rFonts w:cs="ArialMT"/>
          <w:sz w:val="24"/>
          <w:lang w:val="en-GB"/>
        </w:rPr>
        <w:t>Ragazzi</w:t>
      </w:r>
      <w:proofErr w:type="spellEnd"/>
      <w:r w:rsidRPr="00494ABB">
        <w:rPr>
          <w:rFonts w:cs="ArialMT"/>
          <w:sz w:val="24"/>
          <w:lang w:val="en-GB"/>
        </w:rPr>
        <w:t xml:space="preserve">, F. (2010). </w:t>
      </w:r>
      <w:r w:rsidRPr="00494ABB">
        <w:rPr>
          <w:rFonts w:cs="ArialMT"/>
          <w:i/>
          <w:iCs/>
          <w:sz w:val="24"/>
          <w:lang w:val="en-GB"/>
        </w:rPr>
        <w:t>When Governments say Diaspora Transnational Practices of Citizenship, Nationalism and Sovereignty in Croatia and Former Yugoslavia.</w:t>
      </w:r>
      <w:r w:rsidRPr="00494ABB">
        <w:rPr>
          <w:rFonts w:cs="ArialMT"/>
          <w:sz w:val="24"/>
          <w:lang w:val="en-GB"/>
        </w:rPr>
        <w:t xml:space="preserve"> Chicago, IL and Paris, France: </w:t>
      </w:r>
      <w:proofErr w:type="spellStart"/>
      <w:r w:rsidRPr="00494ABB">
        <w:rPr>
          <w:rFonts w:cs="ArialMT"/>
          <w:sz w:val="24"/>
          <w:lang w:val="en-GB"/>
        </w:rPr>
        <w:t>Northwestern</w:t>
      </w:r>
      <w:proofErr w:type="spellEnd"/>
      <w:r w:rsidRPr="00494ABB">
        <w:rPr>
          <w:rFonts w:cs="ArialMT"/>
          <w:sz w:val="24"/>
          <w:lang w:val="en-GB"/>
        </w:rPr>
        <w:t xml:space="preserve"> University and Sciences Po.</w:t>
      </w:r>
    </w:p>
    <w:p w14:paraId="19FF5E57" w14:textId="77777777" w:rsidR="00340939" w:rsidRPr="00494ABB" w:rsidRDefault="00340939" w:rsidP="00340939">
      <w:pPr>
        <w:widowControl w:val="0"/>
        <w:autoSpaceDE w:val="0"/>
        <w:autoSpaceDN w:val="0"/>
        <w:adjustRightInd w:val="0"/>
        <w:jc w:val="both"/>
        <w:rPr>
          <w:rFonts w:cs="ArialMT"/>
          <w:sz w:val="24"/>
          <w:lang w:val="en-GB"/>
        </w:rPr>
      </w:pPr>
    </w:p>
    <w:p w14:paraId="74D2FC54" w14:textId="77777777" w:rsidR="00340939" w:rsidRPr="00494ABB" w:rsidRDefault="00340939" w:rsidP="00340939">
      <w:pPr>
        <w:widowControl w:val="0"/>
        <w:autoSpaceDE w:val="0"/>
        <w:autoSpaceDN w:val="0"/>
        <w:adjustRightInd w:val="0"/>
        <w:jc w:val="both"/>
        <w:rPr>
          <w:rFonts w:cs="ArialMT"/>
          <w:sz w:val="24"/>
          <w:lang w:val="en-GB"/>
        </w:rPr>
      </w:pPr>
      <w:proofErr w:type="spellStart"/>
      <w:proofErr w:type="gramStart"/>
      <w:r w:rsidRPr="00494ABB">
        <w:rPr>
          <w:rFonts w:cs="ArialMT"/>
          <w:sz w:val="24"/>
          <w:lang w:val="en-GB"/>
        </w:rPr>
        <w:t>Ragazzi</w:t>
      </w:r>
      <w:proofErr w:type="spellEnd"/>
      <w:r w:rsidRPr="00494ABB">
        <w:rPr>
          <w:rFonts w:cs="ArialMT"/>
          <w:sz w:val="24"/>
          <w:lang w:val="en-GB"/>
        </w:rPr>
        <w:t xml:space="preserve">, F., </w:t>
      </w:r>
      <w:proofErr w:type="spellStart"/>
      <w:r w:rsidRPr="00494ABB">
        <w:rPr>
          <w:rFonts w:cs="ArialMT"/>
          <w:sz w:val="24"/>
          <w:lang w:val="en-GB"/>
        </w:rPr>
        <w:t>Štiks</w:t>
      </w:r>
      <w:proofErr w:type="spellEnd"/>
      <w:r w:rsidRPr="00494ABB">
        <w:rPr>
          <w:rFonts w:cs="ArialMT"/>
          <w:sz w:val="24"/>
          <w:lang w:val="en-GB"/>
        </w:rPr>
        <w:t>, I. (2010).</w:t>
      </w:r>
      <w:proofErr w:type="gramEnd"/>
      <w:r w:rsidRPr="00494ABB">
        <w:rPr>
          <w:rFonts w:cs="ArialMT"/>
          <w:sz w:val="24"/>
          <w:lang w:val="en-GB"/>
        </w:rPr>
        <w:t xml:space="preserve"> Country Report: Croatia. Florence, Italy: EUDO Citizenship Observatory.</w:t>
      </w:r>
    </w:p>
    <w:p w14:paraId="5D2722B7" w14:textId="77777777" w:rsidR="00340939" w:rsidRPr="00494ABB" w:rsidRDefault="00340939" w:rsidP="00340939">
      <w:pPr>
        <w:widowControl w:val="0"/>
        <w:autoSpaceDE w:val="0"/>
        <w:autoSpaceDN w:val="0"/>
        <w:adjustRightInd w:val="0"/>
        <w:jc w:val="both"/>
        <w:rPr>
          <w:rFonts w:cs="ArialMT"/>
          <w:sz w:val="24"/>
          <w:lang w:val="en-GB"/>
        </w:rPr>
      </w:pPr>
    </w:p>
    <w:p w14:paraId="416BBE97" w14:textId="77777777" w:rsidR="00340939" w:rsidRPr="00494ABB" w:rsidRDefault="00340939" w:rsidP="00340939">
      <w:pPr>
        <w:widowControl w:val="0"/>
        <w:autoSpaceDE w:val="0"/>
        <w:autoSpaceDN w:val="0"/>
        <w:adjustRightInd w:val="0"/>
        <w:jc w:val="both"/>
        <w:rPr>
          <w:rFonts w:cs="ArialMT"/>
          <w:sz w:val="24"/>
          <w:lang w:val="en-GB"/>
        </w:rPr>
      </w:pPr>
      <w:proofErr w:type="spellStart"/>
      <w:r w:rsidRPr="00494ABB">
        <w:rPr>
          <w:rFonts w:cs="ArialMT"/>
          <w:sz w:val="24"/>
          <w:lang w:val="en-GB"/>
        </w:rPr>
        <w:t>Ragazzi</w:t>
      </w:r>
      <w:proofErr w:type="spellEnd"/>
      <w:r w:rsidRPr="00494ABB">
        <w:rPr>
          <w:rFonts w:cs="ArialMT"/>
          <w:sz w:val="24"/>
          <w:lang w:val="en-GB"/>
        </w:rPr>
        <w:t xml:space="preserve">, M. (1992). Conference on Yugoslavia Arbitration Commission: Opinions on questions arising from the dissolution of Yugoslavia </w:t>
      </w:r>
      <w:r w:rsidRPr="00494ABB">
        <w:rPr>
          <w:rFonts w:cs="ArialMT"/>
          <w:i/>
          <w:iCs/>
          <w:sz w:val="24"/>
          <w:lang w:val="en-GB"/>
        </w:rPr>
        <w:t>International Legal Materials, American Society of International Law</w:t>
      </w:r>
      <w:r w:rsidRPr="00494ABB">
        <w:rPr>
          <w:rFonts w:cs="ArialMT"/>
          <w:sz w:val="24"/>
          <w:lang w:val="en-GB"/>
        </w:rPr>
        <w:t xml:space="preserve">, </w:t>
      </w:r>
      <w:r w:rsidRPr="00494ABB">
        <w:rPr>
          <w:rFonts w:cs="ArialMT"/>
          <w:i/>
          <w:iCs/>
          <w:sz w:val="24"/>
          <w:lang w:val="en-GB"/>
        </w:rPr>
        <w:t>31</w:t>
      </w:r>
      <w:r w:rsidRPr="00494ABB">
        <w:rPr>
          <w:rFonts w:cs="ArialMT"/>
          <w:sz w:val="24"/>
          <w:lang w:val="en-GB"/>
        </w:rPr>
        <w:t>(6), 1488–1526.</w:t>
      </w:r>
    </w:p>
    <w:p w14:paraId="5D7B8736" w14:textId="77777777" w:rsidR="00340939" w:rsidRPr="00494ABB" w:rsidRDefault="00340939" w:rsidP="00340939">
      <w:pPr>
        <w:widowControl w:val="0"/>
        <w:autoSpaceDE w:val="0"/>
        <w:autoSpaceDN w:val="0"/>
        <w:adjustRightInd w:val="0"/>
        <w:jc w:val="both"/>
        <w:rPr>
          <w:rFonts w:cs="ArialMT"/>
          <w:sz w:val="24"/>
          <w:lang w:val="en-GB"/>
        </w:rPr>
      </w:pPr>
    </w:p>
    <w:p w14:paraId="66FF1315" w14:textId="77777777" w:rsidR="00340939" w:rsidRPr="00494ABB" w:rsidRDefault="00340939" w:rsidP="00340939">
      <w:pPr>
        <w:widowControl w:val="0"/>
        <w:autoSpaceDE w:val="0"/>
        <w:autoSpaceDN w:val="0"/>
        <w:adjustRightInd w:val="0"/>
        <w:jc w:val="both"/>
        <w:rPr>
          <w:rFonts w:cs="ArialMT"/>
          <w:sz w:val="24"/>
          <w:lang w:val="en-GB"/>
        </w:rPr>
      </w:pPr>
      <w:proofErr w:type="spellStart"/>
      <w:proofErr w:type="gramStart"/>
      <w:r w:rsidRPr="00494ABB">
        <w:rPr>
          <w:rFonts w:cs="ArialMT"/>
          <w:sz w:val="24"/>
          <w:lang w:val="en-GB"/>
        </w:rPr>
        <w:t>Ramet</w:t>
      </w:r>
      <w:proofErr w:type="spellEnd"/>
      <w:r w:rsidRPr="00494ABB">
        <w:rPr>
          <w:rFonts w:cs="ArialMT"/>
          <w:sz w:val="24"/>
          <w:lang w:val="en-GB"/>
        </w:rPr>
        <w:t>, S. (2006).</w:t>
      </w:r>
      <w:proofErr w:type="gramEnd"/>
      <w:r w:rsidRPr="00494ABB">
        <w:rPr>
          <w:rFonts w:cs="ArialMT"/>
          <w:sz w:val="24"/>
          <w:lang w:val="en-GB"/>
        </w:rPr>
        <w:t xml:space="preserve"> </w:t>
      </w:r>
      <w:r w:rsidRPr="00494ABB">
        <w:rPr>
          <w:rFonts w:cs="ArialMT"/>
          <w:i/>
          <w:iCs/>
          <w:sz w:val="24"/>
          <w:lang w:val="en-GB"/>
        </w:rPr>
        <w:t xml:space="preserve">The Three </w:t>
      </w:r>
      <w:proofErr w:type="spellStart"/>
      <w:r w:rsidRPr="00494ABB">
        <w:rPr>
          <w:rFonts w:cs="ArialMT"/>
          <w:i/>
          <w:iCs/>
          <w:sz w:val="24"/>
          <w:lang w:val="en-GB"/>
        </w:rPr>
        <w:t>Yugoslavias</w:t>
      </w:r>
      <w:proofErr w:type="spellEnd"/>
      <w:r w:rsidRPr="00494ABB">
        <w:rPr>
          <w:rFonts w:cs="ArialMT"/>
          <w:i/>
          <w:iCs/>
          <w:sz w:val="24"/>
          <w:lang w:val="en-GB"/>
        </w:rPr>
        <w:t xml:space="preserve"> : </w:t>
      </w:r>
      <w:proofErr w:type="gramStart"/>
      <w:r w:rsidRPr="00494ABB">
        <w:rPr>
          <w:rFonts w:cs="ArialMT"/>
          <w:i/>
          <w:iCs/>
          <w:sz w:val="24"/>
          <w:lang w:val="en-GB"/>
        </w:rPr>
        <w:t>state-building</w:t>
      </w:r>
      <w:proofErr w:type="gramEnd"/>
      <w:r w:rsidRPr="00494ABB">
        <w:rPr>
          <w:rFonts w:cs="ArialMT"/>
          <w:i/>
          <w:iCs/>
          <w:sz w:val="24"/>
          <w:lang w:val="en-GB"/>
        </w:rPr>
        <w:t xml:space="preserve"> and legitimation, 1918-2005</w:t>
      </w:r>
      <w:r w:rsidRPr="00494ABB">
        <w:rPr>
          <w:rFonts w:cs="ArialMT"/>
          <w:sz w:val="24"/>
          <w:lang w:val="en-GB"/>
        </w:rPr>
        <w:t>. Bloomington, IN: Indiana University Press.</w:t>
      </w:r>
    </w:p>
    <w:p w14:paraId="628BFF1E" w14:textId="77777777" w:rsidR="00340939" w:rsidRPr="00494ABB" w:rsidRDefault="00340939" w:rsidP="00340939">
      <w:pPr>
        <w:widowControl w:val="0"/>
        <w:autoSpaceDE w:val="0"/>
        <w:autoSpaceDN w:val="0"/>
        <w:adjustRightInd w:val="0"/>
        <w:jc w:val="both"/>
        <w:rPr>
          <w:rFonts w:cs="ArialMT"/>
          <w:sz w:val="24"/>
          <w:lang w:val="en-GB"/>
        </w:rPr>
      </w:pPr>
    </w:p>
    <w:p w14:paraId="2FC710B8" w14:textId="77777777" w:rsidR="00340939" w:rsidRPr="00494ABB" w:rsidRDefault="00340939" w:rsidP="00340939">
      <w:pPr>
        <w:widowControl w:val="0"/>
        <w:autoSpaceDE w:val="0"/>
        <w:autoSpaceDN w:val="0"/>
        <w:adjustRightInd w:val="0"/>
        <w:jc w:val="both"/>
        <w:rPr>
          <w:rFonts w:cs="ArialMT"/>
          <w:sz w:val="24"/>
          <w:lang w:val="en-GB"/>
        </w:rPr>
      </w:pPr>
      <w:proofErr w:type="gramStart"/>
      <w:r w:rsidRPr="00494ABB">
        <w:rPr>
          <w:rFonts w:cs="ArialMT"/>
          <w:sz w:val="24"/>
          <w:lang w:val="en-GB"/>
        </w:rPr>
        <w:t>Ratner, S. (1996).</w:t>
      </w:r>
      <w:proofErr w:type="gramEnd"/>
      <w:r w:rsidRPr="00494ABB">
        <w:rPr>
          <w:rFonts w:cs="ArialMT"/>
          <w:sz w:val="24"/>
          <w:lang w:val="en-GB"/>
        </w:rPr>
        <w:t xml:space="preserve"> Drawing a Better Line: </w:t>
      </w:r>
      <w:proofErr w:type="spellStart"/>
      <w:r w:rsidRPr="00494ABB">
        <w:rPr>
          <w:rFonts w:cs="ArialMT"/>
          <w:sz w:val="24"/>
          <w:lang w:val="en-GB"/>
        </w:rPr>
        <w:t>Uti</w:t>
      </w:r>
      <w:proofErr w:type="spellEnd"/>
      <w:r w:rsidRPr="00494ABB">
        <w:rPr>
          <w:rFonts w:cs="ArialMT"/>
          <w:sz w:val="24"/>
          <w:lang w:val="en-GB"/>
        </w:rPr>
        <w:t xml:space="preserve"> </w:t>
      </w:r>
      <w:proofErr w:type="spellStart"/>
      <w:r w:rsidRPr="00494ABB">
        <w:rPr>
          <w:rFonts w:cs="ArialMT"/>
          <w:sz w:val="24"/>
          <w:lang w:val="en-GB"/>
        </w:rPr>
        <w:t>Possidetis</w:t>
      </w:r>
      <w:proofErr w:type="spellEnd"/>
      <w:r w:rsidRPr="00494ABB">
        <w:rPr>
          <w:rFonts w:cs="ArialMT"/>
          <w:sz w:val="24"/>
          <w:lang w:val="en-GB"/>
        </w:rPr>
        <w:t xml:space="preserve"> and the Borders of New States. </w:t>
      </w:r>
      <w:r w:rsidRPr="00494ABB">
        <w:rPr>
          <w:rFonts w:cs="ArialMT"/>
          <w:i/>
          <w:iCs/>
          <w:sz w:val="24"/>
          <w:lang w:val="en-GB"/>
        </w:rPr>
        <w:t>The American Journal of International Law</w:t>
      </w:r>
      <w:r w:rsidRPr="00494ABB">
        <w:rPr>
          <w:rFonts w:cs="ArialMT"/>
          <w:sz w:val="24"/>
          <w:lang w:val="en-GB"/>
        </w:rPr>
        <w:t xml:space="preserve">, </w:t>
      </w:r>
      <w:r w:rsidRPr="00494ABB">
        <w:rPr>
          <w:rFonts w:cs="ArialMT"/>
          <w:i/>
          <w:iCs/>
          <w:sz w:val="24"/>
          <w:lang w:val="en-GB"/>
        </w:rPr>
        <w:t>90</w:t>
      </w:r>
      <w:r w:rsidRPr="00494ABB">
        <w:rPr>
          <w:rFonts w:cs="ArialMT"/>
          <w:sz w:val="24"/>
          <w:lang w:val="en-GB"/>
        </w:rPr>
        <w:t>(4), 590–624.</w:t>
      </w:r>
    </w:p>
    <w:p w14:paraId="438E5DC1" w14:textId="77777777" w:rsidR="00165720" w:rsidRPr="00494ABB" w:rsidRDefault="00165720" w:rsidP="00340939">
      <w:pPr>
        <w:widowControl w:val="0"/>
        <w:autoSpaceDE w:val="0"/>
        <w:autoSpaceDN w:val="0"/>
        <w:adjustRightInd w:val="0"/>
        <w:jc w:val="both"/>
        <w:rPr>
          <w:rFonts w:cs="ArialMT"/>
          <w:sz w:val="24"/>
          <w:lang w:val="en-GB"/>
        </w:rPr>
      </w:pPr>
    </w:p>
    <w:p w14:paraId="47AF848A" w14:textId="309DE89B" w:rsidR="00165720" w:rsidRPr="00494ABB" w:rsidRDefault="00165720" w:rsidP="00340939">
      <w:pPr>
        <w:widowControl w:val="0"/>
        <w:autoSpaceDE w:val="0"/>
        <w:autoSpaceDN w:val="0"/>
        <w:adjustRightInd w:val="0"/>
        <w:jc w:val="both"/>
        <w:rPr>
          <w:rFonts w:cs="ArialMT"/>
          <w:sz w:val="24"/>
          <w:lang w:val="en-GB"/>
        </w:rPr>
      </w:pPr>
      <w:proofErr w:type="gramStart"/>
      <w:r w:rsidRPr="00494ABB">
        <w:rPr>
          <w:rFonts w:cs="ArialMT"/>
          <w:sz w:val="24"/>
          <w:lang w:val="en-GB"/>
        </w:rPr>
        <w:t>Reus-</w:t>
      </w:r>
      <w:proofErr w:type="spellStart"/>
      <w:r w:rsidRPr="00494ABB">
        <w:rPr>
          <w:rFonts w:cs="ArialMT"/>
          <w:sz w:val="24"/>
          <w:lang w:val="en-GB"/>
        </w:rPr>
        <w:t>Smit</w:t>
      </w:r>
      <w:proofErr w:type="spellEnd"/>
      <w:r w:rsidRPr="00494ABB">
        <w:rPr>
          <w:rFonts w:cs="ArialMT"/>
          <w:sz w:val="24"/>
          <w:lang w:val="en-GB"/>
        </w:rPr>
        <w:t>, C. (2013).</w:t>
      </w:r>
      <w:proofErr w:type="gramEnd"/>
      <w:r w:rsidRPr="00494ABB">
        <w:rPr>
          <w:rFonts w:cs="ArialMT"/>
          <w:sz w:val="24"/>
          <w:lang w:val="en-GB"/>
        </w:rPr>
        <w:t xml:space="preserve"> </w:t>
      </w:r>
      <w:r w:rsidR="00F56856" w:rsidRPr="00494ABB">
        <w:rPr>
          <w:rFonts w:ascii="Times" w:hAnsi="Times"/>
          <w:i/>
          <w:iCs/>
          <w:sz w:val="24"/>
          <w:lang w:val="en-GB"/>
        </w:rPr>
        <w:t>Individual Rights and the Making of the International System</w:t>
      </w:r>
      <w:r w:rsidR="00F56856" w:rsidRPr="00494ABB">
        <w:rPr>
          <w:rFonts w:ascii="Times" w:hAnsi="Times"/>
          <w:sz w:val="24"/>
          <w:lang w:val="en-GB"/>
        </w:rPr>
        <w:t>. Cambridge; New York: Cambridge University Press.</w:t>
      </w:r>
    </w:p>
    <w:p w14:paraId="02D92F20" w14:textId="77777777" w:rsidR="00340939" w:rsidRPr="00494ABB" w:rsidRDefault="00340939" w:rsidP="00340939">
      <w:pPr>
        <w:widowControl w:val="0"/>
        <w:autoSpaceDE w:val="0"/>
        <w:autoSpaceDN w:val="0"/>
        <w:adjustRightInd w:val="0"/>
        <w:jc w:val="both"/>
        <w:rPr>
          <w:rFonts w:cs="ArialMT"/>
          <w:sz w:val="24"/>
          <w:lang w:val="en-GB"/>
        </w:rPr>
      </w:pPr>
    </w:p>
    <w:p w14:paraId="60F18EA7" w14:textId="77777777" w:rsidR="00340939" w:rsidRPr="00494ABB" w:rsidRDefault="00340939" w:rsidP="00340939">
      <w:pPr>
        <w:widowControl w:val="0"/>
        <w:autoSpaceDE w:val="0"/>
        <w:autoSpaceDN w:val="0"/>
        <w:adjustRightInd w:val="0"/>
        <w:jc w:val="both"/>
        <w:rPr>
          <w:rFonts w:cs="ArialMT"/>
          <w:sz w:val="24"/>
          <w:lang w:val="en-GB"/>
        </w:rPr>
      </w:pPr>
      <w:proofErr w:type="gramStart"/>
      <w:r w:rsidRPr="00494ABB">
        <w:rPr>
          <w:rFonts w:cs="ArialMT"/>
          <w:sz w:val="24"/>
          <w:lang w:val="en-GB"/>
        </w:rPr>
        <w:t>Council of the League of Nations.</w:t>
      </w:r>
      <w:proofErr w:type="gramEnd"/>
      <w:r w:rsidRPr="00494ABB">
        <w:rPr>
          <w:rFonts w:cs="ArialMT"/>
          <w:sz w:val="24"/>
          <w:lang w:val="en-GB"/>
        </w:rPr>
        <w:t xml:space="preserve"> (1929). Report on the Protection of Minorities. Geneva, Switzerland: League of Nations Archives.</w:t>
      </w:r>
    </w:p>
    <w:p w14:paraId="2DFA8712" w14:textId="77777777" w:rsidR="00340939" w:rsidRPr="00494ABB" w:rsidRDefault="00340939" w:rsidP="00340939">
      <w:pPr>
        <w:widowControl w:val="0"/>
        <w:autoSpaceDE w:val="0"/>
        <w:autoSpaceDN w:val="0"/>
        <w:adjustRightInd w:val="0"/>
        <w:jc w:val="both"/>
        <w:rPr>
          <w:rFonts w:cs="ArialMT"/>
          <w:sz w:val="24"/>
          <w:lang w:val="en-GB"/>
        </w:rPr>
      </w:pPr>
    </w:p>
    <w:p w14:paraId="7F1C8551" w14:textId="77777777" w:rsidR="00340939" w:rsidRPr="00494ABB" w:rsidRDefault="00340939" w:rsidP="00340939">
      <w:pPr>
        <w:widowControl w:val="0"/>
        <w:autoSpaceDE w:val="0"/>
        <w:autoSpaceDN w:val="0"/>
        <w:adjustRightInd w:val="0"/>
        <w:jc w:val="both"/>
        <w:rPr>
          <w:rFonts w:cs="ArialMT"/>
          <w:sz w:val="24"/>
          <w:lang w:val="en-GB"/>
        </w:rPr>
      </w:pPr>
      <w:proofErr w:type="spellStart"/>
      <w:proofErr w:type="gramStart"/>
      <w:r w:rsidRPr="00494ABB">
        <w:rPr>
          <w:rFonts w:cs="ArialMT"/>
          <w:sz w:val="24"/>
          <w:lang w:val="en-GB"/>
        </w:rPr>
        <w:t>Sarajlić</w:t>
      </w:r>
      <w:proofErr w:type="spellEnd"/>
      <w:r w:rsidRPr="00494ABB">
        <w:rPr>
          <w:rFonts w:cs="ArialMT"/>
          <w:sz w:val="24"/>
          <w:lang w:val="en-GB"/>
        </w:rPr>
        <w:t>, E. (2012).</w:t>
      </w:r>
      <w:proofErr w:type="gramEnd"/>
      <w:r w:rsidRPr="00494ABB">
        <w:rPr>
          <w:rFonts w:cs="ArialMT"/>
          <w:sz w:val="24"/>
          <w:lang w:val="en-GB"/>
        </w:rPr>
        <w:t xml:space="preserve"> </w:t>
      </w:r>
      <w:proofErr w:type="gramStart"/>
      <w:r w:rsidRPr="00494ABB">
        <w:rPr>
          <w:rFonts w:cs="ArialMT"/>
          <w:sz w:val="24"/>
          <w:lang w:val="en-GB"/>
        </w:rPr>
        <w:t>Conceptualising Citizenship Regime(s) in Post-Dayton Bosnia and Herzegovina.</w:t>
      </w:r>
      <w:proofErr w:type="gramEnd"/>
      <w:r w:rsidRPr="00494ABB">
        <w:rPr>
          <w:rFonts w:cs="ArialMT"/>
          <w:sz w:val="24"/>
          <w:lang w:val="en-GB"/>
        </w:rPr>
        <w:t xml:space="preserve"> </w:t>
      </w:r>
      <w:proofErr w:type="gramStart"/>
      <w:r w:rsidRPr="00494ABB">
        <w:rPr>
          <w:rFonts w:cs="ArialMT"/>
          <w:i/>
          <w:sz w:val="24"/>
          <w:lang w:val="en-GB"/>
        </w:rPr>
        <w:t xml:space="preserve">Citizenship Studies, </w:t>
      </w:r>
      <w:r w:rsidRPr="00494ABB">
        <w:rPr>
          <w:rFonts w:cs="ArialMT"/>
          <w:sz w:val="24"/>
          <w:lang w:val="en-GB"/>
        </w:rPr>
        <w:t>16 (3-4), 367-381.</w:t>
      </w:r>
      <w:proofErr w:type="gramEnd"/>
    </w:p>
    <w:p w14:paraId="04337515" w14:textId="77777777" w:rsidR="00340939" w:rsidRPr="00494ABB" w:rsidRDefault="00340939" w:rsidP="00340939">
      <w:pPr>
        <w:widowControl w:val="0"/>
        <w:autoSpaceDE w:val="0"/>
        <w:autoSpaceDN w:val="0"/>
        <w:adjustRightInd w:val="0"/>
        <w:jc w:val="both"/>
        <w:rPr>
          <w:rFonts w:cs="ArialMT"/>
          <w:sz w:val="24"/>
          <w:lang w:val="en-GB"/>
        </w:rPr>
      </w:pPr>
    </w:p>
    <w:p w14:paraId="451F5576" w14:textId="77777777" w:rsidR="00340939" w:rsidRPr="00494ABB" w:rsidRDefault="00340939" w:rsidP="00340939">
      <w:pPr>
        <w:widowControl w:val="0"/>
        <w:autoSpaceDE w:val="0"/>
        <w:autoSpaceDN w:val="0"/>
        <w:adjustRightInd w:val="0"/>
        <w:jc w:val="both"/>
        <w:rPr>
          <w:rFonts w:cs="ArialMT"/>
          <w:sz w:val="24"/>
          <w:lang w:val="en-GB"/>
        </w:rPr>
      </w:pPr>
      <w:proofErr w:type="spellStart"/>
      <w:proofErr w:type="gramStart"/>
      <w:r w:rsidRPr="00494ABB">
        <w:rPr>
          <w:rFonts w:cs="ArialMT"/>
          <w:sz w:val="24"/>
          <w:lang w:val="en-GB"/>
        </w:rPr>
        <w:t>Štiks</w:t>
      </w:r>
      <w:proofErr w:type="spellEnd"/>
      <w:r w:rsidRPr="00494ABB">
        <w:rPr>
          <w:rFonts w:cs="ArialMT"/>
          <w:sz w:val="24"/>
          <w:lang w:val="en-GB"/>
        </w:rPr>
        <w:t>, I. (2009).</w:t>
      </w:r>
      <w:proofErr w:type="gramEnd"/>
      <w:r w:rsidRPr="00494ABB">
        <w:rPr>
          <w:rFonts w:cs="ArialMT"/>
          <w:sz w:val="24"/>
          <w:lang w:val="en-GB"/>
        </w:rPr>
        <w:t xml:space="preserve"> </w:t>
      </w:r>
      <w:r w:rsidRPr="00494ABB">
        <w:rPr>
          <w:rFonts w:cs="ArialMT"/>
          <w:i/>
          <w:iCs/>
          <w:sz w:val="24"/>
          <w:lang w:val="en-GB"/>
        </w:rPr>
        <w:t>A Laboratory of Citizenship: Nations and citizenship in the former Yugoslavia and its successor states.</w:t>
      </w:r>
      <w:r w:rsidRPr="00494ABB">
        <w:rPr>
          <w:rFonts w:cs="ArialMT"/>
          <w:sz w:val="24"/>
          <w:lang w:val="en-GB"/>
        </w:rPr>
        <w:t xml:space="preserve"> Chicago, IL and Paris, France: </w:t>
      </w:r>
      <w:proofErr w:type="spellStart"/>
      <w:r w:rsidRPr="00494ABB">
        <w:rPr>
          <w:rFonts w:cs="ArialMT"/>
          <w:sz w:val="24"/>
          <w:lang w:val="en-GB"/>
        </w:rPr>
        <w:t>Northwestern</w:t>
      </w:r>
      <w:proofErr w:type="spellEnd"/>
      <w:r w:rsidRPr="00494ABB">
        <w:rPr>
          <w:rFonts w:cs="ArialMT"/>
          <w:sz w:val="24"/>
          <w:lang w:val="en-GB"/>
        </w:rPr>
        <w:t xml:space="preserve"> University and Sciences Po.</w:t>
      </w:r>
    </w:p>
    <w:p w14:paraId="5E1E577F" w14:textId="77777777" w:rsidR="00340939" w:rsidRPr="00494ABB" w:rsidRDefault="00340939" w:rsidP="00340939">
      <w:pPr>
        <w:widowControl w:val="0"/>
        <w:autoSpaceDE w:val="0"/>
        <w:autoSpaceDN w:val="0"/>
        <w:adjustRightInd w:val="0"/>
        <w:jc w:val="both"/>
        <w:rPr>
          <w:rFonts w:cs="ArialMT"/>
          <w:sz w:val="24"/>
          <w:lang w:val="en-GB"/>
        </w:rPr>
      </w:pPr>
    </w:p>
    <w:p w14:paraId="4D0F95DA" w14:textId="77777777" w:rsidR="00340939" w:rsidRDefault="00340939" w:rsidP="00340939">
      <w:pPr>
        <w:widowControl w:val="0"/>
        <w:autoSpaceDE w:val="0"/>
        <w:autoSpaceDN w:val="0"/>
        <w:adjustRightInd w:val="0"/>
        <w:jc w:val="both"/>
        <w:rPr>
          <w:rFonts w:cs="ArialMT"/>
          <w:sz w:val="24"/>
          <w:lang w:val="en-GB"/>
        </w:rPr>
      </w:pPr>
      <w:proofErr w:type="spellStart"/>
      <w:r w:rsidRPr="00494ABB">
        <w:rPr>
          <w:rFonts w:cs="ArialMT"/>
          <w:sz w:val="24"/>
          <w:lang w:val="en-GB"/>
        </w:rPr>
        <w:t>Stivachtis</w:t>
      </w:r>
      <w:proofErr w:type="spellEnd"/>
      <w:r w:rsidRPr="00494ABB">
        <w:rPr>
          <w:rFonts w:cs="ArialMT"/>
          <w:sz w:val="24"/>
          <w:lang w:val="en-GB"/>
        </w:rPr>
        <w:t xml:space="preserve">, Y. A. (2008). Civilization and International Society: the case of European Union expansion. </w:t>
      </w:r>
      <w:r w:rsidRPr="00494ABB">
        <w:rPr>
          <w:rFonts w:cs="ArialMT"/>
          <w:i/>
          <w:iCs/>
          <w:sz w:val="24"/>
          <w:lang w:val="en-GB"/>
        </w:rPr>
        <w:t>Contemporary Politics</w:t>
      </w:r>
      <w:r w:rsidRPr="00494ABB">
        <w:rPr>
          <w:rFonts w:cs="ArialMT"/>
          <w:sz w:val="24"/>
          <w:lang w:val="en-GB"/>
        </w:rPr>
        <w:t xml:space="preserve">, </w:t>
      </w:r>
      <w:r w:rsidRPr="00494ABB">
        <w:rPr>
          <w:rFonts w:cs="ArialMT"/>
          <w:i/>
          <w:iCs/>
          <w:sz w:val="24"/>
          <w:lang w:val="en-GB"/>
        </w:rPr>
        <w:t>14</w:t>
      </w:r>
      <w:r w:rsidRPr="00494ABB">
        <w:rPr>
          <w:rFonts w:cs="ArialMT"/>
          <w:sz w:val="24"/>
          <w:lang w:val="en-GB"/>
        </w:rPr>
        <w:t>(1), 71–89.</w:t>
      </w:r>
    </w:p>
    <w:p w14:paraId="02834B60" w14:textId="77777777" w:rsidR="007E41FF" w:rsidRDefault="007E41FF" w:rsidP="00340939">
      <w:pPr>
        <w:widowControl w:val="0"/>
        <w:autoSpaceDE w:val="0"/>
        <w:autoSpaceDN w:val="0"/>
        <w:adjustRightInd w:val="0"/>
        <w:jc w:val="both"/>
        <w:rPr>
          <w:rFonts w:cs="ArialMT"/>
          <w:sz w:val="24"/>
          <w:lang w:val="en-GB"/>
        </w:rPr>
      </w:pPr>
    </w:p>
    <w:p w14:paraId="01EF6264" w14:textId="4E8A94AD" w:rsidR="007E41FF" w:rsidRPr="007E41FF" w:rsidRDefault="007E41FF" w:rsidP="00340939">
      <w:pPr>
        <w:widowControl w:val="0"/>
        <w:autoSpaceDE w:val="0"/>
        <w:autoSpaceDN w:val="0"/>
        <w:adjustRightInd w:val="0"/>
        <w:jc w:val="both"/>
        <w:rPr>
          <w:rFonts w:cs="ArialMT"/>
          <w:sz w:val="24"/>
          <w:lang w:val="en-GB"/>
        </w:rPr>
      </w:pPr>
      <w:proofErr w:type="spellStart"/>
      <w:r>
        <w:rPr>
          <w:rFonts w:cs="ArialMT"/>
          <w:sz w:val="24"/>
          <w:lang w:val="en-GB"/>
        </w:rPr>
        <w:t>Stjepanović</w:t>
      </w:r>
      <w:proofErr w:type="spellEnd"/>
      <w:r>
        <w:rPr>
          <w:rFonts w:cs="ArialMT"/>
          <w:sz w:val="24"/>
          <w:lang w:val="en-GB"/>
        </w:rPr>
        <w:t xml:space="preserve">, D., Tierney, S. (2019). Constitutive Referendums and Regional Citizenship. </w:t>
      </w:r>
      <w:proofErr w:type="spellStart"/>
      <w:proofErr w:type="gramStart"/>
      <w:r>
        <w:rPr>
          <w:rFonts w:cs="ArialMT"/>
          <w:i/>
          <w:sz w:val="24"/>
          <w:lang w:val="en-GB"/>
        </w:rPr>
        <w:t>Ethnopolitics</w:t>
      </w:r>
      <w:proofErr w:type="spellEnd"/>
      <w:r>
        <w:rPr>
          <w:rFonts w:cs="ArialMT"/>
          <w:sz w:val="24"/>
          <w:lang w:val="en-GB"/>
        </w:rPr>
        <w:t>, this issue.</w:t>
      </w:r>
      <w:proofErr w:type="gramEnd"/>
    </w:p>
    <w:p w14:paraId="69F4A98E" w14:textId="77777777" w:rsidR="00340939" w:rsidRPr="00494ABB" w:rsidRDefault="00340939" w:rsidP="00340939">
      <w:pPr>
        <w:widowControl w:val="0"/>
        <w:autoSpaceDE w:val="0"/>
        <w:autoSpaceDN w:val="0"/>
        <w:adjustRightInd w:val="0"/>
        <w:jc w:val="both"/>
        <w:rPr>
          <w:rFonts w:cs="ArialMT"/>
          <w:sz w:val="24"/>
          <w:lang w:val="en-GB"/>
        </w:rPr>
      </w:pPr>
    </w:p>
    <w:p w14:paraId="6A1992DC" w14:textId="77777777" w:rsidR="00340939" w:rsidRPr="00494ABB" w:rsidRDefault="00340939" w:rsidP="00340939">
      <w:pPr>
        <w:widowControl w:val="0"/>
        <w:autoSpaceDE w:val="0"/>
        <w:autoSpaceDN w:val="0"/>
        <w:adjustRightInd w:val="0"/>
        <w:jc w:val="both"/>
        <w:rPr>
          <w:rFonts w:cs="ArialMT"/>
          <w:sz w:val="24"/>
          <w:lang w:val="en-GB"/>
        </w:rPr>
      </w:pPr>
      <w:proofErr w:type="spellStart"/>
      <w:proofErr w:type="gramStart"/>
      <w:r w:rsidRPr="00494ABB">
        <w:rPr>
          <w:rFonts w:cs="ArialMT"/>
          <w:sz w:val="24"/>
          <w:lang w:val="en-GB"/>
        </w:rPr>
        <w:t>Stojanović</w:t>
      </w:r>
      <w:proofErr w:type="spellEnd"/>
      <w:r w:rsidRPr="00494ABB">
        <w:rPr>
          <w:rFonts w:cs="ArialMT"/>
          <w:sz w:val="24"/>
          <w:lang w:val="en-GB"/>
        </w:rPr>
        <w:t>, N. (2018).</w:t>
      </w:r>
      <w:proofErr w:type="gramEnd"/>
      <w:r w:rsidRPr="00494ABB">
        <w:rPr>
          <w:rFonts w:cs="ArialMT"/>
          <w:sz w:val="24"/>
          <w:lang w:val="en-GB"/>
        </w:rPr>
        <w:t xml:space="preserve"> </w:t>
      </w:r>
      <w:proofErr w:type="gramStart"/>
      <w:r w:rsidRPr="00494ABB">
        <w:rPr>
          <w:rFonts w:cs="ArialMT"/>
          <w:sz w:val="24"/>
          <w:lang w:val="en-GB"/>
        </w:rPr>
        <w:t xml:space="preserve">Political Marginalisation of ‘Others’ in </w:t>
      </w:r>
      <w:proofErr w:type="spellStart"/>
      <w:r w:rsidRPr="00494ABB">
        <w:rPr>
          <w:rFonts w:cs="ArialMT"/>
          <w:sz w:val="24"/>
          <w:lang w:val="en-GB"/>
        </w:rPr>
        <w:t>Consociational</w:t>
      </w:r>
      <w:proofErr w:type="spellEnd"/>
      <w:r w:rsidRPr="00494ABB">
        <w:rPr>
          <w:rFonts w:cs="ArialMT"/>
          <w:sz w:val="24"/>
          <w:lang w:val="en-GB"/>
        </w:rPr>
        <w:t xml:space="preserve"> Regimes.</w:t>
      </w:r>
      <w:proofErr w:type="gramEnd"/>
      <w:r w:rsidRPr="00494ABB">
        <w:rPr>
          <w:rFonts w:cs="ArialMT"/>
          <w:sz w:val="24"/>
          <w:lang w:val="en-GB"/>
        </w:rPr>
        <w:t xml:space="preserve"> </w:t>
      </w:r>
      <w:r w:rsidRPr="00494ABB">
        <w:rPr>
          <w:rFonts w:cs="ArialMT"/>
          <w:i/>
          <w:sz w:val="24"/>
          <w:lang w:val="en-GB"/>
        </w:rPr>
        <w:t>Comparative Governance and Politics</w:t>
      </w:r>
      <w:r w:rsidRPr="00494ABB">
        <w:rPr>
          <w:rFonts w:cs="ArialMT"/>
          <w:sz w:val="24"/>
          <w:lang w:val="en-GB"/>
        </w:rPr>
        <w:t xml:space="preserve">. Early View. </w:t>
      </w:r>
      <w:proofErr w:type="spellStart"/>
      <w:r w:rsidRPr="00494ABB">
        <w:rPr>
          <w:rFonts w:cs="ArialMT"/>
          <w:sz w:val="24"/>
          <w:lang w:val="en-GB"/>
        </w:rPr>
        <w:t>Doi</w:t>
      </w:r>
      <w:proofErr w:type="spellEnd"/>
      <w:r w:rsidRPr="00494ABB">
        <w:rPr>
          <w:rFonts w:cs="ArialMT"/>
          <w:sz w:val="24"/>
          <w:lang w:val="en-GB"/>
        </w:rPr>
        <w:t xml:space="preserve"> </w:t>
      </w:r>
      <w:hyperlink r:id="rId8" w:history="1">
        <w:r w:rsidRPr="00494ABB">
          <w:rPr>
            <w:rStyle w:val="Hyperlink"/>
            <w:rFonts w:cs="ArialMT"/>
            <w:sz w:val="24"/>
            <w:lang w:val="en-GB"/>
          </w:rPr>
          <w:t>http://doi.org/10.007s12286-017-0375-4</w:t>
        </w:r>
      </w:hyperlink>
    </w:p>
    <w:p w14:paraId="7223FFCC" w14:textId="77777777" w:rsidR="00340939" w:rsidRPr="00494ABB" w:rsidRDefault="00340939" w:rsidP="00340939">
      <w:pPr>
        <w:widowControl w:val="0"/>
        <w:autoSpaceDE w:val="0"/>
        <w:autoSpaceDN w:val="0"/>
        <w:adjustRightInd w:val="0"/>
        <w:jc w:val="both"/>
        <w:rPr>
          <w:rFonts w:cs="ArialMT"/>
          <w:sz w:val="24"/>
          <w:lang w:val="en-GB"/>
        </w:rPr>
      </w:pPr>
    </w:p>
    <w:p w14:paraId="6A193B4E" w14:textId="77777777" w:rsidR="00340939" w:rsidRPr="00494ABB" w:rsidRDefault="00340939" w:rsidP="00340939">
      <w:pPr>
        <w:widowControl w:val="0"/>
        <w:autoSpaceDE w:val="0"/>
        <w:autoSpaceDN w:val="0"/>
        <w:adjustRightInd w:val="0"/>
        <w:jc w:val="both"/>
        <w:rPr>
          <w:rFonts w:cs="ArialMT"/>
          <w:sz w:val="24"/>
          <w:lang w:val="en-GB"/>
        </w:rPr>
      </w:pPr>
      <w:r w:rsidRPr="00494ABB">
        <w:rPr>
          <w:rFonts w:ascii="Times" w:hAnsi="Times" w:cs="ArialMT"/>
          <w:lang w:val="en-GB"/>
        </w:rPr>
        <w:t xml:space="preserve">Tams, C. and Fitzmaurice, M. </w:t>
      </w:r>
      <w:proofErr w:type="gramStart"/>
      <w:r w:rsidRPr="00494ABB">
        <w:rPr>
          <w:rFonts w:ascii="Times" w:hAnsi="Times" w:cs="ArialMT"/>
          <w:lang w:val="en-GB"/>
        </w:rPr>
        <w:t>eds</w:t>
      </w:r>
      <w:proofErr w:type="gramEnd"/>
      <w:r w:rsidRPr="00494ABB">
        <w:rPr>
          <w:rFonts w:ascii="Times" w:hAnsi="Times" w:cs="ArialMT"/>
          <w:lang w:val="en-GB"/>
        </w:rPr>
        <w:t xml:space="preserve">. (2013). </w:t>
      </w:r>
      <w:r w:rsidRPr="00494ABB">
        <w:rPr>
          <w:rFonts w:ascii="Times" w:hAnsi="Times" w:cs="ArialMT"/>
          <w:i/>
          <w:iCs/>
          <w:lang w:val="en-GB"/>
        </w:rPr>
        <w:t>Legacies of the Permanent Court of International Justice</w:t>
      </w:r>
      <w:r w:rsidRPr="00494ABB">
        <w:rPr>
          <w:rFonts w:ascii="Times" w:hAnsi="Times" w:cs="ArialMT"/>
          <w:lang w:val="en-GB"/>
        </w:rPr>
        <w:t xml:space="preserve">, Leiden and Boston: </w:t>
      </w:r>
      <w:proofErr w:type="spellStart"/>
      <w:r w:rsidRPr="00494ABB">
        <w:rPr>
          <w:rFonts w:ascii="Times" w:hAnsi="Times" w:cs="ArialMT"/>
          <w:lang w:val="en-GB"/>
        </w:rPr>
        <w:t>Martinus</w:t>
      </w:r>
      <w:proofErr w:type="spellEnd"/>
      <w:r w:rsidRPr="00494ABB">
        <w:rPr>
          <w:rFonts w:ascii="Times" w:hAnsi="Times" w:cs="ArialMT"/>
          <w:lang w:val="en-GB"/>
        </w:rPr>
        <w:t xml:space="preserve"> </w:t>
      </w:r>
      <w:proofErr w:type="spellStart"/>
      <w:r w:rsidRPr="00494ABB">
        <w:rPr>
          <w:rFonts w:ascii="Times" w:hAnsi="Times" w:cs="ArialMT"/>
          <w:lang w:val="en-GB"/>
        </w:rPr>
        <w:t>Nijhoff</w:t>
      </w:r>
      <w:proofErr w:type="spellEnd"/>
      <w:r w:rsidRPr="00494ABB">
        <w:rPr>
          <w:rFonts w:ascii="Times" w:hAnsi="Times" w:cs="ArialMT"/>
          <w:lang w:val="en-GB"/>
        </w:rPr>
        <w:t xml:space="preserve"> Publishers.</w:t>
      </w:r>
    </w:p>
    <w:p w14:paraId="65050576" w14:textId="77777777" w:rsidR="00340939" w:rsidRPr="00494ABB" w:rsidRDefault="00340939" w:rsidP="00340939">
      <w:pPr>
        <w:widowControl w:val="0"/>
        <w:autoSpaceDE w:val="0"/>
        <w:autoSpaceDN w:val="0"/>
        <w:adjustRightInd w:val="0"/>
        <w:jc w:val="both"/>
        <w:rPr>
          <w:rFonts w:cs="ArialMT"/>
          <w:sz w:val="24"/>
          <w:lang w:val="en-GB"/>
        </w:rPr>
      </w:pPr>
    </w:p>
    <w:p w14:paraId="0CAF6FD0" w14:textId="77777777" w:rsidR="00340939" w:rsidRPr="00494ABB" w:rsidRDefault="00340939" w:rsidP="00340939">
      <w:pPr>
        <w:widowControl w:val="0"/>
        <w:autoSpaceDE w:val="0"/>
        <w:autoSpaceDN w:val="0"/>
        <w:adjustRightInd w:val="0"/>
        <w:jc w:val="both"/>
        <w:rPr>
          <w:rFonts w:cs="ArialMT"/>
          <w:sz w:val="24"/>
          <w:lang w:val="en-GB"/>
        </w:rPr>
      </w:pPr>
      <w:proofErr w:type="spellStart"/>
      <w:r w:rsidRPr="00494ABB">
        <w:rPr>
          <w:rFonts w:cs="ArialMT"/>
          <w:sz w:val="24"/>
          <w:lang w:val="en-GB"/>
        </w:rPr>
        <w:t>Trauner</w:t>
      </w:r>
      <w:proofErr w:type="spellEnd"/>
      <w:r w:rsidRPr="00494ABB">
        <w:rPr>
          <w:rFonts w:cs="ArialMT"/>
          <w:sz w:val="24"/>
          <w:lang w:val="en-GB"/>
        </w:rPr>
        <w:t xml:space="preserve">, F. (2011). </w:t>
      </w:r>
      <w:r w:rsidRPr="00494ABB">
        <w:rPr>
          <w:rFonts w:cs="ArialMT"/>
          <w:i/>
          <w:iCs/>
          <w:sz w:val="24"/>
          <w:lang w:val="en-GB"/>
        </w:rPr>
        <w:t xml:space="preserve">The </w:t>
      </w:r>
      <w:proofErr w:type="spellStart"/>
      <w:r w:rsidRPr="00494ABB">
        <w:rPr>
          <w:rFonts w:cs="ArialMT"/>
          <w:i/>
          <w:iCs/>
          <w:sz w:val="24"/>
          <w:lang w:val="en-GB"/>
        </w:rPr>
        <w:t>Europeanisation</w:t>
      </w:r>
      <w:proofErr w:type="spellEnd"/>
      <w:r w:rsidRPr="00494ABB">
        <w:rPr>
          <w:rFonts w:cs="ArialMT"/>
          <w:i/>
          <w:iCs/>
          <w:sz w:val="24"/>
          <w:lang w:val="en-GB"/>
        </w:rPr>
        <w:t xml:space="preserve"> of the Western Balkans : EU justice and home affairs in Croatia and Macedonia</w:t>
      </w:r>
      <w:r w:rsidRPr="00494ABB">
        <w:rPr>
          <w:rFonts w:cs="ArialMT"/>
          <w:sz w:val="24"/>
          <w:lang w:val="en-GB"/>
        </w:rPr>
        <w:t>. Manchester, UK and New York, NY: Manchester University Press.</w:t>
      </w:r>
    </w:p>
    <w:p w14:paraId="41614046" w14:textId="77777777" w:rsidR="00340939" w:rsidRPr="00494ABB" w:rsidRDefault="00340939" w:rsidP="00340939">
      <w:pPr>
        <w:widowControl w:val="0"/>
        <w:autoSpaceDE w:val="0"/>
        <w:autoSpaceDN w:val="0"/>
        <w:adjustRightInd w:val="0"/>
        <w:jc w:val="both"/>
        <w:rPr>
          <w:rFonts w:cs="ArialMT"/>
          <w:sz w:val="24"/>
          <w:lang w:val="en-GB"/>
        </w:rPr>
      </w:pPr>
    </w:p>
    <w:p w14:paraId="4AEBA2BB" w14:textId="77777777" w:rsidR="00340939" w:rsidRPr="00494ABB" w:rsidRDefault="00340939" w:rsidP="00340939">
      <w:pPr>
        <w:widowControl w:val="0"/>
        <w:autoSpaceDE w:val="0"/>
        <w:autoSpaceDN w:val="0"/>
        <w:adjustRightInd w:val="0"/>
        <w:jc w:val="both"/>
        <w:rPr>
          <w:rFonts w:cs="ArialMT"/>
          <w:sz w:val="24"/>
          <w:lang w:val="en-GB"/>
        </w:rPr>
      </w:pPr>
      <w:r w:rsidRPr="00494ABB">
        <w:rPr>
          <w:rFonts w:cs="ArialMT"/>
          <w:sz w:val="24"/>
          <w:lang w:val="en-GB"/>
        </w:rPr>
        <w:t xml:space="preserve">Walker, RBJ. (1993). </w:t>
      </w:r>
      <w:r w:rsidRPr="00494ABB">
        <w:rPr>
          <w:rFonts w:cs="ArialMT"/>
          <w:i/>
          <w:sz w:val="24"/>
          <w:lang w:val="en-GB"/>
        </w:rPr>
        <w:t>Inside Outside: International Relations as Political Theory</w:t>
      </w:r>
      <w:r w:rsidRPr="00494ABB">
        <w:rPr>
          <w:rFonts w:cs="ArialMT"/>
          <w:sz w:val="24"/>
          <w:lang w:val="en-GB"/>
        </w:rPr>
        <w:t>. Cambridge, UK; New York, USA: Cambridge University Press.</w:t>
      </w:r>
    </w:p>
    <w:p w14:paraId="4CCECFF3" w14:textId="77777777" w:rsidR="00340939" w:rsidRPr="00494ABB" w:rsidRDefault="00340939" w:rsidP="00340939">
      <w:pPr>
        <w:widowControl w:val="0"/>
        <w:autoSpaceDE w:val="0"/>
        <w:autoSpaceDN w:val="0"/>
        <w:adjustRightInd w:val="0"/>
        <w:jc w:val="both"/>
        <w:rPr>
          <w:rFonts w:cs="ArialMT"/>
          <w:sz w:val="24"/>
          <w:lang w:val="en-GB"/>
        </w:rPr>
      </w:pPr>
    </w:p>
    <w:p w14:paraId="350C8C52" w14:textId="77777777" w:rsidR="00340939" w:rsidRPr="00494ABB" w:rsidRDefault="00340939" w:rsidP="00340939">
      <w:pPr>
        <w:widowControl w:val="0"/>
        <w:autoSpaceDE w:val="0"/>
        <w:autoSpaceDN w:val="0"/>
        <w:adjustRightInd w:val="0"/>
        <w:jc w:val="both"/>
        <w:rPr>
          <w:rFonts w:cs="ArialMT"/>
          <w:sz w:val="24"/>
          <w:lang w:val="en-GB"/>
        </w:rPr>
      </w:pPr>
      <w:proofErr w:type="spellStart"/>
      <w:proofErr w:type="gramStart"/>
      <w:r w:rsidRPr="00494ABB">
        <w:rPr>
          <w:rFonts w:cs="ArialMT"/>
          <w:sz w:val="24"/>
          <w:lang w:val="en-GB"/>
        </w:rPr>
        <w:t>Weitz</w:t>
      </w:r>
      <w:proofErr w:type="spellEnd"/>
      <w:r w:rsidRPr="00494ABB">
        <w:rPr>
          <w:rFonts w:cs="ArialMT"/>
          <w:sz w:val="24"/>
          <w:lang w:val="en-GB"/>
        </w:rPr>
        <w:t>, E. (2008).</w:t>
      </w:r>
      <w:proofErr w:type="gramEnd"/>
      <w:r w:rsidRPr="00494ABB">
        <w:rPr>
          <w:rFonts w:cs="ArialMT"/>
          <w:sz w:val="24"/>
          <w:lang w:val="en-GB"/>
        </w:rPr>
        <w:t xml:space="preserve"> From the Vienna to the Paris System: International Politics and the Entangled Histories of Human Rights, Forced Deportations, and Civilizing Missions. </w:t>
      </w:r>
      <w:r w:rsidRPr="00494ABB">
        <w:rPr>
          <w:rFonts w:cs="ArialMT"/>
          <w:i/>
          <w:iCs/>
          <w:sz w:val="24"/>
          <w:lang w:val="en-GB"/>
        </w:rPr>
        <w:t>The American Historical Review</w:t>
      </w:r>
      <w:r w:rsidRPr="00494ABB">
        <w:rPr>
          <w:rFonts w:cs="ArialMT"/>
          <w:sz w:val="24"/>
          <w:lang w:val="en-GB"/>
        </w:rPr>
        <w:t xml:space="preserve">, </w:t>
      </w:r>
      <w:r w:rsidRPr="00494ABB">
        <w:rPr>
          <w:rFonts w:cs="ArialMT"/>
          <w:i/>
          <w:iCs/>
          <w:sz w:val="24"/>
          <w:lang w:val="en-GB"/>
        </w:rPr>
        <w:t>113</w:t>
      </w:r>
      <w:r w:rsidRPr="00494ABB">
        <w:rPr>
          <w:rFonts w:cs="ArialMT"/>
          <w:sz w:val="24"/>
          <w:lang w:val="en-GB"/>
        </w:rPr>
        <w:t>(5), 1313–1343.</w:t>
      </w:r>
    </w:p>
    <w:p w14:paraId="3D7006F9" w14:textId="77777777" w:rsidR="00340939" w:rsidRPr="00494ABB" w:rsidRDefault="00340939" w:rsidP="00340939">
      <w:pPr>
        <w:widowControl w:val="0"/>
        <w:autoSpaceDE w:val="0"/>
        <w:autoSpaceDN w:val="0"/>
        <w:adjustRightInd w:val="0"/>
        <w:jc w:val="both"/>
        <w:rPr>
          <w:rFonts w:cs="ArialMT"/>
          <w:sz w:val="24"/>
          <w:lang w:val="en-GB"/>
        </w:rPr>
      </w:pPr>
    </w:p>
    <w:p w14:paraId="0DC8487D" w14:textId="77777777" w:rsidR="00340939" w:rsidRPr="00494ABB" w:rsidRDefault="00340939" w:rsidP="00340939">
      <w:pPr>
        <w:widowControl w:val="0"/>
        <w:autoSpaceDE w:val="0"/>
        <w:autoSpaceDN w:val="0"/>
        <w:adjustRightInd w:val="0"/>
        <w:jc w:val="both"/>
        <w:rPr>
          <w:rFonts w:cs="ArialMT"/>
          <w:sz w:val="24"/>
          <w:lang w:val="en-GB"/>
        </w:rPr>
      </w:pPr>
      <w:r w:rsidRPr="00494ABB">
        <w:rPr>
          <w:rFonts w:cs="ArialMT"/>
          <w:sz w:val="24"/>
          <w:lang w:val="en-GB"/>
        </w:rPr>
        <w:t xml:space="preserve">Weller, M. (1992). </w:t>
      </w:r>
      <w:proofErr w:type="gramStart"/>
      <w:r w:rsidRPr="00494ABB">
        <w:rPr>
          <w:rFonts w:cs="ArialMT"/>
          <w:sz w:val="24"/>
          <w:lang w:val="en-GB"/>
        </w:rPr>
        <w:t>The International Response to the Dissolution of the Socialist Federal Republic of Yugoslavia.</w:t>
      </w:r>
      <w:proofErr w:type="gramEnd"/>
      <w:r w:rsidRPr="00494ABB">
        <w:rPr>
          <w:rFonts w:cs="ArialMT"/>
          <w:sz w:val="24"/>
          <w:lang w:val="en-GB"/>
        </w:rPr>
        <w:t xml:space="preserve"> </w:t>
      </w:r>
      <w:r w:rsidRPr="00494ABB">
        <w:rPr>
          <w:rFonts w:cs="ArialMT"/>
          <w:i/>
          <w:iCs/>
          <w:sz w:val="24"/>
          <w:lang w:val="en-GB"/>
        </w:rPr>
        <w:t>The American Journal of International Law</w:t>
      </w:r>
      <w:r w:rsidRPr="00494ABB">
        <w:rPr>
          <w:rFonts w:cs="ArialMT"/>
          <w:sz w:val="24"/>
          <w:lang w:val="en-GB"/>
        </w:rPr>
        <w:t xml:space="preserve">, </w:t>
      </w:r>
      <w:r w:rsidRPr="00494ABB">
        <w:rPr>
          <w:rFonts w:cs="ArialMT"/>
          <w:i/>
          <w:iCs/>
          <w:sz w:val="24"/>
          <w:lang w:val="en-GB"/>
        </w:rPr>
        <w:t>86</w:t>
      </w:r>
      <w:r w:rsidRPr="00494ABB">
        <w:rPr>
          <w:rFonts w:cs="ArialMT"/>
          <w:sz w:val="24"/>
          <w:lang w:val="en-GB"/>
        </w:rPr>
        <w:t xml:space="preserve">(3), 569–607. </w:t>
      </w:r>
    </w:p>
    <w:p w14:paraId="5791A891" w14:textId="77777777" w:rsidR="00340939" w:rsidRPr="00494ABB" w:rsidRDefault="00340939">
      <w:pPr>
        <w:rPr>
          <w:lang w:val="en-GB"/>
        </w:rPr>
      </w:pPr>
    </w:p>
    <w:sectPr w:rsidR="00340939" w:rsidRPr="00494ABB" w:rsidSect="00547B9A">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F790979" w14:textId="77777777" w:rsidR="00285B8F" w:rsidRDefault="00285B8F" w:rsidP="006E3F77">
      <w:r>
        <w:separator/>
      </w:r>
    </w:p>
  </w:endnote>
  <w:endnote w:type="continuationSeparator" w:id="0">
    <w:p w14:paraId="78B49442" w14:textId="77777777" w:rsidR="00285B8F" w:rsidRDefault="00285B8F" w:rsidP="006E3F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MS Mincho">
    <w:altName w:val="ＭＳ 明朝"/>
    <w:charset w:val="80"/>
    <w:family w:val="modern"/>
    <w:pitch w:val="fixed"/>
    <w:sig w:usb0="E00002FF" w:usb1="6AC7FDFB" w:usb2="08000012" w:usb3="00000000" w:csb0="0002009F" w:csb1="00000000"/>
  </w:font>
  <w:font w:name="Lucida Grande">
    <w:panose1 w:val="020B0600040502020204"/>
    <w:charset w:val="00"/>
    <w:family w:val="auto"/>
    <w:pitch w:val="variable"/>
    <w:sig w:usb0="E1000AEF" w:usb1="5000A1FF" w:usb2="00000000" w:usb3="00000000" w:csb0="000001BF" w:csb1="00000000"/>
  </w:font>
  <w:font w:name="Times">
    <w:altName w:val="Times Roman"/>
    <w:panose1 w:val="02000500000000000000"/>
    <w:charset w:val="4D"/>
    <w:family w:val="roman"/>
    <w:notTrueType/>
    <w:pitch w:val="variable"/>
    <w:sig w:usb0="00000003" w:usb1="00000000" w:usb2="00000000" w:usb3="00000000" w:csb0="00000001" w:csb1="00000000"/>
  </w:font>
  <w:font w:name="ArialMT">
    <w:altName w:val="Arial"/>
    <w:panose1 w:val="00000000000000000000"/>
    <w:charset w:val="00"/>
    <w:family w:val="auto"/>
    <w:notTrueType/>
    <w:pitch w:val="default"/>
    <w:sig w:usb0="933D02AC" w:usb1="BFFFC7FD" w:usb2="BFFFC740" w:usb3="00000000" w:csb0="94AA9AE8" w:csb1="6E478F85"/>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40C5E1A" w14:textId="77777777" w:rsidR="00285B8F" w:rsidRDefault="00285B8F" w:rsidP="006E3F77">
      <w:r>
        <w:separator/>
      </w:r>
    </w:p>
  </w:footnote>
  <w:footnote w:type="continuationSeparator" w:id="0">
    <w:p w14:paraId="42B358DE" w14:textId="77777777" w:rsidR="00285B8F" w:rsidRDefault="00285B8F" w:rsidP="006E3F77">
      <w:r>
        <w:continuationSeparator/>
      </w:r>
    </w:p>
  </w:footnote>
  <w:footnote w:id="1">
    <w:p w14:paraId="1A801D66" w14:textId="77777777" w:rsidR="00285B8F" w:rsidRPr="00E35981" w:rsidRDefault="00285B8F" w:rsidP="006E3F77">
      <w:pPr>
        <w:pStyle w:val="FootnoteText"/>
        <w:rPr>
          <w:rFonts w:ascii="Times" w:hAnsi="Times"/>
        </w:rPr>
      </w:pPr>
      <w:r w:rsidRPr="00E35981">
        <w:rPr>
          <w:rStyle w:val="FootnoteReference"/>
          <w:rFonts w:ascii="Times" w:hAnsi="Times"/>
        </w:rPr>
        <w:footnoteRef/>
      </w:r>
      <w:r w:rsidRPr="00E35981">
        <w:rPr>
          <w:rFonts w:ascii="Times" w:hAnsi="Times"/>
        </w:rPr>
        <w:t xml:space="preserve"> ‘Yugoslav’ means south Slav in Serbo-Croatian (Yugoslavia is the land of the South Slavs).  The term ‘Kingdom of Yugoslavia’ was officially coined in 1928 and it remained until then the Kingdom of Serbs, Croats and Slovenes. For matters of </w:t>
      </w:r>
      <w:proofErr w:type="spellStart"/>
      <w:r w:rsidRPr="00E35981">
        <w:rPr>
          <w:rFonts w:ascii="Times" w:hAnsi="Times"/>
        </w:rPr>
        <w:t>simplicitly</w:t>
      </w:r>
      <w:proofErr w:type="spellEnd"/>
      <w:r w:rsidRPr="00E35981">
        <w:rPr>
          <w:rFonts w:ascii="Times" w:hAnsi="Times"/>
        </w:rPr>
        <w:t>, in what follows I will refer to the ‘Kingdom of Yugoslavia’ to refer to the state even before 1928.</w:t>
      </w:r>
    </w:p>
  </w:footnote>
  <w:footnote w:id="2">
    <w:p w14:paraId="3FF48887" w14:textId="77777777" w:rsidR="00285B8F" w:rsidRPr="00E35981" w:rsidRDefault="00285B8F" w:rsidP="006E3F77">
      <w:pPr>
        <w:pStyle w:val="FootnoteText"/>
        <w:rPr>
          <w:rFonts w:ascii="Times" w:hAnsi="Times"/>
          <w:lang w:val="en-US"/>
        </w:rPr>
      </w:pPr>
      <w:r w:rsidRPr="00E35981">
        <w:rPr>
          <w:rStyle w:val="FootnoteReference"/>
          <w:rFonts w:ascii="Times" w:hAnsi="Times"/>
        </w:rPr>
        <w:footnoteRef/>
      </w:r>
      <w:r w:rsidRPr="00E35981">
        <w:rPr>
          <w:rFonts w:ascii="Times" w:hAnsi="Times"/>
        </w:rPr>
        <w:t xml:space="preserve"> </w:t>
      </w:r>
      <w:proofErr w:type="gramStart"/>
      <w:r w:rsidRPr="00E35981">
        <w:rPr>
          <w:rFonts w:ascii="Times" w:hAnsi="Times"/>
          <w:lang w:val="en-US"/>
        </w:rPr>
        <w:t>Results of census available in Myers and Campbell (1954).</w:t>
      </w:r>
      <w:proofErr w:type="gramEnd"/>
    </w:p>
  </w:footnote>
  <w:footnote w:id="3">
    <w:p w14:paraId="23267EE8" w14:textId="77777777" w:rsidR="00285B8F" w:rsidRPr="00E35981" w:rsidRDefault="00285B8F" w:rsidP="006E3F77">
      <w:pPr>
        <w:pStyle w:val="FootnoteText"/>
        <w:rPr>
          <w:rFonts w:ascii="Times" w:hAnsi="Times"/>
        </w:rPr>
      </w:pPr>
      <w:r w:rsidRPr="00E35981">
        <w:rPr>
          <w:rStyle w:val="FootnoteReference"/>
          <w:rFonts w:ascii="Times" w:hAnsi="Times"/>
        </w:rPr>
        <w:footnoteRef/>
      </w:r>
      <w:r w:rsidRPr="00E35981">
        <w:rPr>
          <w:rFonts w:ascii="Times" w:hAnsi="Times"/>
        </w:rPr>
        <w:t xml:space="preserve"> </w:t>
      </w:r>
      <w:proofErr w:type="gramStart"/>
      <w:r w:rsidRPr="00E35981">
        <w:rPr>
          <w:rFonts w:ascii="Times" w:hAnsi="Times"/>
        </w:rPr>
        <w:t>Committee of New States, R1700 League of Nations Archives (LNA), Geneva.</w:t>
      </w:r>
      <w:proofErr w:type="gramEnd"/>
    </w:p>
  </w:footnote>
  <w:footnote w:id="4">
    <w:p w14:paraId="16DF5849" w14:textId="77777777" w:rsidR="00285B8F" w:rsidRPr="00E35981" w:rsidRDefault="00285B8F" w:rsidP="006E3F77">
      <w:pPr>
        <w:pStyle w:val="FootnoteText"/>
        <w:rPr>
          <w:rFonts w:ascii="Times" w:hAnsi="Times"/>
          <w:lang w:val="en-US"/>
        </w:rPr>
      </w:pPr>
      <w:r w:rsidRPr="00E35981">
        <w:rPr>
          <w:rStyle w:val="FootnoteReference"/>
          <w:rFonts w:ascii="Times" w:hAnsi="Times"/>
        </w:rPr>
        <w:footnoteRef/>
      </w:r>
      <w:r w:rsidRPr="00E35981">
        <w:rPr>
          <w:rFonts w:ascii="Times" w:hAnsi="Times"/>
        </w:rPr>
        <w:t xml:space="preserve"> Art. 4,10, Treaty of Saint-</w:t>
      </w:r>
      <w:proofErr w:type="spellStart"/>
      <w:r w:rsidRPr="00E35981">
        <w:rPr>
          <w:rFonts w:ascii="Times" w:hAnsi="Times"/>
        </w:rPr>
        <w:t>Germain</w:t>
      </w:r>
      <w:proofErr w:type="spellEnd"/>
      <w:r w:rsidRPr="00E35981">
        <w:rPr>
          <w:rFonts w:ascii="Times" w:hAnsi="Times"/>
        </w:rPr>
        <w:t xml:space="preserve"> (1919), Allied Powers-Kingdom of Yugoslavia. </w:t>
      </w:r>
    </w:p>
  </w:footnote>
  <w:footnote w:id="5">
    <w:p w14:paraId="114A9F5F" w14:textId="77777777" w:rsidR="00285B8F" w:rsidRPr="00E35981" w:rsidRDefault="00285B8F" w:rsidP="006E3F77">
      <w:pPr>
        <w:pStyle w:val="FootnoteText"/>
        <w:rPr>
          <w:rFonts w:ascii="Times" w:hAnsi="Times"/>
          <w:lang w:val="en-US"/>
        </w:rPr>
      </w:pPr>
      <w:r w:rsidRPr="00E35981">
        <w:rPr>
          <w:rStyle w:val="FootnoteReference"/>
          <w:rFonts w:ascii="Times" w:hAnsi="Times"/>
        </w:rPr>
        <w:footnoteRef/>
      </w:r>
      <w:r w:rsidRPr="00E35981">
        <w:rPr>
          <w:rFonts w:ascii="Times" w:hAnsi="Times"/>
        </w:rPr>
        <w:t xml:space="preserve"> </w:t>
      </w:r>
      <w:r w:rsidRPr="00E35981">
        <w:rPr>
          <w:rFonts w:ascii="Times" w:hAnsi="Times"/>
          <w:lang w:val="en-US"/>
        </w:rPr>
        <w:t xml:space="preserve">Art. </w:t>
      </w:r>
      <w:proofErr w:type="gramStart"/>
      <w:r w:rsidRPr="00E35981">
        <w:rPr>
          <w:rFonts w:ascii="Times" w:hAnsi="Times"/>
          <w:lang w:val="en-US"/>
        </w:rPr>
        <w:t>7, Treaty of Saint-</w:t>
      </w:r>
      <w:proofErr w:type="spellStart"/>
      <w:r w:rsidRPr="00E35981">
        <w:rPr>
          <w:rFonts w:ascii="Times" w:hAnsi="Times"/>
          <w:lang w:val="en-US"/>
        </w:rPr>
        <w:t>Germain</w:t>
      </w:r>
      <w:proofErr w:type="spellEnd"/>
      <w:r w:rsidRPr="00E35981">
        <w:rPr>
          <w:rFonts w:ascii="Times" w:hAnsi="Times"/>
          <w:lang w:val="en-US"/>
        </w:rPr>
        <w:t xml:space="preserve"> (1919), Allied Powers-Kingdom of Yugoslavia.</w:t>
      </w:r>
      <w:proofErr w:type="gramEnd"/>
    </w:p>
  </w:footnote>
  <w:footnote w:id="6">
    <w:p w14:paraId="76D0B17C" w14:textId="77777777" w:rsidR="00285B8F" w:rsidRPr="00E35981" w:rsidRDefault="00285B8F" w:rsidP="006E3F77">
      <w:pPr>
        <w:pStyle w:val="FootnoteText"/>
        <w:rPr>
          <w:rFonts w:ascii="Times" w:hAnsi="Times"/>
        </w:rPr>
      </w:pPr>
      <w:r w:rsidRPr="00E35981">
        <w:rPr>
          <w:rStyle w:val="FootnoteReference"/>
          <w:rFonts w:ascii="Times" w:hAnsi="Times"/>
        </w:rPr>
        <w:footnoteRef/>
      </w:r>
      <w:r w:rsidRPr="00E35981">
        <w:rPr>
          <w:rFonts w:ascii="Times" w:hAnsi="Times"/>
        </w:rPr>
        <w:t xml:space="preserve"> </w:t>
      </w:r>
      <w:proofErr w:type="gramStart"/>
      <w:r w:rsidRPr="00E35981">
        <w:rPr>
          <w:rFonts w:ascii="Times" w:hAnsi="Times"/>
        </w:rPr>
        <w:t>Dossier 10528, R 2166, LNA.</w:t>
      </w:r>
      <w:proofErr w:type="gramEnd"/>
    </w:p>
  </w:footnote>
  <w:footnote w:id="7">
    <w:p w14:paraId="3F35E82B" w14:textId="77777777" w:rsidR="00285B8F" w:rsidRPr="00E35981" w:rsidRDefault="00285B8F" w:rsidP="006E3F77">
      <w:pPr>
        <w:pStyle w:val="FootnoteText"/>
        <w:rPr>
          <w:rFonts w:ascii="Times" w:hAnsi="Times"/>
        </w:rPr>
      </w:pPr>
      <w:r w:rsidRPr="00E35981">
        <w:rPr>
          <w:rStyle w:val="FootnoteReference"/>
          <w:rFonts w:ascii="Times" w:hAnsi="Times"/>
        </w:rPr>
        <w:footnoteRef/>
      </w:r>
      <w:r w:rsidRPr="00E35981">
        <w:rPr>
          <w:rFonts w:ascii="Times" w:hAnsi="Times"/>
        </w:rPr>
        <w:t xml:space="preserve"> Memorandum presented to Erik </w:t>
      </w:r>
      <w:proofErr w:type="spellStart"/>
      <w:r w:rsidRPr="00E35981">
        <w:rPr>
          <w:rFonts w:ascii="Times" w:hAnsi="Times"/>
        </w:rPr>
        <w:t>Colban</w:t>
      </w:r>
      <w:proofErr w:type="spellEnd"/>
      <w:r w:rsidRPr="00E35981">
        <w:rPr>
          <w:rFonts w:ascii="Times" w:hAnsi="Times"/>
        </w:rPr>
        <w:t xml:space="preserve"> in 1930 by Hassan </w:t>
      </w:r>
      <w:proofErr w:type="spellStart"/>
      <w:r w:rsidRPr="00E35981">
        <w:rPr>
          <w:rFonts w:ascii="Times" w:hAnsi="Times"/>
        </w:rPr>
        <w:t>Prishtina</w:t>
      </w:r>
      <w:proofErr w:type="spellEnd"/>
      <w:r w:rsidRPr="00E35981">
        <w:rPr>
          <w:rFonts w:ascii="Times" w:hAnsi="Times"/>
        </w:rPr>
        <w:t xml:space="preserve">, former president of the Albanian Council. </w:t>
      </w:r>
      <w:proofErr w:type="gramStart"/>
      <w:r w:rsidRPr="00E35981">
        <w:rPr>
          <w:rFonts w:ascii="Times" w:hAnsi="Times"/>
        </w:rPr>
        <w:t>R 2166; doc 19507, LNA.</w:t>
      </w:r>
      <w:proofErr w:type="gramEnd"/>
    </w:p>
  </w:footnote>
  <w:footnote w:id="8">
    <w:p w14:paraId="121898DC" w14:textId="77777777" w:rsidR="00285B8F" w:rsidRPr="00E35981" w:rsidRDefault="00285B8F" w:rsidP="006E3F77">
      <w:pPr>
        <w:pStyle w:val="FootnoteText"/>
        <w:rPr>
          <w:rFonts w:ascii="Times" w:hAnsi="Times"/>
        </w:rPr>
      </w:pPr>
      <w:r w:rsidRPr="00E35981">
        <w:rPr>
          <w:rStyle w:val="FootnoteReference"/>
          <w:rFonts w:ascii="Times" w:hAnsi="Times"/>
        </w:rPr>
        <w:footnoteRef/>
      </w:r>
      <w:r w:rsidRPr="00E35981">
        <w:rPr>
          <w:rFonts w:ascii="Times" w:hAnsi="Times"/>
        </w:rPr>
        <w:t xml:space="preserve"> </w:t>
      </w:r>
      <w:proofErr w:type="gramStart"/>
      <w:r w:rsidRPr="00E35981">
        <w:rPr>
          <w:rFonts w:ascii="Times" w:hAnsi="Times"/>
        </w:rPr>
        <w:t>Doc 19507, R 2166, LNA.</w:t>
      </w:r>
      <w:proofErr w:type="gramEnd"/>
      <w:r w:rsidRPr="00E35981">
        <w:rPr>
          <w:rFonts w:ascii="Times" w:hAnsi="Times"/>
        </w:rPr>
        <w:t xml:space="preserve"> This data was nonetheless based upon unofficial communications of Albanian associations.</w:t>
      </w:r>
    </w:p>
  </w:footnote>
  <w:footnote w:id="9">
    <w:p w14:paraId="54ACDE3A" w14:textId="77777777" w:rsidR="00285B8F" w:rsidRPr="00E35981" w:rsidRDefault="00285B8F" w:rsidP="006E3F77">
      <w:pPr>
        <w:pStyle w:val="FootnoteText"/>
        <w:rPr>
          <w:rFonts w:ascii="Times" w:hAnsi="Times"/>
          <w:lang w:val="en-US"/>
        </w:rPr>
      </w:pPr>
      <w:r w:rsidRPr="00E35981">
        <w:rPr>
          <w:rStyle w:val="FootnoteReference"/>
          <w:rFonts w:ascii="Times" w:hAnsi="Times"/>
        </w:rPr>
        <w:footnoteRef/>
      </w:r>
      <w:r w:rsidRPr="00E35981">
        <w:rPr>
          <w:rFonts w:ascii="Times" w:hAnsi="Times"/>
        </w:rPr>
        <w:t xml:space="preserve"> Point XI, President Wilson’s Fourteen Points Speech to the US Congress, 8 January 1918, Record of the United States Senate (46), National Archives, College Park (USA)</w:t>
      </w:r>
    </w:p>
  </w:footnote>
  <w:footnote w:id="10">
    <w:p w14:paraId="06D63AA7" w14:textId="77777777" w:rsidR="00285B8F" w:rsidRPr="00E35981" w:rsidRDefault="00285B8F" w:rsidP="006E3F77">
      <w:pPr>
        <w:pStyle w:val="FootnoteText"/>
        <w:rPr>
          <w:rFonts w:ascii="Times" w:hAnsi="Times"/>
        </w:rPr>
      </w:pPr>
      <w:r w:rsidRPr="00E35981">
        <w:rPr>
          <w:rStyle w:val="FootnoteReference"/>
          <w:rFonts w:ascii="Times" w:hAnsi="Times"/>
        </w:rPr>
        <w:footnoteRef/>
      </w:r>
      <w:r w:rsidRPr="00E35981">
        <w:rPr>
          <w:rFonts w:ascii="Times" w:hAnsi="Times"/>
        </w:rPr>
        <w:t xml:space="preserve"> </w:t>
      </w:r>
      <w:proofErr w:type="gramStart"/>
      <w:r w:rsidRPr="00E35981">
        <w:rPr>
          <w:rFonts w:ascii="Times" w:hAnsi="Times"/>
        </w:rPr>
        <w:t>Minutes of the 33rd Committee on New States (15th July 1919), S 336, LNA.</w:t>
      </w:r>
      <w:proofErr w:type="gramEnd"/>
    </w:p>
  </w:footnote>
  <w:footnote w:id="11">
    <w:p w14:paraId="6394DB81" w14:textId="77777777" w:rsidR="00285B8F" w:rsidRPr="00E35981" w:rsidRDefault="00285B8F" w:rsidP="006E3F77">
      <w:pPr>
        <w:pStyle w:val="FootnoteText"/>
        <w:rPr>
          <w:rFonts w:ascii="Times" w:hAnsi="Times"/>
        </w:rPr>
      </w:pPr>
      <w:r w:rsidRPr="00E35981">
        <w:rPr>
          <w:rStyle w:val="FootnoteReference"/>
          <w:rFonts w:ascii="Times" w:hAnsi="Times"/>
        </w:rPr>
        <w:footnoteRef/>
      </w:r>
      <w:r w:rsidRPr="00E35981">
        <w:rPr>
          <w:rFonts w:ascii="Times" w:hAnsi="Times"/>
        </w:rPr>
        <w:t xml:space="preserve"> R2163, LNA.</w:t>
      </w:r>
    </w:p>
  </w:footnote>
  <w:footnote w:id="12">
    <w:p w14:paraId="60B5BE9A" w14:textId="77777777" w:rsidR="00285B8F" w:rsidRPr="00E35981" w:rsidRDefault="00285B8F" w:rsidP="006E3F77">
      <w:pPr>
        <w:pStyle w:val="FootnoteText"/>
        <w:rPr>
          <w:rFonts w:ascii="Times" w:hAnsi="Times"/>
        </w:rPr>
      </w:pPr>
      <w:r w:rsidRPr="00E35981">
        <w:rPr>
          <w:rStyle w:val="FootnoteReference"/>
          <w:rFonts w:ascii="Times" w:hAnsi="Times"/>
        </w:rPr>
        <w:footnoteRef/>
      </w:r>
      <w:r w:rsidRPr="00E35981">
        <w:rPr>
          <w:rFonts w:ascii="Times" w:hAnsi="Times"/>
        </w:rPr>
        <w:t xml:space="preserve"> They were granted 19 seats. For the complete results of the 1923 elections see: </w:t>
      </w:r>
      <w:hyperlink r:id="rId1" w:history="1">
        <w:r w:rsidRPr="00E35981">
          <w:rPr>
            <w:rStyle w:val="Hyperlink"/>
            <w:rFonts w:ascii="Times" w:hAnsi="Times"/>
          </w:rPr>
          <w:t>http://www.studiacroatica.org/jcs/01/0106.htm</w:t>
        </w:r>
      </w:hyperlink>
      <w:r w:rsidRPr="00E35981">
        <w:rPr>
          <w:rFonts w:ascii="Times" w:hAnsi="Times"/>
        </w:rPr>
        <w:t xml:space="preserve">. </w:t>
      </w:r>
    </w:p>
  </w:footnote>
  <w:footnote w:id="13">
    <w:p w14:paraId="375DF283" w14:textId="77777777" w:rsidR="00285B8F" w:rsidRPr="00E35981" w:rsidRDefault="00285B8F" w:rsidP="006E3F77">
      <w:pPr>
        <w:pStyle w:val="FootnoteText"/>
        <w:rPr>
          <w:rFonts w:ascii="Times" w:hAnsi="Times"/>
        </w:rPr>
      </w:pPr>
      <w:r w:rsidRPr="00E35981">
        <w:rPr>
          <w:rStyle w:val="FootnoteReference"/>
          <w:rFonts w:ascii="Times" w:hAnsi="Times"/>
        </w:rPr>
        <w:footnoteRef/>
      </w:r>
      <w:r w:rsidRPr="00E35981">
        <w:rPr>
          <w:rFonts w:ascii="Times" w:hAnsi="Times"/>
        </w:rPr>
        <w:t xml:space="preserve"> </w:t>
      </w:r>
      <w:proofErr w:type="gramStart"/>
      <w:r w:rsidRPr="00E35981">
        <w:rPr>
          <w:rFonts w:ascii="Times" w:hAnsi="Times"/>
        </w:rPr>
        <w:t xml:space="preserve">Letter from the Hungarian representative at the League </w:t>
      </w:r>
      <w:proofErr w:type="spellStart"/>
      <w:r w:rsidRPr="00E35981">
        <w:rPr>
          <w:rFonts w:ascii="Times" w:hAnsi="Times"/>
        </w:rPr>
        <w:t>adressed</w:t>
      </w:r>
      <w:proofErr w:type="spellEnd"/>
      <w:r w:rsidRPr="00E35981">
        <w:rPr>
          <w:rFonts w:ascii="Times" w:hAnsi="Times"/>
        </w:rPr>
        <w:t xml:space="preserve"> to Erik </w:t>
      </w:r>
      <w:proofErr w:type="spellStart"/>
      <w:r w:rsidRPr="00E35981">
        <w:rPr>
          <w:rFonts w:ascii="Times" w:hAnsi="Times"/>
        </w:rPr>
        <w:t>Colban</w:t>
      </w:r>
      <w:proofErr w:type="spellEnd"/>
      <w:r w:rsidRPr="00E35981">
        <w:rPr>
          <w:rFonts w:ascii="Times" w:hAnsi="Times"/>
        </w:rPr>
        <w:t xml:space="preserve"> recalling the events of 1923 and the Hungarian preoccupation of the matter.</w:t>
      </w:r>
      <w:proofErr w:type="gramEnd"/>
      <w:r w:rsidRPr="00E35981">
        <w:rPr>
          <w:rFonts w:ascii="Times" w:hAnsi="Times"/>
        </w:rPr>
        <w:t xml:space="preserve"> 16th April 1925. </w:t>
      </w:r>
      <w:proofErr w:type="gramStart"/>
      <w:r w:rsidRPr="00E35981">
        <w:rPr>
          <w:rFonts w:ascii="Times" w:hAnsi="Times"/>
        </w:rPr>
        <w:t>Doc 43 534, R 1698, LNA.</w:t>
      </w:r>
      <w:proofErr w:type="gramEnd"/>
    </w:p>
  </w:footnote>
  <w:footnote w:id="14">
    <w:p w14:paraId="28DE528D" w14:textId="77777777" w:rsidR="00285B8F" w:rsidRPr="00E35981" w:rsidRDefault="00285B8F" w:rsidP="006E3F77">
      <w:pPr>
        <w:pStyle w:val="FootnoteText"/>
        <w:rPr>
          <w:rFonts w:ascii="Times" w:hAnsi="Times"/>
          <w:lang w:val="en-US"/>
        </w:rPr>
      </w:pPr>
      <w:r w:rsidRPr="00E35981">
        <w:rPr>
          <w:rStyle w:val="FootnoteReference"/>
          <w:rFonts w:ascii="Times" w:hAnsi="Times"/>
        </w:rPr>
        <w:footnoteRef/>
      </w:r>
      <w:r w:rsidRPr="00E35981">
        <w:rPr>
          <w:rFonts w:ascii="Times" w:hAnsi="Times"/>
        </w:rPr>
        <w:t xml:space="preserve"> </w:t>
      </w:r>
      <w:proofErr w:type="gramStart"/>
      <w:r w:rsidRPr="00E35981">
        <w:rPr>
          <w:rFonts w:ascii="Times" w:hAnsi="Times"/>
        </w:rPr>
        <w:t>OSCE Paris Charter for a New Europe, Paris, 1990.</w:t>
      </w:r>
      <w:proofErr w:type="gramEnd"/>
      <w:r w:rsidRPr="00E35981">
        <w:rPr>
          <w:rFonts w:ascii="Times" w:hAnsi="Times"/>
        </w:rPr>
        <w:t xml:space="preserve"> Available at: </w:t>
      </w:r>
      <w:hyperlink r:id="rId2" w:history="1">
        <w:r w:rsidRPr="00E35981">
          <w:rPr>
            <w:rStyle w:val="Hyperlink"/>
            <w:rFonts w:ascii="Times" w:hAnsi="Times"/>
          </w:rPr>
          <w:t>http://www.internationaldemocracywatch.org/attachments/342_Paris%20summit%201990%20-%20Charter%20of%20Paris%20for%20a%20New%20Europe.pdf</w:t>
        </w:r>
      </w:hyperlink>
    </w:p>
  </w:footnote>
  <w:footnote w:id="15">
    <w:p w14:paraId="7411B313" w14:textId="77777777" w:rsidR="00285B8F" w:rsidRPr="00E35981" w:rsidRDefault="00285B8F" w:rsidP="006E3F77">
      <w:pPr>
        <w:rPr>
          <w:rFonts w:ascii="Times" w:eastAsia="Times New Roman" w:hAnsi="Times"/>
          <w:sz w:val="20"/>
          <w:szCs w:val="20"/>
          <w:lang w:val="en-GB" w:eastAsia="en-US"/>
        </w:rPr>
      </w:pPr>
      <w:r w:rsidRPr="00E35981">
        <w:rPr>
          <w:rStyle w:val="FootnoteReference"/>
          <w:rFonts w:ascii="Times" w:hAnsi="Times"/>
          <w:sz w:val="20"/>
          <w:szCs w:val="20"/>
        </w:rPr>
        <w:footnoteRef/>
      </w:r>
      <w:r w:rsidRPr="00E35981">
        <w:rPr>
          <w:rFonts w:ascii="Times" w:hAnsi="Times"/>
          <w:sz w:val="20"/>
          <w:szCs w:val="20"/>
        </w:rPr>
        <w:t xml:space="preserve"> Art. 1, 55, </w:t>
      </w:r>
      <w:proofErr w:type="spellStart"/>
      <w:r w:rsidRPr="00E35981">
        <w:rPr>
          <w:rFonts w:ascii="Times" w:eastAsia="Times New Roman" w:hAnsi="Times"/>
          <w:color w:val="000000"/>
          <w:sz w:val="20"/>
          <w:szCs w:val="20"/>
        </w:rPr>
        <w:t>United</w:t>
      </w:r>
      <w:proofErr w:type="spellEnd"/>
      <w:r w:rsidRPr="00E35981">
        <w:rPr>
          <w:rFonts w:ascii="Times" w:eastAsia="Times New Roman" w:hAnsi="Times"/>
          <w:color w:val="000000"/>
          <w:sz w:val="20"/>
          <w:szCs w:val="20"/>
        </w:rPr>
        <w:t xml:space="preserve"> Nations, Charter of the </w:t>
      </w:r>
      <w:proofErr w:type="spellStart"/>
      <w:r w:rsidRPr="00E35981">
        <w:rPr>
          <w:rFonts w:ascii="Times" w:eastAsia="Times New Roman" w:hAnsi="Times"/>
          <w:color w:val="000000"/>
          <w:sz w:val="20"/>
          <w:szCs w:val="20"/>
        </w:rPr>
        <w:t>United</w:t>
      </w:r>
      <w:proofErr w:type="spellEnd"/>
      <w:r w:rsidRPr="00E35981">
        <w:rPr>
          <w:rFonts w:ascii="Times" w:eastAsia="Times New Roman" w:hAnsi="Times"/>
          <w:color w:val="000000"/>
          <w:sz w:val="20"/>
          <w:szCs w:val="20"/>
        </w:rPr>
        <w:t xml:space="preserve"> Nations, 24 </w:t>
      </w:r>
      <w:proofErr w:type="spellStart"/>
      <w:r w:rsidRPr="00E35981">
        <w:rPr>
          <w:rFonts w:ascii="Times" w:eastAsia="Times New Roman" w:hAnsi="Times"/>
          <w:color w:val="000000"/>
          <w:sz w:val="20"/>
          <w:szCs w:val="20"/>
        </w:rPr>
        <w:t>October</w:t>
      </w:r>
      <w:proofErr w:type="spellEnd"/>
      <w:r w:rsidRPr="00E35981">
        <w:rPr>
          <w:rFonts w:ascii="Times" w:eastAsia="Times New Roman" w:hAnsi="Times"/>
          <w:color w:val="000000"/>
          <w:sz w:val="20"/>
          <w:szCs w:val="20"/>
        </w:rPr>
        <w:t xml:space="preserve"> 1945, 1 UNTS XVI, art. 1, 55; Art. 1, U</w:t>
      </w:r>
      <w:r w:rsidRPr="00E35981">
        <w:rPr>
          <w:rFonts w:ascii="Times" w:eastAsia="Times New Roman" w:hAnsi="Times"/>
          <w:color w:val="3F3F3F"/>
          <w:sz w:val="20"/>
          <w:szCs w:val="20"/>
          <w:shd w:val="clear" w:color="auto" w:fill="FFFFFF"/>
          <w:lang w:val="en-GB" w:eastAsia="en-US"/>
        </w:rPr>
        <w:t>N General Assembly, </w:t>
      </w:r>
      <w:r w:rsidRPr="00E35981">
        <w:rPr>
          <w:rFonts w:ascii="Times" w:eastAsia="Times New Roman" w:hAnsi="Times"/>
          <w:i/>
          <w:iCs/>
          <w:color w:val="3F3F3F"/>
          <w:sz w:val="20"/>
          <w:szCs w:val="20"/>
          <w:shd w:val="clear" w:color="auto" w:fill="FFFFFF"/>
          <w:lang w:val="en-GB" w:eastAsia="en-US"/>
        </w:rPr>
        <w:t>International Covenant on Economic, Social and Cultural Rights, International Covenant on Civil and Political Rights and Optional Protocol to the International Covenant on Civil and Political Rights</w:t>
      </w:r>
      <w:r w:rsidRPr="00E35981">
        <w:rPr>
          <w:rFonts w:ascii="Times" w:eastAsia="Times New Roman" w:hAnsi="Times"/>
          <w:color w:val="3F3F3F"/>
          <w:sz w:val="20"/>
          <w:szCs w:val="20"/>
          <w:shd w:val="clear" w:color="auto" w:fill="FFFFFF"/>
          <w:lang w:val="en-GB" w:eastAsia="en-US"/>
        </w:rPr>
        <w:t>, 16 December 1966, A/RES/2200</w:t>
      </w:r>
    </w:p>
  </w:footnote>
  <w:footnote w:id="16">
    <w:p w14:paraId="660FE785" w14:textId="77777777" w:rsidR="00285B8F" w:rsidRPr="00E35981" w:rsidRDefault="00285B8F" w:rsidP="006E3F77">
      <w:pPr>
        <w:pStyle w:val="FootnoteText"/>
        <w:rPr>
          <w:rFonts w:ascii="Times" w:hAnsi="Times"/>
        </w:rPr>
      </w:pPr>
      <w:r w:rsidRPr="00E35981">
        <w:rPr>
          <w:rStyle w:val="FootnoteReference"/>
          <w:rFonts w:ascii="Times" w:hAnsi="Times"/>
        </w:rPr>
        <w:footnoteRef/>
      </w:r>
      <w:r w:rsidRPr="00E35981">
        <w:rPr>
          <w:rFonts w:ascii="Times" w:hAnsi="Times"/>
        </w:rPr>
        <w:t xml:space="preserve"> Following the Committee on the Constitution, Standing Orders and Political System of the Croatian Parliament. </w:t>
      </w:r>
      <w:proofErr w:type="spellStart"/>
      <w:r w:rsidRPr="00E35981">
        <w:rPr>
          <w:rFonts w:ascii="Times" w:hAnsi="Times"/>
          <w:i/>
        </w:rPr>
        <w:t>Narodne</w:t>
      </w:r>
      <w:proofErr w:type="spellEnd"/>
      <w:r w:rsidRPr="00E35981">
        <w:rPr>
          <w:rFonts w:ascii="Times" w:hAnsi="Times"/>
          <w:i/>
        </w:rPr>
        <w:t xml:space="preserve"> </w:t>
      </w:r>
      <w:proofErr w:type="spellStart"/>
      <w:r w:rsidRPr="00E35981">
        <w:rPr>
          <w:rFonts w:ascii="Times" w:hAnsi="Times"/>
          <w:i/>
        </w:rPr>
        <w:t>Novine</w:t>
      </w:r>
      <w:proofErr w:type="spellEnd"/>
      <w:r w:rsidRPr="00E35981">
        <w:rPr>
          <w:rFonts w:ascii="Times" w:hAnsi="Times"/>
          <w:i/>
        </w:rPr>
        <w:t xml:space="preserve"> </w:t>
      </w:r>
      <w:r w:rsidRPr="00E35981">
        <w:rPr>
          <w:rFonts w:ascii="Times" w:hAnsi="Times"/>
        </w:rPr>
        <w:t>no. 76/2010</w:t>
      </w:r>
    </w:p>
  </w:footnote>
  <w:footnote w:id="17">
    <w:p w14:paraId="0B31D0D5" w14:textId="77777777" w:rsidR="00285B8F" w:rsidRPr="00E35981" w:rsidRDefault="00285B8F" w:rsidP="006E3F77">
      <w:pPr>
        <w:pStyle w:val="FootnoteText"/>
        <w:rPr>
          <w:rFonts w:ascii="Times" w:hAnsi="Times"/>
          <w:lang w:val="en-US"/>
        </w:rPr>
      </w:pPr>
      <w:r w:rsidRPr="00E35981">
        <w:rPr>
          <w:rStyle w:val="FootnoteReference"/>
          <w:rFonts w:ascii="Times" w:hAnsi="Times"/>
        </w:rPr>
        <w:footnoteRef/>
      </w:r>
      <w:r w:rsidRPr="00E35981">
        <w:rPr>
          <w:rFonts w:ascii="Times" w:hAnsi="Times"/>
        </w:rPr>
        <w:t xml:space="preserve"> </w:t>
      </w:r>
      <w:proofErr w:type="spellStart"/>
      <w:r w:rsidRPr="00E35981">
        <w:rPr>
          <w:rFonts w:ascii="Times" w:hAnsi="Times"/>
          <w:lang w:val="en-US"/>
        </w:rPr>
        <w:t>Nardone</w:t>
      </w:r>
      <w:proofErr w:type="spellEnd"/>
      <w:r w:rsidRPr="00E35981">
        <w:rPr>
          <w:rFonts w:ascii="Times" w:hAnsi="Times"/>
          <w:lang w:val="en-US"/>
        </w:rPr>
        <w:t xml:space="preserve"> </w:t>
      </w:r>
      <w:proofErr w:type="spellStart"/>
      <w:r w:rsidRPr="00E35981">
        <w:rPr>
          <w:rFonts w:ascii="Times" w:hAnsi="Times"/>
          <w:lang w:val="en-US"/>
        </w:rPr>
        <w:t>Novine</w:t>
      </w:r>
      <w:proofErr w:type="spellEnd"/>
      <w:r w:rsidRPr="00E35981">
        <w:rPr>
          <w:rFonts w:ascii="Times" w:hAnsi="Times"/>
          <w:lang w:val="en-US"/>
        </w:rPr>
        <w:t xml:space="preserve"> (1974). </w:t>
      </w:r>
      <w:proofErr w:type="gramStart"/>
      <w:r w:rsidRPr="00E35981">
        <w:rPr>
          <w:rFonts w:ascii="Times" w:hAnsi="Times"/>
          <w:lang w:val="en-US"/>
        </w:rPr>
        <w:t>Constitution of the Socialist Republic of Croatia 8/74.</w:t>
      </w:r>
      <w:proofErr w:type="gramEnd"/>
    </w:p>
  </w:footnote>
  <w:footnote w:id="18">
    <w:p w14:paraId="112523FE" w14:textId="77777777" w:rsidR="00285B8F" w:rsidRPr="00E35981" w:rsidRDefault="00285B8F" w:rsidP="006E3F77">
      <w:pPr>
        <w:widowControl w:val="0"/>
        <w:autoSpaceDE w:val="0"/>
        <w:autoSpaceDN w:val="0"/>
        <w:adjustRightInd w:val="0"/>
        <w:ind w:left="720" w:hanging="720"/>
        <w:rPr>
          <w:rFonts w:ascii="Times" w:hAnsi="Times"/>
          <w:sz w:val="20"/>
          <w:szCs w:val="20"/>
          <w:lang w:val="en-US"/>
        </w:rPr>
      </w:pPr>
      <w:r w:rsidRPr="00E35981">
        <w:rPr>
          <w:rStyle w:val="FootnoteReference"/>
          <w:rFonts w:ascii="Times" w:hAnsi="Times"/>
          <w:sz w:val="20"/>
          <w:szCs w:val="20"/>
        </w:rPr>
        <w:footnoteRef/>
      </w:r>
      <w:r w:rsidRPr="00E35981">
        <w:rPr>
          <w:rFonts w:ascii="Times" w:hAnsi="Times"/>
          <w:sz w:val="20"/>
          <w:szCs w:val="20"/>
        </w:rPr>
        <w:t xml:space="preserve"> </w:t>
      </w:r>
      <w:proofErr w:type="spellStart"/>
      <w:r w:rsidRPr="00E35981">
        <w:rPr>
          <w:rFonts w:ascii="Times" w:hAnsi="Times"/>
          <w:sz w:val="20"/>
          <w:szCs w:val="20"/>
        </w:rPr>
        <w:t>Narodne</w:t>
      </w:r>
      <w:proofErr w:type="spellEnd"/>
      <w:r w:rsidRPr="00E35981">
        <w:rPr>
          <w:rFonts w:ascii="Times" w:hAnsi="Times"/>
          <w:sz w:val="20"/>
          <w:szCs w:val="20"/>
        </w:rPr>
        <w:t xml:space="preserve"> </w:t>
      </w:r>
      <w:proofErr w:type="spellStart"/>
      <w:r w:rsidRPr="00E35981">
        <w:rPr>
          <w:rFonts w:ascii="Times" w:hAnsi="Times"/>
          <w:sz w:val="20"/>
          <w:szCs w:val="20"/>
        </w:rPr>
        <w:t>Novine</w:t>
      </w:r>
      <w:proofErr w:type="spellEnd"/>
      <w:r w:rsidRPr="00E35981">
        <w:rPr>
          <w:rFonts w:ascii="Times" w:hAnsi="Times"/>
          <w:sz w:val="20"/>
          <w:szCs w:val="20"/>
        </w:rPr>
        <w:t xml:space="preserve"> (1990). </w:t>
      </w:r>
      <w:proofErr w:type="spellStart"/>
      <w:r w:rsidRPr="00E35981">
        <w:rPr>
          <w:rFonts w:ascii="Times" w:hAnsi="Times"/>
          <w:sz w:val="20"/>
          <w:szCs w:val="20"/>
        </w:rPr>
        <w:t>Constitution</w:t>
      </w:r>
      <w:proofErr w:type="spellEnd"/>
      <w:r w:rsidRPr="00E35981">
        <w:rPr>
          <w:rFonts w:ascii="Times" w:hAnsi="Times"/>
          <w:sz w:val="20"/>
          <w:szCs w:val="20"/>
        </w:rPr>
        <w:t xml:space="preserve"> of the Republic of </w:t>
      </w:r>
      <w:proofErr w:type="spellStart"/>
      <w:r w:rsidRPr="00E35981">
        <w:rPr>
          <w:rFonts w:ascii="Times" w:hAnsi="Times"/>
          <w:sz w:val="20"/>
          <w:szCs w:val="20"/>
        </w:rPr>
        <w:t>Croatia</w:t>
      </w:r>
      <w:proofErr w:type="spellEnd"/>
      <w:r w:rsidRPr="00E35981">
        <w:rPr>
          <w:rFonts w:ascii="Times" w:hAnsi="Times"/>
          <w:i/>
          <w:sz w:val="20"/>
          <w:szCs w:val="20"/>
        </w:rPr>
        <w:t xml:space="preserve">. </w:t>
      </w:r>
      <w:r w:rsidRPr="00E35981">
        <w:rPr>
          <w:rFonts w:ascii="Times" w:hAnsi="Times"/>
          <w:sz w:val="20"/>
          <w:szCs w:val="20"/>
        </w:rPr>
        <w:t>56/90</w:t>
      </w:r>
    </w:p>
  </w:footnote>
  <w:footnote w:id="19">
    <w:p w14:paraId="58E28BFB" w14:textId="77777777" w:rsidR="00285B8F" w:rsidRPr="00E35981" w:rsidRDefault="00285B8F" w:rsidP="006E3F77">
      <w:pPr>
        <w:pStyle w:val="FootnoteText"/>
        <w:rPr>
          <w:rFonts w:ascii="Times" w:hAnsi="Times"/>
          <w:lang w:val="en-US"/>
        </w:rPr>
      </w:pPr>
      <w:r w:rsidRPr="00E35981">
        <w:rPr>
          <w:rStyle w:val="FootnoteReference"/>
          <w:rFonts w:ascii="Times" w:hAnsi="Times"/>
        </w:rPr>
        <w:footnoteRef/>
      </w:r>
      <w:r w:rsidRPr="00E35981">
        <w:rPr>
          <w:rFonts w:ascii="Times" w:hAnsi="Times"/>
        </w:rPr>
        <w:t xml:space="preserve"> </w:t>
      </w:r>
      <w:proofErr w:type="spellStart"/>
      <w:r w:rsidRPr="00E35981">
        <w:rPr>
          <w:rFonts w:ascii="Times" w:hAnsi="Times"/>
        </w:rPr>
        <w:t>Narodne</w:t>
      </w:r>
      <w:proofErr w:type="spellEnd"/>
      <w:r w:rsidRPr="00E35981">
        <w:rPr>
          <w:rFonts w:ascii="Times" w:hAnsi="Times"/>
        </w:rPr>
        <w:t xml:space="preserve"> </w:t>
      </w:r>
      <w:proofErr w:type="spellStart"/>
      <w:r w:rsidRPr="00E35981">
        <w:rPr>
          <w:rFonts w:ascii="Times" w:hAnsi="Times"/>
        </w:rPr>
        <w:t>Novine</w:t>
      </w:r>
      <w:proofErr w:type="spellEnd"/>
      <w:r w:rsidRPr="00E35981">
        <w:rPr>
          <w:rFonts w:ascii="Times" w:hAnsi="Times"/>
        </w:rPr>
        <w:t xml:space="preserve"> (1991). </w:t>
      </w:r>
      <w:proofErr w:type="gramStart"/>
      <w:r w:rsidRPr="00E35981">
        <w:rPr>
          <w:rFonts w:ascii="Times" w:hAnsi="Times"/>
          <w:color w:val="000000"/>
          <w:lang w:eastAsia="ar-SA"/>
        </w:rPr>
        <w:t>Croatian Citizenship Law, Art.</w:t>
      </w:r>
      <w:proofErr w:type="gramEnd"/>
      <w:r w:rsidRPr="00E35981">
        <w:rPr>
          <w:rFonts w:ascii="Times" w:hAnsi="Times"/>
          <w:color w:val="000000"/>
          <w:lang w:eastAsia="ar-SA"/>
        </w:rPr>
        <w:t xml:space="preserve"> </w:t>
      </w:r>
      <w:proofErr w:type="gramStart"/>
      <w:r w:rsidRPr="00E35981">
        <w:rPr>
          <w:rFonts w:ascii="Times" w:hAnsi="Times"/>
          <w:color w:val="000000"/>
          <w:lang w:eastAsia="ar-SA"/>
        </w:rPr>
        <w:t>5, 6, 11, 16, 30 para.2.</w:t>
      </w:r>
      <w:proofErr w:type="gramEnd"/>
      <w:r w:rsidRPr="00E35981">
        <w:rPr>
          <w:rFonts w:ascii="Times" w:hAnsi="Times"/>
          <w:color w:val="000000"/>
          <w:lang w:eastAsia="ar-SA"/>
        </w:rPr>
        <w:t xml:space="preserve"> 53/91.</w:t>
      </w:r>
    </w:p>
  </w:footnote>
  <w:footnote w:id="20">
    <w:p w14:paraId="06210BAE" w14:textId="77777777" w:rsidR="00285B8F" w:rsidRPr="00E35981" w:rsidRDefault="00285B8F" w:rsidP="006E3F77">
      <w:pPr>
        <w:pStyle w:val="FootnoteText"/>
        <w:rPr>
          <w:rFonts w:ascii="Times" w:hAnsi="Times"/>
        </w:rPr>
      </w:pPr>
      <w:r w:rsidRPr="00E35981">
        <w:rPr>
          <w:rStyle w:val="FootnoteReference"/>
          <w:rFonts w:ascii="Times" w:hAnsi="Times"/>
        </w:rPr>
        <w:footnoteRef/>
      </w:r>
      <w:r w:rsidRPr="00E35981">
        <w:rPr>
          <w:rFonts w:ascii="Times" w:hAnsi="Times"/>
        </w:rPr>
        <w:t xml:space="preserve"> </w:t>
      </w:r>
      <w:hyperlink r:id="rId3" w:history="1">
        <w:r w:rsidRPr="00E35981">
          <w:rPr>
            <w:rStyle w:val="Hyperlink"/>
            <w:rFonts w:ascii="Times" w:hAnsi="Times"/>
          </w:rPr>
          <w:t>http://www.bbc.com/news/world-europe-23118035</w:t>
        </w:r>
      </w:hyperlink>
    </w:p>
    <w:p w14:paraId="3CC9D07A" w14:textId="77777777" w:rsidR="00285B8F" w:rsidRPr="00E35981" w:rsidRDefault="00285B8F" w:rsidP="006E3F77">
      <w:pPr>
        <w:pStyle w:val="FootnoteText"/>
        <w:rPr>
          <w:rFonts w:ascii="Times" w:hAnsi="Times"/>
        </w:rPr>
      </w:pPr>
    </w:p>
    <w:p w14:paraId="254FAFFD" w14:textId="77777777" w:rsidR="00285B8F" w:rsidRPr="00E35981" w:rsidRDefault="00285B8F" w:rsidP="006E3F77">
      <w:pPr>
        <w:spacing w:line="276" w:lineRule="auto"/>
        <w:jc w:val="both"/>
        <w:rPr>
          <w:rFonts w:ascii="Times" w:hAnsi="Times"/>
          <w:b/>
          <w:sz w:val="20"/>
          <w:szCs w:val="20"/>
          <w:lang w:val="en-GB"/>
        </w:rPr>
      </w:pPr>
    </w:p>
    <w:p w14:paraId="7D1F4450" w14:textId="77777777" w:rsidR="00285B8F" w:rsidRPr="00E35981" w:rsidRDefault="00285B8F" w:rsidP="006E3F77">
      <w:pPr>
        <w:spacing w:line="276" w:lineRule="auto"/>
        <w:jc w:val="both"/>
        <w:rPr>
          <w:rFonts w:ascii="Times" w:hAnsi="Times"/>
          <w:b/>
          <w:sz w:val="20"/>
          <w:szCs w:val="20"/>
          <w:lang w:val="en-GB"/>
        </w:rPr>
      </w:pPr>
    </w:p>
    <w:p w14:paraId="338CB53D" w14:textId="77777777" w:rsidR="00285B8F" w:rsidRPr="00E35981" w:rsidRDefault="00285B8F" w:rsidP="006E3F77">
      <w:pPr>
        <w:pStyle w:val="FootnoteText"/>
        <w:rPr>
          <w:rFonts w:ascii="Times" w:hAnsi="Times"/>
        </w:rPr>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3F77"/>
    <w:rsid w:val="000238CD"/>
    <w:rsid w:val="000254CF"/>
    <w:rsid w:val="000271B8"/>
    <w:rsid w:val="00060242"/>
    <w:rsid w:val="000769CB"/>
    <w:rsid w:val="00084384"/>
    <w:rsid w:val="0008647B"/>
    <w:rsid w:val="000C0E9F"/>
    <w:rsid w:val="000C24AA"/>
    <w:rsid w:val="000D0F9F"/>
    <w:rsid w:val="000F1661"/>
    <w:rsid w:val="001006DB"/>
    <w:rsid w:val="00123988"/>
    <w:rsid w:val="001319B5"/>
    <w:rsid w:val="00140A3B"/>
    <w:rsid w:val="00145C45"/>
    <w:rsid w:val="00165720"/>
    <w:rsid w:val="001966B2"/>
    <w:rsid w:val="001A2836"/>
    <w:rsid w:val="001F6077"/>
    <w:rsid w:val="002245A8"/>
    <w:rsid w:val="0023619E"/>
    <w:rsid w:val="002425DE"/>
    <w:rsid w:val="002431E7"/>
    <w:rsid w:val="00244C75"/>
    <w:rsid w:val="00256BA7"/>
    <w:rsid w:val="00257A1C"/>
    <w:rsid w:val="00263FF4"/>
    <w:rsid w:val="002655EC"/>
    <w:rsid w:val="00276FC6"/>
    <w:rsid w:val="00285B8F"/>
    <w:rsid w:val="00296D4A"/>
    <w:rsid w:val="002A6D5D"/>
    <w:rsid w:val="002B0BD3"/>
    <w:rsid w:val="002B1788"/>
    <w:rsid w:val="00301E71"/>
    <w:rsid w:val="00317156"/>
    <w:rsid w:val="00335E5C"/>
    <w:rsid w:val="00340939"/>
    <w:rsid w:val="0035389E"/>
    <w:rsid w:val="00360F6D"/>
    <w:rsid w:val="00384F40"/>
    <w:rsid w:val="003A449F"/>
    <w:rsid w:val="003B33DD"/>
    <w:rsid w:val="003B5238"/>
    <w:rsid w:val="003D1DBC"/>
    <w:rsid w:val="004106BF"/>
    <w:rsid w:val="004152EE"/>
    <w:rsid w:val="00416D07"/>
    <w:rsid w:val="00422AC2"/>
    <w:rsid w:val="00431CCD"/>
    <w:rsid w:val="00432B72"/>
    <w:rsid w:val="00435230"/>
    <w:rsid w:val="00437189"/>
    <w:rsid w:val="00440B33"/>
    <w:rsid w:val="00462B62"/>
    <w:rsid w:val="0047292A"/>
    <w:rsid w:val="00494ABB"/>
    <w:rsid w:val="00500923"/>
    <w:rsid w:val="00504DEF"/>
    <w:rsid w:val="00547B9A"/>
    <w:rsid w:val="005543CC"/>
    <w:rsid w:val="005914C7"/>
    <w:rsid w:val="005A2A6D"/>
    <w:rsid w:val="005B6F94"/>
    <w:rsid w:val="005D44F7"/>
    <w:rsid w:val="005E2AC7"/>
    <w:rsid w:val="00602F4A"/>
    <w:rsid w:val="00602F87"/>
    <w:rsid w:val="006206E0"/>
    <w:rsid w:val="00641E15"/>
    <w:rsid w:val="0065360A"/>
    <w:rsid w:val="00664418"/>
    <w:rsid w:val="00665020"/>
    <w:rsid w:val="00666DC5"/>
    <w:rsid w:val="006772EC"/>
    <w:rsid w:val="006865E0"/>
    <w:rsid w:val="006C415B"/>
    <w:rsid w:val="006D25E7"/>
    <w:rsid w:val="006E3F77"/>
    <w:rsid w:val="0070354E"/>
    <w:rsid w:val="00703D7C"/>
    <w:rsid w:val="0070764D"/>
    <w:rsid w:val="00720678"/>
    <w:rsid w:val="0075468F"/>
    <w:rsid w:val="00776485"/>
    <w:rsid w:val="0078218E"/>
    <w:rsid w:val="00790DE4"/>
    <w:rsid w:val="007C5885"/>
    <w:rsid w:val="007D114C"/>
    <w:rsid w:val="007E41FF"/>
    <w:rsid w:val="007E4ADA"/>
    <w:rsid w:val="007F1769"/>
    <w:rsid w:val="00804E4C"/>
    <w:rsid w:val="008348B9"/>
    <w:rsid w:val="00837428"/>
    <w:rsid w:val="0087029B"/>
    <w:rsid w:val="0087735C"/>
    <w:rsid w:val="00882F35"/>
    <w:rsid w:val="00887779"/>
    <w:rsid w:val="00894210"/>
    <w:rsid w:val="008C43FD"/>
    <w:rsid w:val="008C55D2"/>
    <w:rsid w:val="008C7D05"/>
    <w:rsid w:val="008F0CB0"/>
    <w:rsid w:val="008F5A9C"/>
    <w:rsid w:val="009030E3"/>
    <w:rsid w:val="009139A7"/>
    <w:rsid w:val="0093157D"/>
    <w:rsid w:val="00935AD4"/>
    <w:rsid w:val="009568A9"/>
    <w:rsid w:val="00991D87"/>
    <w:rsid w:val="009C2C0D"/>
    <w:rsid w:val="009D0DF2"/>
    <w:rsid w:val="009F19AE"/>
    <w:rsid w:val="00A1417D"/>
    <w:rsid w:val="00A1681C"/>
    <w:rsid w:val="00A24C0C"/>
    <w:rsid w:val="00A43E99"/>
    <w:rsid w:val="00AB46E8"/>
    <w:rsid w:val="00AC65F2"/>
    <w:rsid w:val="00AE1850"/>
    <w:rsid w:val="00B12FB5"/>
    <w:rsid w:val="00B232EB"/>
    <w:rsid w:val="00B25783"/>
    <w:rsid w:val="00B778B7"/>
    <w:rsid w:val="00B82F5D"/>
    <w:rsid w:val="00BC6522"/>
    <w:rsid w:val="00BD1BD9"/>
    <w:rsid w:val="00BD57B9"/>
    <w:rsid w:val="00BE7041"/>
    <w:rsid w:val="00C02444"/>
    <w:rsid w:val="00C11944"/>
    <w:rsid w:val="00C22973"/>
    <w:rsid w:val="00C26B1C"/>
    <w:rsid w:val="00C75393"/>
    <w:rsid w:val="00C90A96"/>
    <w:rsid w:val="00CA5767"/>
    <w:rsid w:val="00CB597D"/>
    <w:rsid w:val="00CC6DF0"/>
    <w:rsid w:val="00CE638C"/>
    <w:rsid w:val="00D25583"/>
    <w:rsid w:val="00D44E93"/>
    <w:rsid w:val="00D46B58"/>
    <w:rsid w:val="00D653D0"/>
    <w:rsid w:val="00DC59AA"/>
    <w:rsid w:val="00DD0ACA"/>
    <w:rsid w:val="00DD4051"/>
    <w:rsid w:val="00DD5D31"/>
    <w:rsid w:val="00DF0B04"/>
    <w:rsid w:val="00DF30DE"/>
    <w:rsid w:val="00E03D35"/>
    <w:rsid w:val="00E225D2"/>
    <w:rsid w:val="00E30F1B"/>
    <w:rsid w:val="00E35981"/>
    <w:rsid w:val="00E53284"/>
    <w:rsid w:val="00E70C28"/>
    <w:rsid w:val="00E83390"/>
    <w:rsid w:val="00E83C32"/>
    <w:rsid w:val="00E91C46"/>
    <w:rsid w:val="00EA10D4"/>
    <w:rsid w:val="00EA1F22"/>
    <w:rsid w:val="00EA27AD"/>
    <w:rsid w:val="00EE26FA"/>
    <w:rsid w:val="00F078CB"/>
    <w:rsid w:val="00F303FE"/>
    <w:rsid w:val="00F446EC"/>
    <w:rsid w:val="00F508E0"/>
    <w:rsid w:val="00F56856"/>
    <w:rsid w:val="00F6047E"/>
    <w:rsid w:val="00F67E11"/>
    <w:rsid w:val="00F92C61"/>
    <w:rsid w:val="00F96229"/>
    <w:rsid w:val="00FA3C5F"/>
    <w:rsid w:val="00FB7AD8"/>
    <w:rsid w:val="00FD768F"/>
    <w:rsid w:val="00FE7BF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3C426CAD"/>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3F77"/>
    <w:rPr>
      <w:rFonts w:ascii="Times New Roman" w:eastAsia="MS Mincho" w:hAnsi="Times New Roman" w:cs="Times New Roman"/>
      <w:sz w:val="26"/>
      <w:lang w:val="it-IT" w:eastAsia="it-I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uiPriority w:val="99"/>
    <w:unhideWhenUsed/>
    <w:rsid w:val="006E3F77"/>
    <w:rPr>
      <w:vertAlign w:val="superscript"/>
    </w:rPr>
  </w:style>
  <w:style w:type="paragraph" w:styleId="FootnoteText">
    <w:name w:val="footnote text"/>
    <w:basedOn w:val="Normal"/>
    <w:link w:val="FootnoteTextChar"/>
    <w:uiPriority w:val="99"/>
    <w:unhideWhenUsed/>
    <w:rsid w:val="006E3F77"/>
    <w:rPr>
      <w:rFonts w:ascii="Cambria" w:hAnsi="Cambria"/>
      <w:sz w:val="20"/>
      <w:szCs w:val="20"/>
      <w:lang w:val="en-GB" w:eastAsia="x-none"/>
    </w:rPr>
  </w:style>
  <w:style w:type="character" w:customStyle="1" w:styleId="FootnoteTextChar">
    <w:name w:val="Footnote Text Char"/>
    <w:basedOn w:val="DefaultParagraphFont"/>
    <w:link w:val="FootnoteText"/>
    <w:uiPriority w:val="99"/>
    <w:rsid w:val="006E3F77"/>
    <w:rPr>
      <w:rFonts w:ascii="Cambria" w:eastAsia="MS Mincho" w:hAnsi="Cambria" w:cs="Times New Roman"/>
      <w:sz w:val="20"/>
      <w:szCs w:val="20"/>
      <w:lang w:val="en-GB" w:eastAsia="x-none"/>
    </w:rPr>
  </w:style>
  <w:style w:type="character" w:styleId="Hyperlink">
    <w:name w:val="Hyperlink"/>
    <w:basedOn w:val="DefaultParagraphFont"/>
    <w:unhideWhenUsed/>
    <w:rsid w:val="006E3F77"/>
    <w:rPr>
      <w:color w:val="0000FF"/>
      <w:u w:val="single"/>
    </w:rPr>
  </w:style>
  <w:style w:type="character" w:styleId="CommentReference">
    <w:name w:val="annotation reference"/>
    <w:basedOn w:val="DefaultParagraphFont"/>
    <w:uiPriority w:val="99"/>
    <w:semiHidden/>
    <w:unhideWhenUsed/>
    <w:rsid w:val="006E3F77"/>
    <w:rPr>
      <w:sz w:val="18"/>
      <w:szCs w:val="18"/>
    </w:rPr>
  </w:style>
  <w:style w:type="paragraph" w:styleId="CommentText">
    <w:name w:val="annotation text"/>
    <w:basedOn w:val="Normal"/>
    <w:link w:val="CommentTextChar"/>
    <w:uiPriority w:val="99"/>
    <w:semiHidden/>
    <w:unhideWhenUsed/>
    <w:rsid w:val="006E3F77"/>
    <w:rPr>
      <w:sz w:val="24"/>
    </w:rPr>
  </w:style>
  <w:style w:type="character" w:customStyle="1" w:styleId="CommentTextChar">
    <w:name w:val="Comment Text Char"/>
    <w:basedOn w:val="DefaultParagraphFont"/>
    <w:link w:val="CommentText"/>
    <w:uiPriority w:val="99"/>
    <w:semiHidden/>
    <w:rsid w:val="006E3F77"/>
    <w:rPr>
      <w:rFonts w:ascii="Times New Roman" w:eastAsia="MS Mincho" w:hAnsi="Times New Roman" w:cs="Times New Roman"/>
      <w:lang w:val="it-IT" w:eastAsia="it-IT"/>
    </w:rPr>
  </w:style>
  <w:style w:type="paragraph" w:styleId="BalloonText">
    <w:name w:val="Balloon Text"/>
    <w:basedOn w:val="Normal"/>
    <w:link w:val="BalloonTextChar"/>
    <w:uiPriority w:val="99"/>
    <w:semiHidden/>
    <w:unhideWhenUsed/>
    <w:rsid w:val="006E3F7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E3F77"/>
    <w:rPr>
      <w:rFonts w:ascii="Lucida Grande" w:eastAsia="MS Mincho" w:hAnsi="Lucida Grande" w:cs="Lucida Grande"/>
      <w:sz w:val="18"/>
      <w:szCs w:val="18"/>
      <w:lang w:val="it-IT" w:eastAsia="it-IT"/>
    </w:rPr>
  </w:style>
  <w:style w:type="paragraph" w:styleId="CommentSubject">
    <w:name w:val="annotation subject"/>
    <w:basedOn w:val="CommentText"/>
    <w:next w:val="CommentText"/>
    <w:link w:val="CommentSubjectChar"/>
    <w:uiPriority w:val="99"/>
    <w:semiHidden/>
    <w:unhideWhenUsed/>
    <w:rsid w:val="00296D4A"/>
    <w:rPr>
      <w:b/>
      <w:bCs/>
      <w:sz w:val="20"/>
      <w:szCs w:val="20"/>
    </w:rPr>
  </w:style>
  <w:style w:type="character" w:customStyle="1" w:styleId="CommentSubjectChar">
    <w:name w:val="Comment Subject Char"/>
    <w:basedOn w:val="CommentTextChar"/>
    <w:link w:val="CommentSubject"/>
    <w:uiPriority w:val="99"/>
    <w:semiHidden/>
    <w:rsid w:val="00296D4A"/>
    <w:rPr>
      <w:rFonts w:ascii="Times New Roman" w:eastAsia="MS Mincho" w:hAnsi="Times New Roman" w:cs="Times New Roman"/>
      <w:b/>
      <w:bCs/>
      <w:sz w:val="20"/>
      <w:szCs w:val="20"/>
      <w:lang w:val="it-IT" w:eastAsia="it-IT"/>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3F77"/>
    <w:rPr>
      <w:rFonts w:ascii="Times New Roman" w:eastAsia="MS Mincho" w:hAnsi="Times New Roman" w:cs="Times New Roman"/>
      <w:sz w:val="26"/>
      <w:lang w:val="it-IT" w:eastAsia="it-I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uiPriority w:val="99"/>
    <w:unhideWhenUsed/>
    <w:rsid w:val="006E3F77"/>
    <w:rPr>
      <w:vertAlign w:val="superscript"/>
    </w:rPr>
  </w:style>
  <w:style w:type="paragraph" w:styleId="FootnoteText">
    <w:name w:val="footnote text"/>
    <w:basedOn w:val="Normal"/>
    <w:link w:val="FootnoteTextChar"/>
    <w:uiPriority w:val="99"/>
    <w:unhideWhenUsed/>
    <w:rsid w:val="006E3F77"/>
    <w:rPr>
      <w:rFonts w:ascii="Cambria" w:hAnsi="Cambria"/>
      <w:sz w:val="20"/>
      <w:szCs w:val="20"/>
      <w:lang w:val="en-GB" w:eastAsia="x-none"/>
    </w:rPr>
  </w:style>
  <w:style w:type="character" w:customStyle="1" w:styleId="FootnoteTextChar">
    <w:name w:val="Footnote Text Char"/>
    <w:basedOn w:val="DefaultParagraphFont"/>
    <w:link w:val="FootnoteText"/>
    <w:uiPriority w:val="99"/>
    <w:rsid w:val="006E3F77"/>
    <w:rPr>
      <w:rFonts w:ascii="Cambria" w:eastAsia="MS Mincho" w:hAnsi="Cambria" w:cs="Times New Roman"/>
      <w:sz w:val="20"/>
      <w:szCs w:val="20"/>
      <w:lang w:val="en-GB" w:eastAsia="x-none"/>
    </w:rPr>
  </w:style>
  <w:style w:type="character" w:styleId="Hyperlink">
    <w:name w:val="Hyperlink"/>
    <w:basedOn w:val="DefaultParagraphFont"/>
    <w:unhideWhenUsed/>
    <w:rsid w:val="006E3F77"/>
    <w:rPr>
      <w:color w:val="0000FF"/>
      <w:u w:val="single"/>
    </w:rPr>
  </w:style>
  <w:style w:type="character" w:styleId="CommentReference">
    <w:name w:val="annotation reference"/>
    <w:basedOn w:val="DefaultParagraphFont"/>
    <w:uiPriority w:val="99"/>
    <w:semiHidden/>
    <w:unhideWhenUsed/>
    <w:rsid w:val="006E3F77"/>
    <w:rPr>
      <w:sz w:val="18"/>
      <w:szCs w:val="18"/>
    </w:rPr>
  </w:style>
  <w:style w:type="paragraph" w:styleId="CommentText">
    <w:name w:val="annotation text"/>
    <w:basedOn w:val="Normal"/>
    <w:link w:val="CommentTextChar"/>
    <w:uiPriority w:val="99"/>
    <w:semiHidden/>
    <w:unhideWhenUsed/>
    <w:rsid w:val="006E3F77"/>
    <w:rPr>
      <w:sz w:val="24"/>
    </w:rPr>
  </w:style>
  <w:style w:type="character" w:customStyle="1" w:styleId="CommentTextChar">
    <w:name w:val="Comment Text Char"/>
    <w:basedOn w:val="DefaultParagraphFont"/>
    <w:link w:val="CommentText"/>
    <w:uiPriority w:val="99"/>
    <w:semiHidden/>
    <w:rsid w:val="006E3F77"/>
    <w:rPr>
      <w:rFonts w:ascii="Times New Roman" w:eastAsia="MS Mincho" w:hAnsi="Times New Roman" w:cs="Times New Roman"/>
      <w:lang w:val="it-IT" w:eastAsia="it-IT"/>
    </w:rPr>
  </w:style>
  <w:style w:type="paragraph" w:styleId="BalloonText">
    <w:name w:val="Balloon Text"/>
    <w:basedOn w:val="Normal"/>
    <w:link w:val="BalloonTextChar"/>
    <w:uiPriority w:val="99"/>
    <w:semiHidden/>
    <w:unhideWhenUsed/>
    <w:rsid w:val="006E3F7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E3F77"/>
    <w:rPr>
      <w:rFonts w:ascii="Lucida Grande" w:eastAsia="MS Mincho" w:hAnsi="Lucida Grande" w:cs="Lucida Grande"/>
      <w:sz w:val="18"/>
      <w:szCs w:val="18"/>
      <w:lang w:val="it-IT" w:eastAsia="it-IT"/>
    </w:rPr>
  </w:style>
  <w:style w:type="paragraph" w:styleId="CommentSubject">
    <w:name w:val="annotation subject"/>
    <w:basedOn w:val="CommentText"/>
    <w:next w:val="CommentText"/>
    <w:link w:val="CommentSubjectChar"/>
    <w:uiPriority w:val="99"/>
    <w:semiHidden/>
    <w:unhideWhenUsed/>
    <w:rsid w:val="00296D4A"/>
    <w:rPr>
      <w:b/>
      <w:bCs/>
      <w:sz w:val="20"/>
      <w:szCs w:val="20"/>
    </w:rPr>
  </w:style>
  <w:style w:type="character" w:customStyle="1" w:styleId="CommentSubjectChar">
    <w:name w:val="Comment Subject Char"/>
    <w:basedOn w:val="CommentTextChar"/>
    <w:link w:val="CommentSubject"/>
    <w:uiPriority w:val="99"/>
    <w:semiHidden/>
    <w:rsid w:val="00296D4A"/>
    <w:rPr>
      <w:rFonts w:ascii="Times New Roman" w:eastAsia="MS Mincho" w:hAnsi="Times New Roman" w:cs="Times New Roman"/>
      <w:b/>
      <w:bCs/>
      <w:sz w:val="20"/>
      <w:szCs w:val="20"/>
      <w:lang w:val="it-IT"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1060189">
      <w:bodyDiv w:val="1"/>
      <w:marLeft w:val="0"/>
      <w:marRight w:val="0"/>
      <w:marTop w:val="0"/>
      <w:marBottom w:val="0"/>
      <w:divBdr>
        <w:top w:val="none" w:sz="0" w:space="0" w:color="auto"/>
        <w:left w:val="none" w:sz="0" w:space="0" w:color="auto"/>
        <w:bottom w:val="none" w:sz="0" w:space="0" w:color="auto"/>
        <w:right w:val="none" w:sz="0" w:space="0" w:color="auto"/>
      </w:divBdr>
      <w:divsChild>
        <w:div w:id="817111910">
          <w:marLeft w:val="0"/>
          <w:marRight w:val="0"/>
          <w:marTop w:val="0"/>
          <w:marBottom w:val="0"/>
          <w:divBdr>
            <w:top w:val="none" w:sz="0" w:space="0" w:color="auto"/>
            <w:left w:val="none" w:sz="0" w:space="0" w:color="auto"/>
            <w:bottom w:val="none" w:sz="0" w:space="0" w:color="auto"/>
            <w:right w:val="none" w:sz="0" w:space="0" w:color="auto"/>
          </w:divBdr>
        </w:div>
        <w:div w:id="530261916">
          <w:marLeft w:val="0"/>
          <w:marRight w:val="0"/>
          <w:marTop w:val="0"/>
          <w:marBottom w:val="0"/>
          <w:divBdr>
            <w:top w:val="none" w:sz="0" w:space="0" w:color="auto"/>
            <w:left w:val="none" w:sz="0" w:space="0" w:color="auto"/>
            <w:bottom w:val="none" w:sz="0" w:space="0" w:color="auto"/>
            <w:right w:val="none" w:sz="0" w:space="0" w:color="auto"/>
          </w:divBdr>
        </w:div>
        <w:div w:id="459886555">
          <w:marLeft w:val="0"/>
          <w:marRight w:val="0"/>
          <w:marTop w:val="0"/>
          <w:marBottom w:val="0"/>
          <w:divBdr>
            <w:top w:val="none" w:sz="0" w:space="0" w:color="auto"/>
            <w:left w:val="none" w:sz="0" w:space="0" w:color="auto"/>
            <w:bottom w:val="none" w:sz="0" w:space="0" w:color="auto"/>
            <w:right w:val="none" w:sz="0" w:space="0" w:color="auto"/>
          </w:divBdr>
        </w:div>
        <w:div w:id="592053265">
          <w:marLeft w:val="0"/>
          <w:marRight w:val="0"/>
          <w:marTop w:val="0"/>
          <w:marBottom w:val="0"/>
          <w:divBdr>
            <w:top w:val="none" w:sz="0" w:space="0" w:color="auto"/>
            <w:left w:val="none" w:sz="0" w:space="0" w:color="auto"/>
            <w:bottom w:val="none" w:sz="0" w:space="0" w:color="auto"/>
            <w:right w:val="none" w:sz="0" w:space="0" w:color="auto"/>
          </w:divBdr>
        </w:div>
        <w:div w:id="2044087309">
          <w:marLeft w:val="0"/>
          <w:marRight w:val="0"/>
          <w:marTop w:val="0"/>
          <w:marBottom w:val="0"/>
          <w:divBdr>
            <w:top w:val="none" w:sz="0" w:space="0" w:color="auto"/>
            <w:left w:val="none" w:sz="0" w:space="0" w:color="auto"/>
            <w:bottom w:val="none" w:sz="0" w:space="0" w:color="auto"/>
            <w:right w:val="none" w:sz="0" w:space="0" w:color="auto"/>
          </w:divBdr>
        </w:div>
        <w:div w:id="633021519">
          <w:marLeft w:val="0"/>
          <w:marRight w:val="0"/>
          <w:marTop w:val="0"/>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mailto:Ms2406@cam.ac.uk" TargetMode="External"/><Relationship Id="rId8" Type="http://schemas.openxmlformats.org/officeDocument/2006/relationships/hyperlink" Target="http://doi.org/10.007s12286-017-0375-4" TargetMode="Externa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_rels/footnotes.xml.rels><?xml version="1.0" encoding="UTF-8" standalone="yes"?>
<Relationships xmlns="http://schemas.openxmlformats.org/package/2006/relationships"><Relationship Id="rId1" Type="http://schemas.openxmlformats.org/officeDocument/2006/relationships/hyperlink" Target="http://www.studiacroatica.org/jcs/01/0106.htm" TargetMode="External"/><Relationship Id="rId2" Type="http://schemas.openxmlformats.org/officeDocument/2006/relationships/hyperlink" Target="http://www.internationaldemocracywatch.org/attachments/342_Paris%20summit%201990%20-%20Charter%20of%20Paris%20for%20a%20New%20Europe.pdf" TargetMode="External"/><Relationship Id="rId3" Type="http://schemas.openxmlformats.org/officeDocument/2006/relationships/hyperlink" Target="http://www.bbc.com/news/world-europe-2311803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1736</TotalTime>
  <Pages>16</Pages>
  <Words>8768</Words>
  <Characters>51118</Characters>
  <Application>Microsoft Macintosh Word</Application>
  <DocSecurity>0</DocSecurity>
  <Lines>851</Lines>
  <Paragraphs>123</Paragraphs>
  <ScaleCrop>false</ScaleCrop>
  <HeadingPairs>
    <vt:vector size="4" baseType="variant">
      <vt:variant>
        <vt:lpstr>Title</vt:lpstr>
      </vt:variant>
      <vt:variant>
        <vt:i4>1</vt:i4>
      </vt:variant>
      <vt:variant>
        <vt:lpstr>Headings</vt:lpstr>
      </vt:variant>
      <vt:variant>
        <vt:i4>7</vt:i4>
      </vt:variant>
    </vt:vector>
  </HeadingPairs>
  <TitlesOfParts>
    <vt:vector size="8" baseType="lpstr">
      <vt:lpstr/>
      <vt:lpstr>Keywords - state formation, international supervision, national membership, Balk</vt:lpstr>
      <vt:lpstr/>
      <vt:lpstr>State Formation and Minority Treaties at the Paris Peace Conference</vt:lpstr>
      <vt:lpstr>Unequal Rights and Treatment in the Yugoslav Kingdom</vt:lpstr>
      <vt:lpstr>The Recognition of New States and the Badinter Committee</vt:lpstr>
      <vt:lpstr>Territorial Rescaling and Unequal Citizenship in Croatia</vt:lpstr>
      <vt:lpstr>References</vt:lpstr>
    </vt:vector>
  </TitlesOfParts>
  <Company/>
  <LinksUpToDate>false</LinksUpToDate>
  <CharactersWithSpaces>59763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Maja Spanu</dc:creator>
  <cp:keywords/>
  <dc:description/>
  <cp:lastModifiedBy>Maja Spanu</cp:lastModifiedBy>
  <cp:revision>36</cp:revision>
  <dcterms:created xsi:type="dcterms:W3CDTF">2018-09-04T06:29:00Z</dcterms:created>
  <dcterms:modified xsi:type="dcterms:W3CDTF">2018-11-25T22:54:00Z</dcterms:modified>
</cp:coreProperties>
</file>