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pPr>
      <w:r>
        <w:rPr>
          <w:rFonts w:ascii="Times New Roman" w:hAnsi="Times New Roman"/>
          <w:b/>
          <w:bCs/>
          <w:sz w:val="28"/>
          <w:szCs w:val="28"/>
        </w:rPr>
        <w:t>Relation between Leaf Area Index and NDVI for subarctic deciduous vegetation</w:t>
      </w:r>
    </w:p>
    <w:p>
      <w:pPr>
        <w:pStyle w:val="Normal"/>
        <w:rPr>
          <w:rFonts w:ascii="Times New Roman" w:hAnsi="Times New Roman"/>
          <w:sz w:val="24"/>
          <w:szCs w:val="24"/>
        </w:rPr>
      </w:pPr>
      <w:r>
        <w:rPr>
          <w:rFonts w:ascii="Times New Roman" w:hAnsi="Times New Roman"/>
          <w:sz w:val="24"/>
          <w:szCs w:val="24"/>
        </w:rPr>
      </w:r>
    </w:p>
    <w:p>
      <w:pPr>
        <w:pStyle w:val="Normal"/>
        <w:rPr/>
      </w:pPr>
      <w:r>
        <w:rPr>
          <w:rFonts w:ascii="Times New Roman" w:hAnsi="Times New Roman"/>
          <w:sz w:val="24"/>
          <w:szCs w:val="24"/>
          <w:lang w:val="en-US"/>
        </w:rPr>
        <w:t>W.G.Rees(1), E.I.Golubeva(2), O.V. Tutubalina(3), M.V.Zimin(4), A.A. Derkacheva(5)</w:t>
      </w:r>
    </w:p>
    <w:p>
      <w:pPr>
        <w:pStyle w:val="Normal"/>
        <w:rPr>
          <w:rFonts w:ascii="Times New Roman" w:hAnsi="Times New Roman"/>
          <w:sz w:val="24"/>
          <w:szCs w:val="24"/>
          <w:lang w:val="en-US"/>
        </w:rPr>
      </w:pPr>
      <w:r>
        <w:rPr>
          <w:rFonts w:ascii="Times New Roman" w:hAnsi="Times New Roman"/>
          <w:sz w:val="24"/>
          <w:szCs w:val="24"/>
          <w:lang w:val="en-US"/>
        </w:rPr>
      </w:r>
    </w:p>
    <w:p>
      <w:pPr>
        <w:pStyle w:val="Normal"/>
        <w:rPr/>
      </w:pPr>
      <w:r>
        <w:rPr>
          <w:rFonts w:ascii="Times New Roman" w:hAnsi="Times New Roman"/>
          <w:sz w:val="24"/>
          <w:szCs w:val="24"/>
          <w:lang w:val="en-US"/>
        </w:rPr>
        <w:t xml:space="preserve">(1) Scott Polar Research Institute, University of Cambridge, Lensfield Road, Cambridge CB2 1ER, United Kingdom. </w:t>
      </w:r>
      <w:hyperlink r:id="rId2">
        <w:r>
          <w:rPr>
            <w:rStyle w:val="InternetLink"/>
            <w:rFonts w:ascii="Times New Roman" w:hAnsi="Times New Roman"/>
            <w:sz w:val="24"/>
            <w:szCs w:val="24"/>
            <w:lang w:val="en-US"/>
          </w:rPr>
          <w:t>wgr2@cam.ac.uk</w:t>
        </w:r>
      </w:hyperlink>
      <w:r>
        <w:rPr>
          <w:rFonts w:ascii="Times New Roman" w:hAnsi="Times New Roman"/>
          <w:sz w:val="24"/>
          <w:szCs w:val="24"/>
          <w:lang w:val="en-US"/>
        </w:rPr>
        <w:t>. Corresponding author. ORCID 0000-0001-6020-1232.</w:t>
      </w:r>
    </w:p>
    <w:p>
      <w:pPr>
        <w:pStyle w:val="Normal"/>
        <w:rPr>
          <w:rFonts w:ascii="Times New Roman" w:hAnsi="Times New Roman"/>
          <w:sz w:val="24"/>
          <w:szCs w:val="24"/>
          <w:lang w:val="en-US"/>
        </w:rPr>
      </w:pPr>
      <w:r>
        <w:rPr>
          <w:rFonts w:ascii="Times New Roman" w:hAnsi="Times New Roman"/>
          <w:sz w:val="24"/>
          <w:szCs w:val="24"/>
          <w:lang w:val="en-US"/>
        </w:rPr>
      </w:r>
    </w:p>
    <w:p>
      <w:pPr>
        <w:pStyle w:val="Normal"/>
        <w:rPr/>
      </w:pPr>
      <w:r>
        <w:rPr>
          <w:rFonts w:ascii="Times New Roman" w:hAnsi="Times New Roman"/>
          <w:sz w:val="24"/>
          <w:szCs w:val="24"/>
          <w:lang w:val="en-US"/>
        </w:rPr>
        <w:t xml:space="preserve">(2) M.V. Lomonosov Moscow State University, Faculty of Geography, Leninskiye Gory 1, Moscow 119991, Russia, and Immanuel Kant Baltic Federal University, Russia.   </w:t>
      </w:r>
      <w:hyperlink r:id="rId3">
        <w:r>
          <w:rPr>
            <w:rStyle w:val="InternetLink"/>
            <w:rFonts w:ascii="Times New Roman" w:hAnsi="Times New Roman"/>
            <w:sz w:val="24"/>
            <w:szCs w:val="24"/>
            <w:lang w:val="en-US"/>
          </w:rPr>
          <w:t>egolubeva@gmail.com</w:t>
        </w:r>
      </w:hyperlink>
      <w:r>
        <w:rPr>
          <w:rFonts w:ascii="Times New Roman" w:hAnsi="Times New Roman"/>
          <w:sz w:val="24"/>
          <w:szCs w:val="24"/>
          <w:lang w:val="en-US"/>
        </w:rPr>
        <w:t>. ORCID 0000-0003-4789-2192.</w:t>
      </w:r>
    </w:p>
    <w:p>
      <w:pPr>
        <w:pStyle w:val="Normal"/>
        <w:rPr>
          <w:rFonts w:ascii="Times New Roman" w:hAnsi="Times New Roman"/>
          <w:sz w:val="24"/>
          <w:szCs w:val="24"/>
          <w:lang w:val="en-US"/>
        </w:rPr>
      </w:pPr>
      <w:r>
        <w:rPr>
          <w:rFonts w:ascii="Times New Roman" w:hAnsi="Times New Roman"/>
          <w:sz w:val="24"/>
          <w:szCs w:val="24"/>
          <w:lang w:val="en-US"/>
        </w:rPr>
      </w:r>
    </w:p>
    <w:p>
      <w:pPr>
        <w:pStyle w:val="Normal"/>
        <w:rPr/>
      </w:pPr>
      <w:r>
        <w:rPr>
          <w:rFonts w:ascii="Times New Roman" w:hAnsi="Times New Roman"/>
          <w:sz w:val="24"/>
          <w:szCs w:val="24"/>
          <w:lang w:val="en-US"/>
        </w:rPr>
        <w:t xml:space="preserve">(3) M.V. Lomonosov Moscow State University, Faculty of Geography, Leninskiye Gory 1, Moscow 119991, Russia.  </w:t>
      </w:r>
      <w:hyperlink r:id="rId4">
        <w:r>
          <w:rPr>
            <w:rStyle w:val="InternetLink"/>
            <w:rFonts w:ascii="Times New Roman" w:hAnsi="Times New Roman"/>
            <w:sz w:val="24"/>
            <w:szCs w:val="24"/>
            <w:lang w:val="en-US"/>
          </w:rPr>
          <w:t>olgatut@mail.ru</w:t>
        </w:r>
      </w:hyperlink>
      <w:r>
        <w:rPr>
          <w:rFonts w:ascii="Times New Roman" w:hAnsi="Times New Roman"/>
          <w:sz w:val="24"/>
          <w:szCs w:val="24"/>
          <w:lang w:val="en-US"/>
        </w:rPr>
        <w:t>. ORCID 0000-0001-8049-1724.</w:t>
      </w:r>
    </w:p>
    <w:p>
      <w:pPr>
        <w:pStyle w:val="Normal"/>
        <w:rPr>
          <w:rFonts w:ascii="Times New Roman" w:hAnsi="Times New Roman"/>
          <w:sz w:val="24"/>
          <w:szCs w:val="24"/>
          <w:lang w:val="en-US"/>
        </w:rPr>
      </w:pPr>
      <w:r>
        <w:rPr>
          <w:rFonts w:ascii="Times New Roman" w:hAnsi="Times New Roman"/>
          <w:sz w:val="24"/>
          <w:szCs w:val="24"/>
          <w:lang w:val="en-US"/>
        </w:rPr>
      </w:r>
    </w:p>
    <w:p>
      <w:pPr>
        <w:pStyle w:val="Normal"/>
        <w:rPr/>
      </w:pPr>
      <w:r>
        <w:rPr>
          <w:rFonts w:ascii="Times New Roman" w:hAnsi="Times New Roman"/>
          <w:sz w:val="24"/>
          <w:szCs w:val="24"/>
          <w:lang w:val="en-US"/>
        </w:rPr>
        <w:t xml:space="preserve">(4) M.V. Lomonosov Moscow State University, Faculty of Geography, Leninskiye Gory 1, Moscow 119991, Russia, and R&amp;D Centre ScanEx, Moscow. </w:t>
      </w:r>
      <w:hyperlink r:id="rId5">
        <w:r>
          <w:rPr>
            <w:rStyle w:val="InternetLink"/>
            <w:rFonts w:ascii="Times New Roman" w:hAnsi="Times New Roman"/>
            <w:sz w:val="24"/>
            <w:szCs w:val="24"/>
            <w:lang w:val="en-US"/>
          </w:rPr>
          <w:t>ziminmv@mail.ru</w:t>
        </w:r>
      </w:hyperlink>
      <w:r>
        <w:rPr>
          <w:rFonts w:ascii="Times New Roman" w:hAnsi="Times New Roman"/>
          <w:sz w:val="24"/>
          <w:szCs w:val="24"/>
          <w:lang w:val="en-US"/>
        </w:rPr>
        <w:t>. ORCID 0000-0003-4789-2192.</w:t>
      </w:r>
    </w:p>
    <w:p>
      <w:pPr>
        <w:pStyle w:val="Normal"/>
        <w:rPr>
          <w:rFonts w:ascii="Times New Roman" w:hAnsi="Times New Roman"/>
          <w:sz w:val="24"/>
          <w:szCs w:val="24"/>
          <w:lang w:val="en-US"/>
        </w:rPr>
      </w:pPr>
      <w:r>
        <w:rPr>
          <w:rFonts w:ascii="Times New Roman" w:hAnsi="Times New Roman"/>
          <w:sz w:val="24"/>
          <w:szCs w:val="24"/>
          <w:lang w:val="en-US"/>
        </w:rPr>
      </w:r>
    </w:p>
    <w:p>
      <w:pPr>
        <w:pStyle w:val="Normal"/>
        <w:rPr/>
      </w:pPr>
      <w:r>
        <w:rPr>
          <w:rFonts w:ascii="Times New Roman" w:hAnsi="Times New Roman"/>
          <w:sz w:val="24"/>
          <w:szCs w:val="24"/>
          <w:lang w:val="en-US"/>
        </w:rPr>
        <w:t xml:space="preserve">(5) M.V. Lomonosov Moscow State University, Faculty of Geography, Leninskiye Gory 1, Moscow 119991, Russia. Current address: Institute for Geosciences and Environmental Research, University of Grenoble, France. </w:t>
      </w:r>
      <w:hyperlink r:id="rId6">
        <w:r>
          <w:rPr>
            <w:rStyle w:val="InternetLink"/>
            <w:rFonts w:ascii="Times New Roman" w:hAnsi="Times New Roman"/>
            <w:sz w:val="24"/>
            <w:szCs w:val="24"/>
            <w:lang w:val="en-US"/>
          </w:rPr>
          <w:t>Anna.derkacheva@univ-grenoble-alpes.fr</w:t>
        </w:r>
      </w:hyperlink>
      <w:r>
        <w:rPr>
          <w:rFonts w:ascii="Times New Roman" w:hAnsi="Times New Roman"/>
          <w:sz w:val="24"/>
          <w:szCs w:val="24"/>
          <w:lang w:val="en-US"/>
        </w:rPr>
        <w:t>. ORCID 0000-0002-7386-3814.</w:t>
      </w:r>
    </w:p>
    <w:p>
      <w:pPr>
        <w:pStyle w:val="Normal"/>
        <w:rPr>
          <w:rFonts w:ascii="Arial;Tahoma;Verdana;sans-serif" w:hAnsi="Arial;Tahoma;Verdana;sans-serif"/>
          <w:b w:val="false"/>
          <w:b w:val="false"/>
          <w:i w:val="false"/>
          <w:i w:val="false"/>
          <w:caps w:val="false"/>
          <w:smallCaps w:val="false"/>
          <w:color w:val="333333"/>
          <w:spacing w:val="0"/>
          <w:sz w:val="18"/>
          <w:szCs w:val="24"/>
          <w:lang w:val="en-US"/>
        </w:rPr>
      </w:pPr>
      <w:r>
        <w:rPr>
          <w:rFonts w:ascii="Arial;Tahoma;Verdana;sans-serif" w:hAnsi="Arial;Tahoma;Verdana;sans-serif"/>
          <w:b w:val="false"/>
          <w:i w:val="false"/>
          <w:caps w:val="false"/>
          <w:smallCaps w:val="false"/>
          <w:color w:val="333333"/>
          <w:spacing w:val="0"/>
          <w:sz w:val="18"/>
          <w:szCs w:val="24"/>
          <w:lang w:val="en-US"/>
        </w:rPr>
      </w:r>
    </w:p>
    <w:p>
      <w:pPr>
        <w:pStyle w:val="Normal"/>
        <w:rPr>
          <w:rFonts w:ascii="Times New Roman" w:hAnsi="Times New Roman"/>
          <w:sz w:val="24"/>
          <w:szCs w:val="24"/>
          <w:lang w:val="en-US"/>
        </w:rPr>
      </w:pPr>
      <w:r>
        <w:rPr>
          <w:rFonts w:ascii="Times New Roman" w:hAnsi="Times New Roman"/>
          <w:sz w:val="24"/>
          <w:szCs w:val="24"/>
          <w:lang w:val="en-US"/>
        </w:rPr>
      </w:r>
    </w:p>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b/>
          <w:b/>
          <w:bCs/>
          <w:sz w:val="24"/>
          <w:szCs w:val="24"/>
        </w:rPr>
      </w:pPr>
      <w:r>
        <w:rPr>
          <w:rFonts w:ascii="Times New Roman" w:hAnsi="Times New Roman"/>
          <w:b/>
          <w:bCs/>
          <w:sz w:val="24"/>
          <w:szCs w:val="24"/>
        </w:rPr>
      </w:r>
      <w:r>
        <w:br w:type="page"/>
      </w:r>
    </w:p>
    <w:p>
      <w:pPr>
        <w:pStyle w:val="Normal"/>
        <w:rPr/>
      </w:pPr>
      <w:r>
        <w:rPr>
          <w:rFonts w:ascii="Times New Roman" w:hAnsi="Times New Roman"/>
          <w:b/>
          <w:bCs/>
          <w:sz w:val="24"/>
          <w:szCs w:val="24"/>
        </w:rPr>
        <w:t>Abstract</w:t>
      </w:r>
    </w:p>
    <w:p>
      <w:pPr>
        <w:pStyle w:val="Normal"/>
        <w:rPr>
          <w:rFonts w:ascii="Times New Roman" w:hAnsi="Times New Roman"/>
          <w:b w:val="false"/>
          <w:b w:val="false"/>
          <w:bCs w:val="false"/>
          <w:sz w:val="24"/>
          <w:szCs w:val="24"/>
        </w:rPr>
      </w:pPr>
      <w:r>
        <w:rPr>
          <w:rFonts w:ascii="Times New Roman" w:hAnsi="Times New Roman"/>
          <w:b w:val="false"/>
          <w:bCs w:val="false"/>
          <w:sz w:val="24"/>
          <w:szCs w:val="24"/>
        </w:rPr>
      </w:r>
    </w:p>
    <w:p>
      <w:pPr>
        <w:pStyle w:val="Normal"/>
        <w:rPr/>
      </w:pPr>
      <w:bookmarkStart w:id="0" w:name="__DdeLink__103674_1464670291"/>
      <w:r>
        <w:rPr>
          <w:rFonts w:ascii="Times New Roman" w:hAnsi="Times New Roman"/>
          <w:b w:val="false"/>
          <w:bCs w:val="false"/>
          <w:sz w:val="24"/>
          <w:szCs w:val="24"/>
        </w:rPr>
        <w:t xml:space="preserve">We consider the relationship between leaf area index (LAI) and normalised difference vegetation index (NDVI) for green-leaf vegetation from a subarctic study site, specifically to test whether relationships optimised for lower-latitude vegetation can be assumed to hold at higher latitudes. We focus attention particularly on dwarf-shrub vegetation, which has received little previous investigation. </w:t>
      </w:r>
    </w:p>
    <w:p>
      <w:pPr>
        <w:pStyle w:val="Normal"/>
        <w:rPr>
          <w:rFonts w:ascii="Times New Roman" w:hAnsi="Times New Roman"/>
          <w:b w:val="false"/>
          <w:b w:val="false"/>
          <w:bCs w:val="false"/>
          <w:sz w:val="24"/>
          <w:szCs w:val="24"/>
        </w:rPr>
      </w:pPr>
      <w:r>
        <w:rPr>
          <w:rFonts w:ascii="Times New Roman" w:hAnsi="Times New Roman"/>
          <w:b w:val="false"/>
          <w:bCs w:val="false"/>
          <w:sz w:val="24"/>
          <w:szCs w:val="24"/>
        </w:rPr>
      </w:r>
    </w:p>
    <w:p>
      <w:pPr>
        <w:pStyle w:val="Normal"/>
        <w:rPr/>
      </w:pPr>
      <w:r>
        <w:rPr>
          <w:rFonts w:ascii="Times New Roman" w:hAnsi="Times New Roman"/>
          <w:b w:val="false"/>
          <w:bCs w:val="false"/>
          <w:sz w:val="24"/>
          <w:szCs w:val="24"/>
        </w:rPr>
        <w:t xml:space="preserve">We have collected hyperspectral measurements of the optical properties (reflectance and absorptance) of single leaves from dwarf shrub and tree species common to northern European Russia, and have developed a simple physical model of the properties of assemblages (‘leaf stacks’) of these leaves. The model is shown to provide a satisfactory explanation of the effect of varying the number of leaves in a stack on its NDVI, and can be easily adapted to make simple measurements using relatively inexpensive equipment. Our results show that the LAI-NDVI relationship for a vegetation canopy will saturate (approach within 10% of its limiting value) when the LAI reaches a value of around 2 </w:t>
      </w:r>
      <w:r>
        <w:rPr>
          <w:rFonts w:ascii="Times New Roman" w:hAnsi="Times New Roman"/>
          <w:b w:val="false"/>
          <w:bCs w:val="false"/>
          <w:sz w:val="24"/>
          <w:szCs w:val="24"/>
          <w:highlight w:val="yellow"/>
        </w:rPr>
        <w:t>to</w:t>
      </w:r>
      <w:r>
        <w:rPr>
          <w:rFonts w:ascii="Times New Roman" w:hAnsi="Times New Roman"/>
          <w:b w:val="false"/>
          <w:bCs w:val="false"/>
          <w:sz w:val="24"/>
          <w:szCs w:val="24"/>
        </w:rPr>
        <w:t xml:space="preserve"> 3. Values this low are not uncommon in subarctic vegetation. It is also shown that dwarf shrub vegetation may show lower NDVI than trees for the same LAI.</w:t>
      </w:r>
      <w:bookmarkEnd w:id="0"/>
    </w:p>
    <w:p>
      <w:pPr>
        <w:pStyle w:val="Normal"/>
        <w:rPr>
          <w:rFonts w:ascii="Times New Roman" w:hAnsi="Times New Roman"/>
          <w:b w:val="false"/>
          <w:b w:val="false"/>
          <w:bCs w:val="false"/>
          <w:sz w:val="24"/>
          <w:szCs w:val="24"/>
        </w:rPr>
      </w:pPr>
      <w:r>
        <w:rPr>
          <w:rFonts w:ascii="Times New Roman" w:hAnsi="Times New Roman"/>
          <w:b w:val="false"/>
          <w:bCs w:val="false"/>
          <w:sz w:val="24"/>
          <w:szCs w:val="24"/>
        </w:rPr>
      </w:r>
    </w:p>
    <w:p>
      <w:pPr>
        <w:pStyle w:val="Normal"/>
        <w:rPr/>
      </w:pPr>
      <w:r>
        <w:rPr>
          <w:rFonts w:ascii="Times New Roman" w:hAnsi="Times New Roman"/>
          <w:b/>
          <w:bCs/>
          <w:sz w:val="24"/>
          <w:szCs w:val="24"/>
        </w:rPr>
        <w:t>Keywords:</w:t>
      </w:r>
      <w:r>
        <w:rPr>
          <w:rFonts w:ascii="Times New Roman" w:hAnsi="Times New Roman"/>
          <w:b w:val="false"/>
          <w:bCs w:val="false"/>
          <w:sz w:val="24"/>
          <w:szCs w:val="24"/>
        </w:rPr>
        <w:t xml:space="preserve"> leaf area index; NDVI; optical reflectance; optical absorptance; leaf stack; subarctic; spectrometry</w:t>
      </w:r>
    </w:p>
    <w:p>
      <w:pPr>
        <w:pStyle w:val="Normal"/>
        <w:rPr>
          <w:rFonts w:ascii="Times New Roman" w:hAnsi="Times New Roman"/>
          <w:b w:val="false"/>
          <w:b w:val="false"/>
          <w:bCs w:val="false"/>
          <w:sz w:val="24"/>
          <w:szCs w:val="24"/>
        </w:rPr>
      </w:pPr>
      <w:r>
        <w:rPr>
          <w:rFonts w:ascii="Times New Roman" w:hAnsi="Times New Roman"/>
          <w:b w:val="false"/>
          <w:bCs w:val="false"/>
          <w:sz w:val="24"/>
          <w:szCs w:val="24"/>
        </w:rPr>
      </w:r>
    </w:p>
    <w:p>
      <w:pPr>
        <w:pStyle w:val="Normal"/>
        <w:rPr>
          <w:rFonts w:ascii="Times New Roman" w:hAnsi="Times New Roman"/>
          <w:b w:val="false"/>
          <w:b w:val="false"/>
          <w:bCs w:val="false"/>
          <w:sz w:val="24"/>
          <w:szCs w:val="24"/>
        </w:rPr>
      </w:pPr>
      <w:r>
        <w:rPr>
          <w:rFonts w:ascii="Times New Roman" w:hAnsi="Times New Roman"/>
          <w:b w:val="false"/>
          <w:bCs w:val="false"/>
          <w:sz w:val="24"/>
          <w:szCs w:val="24"/>
        </w:rPr>
      </w:r>
    </w:p>
    <w:p>
      <w:pPr>
        <w:pStyle w:val="Normal"/>
        <w:jc w:val="both"/>
        <w:rPr/>
      </w:pPr>
      <w:r>
        <w:rPr>
          <w:rFonts w:ascii="Times New Roman" w:hAnsi="Times New Roman"/>
          <w:b/>
          <w:bCs/>
          <w:sz w:val="24"/>
          <w:szCs w:val="24"/>
        </w:rPr>
        <w:t>1. Introduction</w:t>
      </w:r>
    </w:p>
    <w:p>
      <w:pPr>
        <w:pStyle w:val="Normal"/>
        <w:jc w:val="both"/>
        <w:rPr>
          <w:rFonts w:ascii="Times New Roman" w:hAnsi="Times New Roman"/>
          <w:sz w:val="24"/>
          <w:szCs w:val="24"/>
        </w:rPr>
      </w:pPr>
      <w:r>
        <w:rPr>
          <w:rFonts w:ascii="Times New Roman" w:hAnsi="Times New Roman"/>
          <w:sz w:val="24"/>
          <w:szCs w:val="24"/>
        </w:rPr>
      </w:r>
    </w:p>
    <w:p>
      <w:pPr>
        <w:pStyle w:val="Normal"/>
        <w:jc w:val="left"/>
        <w:rPr/>
      </w:pPr>
      <w:r>
        <w:rPr>
          <w:rFonts w:eastAsia="Times New Roman" w:cs="Times New Roman" w:ascii="Times New Roman" w:hAnsi="Times New Roman"/>
          <w:color w:val="00000A"/>
          <w:sz w:val="24"/>
          <w:szCs w:val="24"/>
          <w:lang w:val="en-US"/>
        </w:rPr>
        <w:t xml:space="preserve">At present, most of the maps describing structure, functions, productivity, the state and dynamics of vegetation are based on remote sensing imagery </w:t>
      </w:r>
      <w:r>
        <w:rPr/>
        <w:t>(Chen et al. 2015; Bartalev et al. 2015)</w:t>
      </w:r>
      <w:r>
        <w:rPr>
          <w:rFonts w:eastAsia="Times New Roman" w:cs="Times New Roman" w:ascii="Times New Roman" w:hAnsi="Times New Roman"/>
          <w:color w:val="00000A"/>
          <w:sz w:val="24"/>
          <w:szCs w:val="24"/>
          <w:lang w:val="en-US"/>
        </w:rPr>
        <w:t>. The detail and scale of the maps vary depending on the image properties and the objectives of research. Spectral vegetation indices, such as the Normalised Difference Vegetation Index (NDVI:</w:t>
      </w:r>
      <w:r>
        <w:rPr/>
        <w:t>Tucker [1979]</w:t>
      </w:r>
      <w:r>
        <w:rPr>
          <w:rFonts w:eastAsia="Arial" w:cs="Arial" w:ascii="Times New Roman" w:hAnsi="Times New Roman"/>
          <w:color w:val="00000A"/>
          <w:sz w:val="24"/>
          <w:szCs w:val="24"/>
          <w:lang w:val="en-US"/>
        </w:rPr>
        <w:t>)</w:t>
      </w:r>
      <w:r>
        <w:rPr>
          <w:rFonts w:eastAsia="Times New Roman" w:cs="Times New Roman" w:ascii="Times New Roman" w:hAnsi="Times New Roman"/>
          <w:color w:val="00000A"/>
          <w:sz w:val="24"/>
          <w:szCs w:val="24"/>
          <w:lang w:val="en-US"/>
        </w:rPr>
        <w:t xml:space="preserve"> are among the most widely used tools to assess vegetation parameters with remote sensing data, in part because of the straightforwardness with which they can be calculated from suitable imagery and in part because of their close linkage to the physical properties of vegetation canopies. As a consequence, they find very widespread application in studies of vegetation distribution and its change over time (Pettorelli 2013). This is equally true of high northern latitudes as in other parts of the world. NDVI has been used to study the phenomenon of ‘greening of the Arctic’, and indeed ‘browning’ </w:t>
      </w:r>
      <w:r>
        <w:rPr/>
        <w:t>(Jia, Epstein, and Walker 2003; Phoenix and Bjerke 2016; Belonovskaya et al. 2016)</w:t>
      </w:r>
      <w:r>
        <w:rPr>
          <w:rFonts w:eastAsia="Times New Roman" w:cs="Times New Roman" w:ascii="Times New Roman" w:hAnsi="Times New Roman"/>
          <w:color w:val="00000A"/>
          <w:sz w:val="24"/>
          <w:szCs w:val="24"/>
          <w:lang w:val="en-US"/>
        </w:rPr>
        <w:t>, including in Svalbard.</w:t>
      </w:r>
    </w:p>
    <w:p>
      <w:pPr>
        <w:pStyle w:val="Normal"/>
        <w:jc w:val="left"/>
        <w:rPr/>
      </w:pPr>
      <w:r>
        <w:rPr>
          <w:rFonts w:eastAsia="Times New Roman" w:cs="Times New Roman" w:ascii="Times New Roman" w:hAnsi="Times New Roman"/>
          <w:color w:val="00000A"/>
          <w:sz w:val="24"/>
          <w:szCs w:val="24"/>
          <w:lang w:val="en-US"/>
        </w:rPr>
        <w:tab/>
        <w:t xml:space="preserve">The NDVI is defined from the reflectance </w:t>
      </w:r>
      <w:r>
        <w:rPr>
          <w:rFonts w:eastAsia="Times New Roman" w:cs="Times New Roman" w:ascii="Times New Roman" w:hAnsi="Times New Roman"/>
          <w:i/>
          <w:iCs/>
          <w:color w:val="00000A"/>
          <w:sz w:val="24"/>
          <w:szCs w:val="24"/>
          <w:highlight w:val="yellow"/>
          <w:lang w:val="en-US"/>
        </w:rPr>
        <w:t>R</w:t>
      </w:r>
      <w:r>
        <w:rPr>
          <w:rFonts w:eastAsia="Times New Roman" w:cs="Times New Roman" w:ascii="Times New Roman" w:hAnsi="Times New Roman"/>
          <w:color w:val="00000A"/>
          <w:sz w:val="24"/>
          <w:szCs w:val="24"/>
          <w:lang w:val="en-US"/>
        </w:rPr>
        <w:t xml:space="preserve"> in two spectral regions: visible red light (typically 0.6 </w:t>
      </w:r>
      <w:r>
        <w:rPr>
          <w:rFonts w:eastAsia="Times New Roman" w:cs="Times New Roman" w:ascii="Times New Roman" w:hAnsi="Times New Roman"/>
          <w:color w:val="00000A"/>
          <w:sz w:val="24"/>
          <w:szCs w:val="24"/>
          <w:highlight w:val="yellow"/>
          <w:lang w:val="en-US"/>
        </w:rPr>
        <w:t>to</w:t>
      </w:r>
      <w:r>
        <w:rPr>
          <w:rFonts w:eastAsia="Times New Roman" w:cs="Times New Roman" w:ascii="Times New Roman" w:hAnsi="Times New Roman"/>
          <w:color w:val="00000A"/>
          <w:sz w:val="24"/>
          <w:szCs w:val="24"/>
          <w:lang w:val="en-US"/>
        </w:rPr>
        <w:t xml:space="preserve"> 0.7 </w:t>
      </w:r>
      <w:r>
        <w:rPr>
          <w:rFonts w:eastAsia="Symbol" w:cs="Symbol" w:ascii="Times New Roman" w:hAnsi="Times New Roman"/>
          <w:color w:val="00000A"/>
          <w:sz w:val="24"/>
          <w:szCs w:val="24"/>
          <w:lang w:val="en-US"/>
        </w:rPr>
        <w:t>µ</w:t>
      </w:r>
      <w:r>
        <w:rPr>
          <w:rFonts w:eastAsia="Times New Roman" w:cs="Times New Roman" w:ascii="Times New Roman" w:hAnsi="Times New Roman"/>
          <w:color w:val="00000A"/>
          <w:sz w:val="24"/>
          <w:szCs w:val="24"/>
          <w:lang w:val="en-US"/>
        </w:rPr>
        <w:t xml:space="preserve">m), and the near-infrared (NIR: typically 0.7 </w:t>
      </w:r>
      <w:r>
        <w:rPr>
          <w:rFonts w:eastAsia="Times New Roman" w:cs="Times New Roman" w:ascii="Times New Roman" w:hAnsi="Times New Roman"/>
          <w:color w:val="00000A"/>
          <w:sz w:val="24"/>
          <w:szCs w:val="24"/>
          <w:highlight w:val="yellow"/>
          <w:lang w:val="en-US"/>
        </w:rPr>
        <w:t>to</w:t>
      </w:r>
      <w:r>
        <w:rPr>
          <w:rFonts w:eastAsia="Times New Roman" w:cs="Times New Roman" w:ascii="Times New Roman" w:hAnsi="Times New Roman"/>
          <w:color w:val="00000A"/>
          <w:sz w:val="24"/>
          <w:szCs w:val="24"/>
          <w:lang w:val="en-US"/>
        </w:rPr>
        <w:t xml:space="preserve"> 1.0</w:t>
      </w:r>
      <w:r>
        <w:rPr>
          <w:rFonts w:eastAsia="Symbol" w:cs="Symbol" w:ascii="Times New Roman" w:hAnsi="Times New Roman"/>
          <w:color w:val="00000A"/>
          <w:sz w:val="24"/>
          <w:szCs w:val="24"/>
          <w:lang w:val="en-US"/>
        </w:rPr>
        <w:t xml:space="preserve"> µ</w:t>
      </w:r>
      <w:r>
        <w:rPr>
          <w:rFonts w:eastAsia="Times New Roman" w:cs="Times New Roman" w:ascii="Times New Roman" w:hAnsi="Times New Roman"/>
          <w:color w:val="00000A"/>
          <w:sz w:val="24"/>
          <w:szCs w:val="24"/>
          <w:lang w:val="en-US"/>
        </w:rPr>
        <w:t xml:space="preserve">m). This exploits the absorption of red light by chlorophyll, and multiple scattering of infrared photons by the cellular structure of vascular plant tissue (Campbell 2008). </w:t>
      </w:r>
      <w:r>
        <w:rPr>
          <w:rFonts w:eastAsia="Times New Roman" w:cs="Times New Roman" w:ascii="Times New Roman" w:hAnsi="Times New Roman"/>
          <w:color w:val="00000A"/>
          <w:sz w:val="24"/>
          <w:szCs w:val="24"/>
        </w:rPr>
        <w:t>The NDVI is defined as</w:t>
      </w:r>
    </w:p>
    <w:p>
      <w:pPr>
        <w:pStyle w:val="Normal"/>
        <w:spacing w:lineRule="auto" w:line="240"/>
        <w:jc w:val="both"/>
        <w:rPr>
          <w:rFonts w:ascii="Times New Roman" w:hAnsi="Times New Roman" w:eastAsia="Times New Roman" w:cs="Times New Roman"/>
          <w:color w:val="00000A"/>
          <w:sz w:val="24"/>
          <w:szCs w:val="24"/>
          <w:lang w:val="en-US"/>
        </w:rPr>
      </w:pPr>
      <w:r>
        <w:rPr>
          <w:rFonts w:eastAsia="Times New Roman" w:cs="Times New Roman" w:ascii="Times New Roman" w:hAnsi="Times New Roman"/>
          <w:color w:val="00000A"/>
          <w:sz w:val="24"/>
          <w:szCs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m:rPr>
            <m:lit/>
            <m:nor/>
          </m:rPr>
          <w:rPr>
            <w:rFonts w:ascii="Cambria Math" w:hAnsi="Cambria Math"/>
          </w:rPr>
          <m:t xml:space="preserve">NDVI</m:t>
        </m:r>
        <m:r>
          <w:rPr>
            <w:rFonts w:ascii="Cambria Math" w:hAnsi="Cambria Math"/>
          </w:rPr>
          <m:t xml:space="preserve">=</m:t>
        </m:r>
        <m:f>
          <m:num>
            <m:sSub>
              <m:e>
                <m:r>
                  <w:rPr>
                    <w:rFonts w:ascii="Cambria Math" w:hAnsi="Cambria Math"/>
                  </w:rPr>
                  <m:t xml:space="preserve">R</m:t>
                </m:r>
              </m:e>
              <m:sub>
                <m:r>
                  <m:rPr>
                    <m:lit/>
                    <m:nor/>
                  </m:rPr>
                  <w:rPr>
                    <w:rFonts w:ascii="Cambria Math" w:hAnsi="Cambria Math"/>
                  </w:rPr>
                  <m:t xml:space="preserve">IR</m:t>
                </m:r>
              </m:sub>
            </m:sSub>
            <m:r>
              <w:rPr>
                <w:rFonts w:ascii="Cambria Math" w:hAnsi="Cambria Math"/>
              </w:rPr>
              <m:t xml:space="preserve">−</m:t>
            </m:r>
            <m:sSub>
              <m:e>
                <m:r>
                  <w:rPr>
                    <w:rFonts w:ascii="Cambria Math" w:hAnsi="Cambria Math"/>
                  </w:rPr>
                  <m:t xml:space="preserve">R</m:t>
                </m:r>
              </m:e>
              <m:sub>
                <m:r>
                  <m:rPr>
                    <m:lit/>
                    <m:nor/>
                  </m:rPr>
                  <w:rPr>
                    <w:rFonts w:ascii="Cambria Math" w:hAnsi="Cambria Math"/>
                  </w:rPr>
                  <m:t xml:space="preserve">red</m:t>
                </m:r>
              </m:sub>
            </m:sSub>
          </m:num>
          <m:den>
            <m:sSub>
              <m:e>
                <m:r>
                  <w:rPr>
                    <w:rFonts w:ascii="Cambria Math" w:hAnsi="Cambria Math"/>
                  </w:rPr>
                  <m:t xml:space="preserve">R</m:t>
                </m:r>
              </m:e>
              <m:sub>
                <m:r>
                  <m:rPr>
                    <m:lit/>
                    <m:nor/>
                  </m:rPr>
                  <w:rPr>
                    <w:rFonts w:ascii="Cambria Math" w:hAnsi="Cambria Math"/>
                  </w:rPr>
                  <m:t xml:space="preserve">IR</m:t>
                </m:r>
              </m:sub>
            </m:sSub>
            <m:r>
              <w:rPr>
                <w:rFonts w:ascii="Cambria Math" w:hAnsi="Cambria Math"/>
              </w:rPr>
              <m:t xml:space="preserve">+</m:t>
            </m:r>
            <m:sSub>
              <m:e>
                <m:r>
                  <w:rPr>
                    <w:rFonts w:ascii="Cambria Math" w:hAnsi="Cambria Math"/>
                  </w:rPr>
                  <m:t xml:space="preserve">R</m:t>
                </m:r>
              </m:e>
              <m:sub>
                <m:r>
                  <m:rPr>
                    <m:lit/>
                    <m:nor/>
                  </m:rPr>
                  <w:rPr>
                    <w:rFonts w:ascii="Cambria Math" w:hAnsi="Cambria Math"/>
                  </w:rPr>
                  <m:t xml:space="preserve">red</m:t>
                </m:r>
              </m:sub>
            </m:sSub>
          </m:den>
        </m:f>
      </m:oMath>
      <w:r>
        <w:rPr/>
        <w:tab/>
      </w:r>
      <w:r>
        <w:rPr>
          <w:rFonts w:eastAsia="Times New Roman" w:cs="Times New Roman" w:ascii="Times New Roman" w:hAnsi="Times New Roman"/>
          <w:color w:val="00000A"/>
          <w:sz w:val="24"/>
          <w:lang w:val="en-US"/>
        </w:rPr>
        <w:t>(1)</w:t>
      </w:r>
    </w:p>
    <w:p>
      <w:pPr>
        <w:pStyle w:val="Normal"/>
        <w:spacing w:lineRule="auto" w:line="240"/>
        <w:jc w:val="left"/>
        <w:rPr>
          <w:rFonts w:ascii="Times New Roman" w:hAnsi="Times New Roman" w:eastAsia="Times New Roman" w:cs="Times New Roman"/>
          <w:color w:val="00000A"/>
          <w:sz w:val="24"/>
          <w:lang w:val="en-US"/>
        </w:rPr>
      </w:pPr>
      <w:r>
        <w:rPr>
          <w:rFonts w:eastAsia="Times New Roman" w:cs="Times New Roman" w:ascii="Times New Roman" w:hAnsi="Times New Roman"/>
          <w:color w:val="00000A"/>
          <w:sz w:val="24"/>
          <w:lang w:val="en-US"/>
        </w:rPr>
      </w:r>
    </w:p>
    <w:p>
      <w:pPr>
        <w:pStyle w:val="Normal"/>
        <w:spacing w:lineRule="auto" w:line="240"/>
        <w:jc w:val="left"/>
        <w:rPr/>
      </w:pPr>
      <w:r>
        <w:rPr>
          <w:rFonts w:eastAsia="Times New Roman" w:cs="Times New Roman" w:ascii="Times New Roman" w:hAnsi="Times New Roman"/>
          <w:color w:val="00000A"/>
          <w:sz w:val="24"/>
          <w:highlight w:val="yellow"/>
          <w:lang w:val="en-US"/>
        </w:rPr>
        <w:t>where ‘IR’ and ‘red’ denote near-infrared and red respectively</w:t>
      </w:r>
      <w:r>
        <w:rPr>
          <w:rFonts w:eastAsia="Times New Roman" w:cs="Times New Roman" w:ascii="Times New Roman" w:hAnsi="Times New Roman"/>
          <w:color w:val="00000A"/>
          <w:sz w:val="24"/>
          <w:lang w:val="en-US"/>
        </w:rPr>
        <w:t xml:space="preserve">. The definition can be applied at any spatial scale, from that of individual leaves to pixels or groups of pixels in a remotely sensed image, although it is most commonly used at the latter scale. It is meaningful at all scales, although the interpretation varies. At the scale of individual leaves, high photosynthetic activity generally corresponds to smaller reflectance values in the red and higher in the NIR, leading to higher NDVI. At the plot scale and coarser, the spatial distribution of leaves, and of vegetation units, is also relevant. </w:t>
      </w:r>
    </w:p>
    <w:p>
      <w:pPr>
        <w:pStyle w:val="Normal"/>
        <w:jc w:val="left"/>
        <w:rPr/>
      </w:pPr>
      <w:r>
        <w:rPr>
          <w:rFonts w:eastAsia="Times New Roman" w:cs="Times New Roman" w:ascii="Times New Roman" w:hAnsi="Times New Roman"/>
          <w:color w:val="00000A"/>
          <w:sz w:val="24"/>
          <w:lang w:val="en-US"/>
        </w:rPr>
        <w:tab/>
        <w:t xml:space="preserve">Other vegetation indices are also useful. Pettorelli (2013), following Bannari et al. (1995), lists 39 of them. Almost all of of these indices combine reflectances in the red and near infrared bands, and of those that do so exclusively, many are monotonically related to the NDVI. Others incorporate other spectral bands. </w:t>
      </w:r>
      <w:r>
        <w:rPr>
          <w:rFonts w:eastAsia="Arial" w:cs="Arial" w:ascii="Times New Roman" w:hAnsi="Times New Roman"/>
          <w:color w:val="00000A"/>
          <w:sz w:val="24"/>
          <w:szCs w:val="24"/>
          <w:lang w:val="en-US"/>
        </w:rPr>
        <w:t>There are obvious limitations to the usefulness of spectral vegetation indices. In most cases, it is necessary to compare index-derived maps with field data at key sites, for calibration and validation. It is necessary to take into account natural phenological changes and seasonal changes of climatic parameters, which are particularly important for assessing plant productivity and other quantitative parameters. One other challenge in the use of vegetation indices is the varying density of the vegetation</w:t>
      </w:r>
      <w:r>
        <w:rPr>
          <w:rFonts w:eastAsia="Arial" w:cs="Arial" w:ascii="Times New Roman" w:hAnsi="Times New Roman"/>
          <w:color w:val="FF3333"/>
          <w:sz w:val="24"/>
          <w:szCs w:val="24"/>
          <w:lang w:val="en-US"/>
        </w:rPr>
        <w:t xml:space="preserve"> </w:t>
      </w:r>
      <w:r>
        <w:rPr>
          <w:rFonts w:eastAsia="Arial" w:cs="Arial" w:ascii="Times New Roman" w:hAnsi="Times New Roman"/>
          <w:color w:val="00000A"/>
          <w:sz w:val="24"/>
          <w:szCs w:val="24"/>
          <w:lang w:val="en-US"/>
        </w:rPr>
        <w:t>cover, which may include several canopy levels, and the differences in plant leaf structure. The use of vegetation indices is limited to the vegetation season.</w:t>
      </w:r>
    </w:p>
    <w:p>
      <w:pPr>
        <w:pStyle w:val="Normal"/>
        <w:rPr/>
      </w:pPr>
      <w:r>
        <w:rPr>
          <w:rFonts w:eastAsia="Times New Roman" w:cs="Times New Roman" w:ascii="Times New Roman" w:hAnsi="Times New Roman"/>
          <w:color w:val="00000A"/>
          <w:sz w:val="24"/>
          <w:lang w:val="en-US"/>
        </w:rPr>
        <w:tab/>
        <w:t>The spatial distribution of leaves is partially captured by the concept of Leaf Area Index (LAI). Following the definition by Chen and Black (1992)</w:t>
      </w:r>
      <w:r>
        <w:rPr>
          <w:rFonts w:eastAsia="Times New Roman" w:cs="Times New Roman" w:ascii="Times New Roman" w:hAnsi="Times New Roman"/>
          <w:b w:val="false"/>
          <w:i w:val="false"/>
          <w:caps w:val="false"/>
          <w:smallCaps w:val="false"/>
          <w:color w:val="00000A"/>
          <w:position w:val="0"/>
          <w:sz w:val="24"/>
          <w:sz w:val="24"/>
          <w:u w:val="none"/>
          <w:vertAlign w:val="baseline"/>
          <w:lang w:val="en-US"/>
        </w:rPr>
        <w:t>, t</w:t>
      </w:r>
      <w:r>
        <w:rPr>
          <w:rFonts w:eastAsia="Times New Roman" w:cs="Times New Roman" w:ascii="Times New Roman" w:hAnsi="Times New Roman"/>
          <w:color w:val="00000A"/>
          <w:sz w:val="24"/>
          <w:lang w:val="en-US"/>
        </w:rPr>
        <w:t>his is defined by CEOS (the Committee on Earth Observation Satellites) as ‘one half of the total projected green leaf fractional area in the plant canopy within a given area’ (</w:t>
      </w:r>
      <w:hyperlink r:id="rId7">
        <w:r>
          <w:rPr>
            <w:rStyle w:val="InternetLink"/>
          </w:rPr>
          <w:t>http://database.eohandbook.com/measurements/measurements.aspx</w:t>
        </w:r>
      </w:hyperlink>
      <w:r>
        <w:rPr>
          <w:rFonts w:eastAsia="Times New Roman" w:cs="Times New Roman" w:ascii="Times New Roman" w:hAnsi="Times New Roman"/>
          <w:color w:val="00000A"/>
          <w:sz w:val="24"/>
          <w:lang w:val="en-US"/>
        </w:rPr>
        <w:t>). LAI is an important biophysical variable, for describing vegetation canopies and estimating productivity. It is generally increasing in the past decades, and in the subarctic regions the main driver is supposed to be climate change (Piao et al.  2019)</w:t>
      </w:r>
      <w:r>
        <w:rPr>
          <w:rFonts w:eastAsia="Times New Roman" w:cs="Times New Roman" w:ascii="Times New Roman" w:hAnsi="Times New Roman"/>
          <w:color w:val="00000A"/>
          <w:sz w:val="24"/>
          <w:lang w:val="ru-RU"/>
        </w:rPr>
        <w:t>.</w:t>
      </w:r>
      <w:r>
        <w:rPr>
          <w:rFonts w:eastAsia="Times New Roman" w:cs="Times New Roman" w:ascii="Times New Roman" w:hAnsi="Times New Roman"/>
          <w:color w:val="00000A"/>
          <w:sz w:val="24"/>
          <w:lang w:val="en-US"/>
        </w:rPr>
        <w:t xml:space="preserve"> The importance of the NDVI derives in large part from the fact that it is strongly correlated with LAI for a wide range of vegetation types, which suits it to mapping vegetation at a very general level (Zheng and Moskal 2009). This fact is also exploited in deriving estimates of LAI from remotely sensed data. The NDVI provides for very clear distinction between vegetation and non-vegetation objects in multispectral imagery that includes red and NIR bands. Typically, bare soils show NDVI values in the range 0.1 </w:t>
      </w:r>
      <w:r>
        <w:rPr>
          <w:rFonts w:eastAsia="Times New Roman" w:cs="Times New Roman" w:ascii="Times New Roman" w:hAnsi="Times New Roman"/>
          <w:color w:val="00000A"/>
          <w:sz w:val="24"/>
          <w:highlight w:val="yellow"/>
          <w:lang w:val="en-US"/>
        </w:rPr>
        <w:t>to</w:t>
      </w:r>
      <w:r>
        <w:rPr>
          <w:rFonts w:eastAsia="Times New Roman" w:cs="Times New Roman" w:ascii="Times New Roman" w:hAnsi="Times New Roman"/>
          <w:color w:val="00000A"/>
          <w:sz w:val="24"/>
          <w:lang w:val="en-US"/>
        </w:rPr>
        <w:t xml:space="preserve"> 0.2, shrubs, grassland and senescing crops 0.2 </w:t>
      </w:r>
      <w:r>
        <w:rPr>
          <w:rFonts w:eastAsia="Times New Roman" w:cs="Times New Roman" w:ascii="Times New Roman" w:hAnsi="Times New Roman"/>
          <w:color w:val="00000A"/>
          <w:sz w:val="24"/>
          <w:highlight w:val="yellow"/>
          <w:lang w:val="en-US"/>
        </w:rPr>
        <w:t>to</w:t>
      </w:r>
      <w:r>
        <w:rPr>
          <w:rFonts w:eastAsia="Times New Roman" w:cs="Times New Roman" w:ascii="Times New Roman" w:hAnsi="Times New Roman"/>
          <w:color w:val="00000A"/>
          <w:sz w:val="24"/>
          <w:lang w:val="en-US"/>
        </w:rPr>
        <w:t xml:space="preserve"> 0.5, while dense vegetation (including forests and crops at the peak of the growing season) reaches values of 0.6 </w:t>
      </w:r>
      <w:r>
        <w:rPr>
          <w:rFonts w:eastAsia="Times New Roman" w:cs="Times New Roman" w:ascii="Times New Roman" w:hAnsi="Times New Roman"/>
          <w:color w:val="00000A"/>
          <w:sz w:val="24"/>
          <w:highlight w:val="yellow"/>
          <w:lang w:val="en-US"/>
        </w:rPr>
        <w:t>to</w:t>
      </w:r>
      <w:r>
        <w:rPr>
          <w:rFonts w:eastAsia="Times New Roman" w:cs="Times New Roman" w:ascii="Times New Roman" w:hAnsi="Times New Roman"/>
          <w:color w:val="00000A"/>
          <w:sz w:val="24"/>
          <w:lang w:val="en-US"/>
        </w:rPr>
        <w:t xml:space="preserve"> 0.9 (Pettorelli 2013).  Boreal forests reach slightly lower values, of typically 0.6 </w:t>
      </w:r>
      <w:r>
        <w:rPr>
          <w:rFonts w:eastAsia="Times New Roman" w:cs="Times New Roman" w:ascii="Times New Roman" w:hAnsi="Times New Roman"/>
          <w:color w:val="00000A"/>
          <w:sz w:val="24"/>
          <w:highlight w:val="yellow"/>
          <w:lang w:val="en-US"/>
        </w:rPr>
        <w:t>to</w:t>
      </w:r>
      <w:r>
        <w:rPr>
          <w:rFonts w:eastAsia="Times New Roman" w:cs="Times New Roman" w:ascii="Times New Roman" w:hAnsi="Times New Roman"/>
          <w:color w:val="00000A"/>
          <w:sz w:val="24"/>
          <w:lang w:val="en-US"/>
        </w:rPr>
        <w:t xml:space="preserve"> 0.8 (Parent and Verbyla 2010). Shrubby understorey vegetation and dwarf shrub tundra can attain similar values of LAI (e.g. Lafleur &amp; Humphreys 2018). Because it responds in such a general way to the presence of vascular plants, the NDVI is widely used to map vegetation distribution in a way that does not depend strongly on detailed knowledge of the vegetation composition. However, the relationship between LAI and NDVI is not unique. Health of vegetation affects the relationship strongly (although this is in part through changing the LAI itself), and this has often been exploited to map the impact of pollution (Rees 2012). Phenological variations can also be usefully exploited (Verbesselt et al. 2010) though they may also introduce undesirable uncertainty into the LAI-NDVI relationship (Wang et al. 2005), as can heterogeneity of vegetation type (Markon and Peterson 2002; Markon, Fleming, and Binnian 1995). However, if these confounding factors are controlled for (e.g. by considering only single species or at least vegetation types, unstressed and at peak greenness), the relationship between LAI and NDVI becomes fundamental. </w:t>
      </w:r>
    </w:p>
    <w:p>
      <w:pPr>
        <w:pStyle w:val="Normal"/>
        <w:rPr/>
      </w:pPr>
      <w:r>
        <w:rPr>
          <w:rFonts w:eastAsia="Times New Roman" w:cs="Times New Roman" w:ascii="Times New Roman" w:hAnsi="Times New Roman"/>
          <w:color w:val="00000A"/>
          <w:sz w:val="24"/>
          <w:lang w:val="en-US"/>
        </w:rPr>
        <w:tab/>
        <w:t xml:space="preserve">Here, too, however, a difficulty may arise. The relationship is nonlinear and it saturates at sufficiently large values of NDVI (Turner et al. 1999; Gitelson 2004; Shabanov et al. 2005). The reason that saturation occurs is that at sufficiently high values of the LAI, the optical thickness of the canopy is large enough that no radiation penetrates it. The phenomenon thus depends on the optical properties of the leaves, and might also be expected to depend on the vegetation type. It also depends on the geometrical arrangement of the leaves within the canopy. This has been characterised by Chen’s clumping index (Chen, Menges, and Leblanc 2005). Empirical studies based on temperate vegetation (Turner et al. 1999; Shabanov et al. 2005) suggest that the relationship saturates at values of LAI around 3 </w:t>
      </w:r>
      <w:r>
        <w:rPr>
          <w:rFonts w:eastAsia="Times New Roman" w:cs="Times New Roman" w:ascii="Times New Roman" w:hAnsi="Times New Roman"/>
          <w:color w:val="00000A"/>
          <w:sz w:val="24"/>
          <w:highlight w:val="yellow"/>
          <w:lang w:val="en-US"/>
        </w:rPr>
        <w:t>to</w:t>
      </w:r>
      <w:r>
        <w:rPr>
          <w:rFonts w:eastAsia="Times New Roman" w:cs="Times New Roman" w:ascii="Times New Roman" w:hAnsi="Times New Roman"/>
          <w:color w:val="00000A"/>
          <w:sz w:val="24"/>
          <w:lang w:val="en-US"/>
        </w:rPr>
        <w:t xml:space="preserve"> 4. Typical LAI values in boreal forest may range up to 5 or 6 </w:t>
      </w:r>
      <w:r>
        <w:rPr>
          <w:rFonts w:eastAsia="Times New Roman" w:cs="Times New Roman" w:ascii="Times New Roman" w:hAnsi="Times New Roman"/>
          <w:b w:val="false"/>
          <w:i w:val="false"/>
          <w:caps w:val="false"/>
          <w:smallCaps w:val="false"/>
          <w:color w:val="00000A"/>
          <w:position w:val="0"/>
          <w:sz w:val="24"/>
          <w:sz w:val="24"/>
          <w:u w:val="none"/>
          <w:vertAlign w:val="baseline"/>
          <w:lang w:val="en-US"/>
        </w:rPr>
        <w:t>(Asner, Scurlock, and Hicke 2003), although values around 1 to 2 are more typical of tundra</w:t>
      </w:r>
      <w:r>
        <w:rPr>
          <w:rFonts w:eastAsia="Times New Roman" w:cs="Times New Roman" w:ascii="Times New Roman" w:hAnsi="Times New Roman"/>
          <w:color w:val="00000A"/>
          <w:sz w:val="24"/>
          <w:lang w:val="en-US"/>
        </w:rPr>
        <w:t xml:space="preserve">, so the possibility exists that the LAI-NDVI relationship for subarctic vegetation could saturate at inconveniently low values. Figure 1 shows the spatial distribution of LAI in part of the subarctic, estimated from MODIS </w:t>
      </w:r>
      <w:r>
        <w:rPr>
          <w:rFonts w:eastAsia="Times New Roman" w:cs="Times New Roman" w:ascii="Times New Roman" w:hAnsi="Times New Roman"/>
          <w:color w:val="00000A"/>
          <w:sz w:val="24"/>
          <w:highlight w:val="yellow"/>
          <w:lang w:val="en-US"/>
        </w:rPr>
        <w:t>(Moderate Resolution Imaging Spectrometer)</w:t>
      </w:r>
      <w:r>
        <w:rPr>
          <w:rFonts w:eastAsia="Times New Roman" w:cs="Times New Roman" w:ascii="Times New Roman" w:hAnsi="Times New Roman"/>
          <w:color w:val="00000A"/>
          <w:sz w:val="24"/>
          <w:lang w:val="en-US"/>
        </w:rPr>
        <w:t xml:space="preserve"> imagery using an NDVI-dependent algorithm (Knyazikhin et al. 1999). </w:t>
      </w:r>
      <w:r>
        <w:rPr>
          <w:rFonts w:eastAsia="Times New Roman" w:cs="Times New Roman" w:ascii="Times New Roman" w:hAnsi="Times New Roman"/>
          <w:color w:val="00000A"/>
          <w:sz w:val="24"/>
          <w:highlight w:val="yellow"/>
          <w:lang w:val="en-US"/>
        </w:rPr>
        <w:t>Figure</w:t>
      </w:r>
      <w:r>
        <w:rPr>
          <w:rFonts w:eastAsia="Times New Roman" w:cs="Times New Roman" w:ascii="Times New Roman" w:hAnsi="Times New Roman"/>
          <w:color w:val="00000A"/>
          <w:sz w:val="24"/>
          <w:lang w:val="en-US"/>
        </w:rPr>
        <w:t xml:space="preserve"> 2 shows a transect through this dataset, illustrating the fact that while dense boreal forest may have LAI values of 4 or more, values of 1 </w:t>
      </w:r>
      <w:r>
        <w:rPr>
          <w:rFonts w:eastAsia="Times New Roman" w:cs="Times New Roman" w:ascii="Times New Roman" w:hAnsi="Times New Roman"/>
          <w:color w:val="00000A"/>
          <w:sz w:val="24"/>
          <w:highlight w:val="yellow"/>
          <w:lang w:val="en-US"/>
        </w:rPr>
        <w:t>to</w:t>
      </w:r>
      <w:r>
        <w:rPr>
          <w:rFonts w:eastAsia="Times New Roman" w:cs="Times New Roman" w:ascii="Times New Roman" w:hAnsi="Times New Roman"/>
          <w:color w:val="00000A"/>
          <w:sz w:val="24"/>
          <w:lang w:val="en-US"/>
        </w:rPr>
        <w:t xml:space="preserve"> 3 are more common at the northern margin of the forest and values around 1 are more representative of tundra areas. However, the accuracy of these values depends on the algorithm used to estimate LAI from satellite imagery, and the algorithm has been trained less extensively using data from the subarctic region than from other regions (Knyazikhin et al. 1999). More recently developed algorithms show in general similar values (Yang et al. 2006).</w:t>
      </w:r>
    </w:p>
    <w:p>
      <w:pPr>
        <w:pStyle w:val="Normal"/>
        <w:rPr>
          <w:rFonts w:ascii="Times New Roman" w:hAnsi="Times New Roman" w:eastAsia="Times New Roman" w:cs="Times New Roman"/>
          <w:color w:val="00000A"/>
          <w:sz w:val="24"/>
          <w:lang w:val="en-US"/>
        </w:rPr>
      </w:pPr>
      <w:r>
        <w:rPr>
          <w:rFonts w:eastAsia="Times New Roman" w:cs="Times New Roman" w:ascii="Times New Roman" w:hAnsi="Times New Roman"/>
          <w:color w:val="00000A"/>
          <w:sz w:val="24"/>
          <w:lang w:val="en-US"/>
        </w:rPr>
      </w:r>
    </w:p>
    <w:p>
      <w:pPr>
        <w:pStyle w:val="Normal"/>
        <w:rPr/>
      </w:pPr>
      <w:r>
        <w:rPr>
          <w:rFonts w:eastAsia="Times New Roman" w:cs="Times New Roman" w:ascii="Times New Roman" w:hAnsi="Times New Roman"/>
          <w:color w:val="00000A"/>
          <w:sz w:val="24"/>
          <w:lang w:val="en-US"/>
        </w:rPr>
        <w:t>fig 1 near here</w:t>
      </w:r>
    </w:p>
    <w:p>
      <w:pPr>
        <w:pStyle w:val="Normal"/>
        <w:rPr/>
      </w:pPr>
      <w:r>
        <w:rPr>
          <w:rFonts w:eastAsia="Times New Roman" w:cs="Times New Roman" w:ascii="Times New Roman" w:hAnsi="Times New Roman"/>
          <w:color w:val="00000A"/>
          <w:sz w:val="24"/>
          <w:lang w:val="en-US"/>
        </w:rPr>
        <w:t>fig 2 near here</w:t>
      </w:r>
    </w:p>
    <w:p>
      <w:pPr>
        <w:pStyle w:val="Normal"/>
        <w:rPr>
          <w:rFonts w:ascii="Times New Roman" w:hAnsi="Times New Roman" w:eastAsia="Times New Roman" w:cs="Times New Roman"/>
          <w:color w:val="00000A"/>
          <w:sz w:val="24"/>
          <w:lang w:val="en-US"/>
        </w:rPr>
      </w:pPr>
      <w:r>
        <w:rPr>
          <w:rFonts w:eastAsia="Times New Roman" w:cs="Times New Roman" w:ascii="Times New Roman" w:hAnsi="Times New Roman"/>
          <w:color w:val="00000A"/>
          <w:sz w:val="24"/>
          <w:lang w:val="en-US"/>
        </w:rPr>
      </w:r>
    </w:p>
    <w:p>
      <w:pPr>
        <w:pStyle w:val="Normal"/>
        <w:jc w:val="left"/>
        <w:rPr/>
      </w:pPr>
      <w:r>
        <w:rPr>
          <w:rFonts w:eastAsia="Times New Roman" w:cs="Times New Roman" w:ascii="Times New Roman" w:hAnsi="Times New Roman"/>
          <w:color w:val="00000A"/>
          <w:sz w:val="24"/>
          <w:lang w:val="en-US"/>
        </w:rPr>
        <w:tab/>
        <w:t>The aim of this paper is to investigate the relationship between LAI and NDVI for subarctic deciduous vegetation, using optical measurements of the leaves of a number of selected subarctic plant species. Unlike almost all other studies of NDVI for subarctic vegetation, the present investigation is based on optics at the finest (leaf-level) spatial scales. We develop a simple model of leaf optics that can be easily inverted to derive essential optical parameters from measurements that can be made in the field with relatively inexpensive equipment.</w:t>
      </w:r>
    </w:p>
    <w:p>
      <w:pPr>
        <w:pStyle w:val="Normal"/>
        <w:jc w:val="both"/>
        <w:rPr>
          <w:rFonts w:ascii="Times New Roman" w:hAnsi="Times New Roman" w:eastAsia="Times New Roman" w:cs="Times New Roman"/>
          <w:color w:val="00000A"/>
          <w:sz w:val="24"/>
          <w:lang w:val="en-US"/>
        </w:rPr>
      </w:pPr>
      <w:r>
        <w:rPr>
          <w:rFonts w:eastAsia="Times New Roman" w:cs="Times New Roman" w:ascii="Times New Roman" w:hAnsi="Times New Roman"/>
          <w:color w:val="00000A"/>
          <w:sz w:val="24"/>
          <w:lang w:val="en-US"/>
        </w:rPr>
      </w:r>
    </w:p>
    <w:p>
      <w:pPr>
        <w:pStyle w:val="Normal"/>
        <w:jc w:val="both"/>
        <w:rPr/>
      </w:pPr>
      <w:r>
        <w:rPr>
          <w:rFonts w:eastAsia="Times New Roman" w:cs="Times New Roman" w:ascii="Times New Roman" w:hAnsi="Times New Roman"/>
          <w:b/>
          <w:bCs/>
          <w:color w:val="00000A"/>
          <w:sz w:val="24"/>
          <w:lang w:val="en-US"/>
        </w:rPr>
        <w:t>2. Modelling the dependence of NDVI on the properties of the leaf canopy</w:t>
      </w:r>
    </w:p>
    <w:p>
      <w:pPr>
        <w:pStyle w:val="Normal"/>
        <w:jc w:val="both"/>
        <w:rPr>
          <w:rFonts w:ascii="Times New Roman" w:hAnsi="Times New Roman" w:eastAsia="Times New Roman" w:cs="Times New Roman"/>
          <w:b w:val="false"/>
          <w:b w:val="false"/>
          <w:bCs w:val="false"/>
          <w:color w:val="00000A"/>
          <w:sz w:val="24"/>
          <w:lang w:val="en-US"/>
        </w:rPr>
      </w:pPr>
      <w:r>
        <w:rPr>
          <w:rFonts w:eastAsia="Times New Roman" w:cs="Times New Roman" w:ascii="Times New Roman" w:hAnsi="Times New Roman"/>
          <w:b w:val="false"/>
          <w:bCs w:val="false"/>
          <w:color w:val="00000A"/>
          <w:sz w:val="24"/>
          <w:lang w:val="en-US"/>
        </w:rPr>
      </w:r>
    </w:p>
    <w:p>
      <w:pPr>
        <w:pStyle w:val="Normal"/>
        <w:rPr/>
      </w:pPr>
      <w:r>
        <w:rPr>
          <w:rFonts w:eastAsia="Times New Roman" w:cs="Times New Roman" w:ascii="Times New Roman" w:hAnsi="Times New Roman"/>
          <w:b w:val="false"/>
          <w:bCs w:val="false"/>
          <w:color w:val="00000A"/>
          <w:sz w:val="24"/>
          <w:lang w:val="en-US"/>
        </w:rPr>
        <w:t xml:space="preserve">A number of more or less rigorous approaches to radiative transfer theory in a vegetation canopy have been developed in recent years (Shabanov et al. 2000; Shabanov and Gastellu-Etchegorry 2018). Our approach is simpler. We model a vegetation canopy straightforwardly as an assemblage of horizontally oriented leaves. If the LAI of this canopy is denoted by </w:t>
      </w:r>
      <w:r>
        <w:rPr>
          <w:rFonts w:eastAsia="Times New Roman" w:cs="Times New Roman" w:ascii="Times New Roman" w:hAnsi="Times New Roman"/>
          <w:b w:val="false"/>
          <w:bCs w:val="false"/>
          <w:i/>
          <w:iCs/>
          <w:color w:val="00000A"/>
          <w:sz w:val="24"/>
          <w:lang w:val="en-US"/>
        </w:rPr>
        <w:t>L</w:t>
      </w:r>
      <w:r>
        <w:rPr>
          <w:rFonts w:eastAsia="Times New Roman" w:cs="Times New Roman" w:ascii="Times New Roman" w:hAnsi="Times New Roman"/>
          <w:b w:val="false"/>
          <w:bCs w:val="false"/>
          <w:i w:val="false"/>
          <w:iCs w:val="false"/>
          <w:color w:val="00000A"/>
          <w:sz w:val="24"/>
          <w:lang w:val="en-US"/>
        </w:rPr>
        <w:t xml:space="preserve">, the spatial average of the number of leaves intercepted by a vertical path through the canopy is also given by </w:t>
      </w:r>
      <w:r>
        <w:rPr>
          <w:rFonts w:eastAsia="Times New Roman" w:cs="Times New Roman" w:ascii="Times New Roman" w:hAnsi="Times New Roman"/>
          <w:b w:val="false"/>
          <w:bCs w:val="false"/>
          <w:i/>
          <w:iCs/>
          <w:color w:val="00000A"/>
          <w:sz w:val="24"/>
          <w:lang w:val="en-US"/>
        </w:rPr>
        <w:t>L</w:t>
      </w:r>
      <w:r>
        <w:rPr>
          <w:rFonts w:eastAsia="Times New Roman" w:cs="Times New Roman" w:ascii="Times New Roman" w:hAnsi="Times New Roman"/>
          <w:b w:val="false"/>
          <w:bCs w:val="false"/>
          <w:i w:val="false"/>
          <w:iCs w:val="false"/>
          <w:color w:val="00000A"/>
          <w:sz w:val="24"/>
          <w:lang w:val="en-US"/>
        </w:rPr>
        <w:t xml:space="preserve">. However, the actual number of intercepted leaves </w:t>
      </w:r>
      <w:r>
        <w:rPr>
          <w:rFonts w:eastAsia="Times New Roman" w:cs="Times New Roman" w:ascii="Times New Roman" w:hAnsi="Times New Roman"/>
          <w:b w:val="false"/>
          <w:bCs w:val="false"/>
          <w:i/>
          <w:iCs/>
          <w:color w:val="00000A"/>
          <w:sz w:val="24"/>
          <w:lang w:val="en-US"/>
        </w:rPr>
        <w:t xml:space="preserve">n </w:t>
      </w:r>
      <w:r>
        <w:rPr>
          <w:rFonts w:eastAsia="Times New Roman" w:cs="Times New Roman" w:ascii="Times New Roman" w:hAnsi="Times New Roman"/>
          <w:b w:val="false"/>
          <w:bCs w:val="false"/>
          <w:i w:val="false"/>
          <w:iCs w:val="false"/>
          <w:color w:val="00000A"/>
          <w:sz w:val="24"/>
          <w:lang w:val="en-US"/>
        </w:rPr>
        <w:t xml:space="preserve">is likely to vary from one location to another with probability </w:t>
      </w:r>
      <w:r>
        <w:rPr>
          <w:rFonts w:eastAsia="Times New Roman" w:cs="Times New Roman" w:ascii="Times New Roman" w:hAnsi="Times New Roman"/>
          <w:b w:val="false"/>
          <w:bCs w:val="false"/>
          <w:i/>
          <w:iCs/>
          <w:color w:val="00000A"/>
          <w:sz w:val="24"/>
          <w:lang w:val="en-US"/>
        </w:rPr>
        <w:t>p</w:t>
      </w:r>
      <w:r>
        <w:rPr>
          <w:rFonts w:eastAsia="Times New Roman" w:cs="Times New Roman" w:ascii="Times New Roman" w:hAnsi="Times New Roman"/>
          <w:b w:val="false"/>
          <w:bCs w:val="false"/>
          <w:i w:val="false"/>
          <w:iCs w:val="false"/>
          <w:color w:val="00000A"/>
          <w:sz w:val="24"/>
          <w:lang w:val="en-US"/>
        </w:rPr>
        <w:t>(</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The degree of clumping of the leaves is described by this probability distribution. Modelling the dependence of canopy reflectance (and hence of NDVI) on the value of </w:t>
      </w:r>
      <w:r>
        <w:rPr>
          <w:rFonts w:eastAsia="Times New Roman" w:cs="Times New Roman" w:ascii="Times New Roman" w:hAnsi="Times New Roman"/>
          <w:b w:val="false"/>
          <w:bCs w:val="false"/>
          <w:i/>
          <w:iCs/>
          <w:color w:val="00000A"/>
          <w:sz w:val="24"/>
          <w:lang w:val="en-US"/>
        </w:rPr>
        <w:t>L</w:t>
      </w:r>
      <w:r>
        <w:rPr>
          <w:rFonts w:eastAsia="Times New Roman" w:cs="Times New Roman" w:ascii="Times New Roman" w:hAnsi="Times New Roman"/>
          <w:b w:val="false"/>
          <w:bCs w:val="false"/>
          <w:i w:val="false"/>
          <w:iCs w:val="false"/>
          <w:color w:val="00000A"/>
          <w:sz w:val="24"/>
          <w:lang w:val="en-US"/>
        </w:rPr>
        <w:t xml:space="preserve">  thus depends on considering the reflectance of a stack of </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leaves as a function of </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as well as on the form of </w:t>
      </w:r>
      <w:r>
        <w:rPr>
          <w:rFonts w:eastAsia="Times New Roman" w:cs="Times New Roman" w:ascii="Times New Roman" w:hAnsi="Times New Roman"/>
          <w:b w:val="false"/>
          <w:bCs w:val="false"/>
          <w:i/>
          <w:iCs/>
          <w:color w:val="00000A"/>
          <w:sz w:val="24"/>
          <w:lang w:val="en-US"/>
        </w:rPr>
        <w:t>p</w:t>
      </w:r>
      <w:r>
        <w:rPr>
          <w:rFonts w:eastAsia="Times New Roman" w:cs="Times New Roman" w:ascii="Times New Roman" w:hAnsi="Times New Roman"/>
          <w:b w:val="false"/>
          <w:bCs w:val="false"/>
          <w:i w:val="false"/>
          <w:iCs w:val="false"/>
          <w:color w:val="00000A"/>
          <w:sz w:val="24"/>
          <w:lang w:val="en-US"/>
        </w:rPr>
        <w:t>(</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both"/>
        <w:rPr/>
      </w:pPr>
      <w:r>
        <w:rPr>
          <w:rFonts w:eastAsia="Times New Roman" w:cs="Times New Roman" w:ascii="Times New Roman" w:hAnsi="Times New Roman"/>
          <w:b/>
          <w:bCs/>
          <w:i w:val="false"/>
          <w:iCs w:val="false"/>
          <w:color w:val="00000A"/>
          <w:sz w:val="24"/>
          <w:lang w:val="en-US"/>
        </w:rPr>
        <w:t xml:space="preserve">2.1. Relationship between </w:t>
      </w:r>
      <w:r>
        <w:rPr>
          <w:rFonts w:eastAsia="Times New Roman" w:cs="Times New Roman" w:ascii="Times New Roman" w:hAnsi="Times New Roman"/>
          <w:b/>
          <w:bCs/>
          <w:i/>
          <w:iCs/>
          <w:color w:val="00000A"/>
          <w:sz w:val="24"/>
          <w:lang w:val="en-US"/>
        </w:rPr>
        <w:t>n</w:t>
      </w:r>
      <w:r>
        <w:rPr>
          <w:rFonts w:eastAsia="Times New Roman" w:cs="Times New Roman" w:ascii="Times New Roman" w:hAnsi="Times New Roman"/>
          <w:b/>
          <w:bCs/>
          <w:i w:val="false"/>
          <w:iCs w:val="false"/>
          <w:color w:val="00000A"/>
          <w:sz w:val="24"/>
          <w:lang w:val="en-US"/>
        </w:rPr>
        <w:t xml:space="preserve"> and </w:t>
      </w:r>
      <w:r>
        <w:rPr>
          <w:rFonts w:eastAsia="Times New Roman" w:cs="Times New Roman" w:ascii="Times New Roman" w:hAnsi="Times New Roman"/>
          <w:b/>
          <w:bCs/>
          <w:i/>
          <w:iCs/>
          <w:color w:val="00000A"/>
          <w:sz w:val="24"/>
          <w:lang w:val="en-US"/>
        </w:rPr>
        <w:t>L</w:t>
      </w:r>
      <w:r>
        <w:rPr>
          <w:rFonts w:eastAsia="Times New Roman" w:cs="Times New Roman" w:ascii="Times New Roman" w:hAnsi="Times New Roman"/>
          <w:b/>
          <w:bCs/>
          <w:i w:val="false"/>
          <w:iCs w:val="false"/>
          <w:color w:val="00000A"/>
          <w:sz w:val="24"/>
          <w:lang w:val="en-US"/>
        </w:rPr>
        <w:t>.</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both"/>
        <w:rPr/>
      </w:pPr>
      <w:r>
        <w:rPr>
          <w:rFonts w:eastAsia="Times New Roman" w:cs="Times New Roman" w:ascii="Times New Roman" w:hAnsi="Times New Roman"/>
          <w:b w:val="false"/>
          <w:bCs w:val="false"/>
          <w:i w:val="false"/>
          <w:iCs w:val="false"/>
          <w:color w:val="00000A"/>
          <w:sz w:val="24"/>
          <w:lang w:val="en-US"/>
        </w:rPr>
        <w:t xml:space="preserve">We consider three cases. First, if the horizontal distribution of leaves is uniform, </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can take either a value of</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sSub>
          <m:e>
            <m:r>
              <w:rPr>
                <w:rFonts w:ascii="Cambria Math" w:hAnsi="Cambria Math"/>
              </w:rPr>
              <m:t xml:space="preserve">n</m:t>
            </m:r>
          </m:e>
          <m:sub>
            <m:r>
              <w:rPr>
                <w:rFonts w:ascii="Cambria Math" w:hAnsi="Cambria Math"/>
              </w:rPr>
              <m:t xml:space="preserve">1</m:t>
            </m:r>
          </m:sub>
        </m:sSub>
        <m:r>
          <w:rPr>
            <w:rFonts w:ascii="Cambria Math" w:hAnsi="Cambria Math"/>
          </w:rPr>
          <m:t xml:space="preserve">=</m:t>
        </m:r>
        <m:r>
          <w:rPr>
            <w:rFonts w:ascii="Cambria Math" w:hAnsi="Cambria Math"/>
          </w:rPr>
          <m:t xml:space="preserve">⌊</m:t>
        </m:r>
        <m:r>
          <w:rPr>
            <w:rFonts w:ascii="Cambria Math" w:hAnsi="Cambria Math"/>
          </w:rPr>
          <m:t xml:space="preserve">L</m:t>
        </m:r>
        <m:r>
          <w:rPr>
            <w:rFonts w:ascii="Cambria Math" w:hAnsi="Cambria Math"/>
          </w:rPr>
          <m:t xml:space="preserve">⌋</m:t>
        </m:r>
      </m:oMath>
      <w:r>
        <w:rPr/>
        <w:tab/>
      </w:r>
      <w:r>
        <w:rPr>
          <w:rFonts w:eastAsia="Times New Roman" w:cs="Times New Roman" w:ascii="Times New Roman" w:hAnsi="Times New Roman"/>
          <w:b w:val="false"/>
          <w:bCs w:val="false"/>
          <w:i w:val="false"/>
          <w:iCs w:val="false"/>
          <w:color w:val="00000A"/>
          <w:sz w:val="24"/>
          <w:lang w:val="en-US"/>
        </w:rPr>
        <w:t>(2)</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both"/>
        <w:rPr/>
      </w:pPr>
      <w:r>
        <w:rPr>
          <w:rFonts w:eastAsia="Times New Roman" w:cs="Times New Roman" w:ascii="Times New Roman" w:hAnsi="Times New Roman"/>
          <w:b w:val="false"/>
          <w:bCs w:val="false"/>
          <w:i w:val="false"/>
          <w:iCs w:val="false"/>
          <w:color w:val="00000A"/>
          <w:sz w:val="24"/>
          <w:lang w:val="en-US"/>
        </w:rPr>
        <w:t>with a probability</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p</m:t>
        </m:r>
        <m:d>
          <m:dPr>
            <m:begChr m:val="("/>
            <m:endChr m:val=")"/>
          </m:dPr>
          <m:e>
            <m:sSub>
              <m:e>
                <m:r>
                  <w:rPr>
                    <w:rFonts w:ascii="Cambria Math" w:hAnsi="Cambria Math"/>
                  </w:rPr>
                  <m:t xml:space="preserve">n</m:t>
                </m:r>
              </m:e>
              <m:sub>
                <m:r>
                  <w:rPr>
                    <w:rFonts w:ascii="Cambria Math" w:hAnsi="Cambria Math"/>
                  </w:rPr>
                  <m:t xml:space="preserve">1</m:t>
                </m:r>
              </m:sub>
            </m:sSub>
          </m:e>
        </m:d>
        <m:r>
          <w:rPr>
            <w:rFonts w:ascii="Cambria Math" w:hAnsi="Cambria Math"/>
          </w:rPr>
          <m:t xml:space="preserve">=</m:t>
        </m:r>
        <m:r>
          <w:rPr>
            <w:rFonts w:ascii="Cambria Math" w:hAnsi="Cambria Math"/>
          </w:rPr>
          <m:t xml:space="preserve">⌊</m:t>
        </m:r>
        <m:r>
          <w:rPr>
            <w:rFonts w:ascii="Cambria Math" w:hAnsi="Cambria Math"/>
          </w:rPr>
          <m:t xml:space="preserve">L</m:t>
        </m:r>
        <m:r>
          <w:rPr>
            <w:rFonts w:ascii="Cambria Math" w:hAnsi="Cambria Math"/>
          </w:rPr>
          <m:t xml:space="preserve">⌋</m:t>
        </m:r>
        <m:r>
          <w:rPr>
            <w:rFonts w:ascii="Cambria Math" w:hAnsi="Cambria Math"/>
          </w:rPr>
          <m:t xml:space="preserve">−</m:t>
        </m:r>
        <m:r>
          <w:rPr>
            <w:rFonts w:ascii="Cambria Math" w:hAnsi="Cambria Math"/>
          </w:rPr>
          <m:t xml:space="preserve">L</m:t>
        </m:r>
        <m:r>
          <w:rPr>
            <w:rFonts w:ascii="Cambria Math" w:hAnsi="Cambria Math"/>
          </w:rPr>
          <m:t xml:space="preserve">+</m:t>
        </m:r>
        <m:r>
          <w:rPr>
            <w:rFonts w:ascii="Cambria Math" w:hAnsi="Cambria Math"/>
          </w:rPr>
          <m:t xml:space="preserve">1</m:t>
        </m:r>
      </m:oMath>
      <w:r>
        <w:rPr/>
        <w:tab/>
      </w:r>
      <w:r>
        <w:rPr>
          <w:rFonts w:eastAsia="Times New Roman" w:cs="Times New Roman" w:ascii="Times New Roman" w:hAnsi="Times New Roman"/>
          <w:b w:val="false"/>
          <w:bCs w:val="false"/>
          <w:i w:val="false"/>
          <w:iCs w:val="false"/>
          <w:color w:val="00000A"/>
          <w:sz w:val="24"/>
          <w:lang w:val="en-US"/>
        </w:rPr>
        <w:t>(3)</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both"/>
        <w:rPr/>
      </w:pPr>
      <w:r>
        <w:rPr>
          <w:rFonts w:eastAsia="Times New Roman" w:cs="Times New Roman" w:ascii="Times New Roman" w:hAnsi="Times New Roman"/>
          <w:b w:val="false"/>
          <w:bCs w:val="false"/>
          <w:i w:val="false"/>
          <w:iCs w:val="false"/>
          <w:color w:val="00000A"/>
          <w:sz w:val="24"/>
          <w:lang w:val="en-US"/>
        </w:rPr>
        <w:t>or a value of</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sSub>
          <m:e>
            <m:r>
              <w:rPr>
                <w:rFonts w:ascii="Cambria Math" w:hAnsi="Cambria Math"/>
              </w:rPr>
              <m:t xml:space="preserve">n</m:t>
            </m:r>
          </m:e>
          <m:sub>
            <m:r>
              <w:rPr>
                <w:rFonts w:ascii="Cambria Math" w:hAnsi="Cambria Math"/>
              </w:rPr>
              <m:t xml:space="preserve">2</m:t>
            </m:r>
          </m:sub>
        </m:sSub>
        <m:r>
          <w:rPr>
            <w:rFonts w:ascii="Cambria Math" w:hAnsi="Cambria Math"/>
          </w:rPr>
          <m:t xml:space="preserve">=</m:t>
        </m:r>
        <m:sSub>
          <m:e>
            <m:r>
              <w:rPr>
                <w:rFonts w:ascii="Cambria Math" w:hAnsi="Cambria Math"/>
              </w:rPr>
              <m:t xml:space="preserve">n</m:t>
            </m:r>
          </m:e>
          <m:sub>
            <m:r>
              <w:rPr>
                <w:rFonts w:ascii="Cambria Math" w:hAnsi="Cambria Math"/>
              </w:rPr>
              <m:t xml:space="preserve">1</m:t>
            </m:r>
          </m:sub>
        </m:sSub>
        <m:r>
          <w:rPr>
            <w:rFonts w:ascii="Cambria Math" w:hAnsi="Cambria Math"/>
          </w:rPr>
          <m:t xml:space="preserve">+</m:t>
        </m:r>
        <m:r>
          <w:rPr>
            <w:rFonts w:ascii="Cambria Math" w:hAnsi="Cambria Math"/>
          </w:rPr>
          <m:t xml:space="preserve">1</m:t>
        </m:r>
      </m:oMath>
      <w:r>
        <w:rPr/>
        <w:tab/>
      </w:r>
      <w:r>
        <w:rPr>
          <w:rFonts w:eastAsia="Times New Roman" w:cs="Times New Roman" w:ascii="Times New Roman" w:hAnsi="Times New Roman"/>
          <w:b w:val="false"/>
          <w:bCs w:val="false"/>
          <w:i w:val="false"/>
          <w:iCs w:val="false"/>
          <w:color w:val="00000A"/>
          <w:sz w:val="24"/>
          <w:lang w:val="en-US"/>
        </w:rPr>
        <w:t>(4)</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both"/>
        <w:rPr/>
      </w:pPr>
      <w:r>
        <w:rPr>
          <w:rFonts w:eastAsia="Times New Roman" w:cs="Times New Roman" w:ascii="Times New Roman" w:hAnsi="Times New Roman"/>
          <w:b w:val="false"/>
          <w:bCs w:val="false"/>
          <w:i w:val="false"/>
          <w:iCs w:val="false"/>
          <w:color w:val="00000A"/>
          <w:sz w:val="24"/>
          <w:lang w:val="en-US"/>
        </w:rPr>
        <w:t>with a probability</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p</m:t>
        </m:r>
        <m:d>
          <m:dPr>
            <m:begChr m:val="("/>
            <m:endChr m:val=")"/>
          </m:dPr>
          <m:e>
            <m:sSub>
              <m:e>
                <m:r>
                  <w:rPr>
                    <w:rFonts w:ascii="Cambria Math" w:hAnsi="Cambria Math"/>
                  </w:rPr>
                  <m:t xml:space="preserve">n</m:t>
                </m:r>
              </m:e>
              <m:sub>
                <m:r>
                  <w:rPr>
                    <w:rFonts w:ascii="Cambria Math" w:hAnsi="Cambria Math"/>
                  </w:rPr>
                  <m:t xml:space="preserve">2</m:t>
                </m:r>
              </m:sub>
            </m:sSub>
          </m:e>
        </m:d>
        <m:r>
          <w:rPr>
            <w:rFonts w:ascii="Cambria Math" w:hAnsi="Cambria Math"/>
          </w:rPr>
          <m:t xml:space="preserve">=</m:t>
        </m:r>
        <m:r>
          <w:rPr>
            <w:rFonts w:ascii="Cambria Math" w:hAnsi="Cambria Math"/>
          </w:rPr>
          <m:t xml:space="preserve">L</m:t>
        </m:r>
        <m:r>
          <w:rPr>
            <w:rFonts w:ascii="Cambria Math" w:hAnsi="Cambria Math"/>
          </w:rPr>
          <m:t xml:space="preserve">−</m:t>
        </m:r>
        <m:r>
          <w:rPr>
            <w:rFonts w:ascii="Cambria Math" w:hAnsi="Cambria Math"/>
          </w:rPr>
          <m:t xml:space="preserve">⌊</m:t>
        </m:r>
        <m:r>
          <w:rPr>
            <w:rFonts w:ascii="Cambria Math" w:hAnsi="Cambria Math"/>
          </w:rPr>
          <m:t xml:space="preserve">L</m:t>
        </m:r>
        <m:r>
          <w:rPr>
            <w:rFonts w:ascii="Cambria Math" w:hAnsi="Cambria Math"/>
          </w:rPr>
          <m:t xml:space="preserve">⌋</m:t>
        </m:r>
      </m:oMath>
      <w:r>
        <w:rPr/>
        <w:tab/>
      </w:r>
      <w:r>
        <w:rPr>
          <w:rFonts w:eastAsia="Times New Roman" w:cs="Times New Roman" w:ascii="Times New Roman" w:hAnsi="Times New Roman"/>
          <w:b w:val="false"/>
          <w:bCs w:val="false"/>
          <w:i w:val="false"/>
          <w:iCs w:val="false"/>
          <w:color w:val="00000A"/>
          <w:sz w:val="24"/>
          <w:lang w:val="en-US"/>
        </w:rPr>
        <w:t>(5)</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left"/>
        <w:rPr/>
      </w:pPr>
      <w:r>
        <w:rPr>
          <w:rFonts w:eastAsia="Times New Roman" w:cs="Times New Roman" w:ascii="Times New Roman" w:hAnsi="Times New Roman"/>
          <w:b w:val="false"/>
          <w:bCs w:val="false"/>
          <w:i w:val="false"/>
          <w:iCs w:val="false"/>
          <w:color w:val="00000A"/>
          <w:sz w:val="24"/>
          <w:lang w:val="en-US"/>
        </w:rPr>
        <w:t xml:space="preserve">(The symbol </w:t>
      </w:r>
      <w:r>
        <w:rPr>
          <w:rFonts w:eastAsia="Symbol" w:cs="Symbol" w:ascii="Symbol" w:hAnsi="Symbol"/>
          <w:b w:val="false"/>
          <w:bCs w:val="false"/>
          <w:i w:val="false"/>
          <w:iCs w:val="false"/>
          <w:color w:val="00000A"/>
          <w:sz w:val="24"/>
          <w:highlight w:val="yellow"/>
          <w:lang w:val="en-US"/>
        </w:rPr>
        <w:t>⌊</w:t>
      </w:r>
      <w:r>
        <w:rPr>
          <w:rFonts w:eastAsia="Times New Roman" w:cs="Times New Roman" w:ascii="Times New Roman" w:hAnsi="Times New Roman"/>
          <w:b w:val="false"/>
          <w:bCs w:val="false"/>
          <w:i w:val="false"/>
          <w:iCs w:val="false"/>
          <w:color w:val="00000A"/>
          <w:sz w:val="24"/>
          <w:highlight w:val="yellow"/>
          <w:lang w:val="en-US"/>
        </w:rPr>
        <w:t>.</w:t>
      </w:r>
      <w:r>
        <w:rPr>
          <w:rFonts w:eastAsia="Symbol" w:cs="Symbol" w:ascii="Symbol" w:hAnsi="Symbol"/>
          <w:b w:val="false"/>
          <w:bCs w:val="false"/>
          <w:i w:val="false"/>
          <w:iCs w:val="false"/>
          <w:color w:val="00000A"/>
          <w:sz w:val="24"/>
          <w:highlight w:val="yellow"/>
          <w:lang w:val="en-US"/>
        </w:rPr>
        <w:t>⌋</w:t>
      </w:r>
      <w:r>
        <w:rPr>
          <w:rFonts w:eastAsia="Times New Roman" w:cs="Times New Roman" w:ascii="Times New Roman" w:hAnsi="Times New Roman"/>
          <w:b w:val="false"/>
          <w:bCs w:val="false"/>
          <w:i w:val="false"/>
          <w:iCs w:val="false"/>
          <w:color w:val="00000A"/>
          <w:sz w:val="24"/>
          <w:highlight w:val="yellow"/>
          <w:lang w:val="en-US"/>
        </w:rPr>
        <w:t xml:space="preserve"> </w:t>
      </w:r>
      <w:r>
        <w:rPr>
          <w:rFonts w:eastAsia="Times New Roman" w:cs="Times New Roman" w:ascii="Times New Roman" w:hAnsi="Times New Roman"/>
          <w:b w:val="false"/>
          <w:bCs w:val="false"/>
          <w:i w:val="false"/>
          <w:iCs w:val="false"/>
          <w:color w:val="00000A"/>
          <w:sz w:val="24"/>
          <w:lang w:val="en-US"/>
        </w:rPr>
        <w:t xml:space="preserve">denotes the floor, or largest integer not exceeding, function.) This represents the least clumped arrangement of leaves. Second, we consider the case where leaves are placed at random, so that </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follows a Poisson distribution:</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p</m:t>
        </m:r>
        <m:d>
          <m:dPr>
            <m:begChr m:val="("/>
            <m:endChr m:val=")"/>
          </m:dPr>
          <m:e>
            <m:r>
              <w:rPr>
                <w:rFonts w:ascii="Cambria Math" w:hAnsi="Cambria Math"/>
              </w:rPr>
              <m:t xml:space="preserve">n</m:t>
            </m:r>
          </m:e>
        </m:d>
        <m:r>
          <w:rPr>
            <w:rFonts w:ascii="Cambria Math" w:hAnsi="Cambria Math"/>
          </w:rPr>
          <m:t xml:space="preserve">=</m:t>
        </m:r>
        <m:f>
          <m:num>
            <m:sSup>
              <m:e>
                <m:r>
                  <w:rPr>
                    <w:rFonts w:ascii="Cambria Math" w:hAnsi="Cambria Math"/>
                  </w:rPr>
                  <m:t xml:space="preserve">L</m:t>
                </m:r>
              </m:e>
              <m:sup>
                <m:r>
                  <w:rPr>
                    <w:rFonts w:ascii="Cambria Math" w:hAnsi="Cambria Math"/>
                  </w:rPr>
                  <m:t xml:space="preserve">n</m:t>
                </m:r>
              </m:sup>
            </m:sSup>
            <m:r>
              <m:rPr>
                <m:lit/>
                <m:nor/>
              </m:rPr>
              <w:rPr>
                <w:rFonts w:ascii="Cambria Math" w:hAnsi="Cambria Math"/>
              </w:rPr>
              <m:t xml:space="preserve">exp</m:t>
            </m:r>
            <m:d>
              <m:dPr>
                <m:begChr m:val="("/>
                <m:endChr m:val=")"/>
              </m:dPr>
              <m:e>
                <m:r>
                  <w:rPr>
                    <w:rFonts w:ascii="Cambria Math" w:hAnsi="Cambria Math"/>
                  </w:rPr>
                  <m:t xml:space="preserve">−</m:t>
                </m:r>
                <m:r>
                  <w:rPr>
                    <w:rFonts w:ascii="Cambria Math" w:hAnsi="Cambria Math"/>
                  </w:rPr>
                  <m:t xml:space="preserve">L</m:t>
                </m:r>
              </m:e>
            </m:d>
          </m:num>
          <m:den>
            <m:r>
              <w:rPr>
                <w:rFonts w:ascii="Cambria Math" w:hAnsi="Cambria Math"/>
              </w:rPr>
              <m:t xml:space="preserve">n</m:t>
            </m:r>
            <m:r>
              <w:rPr>
                <w:rFonts w:ascii="Cambria Math" w:hAnsi="Cambria Math"/>
              </w:rPr>
              <m:t xml:space="preserve">!</m:t>
            </m:r>
          </m:den>
        </m:f>
      </m:oMath>
      <w:r>
        <w:rPr/>
        <w:tab/>
      </w:r>
      <w:r>
        <w:rPr>
          <w:rFonts w:eastAsia="Times New Roman" w:cs="Times New Roman" w:ascii="Times New Roman" w:hAnsi="Times New Roman"/>
          <w:b w:val="false"/>
          <w:bCs w:val="false"/>
          <w:i w:val="false"/>
          <w:iCs w:val="false"/>
          <w:color w:val="00000A"/>
          <w:sz w:val="24"/>
          <w:lang w:val="en-US"/>
        </w:rPr>
        <w:t>(6)</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left"/>
        <w:rPr/>
      </w:pPr>
      <w:r>
        <w:rPr>
          <w:rFonts w:eastAsia="Times New Roman" w:cs="Times New Roman" w:ascii="Times New Roman" w:hAnsi="Times New Roman"/>
          <w:b w:val="false"/>
          <w:bCs w:val="false"/>
          <w:i w:val="false"/>
          <w:iCs w:val="false"/>
          <w:color w:val="00000A"/>
          <w:sz w:val="24"/>
          <w:lang w:val="en-US"/>
        </w:rPr>
        <w:t xml:space="preserve">Finally, we consider an example of extreme clumping. In this case, </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lang w:val="en-US"/>
        </w:rPr>
        <w:t xml:space="preserve"> can take either a value of </w:t>
      </w:r>
      <w:r>
        <w:rPr>
          <w:rFonts w:eastAsia="Times New Roman" w:cs="Times New Roman" w:ascii="Times New Roman" w:hAnsi="Times New Roman"/>
          <w:b w:val="false"/>
          <w:bCs w:val="false"/>
          <w:i/>
          <w:iCs/>
          <w:color w:val="00000A"/>
          <w:sz w:val="24"/>
          <w:lang w:val="en-US"/>
        </w:rPr>
        <w:t>n</w:t>
      </w:r>
      <w:r>
        <w:rPr>
          <w:rFonts w:eastAsia="Times New Roman" w:cs="Times New Roman" w:ascii="Times New Roman" w:hAnsi="Times New Roman"/>
          <w:b w:val="false"/>
          <w:bCs w:val="false"/>
          <w:i w:val="false"/>
          <w:iCs w:val="false"/>
          <w:color w:val="00000A"/>
          <w:sz w:val="24"/>
          <w:vertAlign w:val="subscript"/>
          <w:lang w:val="en-US"/>
        </w:rPr>
        <w:t>clump</w:t>
      </w:r>
      <w:r>
        <w:rPr>
          <w:rFonts w:eastAsia="Times New Roman" w:cs="Times New Roman" w:ascii="Times New Roman" w:hAnsi="Times New Roman"/>
          <w:b w:val="false"/>
          <w:bCs w:val="false"/>
          <w:i w:val="false"/>
          <w:iCs w:val="false"/>
          <w:color w:val="00000A"/>
          <w:sz w:val="24"/>
          <w:lang w:val="en-US"/>
        </w:rPr>
        <w:t>, with a probability</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p</m:t>
        </m:r>
        <m:d>
          <m:dPr>
            <m:begChr m:val="("/>
            <m:endChr m:val=")"/>
          </m:dPr>
          <m:e>
            <m:sSub>
              <m:e>
                <m:r>
                  <w:rPr>
                    <w:rFonts w:ascii="Cambria Math" w:hAnsi="Cambria Math"/>
                  </w:rPr>
                  <m:t xml:space="preserve">n</m:t>
                </m:r>
              </m:e>
              <m:sub>
                <m:r>
                  <m:rPr>
                    <m:lit/>
                    <m:nor/>
                  </m:rPr>
                  <w:rPr>
                    <w:rFonts w:ascii="Cambria Math" w:hAnsi="Cambria Math"/>
                  </w:rPr>
                  <m:t xml:space="preserve">clump</m:t>
                </m:r>
              </m:sub>
            </m:sSub>
          </m:e>
        </m:d>
        <m:r>
          <w:rPr>
            <w:rFonts w:ascii="Cambria Math" w:hAnsi="Cambria Math"/>
          </w:rPr>
          <m:t xml:space="preserve">=</m:t>
        </m:r>
        <m:f>
          <m:num>
            <m:r>
              <w:rPr>
                <w:rFonts w:ascii="Cambria Math" w:hAnsi="Cambria Math"/>
              </w:rPr>
              <m:t xml:space="preserve">L</m:t>
            </m:r>
          </m:num>
          <m:den>
            <m:sSub>
              <m:e>
                <m:r>
                  <w:rPr>
                    <w:rFonts w:ascii="Cambria Math" w:hAnsi="Cambria Math"/>
                  </w:rPr>
                  <m:t xml:space="preserve">n</m:t>
                </m:r>
              </m:e>
              <m:sub>
                <m:r>
                  <m:rPr>
                    <m:lit/>
                    <m:nor/>
                  </m:rPr>
                  <w:rPr>
                    <w:rFonts w:ascii="Cambria Math" w:hAnsi="Cambria Math"/>
                  </w:rPr>
                  <m:t xml:space="preserve">clump</m:t>
                </m:r>
              </m:sub>
            </m:sSub>
          </m:den>
        </m:f>
      </m:oMath>
      <w:r>
        <w:rPr/>
        <w:tab/>
      </w:r>
      <w:r>
        <w:rPr>
          <w:rFonts w:eastAsia="Times New Roman" w:cs="Times New Roman" w:ascii="Times New Roman" w:hAnsi="Times New Roman"/>
          <w:b w:val="false"/>
          <w:bCs w:val="false"/>
          <w:i w:val="false"/>
          <w:iCs w:val="false"/>
          <w:color w:val="00000A"/>
          <w:sz w:val="24"/>
          <w:lang w:val="en-US"/>
        </w:rPr>
        <w:t>(7)</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both"/>
        <w:rPr/>
      </w:pPr>
      <w:r>
        <w:rPr>
          <w:rFonts w:eastAsia="Times New Roman" w:cs="Times New Roman" w:ascii="Times New Roman" w:hAnsi="Times New Roman"/>
          <w:b w:val="false"/>
          <w:bCs w:val="false"/>
          <w:i w:val="false"/>
          <w:iCs w:val="false"/>
          <w:color w:val="00000A"/>
          <w:sz w:val="24"/>
          <w:lang w:val="en-US"/>
        </w:rPr>
        <w:t>or a value of zero, with a probability</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p</m:t>
        </m:r>
        <m:d>
          <m:dPr>
            <m:begChr m:val="("/>
            <m:endChr m:val=")"/>
          </m:dPr>
          <m:e>
            <m:r>
              <w:rPr>
                <w:rFonts w:ascii="Cambria Math" w:hAnsi="Cambria Math"/>
              </w:rPr>
              <m:t xml:space="preserve">0</m:t>
            </m:r>
          </m:e>
        </m:d>
        <m:r>
          <w:rPr>
            <w:rFonts w:ascii="Cambria Math" w:hAnsi="Cambria Math"/>
          </w:rPr>
          <m:t xml:space="preserve">=</m:t>
        </m:r>
        <m:r>
          <w:rPr>
            <w:rFonts w:ascii="Cambria Math" w:hAnsi="Cambria Math"/>
          </w:rPr>
          <m:t xml:space="preserve">1</m:t>
        </m:r>
        <m:r>
          <w:rPr>
            <w:rFonts w:ascii="Cambria Math" w:hAnsi="Cambria Math"/>
          </w:rPr>
          <m:t xml:space="preserve">−</m:t>
        </m:r>
        <m:r>
          <w:rPr>
            <w:rFonts w:ascii="Cambria Math" w:hAnsi="Cambria Math"/>
          </w:rPr>
          <m:t xml:space="preserve">p</m:t>
        </m:r>
        <m:d>
          <m:dPr>
            <m:begChr m:val="("/>
            <m:endChr m:val=")"/>
          </m:dPr>
          <m:e>
            <m:sSub>
              <m:e>
                <m:r>
                  <w:rPr>
                    <w:rFonts w:ascii="Cambria Math" w:hAnsi="Cambria Math"/>
                  </w:rPr>
                  <m:t xml:space="preserve">n</m:t>
                </m:r>
              </m:e>
              <m:sub>
                <m:r>
                  <m:rPr>
                    <m:lit/>
                    <m:nor/>
                  </m:rPr>
                  <w:rPr>
                    <w:rFonts w:ascii="Cambria Math" w:hAnsi="Cambria Math"/>
                  </w:rPr>
                  <m:t xml:space="preserve">clump</m:t>
                </m:r>
              </m:sub>
            </m:sSub>
          </m:e>
        </m:d>
      </m:oMath>
      <w:r>
        <w:rPr/>
        <w:tab/>
      </w:r>
      <w:r>
        <w:rPr>
          <w:rFonts w:eastAsia="Times New Roman" w:cs="Times New Roman" w:ascii="Times New Roman" w:hAnsi="Times New Roman"/>
          <w:b w:val="false"/>
          <w:bCs w:val="false"/>
          <w:i w:val="false"/>
          <w:iCs w:val="false"/>
          <w:color w:val="00000A"/>
          <w:sz w:val="24"/>
          <w:lang w:val="en-US"/>
        </w:rPr>
        <w:t>(8)</w:t>
      </w:r>
    </w:p>
    <w:p>
      <w:pPr>
        <w:pStyle w:val="Normal"/>
        <w:jc w:val="both"/>
        <w:rPr>
          <w:rFonts w:ascii="Times New Roman" w:hAnsi="Times New Roman" w:eastAsia="Times New Roman" w:cs="Times New Roman"/>
          <w:b w:val="false"/>
          <w:b w:val="false"/>
          <w:bCs w:val="false"/>
          <w:i w:val="false"/>
          <w:i w:val="false"/>
          <w:iCs w:val="false"/>
          <w:color w:val="00000A"/>
          <w:sz w:val="24"/>
          <w:lang w:val="en-US"/>
        </w:rPr>
      </w:pPr>
      <w:r>
        <w:rPr>
          <w:rFonts w:eastAsia="Times New Roman" w:cs="Times New Roman" w:ascii="Times New Roman" w:hAnsi="Times New Roman"/>
          <w:b w:val="false"/>
          <w:bCs w:val="false"/>
          <w:i w:val="false"/>
          <w:iCs w:val="false"/>
          <w:color w:val="00000A"/>
          <w:sz w:val="24"/>
          <w:lang w:val="en-US"/>
        </w:rPr>
      </w:r>
    </w:p>
    <w:p>
      <w:pPr>
        <w:pStyle w:val="Normal"/>
        <w:jc w:val="left"/>
        <w:rPr/>
      </w:pPr>
      <w:r>
        <w:rPr>
          <w:rFonts w:eastAsia="Times New Roman" w:cs="Times New Roman" w:ascii="Times New Roman" w:hAnsi="Times New Roman"/>
          <w:b w:val="false"/>
          <w:bCs w:val="false"/>
          <w:i w:val="false"/>
          <w:iCs w:val="false"/>
          <w:color w:val="00000A"/>
          <w:sz w:val="24"/>
          <w:szCs w:val="24"/>
          <w:lang w:val="en-US"/>
        </w:rPr>
        <w:t xml:space="preserve">The value of </w:t>
      </w:r>
      <w:r>
        <w:rPr>
          <w:rFonts w:eastAsia="Times New Roman" w:cs="Times New Roman" w:ascii="Times New Roman" w:hAnsi="Times New Roman"/>
          <w:b w:val="false"/>
          <w:bCs w:val="false"/>
          <w:i/>
          <w:iCs/>
          <w:color w:val="00000A"/>
          <w:sz w:val="24"/>
          <w:szCs w:val="24"/>
          <w:lang w:val="en-US"/>
        </w:rPr>
        <w:t>n</w:t>
      </w:r>
      <w:r>
        <w:rPr>
          <w:rFonts w:eastAsia="Times New Roman" w:cs="Times New Roman" w:ascii="Times New Roman" w:hAnsi="Times New Roman"/>
          <w:b w:val="false"/>
          <w:bCs w:val="false"/>
          <w:i w:val="false"/>
          <w:iCs w:val="false"/>
          <w:color w:val="00000A"/>
          <w:sz w:val="24"/>
          <w:szCs w:val="24"/>
          <w:vertAlign w:val="subscript"/>
          <w:lang w:val="en-US"/>
        </w:rPr>
        <w:t xml:space="preserve">clump </w:t>
      </w:r>
      <w:r>
        <w:rPr>
          <w:rFonts w:ascii="Times New Roman" w:hAnsi="Times New Roman"/>
          <w:sz w:val="24"/>
          <w:szCs w:val="24"/>
          <w:lang w:val="en-US"/>
        </w:rPr>
        <w:t xml:space="preserve">is assumed large enough to ensure that the relationship between LAI and reflectance saturates, i.e. that a further increase in </w:t>
      </w:r>
      <w:r>
        <w:rPr>
          <w:rFonts w:ascii="Times New Roman" w:hAnsi="Times New Roman"/>
          <w:i/>
          <w:iCs/>
          <w:sz w:val="24"/>
          <w:szCs w:val="24"/>
          <w:lang w:val="en-US"/>
        </w:rPr>
        <w:t>n</w:t>
      </w:r>
      <w:r>
        <w:rPr>
          <w:rFonts w:ascii="Times New Roman" w:hAnsi="Times New Roman"/>
          <w:i w:val="false"/>
          <w:iCs w:val="false"/>
          <w:sz w:val="24"/>
          <w:szCs w:val="24"/>
          <w:lang w:val="en-US"/>
        </w:rPr>
        <w:t xml:space="preserve"> would not further increase the reflectance.</w:t>
      </w:r>
    </w:p>
    <w:p>
      <w:pPr>
        <w:pStyle w:val="Normal"/>
        <w:jc w:val="both"/>
        <w:rPr>
          <w:rFonts w:ascii="Times New Roman" w:hAnsi="Times New Roman"/>
          <w:i w:val="false"/>
          <w:i w:val="false"/>
          <w:iCs w:val="false"/>
          <w:sz w:val="24"/>
          <w:szCs w:val="24"/>
          <w:lang w:val="en-US"/>
        </w:rPr>
      </w:pPr>
      <w:r>
        <w:rPr>
          <w:rFonts w:ascii="Times New Roman" w:hAnsi="Times New Roman"/>
          <w:i w:val="false"/>
          <w:iCs w:val="false"/>
          <w:sz w:val="24"/>
          <w:szCs w:val="24"/>
          <w:lang w:val="en-US"/>
        </w:rPr>
      </w:r>
    </w:p>
    <w:p>
      <w:pPr>
        <w:pStyle w:val="Normal"/>
        <w:jc w:val="both"/>
        <w:rPr/>
      </w:pPr>
      <w:r>
        <w:rPr>
          <w:rFonts w:ascii="Times New Roman" w:hAnsi="Times New Roman"/>
          <w:b/>
          <w:bCs/>
          <w:i w:val="false"/>
          <w:iCs w:val="false"/>
          <w:sz w:val="24"/>
          <w:szCs w:val="24"/>
          <w:lang w:val="en-US"/>
        </w:rPr>
        <w:t xml:space="preserve">2.2 Relationship between stack reflectance, NDVI and </w:t>
      </w:r>
      <w:r>
        <w:rPr>
          <w:rFonts w:ascii="Times New Roman" w:hAnsi="Times New Roman"/>
          <w:b/>
          <w:bCs/>
          <w:i/>
          <w:iCs/>
          <w:sz w:val="24"/>
          <w:szCs w:val="24"/>
          <w:lang w:val="en-US"/>
        </w:rPr>
        <w:t>n</w:t>
      </w:r>
      <w:r>
        <w:rPr>
          <w:rFonts w:ascii="Times New Roman" w:hAnsi="Times New Roman"/>
          <w:b/>
          <w:bCs/>
          <w:i w:val="false"/>
          <w:iCs w:val="false"/>
          <w:sz w:val="24"/>
          <w:szCs w:val="24"/>
          <w:lang w:val="en-US"/>
        </w:rPr>
        <w:t>.</w:t>
      </w:r>
    </w:p>
    <w:p>
      <w:pPr>
        <w:pStyle w:val="Normal"/>
        <w:jc w:val="both"/>
        <w:rPr>
          <w:rFonts w:ascii="Times New Roman" w:hAnsi="Times New Roman"/>
          <w:i w:val="false"/>
          <w:i w:val="false"/>
          <w:iCs w:val="false"/>
          <w:sz w:val="24"/>
          <w:szCs w:val="24"/>
          <w:lang w:val="en-US"/>
        </w:rPr>
      </w:pPr>
      <w:r>
        <w:rPr>
          <w:rFonts w:ascii="Times New Roman" w:hAnsi="Times New Roman"/>
          <w:i w:val="false"/>
          <w:iCs w:val="false"/>
          <w:sz w:val="24"/>
          <w:szCs w:val="24"/>
          <w:lang w:val="en-US"/>
        </w:rPr>
      </w:r>
    </w:p>
    <w:p>
      <w:pPr>
        <w:pStyle w:val="Normal"/>
        <w:jc w:val="both"/>
        <w:rPr/>
      </w:pPr>
      <w:r>
        <w:rPr>
          <w:rFonts w:ascii="Times New Roman" w:hAnsi="Times New Roman"/>
          <w:i w:val="false"/>
          <w:iCs w:val="false"/>
          <w:sz w:val="24"/>
          <w:szCs w:val="24"/>
          <w:lang w:val="en-US"/>
        </w:rPr>
        <w:t xml:space="preserve">In general, we denote the reflectance of a stack of </w:t>
      </w:r>
      <w:r>
        <w:rPr>
          <w:rFonts w:ascii="Times New Roman" w:hAnsi="Times New Roman"/>
          <w:i/>
          <w:iCs/>
          <w:sz w:val="24"/>
          <w:szCs w:val="24"/>
          <w:lang w:val="en-US"/>
        </w:rPr>
        <w:t xml:space="preserve">n </w:t>
      </w:r>
      <w:r>
        <w:rPr>
          <w:rFonts w:ascii="Times New Roman" w:hAnsi="Times New Roman"/>
          <w:i w:val="false"/>
          <w:iCs w:val="false"/>
          <w:sz w:val="24"/>
          <w:szCs w:val="24"/>
          <w:lang w:val="en-US"/>
        </w:rPr>
        <w:t xml:space="preserve">leaves at wavelength </w:t>
      </w:r>
      <w:r>
        <w:rPr>
          <w:rFonts w:eastAsia="Calibri" w:cs="Arial" w:ascii="Times New Roman" w:hAnsi="Times New Roman"/>
          <w:i/>
          <w:iCs/>
          <w:sz w:val="24"/>
          <w:szCs w:val="24"/>
          <w:highlight w:val="yellow"/>
          <w:lang w:val="en-US"/>
        </w:rPr>
        <w:t>λ</w:t>
      </w:r>
      <w:r>
        <w:rPr>
          <w:rFonts w:eastAsia="Calibri" w:cs="Arial" w:ascii="Times New Roman" w:hAnsi="Times New Roman"/>
          <w:i w:val="false"/>
          <w:iCs w:val="false"/>
          <w:sz w:val="24"/>
          <w:szCs w:val="24"/>
          <w:lang w:val="en-US"/>
        </w:rPr>
        <w:t xml:space="preserve"> by </w:t>
      </w:r>
      <w:r>
        <w:rPr>
          <w:rFonts w:eastAsia="Calibri" w:cs="Arial" w:ascii="Times New Roman" w:hAnsi="Times New Roman"/>
          <w:i/>
          <w:iCs/>
          <w:sz w:val="24"/>
          <w:szCs w:val="24"/>
          <w:lang w:val="en-US"/>
        </w:rPr>
        <w:t>R</w:t>
      </w:r>
      <w:r>
        <w:rPr>
          <w:rFonts w:eastAsia="Calibri" w:cs="Arial" w:ascii="Times New Roman" w:hAnsi="Times New Roman"/>
          <w:i w:val="false"/>
          <w:iCs w:val="false"/>
          <w:sz w:val="24"/>
          <w:szCs w:val="24"/>
          <w:lang w:val="en-US"/>
        </w:rPr>
        <w:t>(</w:t>
      </w:r>
      <w:r>
        <w:rPr>
          <w:rFonts w:eastAsia="Calibri" w:cs="Arial" w:ascii="Times New Roman" w:hAnsi="Times New Roman"/>
          <w:i/>
          <w:iCs/>
          <w:sz w:val="24"/>
          <w:szCs w:val="24"/>
          <w:lang w:val="en-US"/>
        </w:rPr>
        <w:t>n</w:t>
      </w:r>
      <w:r>
        <w:rPr>
          <w:rFonts w:eastAsia="Calibri" w:cs="Arial" w:ascii="Times New Roman" w:hAnsi="Times New Roman"/>
          <w:i w:val="false"/>
          <w:iCs w:val="false"/>
          <w:sz w:val="24"/>
          <w:szCs w:val="24"/>
          <w:lang w:val="en-US"/>
        </w:rPr>
        <w:t xml:space="preserve">, </w:t>
      </w:r>
      <w:r>
        <w:rPr>
          <w:rFonts w:eastAsia="Calibri" w:cs="Arial" w:ascii="Times New Roman" w:hAnsi="Times New Roman"/>
          <w:i/>
          <w:iCs/>
          <w:sz w:val="24"/>
          <w:szCs w:val="24"/>
          <w:lang w:val="en-US"/>
        </w:rPr>
        <w:t>λ</w:t>
      </w:r>
      <w:r>
        <w:rPr>
          <w:rFonts w:eastAsia="Calibri" w:cs="Arial" w:ascii="Times New Roman" w:hAnsi="Times New Roman"/>
          <w:i w:val="false"/>
          <w:iCs w:val="false"/>
          <w:sz w:val="24"/>
          <w:szCs w:val="24"/>
          <w:lang w:val="en-US"/>
        </w:rPr>
        <w:t>)</w:t>
      </w:r>
    </w:p>
    <w:p>
      <w:pPr>
        <w:pStyle w:val="Normal"/>
        <w:jc w:val="both"/>
        <w:rPr/>
      </w:pPr>
      <w:r>
        <w:rPr>
          <w:rFonts w:ascii="Times New Roman" w:hAnsi="Times New Roman"/>
          <w:i w:val="false"/>
          <w:iCs w:val="false"/>
          <w:sz w:val="24"/>
          <w:szCs w:val="24"/>
          <w:lang w:val="en-US"/>
        </w:rPr>
        <w:t xml:space="preserve">so that </w:t>
      </w:r>
      <w:r>
        <w:rPr>
          <w:rFonts w:ascii="Times New Roman" w:hAnsi="Times New Roman"/>
          <w:i w:val="false"/>
          <w:iCs w:val="false"/>
          <w:sz w:val="24"/>
          <w:szCs w:val="24"/>
          <w:highlight w:val="yellow"/>
          <w:lang w:val="en-US"/>
        </w:rPr>
        <w:t>Equation (1)</w:t>
      </w:r>
      <w:r>
        <w:rPr>
          <w:rFonts w:ascii="Times New Roman" w:hAnsi="Times New Roman"/>
          <w:i w:val="false"/>
          <w:iCs w:val="false"/>
          <w:sz w:val="24"/>
          <w:szCs w:val="24"/>
          <w:lang w:val="en-US"/>
        </w:rPr>
        <w:t xml:space="preserve"> can be written as</w:t>
      </w:r>
    </w:p>
    <w:p>
      <w:pPr>
        <w:pStyle w:val="Normal"/>
        <w:jc w:val="both"/>
        <w:rPr>
          <w:rFonts w:ascii="Times New Roman" w:hAnsi="Times New Roman"/>
          <w:i w:val="false"/>
          <w:i w:val="false"/>
          <w:iCs w:val="false"/>
          <w:sz w:val="24"/>
          <w:szCs w:val="24"/>
          <w:lang w:val="en-US"/>
        </w:rPr>
      </w:pPr>
      <w:r>
        <w:rPr>
          <w:rFonts w:ascii="Times New Roman" w:hAnsi="Times New Roman"/>
          <w:i w:val="false"/>
          <w:iCs w:val="false"/>
          <w:sz w:val="24"/>
          <w:szCs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m:rPr>
            <m:lit/>
            <m:nor/>
          </m:rPr>
          <w:rPr>
            <w:rFonts w:ascii="Cambria Math" w:hAnsi="Cambria Math"/>
          </w:rPr>
          <m:t xml:space="preserve">NDVI</m:t>
        </m:r>
        <m:d>
          <m:dPr>
            <m:begChr m:val="("/>
            <m:endChr m:val=")"/>
          </m:dPr>
          <m:e>
            <m:r>
              <w:rPr>
                <w:rFonts w:ascii="Cambria Math" w:hAnsi="Cambria Math"/>
              </w:rPr>
              <m:t xml:space="preserve">n</m:t>
            </m:r>
          </m:e>
        </m:d>
        <m:r>
          <w:rPr>
            <w:rFonts w:ascii="Cambria Math" w:hAnsi="Cambria Math"/>
          </w:rPr>
          <m:t xml:space="preserve">=</m:t>
        </m:r>
        <m:f>
          <m:num>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sSub>
                  <m:e>
                    <m:r>
                      <w:rPr>
                        <w:rFonts w:ascii="Cambria Math" w:hAnsi="Cambria Math"/>
                      </w:rPr>
                      <m:t xml:space="preserve">λ</m:t>
                    </m:r>
                  </m:e>
                  <m:sub>
                    <m:r>
                      <m:rPr>
                        <m:lit/>
                        <m:nor/>
                      </m:rPr>
                      <w:rPr>
                        <w:rFonts w:ascii="Cambria Math" w:hAnsi="Cambria Math"/>
                      </w:rPr>
                      <m:t xml:space="preserve">IR</m:t>
                    </m:r>
                  </m:sub>
                </m:sSub>
              </m:e>
            </m:d>
            <m:r>
              <w:rPr>
                <w:rFonts w:ascii="Cambria Math" w:hAnsi="Cambria Math"/>
              </w:rPr>
              <m:t xml:space="preserve">−</m:t>
            </m:r>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sSub>
                  <m:e>
                    <m:r>
                      <w:rPr>
                        <w:rFonts w:ascii="Cambria Math" w:hAnsi="Cambria Math"/>
                      </w:rPr>
                      <m:t xml:space="preserve">λ</m:t>
                    </m:r>
                  </m:e>
                  <m:sub>
                    <m:r>
                      <m:rPr>
                        <m:lit/>
                        <m:nor/>
                      </m:rPr>
                      <w:rPr>
                        <w:rFonts w:ascii="Cambria Math" w:hAnsi="Cambria Math"/>
                      </w:rPr>
                      <m:t xml:space="preserve">red</m:t>
                    </m:r>
                  </m:sub>
                </m:sSub>
              </m:e>
            </m:d>
          </m:num>
          <m:den>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sSub>
                  <m:e>
                    <m:r>
                      <w:rPr>
                        <w:rFonts w:ascii="Cambria Math" w:hAnsi="Cambria Math"/>
                      </w:rPr>
                      <m:t xml:space="preserve">λ</m:t>
                    </m:r>
                  </m:e>
                  <m:sub>
                    <m:r>
                      <m:rPr>
                        <m:lit/>
                        <m:nor/>
                      </m:rPr>
                      <w:rPr>
                        <w:rFonts w:ascii="Cambria Math" w:hAnsi="Cambria Math"/>
                      </w:rPr>
                      <m:t xml:space="preserve">IR</m:t>
                    </m:r>
                  </m:sub>
                </m:sSub>
              </m:e>
            </m:d>
            <m:r>
              <w:rPr>
                <w:rFonts w:ascii="Cambria Math" w:hAnsi="Cambria Math"/>
              </w:rPr>
              <m:t xml:space="preserve">+</m:t>
            </m:r>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sSub>
                  <m:e>
                    <m:r>
                      <w:rPr>
                        <w:rFonts w:ascii="Cambria Math" w:hAnsi="Cambria Math"/>
                      </w:rPr>
                      <m:t xml:space="preserve">λ</m:t>
                    </m:r>
                  </m:e>
                  <m:sub>
                    <m:r>
                      <m:rPr>
                        <m:lit/>
                        <m:nor/>
                      </m:rPr>
                      <w:rPr>
                        <w:rFonts w:ascii="Cambria Math" w:hAnsi="Cambria Math"/>
                      </w:rPr>
                      <m:t xml:space="preserve">red</m:t>
                    </m:r>
                  </m:sub>
                </m:sSub>
              </m:e>
            </m:d>
          </m:den>
        </m:f>
      </m:oMath>
      <w:r>
        <w:rPr/>
        <w:tab/>
      </w:r>
      <w:r>
        <w:rPr>
          <w:rFonts w:ascii="Times New Roman" w:hAnsi="Times New Roman"/>
          <w:i w:val="false"/>
          <w:iCs w:val="false"/>
          <w:sz w:val="24"/>
          <w:szCs w:val="24"/>
          <w:lang w:val="en-US"/>
        </w:rPr>
        <w:t>(9)</w:t>
      </w:r>
    </w:p>
    <w:p>
      <w:pPr>
        <w:pStyle w:val="Normal"/>
        <w:jc w:val="both"/>
        <w:rPr>
          <w:rFonts w:ascii="Times New Roman" w:hAnsi="Times New Roman"/>
          <w:i w:val="false"/>
          <w:i w:val="false"/>
          <w:iCs w:val="false"/>
          <w:sz w:val="24"/>
          <w:szCs w:val="24"/>
          <w:lang w:val="en-US"/>
        </w:rPr>
      </w:pPr>
      <w:r>
        <w:rPr>
          <w:rFonts w:ascii="Times New Roman" w:hAnsi="Times New Roman"/>
          <w:i w:val="false"/>
          <w:iCs w:val="false"/>
          <w:sz w:val="24"/>
          <w:szCs w:val="24"/>
          <w:lang w:val="en-US"/>
        </w:rPr>
      </w:r>
    </w:p>
    <w:p>
      <w:pPr>
        <w:pStyle w:val="Normal"/>
        <w:jc w:val="left"/>
        <w:rPr/>
      </w:pPr>
      <w:r>
        <w:rPr>
          <w:rFonts w:ascii="Times New Roman" w:hAnsi="Times New Roman"/>
          <w:i w:val="false"/>
          <w:iCs w:val="false"/>
          <w:sz w:val="24"/>
          <w:szCs w:val="24"/>
          <w:lang w:val="en-US"/>
        </w:rPr>
        <w:t xml:space="preserve">to represent the dependence of NDVI on the number of leaves, </w:t>
      </w:r>
      <w:r>
        <w:rPr>
          <w:rFonts w:ascii="Times New Roman" w:hAnsi="Times New Roman"/>
          <w:i/>
          <w:iCs/>
          <w:sz w:val="24"/>
          <w:szCs w:val="24"/>
          <w:lang w:val="en-US"/>
        </w:rPr>
        <w:t>n</w:t>
      </w:r>
      <w:r>
        <w:rPr>
          <w:rFonts w:ascii="Times New Roman" w:hAnsi="Times New Roman"/>
          <w:i w:val="false"/>
          <w:iCs w:val="false"/>
          <w:sz w:val="24"/>
          <w:szCs w:val="24"/>
          <w:lang w:val="en-US"/>
        </w:rPr>
        <w:t xml:space="preserve">, in a stack. The relationship between the optical properties of a single leaf and those of a stack of </w:t>
      </w:r>
      <w:r>
        <w:rPr>
          <w:rFonts w:ascii="Times New Roman" w:hAnsi="Times New Roman"/>
          <w:i/>
          <w:iCs/>
          <w:sz w:val="24"/>
          <w:szCs w:val="24"/>
          <w:lang w:val="en-US"/>
        </w:rPr>
        <w:t>n</w:t>
      </w:r>
      <w:r>
        <w:rPr>
          <w:rFonts w:ascii="Times New Roman" w:hAnsi="Times New Roman"/>
          <w:i w:val="false"/>
          <w:iCs w:val="false"/>
          <w:sz w:val="24"/>
          <w:szCs w:val="24"/>
          <w:lang w:val="en-US"/>
        </w:rPr>
        <w:t xml:space="preserve"> leaves </w:t>
      </w:r>
      <w:r>
        <w:rPr>
          <w:rFonts w:eastAsia="Arial" w:cs="Arial" w:ascii="Times New Roman" w:hAnsi="Times New Roman"/>
          <w:i w:val="false"/>
          <w:iCs w:val="false"/>
          <w:color w:val="00000A"/>
          <w:sz w:val="24"/>
          <w:szCs w:val="24"/>
          <w:lang w:val="en-US"/>
        </w:rPr>
        <w:t xml:space="preserve">is derived by developing a simple two-stream model in which radiation can propagate only normal to the leaves. We suppose that the optical properties of a single leaf can be described by a wavelength-dependent reflection coefficient </w:t>
      </w:r>
      <w:r>
        <w:rPr>
          <w:rFonts w:eastAsia="Arial" w:cs="Arial" w:ascii="Times New Roman" w:hAnsi="Times New Roman"/>
          <w:i/>
          <w:iCs/>
          <w:color w:val="00000A"/>
          <w:sz w:val="24"/>
          <w:szCs w:val="24"/>
          <w:highlight w:val="yellow"/>
          <w:lang w:val="en-US"/>
        </w:rPr>
        <w:t>ρ</w:t>
      </w:r>
      <w:r>
        <w:rPr>
          <w:rFonts w:eastAsia="Arial" w:cs="Arial" w:ascii="Times New Roman" w:hAnsi="Times New Roman"/>
          <w:i w:val="false"/>
          <w:iCs w:val="false"/>
          <w:color w:val="00000A"/>
          <w:sz w:val="24"/>
          <w:szCs w:val="24"/>
          <w:highlight w:val="yellow"/>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i w:val="false"/>
          <w:iCs w:val="false"/>
          <w:color w:val="00000A"/>
          <w:sz w:val="24"/>
          <w:szCs w:val="24"/>
          <w:highlight w:val="yellow"/>
          <w:lang w:val="en-US"/>
        </w:rPr>
        <w:t>)</w:t>
      </w:r>
      <w:r>
        <w:rPr>
          <w:rFonts w:eastAsia="Arial" w:cs="Arial" w:ascii="Times New Roman" w:hAnsi="Times New Roman"/>
          <w:i w:val="false"/>
          <w:iCs w:val="false"/>
          <w:color w:val="00000A"/>
          <w:sz w:val="24"/>
          <w:szCs w:val="24"/>
          <w:lang w:val="en-US"/>
        </w:rPr>
        <w:t xml:space="preserve"> and a transmission coefficient </w:t>
      </w:r>
      <w:r>
        <w:rPr>
          <w:rFonts w:eastAsia="Arial" w:cs="Arial" w:ascii="Times New Roman" w:hAnsi="Times New Roman"/>
          <w:i/>
          <w:iCs/>
          <w:color w:val="00000A"/>
          <w:sz w:val="24"/>
          <w:szCs w:val="24"/>
          <w:highlight w:val="yellow"/>
          <w:lang w:val="en-US"/>
        </w:rPr>
        <w:t>τ</w:t>
      </w:r>
      <w:r>
        <w:rPr>
          <w:rFonts w:eastAsia="Arial" w:cs="Arial" w:ascii="Times New Roman" w:hAnsi="Times New Roman"/>
          <w:i w:val="false"/>
          <w:iCs w:val="false"/>
          <w:color w:val="00000A"/>
          <w:sz w:val="24"/>
          <w:szCs w:val="24"/>
          <w:highlight w:val="yellow"/>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i w:val="false"/>
          <w:iCs w:val="false"/>
          <w:color w:val="00000A"/>
          <w:sz w:val="24"/>
          <w:szCs w:val="24"/>
          <w:highlight w:val="yellow"/>
          <w:lang w:val="en-US"/>
        </w:rPr>
        <w:t>)</w:t>
      </w:r>
      <w:r>
        <w:rPr>
          <w:rFonts w:eastAsia="Arial" w:cs="Arial" w:ascii="Times New Roman" w:hAnsi="Times New Roman"/>
          <w:i w:val="false"/>
          <w:iCs w:val="false"/>
          <w:color w:val="00000A"/>
          <w:sz w:val="24"/>
          <w:szCs w:val="24"/>
          <w:lang w:val="en-US"/>
        </w:rPr>
        <w:t xml:space="preserve">. We ignore the difference between the reflectances of upper and lower surfaces of a leaf (Carlson and Yarger 1971). The absorption coefficient </w:t>
      </w:r>
      <w:r>
        <w:rPr>
          <w:rFonts w:eastAsia="Arial" w:cs="Arial" w:ascii="Times New Roman" w:hAnsi="Times New Roman"/>
          <w:i/>
          <w:iCs/>
          <w:color w:val="00000A"/>
          <w:sz w:val="24"/>
          <w:szCs w:val="24"/>
          <w:highlight w:val="yellow"/>
          <w:lang w:val="en-US"/>
        </w:rPr>
        <w:t>α</w:t>
      </w:r>
      <w:r>
        <w:rPr>
          <w:rFonts w:eastAsia="Arial" w:cs="Arial" w:ascii="Times New Roman" w:hAnsi="Times New Roman"/>
          <w:i w:val="false"/>
          <w:iCs w:val="false"/>
          <w:color w:val="00000A"/>
          <w:sz w:val="24"/>
          <w:szCs w:val="24"/>
          <w:highlight w:val="yellow"/>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i w:val="false"/>
          <w:iCs w:val="false"/>
          <w:color w:val="00000A"/>
          <w:sz w:val="24"/>
          <w:szCs w:val="24"/>
          <w:highlight w:val="yellow"/>
          <w:lang w:val="en-US"/>
        </w:rPr>
        <w:t>)</w:t>
      </w:r>
      <w:r>
        <w:rPr>
          <w:rFonts w:eastAsia="Arial" w:cs="Arial" w:ascii="Times New Roman" w:hAnsi="Times New Roman"/>
          <w:i w:val="false"/>
          <w:iCs w:val="false"/>
          <w:color w:val="00000A"/>
          <w:sz w:val="24"/>
          <w:szCs w:val="24"/>
          <w:lang w:val="en-US"/>
        </w:rPr>
        <w:t xml:space="preserve"> is thus given by</w:t>
      </w:r>
    </w:p>
    <w:p>
      <w:pPr>
        <w:pStyle w:val="Normal"/>
        <w:spacing w:lineRule="auto" w:line="240"/>
        <w:jc w:val="both"/>
        <w:rPr>
          <w:rFonts w:ascii="Times New Roman" w:hAnsi="Times New Roman" w:eastAsia="Times New Roman" w:cs="Times New Roman"/>
          <w:color w:val="00000A"/>
          <w:sz w:val="24"/>
          <w:szCs w:val="24"/>
          <w:lang w:val="en-US"/>
        </w:rPr>
      </w:pPr>
      <w:r>
        <w:rPr>
          <w:rFonts w:eastAsia="Times New Roman" w:cs="Times New Roman" w:ascii="Times New Roman" w:hAnsi="Times New Roman"/>
          <w:color w:val="00000A"/>
          <w:sz w:val="24"/>
          <w:szCs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α</m:t>
        </m:r>
        <m:d>
          <m:dPr>
            <m:begChr m:val="("/>
            <m:endChr m:val=")"/>
          </m:dPr>
          <m:e>
            <m:r>
              <w:rPr>
                <w:rFonts w:ascii="Cambria Math" w:hAnsi="Cambria Math"/>
              </w:rPr>
              <m:t xml:space="preserve">λ</m:t>
            </m:r>
          </m:e>
        </m:d>
        <m:r>
          <w:rPr>
            <w:rFonts w:ascii="Cambria Math" w:hAnsi="Cambria Math"/>
          </w:rPr>
          <m:t xml:space="preserve">=</m:t>
        </m:r>
        <m:r>
          <w:rPr>
            <w:rFonts w:ascii="Cambria Math" w:hAnsi="Cambria Math"/>
          </w:rPr>
          <m:t xml:space="preserve">1</m:t>
        </m:r>
        <m:r>
          <w:rPr>
            <w:rFonts w:ascii="Cambria Math" w:hAnsi="Cambria Math"/>
          </w:rPr>
          <m:t xml:space="preserve">−</m:t>
        </m:r>
        <m:r>
          <w:rPr>
            <w:rFonts w:ascii="Cambria Math" w:hAnsi="Cambria Math"/>
          </w:rPr>
          <m:t xml:space="preserve">ρ</m:t>
        </m:r>
        <m:d>
          <m:dPr>
            <m:begChr m:val="("/>
            <m:endChr m:val=")"/>
          </m:dPr>
          <m:e>
            <m:r>
              <w:rPr>
                <w:rFonts w:ascii="Cambria Math" w:hAnsi="Cambria Math"/>
              </w:rPr>
              <m:t xml:space="preserve">λ</m:t>
            </m:r>
          </m:e>
        </m:d>
        <m:r>
          <w:rPr>
            <w:rFonts w:ascii="Cambria Math" w:hAnsi="Cambria Math"/>
          </w:rPr>
          <m:t xml:space="preserve">−</m:t>
        </m:r>
        <m:r>
          <w:rPr>
            <w:rFonts w:ascii="Cambria Math" w:hAnsi="Cambria Math"/>
          </w:rPr>
          <m:t xml:space="preserve">τ</m:t>
        </m:r>
        <m:d>
          <m:dPr>
            <m:begChr m:val="("/>
            <m:endChr m:val=")"/>
          </m:dPr>
          <m:e>
            <m:r>
              <w:rPr>
                <w:rFonts w:ascii="Cambria Math" w:hAnsi="Cambria Math"/>
              </w:rPr>
              <m:t xml:space="preserve">λ</m:t>
            </m:r>
          </m:e>
        </m:d>
      </m:oMath>
      <w:r>
        <w:rPr/>
        <w:tab/>
      </w:r>
      <w:r>
        <w:rPr>
          <w:rFonts w:eastAsia="Times New Roman" w:cs="Times New Roman" w:ascii="Times New Roman" w:hAnsi="Times New Roman"/>
          <w:color w:val="00000A"/>
          <w:sz w:val="24"/>
          <w:szCs w:val="24"/>
          <w:lang w:val="en-US"/>
        </w:rPr>
        <w:t>(10)</w:t>
      </w:r>
    </w:p>
    <w:p>
      <w:pPr>
        <w:pStyle w:val="Normal"/>
        <w:spacing w:lineRule="auto" w:line="240"/>
        <w:jc w:val="both"/>
        <w:rPr>
          <w:rFonts w:ascii="Times New Roman" w:hAnsi="Times New Roman" w:eastAsia="Times New Roman" w:cs="Times New Roman"/>
          <w:color w:val="00000A"/>
          <w:sz w:val="24"/>
          <w:szCs w:val="24"/>
          <w:lang w:val="en-US"/>
        </w:rPr>
      </w:pPr>
      <w:r>
        <w:rPr>
          <w:rFonts w:eastAsia="Times New Roman" w:cs="Times New Roman" w:ascii="Times New Roman" w:hAnsi="Times New Roman"/>
          <w:color w:val="00000A"/>
          <w:sz w:val="24"/>
          <w:szCs w:val="24"/>
          <w:lang w:val="en-US"/>
        </w:rPr>
      </w:r>
    </w:p>
    <w:p>
      <w:pPr>
        <w:pStyle w:val="Normal"/>
        <w:spacing w:lineRule="auto" w:line="264"/>
        <w:ind w:left="4" w:right="460" w:hanging="0"/>
        <w:jc w:val="both"/>
        <w:rPr/>
      </w:pPr>
      <w:r>
        <w:rPr>
          <w:rFonts w:eastAsia="Arial" w:cs="Arial" w:ascii="Times New Roman" w:hAnsi="Times New Roman"/>
          <w:color w:val="00000A"/>
          <w:sz w:val="24"/>
          <w:szCs w:val="24"/>
          <w:lang w:val="en-US"/>
        </w:rPr>
        <w:t>In this case it is straightforward to show the recursive relationship</w:t>
      </w:r>
    </w:p>
    <w:p>
      <w:pPr>
        <w:pStyle w:val="Normal"/>
        <w:spacing w:lineRule="auto" w:line="264"/>
        <w:ind w:left="4" w:right="4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r>
              <w:rPr>
                <w:rFonts w:ascii="Cambria Math" w:hAnsi="Cambria Math"/>
              </w:rPr>
              <m:t xml:space="preserve">λ</m:t>
            </m:r>
          </m:e>
        </m:d>
        <m:r>
          <w:rPr>
            <w:rFonts w:ascii="Cambria Math" w:hAnsi="Cambria Math"/>
          </w:rPr>
          <m:t xml:space="preserve">=</m:t>
        </m:r>
        <m:r>
          <w:rPr>
            <w:rFonts w:ascii="Cambria Math" w:hAnsi="Cambria Math"/>
          </w:rPr>
          <m:t xml:space="preserve">ρ</m:t>
        </m:r>
        <m:d>
          <m:dPr>
            <m:begChr m:val="("/>
            <m:endChr m:val=")"/>
          </m:dPr>
          <m:e>
            <m:r>
              <w:rPr>
                <w:rFonts w:ascii="Cambria Math" w:hAnsi="Cambria Math"/>
              </w:rPr>
              <m:t xml:space="preserve">λ</m:t>
            </m:r>
          </m:e>
        </m:d>
        <m:r>
          <w:rPr>
            <w:rFonts w:ascii="Cambria Math" w:hAnsi="Cambria Math"/>
          </w:rPr>
          <m:t xml:space="preserve">+</m:t>
        </m:r>
        <m:f>
          <m:num>
            <m:sSup>
              <m:e>
                <m:r>
                  <w:rPr>
                    <w:rFonts w:ascii="Cambria Math" w:hAnsi="Cambria Math"/>
                  </w:rPr>
                  <m:t xml:space="preserve">τ</m:t>
                </m:r>
              </m:e>
              <m:sup>
                <m:r>
                  <w:rPr>
                    <w:rFonts w:ascii="Cambria Math" w:hAnsi="Cambria Math"/>
                  </w:rPr>
                  <m:t xml:space="preserve">2</m:t>
                </m:r>
              </m:sup>
            </m:sSup>
            <m:d>
              <m:dPr>
                <m:begChr m:val="("/>
                <m:endChr m:val=")"/>
              </m:dPr>
              <m:e>
                <m:r>
                  <w:rPr>
                    <w:rFonts w:ascii="Cambria Math" w:hAnsi="Cambria Math"/>
                  </w:rPr>
                  <m:t xml:space="preserve">λ</m:t>
                </m:r>
              </m:e>
            </m:d>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r>
                  <w:rPr>
                    <w:rFonts w:ascii="Cambria Math" w:hAnsi="Cambria Math"/>
                  </w:rPr>
                  <m:t xml:space="preserve">1</m:t>
                </m:r>
                <m:r>
                  <w:rPr>
                    <w:rFonts w:ascii="Cambria Math" w:hAnsi="Cambria Math"/>
                  </w:rPr>
                  <m:t xml:space="preserve">,</m:t>
                </m:r>
                <m:r>
                  <w:rPr>
                    <w:rFonts w:ascii="Cambria Math" w:hAnsi="Cambria Math"/>
                  </w:rPr>
                  <m:t xml:space="preserve">λ</m:t>
                </m:r>
              </m:e>
            </m:d>
          </m:num>
          <m:den>
            <m:r>
              <w:rPr>
                <w:rFonts w:ascii="Cambria Math" w:hAnsi="Cambria Math"/>
              </w:rPr>
              <m:t xml:space="preserve">1</m:t>
            </m:r>
            <m:r>
              <w:rPr>
                <w:rFonts w:ascii="Cambria Math" w:hAnsi="Cambria Math"/>
              </w:rPr>
              <m:t xml:space="preserve">−</m:t>
            </m:r>
            <m:r>
              <w:rPr>
                <w:rFonts w:ascii="Cambria Math" w:hAnsi="Cambria Math"/>
              </w:rPr>
              <m:t xml:space="preserve">ρ</m:t>
            </m:r>
            <m:d>
              <m:dPr>
                <m:begChr m:val="("/>
                <m:endChr m:val=")"/>
              </m:dPr>
              <m:e>
                <m:r>
                  <w:rPr>
                    <w:rFonts w:ascii="Cambria Math" w:hAnsi="Cambria Math"/>
                  </w:rPr>
                  <m:t xml:space="preserve">λ</m:t>
                </m:r>
              </m:e>
            </m:d>
            <m:r>
              <w:rPr>
                <w:rFonts w:ascii="Cambria Math" w:hAnsi="Cambria Math"/>
              </w:rPr>
              <m:t xml:space="preserve">R</m:t>
            </m:r>
            <m:d>
              <m:dPr>
                <m:begChr m:val="("/>
                <m:endChr m:val=")"/>
              </m:dPr>
              <m:e>
                <m:r>
                  <w:rPr>
                    <w:rFonts w:ascii="Cambria Math" w:hAnsi="Cambria Math"/>
                  </w:rPr>
                  <m:t xml:space="preserve">n</m:t>
                </m:r>
                <m:r>
                  <w:rPr>
                    <w:rFonts w:ascii="Cambria Math" w:hAnsi="Cambria Math"/>
                  </w:rPr>
                  <m:t xml:space="preserve">−</m:t>
                </m:r>
                <m:r>
                  <w:rPr>
                    <w:rFonts w:ascii="Cambria Math" w:hAnsi="Cambria Math"/>
                  </w:rPr>
                  <m:t xml:space="preserve">1</m:t>
                </m:r>
                <m:r>
                  <w:rPr>
                    <w:rFonts w:ascii="Cambria Math" w:hAnsi="Cambria Math"/>
                  </w:rPr>
                  <m:t xml:space="preserve">,</m:t>
                </m:r>
                <m:r>
                  <w:rPr>
                    <w:rFonts w:ascii="Cambria Math" w:hAnsi="Cambria Math"/>
                  </w:rPr>
                  <m:t xml:space="preserve">λ</m:t>
                </m:r>
              </m:e>
            </m:d>
          </m:den>
        </m:f>
      </m:oMath>
      <w:r>
        <w:rPr/>
        <w:tab/>
      </w:r>
      <w:r>
        <w:rPr>
          <w:rFonts w:eastAsia="Arial" w:cs="Arial" w:ascii="Times New Roman" w:hAnsi="Times New Roman"/>
          <w:color w:val="00000A"/>
          <w:sz w:val="24"/>
          <w:szCs w:val="24"/>
          <w:lang w:val="en-US"/>
        </w:rPr>
        <w:t>(11)</w:t>
      </w:r>
    </w:p>
    <w:p>
      <w:pPr>
        <w:pStyle w:val="Normal"/>
        <w:spacing w:lineRule="auto" w:line="264"/>
        <w:ind w:left="4" w:right="4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spacing w:lineRule="auto" w:line="264"/>
        <w:ind w:left="4" w:right="460" w:hanging="0"/>
        <w:jc w:val="both"/>
        <w:rPr/>
      </w:pPr>
      <w:r>
        <w:rPr>
          <w:rFonts w:eastAsia="Arial" w:cs="Arial" w:ascii="Times New Roman" w:hAnsi="Times New Roman"/>
          <w:color w:val="00000A"/>
          <w:sz w:val="24"/>
          <w:szCs w:val="24"/>
          <w:lang w:val="en-US"/>
        </w:rPr>
        <w:t>where</w:t>
      </w:r>
    </w:p>
    <w:p>
      <w:pPr>
        <w:pStyle w:val="Normal"/>
        <w:spacing w:lineRule="auto" w:line="264"/>
        <w:ind w:left="4" w:right="4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tabs>
          <w:tab w:val="left" w:pos="720" w:leader="none"/>
          <w:tab w:val="left" w:pos="8640" w:leader="none"/>
        </w:tabs>
        <w:spacing w:lineRule="auto" w:line="240"/>
        <w:jc w:val="both"/>
        <w:rPr/>
      </w:pPr>
      <w:bookmarkStart w:id="1" w:name="__DdeLink__3004_2139199310"/>
      <w:r>
        <w:rPr/>
        <w:tab/>
      </w:r>
      <w:r>
        <w:rPr/>
      </w:r>
      <m:oMath xmlns:m="http://schemas.openxmlformats.org/officeDocument/2006/math">
        <m:r>
          <w:rPr>
            <w:rFonts w:ascii="Cambria Math" w:hAnsi="Cambria Math"/>
          </w:rPr>
          <m:t xml:space="preserve">R</m:t>
        </m:r>
        <m:d>
          <m:dPr>
            <m:begChr m:val="("/>
            <m:endChr m:val=")"/>
          </m:dPr>
          <m:e>
            <m:r>
              <w:rPr>
                <w:rFonts w:ascii="Cambria Math" w:hAnsi="Cambria Math"/>
              </w:rPr>
              <m:t xml:space="preserve">0,</m:t>
            </m:r>
            <m:r>
              <w:rPr>
                <w:rFonts w:ascii="Cambria Math" w:hAnsi="Cambria Math"/>
              </w:rPr>
              <m:t xml:space="preserve">λ</m:t>
            </m:r>
          </m:e>
        </m:d>
        <m:r>
          <w:rPr>
            <w:rFonts w:ascii="Cambria Math" w:hAnsi="Cambria Math"/>
          </w:rPr>
          <m:t xml:space="preserve">=</m:t>
        </m:r>
        <m:sSub>
          <m:e>
            <m:r>
              <w:rPr>
                <w:rFonts w:ascii="Cambria Math" w:hAnsi="Cambria Math"/>
              </w:rPr>
              <m:t xml:space="preserve">R</m:t>
            </m:r>
          </m:e>
          <m:sub>
            <m:r>
              <m:rPr>
                <m:lit/>
                <m:nor/>
              </m:rPr>
              <w:rPr>
                <w:rFonts w:ascii="Cambria Math" w:hAnsi="Cambria Math"/>
              </w:rPr>
              <m:t xml:space="preserve">g</m:t>
            </m:r>
          </m:sub>
        </m:sSub>
        <m:d>
          <m:dPr>
            <m:begChr m:val="("/>
            <m:endChr m:val=")"/>
          </m:dPr>
          <m:e>
            <m:r>
              <w:rPr>
                <w:rFonts w:ascii="Cambria Math" w:hAnsi="Cambria Math"/>
              </w:rPr>
              <m:t xml:space="preserve">λ</m:t>
            </m:r>
          </m:e>
        </m:d>
      </m:oMath>
      <w:r>
        <w:rPr/>
        <w:tab/>
      </w:r>
      <w:r>
        <w:rPr>
          <w:rFonts w:eastAsia="Arial" w:cs="Arial" w:ascii="Times New Roman" w:hAnsi="Times New Roman"/>
          <w:color w:val="00000A"/>
          <w:sz w:val="24"/>
          <w:szCs w:val="24"/>
          <w:lang w:val="en-US"/>
        </w:rPr>
        <w:t>(12)</w:t>
      </w:r>
      <w:bookmarkEnd w:id="1"/>
    </w:p>
    <w:p>
      <w:pPr>
        <w:pStyle w:val="Normal"/>
        <w:spacing w:lineRule="auto" w:line="264"/>
        <w:ind w:left="4" w:right="4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spacing w:lineRule="auto" w:line="264"/>
        <w:ind w:left="4" w:right="460" w:hanging="0"/>
        <w:jc w:val="left"/>
        <w:rPr/>
      </w:pPr>
      <w:r>
        <w:rPr>
          <w:rFonts w:eastAsia="Arial" w:cs="Arial" w:ascii="Times New Roman" w:hAnsi="Times New Roman"/>
          <w:color w:val="00000A"/>
          <w:sz w:val="24"/>
          <w:szCs w:val="24"/>
          <w:lang w:val="en-US"/>
        </w:rPr>
        <w:t>is the reflectance of the ground beneath the canopy. In the limiting case of an infinite stack of leaves, (11) tends to a value of</w:t>
      </w:r>
    </w:p>
    <w:p>
      <w:pPr>
        <w:pStyle w:val="Normal"/>
        <w:spacing w:lineRule="auto" w:line="264"/>
        <w:ind w:left="4" w:right="4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R</m:t>
        </m:r>
        <m:d>
          <m:dPr>
            <m:begChr m:val="("/>
            <m:endChr m:val=")"/>
          </m:dPr>
          <m:e>
            <m:r>
              <w:rPr>
                <w:rFonts w:ascii="Cambria Math" w:hAnsi="Cambria Math"/>
              </w:rPr>
              <m:t xml:space="preserve">∞</m:t>
            </m:r>
            <m:r>
              <w:rPr>
                <w:rFonts w:ascii="Cambria Math" w:hAnsi="Cambria Math"/>
              </w:rPr>
              <m:t xml:space="preserve">,</m:t>
            </m:r>
            <m:r>
              <w:rPr>
                <w:rFonts w:ascii="Cambria Math" w:hAnsi="Cambria Math"/>
              </w:rPr>
              <m:t xml:space="preserve">λ</m:t>
            </m:r>
          </m:e>
        </m:d>
        <m:r>
          <w:rPr>
            <w:rFonts w:ascii="Cambria Math" w:hAnsi="Cambria Math"/>
          </w:rPr>
          <m:t xml:space="preserve">=</m:t>
        </m:r>
        <m:f>
          <m:num>
            <m:r>
              <w:rPr>
                <w:rFonts w:ascii="Cambria Math" w:hAnsi="Cambria Math"/>
              </w:rPr>
              <m:t xml:space="preserve">1</m:t>
            </m:r>
            <m:r>
              <w:rPr>
                <w:rFonts w:ascii="Cambria Math" w:hAnsi="Cambria Math"/>
              </w:rPr>
              <m:t xml:space="preserve">+</m:t>
            </m:r>
            <m:sSup>
              <m:e>
                <m:r>
                  <w:rPr>
                    <w:rFonts w:ascii="Cambria Math" w:hAnsi="Cambria Math"/>
                  </w:rPr>
                  <m:t xml:space="preserve">ρ</m:t>
                </m:r>
              </m:e>
              <m:sup>
                <m:r>
                  <w:rPr>
                    <w:rFonts w:ascii="Cambria Math" w:hAnsi="Cambria Math"/>
                  </w:rPr>
                  <m:t xml:space="preserve">2</m:t>
                </m:r>
              </m:sup>
            </m:sSup>
            <m:d>
              <m:dPr>
                <m:begChr m:val="("/>
                <m:endChr m:val=")"/>
              </m:dPr>
              <m:e>
                <m:r>
                  <w:rPr>
                    <w:rFonts w:ascii="Cambria Math" w:hAnsi="Cambria Math"/>
                  </w:rPr>
                  <m:t xml:space="preserve">λ</m:t>
                </m:r>
              </m:e>
            </m:d>
            <m:r>
              <w:rPr>
                <w:rFonts w:ascii="Cambria Math" w:hAnsi="Cambria Math"/>
              </w:rPr>
              <m:t xml:space="preserve">−</m:t>
            </m:r>
            <m:sSup>
              <m:e>
                <m:r>
                  <w:rPr>
                    <w:rFonts w:ascii="Cambria Math" w:hAnsi="Cambria Math"/>
                  </w:rPr>
                  <m:t xml:space="preserve">τ</m:t>
                </m:r>
              </m:e>
              <m:sup>
                <m:r>
                  <w:rPr>
                    <w:rFonts w:ascii="Cambria Math" w:hAnsi="Cambria Math"/>
                  </w:rPr>
                  <m:t xml:space="preserve">2</m:t>
                </m:r>
              </m:sup>
            </m:sSup>
            <m:d>
              <m:dPr>
                <m:begChr m:val="("/>
                <m:endChr m:val=")"/>
              </m:dPr>
              <m:e>
                <m:r>
                  <w:rPr>
                    <w:rFonts w:ascii="Cambria Math" w:hAnsi="Cambria Math"/>
                  </w:rPr>
                  <m:t xml:space="preserve">λ</m:t>
                </m:r>
              </m:e>
            </m:d>
            <m:r>
              <w:rPr>
                <w:rFonts w:ascii="Cambria Math" w:hAnsi="Cambria Math"/>
              </w:rPr>
              <m:t xml:space="preserve">−</m:t>
            </m:r>
            <m:rad>
              <m:radPr>
                <m:degHide m:val="1"/>
              </m:radPr>
              <m:deg/>
              <m:e>
                <m:sSup>
                  <m:e>
                    <m:d>
                      <m:dPr>
                        <m:begChr m:val="("/>
                        <m:endChr m:val=")"/>
                      </m:dPr>
                      <m:e>
                        <m:r>
                          <w:rPr>
                            <w:rFonts w:ascii="Cambria Math" w:hAnsi="Cambria Math"/>
                          </w:rPr>
                          <m:t xml:space="preserve">1</m:t>
                        </m:r>
                        <m:r>
                          <w:rPr>
                            <w:rFonts w:ascii="Cambria Math" w:hAnsi="Cambria Math"/>
                          </w:rPr>
                          <m:t xml:space="preserve">+</m:t>
                        </m:r>
                        <m:sSup>
                          <m:e>
                            <m:r>
                              <w:rPr>
                                <w:rFonts w:ascii="Cambria Math" w:hAnsi="Cambria Math"/>
                              </w:rPr>
                              <m:t xml:space="preserve">ρ</m:t>
                            </m:r>
                          </m:e>
                          <m:sup>
                            <m:r>
                              <w:rPr>
                                <w:rFonts w:ascii="Cambria Math" w:hAnsi="Cambria Math"/>
                              </w:rPr>
                              <m:t xml:space="preserve">2</m:t>
                            </m:r>
                          </m:sup>
                        </m:sSup>
                        <m:d>
                          <m:dPr>
                            <m:begChr m:val="("/>
                            <m:endChr m:val=")"/>
                          </m:dPr>
                          <m:e>
                            <m:r>
                              <w:rPr>
                                <w:rFonts w:ascii="Cambria Math" w:hAnsi="Cambria Math"/>
                              </w:rPr>
                              <m:t xml:space="preserve">λ</m:t>
                            </m:r>
                          </m:e>
                        </m:d>
                        <m:r>
                          <w:rPr>
                            <w:rFonts w:ascii="Cambria Math" w:hAnsi="Cambria Math"/>
                          </w:rPr>
                          <m:t xml:space="preserve">−</m:t>
                        </m:r>
                        <m:sSup>
                          <m:e>
                            <m:r>
                              <w:rPr>
                                <w:rFonts w:ascii="Cambria Math" w:hAnsi="Cambria Math"/>
                              </w:rPr>
                              <m:t xml:space="preserve">τ</m:t>
                            </m:r>
                          </m:e>
                          <m:sup>
                            <m:r>
                              <w:rPr>
                                <w:rFonts w:ascii="Cambria Math" w:hAnsi="Cambria Math"/>
                              </w:rPr>
                              <m:t xml:space="preserve">2</m:t>
                            </m:r>
                          </m:sup>
                        </m:sSup>
                        <m:d>
                          <m:dPr>
                            <m:begChr m:val="("/>
                            <m:endChr m:val=")"/>
                          </m:dPr>
                          <m:e>
                            <m:r>
                              <w:rPr>
                                <w:rFonts w:ascii="Cambria Math" w:hAnsi="Cambria Math"/>
                              </w:rPr>
                              <m:t xml:space="preserve">λ</m:t>
                            </m:r>
                          </m:e>
                        </m:d>
                      </m:e>
                    </m:d>
                  </m:e>
                  <m:sup>
                    <m:r>
                      <w:rPr>
                        <w:rFonts w:ascii="Cambria Math" w:hAnsi="Cambria Math"/>
                      </w:rPr>
                      <m:t xml:space="preserve">2</m:t>
                    </m:r>
                  </m:sup>
                </m:sSup>
                <m:r>
                  <w:rPr>
                    <w:rFonts w:ascii="Cambria Math" w:hAnsi="Cambria Math"/>
                  </w:rPr>
                  <m:t xml:space="preserve">−</m:t>
                </m:r>
                <m:r>
                  <w:rPr>
                    <w:rFonts w:ascii="Cambria Math" w:hAnsi="Cambria Math"/>
                  </w:rPr>
                  <m:t xml:space="preserve">4</m:t>
                </m:r>
                <m:sSup>
                  <m:e>
                    <m:r>
                      <w:rPr>
                        <w:rFonts w:ascii="Cambria Math" w:hAnsi="Cambria Math"/>
                      </w:rPr>
                      <m:t xml:space="preserve">ρ</m:t>
                    </m:r>
                  </m:e>
                  <m:sup>
                    <m:r>
                      <w:rPr>
                        <w:rFonts w:ascii="Cambria Math" w:hAnsi="Cambria Math"/>
                      </w:rPr>
                      <m:t xml:space="preserve">2</m:t>
                    </m:r>
                  </m:sup>
                </m:sSup>
                <m:d>
                  <m:dPr>
                    <m:begChr m:val="("/>
                    <m:endChr m:val=")"/>
                  </m:dPr>
                  <m:e>
                    <m:r>
                      <w:rPr>
                        <w:rFonts w:ascii="Cambria Math" w:hAnsi="Cambria Math"/>
                      </w:rPr>
                      <m:t xml:space="preserve">λ</m:t>
                    </m:r>
                  </m:e>
                </m:d>
              </m:e>
            </m:rad>
          </m:num>
          <m:den>
            <m:r>
              <w:rPr>
                <w:rFonts w:ascii="Cambria Math" w:hAnsi="Cambria Math"/>
              </w:rPr>
              <m:t xml:space="preserve">2</m:t>
            </m:r>
            <m:r>
              <w:rPr>
                <w:rFonts w:ascii="Cambria Math" w:hAnsi="Cambria Math"/>
              </w:rPr>
              <m:t xml:space="preserve">ρ</m:t>
            </m:r>
            <m:d>
              <m:dPr>
                <m:begChr m:val="("/>
                <m:endChr m:val=")"/>
              </m:dPr>
              <m:e>
                <m:r>
                  <w:rPr>
                    <w:rFonts w:ascii="Cambria Math" w:hAnsi="Cambria Math"/>
                  </w:rPr>
                  <m:t xml:space="preserve">λ</m:t>
                </m:r>
              </m:e>
            </m:d>
          </m:den>
        </m:f>
      </m:oMath>
      <w:r>
        <w:rPr/>
        <w:tab/>
      </w:r>
      <w:r>
        <w:rPr>
          <w:rFonts w:eastAsia="Arial" w:cs="Arial" w:ascii="Times New Roman" w:hAnsi="Times New Roman"/>
          <w:color w:val="00000A"/>
          <w:sz w:val="24"/>
          <w:szCs w:val="24"/>
          <w:lang w:val="en-US"/>
        </w:rPr>
        <w:t>(13)</w:t>
      </w:r>
    </w:p>
    <w:p>
      <w:pPr>
        <w:pStyle w:val="Normal"/>
        <w:spacing w:lineRule="auto" w:line="264"/>
        <w:ind w:left="4" w:right="4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spacing w:lineRule="auto" w:line="264"/>
        <w:ind w:left="4" w:right="460" w:hanging="0"/>
        <w:jc w:val="both"/>
        <w:rPr/>
      </w:pPr>
      <w:r>
        <w:rPr>
          <w:rFonts w:eastAsia="Arial" w:cs="Arial" w:ascii="Times New Roman" w:hAnsi="Times New Roman"/>
          <w:color w:val="00000A"/>
          <w:sz w:val="24"/>
          <w:szCs w:val="24"/>
          <w:lang w:val="en-US"/>
        </w:rPr>
        <w:tab/>
      </w:r>
    </w:p>
    <w:p>
      <w:pPr>
        <w:pStyle w:val="Normal"/>
        <w:spacing w:lineRule="auto" w:line="252"/>
        <w:ind w:left="4" w:right="180" w:hanging="0"/>
        <w:jc w:val="left"/>
        <w:rPr/>
      </w:pPr>
      <w:r>
        <w:rPr>
          <w:rFonts w:eastAsia="Arial" w:cs="Arial" w:ascii="Times New Roman" w:hAnsi="Times New Roman"/>
          <w:color w:val="00000A"/>
          <w:sz w:val="24"/>
          <w:szCs w:val="24"/>
          <w:lang w:val="en-US"/>
        </w:rPr>
        <w:t xml:space="preserve">We can use this simple model to calculate the number </w:t>
      </w:r>
      <w:r>
        <w:rPr>
          <w:rFonts w:eastAsia="Arial" w:cs="Arial" w:ascii="Times New Roman" w:hAnsi="Times New Roman"/>
          <w:i/>
          <w:color w:val="00000A"/>
          <w:sz w:val="24"/>
          <w:szCs w:val="24"/>
          <w:lang w:val="en-US"/>
        </w:rPr>
        <w:t>n</w:t>
      </w:r>
      <w:r>
        <w:rPr>
          <w:rFonts w:eastAsia="Arial" w:cs="Arial" w:ascii="Times New Roman" w:hAnsi="Times New Roman"/>
          <w:i w:val="false"/>
          <w:iCs w:val="false"/>
          <w:color w:val="00000A"/>
          <w:sz w:val="24"/>
          <w:szCs w:val="24"/>
          <w:highlight w:val="yellow"/>
          <w:vertAlign w:val="subscript"/>
          <w:lang w:val="en-US"/>
        </w:rPr>
        <w:t>max</w:t>
      </w:r>
      <w:r>
        <w:rPr>
          <w:rFonts w:eastAsia="Arial" w:cs="Arial" w:ascii="Times New Roman" w:hAnsi="Times New Roman"/>
          <w:color w:val="00000A"/>
          <w:sz w:val="24"/>
          <w:szCs w:val="24"/>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lang w:val="en-US"/>
        </w:rPr>
        <w:t xml:space="preserve">) of leaves that give a stack reflectance that is sufficiently close to that of an infinite stack of leaves. </w:t>
      </w:r>
      <w:r>
        <w:rPr>
          <w:rFonts w:eastAsia="Arial" w:cs="Arial" w:ascii="Times New Roman" w:hAnsi="Times New Roman"/>
          <w:color w:val="00000A"/>
          <w:sz w:val="24"/>
          <w:szCs w:val="24"/>
        </w:rPr>
        <w:t xml:space="preserve">Specifically, we define </w:t>
      </w:r>
      <w:r>
        <w:rPr>
          <w:rFonts w:eastAsia="Arial" w:cs="Arial" w:ascii="Times New Roman" w:hAnsi="Times New Roman"/>
          <w:i/>
          <w:color w:val="00000A"/>
          <w:sz w:val="24"/>
          <w:szCs w:val="24"/>
          <w:lang w:val="en-US"/>
        </w:rPr>
        <w:t>n</w:t>
      </w:r>
      <w:r>
        <w:rPr>
          <w:rFonts w:eastAsia="Arial" w:cs="Arial" w:ascii="Times New Roman" w:hAnsi="Times New Roman"/>
          <w:i w:val="false"/>
          <w:iCs w:val="false"/>
          <w:color w:val="00000A"/>
          <w:sz w:val="24"/>
          <w:szCs w:val="24"/>
          <w:highlight w:val="yellow"/>
          <w:vertAlign w:val="subscript"/>
          <w:lang w:val="en-US"/>
        </w:rPr>
        <w:t>max</w:t>
      </w:r>
      <w:r>
        <w:rPr>
          <w:rFonts w:eastAsia="Arial" w:cs="Arial" w:ascii="Times New Roman" w:hAnsi="Times New Roman"/>
          <w:color w:val="00000A"/>
          <w:sz w:val="24"/>
          <w:szCs w:val="24"/>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lang w:val="en-US"/>
        </w:rPr>
        <w:t xml:space="preserve">) as the smallest integer </w:t>
      </w:r>
      <w:r>
        <w:rPr>
          <w:rFonts w:eastAsia="Arial" w:cs="Arial" w:ascii="Times New Roman" w:hAnsi="Times New Roman"/>
          <w:i/>
          <w:iCs/>
          <w:color w:val="00000A"/>
          <w:sz w:val="24"/>
          <w:szCs w:val="24"/>
          <w:lang w:val="en-US"/>
        </w:rPr>
        <w:t>m</w:t>
      </w:r>
      <w:r>
        <w:rPr>
          <w:rFonts w:eastAsia="Arial" w:cs="Arial" w:ascii="Times New Roman" w:hAnsi="Times New Roman"/>
          <w:i w:val="false"/>
          <w:iCs w:val="false"/>
          <w:color w:val="00000A"/>
          <w:sz w:val="24"/>
          <w:szCs w:val="24"/>
          <w:lang w:val="en-US"/>
        </w:rPr>
        <w:t xml:space="preserve"> that satisfies</w:t>
      </w:r>
    </w:p>
    <w:p>
      <w:pPr>
        <w:pStyle w:val="Normal"/>
        <w:spacing w:lineRule="auto" w:line="259"/>
        <w:ind w:left="4" w:right="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tabs>
          <w:tab w:val="left" w:pos="720" w:leader="none"/>
          <w:tab w:val="left" w:pos="8640" w:leader="none"/>
        </w:tabs>
        <w:spacing w:lineRule="auto" w:line="240"/>
        <w:jc w:val="both"/>
        <w:rPr/>
      </w:pPr>
      <w:r>
        <w:rPr/>
        <w:tab/>
      </w:r>
      <w:r>
        <w:rPr/>
      </w:r>
      <m:oMath xmlns:m="http://schemas.openxmlformats.org/officeDocument/2006/math">
        <m:r>
          <w:rPr>
            <w:rFonts w:ascii="Cambria Math" w:hAnsi="Cambria Math"/>
          </w:rPr>
          <m:t xml:space="preserve">R</m:t>
        </m:r>
        <m:d>
          <m:dPr>
            <m:begChr m:val="("/>
            <m:endChr m:val=")"/>
          </m:dPr>
          <m:e>
            <m:r>
              <w:rPr>
                <w:rFonts w:ascii="Cambria Math" w:hAnsi="Cambria Math"/>
              </w:rPr>
              <m:t xml:space="preserve">m</m:t>
            </m:r>
            <m:r>
              <w:rPr>
                <w:rFonts w:ascii="Cambria Math" w:hAnsi="Cambria Math"/>
              </w:rPr>
              <m:t xml:space="preserve">,</m:t>
            </m:r>
            <m:r>
              <w:rPr>
                <w:rFonts w:ascii="Cambria Math" w:hAnsi="Cambria Math"/>
              </w:rPr>
              <m:t xml:space="preserve">λ</m:t>
            </m:r>
          </m:e>
        </m:d>
        <m:r>
          <w:rPr>
            <w:rFonts w:ascii="Cambria Math" w:hAnsi="Cambria Math"/>
          </w:rPr>
          <m:t xml:space="preserve">≥</m:t>
        </m:r>
        <m:r>
          <w:rPr>
            <w:rFonts w:ascii="Cambria Math" w:hAnsi="Cambria Math"/>
          </w:rPr>
          <m:t xml:space="preserve">k</m:t>
        </m:r>
        <m:r>
          <w:rPr>
            <w:rFonts w:ascii="Cambria Math" w:hAnsi="Cambria Math"/>
          </w:rPr>
          <m:t xml:space="preserve">R</m:t>
        </m:r>
        <m:d>
          <m:dPr>
            <m:begChr m:val="("/>
            <m:endChr m:val=")"/>
          </m:dPr>
          <m:e>
            <m:r>
              <w:rPr>
                <w:rFonts w:ascii="Cambria Math" w:hAnsi="Cambria Math"/>
              </w:rPr>
              <m:t xml:space="preserve">∞</m:t>
            </m:r>
            <m:r>
              <w:rPr>
                <w:rFonts w:ascii="Cambria Math" w:hAnsi="Cambria Math"/>
              </w:rPr>
              <m:t xml:space="preserve">,</m:t>
            </m:r>
            <m:r>
              <w:rPr>
                <w:rFonts w:ascii="Cambria Math" w:hAnsi="Cambria Math"/>
              </w:rPr>
              <m:t xml:space="preserve">λ</m:t>
            </m:r>
          </m:e>
        </m:d>
      </m:oMath>
      <w:r>
        <w:rPr/>
        <w:tab/>
      </w:r>
      <w:r>
        <w:rPr>
          <w:rFonts w:eastAsia="Arial" w:cs="Arial" w:ascii="Times New Roman" w:hAnsi="Times New Roman"/>
          <w:color w:val="00000A"/>
          <w:sz w:val="24"/>
          <w:szCs w:val="24"/>
          <w:lang w:val="en-US"/>
        </w:rPr>
        <w:t>(14)</w:t>
      </w:r>
    </w:p>
    <w:p>
      <w:pPr>
        <w:pStyle w:val="Normal"/>
        <w:spacing w:lineRule="auto" w:line="259"/>
        <w:ind w:left="4" w:right="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spacing w:lineRule="auto" w:line="259"/>
        <w:ind w:left="0" w:right="60" w:hanging="0"/>
        <w:jc w:val="left"/>
        <w:rPr/>
      </w:pPr>
      <w:r>
        <w:rPr>
          <w:rFonts w:eastAsia="Arial" w:cs="Arial" w:ascii="Times New Roman" w:hAnsi="Times New Roman"/>
          <w:color w:val="00000A"/>
          <w:sz w:val="24"/>
          <w:szCs w:val="24"/>
          <w:lang w:val="en-US"/>
        </w:rPr>
        <w:t xml:space="preserve">where </w:t>
      </w:r>
      <w:r>
        <w:rPr>
          <w:rFonts w:eastAsia="Arial" w:cs="Arial" w:ascii="Times New Roman" w:hAnsi="Times New Roman"/>
          <w:i/>
          <w:iCs/>
          <w:color w:val="00000A"/>
          <w:sz w:val="24"/>
          <w:szCs w:val="24"/>
          <w:lang w:val="en-US"/>
        </w:rPr>
        <w:t xml:space="preserve">k, </w:t>
      </w:r>
      <w:r>
        <w:rPr>
          <w:rFonts w:eastAsia="Arial" w:cs="Arial" w:ascii="Times New Roman" w:hAnsi="Times New Roman"/>
          <w:i w:val="false"/>
          <w:iCs w:val="false"/>
          <w:color w:val="00000A"/>
          <w:sz w:val="24"/>
          <w:szCs w:val="24"/>
          <w:lang w:val="en-US"/>
        </w:rPr>
        <w:t>which measures the extent of convergence to the reflectance of an infinite stack, is taken to be either 0.90 or 0.99. If</w:t>
      </w:r>
      <w:r>
        <w:rPr>
          <w:rFonts w:eastAsia="Arial" w:cs="Arial" w:ascii="Times New Roman" w:hAnsi="Times New Roman"/>
          <w:color w:val="00000A"/>
          <w:sz w:val="24"/>
          <w:szCs w:val="24"/>
          <w:lang w:val="en-US"/>
        </w:rPr>
        <w:t xml:space="preserve"> </w:t>
      </w:r>
      <w:r>
        <w:rPr>
          <w:rFonts w:eastAsia="Arial" w:cs="Arial" w:ascii="Times New Roman" w:hAnsi="Times New Roman"/>
          <w:i/>
          <w:color w:val="00000A"/>
          <w:sz w:val="24"/>
          <w:szCs w:val="24"/>
          <w:lang w:val="en-US"/>
        </w:rPr>
        <w:t>n</w:t>
      </w:r>
      <w:r>
        <w:rPr>
          <w:rFonts w:eastAsia="Arial" w:cs="Arial" w:ascii="Times New Roman" w:hAnsi="Times New Roman"/>
          <w:i w:val="false"/>
          <w:iCs w:val="false"/>
          <w:color w:val="00000A"/>
          <w:sz w:val="24"/>
          <w:szCs w:val="24"/>
          <w:highlight w:val="yellow"/>
          <w:vertAlign w:val="subscript"/>
          <w:lang w:val="en-US"/>
        </w:rPr>
        <w:t>max</w:t>
      </w:r>
      <w:r>
        <w:rPr>
          <w:rFonts w:eastAsia="Arial" w:cs="Arial" w:ascii="Times New Roman" w:hAnsi="Times New Roman"/>
          <w:color w:val="00000A"/>
          <w:sz w:val="24"/>
          <w:szCs w:val="24"/>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lang w:val="en-US"/>
        </w:rPr>
        <w:t xml:space="preserve">) ≈ 1, the optical properties of a single leaf at that wavelength are similar to those of a stack of many leaves, while if </w:t>
      </w:r>
      <w:r>
        <w:rPr>
          <w:rFonts w:eastAsia="Arial" w:cs="Arial" w:ascii="Times New Roman" w:hAnsi="Times New Roman"/>
          <w:i/>
          <w:color w:val="00000A"/>
          <w:sz w:val="24"/>
          <w:szCs w:val="24"/>
          <w:lang w:val="en-US"/>
        </w:rPr>
        <w:t>n</w:t>
      </w:r>
      <w:r>
        <w:rPr>
          <w:rFonts w:eastAsia="Arial" w:cs="Arial" w:ascii="Times New Roman" w:hAnsi="Times New Roman"/>
          <w:i w:val="false"/>
          <w:iCs w:val="false"/>
          <w:color w:val="00000A"/>
          <w:sz w:val="24"/>
          <w:szCs w:val="24"/>
          <w:highlight w:val="yellow"/>
          <w:vertAlign w:val="subscript"/>
          <w:lang w:val="en-US"/>
        </w:rPr>
        <w:t>max</w:t>
      </w:r>
      <w:r>
        <w:rPr>
          <w:rFonts w:eastAsia="Arial" w:cs="Arial" w:ascii="Times New Roman" w:hAnsi="Times New Roman"/>
          <w:color w:val="00000A"/>
          <w:sz w:val="24"/>
          <w:szCs w:val="24"/>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lang w:val="en-US"/>
        </w:rPr>
        <w:t xml:space="preserve">)  &gt;&gt; 1, they will be very different. In general, we would not expect the values of </w:t>
      </w:r>
      <w:r>
        <w:rPr>
          <w:rFonts w:eastAsia="Arial" w:cs="Arial" w:ascii="Times New Roman" w:hAnsi="Times New Roman"/>
          <w:i/>
          <w:color w:val="00000A"/>
          <w:sz w:val="24"/>
          <w:szCs w:val="24"/>
          <w:lang w:val="en-US"/>
        </w:rPr>
        <w:t>n</w:t>
      </w:r>
      <w:r>
        <w:rPr>
          <w:rFonts w:eastAsia="Arial" w:cs="Arial" w:ascii="Times New Roman" w:hAnsi="Times New Roman"/>
          <w:i w:val="false"/>
          <w:iCs w:val="false"/>
          <w:color w:val="00000A"/>
          <w:sz w:val="24"/>
          <w:szCs w:val="24"/>
          <w:highlight w:val="yellow"/>
          <w:vertAlign w:val="subscript"/>
          <w:lang w:val="en-US"/>
        </w:rPr>
        <w:t>max</w:t>
      </w:r>
      <w:r>
        <w:rPr>
          <w:rFonts w:eastAsia="Arial" w:cs="Arial" w:ascii="Times New Roman" w:hAnsi="Times New Roman"/>
          <w:color w:val="00000A"/>
          <w:sz w:val="24"/>
          <w:szCs w:val="24"/>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lang w:val="en-US"/>
        </w:rPr>
        <w:t xml:space="preserve">)  to be the same at different wavelengths so the reflectance-LAI dependence would saturate at different values of LAI for different wavelengths. In calculating a vegetation index such as the NDVI, it would then be the wavelength with the largest value of </w:t>
      </w:r>
      <w:r>
        <w:rPr>
          <w:rFonts w:eastAsia="Arial" w:cs="Arial" w:ascii="Times New Roman" w:hAnsi="Times New Roman"/>
          <w:i/>
          <w:color w:val="00000A"/>
          <w:sz w:val="24"/>
          <w:szCs w:val="24"/>
          <w:lang w:val="en-US"/>
        </w:rPr>
        <w:t>n</w:t>
      </w:r>
      <w:r>
        <w:rPr>
          <w:rFonts w:eastAsia="Arial" w:cs="Arial" w:ascii="Times New Roman" w:hAnsi="Times New Roman"/>
          <w:i w:val="false"/>
          <w:iCs w:val="false"/>
          <w:color w:val="00000A"/>
          <w:sz w:val="24"/>
          <w:szCs w:val="24"/>
          <w:highlight w:val="yellow"/>
          <w:vertAlign w:val="subscript"/>
          <w:lang w:val="en-US"/>
        </w:rPr>
        <w:t>max</w:t>
      </w:r>
      <w:r>
        <w:rPr>
          <w:rFonts w:eastAsia="Arial" w:cs="Arial" w:ascii="Times New Roman" w:hAnsi="Times New Roman"/>
          <w:color w:val="00000A"/>
          <w:sz w:val="24"/>
          <w:szCs w:val="24"/>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lang w:val="en-US"/>
        </w:rPr>
        <w:t xml:space="preserve">)  that would determine the LAI at which the NDVI value would saturate. Since the absorption coefficient </w:t>
      </w:r>
      <w:r>
        <w:rPr>
          <w:rFonts w:eastAsia="Arial" w:cs="Arial" w:ascii="Times New Roman" w:hAnsi="Times New Roman"/>
          <w:i/>
          <w:iCs/>
          <w:color w:val="00000A"/>
          <w:sz w:val="24"/>
          <w:szCs w:val="24"/>
          <w:highlight w:val="yellow"/>
          <w:lang w:val="en-US"/>
        </w:rPr>
        <w:t>α</w:t>
      </w:r>
      <w:r>
        <w:rPr>
          <w:rFonts w:eastAsia="Arial" w:cs="Arial" w:ascii="Times New Roman" w:hAnsi="Times New Roman"/>
          <w:color w:val="00000A"/>
          <w:sz w:val="24"/>
          <w:szCs w:val="24"/>
          <w:highlight w:val="yellow"/>
          <w:lang w:val="en-US"/>
        </w:rPr>
        <w:t>(</w:t>
      </w:r>
      <w:r>
        <w:rPr>
          <w:rFonts w:eastAsia="Arial" w:cs="Arial" w:ascii="Times New Roman" w:hAnsi="Times New Roman"/>
          <w:i/>
          <w:iCs/>
          <w:color w:val="00000A"/>
          <w:sz w:val="24"/>
          <w:szCs w:val="24"/>
          <w:highlight w:val="yellow"/>
          <w:lang w:val="en-US"/>
        </w:rPr>
        <w:t>λ</w:t>
      </w:r>
      <w:r>
        <w:rPr>
          <w:rFonts w:eastAsia="Arial" w:cs="Arial" w:ascii="Times New Roman" w:hAnsi="Times New Roman"/>
          <w:color w:val="00000A"/>
          <w:sz w:val="24"/>
          <w:szCs w:val="24"/>
          <w:highlight w:val="yellow"/>
          <w:lang w:val="en-US"/>
        </w:rPr>
        <w:t>)</w:t>
      </w:r>
      <w:r>
        <w:rPr>
          <w:rFonts w:eastAsia="Arial" w:cs="Arial" w:ascii="Times New Roman" w:hAnsi="Times New Roman"/>
          <w:color w:val="00000A"/>
          <w:sz w:val="24"/>
          <w:szCs w:val="24"/>
          <w:lang w:val="en-US"/>
        </w:rPr>
        <w:t xml:space="preserve"> of leaves is much larger in the visible than the near infrared part of the spectrum, it is the latter that has the dominant effect on saturation of the relationship.</w:t>
      </w:r>
    </w:p>
    <w:p>
      <w:pPr>
        <w:pStyle w:val="Normal"/>
        <w:spacing w:lineRule="auto" w:line="259"/>
        <w:ind w:left="4" w:right="60" w:hanging="0"/>
        <w:jc w:val="both"/>
        <w:rPr>
          <w:rFonts w:ascii="Times New Roman" w:hAnsi="Times New Roman" w:eastAsia="Arial" w:cs="Arial"/>
          <w:color w:val="00000A"/>
          <w:sz w:val="24"/>
          <w:szCs w:val="24"/>
          <w:lang w:val="en-US"/>
        </w:rPr>
      </w:pPr>
      <w:r>
        <w:rPr>
          <w:rFonts w:eastAsia="Arial" w:cs="Arial" w:ascii="Times New Roman" w:hAnsi="Times New Roman"/>
          <w:color w:val="00000A"/>
          <w:sz w:val="24"/>
          <w:szCs w:val="24"/>
          <w:lang w:val="en-US"/>
        </w:rPr>
      </w:r>
    </w:p>
    <w:p>
      <w:pPr>
        <w:pStyle w:val="Normal"/>
        <w:rPr/>
      </w:pPr>
      <w:r>
        <w:rPr>
          <w:b/>
          <w:bCs/>
        </w:rPr>
        <w:t>3. Materials and methods</w:t>
      </w:r>
    </w:p>
    <w:p>
      <w:pPr>
        <w:pStyle w:val="Normal"/>
        <w:rPr>
          <w:lang w:val="en-US"/>
        </w:rPr>
      </w:pPr>
      <w:r>
        <w:rPr>
          <w:lang w:val="en-US"/>
        </w:rPr>
      </w:r>
    </w:p>
    <w:p>
      <w:pPr>
        <w:pStyle w:val="Normal"/>
        <w:jc w:val="left"/>
        <w:rPr/>
      </w:pPr>
      <w:r>
        <w:rPr>
          <w:lang w:val="en-US"/>
        </w:rPr>
        <w:t xml:space="preserve">We collected </w:t>
      </w:r>
      <w:r>
        <w:rPr>
          <w:i/>
          <w:iCs/>
          <w:lang w:val="en-US"/>
        </w:rPr>
        <w:t>in vivo</w:t>
      </w:r>
      <w:r>
        <w:rPr>
          <w:lang w:val="en-US"/>
        </w:rPr>
        <w:t xml:space="preserve"> hyperspectral reflectance data, to characterise their reflectance spectra across the visible and near-infrared regions, from a wide range of leaves characteristic of subarctic ecosystems in northern European Russia. Fieldwork was carried out in June-July, i.e. close to the peak of greenness, in 2012, 2013 and 2014. The location of the fieldwork was in the centre of the Kola Peninsula, in and around the Khibiny and Lovozero mountains (</w:t>
      </w:r>
      <w:r>
        <w:rPr>
          <w:highlight w:val="yellow"/>
          <w:lang w:val="en-US"/>
        </w:rPr>
        <w:t>Figure</w:t>
      </w:r>
      <w:r>
        <w:rPr>
          <w:lang w:val="en-US"/>
        </w:rPr>
        <w:t xml:space="preserve"> 3), chosen to include mountain birch forests and mountain tundra areas. Leaf samples were selected from amongst dwarf shrub and tree species found typically in this region. Measurements were performed using the hyperspectral field-portable spectroradiometer 'FieldSpec 3 Hi-Res' (ASD Inc.), designed to measure absolute radiance values and reflectance. with a spatial resolution of 3 nm in the region 350 </w:t>
      </w:r>
      <w:r>
        <w:rPr>
          <w:highlight w:val="yellow"/>
          <w:lang w:val="en-US"/>
        </w:rPr>
        <w:t>to</w:t>
      </w:r>
      <w:r>
        <w:rPr>
          <w:lang w:val="en-US"/>
        </w:rPr>
        <w:t xml:space="preserve"> 1000 nm and 10 nm in the region 1000 </w:t>
      </w:r>
      <w:r>
        <w:rPr>
          <w:highlight w:val="yellow"/>
          <w:lang w:val="en-US"/>
        </w:rPr>
        <w:t>to</w:t>
      </w:r>
      <w:r>
        <w:rPr>
          <w:lang w:val="en-US"/>
        </w:rPr>
        <w:t xml:space="preserve"> 2500 nm. We made contact measurements of leaves using the ASD leaf clip (https://www.asdi.com/products-and-services/accessories/leaf-clip) which allowed the reflectance properties to be measured from a leaf, or more than one leaf, held securely in a frame against a non-reflective background. We measured the properties of 'leaf stacks' </w:t>
      </w:r>
      <w:r>
        <w:rPr>
          <w:b w:val="false"/>
          <w:i w:val="false"/>
          <w:caps w:val="false"/>
          <w:smallCaps w:val="false"/>
          <w:position w:val="0"/>
          <w:sz w:val="24"/>
          <w:sz w:val="24"/>
          <w:u w:val="none"/>
          <w:vertAlign w:val="baseline"/>
          <w:lang w:val="en-US"/>
        </w:rPr>
        <w:t>(Lillesaeter 1982; Martin and Aber 1990; Jacquemoud et al. 1996; Dawson, Curran, and Plummer 1998; Blackburn 1999; Neuwirthov</w:t>
      </w:r>
      <w:r>
        <w:rPr>
          <w:b w:val="false"/>
          <w:i w:val="false"/>
          <w:caps w:val="false"/>
          <w:smallCaps w:val="false"/>
          <w:position w:val="0"/>
          <w:sz w:val="24"/>
          <w:sz w:val="24"/>
          <w:u w:val="none"/>
          <w:vertAlign w:val="baseline"/>
        </w:rPr>
        <w:t>á, Lhotáková, and Albrechtová 2017)</w:t>
      </w:r>
      <w:r>
        <w:rPr>
          <w:lang w:val="en-US"/>
        </w:rPr>
        <w:t xml:space="preserve">, stacks of various numbers of leaves representing a range of tree and dwarf shrub species collected from the study area. The reflectance data measured using the leaf clip (25 readings per sample) were spectrally averaged to the ranges 600 </w:t>
      </w:r>
      <w:r>
        <w:rPr>
          <w:highlight w:val="yellow"/>
          <w:lang w:val="en-US"/>
        </w:rPr>
        <w:t>to</w:t>
      </w:r>
      <w:r>
        <w:rPr>
          <w:lang w:val="en-US"/>
        </w:rPr>
        <w:t xml:space="preserve"> 700 nm, to represent the red visible part of the spectrum, and 700 </w:t>
      </w:r>
      <w:r>
        <w:rPr>
          <w:highlight w:val="yellow"/>
          <w:lang w:val="en-US"/>
        </w:rPr>
        <w:t>to</w:t>
      </w:r>
      <w:r>
        <w:rPr>
          <w:lang w:val="en-US"/>
        </w:rPr>
        <w:t xml:space="preserve"> 1300 nm, to represent the near-infrared part of the spectrum. Parameter-fitting of the model described by </w:t>
      </w:r>
      <w:r>
        <w:rPr>
          <w:highlight w:val="yellow"/>
          <w:lang w:val="en-US"/>
        </w:rPr>
        <w:t>Equations</w:t>
      </w:r>
      <w:r>
        <w:rPr>
          <w:lang w:val="en-US"/>
        </w:rPr>
        <w:t xml:space="preserve"> (11) and (12) was performed in GNU Octave. In addition an ASD Inc. RTS-3ZC integrating sphere was used to make direct measurements of the spectral reflectance and transmittance of a single leaf of </w:t>
      </w:r>
      <w:r>
        <w:rPr>
          <w:i/>
          <w:iCs/>
          <w:lang w:val="en-US"/>
        </w:rPr>
        <w:t>Betula pubescens</w:t>
      </w:r>
      <w:r>
        <w:rPr>
          <w:lang w:val="en-US"/>
        </w:rPr>
        <w:t>. This is a particularly important species in its own right, and the spectrally detailed direct measurements also help us to understand the implications of section 2 for vegetation indices in general.</w:t>
      </w:r>
    </w:p>
    <w:p>
      <w:pPr>
        <w:pStyle w:val="Normal"/>
        <w:jc w:val="left"/>
        <w:rPr>
          <w:lang w:val="en-US"/>
        </w:rPr>
      </w:pPr>
      <w:r>
        <w:rPr>
          <w:lang w:val="en-US"/>
        </w:rPr>
      </w:r>
    </w:p>
    <w:p>
      <w:pPr>
        <w:pStyle w:val="Normal"/>
        <w:jc w:val="left"/>
        <w:rPr/>
      </w:pPr>
      <w:r>
        <w:rPr>
          <w:lang w:val="en-US"/>
        </w:rPr>
        <w:t>fig 3 near here</w:t>
      </w:r>
    </w:p>
    <w:p>
      <w:pPr>
        <w:pStyle w:val="Normal"/>
        <w:rPr>
          <w:lang w:val="en-US"/>
        </w:rPr>
      </w:pPr>
      <w:r>
        <w:rPr>
          <w:lang w:val="en-US"/>
        </w:rPr>
      </w:r>
    </w:p>
    <w:p>
      <w:pPr>
        <w:pStyle w:val="Normal"/>
        <w:rPr/>
      </w:pPr>
      <w:r>
        <w:rPr>
          <w:b/>
          <w:bCs/>
        </w:rPr>
        <w:t>4. Results</w:t>
      </w:r>
    </w:p>
    <w:p>
      <w:pPr>
        <w:pStyle w:val="Normal"/>
        <w:rPr>
          <w:lang w:val="en-US"/>
        </w:rPr>
      </w:pPr>
      <w:r>
        <w:rPr>
          <w:lang w:val="en-US"/>
        </w:rPr>
      </w:r>
    </w:p>
    <w:p>
      <w:pPr>
        <w:pStyle w:val="Normal"/>
        <w:rPr/>
      </w:pPr>
      <w:r>
        <w:rPr>
          <w:lang w:val="en-US"/>
        </w:rPr>
        <w:t xml:space="preserve">Reflectance and transmittance spectra of </w:t>
      </w:r>
      <w:r>
        <w:rPr>
          <w:i/>
          <w:iCs/>
          <w:lang w:val="en-US"/>
        </w:rPr>
        <w:t>Betula pubescens</w:t>
      </w:r>
      <w:r>
        <w:rPr>
          <w:lang w:val="en-US"/>
        </w:rPr>
        <w:t xml:space="preserve">, determined using the integrating sphere, are shown in </w:t>
      </w:r>
      <w:r>
        <w:rPr>
          <w:highlight w:val="yellow"/>
          <w:lang w:val="en-US"/>
        </w:rPr>
        <w:t>F</w:t>
      </w:r>
      <w:r>
        <w:rPr>
          <w:lang w:val="en-US"/>
        </w:rPr>
        <w:t>igure 4. In view of the widespread importance of this species in subarctic vegetation, we also provide the data in digital form (</w:t>
      </w:r>
      <w:hyperlink r:id="rId8">
        <w:bookmarkStart w:id="2" w:name="__DdeLink__156445_1464670291"/>
        <w:r>
          <w:rPr>
            <w:rStyle w:val="Style14"/>
            <w:rFonts w:ascii="Times New Roman" w:hAnsi="Times New Roman"/>
            <w:b w:val="false"/>
            <w:bCs w:val="false"/>
            <w:i w:val="false"/>
            <w:iCs w:val="false"/>
            <w:caps w:val="false"/>
            <w:smallCaps w:val="false"/>
            <w:spacing w:val="0"/>
            <w:sz w:val="24"/>
            <w:szCs w:val="24"/>
            <w:highlight w:val="yellow"/>
            <w:lang w:val="en-US"/>
          </w:rPr>
          <w:t>https://doi.org/10.17863/CAM.52922</w:t>
        </w:r>
      </w:hyperlink>
      <w:bookmarkEnd w:id="2"/>
      <w:r>
        <w:rPr>
          <w:lang w:val="en-US"/>
        </w:rPr>
        <w:t xml:space="preserve">).  The corresponding value of </w:t>
      </w:r>
      <w:r>
        <w:rPr>
          <w:i/>
          <w:iCs/>
          <w:lang w:val="en-US"/>
        </w:rPr>
        <w:t>n</w:t>
      </w:r>
      <w:r>
        <w:rPr>
          <w:vertAlign w:val="subscript"/>
          <w:lang w:val="en-US"/>
        </w:rPr>
        <w:t>max</w:t>
      </w:r>
      <w:r>
        <w:rPr>
          <w:lang w:val="en-US"/>
        </w:rPr>
        <w:t xml:space="preserve">, calculated from </w:t>
      </w:r>
      <w:r>
        <w:rPr>
          <w:highlight w:val="yellow"/>
          <w:lang w:val="en-US"/>
        </w:rPr>
        <w:t>Equations</w:t>
      </w:r>
      <w:r>
        <w:rPr>
          <w:lang w:val="en-US"/>
        </w:rPr>
        <w:t xml:space="preserve"> (9)-(12) assuming </w:t>
      </w:r>
      <w:r>
        <w:rPr>
          <w:i/>
          <w:iCs/>
          <w:highlight w:val="yellow"/>
          <w:lang w:val="en-US"/>
        </w:rPr>
        <w:t>R</w:t>
      </w:r>
      <w:r>
        <w:rPr>
          <w:i w:val="false"/>
          <w:iCs w:val="false"/>
          <w:highlight w:val="yellow"/>
          <w:vertAlign w:val="subscript"/>
          <w:lang w:val="en-US"/>
        </w:rPr>
        <w:t xml:space="preserve">g </w:t>
      </w:r>
      <w:r>
        <w:rPr>
          <w:i w:val="false"/>
          <w:iCs w:val="false"/>
          <w:highlight w:val="yellow"/>
          <w:lang w:val="en-US"/>
        </w:rPr>
        <w:t xml:space="preserve">= </w:t>
      </w:r>
      <w:r>
        <w:rPr>
          <w:i w:val="false"/>
          <w:iCs w:val="false"/>
          <w:lang w:val="en-US"/>
        </w:rPr>
        <w:t>0</w:t>
      </w:r>
      <w:r>
        <w:rPr>
          <w:lang w:val="en-US"/>
        </w:rPr>
        <w:t xml:space="preserve">, is shown in </w:t>
      </w:r>
      <w:r>
        <w:rPr>
          <w:highlight w:val="yellow"/>
          <w:lang w:val="en-US"/>
        </w:rPr>
        <w:t>F</w:t>
      </w:r>
      <w:r>
        <w:rPr>
          <w:lang w:val="en-US"/>
        </w:rPr>
        <w:t>igure 5.</w:t>
      </w:r>
    </w:p>
    <w:p>
      <w:pPr>
        <w:pStyle w:val="Normal"/>
        <w:rPr>
          <w:lang w:val="en-US"/>
        </w:rPr>
      </w:pPr>
      <w:r>
        <w:rPr>
          <w:lang w:val="en-US"/>
        </w:rPr>
      </w:r>
    </w:p>
    <w:p>
      <w:pPr>
        <w:pStyle w:val="Normal"/>
        <w:rPr/>
      </w:pPr>
      <w:r>
        <w:rPr>
          <w:lang w:val="en-US"/>
        </w:rPr>
        <w:t>fig 4 near here</w:t>
      </w:r>
    </w:p>
    <w:p>
      <w:pPr>
        <w:pStyle w:val="Normal"/>
        <w:rPr/>
      </w:pPr>
      <w:r>
        <w:rPr>
          <w:lang w:val="en-US"/>
        </w:rPr>
        <w:t>fig 5 near here</w:t>
      </w:r>
    </w:p>
    <w:p>
      <w:pPr>
        <w:pStyle w:val="Normal"/>
        <w:rPr/>
      </w:pPr>
      <w:r>
        <w:rPr>
          <w:lang w:val="en-US"/>
        </w:rPr>
        <w:t>fig 6 near here</w:t>
      </w:r>
    </w:p>
    <w:p>
      <w:pPr>
        <w:pStyle w:val="Normal"/>
        <w:rPr>
          <w:lang w:val="en-US"/>
        </w:rPr>
      </w:pPr>
      <w:r>
        <w:rPr>
          <w:lang w:val="en-US"/>
        </w:rPr>
      </w:r>
    </w:p>
    <w:p>
      <w:pPr>
        <w:pStyle w:val="Normal"/>
        <w:rPr/>
      </w:pPr>
      <w:r>
        <w:rPr>
          <w:lang w:val="en-US"/>
        </w:rPr>
        <w:tab/>
        <w:t xml:space="preserve">The results for </w:t>
      </w:r>
      <w:r>
        <w:rPr>
          <w:i/>
          <w:iCs/>
          <w:lang w:val="en-US"/>
        </w:rPr>
        <w:t>Betula pubescens</w:t>
      </w:r>
      <w:r>
        <w:rPr>
          <w:i w:val="false"/>
          <w:iCs w:val="false"/>
          <w:lang w:val="en-US"/>
        </w:rPr>
        <w:t xml:space="preserve">, though perhaps unsurprising in view of the published literature on optical properties of leaves in general, aid in the interpretation of the results from other species for which we were unable to </w:t>
      </w:r>
      <w:bookmarkStart w:id="3" w:name="__DdeLink__167356_1464670291"/>
      <w:r>
        <w:rPr>
          <w:i w:val="false"/>
          <w:iCs w:val="false"/>
          <w:lang w:val="en-US"/>
        </w:rPr>
        <w:t>collect such detailed measurements</w:t>
      </w:r>
      <w:bookmarkEnd w:id="3"/>
      <w:r>
        <w:rPr>
          <w:i w:val="false"/>
          <w:iCs w:val="false"/>
          <w:lang w:val="en-US"/>
        </w:rPr>
        <w:t>. Figure</w:t>
      </w:r>
      <w:r>
        <w:rPr>
          <w:lang w:val="en-US"/>
        </w:rPr>
        <w:t xml:space="preserve"> 6 shows, as a typical example, one of the twelve sets of leaf-stack measurements collected using the leaf clip. This shows clear evidence of increasing reflectance as the number n of leaves in the stack increases, as indicated by </w:t>
      </w:r>
      <w:r>
        <w:rPr>
          <w:highlight w:val="yellow"/>
          <w:lang w:val="en-US"/>
        </w:rPr>
        <w:t>Equation</w:t>
      </w:r>
      <w:r>
        <w:rPr>
          <w:lang w:val="en-US"/>
        </w:rPr>
        <w:t xml:space="preserve"> (10), markedly so in the near infrared region but also discernibly, though with some fluctuations, in the visible region of the spectrum. This behaviour is, unsurprisingly, similar to that reported by </w:t>
      </w:r>
      <w:r>
        <w:rPr/>
        <w:t>Neuwirthová, Lhotáková, and Albrechtová (2017).</w:t>
      </w:r>
    </w:p>
    <w:p>
      <w:pPr>
        <w:pStyle w:val="Normal"/>
        <w:rPr/>
      </w:pPr>
      <w:r>
        <w:rPr/>
      </w:r>
    </w:p>
    <w:p>
      <w:pPr>
        <w:pStyle w:val="Normal"/>
        <w:rPr/>
      </w:pPr>
      <w:r>
        <w:rPr/>
        <w:t>fig 7 near here</w:t>
      </w:r>
    </w:p>
    <w:p>
      <w:pPr>
        <w:pStyle w:val="Normal"/>
        <w:rPr/>
      </w:pPr>
      <w:r>
        <w:rPr/>
        <w:t>table 1 near here</w:t>
      </w:r>
    </w:p>
    <w:p>
      <w:pPr>
        <w:pStyle w:val="Normal"/>
        <w:rPr/>
      </w:pPr>
      <w:r>
        <w:rPr/>
      </w:r>
    </w:p>
    <w:p>
      <w:pPr>
        <w:pStyle w:val="Normal"/>
        <w:rPr/>
      </w:pPr>
      <w:r>
        <w:rPr>
          <w:lang w:val="en-US"/>
        </w:rPr>
        <w:tab/>
        <w:t xml:space="preserve">Results of fitting </w:t>
      </w:r>
      <w:r>
        <w:rPr>
          <w:highlight w:val="yellow"/>
          <w:lang w:val="en-US"/>
        </w:rPr>
        <w:t>Equation</w:t>
      </w:r>
      <w:r>
        <w:rPr>
          <w:lang w:val="en-US"/>
        </w:rPr>
        <w:t xml:space="preserve"> (10) to the leaf-stack measurements are summarised in Table 1. Figure 7 shows the measured visible and NIR reflectances, averaged over the wavelength ranges 600 </w:t>
      </w:r>
      <w:r>
        <w:rPr>
          <w:highlight w:val="yellow"/>
          <w:lang w:val="en-US"/>
        </w:rPr>
        <w:t>to</w:t>
      </w:r>
      <w:r>
        <w:rPr>
          <w:lang w:val="en-US"/>
        </w:rPr>
        <w:t xml:space="preserve"> 700 and 700 </w:t>
      </w:r>
      <w:r>
        <w:rPr>
          <w:highlight w:val="yellow"/>
          <w:lang w:val="en-US"/>
        </w:rPr>
        <w:t>to</w:t>
      </w:r>
      <w:r>
        <w:rPr>
          <w:lang w:val="en-US"/>
        </w:rPr>
        <w:t xml:space="preserve"> 1300 nm, as functions of the number </w:t>
      </w:r>
      <w:r>
        <w:rPr>
          <w:i/>
          <w:iCs/>
          <w:lang w:val="en-US"/>
        </w:rPr>
        <w:t>n</w:t>
      </w:r>
      <w:r>
        <w:rPr>
          <w:lang w:val="en-US"/>
        </w:rPr>
        <w:t xml:space="preserve"> of leaves in the stack. The figure also shows the modelled values of reflectance using </w:t>
      </w:r>
      <w:r>
        <w:rPr>
          <w:highlight w:val="yellow"/>
          <w:lang w:val="en-US"/>
        </w:rPr>
        <w:t>Equation</w:t>
      </w:r>
      <w:r>
        <w:rPr>
          <w:lang w:val="en-US"/>
        </w:rPr>
        <w:t xml:space="preserve"> (10) and the best-fitting values of </w:t>
      </w:r>
      <w:r>
        <w:rPr>
          <w:i/>
          <w:iCs/>
          <w:highlight w:val="yellow"/>
          <w:lang w:val="en-US"/>
        </w:rPr>
        <w:t>ρ</w:t>
      </w:r>
      <w:r>
        <w:rPr>
          <w:lang w:val="en-US"/>
        </w:rPr>
        <w:t xml:space="preserve"> and </w:t>
      </w:r>
      <w:r>
        <w:rPr>
          <w:i/>
          <w:iCs/>
          <w:highlight w:val="yellow"/>
          <w:lang w:val="en-US"/>
        </w:rPr>
        <w:t>τ</w:t>
      </w:r>
      <w:r>
        <w:rPr>
          <w:lang w:val="en-US"/>
        </w:rPr>
        <w:t>. We note here that the equation gives a convincing fit to the data in most cases, and that where more than one set of measurements was available for a particular species the results were generally consistent.</w:t>
      </w:r>
    </w:p>
    <w:p>
      <w:pPr>
        <w:pStyle w:val="Normal"/>
        <w:rPr/>
      </w:pPr>
      <w:r>
        <w:rPr>
          <w:lang w:val="en-US"/>
        </w:rPr>
        <w:tab/>
        <w:t xml:space="preserve">Best-fitting values of </w:t>
      </w:r>
      <w:r>
        <w:rPr>
          <w:i/>
          <w:iCs/>
          <w:highlight w:val="yellow"/>
          <w:lang w:val="en-US"/>
        </w:rPr>
        <w:t>ρ</w:t>
      </w:r>
      <w:r>
        <w:rPr>
          <w:lang w:val="en-US"/>
        </w:rPr>
        <w:t xml:space="preserve"> and </w:t>
      </w:r>
      <w:r>
        <w:rPr>
          <w:i/>
          <w:iCs/>
          <w:highlight w:val="yellow"/>
          <w:lang w:val="en-US"/>
        </w:rPr>
        <w:t>τ</w:t>
      </w:r>
      <w:r>
        <w:rPr>
          <w:lang w:val="en-US"/>
        </w:rPr>
        <w:t xml:space="preserve"> from Table 1 were used to model the dependence of NDVI on LAI according to the three models developed in section 2.  </w:t>
      </w:r>
      <w:r>
        <w:rPr>
          <w:i/>
          <w:iCs/>
          <w:highlight w:val="yellow"/>
          <w:lang w:val="en-US"/>
        </w:rPr>
        <w:t>R</w:t>
      </w:r>
      <w:r>
        <w:rPr>
          <w:i w:val="false"/>
          <w:iCs w:val="false"/>
          <w:highlight w:val="yellow"/>
          <w:vertAlign w:val="subscript"/>
          <w:lang w:val="en-US"/>
        </w:rPr>
        <w:t>g</w:t>
      </w:r>
      <w:r>
        <w:rPr>
          <w:lang w:val="en-US"/>
        </w:rPr>
        <w:t xml:space="preserve"> was taken as 0.09 for red and 0.11 for infrared, based on our spectral reflectance measurements of bare ground. The results are presented in </w:t>
      </w:r>
      <w:r>
        <w:rPr>
          <w:highlight w:val="yellow"/>
          <w:lang w:val="en-US"/>
        </w:rPr>
        <w:t>F</w:t>
      </w:r>
      <w:r>
        <w:rPr>
          <w:lang w:val="en-US"/>
        </w:rPr>
        <w:t xml:space="preserve">igure 8, distinguished between tree and dwarf shrub species. </w:t>
      </w:r>
    </w:p>
    <w:p>
      <w:pPr>
        <w:pStyle w:val="Normal"/>
        <w:rPr>
          <w:lang w:val="en-US"/>
        </w:rPr>
      </w:pPr>
      <w:r>
        <w:rPr>
          <w:lang w:val="en-US"/>
        </w:rPr>
      </w:r>
    </w:p>
    <w:p>
      <w:pPr>
        <w:pStyle w:val="Normal"/>
        <w:rPr/>
      </w:pPr>
      <w:r>
        <w:rPr>
          <w:lang w:val="en-US"/>
        </w:rPr>
        <w:t>fig 8 near here</w:t>
      </w:r>
    </w:p>
    <w:p>
      <w:pPr>
        <w:pStyle w:val="Normal"/>
        <w:rPr>
          <w:lang w:val="en-US"/>
        </w:rPr>
      </w:pPr>
      <w:r>
        <w:rPr>
          <w:lang w:val="en-US"/>
        </w:rPr>
      </w:r>
    </w:p>
    <w:p>
      <w:pPr>
        <w:pStyle w:val="Normal"/>
        <w:rPr/>
      </w:pPr>
      <w:r>
        <w:rPr>
          <w:b/>
          <w:bCs/>
        </w:rPr>
        <w:t>5. Discussion</w:t>
      </w:r>
    </w:p>
    <w:p>
      <w:pPr>
        <w:pStyle w:val="Normal"/>
        <w:rPr>
          <w:lang w:val="en-US"/>
        </w:rPr>
      </w:pPr>
      <w:r>
        <w:rPr>
          <w:lang w:val="en-US"/>
        </w:rPr>
      </w:r>
    </w:p>
    <w:p>
      <w:pPr>
        <w:pStyle w:val="Normal"/>
        <w:rPr>
          <w:lang w:val="en-US"/>
        </w:rPr>
      </w:pPr>
      <w:r>
        <w:rPr>
          <w:lang w:val="en-US"/>
        </w:rPr>
      </w:r>
    </w:p>
    <w:p>
      <w:pPr>
        <w:pStyle w:val="Normal"/>
        <w:rPr/>
      </w:pPr>
      <w:r>
        <w:rPr>
          <w:lang w:val="en-US"/>
        </w:rPr>
        <w:tab/>
        <w:t>Indirect measurements of the optical properties, measured using stacks of leaves of various forest and tundra species, can be simply but convincingly modelled using the two-stream radiative transfer model (</w:t>
      </w:r>
      <w:r>
        <w:rPr>
          <w:highlight w:val="yellow"/>
          <w:lang w:val="en-US"/>
        </w:rPr>
        <w:t>Figure</w:t>
      </w:r>
      <w:r>
        <w:rPr>
          <w:lang w:val="en-US"/>
        </w:rPr>
        <w:t xml:space="preserve"> 7). This has the advantage of simplicity and it could easily be adapted to measurements taken in the field using a relatively inexpensive USB spectrometer. Our measurements are consistent with visible-wavelength (600 </w:t>
      </w:r>
      <w:r>
        <w:rPr>
          <w:highlight w:val="yellow"/>
          <w:lang w:val="en-US"/>
        </w:rPr>
        <w:t>to</w:t>
      </w:r>
      <w:r>
        <w:rPr>
          <w:lang w:val="en-US"/>
        </w:rPr>
        <w:t xml:space="preserve"> 700 nm) reflectances in the range 0.05 </w:t>
      </w:r>
      <w:r>
        <w:rPr>
          <w:highlight w:val="yellow"/>
          <w:lang w:val="en-US"/>
        </w:rPr>
        <w:t>to</w:t>
      </w:r>
      <w:r>
        <w:rPr>
          <w:lang w:val="en-US"/>
        </w:rPr>
        <w:t xml:space="preserve"> 0.08 (Table 1). Visible-wavelength transmittances are rather poorly constrained by this method, though most of the best-fitting values are below 0.2 and in only one case out of 12 was the maximum likely value of the transmittance greater than 0.40 (Table 1). Direct measurement of the optical properties of a leaf of </w:t>
      </w:r>
      <w:r>
        <w:rPr>
          <w:i/>
          <w:iCs/>
          <w:lang w:val="en-US"/>
        </w:rPr>
        <w:t>Betula pubescens</w:t>
      </w:r>
      <w:r>
        <w:rPr>
          <w:lang w:val="en-US"/>
        </w:rPr>
        <w:t>, using an integrating sphere, shows that it has a reflectance and a transmittance both around 0.1 in the visible region (</w:t>
      </w:r>
      <w:r>
        <w:rPr>
          <w:highlight w:val="yellow"/>
          <w:lang w:val="en-US"/>
        </w:rPr>
        <w:t>Figure</w:t>
      </w:r>
      <w:r>
        <w:rPr>
          <w:lang w:val="en-US"/>
        </w:rPr>
        <w:t xml:space="preserve"> 4), with a minimum absorptance around 0.8 occurring at about 550 nm, broadly consistent with both the general features expected from green leaves (Breece and Holmes 1971) and with the value deduced from our model-fitting.</w:t>
      </w:r>
    </w:p>
    <w:p>
      <w:pPr>
        <w:pStyle w:val="Normal"/>
        <w:rPr/>
      </w:pPr>
      <w:r>
        <w:rPr>
          <w:lang w:val="en-US"/>
        </w:rPr>
        <w:tab/>
        <w:t xml:space="preserve">Indirect (leaf-stack) measurements of the NIR (700 </w:t>
      </w:r>
      <w:r>
        <w:rPr>
          <w:highlight w:val="yellow"/>
          <w:lang w:val="en-US"/>
        </w:rPr>
        <w:t>to</w:t>
      </w:r>
      <w:r>
        <w:rPr>
          <w:lang w:val="en-US"/>
        </w:rPr>
        <w:t xml:space="preserve"> 1300 nm) characteristics of the leaf samples were also for the most part convincingly modelled by the two-stream model (</w:t>
      </w:r>
      <w:r>
        <w:rPr>
          <w:highlight w:val="yellow"/>
          <w:lang w:val="en-US"/>
        </w:rPr>
        <w:t>Figure</w:t>
      </w:r>
      <w:r>
        <w:rPr>
          <w:lang w:val="en-US"/>
        </w:rPr>
        <w:t xml:space="preserve"> 7), with reflectances typically around 0.4 and transmittances around 0.55 (Table 1). These are again broadly comparable with the values (around 0.45 and 0.45 respectively) obtained by direct measurement from a leaf of </w:t>
      </w:r>
      <w:r>
        <w:rPr>
          <w:i/>
          <w:iCs/>
          <w:lang w:val="en-US"/>
        </w:rPr>
        <w:t xml:space="preserve">Betula pubescens </w:t>
      </w:r>
      <w:r>
        <w:rPr>
          <w:i w:val="false"/>
          <w:iCs w:val="false"/>
          <w:lang w:val="en-US"/>
        </w:rPr>
        <w:t xml:space="preserve"> (</w:t>
      </w:r>
      <w:r>
        <w:rPr>
          <w:i w:val="false"/>
          <w:iCs w:val="false"/>
          <w:highlight w:val="yellow"/>
          <w:lang w:val="en-US"/>
        </w:rPr>
        <w:t>Figure</w:t>
      </w:r>
      <w:r>
        <w:rPr>
          <w:i w:val="false"/>
          <w:iCs w:val="false"/>
          <w:lang w:val="en-US"/>
        </w:rPr>
        <w:t xml:space="preserve"> 4). The apparently anomalous behaviour of one of the samples of </w:t>
      </w:r>
      <w:r>
        <w:rPr>
          <w:i/>
          <w:iCs/>
          <w:lang w:val="en-US"/>
        </w:rPr>
        <w:t xml:space="preserve">Vaccinium myrtillus </w:t>
      </w:r>
      <w:r>
        <w:rPr>
          <w:i w:val="false"/>
          <w:iCs w:val="false"/>
          <w:lang w:val="en-US"/>
        </w:rPr>
        <w:t>(</w:t>
      </w:r>
      <w:r>
        <w:rPr>
          <w:i w:val="false"/>
          <w:iCs w:val="false"/>
          <w:highlight w:val="yellow"/>
          <w:lang w:val="en-US"/>
        </w:rPr>
        <w:t>Figure</w:t>
      </w:r>
      <w:r>
        <w:rPr>
          <w:i w:val="false"/>
          <w:iCs w:val="false"/>
          <w:lang w:val="en-US"/>
        </w:rPr>
        <w:t xml:space="preserve"> 7) is possibly due to drying out of the leaf samples in the leaf clip during an unusually prolonged series of measurements. </w:t>
      </w:r>
    </w:p>
    <w:p>
      <w:pPr>
        <w:pStyle w:val="Normal"/>
        <w:rPr/>
      </w:pPr>
      <w:r>
        <w:rPr>
          <w:i w:val="false"/>
          <w:iCs w:val="false"/>
          <w:lang w:val="en-US"/>
        </w:rPr>
        <w:tab/>
        <w:t>Even</w:t>
      </w:r>
      <w:r>
        <w:rPr>
          <w:lang w:val="en-US"/>
        </w:rPr>
        <w:t xml:space="preserve"> with the lowest observed value of the best-fitting absorptance the two-stream radiative transfer model implies that the dependence of stack reflectance on </w:t>
      </w:r>
      <w:r>
        <w:rPr>
          <w:i/>
          <w:iCs/>
          <w:lang w:val="en-US"/>
        </w:rPr>
        <w:t>n</w:t>
      </w:r>
      <w:r>
        <w:rPr>
          <w:lang w:val="en-US"/>
        </w:rPr>
        <w:t xml:space="preserve"> will saturate (in the stricter sense with </w:t>
      </w:r>
      <w:r>
        <w:rPr>
          <w:i/>
          <w:iCs/>
          <w:lang w:val="en-US"/>
        </w:rPr>
        <w:t>k</w:t>
      </w:r>
      <w:r>
        <w:rPr>
          <w:i/>
          <w:iCs/>
          <w:highlight w:val="yellow"/>
          <w:lang w:val="en-US"/>
        </w:rPr>
        <w:t xml:space="preserve"> </w:t>
      </w:r>
      <w:r>
        <w:rPr>
          <w:i w:val="false"/>
          <w:iCs w:val="false"/>
          <w:highlight w:val="yellow"/>
          <w:lang w:val="en-US"/>
        </w:rPr>
        <w:t xml:space="preserve">= </w:t>
      </w:r>
      <w:r>
        <w:rPr>
          <w:i w:val="false"/>
          <w:iCs w:val="false"/>
          <w:lang w:val="en-US"/>
        </w:rPr>
        <w:t>0.99) at</w:t>
      </w:r>
      <w:r>
        <w:rPr>
          <w:lang w:val="en-US"/>
        </w:rPr>
        <w:t xml:space="preserve"> </w:t>
      </w:r>
      <w:r>
        <w:rPr>
          <w:i/>
          <w:iCs/>
          <w:lang w:val="en-US"/>
        </w:rPr>
        <w:t>n</w:t>
      </w:r>
      <w:r>
        <w:rPr>
          <w:lang w:val="en-US"/>
        </w:rPr>
        <w:t xml:space="preserve"> ≈ 3. For most of the observed values of the optical properties, including those derived directly using the integrating sphere, the saturation occurs at an even lower value of </w:t>
      </w:r>
      <w:r>
        <w:rPr>
          <w:i/>
          <w:iCs/>
          <w:lang w:val="en-US"/>
        </w:rPr>
        <w:t>n</w:t>
      </w:r>
      <w:r>
        <w:rPr>
          <w:lang w:val="en-US"/>
        </w:rPr>
        <w:t xml:space="preserve">. In the 700 </w:t>
      </w:r>
      <w:r>
        <w:rPr>
          <w:highlight w:val="yellow"/>
          <w:lang w:val="en-US"/>
        </w:rPr>
        <w:t>to</w:t>
      </w:r>
      <w:r>
        <w:rPr>
          <w:lang w:val="en-US"/>
        </w:rPr>
        <w:t xml:space="preserve"> 1300 nm NIR region, the fitted reflectances lie in the range 0.33 </w:t>
      </w:r>
      <w:r>
        <w:rPr>
          <w:highlight w:val="yellow"/>
          <w:lang w:val="en-US"/>
        </w:rPr>
        <w:t>to</w:t>
      </w:r>
      <w:r>
        <w:rPr>
          <w:lang w:val="en-US"/>
        </w:rPr>
        <w:t xml:space="preserve"> 0.48, transmittances in the range 0.41 </w:t>
      </w:r>
      <w:r>
        <w:rPr>
          <w:highlight w:val="yellow"/>
          <w:lang w:val="en-US"/>
        </w:rPr>
        <w:t>to</w:t>
      </w:r>
      <w:r>
        <w:rPr>
          <w:lang w:val="en-US"/>
        </w:rPr>
        <w:t xml:space="preserve"> 0.67 and absorptances in the range 0.01 to 0.12. Both the reflectance and the transmittance are in general well constrained by the leaf-stack method in this part of the spectrum. Modelling using the two-stream radiative transfer model implies that the dependence of stack reflectance on </w:t>
      </w:r>
      <w:r>
        <w:rPr>
          <w:i/>
          <w:iCs/>
          <w:lang w:val="en-US"/>
        </w:rPr>
        <w:t>n</w:t>
      </w:r>
      <w:r>
        <w:rPr>
          <w:lang w:val="en-US"/>
        </w:rPr>
        <w:t xml:space="preserve"> will not saturate until </w:t>
      </w:r>
      <w:r>
        <w:rPr>
          <w:i/>
          <w:iCs/>
          <w:lang w:val="en-US"/>
        </w:rPr>
        <w:t>n</w:t>
      </w:r>
      <w:r>
        <w:rPr>
          <w:lang w:val="en-US"/>
        </w:rPr>
        <w:t xml:space="preserve"> reaches a value of at least 4, with most measurements implying a value of </w:t>
      </w:r>
      <w:r>
        <w:rPr>
          <w:i/>
          <w:iCs/>
          <w:lang w:val="en-US"/>
        </w:rPr>
        <w:t>n</w:t>
      </w:r>
      <w:r>
        <w:rPr>
          <w:vertAlign w:val="subscript"/>
          <w:lang w:val="en-US"/>
        </w:rPr>
        <w:t>max</w:t>
      </w:r>
      <w:r>
        <w:rPr>
          <w:lang w:val="en-US"/>
        </w:rPr>
        <w:t xml:space="preserve"> in the range 6 </w:t>
      </w:r>
      <w:r>
        <w:rPr>
          <w:highlight w:val="yellow"/>
          <w:lang w:val="en-US"/>
        </w:rPr>
        <w:t>to</w:t>
      </w:r>
      <w:r>
        <w:rPr>
          <w:lang w:val="en-US"/>
        </w:rPr>
        <w:t xml:space="preserve"> 10. Using the looser definition of saturation </w:t>
      </w:r>
      <w:r>
        <w:rPr>
          <w:i/>
          <w:iCs/>
          <w:lang w:val="en-US"/>
        </w:rPr>
        <w:t>k</w:t>
      </w:r>
      <w:r>
        <w:rPr>
          <w:i/>
          <w:iCs/>
          <w:highlight w:val="yellow"/>
          <w:lang w:val="en-US"/>
        </w:rPr>
        <w:t xml:space="preserve"> </w:t>
      </w:r>
      <w:r>
        <w:rPr>
          <w:i w:val="false"/>
          <w:iCs w:val="false"/>
          <w:highlight w:val="yellow"/>
          <w:lang w:val="en-US"/>
        </w:rPr>
        <w:t xml:space="preserve">= </w:t>
      </w:r>
      <w:r>
        <w:rPr>
          <w:i w:val="false"/>
          <w:iCs w:val="false"/>
          <w:lang w:val="en-US"/>
        </w:rPr>
        <w:t>0.90</w:t>
      </w:r>
      <w:r>
        <w:rPr>
          <w:lang w:val="en-US"/>
        </w:rPr>
        <w:t xml:space="preserve">, the limiting value of </w:t>
      </w:r>
      <w:r>
        <w:rPr>
          <w:i/>
          <w:iCs/>
          <w:lang w:val="en-US"/>
        </w:rPr>
        <w:t>n</w:t>
      </w:r>
      <w:r>
        <w:rPr>
          <w:lang w:val="en-US"/>
        </w:rPr>
        <w:t xml:space="preserve"> would be correspondingly reduced, to around 2 </w:t>
      </w:r>
      <w:r>
        <w:rPr>
          <w:highlight w:val="yellow"/>
          <w:lang w:val="en-US"/>
        </w:rPr>
        <w:t>to</w:t>
      </w:r>
      <w:r>
        <w:rPr>
          <w:lang w:val="en-US"/>
        </w:rPr>
        <w:t xml:space="preserve"> 3.</w:t>
      </w:r>
    </w:p>
    <w:p>
      <w:pPr>
        <w:pStyle w:val="Normal"/>
        <w:rPr>
          <w:lang w:val="en-US"/>
        </w:rPr>
      </w:pPr>
      <w:r>
        <w:rPr>
          <w:lang w:val="en-US"/>
        </w:rPr>
      </w:r>
    </w:p>
    <w:p>
      <w:pPr>
        <w:pStyle w:val="Normal"/>
        <w:rPr/>
      </w:pPr>
      <w:r>
        <w:rPr>
          <w:lang w:val="en-US"/>
        </w:rPr>
        <w:t>fig 9 near here</w:t>
      </w:r>
    </w:p>
    <w:p>
      <w:pPr>
        <w:pStyle w:val="Normal"/>
        <w:rPr>
          <w:lang w:val="en-US"/>
        </w:rPr>
      </w:pPr>
      <w:r>
        <w:rPr>
          <w:lang w:val="en-US"/>
        </w:rPr>
      </w:r>
    </w:p>
    <w:p>
      <w:pPr>
        <w:pStyle w:val="Normal"/>
        <w:rPr/>
      </w:pPr>
      <w:r>
        <w:rPr>
          <w:lang w:val="en-US"/>
        </w:rPr>
        <w:tab/>
        <w:t xml:space="preserve">The measurements presented here are derived from single leaves. They can be cautiously extrapolated to dependence of NDVI on LAI at plot and field scale using </w:t>
      </w:r>
      <w:r>
        <w:rPr>
          <w:highlight w:val="yellow"/>
          <w:lang w:val="en-US"/>
        </w:rPr>
        <w:t>Equations</w:t>
      </w:r>
      <w:r>
        <w:rPr>
          <w:lang w:val="en-US"/>
        </w:rPr>
        <w:t xml:space="preserve"> (2)-(8). In all of the spatial models of leaf distribution described earlier (uniform, Poisson and highly clumped) it is necessary to consider the case </w:t>
      </w:r>
      <w:r>
        <w:rPr>
          <w:i/>
          <w:iCs/>
          <w:lang w:val="en-US"/>
        </w:rPr>
        <w:t>n</w:t>
      </w:r>
      <w:r>
        <w:rPr>
          <w:i/>
          <w:iCs/>
          <w:highlight w:val="yellow"/>
          <w:lang w:val="en-US"/>
        </w:rPr>
        <w:t xml:space="preserve"> </w:t>
      </w:r>
      <w:r>
        <w:rPr>
          <w:highlight w:val="yellow"/>
          <w:lang w:val="en-US"/>
        </w:rPr>
        <w:t xml:space="preserve">= </w:t>
      </w:r>
      <w:r>
        <w:rPr>
          <w:lang w:val="en-US"/>
        </w:rPr>
        <w:t xml:space="preserve">0, i.e. when no leaves at all intercept the path of a ray of light through the vegetation canopy. This is particularly important in the highly clumped model, where most of the canopy consists of holes. Figure 9 shows the NDVI-LAI relationship assumed by the MODIS algorithm for the two most relevant biomes, namely broadleaf and needle-leaf forests (Knyazikhin et al. 1999, </w:t>
      </w:r>
      <w:r>
        <w:rPr>
          <w:highlight w:val="yellow"/>
          <w:lang w:val="en-US"/>
        </w:rPr>
        <w:t>Figure</w:t>
      </w:r>
      <w:r>
        <w:rPr>
          <w:lang w:val="en-US"/>
        </w:rPr>
        <w:t xml:space="preserve"> 2-12 (</w:t>
      </w:r>
      <w:r>
        <w:rPr>
          <w:i/>
          <w:iCs/>
          <w:highlight w:val="yellow"/>
          <w:lang w:val="en-US"/>
        </w:rPr>
        <w:t>c</w:t>
      </w:r>
      <w:r>
        <w:rPr>
          <w:lang w:val="en-US"/>
        </w:rPr>
        <w:t xml:space="preserve">), adapted). The similarity of </w:t>
      </w:r>
      <w:r>
        <w:rPr>
          <w:highlight w:val="yellow"/>
          <w:lang w:val="en-US"/>
        </w:rPr>
        <w:t>Figure</w:t>
      </w:r>
      <w:r>
        <w:rPr>
          <w:lang w:val="en-US"/>
        </w:rPr>
        <w:t xml:space="preserve"> 8 (</w:t>
      </w:r>
      <w:r>
        <w:rPr>
          <w:i/>
          <w:iCs/>
          <w:highlight w:val="yellow"/>
          <w:lang w:val="en-US"/>
        </w:rPr>
        <w:t>c</w:t>
      </w:r>
      <w:r>
        <w:rPr>
          <w:lang w:val="en-US"/>
        </w:rPr>
        <w:t xml:space="preserve">) (NDVI – LAI relationship extrapolated from our results to tree canopies assuming Poisson distributed leaves) to </w:t>
      </w:r>
      <w:r>
        <w:rPr>
          <w:highlight w:val="yellow"/>
          <w:lang w:val="en-US"/>
        </w:rPr>
        <w:t>Figure</w:t>
      </w:r>
      <w:r>
        <w:rPr>
          <w:lang w:val="en-US"/>
        </w:rPr>
        <w:t xml:space="preserve"> 9 suggests that the Poisson model is realistic, and that the assumptions of the MODIS LAI algorithm are reasonable for vegetation canopies composed of leaves such as those investigated here. The similarity of </w:t>
      </w:r>
      <w:r>
        <w:rPr>
          <w:highlight w:val="yellow"/>
          <w:lang w:val="en-US"/>
        </w:rPr>
        <w:t>F</w:t>
      </w:r>
      <w:r>
        <w:rPr>
          <w:lang w:val="en-US"/>
        </w:rPr>
        <w:t>igures 8 (</w:t>
      </w:r>
      <w:r>
        <w:rPr>
          <w:i/>
          <w:iCs/>
          <w:highlight w:val="yellow"/>
          <w:lang w:val="en-US"/>
        </w:rPr>
        <w:t>c</w:t>
      </w:r>
      <w:r>
        <w:rPr>
          <w:lang w:val="en-US"/>
        </w:rPr>
        <w:t>) and 8 (</w:t>
      </w:r>
      <w:r>
        <w:rPr>
          <w:i/>
          <w:iCs/>
          <w:highlight w:val="yellow"/>
          <w:lang w:val="en-US"/>
        </w:rPr>
        <w:t>d</w:t>
      </w:r>
      <w:r>
        <w:rPr>
          <w:lang w:val="en-US"/>
        </w:rPr>
        <w:t>), which follows from the similar optical characteristics of tree leaves and those of dwarf shrubs, further suggests that the algorithm is also valid for dwarf shrub tundra.</w:t>
      </w:r>
      <w:r>
        <w:rPr/>
        <w:t xml:space="preserve"> </w:t>
      </w:r>
      <w:r>
        <w:rPr>
          <w:lang w:val="en-US"/>
        </w:rPr>
        <w:t>Comparison of the left side (</w:t>
      </w:r>
      <w:r>
        <w:rPr>
          <w:i/>
          <w:iCs/>
          <w:highlight w:val="yellow"/>
          <w:lang w:val="en-US"/>
        </w:rPr>
        <w:t>a</w:t>
      </w:r>
      <w:r>
        <w:rPr>
          <w:highlight w:val="yellow"/>
          <w:lang w:val="en-US"/>
        </w:rPr>
        <w:t xml:space="preserve">, </w:t>
      </w:r>
      <w:r>
        <w:rPr>
          <w:i/>
          <w:iCs/>
          <w:highlight w:val="yellow"/>
          <w:lang w:val="en-US"/>
        </w:rPr>
        <w:t>c</w:t>
      </w:r>
      <w:r>
        <w:rPr>
          <w:highlight w:val="yellow"/>
          <w:lang w:val="en-US"/>
        </w:rPr>
        <w:t xml:space="preserve"> and </w:t>
      </w:r>
      <w:r>
        <w:rPr>
          <w:i/>
          <w:iCs/>
          <w:highlight w:val="yellow"/>
          <w:lang w:val="en-US"/>
        </w:rPr>
        <w:t>e</w:t>
      </w:r>
      <w:r>
        <w:rPr>
          <w:lang w:val="en-US"/>
        </w:rPr>
        <w:t>) to the right side (</w:t>
      </w:r>
      <w:r>
        <w:rPr>
          <w:i/>
          <w:iCs/>
          <w:highlight w:val="yellow"/>
          <w:lang w:val="en-US"/>
        </w:rPr>
        <w:t>b</w:t>
      </w:r>
      <w:r>
        <w:rPr>
          <w:highlight w:val="yellow"/>
          <w:lang w:val="en-US"/>
        </w:rPr>
        <w:t xml:space="preserve">, </w:t>
      </w:r>
      <w:r>
        <w:rPr>
          <w:i/>
          <w:iCs/>
          <w:highlight w:val="yellow"/>
          <w:lang w:val="en-US"/>
        </w:rPr>
        <w:t>d</w:t>
      </w:r>
      <w:r>
        <w:rPr>
          <w:highlight w:val="yellow"/>
          <w:lang w:val="en-US"/>
        </w:rPr>
        <w:t xml:space="preserve"> and </w:t>
      </w:r>
      <w:r>
        <w:rPr>
          <w:i/>
          <w:iCs/>
          <w:highlight w:val="yellow"/>
          <w:lang w:val="en-US"/>
        </w:rPr>
        <w:t>f</w:t>
      </w:r>
      <w:r>
        <w:rPr>
          <w:lang w:val="en-US"/>
        </w:rPr>
        <w:t xml:space="preserve">) of </w:t>
      </w:r>
      <w:r>
        <w:rPr>
          <w:highlight w:val="yellow"/>
          <w:lang w:val="en-US"/>
        </w:rPr>
        <w:t>Figure</w:t>
      </w:r>
      <w:r>
        <w:rPr>
          <w:lang w:val="en-US"/>
        </w:rPr>
        <w:t xml:space="preserve"> 8 implies that, if differences in optical properties alone are taken into account (i.e. there are no differences in the geometrical arrangements of the leaves), the NDVI of a dwarf shrub species will be less than that of a tree species having the same LAI, or equivalently, that the LAI of a dwarf shrub would be overestimated from its NDVI if the relationship were calibrated from tree species. This is consistent with the fact that woody vegetation saturates at a higher value of NDVI than herbaceous vegetation (Shabanov et al. 2005).</w:t>
      </w:r>
    </w:p>
    <w:p>
      <w:pPr>
        <w:pStyle w:val="Normal"/>
        <w:rPr/>
      </w:pPr>
      <w:r>
        <w:rPr>
          <w:lang w:val="en-US"/>
        </w:rPr>
        <w:tab/>
        <w:t xml:space="preserve">Two important conclusions can be drawn from these results. The first concerns the extent to which the measurement of the reflectance of a single leaf represents the properties of an optically thick canopy. Figure 6 shows that, while this is largely true in the visible part of the spectrum, leaf transparency means that it far from true in the 700 </w:t>
      </w:r>
      <w:r>
        <w:rPr>
          <w:highlight w:val="yellow"/>
          <w:lang w:val="en-US"/>
        </w:rPr>
        <w:t>to</w:t>
      </w:r>
      <w:r>
        <w:rPr>
          <w:lang w:val="en-US"/>
        </w:rPr>
        <w:t xml:space="preserve"> 1300 nm region. Reflectance measurements of a single leaf will be significantly affected, in this part of the spectrum, by whatever lies behind the leaf. This point has also been made by </w:t>
      </w:r>
      <w:r>
        <w:rPr/>
        <w:t>Neuwirthová, Lhotáková, and Albrechtová (2017)</w:t>
      </w:r>
      <w:r>
        <w:rPr>
          <w:lang w:val="en-US"/>
        </w:rPr>
        <w:t xml:space="preserve">. Secondly, we can deduce that a vegetation index derived using reflectance measurements in this part of the IR spectrum will not saturate (in the sense of approaching to within 1% of the limiting value) until the LAI reaches a value of typically around 6, which is higher – though not dramatically so – than the maximum values reported for subarctic vegetation. However, if the definition of saturation is relaxed to mean that the reflectance is within 10% of the limiting value, the vegetation index will saturate at LAI values around 2 </w:t>
      </w:r>
      <w:r>
        <w:rPr>
          <w:highlight w:val="yellow"/>
          <w:lang w:val="en-US"/>
        </w:rPr>
        <w:t>to</w:t>
      </w:r>
      <w:r>
        <w:rPr>
          <w:lang w:val="en-US"/>
        </w:rPr>
        <w:t xml:space="preserve"> 3, within the range of values encountered in subarctic vegetation.</w:t>
      </w:r>
    </w:p>
    <w:p>
      <w:pPr>
        <w:pStyle w:val="Normal"/>
        <w:rPr/>
      </w:pPr>
      <w:r>
        <w:rPr>
          <w:lang w:val="en-US"/>
        </w:rPr>
        <w:tab/>
      </w:r>
    </w:p>
    <w:p>
      <w:pPr>
        <w:pStyle w:val="Normal"/>
        <w:rPr/>
      </w:pPr>
      <w:r>
        <w:rPr>
          <w:lang w:val="en-US"/>
        </w:rPr>
        <w:tab/>
        <w:t>We have measured the optical properties of a range of leaves corresponding to different types of subarctic vegetation, using both direct measurement in an integrating sphere and also simulations of vegetation canopies consisting of stacks of leaves. The leaf-stack method is a particularly simple way of measuring the optical properties of leaves, since it dispenses with the need for an integrating sphere, and thus increases the opportunities for making such measurements. A simple two-stream radiative transfer model satisfactorily explains the behaviour of leaf stacks as a function of the number of leaves. The results of the two methods are broadly consistent, and show that the transparency of leaves in the near infrared region, especially from around 700 to 1300 nm, is far from negligible. This implies that a reflectance measurement made for a single leaf is not representative of that of an optically thick canopy – a stack of around 10 leaves would be needed to comfortably assure this. It also implies that the dependence on leaf area index of vegetation indices that use this range of wavelengths does not saturate (in the sense of approaching to within 1% of its optically thick value) until the LAI reaches a value of around 6, which is higher than that normally encountered in subarctic vegetation canopies. However, the relationship between NDVI and LAI weakens considerably above LAI values as low as 1 or 2 (depending on the assumed distribution of leaves). These results are broadly consistent with the assumptions made in deriving estimates of LAI from MODIS imagery, and provide some reassurance that the MODIS algorithm is valid not just for boreal forest but also dwarf shrub dominated tundra. However, some differences are apparent between the tree species and dwarf shrub species investigated here, such that, for the same geometrical distribution of leaves and LAI, dwarf shrubs would exhibit a lower NDVI than trees.</w:t>
      </w:r>
    </w:p>
    <w:p>
      <w:pPr>
        <w:pStyle w:val="Normal"/>
        <w:rPr>
          <w:lang w:val="en-US"/>
        </w:rPr>
      </w:pPr>
      <w:r>
        <w:rPr>
          <w:lang w:val="en-US"/>
        </w:rPr>
      </w:r>
    </w:p>
    <w:p>
      <w:pPr>
        <w:pStyle w:val="Normal"/>
        <w:rPr/>
      </w:pPr>
      <w:r>
        <w:rPr>
          <w:b/>
          <w:bCs/>
        </w:rPr>
        <w:t>Acknowledgements</w:t>
      </w:r>
    </w:p>
    <w:p>
      <w:pPr>
        <w:pStyle w:val="Normal"/>
        <w:rPr>
          <w:lang w:val="en-US"/>
        </w:rPr>
      </w:pPr>
      <w:r>
        <w:rPr>
          <w:lang w:val="en-US"/>
        </w:rPr>
      </w:r>
    </w:p>
    <w:p>
      <w:pPr>
        <w:pStyle w:val="Normal"/>
        <w:rPr/>
      </w:pPr>
      <w:r>
        <w:rPr>
          <w:rStyle w:val="Style14"/>
          <w:lang w:val="en-US"/>
        </w:rPr>
        <w:t>WGR, OVT, EIG,  and MVZ and have been supported by the The Russian-British project “Multiplatform remote sensing of the impact of climate change on northern forests of Russia” unded by the British Council (Institutional Links Programme Grant no. 352397111) and the Ministry of Science and Higher Education of the Russian Federation (project RFMEFI61618X0099). The FieldSpec Pro Hi-Res spectroradiometer was purchased under the Development Programme of M. V. Lomonosov Moscow State University. The SLAP project to create a spectral library was supported in 2014-2017 by the EU 'Interact' programme to support the research and education network of Arctic research stations (</w:t>
      </w:r>
      <w:hyperlink r:id="rId9">
        <w:r>
          <w:rPr>
            <w:rStyle w:val="Style14"/>
          </w:rPr>
          <w:t>www.eu-interact.org</w:t>
        </w:r>
      </w:hyperlink>
      <w:r>
        <w:rPr>
          <w:rStyle w:val="Style14"/>
          <w:lang w:val="en-US"/>
        </w:rPr>
        <w:t>).</w:t>
      </w:r>
    </w:p>
    <w:p>
      <w:pPr>
        <w:pStyle w:val="Normal"/>
        <w:rPr>
          <w:rStyle w:val="Style14"/>
        </w:rPr>
      </w:pPr>
      <w:r>
        <w:rPr/>
      </w:r>
    </w:p>
    <w:p>
      <w:pPr>
        <w:pStyle w:val="Normal"/>
        <w:rPr/>
      </w:pPr>
      <w:r>
        <w:rPr>
          <w:b/>
          <w:bCs/>
        </w:rPr>
        <w:t>Declaration of interest</w:t>
      </w:r>
    </w:p>
    <w:p>
      <w:pPr>
        <w:pStyle w:val="Normal"/>
        <w:rPr/>
      </w:pPr>
      <w:r>
        <w:rPr>
          <w:b w:val="false"/>
          <w:bCs w:val="false"/>
        </w:rPr>
        <w:t>The authors declare that they have no conflicts of interest in the research described in this paper.</w:t>
      </w:r>
    </w:p>
    <w:p>
      <w:pPr>
        <w:pStyle w:val="Normal"/>
        <w:rPr>
          <w:b/>
          <w:b/>
          <w:bCs/>
        </w:rPr>
      </w:pPr>
      <w:r>
        <w:rPr>
          <w:b/>
          <w:bCs/>
        </w:rPr>
      </w:r>
    </w:p>
    <w:p>
      <w:pPr>
        <w:pStyle w:val="Normal"/>
        <w:rPr/>
      </w:pPr>
      <w:r>
        <w:rPr>
          <w:b/>
          <w:bCs/>
        </w:rPr>
        <w:t>References</w:t>
      </w:r>
    </w:p>
    <w:p>
      <w:pPr>
        <w:pStyle w:val="Normal"/>
        <w:spacing w:lineRule="exact" w:line="380"/>
        <w:ind w:left="0" w:right="40" w:hanging="0"/>
        <w:jc w:val="both"/>
        <w:rPr>
          <w:rFonts w:ascii="Times New Roman" w:hAnsi="Times New Roman" w:eastAsia="Arial" w:cs="Arial"/>
          <w:b/>
          <w:b/>
          <w:bCs/>
          <w:i w:val="false"/>
          <w:i w:val="false"/>
          <w:iCs w:val="false"/>
          <w:color w:val="00000A"/>
          <w:sz w:val="24"/>
          <w:szCs w:val="24"/>
          <w:lang w:val="en-US"/>
        </w:rPr>
      </w:pPr>
      <w:r>
        <w:rPr>
          <w:rFonts w:eastAsia="Arial" w:cs="Arial" w:ascii="Times New Roman" w:hAnsi="Times New Roman"/>
          <w:b/>
          <w:bCs/>
          <w:i w:val="false"/>
          <w:iCs w:val="false"/>
          <w:color w:val="00000A"/>
          <w:sz w:val="24"/>
          <w:szCs w:val="24"/>
          <w:lang w:val="en-US"/>
        </w:rPr>
      </w:r>
    </w:p>
    <w:p>
      <w:pPr>
        <w:sectPr>
          <w:type w:val="nextPage"/>
          <w:pgSz w:w="11906" w:h="16838"/>
          <w:pgMar w:left="1134" w:right="1134" w:header="0" w:top="1134" w:footer="0" w:bottom="1134" w:gutter="0"/>
          <w:pgNumType w:fmt="decimal"/>
          <w:formProt w:val="false"/>
          <w:textDirection w:val="lrTb"/>
          <w:docGrid w:type="default" w:linePitch="312" w:charSpace="0"/>
        </w:sectPr>
      </w:pPr>
    </w:p>
    <w:p>
      <w:pPr>
        <w:pStyle w:val="Bibliography1"/>
        <w:rPr/>
      </w:pPr>
      <w:r>
        <w:rPr/>
        <w:t xml:space="preserve">Asner, Gregory P., Jonathan M. O. Scurlock, and Jeffrey A. Hicke. 2003. ‘Global Synthesis of Leaf Area Index Observations: Implications for Ecological and Remote Sensing Studies’. </w:t>
      </w:r>
      <w:r>
        <w:rPr>
          <w:i/>
        </w:rPr>
        <w:t>Global Ecology and Biogeography</w:t>
      </w:r>
      <w:r>
        <w:rPr/>
        <w:t xml:space="preserve"> 12 (3): 191–205. https://doi.org/10.1046/j.1466-822X.2003.00026.x.</w:t>
      </w:r>
    </w:p>
    <w:p>
      <w:pPr>
        <w:pStyle w:val="Bibliography1"/>
        <w:rPr/>
      </w:pPr>
      <w:r>
        <w:rPr/>
        <w:t xml:space="preserve">Bannari, A., D. Morin, F. Bonn, and A. R. Huete. 1995. ‘A Review of Vegetation Indices’. </w:t>
      </w:r>
      <w:r>
        <w:rPr>
          <w:i/>
        </w:rPr>
        <w:t>Remote Sensing Reviews</w:t>
      </w:r>
      <w:r>
        <w:rPr/>
        <w:t xml:space="preserve"> 13 (1–2): 95–120. https://doi.org/10.1080/02757259509532298.</w:t>
      </w:r>
    </w:p>
    <w:p>
      <w:pPr>
        <w:pStyle w:val="Bibliography1"/>
        <w:suppressLineNumbers/>
        <w:spacing w:before="0" w:after="0"/>
        <w:ind w:left="0" w:right="0" w:hanging="0"/>
        <w:rPr/>
      </w:pPr>
      <w:r>
        <w:rPr>
          <w:rFonts w:cs="Arial Unicode MS"/>
        </w:rPr>
        <w:t>Bartalev</w:t>
      </w:r>
      <w:r>
        <w:rPr/>
        <w:t>, S. A., V. A. Egorov, V. O. Zharko, E. A. Lupyan, D. E. Plotnikov, and S. A.</w:t>
      </w:r>
    </w:p>
    <w:p>
      <w:pPr>
        <w:pStyle w:val="Bibliography1"/>
        <w:suppressLineNumbers/>
        <w:spacing w:lineRule="atLeast" w:line="245" w:before="0" w:after="0"/>
        <w:ind w:left="0" w:right="0" w:hanging="0"/>
        <w:rPr/>
      </w:pPr>
      <w:r>
        <w:rPr>
          <w:rFonts w:cs="Arial Unicode MS"/>
        </w:rPr>
        <w:tab/>
        <w:t>Khvostikov</w:t>
      </w:r>
      <w:r>
        <w:rPr/>
        <w:t>. 2015. ‘Status and prospects of development of satellite mapping methods for</w:t>
      </w:r>
    </w:p>
    <w:p>
      <w:pPr>
        <w:pStyle w:val="Style15"/>
        <w:suppressAutoHyphens w:val="true"/>
        <w:spacing w:lineRule="atLeast" w:line="245" w:before="0" w:after="0"/>
        <w:ind w:left="0" w:right="0" w:hanging="0"/>
        <w:rPr/>
      </w:pPr>
      <w:r>
        <w:rPr>
          <w:lang w:val="en-US"/>
        </w:rPr>
        <w:tab/>
        <w:t>the vegetation cover of RussiaCurrent state and development prospects of satellite</w:t>
      </w:r>
    </w:p>
    <w:p>
      <w:pPr>
        <w:pStyle w:val="Bibliography1"/>
        <w:rPr/>
      </w:pPr>
      <w:r>
        <w:rPr>
          <w:lang w:val="en-US"/>
        </w:rPr>
        <w:tab/>
        <w:t xml:space="preserve">mapping methods of Russia’s vegetation cover.’ </w:t>
      </w:r>
      <w:r>
        <w:rPr>
          <w:i/>
          <w:iCs/>
          <w:lang w:val="en-US"/>
        </w:rPr>
        <w:t>Modern Current Problems in Remote Sensing of the Earth From Space</w:t>
      </w:r>
      <w:r>
        <w:rPr>
          <w:lang w:val="en-US"/>
        </w:rPr>
        <w:t xml:space="preserve"> 12 (5): 203–221. (in Russian)</w:t>
      </w:r>
    </w:p>
    <w:p>
      <w:pPr>
        <w:pStyle w:val="Bibliography1"/>
        <w:suppressLineNumbers/>
        <w:rPr/>
      </w:pPr>
      <w:r>
        <w:rPr>
          <w:rFonts w:cs="Arial Unicode MS"/>
        </w:rPr>
        <w:t>Belonovskaya</w:t>
      </w:r>
      <w:r>
        <w:rPr/>
        <w:t>, E. A., A. A. Tishkov, M. A. Weissfeld, P. M. Glazov, A. N. Krenke Jr., O. V.</w:t>
      </w:r>
    </w:p>
    <w:p>
      <w:pPr>
        <w:pStyle w:val="Bibliography1"/>
        <w:suppressLineNumbers/>
        <w:ind w:left="720" w:right="0" w:hanging="720"/>
        <w:rPr/>
      </w:pPr>
      <w:r>
        <w:rPr>
          <w:rFonts w:cs="Arial Unicode MS"/>
        </w:rPr>
        <w:tab/>
        <w:t>Morozova</w:t>
      </w:r>
      <w:r>
        <w:rPr/>
        <w:t>, I. V. Pokrovskaya, N. G. Tsarevskaya , and G. M. Tertitsky. 2016. ‘”Greening”</w:t>
      </w:r>
    </w:p>
    <w:p>
      <w:pPr>
        <w:pStyle w:val="Style15"/>
        <w:ind w:left="720" w:right="0" w:hanging="720"/>
        <w:rPr/>
      </w:pPr>
      <w:r>
        <w:rPr>
          <w:lang w:val="en-US"/>
        </w:rPr>
        <w:tab/>
        <w:t xml:space="preserve">of the Russian Arctic and current trends in changing its biota.’ </w:t>
      </w:r>
      <w:r>
        <w:rPr>
          <w:i/>
          <w:iCs/>
          <w:lang w:val="en-US"/>
        </w:rPr>
        <w:t>Proceedings of the Russian</w:t>
      </w:r>
    </w:p>
    <w:p>
      <w:pPr>
        <w:pStyle w:val="Bibliography1"/>
        <w:rPr/>
      </w:pPr>
      <w:r>
        <w:rPr>
          <w:rStyle w:val="Style14"/>
          <w:i/>
          <w:iCs/>
          <w:lang w:val="en-US"/>
        </w:rPr>
        <w:tab/>
        <w:t>Academy of Sciences. Series Geographical</w:t>
      </w:r>
      <w:r>
        <w:rPr>
          <w:rStyle w:val="Style14"/>
          <w:lang w:val="en-US"/>
        </w:rPr>
        <w:t>, 3: 28–39. (In Russian)</w:t>
      </w:r>
    </w:p>
    <w:p>
      <w:pPr>
        <w:pStyle w:val="Bibliography1"/>
        <w:rPr/>
      </w:pPr>
      <w:r>
        <w:rPr/>
        <w:t xml:space="preserve">Blackburn, G.A. 1999. ‘Relationships between Spectral Reflectance and Pigment Concentrations in Stacks of Deciduous Broadleaves’. </w:t>
      </w:r>
      <w:r>
        <w:rPr>
          <w:i/>
        </w:rPr>
        <w:t>Remote Sensing of Environment</w:t>
      </w:r>
      <w:r>
        <w:rPr/>
        <w:t xml:space="preserve"> 70: 224–37.</w:t>
      </w:r>
    </w:p>
    <w:p>
      <w:pPr>
        <w:pStyle w:val="Bibliography1"/>
        <w:rPr/>
      </w:pPr>
      <w:r>
        <w:rPr/>
        <w:t xml:space="preserve">Breece, H.T., and R.A. Holmes. 1971. ‘Bidirectional Scattering Characteristics of Healthy Green Soybean and Corn Leaves in Vivo’. </w:t>
      </w:r>
      <w:r>
        <w:rPr>
          <w:i/>
        </w:rPr>
        <w:t>Applied Optics</w:t>
      </w:r>
      <w:r>
        <w:rPr/>
        <w:t xml:space="preserve"> 10 (1): 119–27.</w:t>
      </w:r>
    </w:p>
    <w:p>
      <w:pPr>
        <w:pStyle w:val="Bibliography1"/>
        <w:rPr/>
      </w:pPr>
      <w:r>
        <w:rPr/>
        <w:t xml:space="preserve">Campbell, JB. 2008. </w:t>
      </w:r>
      <w:r>
        <w:rPr>
          <w:i/>
        </w:rPr>
        <w:t>Introduction to Remote Sensing</w:t>
      </w:r>
      <w:r>
        <w:rPr/>
        <w:t>. 4th ed. New York: Guilford Press.</w:t>
      </w:r>
    </w:p>
    <w:p>
      <w:pPr>
        <w:pStyle w:val="Bibliography1"/>
        <w:rPr/>
      </w:pPr>
      <w:r>
        <w:rPr/>
        <w:t xml:space="preserve">Carlson, R.E., and D.N. Yarger. 1971. ‘An Evaluation of Two Methods for Obtaining Leaf Transmissivity from Leaf Reflectivity Measurements.’ </w:t>
      </w:r>
      <w:r>
        <w:rPr>
          <w:i/>
        </w:rPr>
        <w:t>Agronomy Journal</w:t>
      </w:r>
      <w:r>
        <w:rPr/>
        <w:t xml:space="preserve"> 63: 78–81.</w:t>
      </w:r>
    </w:p>
    <w:p>
      <w:pPr>
        <w:pStyle w:val="Bibliography1"/>
        <w:rPr/>
      </w:pPr>
      <w:r>
        <w:rPr/>
        <w:t xml:space="preserve">Chen, J. M., and T. A. Black. 1992. ‘Defining Leaf Area Index for Non-Flat Leaves’. </w:t>
      </w:r>
      <w:r>
        <w:rPr>
          <w:i/>
        </w:rPr>
        <w:t>Plant, Cell &amp; Environment</w:t>
      </w:r>
      <w:r>
        <w:rPr/>
        <w:t xml:space="preserve"> 15 (4): 421–29. https://doi.org/10.1111/j.1365-3040.1992.tb00992.x.</w:t>
      </w:r>
    </w:p>
    <w:p>
      <w:pPr>
        <w:pStyle w:val="Bibliography1"/>
        <w:rPr/>
      </w:pPr>
      <w:r>
        <w:rPr/>
        <w:t xml:space="preserve">Chen, J. M., C. H. Menges, and S. G. Leblanc. 2005. ‘Global Mapping of Foliage Clumping Index Using Multi-Angular Satellite Data’. </w:t>
      </w:r>
      <w:r>
        <w:rPr>
          <w:i/>
        </w:rPr>
        <w:t>Remote Sensing of Environment</w:t>
      </w:r>
      <w:r>
        <w:rPr/>
        <w:t xml:space="preserve"> 97 (4): 447–57. https://doi.org/10.1016/j.rse.2005.05.003.</w:t>
      </w:r>
    </w:p>
    <w:p>
      <w:pPr>
        <w:pStyle w:val="Bibliography1"/>
        <w:rPr/>
      </w:pPr>
      <w:r>
        <w:rPr/>
        <w:t xml:space="preserve">Chen, Jun, Jin Chen, Anping Liao, Xin Cao, Lijun Chen, Xuehong Chen, Chaoying He, et al. 2015. ‘Global Land Cover Mapping at 30m Resolution: A POK-Based Operational Approach’. </w:t>
      </w:r>
      <w:r>
        <w:rPr>
          <w:i/>
        </w:rPr>
        <w:t>ISPRS Journal of Photogrammetry and Remote Sensing</w:t>
      </w:r>
      <w:r>
        <w:rPr/>
        <w:t>, Global Land Cover Mapping and Monitoring, 103 (May): 7–27. https://doi.org/10.1016/j.isprsjprs.2014.09.002.</w:t>
      </w:r>
    </w:p>
    <w:p>
      <w:pPr>
        <w:pStyle w:val="Bibliography1"/>
        <w:rPr/>
      </w:pPr>
      <w:r>
        <w:rPr/>
        <w:t xml:space="preserve">Dawson, T.P., P.J. Curran, and S.E. Plummer. 1998. ‘LIBERTY - Modeling the Effects of Leaf Biochemical Concentration on Reflectance Spectra.’ </w:t>
      </w:r>
      <w:r>
        <w:rPr>
          <w:i/>
        </w:rPr>
        <w:t>Remote Sensing of Environment</w:t>
      </w:r>
      <w:r>
        <w:rPr/>
        <w:t xml:space="preserve"> 65: 50–60.</w:t>
      </w:r>
    </w:p>
    <w:p>
      <w:pPr>
        <w:pStyle w:val="Bibliography1"/>
        <w:rPr/>
      </w:pPr>
      <w:r>
        <w:rPr/>
        <w:t xml:space="preserve">Gitelson, Anatoly A. 2004. ‘Wide Dynamic Range Vegetation Index for Remote Quantification of Biophysical Characteristics of Vegetation’. </w:t>
      </w:r>
      <w:r>
        <w:rPr>
          <w:i/>
        </w:rPr>
        <w:t>Journal of Plant Physiology</w:t>
      </w:r>
      <w:r>
        <w:rPr/>
        <w:t xml:space="preserve"> 161 (2): 165–73. https://doi.org/10.1078/0176-1617-01176.</w:t>
      </w:r>
    </w:p>
    <w:p>
      <w:pPr>
        <w:pStyle w:val="Bibliography1"/>
        <w:rPr/>
      </w:pPr>
      <w:r>
        <w:rPr/>
        <w:t xml:space="preserve">Jacquemoud, S., S.L. Ustin, J. Verdebout, G. Schmuck, G. Andreoli, and B. Hosgood. 1996. ‘Estimating Leaf Biochemistry Using the PROSPECT Leaf Optical Properties Model.’ </w:t>
      </w:r>
      <w:r>
        <w:rPr>
          <w:i/>
        </w:rPr>
        <w:t>Remote Sensing of Environment</w:t>
      </w:r>
      <w:r>
        <w:rPr/>
        <w:t xml:space="preserve"> 56: 194–202.</w:t>
      </w:r>
    </w:p>
    <w:p>
      <w:pPr>
        <w:pStyle w:val="Bibliography1"/>
        <w:rPr/>
      </w:pPr>
      <w:r>
        <w:rPr/>
        <w:t xml:space="preserve">Jia, GJ, HE Epstein, and DA Walker. 2003. ‘Greening of Arctic Alaska, 1981-2001’. </w:t>
      </w:r>
      <w:r>
        <w:rPr>
          <w:i/>
        </w:rPr>
        <w:t>Geophysical Research Letters</w:t>
      </w:r>
      <w:r>
        <w:rPr/>
        <w:t xml:space="preserve"> 30 (20). https://doi.org/10.1029/2003GL018268.</w:t>
      </w:r>
    </w:p>
    <w:p>
      <w:pPr>
        <w:pStyle w:val="Bibliography1"/>
        <w:rPr/>
      </w:pPr>
      <w:r>
        <w:rPr/>
        <w:t>Knyazikhin, Y., J. Glassy, J.L. Privette, Y. Tian, A. Lotsch, Y. Zhang, Y. Wang, et al. 1999. ‘MODIS Leaf Area Index (LAI) and Fraction of Photosythetically Active Radiation Absorbed by Vegetation (FPAR) Product (MOD15) Algorithm Theoretical Basis Document’. http://eospso.gsfc.nasa.gov/atbd/modistables.html.</w:t>
      </w:r>
    </w:p>
    <w:p>
      <w:pPr>
        <w:pStyle w:val="Bibliography1"/>
        <w:rPr/>
      </w:pPr>
      <w:r>
        <w:rPr/>
        <w:t xml:space="preserve">Lafleur, P.M. and E.R. Humphreys, 2018, ‘Tundra shrub effects on growing season energy and carbon dioxide exchange’. </w:t>
      </w:r>
      <w:r>
        <w:rPr>
          <w:i/>
          <w:iCs/>
        </w:rPr>
        <w:t xml:space="preserve">Environmental Research Letters </w:t>
      </w:r>
      <w:r>
        <w:rPr>
          <w:i w:val="false"/>
          <w:iCs w:val="false"/>
        </w:rPr>
        <w:t>13 (5), 061001. https://doi.org/10.1088/1748-9326/aab863</w:t>
      </w:r>
    </w:p>
    <w:p>
      <w:pPr>
        <w:pStyle w:val="Bibliography1"/>
        <w:rPr/>
      </w:pPr>
      <w:r>
        <w:rPr/>
        <w:t xml:space="preserve">Lillesaeter, O. 1982. ‘Spectral Reflectance of Partly Transmitting Leaves: Laboratory Measurements and Mathematical Modeling.’ </w:t>
      </w:r>
      <w:r>
        <w:rPr>
          <w:i/>
        </w:rPr>
        <w:t>Remote Sensing of Environment</w:t>
      </w:r>
      <w:r>
        <w:rPr/>
        <w:t xml:space="preserve"> 12: 247–54.</w:t>
      </w:r>
    </w:p>
    <w:p>
      <w:pPr>
        <w:pStyle w:val="Bibliography1"/>
        <w:rPr/>
      </w:pPr>
      <w:r>
        <w:rPr/>
        <w:t xml:space="preserve">Markon, Carl J., Michael D. Fleming, and Emily F. Binnian. 1995. ‘Characteristics of Vegetation Phenology over the Alaskan Landscape Using AVHRR Time-Series Data’. </w:t>
      </w:r>
      <w:r>
        <w:rPr>
          <w:i/>
        </w:rPr>
        <w:t>Polar Record</w:t>
      </w:r>
      <w:r>
        <w:rPr/>
        <w:t xml:space="preserve"> 31 (177): 179–90. https://doi.org/10.1017/S0032247400013681.</w:t>
      </w:r>
    </w:p>
    <w:p>
      <w:pPr>
        <w:pStyle w:val="Bibliography1"/>
        <w:rPr/>
      </w:pPr>
      <w:r>
        <w:rPr/>
        <w:t xml:space="preserve">Markon, C.J., and K.M. Peterson. 2002. ‘The Utility of Estimating Net Primary Productivity over Alaska Using Baseline AVHRR Data’. </w:t>
      </w:r>
      <w:r>
        <w:rPr>
          <w:i/>
        </w:rPr>
        <w:t>International Journal of Remote Sensing</w:t>
      </w:r>
      <w:r>
        <w:rPr/>
        <w:t xml:space="preserve"> 23 (21): 4571–96.</w:t>
      </w:r>
    </w:p>
    <w:p>
      <w:pPr>
        <w:pStyle w:val="Bibliography1"/>
        <w:rPr/>
      </w:pPr>
      <w:r>
        <w:rPr/>
        <w:t xml:space="preserve">Martin, M.E., and J.D. Aber. 1990. ‘Effects of Moisture Content and Chemical Composition on the near Infrared Spectra of Forest Foliage’. </w:t>
      </w:r>
      <w:r>
        <w:rPr>
          <w:i/>
        </w:rPr>
        <w:t>Imaging Spectroscopy of the Terrestrial Environment</w:t>
      </w:r>
      <w:r>
        <w:rPr/>
        <w:t xml:space="preserve"> 1298: 171–77.</w:t>
      </w:r>
    </w:p>
    <w:p>
      <w:pPr>
        <w:pStyle w:val="Bibliography1"/>
        <w:suppressLineNumbers/>
        <w:tabs>
          <w:tab w:val="left" w:pos="0" w:leader="none"/>
        </w:tabs>
        <w:spacing w:lineRule="atLeast" w:line="240" w:before="0" w:after="0"/>
        <w:ind w:left="720" w:right="0" w:hanging="720"/>
        <w:rPr/>
      </w:pPr>
      <w:r>
        <w:rPr/>
        <w:t xml:space="preserve">Neuwirthová, E., Z. Lhotáková, and J. Albrechtová. 2017. ‘The Effect of Leaf Stacking on Leaf Reflectance and Vegetation Indices Measured by Contact Probe during the Season’. </w:t>
      </w:r>
      <w:r>
        <w:rPr>
          <w:i/>
        </w:rPr>
        <w:t>Sensors</w:t>
      </w:r>
      <w:r>
        <w:rPr/>
        <w:t xml:space="preserve"> 17: 1202. https://doi.org/10.3390/s17061202.</w:t>
      </w:r>
    </w:p>
    <w:p>
      <w:pPr>
        <w:pStyle w:val="Bibliography1"/>
        <w:ind w:left="720" w:right="0" w:hanging="0"/>
        <w:rPr/>
      </w:pPr>
      <w:r>
        <w:rPr/>
        <w:t xml:space="preserve">Parent, Mary Beth, and David Verbyla. 2010. ‘The Browning of Alaska’s Boreal Forest’. </w:t>
      </w:r>
      <w:r>
        <w:rPr>
          <w:i/>
        </w:rPr>
        <w:t xml:space="preserve">Remote </w:t>
        <w:tab/>
        <w:t>Sensing</w:t>
      </w:r>
      <w:r>
        <w:rPr/>
        <w:t xml:space="preserve"> 2 (12): 2729–47. https://doi.org/10.3390/rs2122729.</w:t>
      </w:r>
    </w:p>
    <w:p>
      <w:pPr>
        <w:pStyle w:val="Bibliography1"/>
        <w:rPr/>
      </w:pPr>
      <w:r>
        <w:rPr/>
        <w:t xml:space="preserve">Pettorelli, Nathalie. 2013. </w:t>
      </w:r>
      <w:r>
        <w:rPr>
          <w:i/>
        </w:rPr>
        <w:t>The Normalized Difference Vegetation Index</w:t>
      </w:r>
      <w:r>
        <w:rPr/>
        <w:t>. Oxford, New York: Oxford University Press.</w:t>
      </w:r>
    </w:p>
    <w:p>
      <w:pPr>
        <w:pStyle w:val="Bibliography1"/>
        <w:rPr/>
      </w:pPr>
      <w:r>
        <w:rPr/>
        <w:t xml:space="preserve">Phoenix, Gareth K., and Jarle W. Bjerke. 2016. ‘Arctic Browning: Extreme Events and Trends Reversing Arctic Greening’. </w:t>
      </w:r>
      <w:r>
        <w:rPr>
          <w:i/>
        </w:rPr>
        <w:t>Global Change Biology</w:t>
      </w:r>
      <w:r>
        <w:rPr/>
        <w:t xml:space="preserve"> 22 (9): 2960–62. </w:t>
      </w:r>
      <w:hyperlink r:id="rId10">
        <w:r>
          <w:rPr>
            <w:rStyle w:val="InternetLink"/>
          </w:rPr>
          <w:t>https://doi.org/10.1111/gcb.13261</w:t>
        </w:r>
      </w:hyperlink>
      <w:r>
        <w:rPr/>
        <w:t>.</w:t>
      </w:r>
    </w:p>
    <w:p>
      <w:pPr>
        <w:pStyle w:val="Bibliography1"/>
        <w:rPr/>
      </w:pPr>
      <w:r>
        <w:rPr/>
        <w:t>Piao, S., Wang, X., Park, T. et al. Characteristics, drivers and feedbacks of global greening. Nat Rev Earth Environ 1, 14–27 (2020). https://doi.org/10.1038/s43017-019-0001-x</w:t>
      </w:r>
    </w:p>
    <w:p>
      <w:pPr>
        <w:pStyle w:val="Bibliography1"/>
        <w:rPr/>
      </w:pPr>
      <w:r>
        <w:rPr/>
        <w:t xml:space="preserve">Rees, WG. 2012. ‘Automated Spaceborne Detection of Degraded Vegetation around Monchegorsk, Kola Peninsula, Russia’. </w:t>
      </w:r>
      <w:r>
        <w:rPr>
          <w:i/>
        </w:rPr>
        <w:t>Polar Record</w:t>
      </w:r>
      <w:r>
        <w:rPr/>
        <w:t xml:space="preserve"> 48: 107–12.</w:t>
      </w:r>
    </w:p>
    <w:p>
      <w:pPr>
        <w:pStyle w:val="Bibliography1"/>
        <w:rPr/>
      </w:pPr>
      <w:r>
        <w:rPr/>
        <w:t xml:space="preserve">Shabanov, N., and J.-P. Gastellu-Etchegorry. 2018. ‘The Stochastic Beer–Lambert–Bouguer Law for Discontinuous Vegetation Canopies’. </w:t>
      </w:r>
      <w:r>
        <w:rPr>
          <w:i/>
        </w:rPr>
        <w:t>Journal of Quantitative Spectroscopy and Radiative Transfer</w:t>
      </w:r>
      <w:r>
        <w:rPr/>
        <w:t xml:space="preserve"> 214 (July): 18–32. https://doi.org/10.1016/j.jqsrt.2018.04.021.</w:t>
      </w:r>
    </w:p>
    <w:p>
      <w:pPr>
        <w:pStyle w:val="Bibliography1"/>
        <w:suppressLineNumbers/>
        <w:spacing w:lineRule="atLeast" w:line="240" w:before="0" w:after="0"/>
        <w:ind w:left="720" w:right="0" w:hanging="720"/>
        <w:rPr/>
      </w:pPr>
      <w:r>
        <w:rPr/>
        <w:t xml:space="preserve">Shabanov, Nikolay V., Y. Knyazikhin, Frêdêric Baret, and Ranga B. Myneni. 2000. ‘Stochastic Modeling of Radiation Regime in Discontinuous Vegetation Canopies’. </w:t>
      </w:r>
      <w:r>
        <w:rPr>
          <w:i/>
        </w:rPr>
        <w:t>Remote Sensing of Environment</w:t>
      </w:r>
      <w:r>
        <w:rPr/>
        <w:t xml:space="preserve"> 74 (1): 125–44. </w:t>
      </w:r>
      <w:hyperlink r:id="rId11">
        <w:r>
          <w:rPr>
            <w:rStyle w:val="InternetLink"/>
          </w:rPr>
          <w:t>https://doi.org/10.1016/S0034-4257(00)00128-0</w:t>
        </w:r>
      </w:hyperlink>
      <w:r>
        <w:rPr/>
        <w:t>.</w:t>
      </w:r>
    </w:p>
    <w:p>
      <w:pPr>
        <w:pStyle w:val="Bibliography1"/>
        <w:suppressLineNumbers/>
        <w:spacing w:lineRule="atLeast" w:line="240" w:before="0" w:after="0"/>
        <w:ind w:left="720" w:right="0" w:hanging="720"/>
        <w:rPr/>
      </w:pPr>
      <w:r>
        <w:rPr/>
        <w:t xml:space="preserve">Shabanov, N. V., Dong Huang, Wenze Yang, B. Tan, Y. Knyazikhin, R. B. Myneni, D. E. Ahl, et al. 2005. ‘Analysis and Optimization of the MODIS Leaf Area Index Algorithm Retrievals over Broadleaf Forests’. </w:t>
      </w:r>
      <w:r>
        <w:rPr>
          <w:i/>
        </w:rPr>
        <w:t>IEEE Transactions on Geoscience and Remote Sensing</w:t>
      </w:r>
      <w:r>
        <w:rPr/>
        <w:t xml:space="preserve"> 43 (8): 1855–65. https://doi.org/10.1109/TGRS.2005.852477.</w:t>
      </w:r>
    </w:p>
    <w:p>
      <w:pPr>
        <w:pStyle w:val="Bibliography1"/>
        <w:rPr/>
      </w:pPr>
      <w:r>
        <w:rPr/>
        <w:t xml:space="preserve">Tucker, Compton J. 1979. ‘Red and Photographic Infrared Linear Combinations for Monitoring Vegetation’. </w:t>
      </w:r>
      <w:r>
        <w:rPr>
          <w:i/>
        </w:rPr>
        <w:t>Remote Sensing of Environment</w:t>
      </w:r>
      <w:r>
        <w:rPr/>
        <w:t xml:space="preserve"> 8 (2): 127–50. https://doi.org/10.1016/0034-4257(79)90013-0.</w:t>
      </w:r>
    </w:p>
    <w:p>
      <w:pPr>
        <w:pStyle w:val="Bibliography1"/>
        <w:rPr/>
      </w:pPr>
      <w:r>
        <w:rPr/>
        <w:t xml:space="preserve">Turner, David P., Warren B. Cohen, Robert E. Kennedy, Karin S. Fassnacht, and John M. Briggs. 1999. ‘Relationships between Leaf Area Index and Landsat TM Spectral Vegetation Indices across Three Temperate Zone Sites’. </w:t>
      </w:r>
      <w:r>
        <w:rPr>
          <w:i/>
        </w:rPr>
        <w:t>Remote Sensing of Environment</w:t>
      </w:r>
      <w:r>
        <w:rPr/>
        <w:t xml:space="preserve"> 70 (1): 52–68. https://doi.org/10.1016/S0034-4257(99)00057-7.</w:t>
      </w:r>
    </w:p>
    <w:p>
      <w:pPr>
        <w:pStyle w:val="Bibliography1"/>
        <w:rPr/>
      </w:pPr>
      <w:r>
        <w:rPr/>
        <w:t xml:space="preserve">Verbesselt, Jan, Rob Hyndman, Achim Zeileis, and Darius Culvenor. 2010. ‘Phenological Change Detection While Accounting for Abrupt and Gradual Trends in Satellite Image Time Series’. </w:t>
      </w:r>
      <w:r>
        <w:rPr>
          <w:i/>
        </w:rPr>
        <w:t>Remote Sensing of Environment</w:t>
      </w:r>
      <w:r>
        <w:rPr/>
        <w:t xml:space="preserve"> 114 (12): 2970–80. https://doi.org/10.1016/j.rse.2010.08.003.</w:t>
      </w:r>
    </w:p>
    <w:p>
      <w:pPr>
        <w:pStyle w:val="Bibliography1"/>
        <w:rPr/>
      </w:pPr>
      <w:r>
        <w:rPr/>
        <w:t xml:space="preserve">Wang, Quan, Samuel Adiku, John Tenhunen, and André Granier. 2005. ‘On the Relationship of NDVI with Leaf Area Index in a Deciduous Forest Site’. </w:t>
      </w:r>
      <w:r>
        <w:rPr>
          <w:i/>
        </w:rPr>
        <w:t>Remote Sensing of Environment</w:t>
      </w:r>
      <w:r>
        <w:rPr/>
        <w:t xml:space="preserve"> 94 (2): 244–55. https://doi.org/10.1016/j.rse.2004.10.006.</w:t>
      </w:r>
    </w:p>
    <w:p>
      <w:pPr>
        <w:pStyle w:val="Bibliography1"/>
        <w:rPr/>
      </w:pPr>
      <w:r>
        <w:rPr/>
        <w:t xml:space="preserve">Yang, W., N.V. Shabanov, D. Huang, W. Wang, R.E. Dickinson, R.R. Nemani, Y. Knyazikhin, and R.B. Myneni. 2006. ‘Analysis of Leaf Area Index Products from Combination of MODIS Terra and Aqua Data’. </w:t>
      </w:r>
      <w:r>
        <w:rPr>
          <w:i/>
        </w:rPr>
        <w:t>Remote Sensing of Environment</w:t>
      </w:r>
      <w:r>
        <w:rPr/>
        <w:t xml:space="preserve"> 104 (3): 297–312. https://doi.org/10.1016/j.rse.2006.04.016.</w:t>
      </w:r>
    </w:p>
    <w:p>
      <w:pPr>
        <w:pStyle w:val="Bibliography1"/>
        <w:rPr/>
      </w:pPr>
      <w:r>
        <w:rPr/>
        <w:t xml:space="preserve">Zheng, G., and L.M. Moskal. 2009. ‘Retrieving Leaf Area Index (LAI) Using Remote Sensing’. </w:t>
      </w:r>
      <w:r>
        <w:rPr>
          <w:i/>
        </w:rPr>
        <w:t>Sensors</w:t>
      </w:r>
      <w:r>
        <w:rPr/>
        <w:t xml:space="preserve"> 9: 2719–45.</w:t>
      </w:r>
    </w:p>
    <w:p>
      <w:pPr>
        <w:sectPr>
          <w:type w:val="continuous"/>
          <w:pgSz w:w="11906" w:h="16838"/>
          <w:pgMar w:left="1134" w:right="1134" w:header="0" w:top="1134" w:footer="0" w:bottom="1134" w:gutter="0"/>
          <w:formProt w:val="false"/>
          <w:textDirection w:val="lrTb"/>
          <w:docGrid w:type="default" w:linePitch="312" w:charSpace="0"/>
        </w:sectPr>
      </w:pPr>
    </w:p>
    <w:p>
      <w:pPr>
        <w:pStyle w:val="Normal"/>
        <w:rPr/>
      </w:pPr>
      <w:r>
        <w:rPr/>
      </w:r>
    </w:p>
    <w:p>
      <w:pPr>
        <w:pStyle w:val="Normal"/>
        <w:rPr>
          <w:b/>
          <w:b/>
          <w:bCs/>
        </w:rPr>
      </w:pPr>
      <w:r>
        <w:rPr>
          <w:b/>
          <w:bCs/>
        </w:rPr>
      </w:r>
      <w:r>
        <w:br w:type="page"/>
      </w:r>
    </w:p>
    <w:p>
      <w:pPr>
        <w:pStyle w:val="Normal"/>
        <w:rPr/>
      </w:pPr>
      <w:r>
        <w:rPr>
          <w:b/>
          <w:bCs/>
        </w:rPr>
        <w:t>Figure captions</w:t>
      </w:r>
    </w:p>
    <w:p>
      <w:pPr>
        <w:pStyle w:val="Normal"/>
        <w:rPr>
          <w:rFonts w:ascii="Times New Roman" w:hAnsi="Times New Roman" w:eastAsia="Times New Roman" w:cs="Times New Roman"/>
          <w:b w:val="false"/>
          <w:b w:val="false"/>
          <w:bCs w:val="false"/>
          <w:color w:val="00000A"/>
          <w:sz w:val="21"/>
          <w:szCs w:val="21"/>
          <w:lang w:val="en-US"/>
        </w:rPr>
      </w:pPr>
      <w:r>
        <w:rPr>
          <w:rFonts w:eastAsia="Times New Roman" w:cs="Times New Roman" w:ascii="Times New Roman" w:hAnsi="Times New Roman"/>
          <w:b w:val="false"/>
          <w:bCs w:val="false"/>
          <w:color w:val="00000A"/>
          <w:sz w:val="21"/>
          <w:szCs w:val="21"/>
          <w:lang w:val="en-US"/>
        </w:rPr>
      </w:r>
    </w:p>
    <w:p>
      <w:pPr>
        <w:pStyle w:val="Normal"/>
        <w:rPr/>
      </w:pPr>
      <w:r>
        <w:rPr>
          <w:rFonts w:eastAsia="Times New Roman" w:cs="Times New Roman" w:ascii="Times New Roman" w:hAnsi="Times New Roman"/>
          <w:b w:val="false"/>
          <w:bCs w:val="false"/>
          <w:color w:val="00000A"/>
          <w:sz w:val="21"/>
          <w:szCs w:val="21"/>
          <w:lang w:val="en-US"/>
        </w:rPr>
        <w:t xml:space="preserve">Figure 1. Annual maximum LAI values in northern Fennoscandia and the Kola Peninsula in 2019, calculated from MODIS MCD15A2H 8 day composites (tile h19v02, </w:t>
      </w:r>
      <w:r>
        <w:rPr>
          <w:rFonts w:eastAsia="Times New Roman" w:cs="Times New Roman" w:ascii="Times New Roman" w:hAnsi="Times New Roman"/>
          <w:b w:val="false"/>
          <w:bCs w:val="false"/>
          <w:color w:val="00000A"/>
          <w:sz w:val="21"/>
          <w:szCs w:val="21"/>
          <w:highlight w:val="yellow"/>
          <w:lang w:val="en-US"/>
        </w:rPr>
        <w:t>shown in part</w:t>
      </w:r>
      <w:r>
        <w:rPr>
          <w:rFonts w:eastAsia="Times New Roman" w:cs="Times New Roman" w:ascii="Times New Roman" w:hAnsi="Times New Roman"/>
          <w:b w:val="false"/>
          <w:bCs w:val="false"/>
          <w:color w:val="00000A"/>
          <w:sz w:val="21"/>
          <w:szCs w:val="21"/>
          <w:lang w:val="en-US"/>
        </w:rPr>
        <w:t xml:space="preserve">). The latitudinal variation along the transect defined by the two lines is shown in </w:t>
      </w:r>
      <w:r>
        <w:rPr>
          <w:rFonts w:eastAsia="Times New Roman" w:cs="Times New Roman" w:ascii="Times New Roman" w:hAnsi="Times New Roman"/>
          <w:b w:val="false"/>
          <w:bCs w:val="false"/>
          <w:color w:val="00000A"/>
          <w:sz w:val="21"/>
          <w:szCs w:val="21"/>
          <w:highlight w:val="yellow"/>
          <w:lang w:val="en-US"/>
        </w:rPr>
        <w:t>Figure</w:t>
      </w:r>
      <w:r>
        <w:rPr>
          <w:rFonts w:eastAsia="Times New Roman" w:cs="Times New Roman" w:ascii="Times New Roman" w:hAnsi="Times New Roman"/>
          <w:b w:val="false"/>
          <w:bCs w:val="false"/>
          <w:color w:val="00000A"/>
          <w:sz w:val="21"/>
          <w:szCs w:val="21"/>
          <w:lang w:val="en-US"/>
        </w:rPr>
        <w:t xml:space="preserve"> 2. Projection: Geographical (Plate Carrée), WGS84 datum. </w:t>
      </w:r>
      <w:r>
        <w:rPr>
          <w:rFonts w:eastAsia="Times New Roman" w:cs="Times New Roman" w:ascii="Times New Roman" w:hAnsi="Times New Roman"/>
          <w:b w:val="false"/>
          <w:bCs w:val="false"/>
          <w:color w:val="00000A"/>
          <w:sz w:val="21"/>
          <w:szCs w:val="21"/>
          <w:highlight w:val="yellow"/>
          <w:lang w:val="en-US"/>
        </w:rPr>
        <w:t>Pixel area 460 m × 460 m.</w:t>
      </w:r>
      <w:r>
        <w:rPr>
          <w:rFonts w:eastAsia="Times New Roman" w:cs="Times New Roman" w:ascii="Times New Roman" w:hAnsi="Times New Roman"/>
          <w:b w:val="false"/>
          <w:bCs w:val="false"/>
          <w:color w:val="00000A"/>
          <w:sz w:val="21"/>
          <w:szCs w:val="21"/>
          <w:lang w:val="en-US"/>
        </w:rPr>
        <w:t xml:space="preserve"> Data downloaded from </w:t>
      </w:r>
      <w:hyperlink r:id="rId12">
        <w:r>
          <w:rPr>
            <w:rStyle w:val="InternetLink"/>
            <w:rFonts w:eastAsia="Times New Roman" w:cs="Times New Roman" w:ascii="Times New Roman" w:hAnsi="Times New Roman"/>
            <w:b w:val="false"/>
            <w:bCs w:val="false"/>
            <w:color w:val="00000A"/>
            <w:sz w:val="21"/>
            <w:szCs w:val="21"/>
            <w:lang w:val="en-US"/>
          </w:rPr>
          <w:t>https://lpdaac.usgs.gov/tools/data-pool/</w:t>
        </w:r>
      </w:hyperlink>
      <w:r>
        <w:rPr>
          <w:rFonts w:eastAsia="Times New Roman" w:cs="Times New Roman" w:ascii="Times New Roman" w:hAnsi="Times New Roman"/>
          <w:b w:val="false"/>
          <w:bCs w:val="false"/>
          <w:color w:val="00000A"/>
          <w:sz w:val="21"/>
          <w:szCs w:val="21"/>
          <w:lang w:val="en-US"/>
        </w:rPr>
        <w:t xml:space="preserve"> on 16.01.2020 and processed using the freely available software Multispec(https://engineering.purdue.edu/~biehl/MultiSpec/), ImageJ (https://imagej.nih.gov/ij/) and QGIS (https://www.qgis.org/en/site/). </w:t>
      </w:r>
    </w:p>
    <w:p>
      <w:pPr>
        <w:pStyle w:val="Normal"/>
        <w:rPr>
          <w:rFonts w:ascii="Times New Roman" w:hAnsi="Times New Roman" w:eastAsia="Times New Roman" w:cs="Times New Roman"/>
          <w:b w:val="false"/>
          <w:b w:val="false"/>
          <w:bCs w:val="false"/>
          <w:color w:val="00000A"/>
          <w:sz w:val="21"/>
          <w:szCs w:val="21"/>
          <w:lang w:val="en-US"/>
        </w:rPr>
      </w:pPr>
      <w:r>
        <w:rPr>
          <w:rFonts w:eastAsia="Times New Roman" w:cs="Times New Roman" w:ascii="Times New Roman" w:hAnsi="Times New Roman"/>
          <w:b w:val="false"/>
          <w:bCs w:val="false"/>
          <w:color w:val="00000A"/>
          <w:sz w:val="21"/>
          <w:szCs w:val="21"/>
          <w:lang w:val="en-US"/>
        </w:rPr>
      </w:r>
    </w:p>
    <w:p>
      <w:pPr>
        <w:pStyle w:val="Normal"/>
        <w:rPr/>
      </w:pPr>
      <w:r>
        <w:rPr>
          <w:rFonts w:eastAsia="Times New Roman" w:cs="Times New Roman" w:ascii="Times New Roman" w:hAnsi="Times New Roman"/>
          <w:b w:val="false"/>
          <w:bCs w:val="false"/>
          <w:color w:val="00000A"/>
          <w:sz w:val="21"/>
          <w:szCs w:val="21"/>
          <w:lang w:val="en-US"/>
        </w:rPr>
        <w:t xml:space="preserve">Figure 2. Median, lower and upper quartile LAI for 100 × 100 pixel (46 km × 46 km) regions along the transect defined in </w:t>
      </w:r>
      <w:r>
        <w:rPr>
          <w:rFonts w:eastAsia="Times New Roman" w:cs="Times New Roman" w:ascii="Times New Roman" w:hAnsi="Times New Roman"/>
          <w:b w:val="false"/>
          <w:bCs w:val="false"/>
          <w:color w:val="00000A"/>
          <w:sz w:val="21"/>
          <w:szCs w:val="21"/>
          <w:highlight w:val="yellow"/>
          <w:lang w:val="en-US"/>
        </w:rPr>
        <w:t>Figure</w:t>
      </w:r>
      <w:r>
        <w:rPr>
          <w:rFonts w:eastAsia="Times New Roman" w:cs="Times New Roman" w:ascii="Times New Roman" w:hAnsi="Times New Roman"/>
          <w:b w:val="false"/>
          <w:bCs w:val="false"/>
          <w:color w:val="00000A"/>
          <w:sz w:val="21"/>
          <w:szCs w:val="21"/>
          <w:lang w:val="en-US"/>
        </w:rPr>
        <w:t xml:space="preserve"> 1.</w:t>
      </w:r>
    </w:p>
    <w:p>
      <w:pPr>
        <w:pStyle w:val="Normal"/>
        <w:rPr>
          <w:rFonts w:ascii="Times New Roman" w:hAnsi="Times New Roman" w:eastAsia="Times New Roman" w:cs="Times New Roman"/>
          <w:b w:val="false"/>
          <w:b w:val="false"/>
          <w:bCs w:val="false"/>
          <w:color w:val="00000A"/>
          <w:sz w:val="21"/>
          <w:szCs w:val="21"/>
          <w:lang w:val="en-US"/>
        </w:rPr>
      </w:pPr>
      <w:r>
        <w:rPr>
          <w:rFonts w:eastAsia="Times New Roman" w:cs="Times New Roman" w:ascii="Times New Roman" w:hAnsi="Times New Roman"/>
          <w:b w:val="false"/>
          <w:bCs w:val="false"/>
          <w:color w:val="00000A"/>
          <w:sz w:val="21"/>
          <w:szCs w:val="21"/>
          <w:lang w:val="en-US"/>
        </w:rPr>
      </w:r>
    </w:p>
    <w:p>
      <w:pPr>
        <w:pStyle w:val="Normal"/>
        <w:rPr/>
      </w:pPr>
      <w:r>
        <w:rPr>
          <w:rFonts w:eastAsia="Times New Roman" w:cs="Times New Roman" w:ascii="Times New Roman" w:hAnsi="Times New Roman"/>
          <w:b w:val="false"/>
          <w:bCs w:val="false"/>
          <w:color w:val="00000A"/>
          <w:sz w:val="21"/>
          <w:szCs w:val="21"/>
          <w:lang w:val="en-US"/>
        </w:rPr>
        <w:t>Figure 3. Location of the Khibiny and Lovozero Mountains in the central Kola Peninsula, Russia. Map prepared using QGIS from data obtained from Natural Earth (</w:t>
      </w:r>
      <w:hyperlink r:id="rId13">
        <w:r>
          <w:rPr>
            <w:rStyle w:val="InternetLink"/>
            <w:rFonts w:eastAsia="Times New Roman" w:cs="Times New Roman" w:ascii="Times New Roman" w:hAnsi="Times New Roman"/>
            <w:b w:val="false"/>
            <w:bCs w:val="false"/>
            <w:color w:val="00000A"/>
            <w:sz w:val="21"/>
            <w:szCs w:val="21"/>
            <w:lang w:val="en-US"/>
          </w:rPr>
          <w:t>www.naturalearthdata.com</w:t>
        </w:r>
      </w:hyperlink>
      <w:r>
        <w:rPr>
          <w:rFonts w:eastAsia="Times New Roman" w:cs="Times New Roman" w:ascii="Times New Roman" w:hAnsi="Times New Roman"/>
          <w:b w:val="false"/>
          <w:bCs w:val="false"/>
          <w:color w:val="00000A"/>
          <w:sz w:val="21"/>
          <w:szCs w:val="21"/>
          <w:lang w:val="en-US"/>
        </w:rPr>
        <w:t>) and USGS DTED (https://topotools.cr.usgs.gov/gmted_viewer/viewer.htm)</w:t>
      </w:r>
    </w:p>
    <w:p>
      <w:pPr>
        <w:pStyle w:val="Normal"/>
        <w:rPr>
          <w:rFonts w:ascii="Times New Roman" w:hAnsi="Times New Roman" w:eastAsia="Times New Roman" w:cs="Times New Roman"/>
          <w:b w:val="false"/>
          <w:b w:val="false"/>
          <w:bCs w:val="false"/>
          <w:color w:val="00000A"/>
          <w:sz w:val="21"/>
          <w:szCs w:val="21"/>
          <w:lang w:val="en-US"/>
        </w:rPr>
      </w:pPr>
      <w:r>
        <w:rPr>
          <w:rFonts w:eastAsia="Times New Roman" w:cs="Times New Roman" w:ascii="Times New Roman" w:hAnsi="Times New Roman"/>
          <w:b w:val="false"/>
          <w:bCs w:val="false"/>
          <w:color w:val="00000A"/>
          <w:sz w:val="21"/>
          <w:szCs w:val="21"/>
          <w:lang w:val="en-US"/>
        </w:rPr>
      </w:r>
    </w:p>
    <w:p>
      <w:pPr>
        <w:pStyle w:val="Normal"/>
        <w:spacing w:lineRule="auto" w:line="264"/>
        <w:ind w:left="0" w:right="89" w:hanging="0"/>
        <w:jc w:val="left"/>
        <w:rPr/>
      </w:pPr>
      <w:r>
        <w:rPr>
          <w:rFonts w:eastAsia="Arial" w:cs="Arial" w:ascii="Times New Roman" w:hAnsi="Times New Roman"/>
          <w:color w:val="00000A"/>
          <w:sz w:val="21"/>
          <w:szCs w:val="21"/>
          <w:lang w:val="en-US"/>
        </w:rPr>
        <w:t xml:space="preserve">Figure 4. Reflectance </w:t>
      </w:r>
      <w:r>
        <w:rPr>
          <w:rFonts w:eastAsia="Arial" w:cs="Arial" w:ascii="Times New Roman" w:hAnsi="Times New Roman"/>
          <w:i/>
          <w:iCs/>
          <w:color w:val="00000A"/>
          <w:sz w:val="21"/>
          <w:szCs w:val="21"/>
          <w:highlight w:val="yellow"/>
          <w:lang w:val="en-US"/>
        </w:rPr>
        <w:t>ρ</w:t>
      </w:r>
      <w:r>
        <w:rPr>
          <w:rFonts w:eastAsia="Arial" w:cs="Arial" w:ascii="Times New Roman" w:hAnsi="Times New Roman"/>
          <w:color w:val="00000A"/>
          <w:sz w:val="21"/>
          <w:szCs w:val="21"/>
          <w:lang w:val="en-US"/>
        </w:rPr>
        <w:t xml:space="preserve"> and transmittance </w:t>
      </w:r>
      <w:r>
        <w:rPr>
          <w:rFonts w:eastAsia="Arial" w:cs="Arial" w:ascii="Times New Roman" w:hAnsi="Times New Roman"/>
          <w:i/>
          <w:iCs/>
          <w:color w:val="00000A"/>
          <w:sz w:val="21"/>
          <w:szCs w:val="21"/>
          <w:highlight w:val="yellow"/>
          <w:lang w:val="en-US"/>
        </w:rPr>
        <w:t>τ</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color w:val="00000A"/>
          <w:sz w:val="21"/>
          <w:szCs w:val="21"/>
          <w:lang w:val="en-US"/>
        </w:rPr>
        <w:t xml:space="preserve">of a single </w:t>
      </w:r>
      <w:r>
        <w:rPr>
          <w:rFonts w:eastAsia="Arial" w:cs="Arial" w:ascii="Times New Roman" w:hAnsi="Times New Roman"/>
          <w:i/>
          <w:color w:val="00000A"/>
          <w:sz w:val="21"/>
          <w:szCs w:val="21"/>
          <w:lang w:val="en-US"/>
        </w:rPr>
        <w:t>Betula pubescens</w:t>
      </w:r>
      <w:r>
        <w:rPr>
          <w:rFonts w:eastAsia="Arial" w:cs="Arial" w:ascii="Times New Roman" w:hAnsi="Times New Roman"/>
          <w:color w:val="00000A"/>
          <w:sz w:val="21"/>
          <w:szCs w:val="21"/>
          <w:lang w:val="en-US"/>
        </w:rPr>
        <w:t xml:space="preserve"> leaf measured using an integrating sphere. The distance between the two lines corresponds to the absorptance </w:t>
      </w:r>
      <w:r>
        <w:rPr>
          <w:rFonts w:eastAsia="Arial" w:cs="Arial" w:ascii="Times New Roman" w:hAnsi="Times New Roman"/>
          <w:i/>
          <w:iCs/>
          <w:color w:val="00000A"/>
          <w:sz w:val="21"/>
          <w:szCs w:val="21"/>
          <w:lang w:val="en-US"/>
        </w:rPr>
        <w:t>α</w:t>
      </w:r>
      <w:r>
        <w:rPr>
          <w:rFonts w:eastAsia="Arial" w:cs="Arial" w:ascii="Times New Roman" w:hAnsi="Times New Roman"/>
          <w:color w:val="00000A"/>
          <w:sz w:val="21"/>
          <w:szCs w:val="21"/>
          <w:lang w:val="en-US"/>
        </w:rPr>
        <w:t>.</w:t>
      </w:r>
    </w:p>
    <w:p>
      <w:pPr>
        <w:pStyle w:val="Normal"/>
        <w:spacing w:lineRule="auto" w:line="264"/>
        <w:ind w:left="0" w:right="89"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spacing w:lineRule="auto" w:line="264"/>
        <w:ind w:left="0" w:right="0" w:hanging="0"/>
        <w:jc w:val="left"/>
        <w:rPr/>
      </w:pPr>
      <w:r>
        <w:rPr>
          <w:rFonts w:eastAsia="Arial" w:cs="Arial" w:ascii="Times New Roman" w:hAnsi="Times New Roman"/>
          <w:color w:val="00000A"/>
          <w:sz w:val="21"/>
          <w:szCs w:val="21"/>
          <w:lang w:val="en-US"/>
        </w:rPr>
        <w:t xml:space="preserve">Figure 5. Calculated value of </w:t>
      </w:r>
      <w:r>
        <w:rPr>
          <w:rFonts w:eastAsia="Arial" w:cs="Arial" w:ascii="Times New Roman" w:hAnsi="Times New Roman"/>
          <w:i/>
          <w:color w:val="00000A"/>
          <w:sz w:val="21"/>
          <w:szCs w:val="21"/>
          <w:lang w:val="en-US"/>
        </w:rPr>
        <w:t>n</w:t>
      </w:r>
      <w:r>
        <w:rPr>
          <w:rFonts w:eastAsia="Arial" w:cs="Arial" w:ascii="Times New Roman" w:hAnsi="Times New Roman"/>
          <w:i w:val="false"/>
          <w:iCs w:val="false"/>
          <w:color w:val="00000A"/>
          <w:sz w:val="21"/>
          <w:szCs w:val="21"/>
          <w:highlight w:val="yellow"/>
          <w:vertAlign w:val="subscript"/>
          <w:lang w:val="en-US"/>
        </w:rPr>
        <w:t>max</w:t>
      </w:r>
      <w:r>
        <w:rPr>
          <w:rFonts w:eastAsia="Arial" w:cs="Arial" w:ascii="Times New Roman" w:hAnsi="Times New Roman"/>
          <w:color w:val="00000A"/>
          <w:sz w:val="21"/>
          <w:szCs w:val="21"/>
          <w:lang w:val="en-US"/>
        </w:rPr>
        <w:t xml:space="preserve"> corresponding to </w:t>
      </w:r>
      <w:r>
        <w:rPr>
          <w:rFonts w:eastAsia="Arial" w:cs="Arial" w:ascii="Times New Roman" w:hAnsi="Times New Roman"/>
          <w:color w:val="00000A"/>
          <w:sz w:val="21"/>
          <w:szCs w:val="21"/>
          <w:highlight w:val="yellow"/>
          <w:lang w:val="en-US"/>
        </w:rPr>
        <w:t>F</w:t>
      </w:r>
      <w:r>
        <w:rPr>
          <w:rFonts w:eastAsia="Arial" w:cs="Arial" w:ascii="Times New Roman" w:hAnsi="Times New Roman"/>
          <w:color w:val="00000A"/>
          <w:sz w:val="21"/>
          <w:szCs w:val="21"/>
          <w:lang w:val="en-US"/>
        </w:rPr>
        <w:t xml:space="preserve">igure 4, for convergence factors </w:t>
      </w:r>
      <w:r>
        <w:rPr>
          <w:rFonts w:eastAsia="Arial" w:cs="Arial" w:ascii="Times New Roman" w:hAnsi="Times New Roman"/>
          <w:i/>
          <w:iCs/>
          <w:color w:val="00000A"/>
          <w:sz w:val="21"/>
          <w:szCs w:val="21"/>
          <w:highlight w:val="yellow"/>
          <w:lang w:val="en-US"/>
        </w:rPr>
        <w:t>k</w:t>
      </w:r>
      <w:r>
        <w:rPr>
          <w:rFonts w:eastAsia="Arial" w:cs="Arial" w:ascii="Times New Roman" w:hAnsi="Times New Roman"/>
          <w:i w:val="false"/>
          <w:iCs w:val="false"/>
          <w:color w:val="00000A"/>
          <w:sz w:val="21"/>
          <w:szCs w:val="21"/>
          <w:lang w:val="en-US"/>
        </w:rPr>
        <w:t xml:space="preserve"> = 0.90 (dark grey) and 0.99 (light grey).</w:t>
      </w:r>
    </w:p>
    <w:p>
      <w:pPr>
        <w:pStyle w:val="Normal"/>
        <w:spacing w:lineRule="auto" w:line="264"/>
        <w:ind w:left="0" w:right="0"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spacing w:lineRule="auto" w:line="240"/>
        <w:ind w:left="0" w:right="-19" w:hanging="0"/>
        <w:jc w:val="left"/>
        <w:rPr/>
      </w:pPr>
      <w:r>
        <w:rPr>
          <w:rFonts w:eastAsia="Arial" w:cs="Arial" w:ascii="Times New Roman" w:hAnsi="Times New Roman"/>
          <w:color w:val="00000A"/>
          <w:sz w:val="21"/>
          <w:szCs w:val="21"/>
          <w:lang w:val="en-US"/>
        </w:rPr>
        <w:t xml:space="preserve">Figure 6. Spectral reflectance of a stack of </w:t>
      </w:r>
      <w:r>
        <w:rPr>
          <w:rFonts w:eastAsia="Arial" w:cs="Arial" w:ascii="Times New Roman" w:hAnsi="Times New Roman"/>
          <w:i/>
          <w:color w:val="00000A"/>
          <w:sz w:val="21"/>
          <w:szCs w:val="21"/>
          <w:lang w:val="en-US"/>
        </w:rPr>
        <w:t>n</w:t>
      </w:r>
      <w:r>
        <w:rPr>
          <w:rFonts w:eastAsia="Arial" w:cs="Arial" w:ascii="Times New Roman" w:hAnsi="Times New Roman"/>
          <w:color w:val="00000A"/>
          <w:sz w:val="21"/>
          <w:szCs w:val="21"/>
          <w:lang w:val="en-US"/>
        </w:rPr>
        <w:t xml:space="preserve"> leaves of </w:t>
      </w:r>
      <w:r>
        <w:rPr>
          <w:rFonts w:eastAsia="Arial" w:cs="Arial" w:ascii="Times New Roman" w:hAnsi="Times New Roman"/>
          <w:i/>
          <w:color w:val="00000A"/>
          <w:sz w:val="21"/>
          <w:szCs w:val="21"/>
          <w:lang w:val="en-US"/>
        </w:rPr>
        <w:t>Betula tortuosa</w:t>
      </w:r>
      <w:r>
        <w:rPr>
          <w:rFonts w:eastAsia="Arial" w:cs="Arial" w:ascii="Times New Roman" w:hAnsi="Times New Roman"/>
          <w:color w:val="00000A"/>
          <w:sz w:val="21"/>
          <w:szCs w:val="21"/>
          <w:lang w:val="en-US"/>
        </w:rPr>
        <w:t xml:space="preserve">, for </w:t>
      </w:r>
      <w:r>
        <w:rPr>
          <w:rFonts w:eastAsia="Arial" w:cs="Arial" w:ascii="Times New Roman" w:hAnsi="Times New Roman"/>
          <w:i/>
          <w:color w:val="00000A"/>
          <w:sz w:val="21"/>
          <w:szCs w:val="21"/>
          <w:lang w:val="en-US"/>
        </w:rPr>
        <w:t>n</w:t>
      </w:r>
      <w:r>
        <w:rPr>
          <w:rFonts w:eastAsia="Arial" w:cs="Arial" w:ascii="Times New Roman" w:hAnsi="Times New Roman"/>
          <w:color w:val="00000A"/>
          <w:sz w:val="21"/>
          <w:szCs w:val="21"/>
          <w:lang w:val="en-US"/>
        </w:rPr>
        <w:t xml:space="preserve"> = 1 </w:t>
      </w:r>
      <w:r>
        <w:rPr>
          <w:rFonts w:eastAsia="Arial" w:cs="Arial" w:ascii="Times New Roman" w:hAnsi="Times New Roman"/>
          <w:color w:val="00000A"/>
          <w:sz w:val="21"/>
          <w:szCs w:val="21"/>
          <w:highlight w:val="yellow"/>
          <w:lang w:val="en-US"/>
        </w:rPr>
        <w:t>to</w:t>
      </w:r>
      <w:r>
        <w:rPr>
          <w:rFonts w:eastAsia="Arial" w:cs="Arial" w:ascii="Times New Roman" w:hAnsi="Times New Roman"/>
          <w:color w:val="00000A"/>
          <w:sz w:val="21"/>
          <w:szCs w:val="21"/>
          <w:lang w:val="en-US"/>
        </w:rPr>
        <w:t xml:space="preserve"> 5. </w:t>
      </w:r>
      <w:r>
        <w:rPr>
          <w:rFonts w:eastAsia="Arial" w:cs="Arial" w:ascii="Times New Roman" w:hAnsi="Times New Roman"/>
          <w:color w:val="00000A"/>
          <w:sz w:val="21"/>
          <w:szCs w:val="21"/>
          <w:highlight w:val="yellow"/>
          <w:lang w:val="en-US"/>
        </w:rPr>
        <w:t>(</w:t>
      </w:r>
      <w:r>
        <w:rPr>
          <w:rFonts w:eastAsia="Arial" w:cs="Arial" w:ascii="Times New Roman" w:hAnsi="Times New Roman"/>
          <w:i/>
          <w:iCs/>
          <w:color w:val="00000A"/>
          <w:sz w:val="21"/>
          <w:szCs w:val="21"/>
          <w:highlight w:val="yellow"/>
          <w:lang w:val="en-US"/>
        </w:rPr>
        <w:t>a</w:t>
      </w:r>
      <w:r>
        <w:rPr>
          <w:rFonts w:eastAsia="Arial" w:cs="Arial" w:ascii="Times New Roman" w:hAnsi="Times New Roman"/>
          <w:i w:val="false"/>
          <w:iCs w:val="false"/>
          <w:color w:val="00000A"/>
          <w:sz w:val="21"/>
          <w:szCs w:val="21"/>
          <w:highlight w:val="yellow"/>
          <w:lang w:val="en-US"/>
        </w:rPr>
        <w:t>): 350 to 700 nm; (</w:t>
      </w:r>
      <w:r>
        <w:rPr>
          <w:rFonts w:eastAsia="Arial" w:cs="Arial" w:ascii="Times New Roman" w:hAnsi="Times New Roman"/>
          <w:i/>
          <w:iCs/>
          <w:color w:val="00000A"/>
          <w:sz w:val="21"/>
          <w:szCs w:val="21"/>
          <w:highlight w:val="yellow"/>
          <w:lang w:val="en-US"/>
        </w:rPr>
        <w:t>b</w:t>
      </w:r>
      <w:r>
        <w:rPr>
          <w:rFonts w:eastAsia="Arial" w:cs="Arial" w:ascii="Times New Roman" w:hAnsi="Times New Roman"/>
          <w:i w:val="false"/>
          <w:iCs w:val="false"/>
          <w:color w:val="00000A"/>
          <w:sz w:val="21"/>
          <w:szCs w:val="21"/>
          <w:highlight w:val="yellow"/>
          <w:lang w:val="en-US"/>
        </w:rPr>
        <w:t>): 700 to 2500 nm.</w:t>
      </w:r>
    </w:p>
    <w:p>
      <w:pPr>
        <w:pStyle w:val="Normal"/>
        <w:spacing w:lineRule="auto" w:line="240"/>
        <w:ind w:left="0" w:right="-19"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spacing w:lineRule="auto" w:line="264"/>
        <w:ind w:left="0" w:right="80" w:hanging="0"/>
        <w:jc w:val="left"/>
        <w:rPr/>
      </w:pPr>
      <w:r>
        <w:rPr>
          <w:rFonts w:eastAsia="Arial" w:cs="Arial" w:ascii="Times New Roman" w:hAnsi="Times New Roman"/>
          <w:color w:val="00000A"/>
          <w:sz w:val="21"/>
          <w:szCs w:val="21"/>
          <w:lang w:val="en-US"/>
        </w:rPr>
        <w:t xml:space="preserve">Figure 7. </w:t>
      </w:r>
      <w:r>
        <w:rPr>
          <w:rFonts w:eastAsia="Arial" w:cs="Arial" w:ascii="Times New Roman" w:hAnsi="Times New Roman"/>
          <w:color w:val="00000A"/>
          <w:sz w:val="21"/>
          <w:szCs w:val="21"/>
          <w:highlight w:val="yellow"/>
          <w:lang w:val="en-US"/>
        </w:rPr>
        <w:t>Observed</w:t>
      </w:r>
      <w:r>
        <w:rPr>
          <w:rFonts w:eastAsia="Arial" w:cs="Arial" w:ascii="Times New Roman" w:hAnsi="Times New Roman"/>
          <w:color w:val="00000A"/>
          <w:sz w:val="21"/>
          <w:szCs w:val="21"/>
          <w:lang w:val="en-US"/>
        </w:rPr>
        <w:t xml:space="preserve"> (dots) and fitted (lines) reflectances </w:t>
      </w:r>
      <w:r>
        <w:rPr>
          <w:rFonts w:eastAsia="Arial" w:cs="Arial" w:ascii="Times New Roman" w:hAnsi="Times New Roman"/>
          <w:i/>
          <w:iCs/>
          <w:color w:val="00000A"/>
          <w:sz w:val="21"/>
          <w:szCs w:val="21"/>
          <w:highlight w:val="yellow"/>
          <w:lang w:val="en-US"/>
        </w:rPr>
        <w:t>R</w:t>
      </w:r>
      <w:r>
        <w:rPr>
          <w:rFonts w:eastAsia="Arial" w:cs="Arial" w:ascii="Times New Roman" w:hAnsi="Times New Roman"/>
          <w:i/>
          <w:iCs/>
          <w:color w:val="00000A"/>
          <w:sz w:val="21"/>
          <w:szCs w:val="21"/>
          <w:lang w:val="en-US"/>
        </w:rPr>
        <w:t xml:space="preserve"> </w:t>
      </w:r>
      <w:r>
        <w:rPr>
          <w:rFonts w:eastAsia="Arial" w:cs="Arial" w:ascii="Times New Roman" w:hAnsi="Times New Roman"/>
          <w:color w:val="00000A"/>
          <w:sz w:val="21"/>
          <w:szCs w:val="21"/>
          <w:lang w:val="en-US"/>
        </w:rPr>
        <w:t xml:space="preserve">of leaf stacks as a function of the number of leaves </w:t>
      </w:r>
      <w:r>
        <w:rPr>
          <w:rFonts w:eastAsia="Arial" w:cs="Arial" w:ascii="Times New Roman" w:hAnsi="Times New Roman"/>
          <w:i/>
          <w:iCs/>
          <w:color w:val="00000A"/>
          <w:sz w:val="21"/>
          <w:szCs w:val="21"/>
          <w:highlight w:val="yellow"/>
          <w:lang w:val="en-US"/>
        </w:rPr>
        <w:t>n</w:t>
      </w:r>
      <w:r>
        <w:rPr>
          <w:rFonts w:eastAsia="Arial" w:cs="Arial" w:ascii="Times New Roman" w:hAnsi="Times New Roman"/>
          <w:i/>
          <w:iCs/>
          <w:color w:val="00000A"/>
          <w:sz w:val="21"/>
          <w:szCs w:val="21"/>
          <w:lang w:val="en-US"/>
        </w:rPr>
        <w:t xml:space="preserve"> </w:t>
      </w:r>
      <w:r>
        <w:rPr>
          <w:rFonts w:eastAsia="Arial" w:cs="Arial" w:ascii="Times New Roman" w:hAnsi="Times New Roman"/>
          <w:color w:val="00000A"/>
          <w:sz w:val="21"/>
          <w:szCs w:val="21"/>
          <w:lang w:val="en-US"/>
        </w:rPr>
        <w:t>in the stack. Green</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color w:val="00000A"/>
          <w:sz w:val="21"/>
          <w:szCs w:val="21"/>
          <w:lang w:val="en-US"/>
        </w:rPr>
        <w:t>= visible, red</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color w:val="00000A"/>
          <w:sz w:val="21"/>
          <w:szCs w:val="21"/>
          <w:lang w:val="en-US"/>
        </w:rPr>
        <w:t xml:space="preserve">= NIR. </w:t>
      </w:r>
      <w:r>
        <w:rPr>
          <w:rFonts w:eastAsia="Arial" w:cs="Arial" w:ascii="Times New Roman" w:hAnsi="Times New Roman"/>
          <w:color w:val="00000A"/>
          <w:sz w:val="21"/>
          <w:szCs w:val="21"/>
          <w:highlight w:val="yellow"/>
          <w:lang w:val="en-US"/>
        </w:rPr>
        <w:t>(</w:t>
      </w:r>
      <w:r>
        <w:rPr>
          <w:rFonts w:eastAsia="Arial" w:cs="Arial" w:ascii="Times New Roman" w:hAnsi="Times New Roman"/>
          <w:i/>
          <w:iCs/>
          <w:color w:val="00000A"/>
          <w:sz w:val="21"/>
          <w:szCs w:val="21"/>
          <w:highlight w:val="yellow"/>
          <w:lang w:val="en-US"/>
        </w:rPr>
        <w:t>a</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Alnus</w:t>
      </w:r>
      <w:r>
        <w:rPr>
          <w:rFonts w:eastAsia="Arial" w:cs="Arial" w:ascii="Times New Roman" w:hAnsi="Times New Roman"/>
          <w:color w:val="00000A"/>
          <w:sz w:val="21"/>
          <w:szCs w:val="21"/>
          <w:highlight w:val="yellow"/>
          <w:lang w:val="en-US"/>
        </w:rPr>
        <w:t xml:space="preserve"> sp., (</w:t>
      </w:r>
      <w:r>
        <w:rPr>
          <w:rFonts w:eastAsia="Arial" w:cs="Arial" w:ascii="Times New Roman" w:hAnsi="Times New Roman"/>
          <w:i/>
          <w:iCs/>
          <w:color w:val="00000A"/>
          <w:sz w:val="21"/>
          <w:szCs w:val="21"/>
          <w:highlight w:val="yellow"/>
          <w:lang w:val="en-US"/>
        </w:rPr>
        <w:t>b</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Betula nana</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c</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Betula tortuosa</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d</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Betula tortuosa</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e</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Betula tortuosa</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f</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Salix lanata</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g</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Salix</w:t>
      </w:r>
      <w:r>
        <w:rPr>
          <w:rFonts w:eastAsia="Arial" w:cs="Arial" w:ascii="Times New Roman" w:hAnsi="Times New Roman"/>
          <w:color w:val="00000A"/>
          <w:sz w:val="21"/>
          <w:szCs w:val="21"/>
          <w:highlight w:val="yellow"/>
          <w:lang w:val="en-US"/>
        </w:rPr>
        <w:t xml:space="preserve"> sp., (</w:t>
      </w:r>
      <w:r>
        <w:rPr>
          <w:rFonts w:eastAsia="Arial" w:cs="Arial" w:ascii="Times New Roman" w:hAnsi="Times New Roman"/>
          <w:i/>
          <w:iCs/>
          <w:color w:val="00000A"/>
          <w:sz w:val="21"/>
          <w:szCs w:val="21"/>
          <w:highlight w:val="yellow"/>
          <w:lang w:val="en-US"/>
        </w:rPr>
        <w:t>h</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Salix</w:t>
      </w:r>
      <w:r>
        <w:rPr>
          <w:rFonts w:eastAsia="Arial" w:cs="Arial" w:ascii="Times New Roman" w:hAnsi="Times New Roman"/>
          <w:color w:val="00000A"/>
          <w:sz w:val="21"/>
          <w:szCs w:val="21"/>
          <w:highlight w:val="yellow"/>
          <w:lang w:val="en-US"/>
        </w:rPr>
        <w:t xml:space="preserve"> sp., (</w:t>
      </w:r>
      <w:r>
        <w:rPr>
          <w:rFonts w:eastAsia="Arial" w:cs="Arial" w:ascii="Times New Roman" w:hAnsi="Times New Roman"/>
          <w:i/>
          <w:iCs/>
          <w:color w:val="00000A"/>
          <w:sz w:val="21"/>
          <w:szCs w:val="21"/>
          <w:highlight w:val="yellow"/>
          <w:lang w:val="en-US"/>
        </w:rPr>
        <w:t>i</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Sorbus</w:t>
      </w:r>
      <w:r>
        <w:rPr>
          <w:rFonts w:eastAsia="Arial" w:cs="Arial" w:ascii="Times New Roman" w:hAnsi="Times New Roman"/>
          <w:color w:val="00000A"/>
          <w:sz w:val="21"/>
          <w:szCs w:val="21"/>
          <w:highlight w:val="yellow"/>
          <w:lang w:val="en-US"/>
        </w:rPr>
        <w:t xml:space="preserve"> sp., (</w:t>
      </w:r>
      <w:r>
        <w:rPr>
          <w:rFonts w:eastAsia="Arial" w:cs="Arial" w:ascii="Times New Roman" w:hAnsi="Times New Roman"/>
          <w:i/>
          <w:iCs/>
          <w:color w:val="00000A"/>
          <w:sz w:val="21"/>
          <w:szCs w:val="21"/>
          <w:highlight w:val="yellow"/>
          <w:lang w:val="en-US"/>
        </w:rPr>
        <w:t>j</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Vaccinium myrtillus</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k</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Vaccinium myrtillus</w:t>
      </w:r>
      <w:r>
        <w:rPr>
          <w:rFonts w:eastAsia="Arial" w:cs="Arial" w:ascii="Times New Roman" w:hAnsi="Times New Roman"/>
          <w:color w:val="00000A"/>
          <w:sz w:val="21"/>
          <w:szCs w:val="21"/>
          <w:highlight w:val="yellow"/>
          <w:lang w:val="en-US"/>
        </w:rPr>
        <w:t>, (</w:t>
      </w:r>
      <w:r>
        <w:rPr>
          <w:rFonts w:eastAsia="Arial" w:cs="Arial" w:ascii="Times New Roman" w:hAnsi="Times New Roman"/>
          <w:i/>
          <w:iCs/>
          <w:color w:val="00000A"/>
          <w:sz w:val="21"/>
          <w:szCs w:val="21"/>
          <w:highlight w:val="yellow"/>
          <w:lang w:val="en-US"/>
        </w:rPr>
        <w:t>l</w:t>
      </w:r>
      <w:r>
        <w:rPr>
          <w:rFonts w:eastAsia="Arial" w:cs="Arial" w:ascii="Times New Roman" w:hAnsi="Times New Roman"/>
          <w:color w:val="00000A"/>
          <w:sz w:val="21"/>
          <w:szCs w:val="21"/>
          <w:highlight w:val="yellow"/>
          <w:lang w:val="en-US"/>
        </w:rPr>
        <w:t xml:space="preserve">) </w:t>
      </w:r>
      <w:r>
        <w:rPr>
          <w:rFonts w:eastAsia="Arial" w:cs="Arial" w:ascii="Times New Roman" w:hAnsi="Times New Roman"/>
          <w:i/>
          <w:iCs/>
          <w:color w:val="00000A"/>
          <w:sz w:val="21"/>
          <w:szCs w:val="21"/>
          <w:highlight w:val="yellow"/>
          <w:lang w:val="en-US"/>
        </w:rPr>
        <w:t>Vaccinium uliginosum</w:t>
      </w:r>
      <w:r>
        <w:rPr>
          <w:rFonts w:eastAsia="Arial" w:cs="Arial" w:ascii="Times New Roman" w:hAnsi="Times New Roman"/>
          <w:color w:val="00000A"/>
          <w:sz w:val="21"/>
          <w:szCs w:val="21"/>
          <w:highlight w:val="yellow"/>
          <w:lang w:val="en-US"/>
        </w:rPr>
        <w:t>.</w:t>
      </w:r>
    </w:p>
    <w:p>
      <w:pPr>
        <w:pStyle w:val="Normal"/>
        <w:spacing w:lineRule="auto" w:line="264"/>
        <w:ind w:left="0" w:right="80"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spacing w:lineRule="auto" w:line="247"/>
        <w:rPr/>
      </w:pPr>
      <w:r>
        <w:rPr>
          <w:rFonts w:eastAsia="Arial" w:cs="Arial" w:ascii="Times New Roman" w:hAnsi="Times New Roman"/>
          <w:color w:val="00000A"/>
          <w:sz w:val="21"/>
          <w:szCs w:val="21"/>
          <w:lang w:val="en-US"/>
        </w:rPr>
        <w:t>Figure 8. Dependence of NDVI on LAI for the species measured in this paper. Top row (</w:t>
      </w:r>
      <w:r>
        <w:rPr>
          <w:rFonts w:eastAsia="Arial" w:cs="Arial" w:ascii="Times New Roman" w:hAnsi="Times New Roman"/>
          <w:i/>
          <w:iCs/>
          <w:color w:val="00000A"/>
          <w:sz w:val="21"/>
          <w:szCs w:val="21"/>
          <w:highlight w:val="yellow"/>
          <w:lang w:val="en-US"/>
        </w:rPr>
        <w:t>a</w:t>
      </w:r>
      <w:r>
        <w:rPr>
          <w:rFonts w:eastAsia="Arial" w:cs="Arial" w:ascii="Times New Roman" w:hAnsi="Times New Roman"/>
          <w:color w:val="00000A"/>
          <w:sz w:val="21"/>
          <w:szCs w:val="21"/>
          <w:lang w:val="en-US"/>
        </w:rPr>
        <w:t xml:space="preserve"> and </w:t>
      </w:r>
      <w:r>
        <w:rPr>
          <w:rFonts w:eastAsia="Arial" w:cs="Arial" w:ascii="Times New Roman" w:hAnsi="Times New Roman"/>
          <w:i/>
          <w:iCs/>
          <w:color w:val="00000A"/>
          <w:sz w:val="21"/>
          <w:szCs w:val="21"/>
          <w:highlight w:val="yellow"/>
          <w:lang w:val="en-US"/>
        </w:rPr>
        <w:t>b</w:t>
      </w:r>
      <w:r>
        <w:rPr>
          <w:rFonts w:eastAsia="Arial" w:cs="Arial" w:ascii="Times New Roman" w:hAnsi="Times New Roman"/>
          <w:color w:val="00000A"/>
          <w:sz w:val="21"/>
          <w:szCs w:val="21"/>
          <w:lang w:val="en-US"/>
        </w:rPr>
        <w:t>): uniform model; middle row (</w:t>
      </w:r>
      <w:r>
        <w:rPr>
          <w:rFonts w:eastAsia="Arial" w:cs="Arial" w:ascii="Times New Roman" w:hAnsi="Times New Roman"/>
          <w:i/>
          <w:iCs/>
          <w:color w:val="00000A"/>
          <w:sz w:val="21"/>
          <w:szCs w:val="21"/>
          <w:highlight w:val="yellow"/>
          <w:lang w:val="en-US"/>
        </w:rPr>
        <w:t>c</w:t>
      </w:r>
      <w:r>
        <w:rPr>
          <w:rFonts w:eastAsia="Arial" w:cs="Arial" w:ascii="Times New Roman" w:hAnsi="Times New Roman"/>
          <w:color w:val="00000A"/>
          <w:sz w:val="21"/>
          <w:szCs w:val="21"/>
          <w:lang w:val="en-US"/>
        </w:rPr>
        <w:t xml:space="preserve"> and </w:t>
      </w:r>
      <w:r>
        <w:rPr>
          <w:rFonts w:eastAsia="Arial" w:cs="Arial" w:ascii="Times New Roman" w:hAnsi="Times New Roman"/>
          <w:i/>
          <w:iCs/>
          <w:color w:val="00000A"/>
          <w:sz w:val="21"/>
          <w:szCs w:val="21"/>
          <w:highlight w:val="yellow"/>
          <w:lang w:val="en-US"/>
        </w:rPr>
        <w:t>d</w:t>
      </w:r>
      <w:r>
        <w:rPr>
          <w:rFonts w:eastAsia="Arial" w:cs="Arial" w:ascii="Times New Roman" w:hAnsi="Times New Roman"/>
          <w:color w:val="00000A"/>
          <w:sz w:val="21"/>
          <w:szCs w:val="21"/>
          <w:lang w:val="en-US"/>
        </w:rPr>
        <w:t>): Poisson model; bottom row (</w:t>
      </w:r>
      <w:r>
        <w:rPr>
          <w:rFonts w:eastAsia="Arial" w:cs="Arial" w:ascii="Times New Roman" w:hAnsi="Times New Roman"/>
          <w:i/>
          <w:iCs/>
          <w:color w:val="00000A"/>
          <w:sz w:val="21"/>
          <w:szCs w:val="21"/>
          <w:highlight w:val="yellow"/>
          <w:lang w:val="en-US"/>
        </w:rPr>
        <w:t>e</w:t>
      </w:r>
      <w:r>
        <w:rPr>
          <w:rFonts w:eastAsia="Arial" w:cs="Arial" w:ascii="Times New Roman" w:hAnsi="Times New Roman"/>
          <w:color w:val="00000A"/>
          <w:sz w:val="21"/>
          <w:szCs w:val="21"/>
          <w:lang w:val="en-US"/>
        </w:rPr>
        <w:t xml:space="preserve"> and </w:t>
      </w:r>
      <w:r>
        <w:rPr>
          <w:rFonts w:eastAsia="Arial" w:cs="Arial" w:ascii="Times New Roman" w:hAnsi="Times New Roman"/>
          <w:i/>
          <w:iCs/>
          <w:color w:val="00000A"/>
          <w:sz w:val="21"/>
          <w:szCs w:val="21"/>
          <w:highlight w:val="yellow"/>
          <w:lang w:val="en-US"/>
        </w:rPr>
        <w:t>f</w:t>
      </w:r>
      <w:r>
        <w:rPr>
          <w:rFonts w:eastAsia="Arial" w:cs="Arial" w:ascii="Times New Roman" w:hAnsi="Times New Roman"/>
          <w:color w:val="00000A"/>
          <w:sz w:val="21"/>
          <w:szCs w:val="21"/>
          <w:lang w:val="en-US"/>
        </w:rPr>
        <w:t xml:space="preserve">): clumped model with values of </w:t>
      </w:r>
      <w:r>
        <w:rPr>
          <w:rFonts w:eastAsia="Arial" w:cs="Arial" w:ascii="Times New Roman" w:hAnsi="Times New Roman"/>
          <w:i/>
          <w:iCs/>
          <w:color w:val="00000A"/>
          <w:sz w:val="21"/>
          <w:szCs w:val="21"/>
          <w:lang w:val="en-US"/>
        </w:rPr>
        <w:t>n</w:t>
      </w:r>
      <w:r>
        <w:rPr>
          <w:rFonts w:eastAsia="Arial" w:cs="Arial" w:ascii="Times New Roman" w:hAnsi="Times New Roman"/>
          <w:i w:val="false"/>
          <w:iCs w:val="false"/>
          <w:color w:val="00000A"/>
          <w:sz w:val="21"/>
          <w:szCs w:val="21"/>
          <w:vertAlign w:val="subscript"/>
          <w:lang w:val="en-US"/>
        </w:rPr>
        <w:t>clump</w:t>
      </w:r>
      <w:r>
        <w:rPr>
          <w:rFonts w:eastAsia="Arial" w:cs="Arial" w:ascii="Times New Roman" w:hAnsi="Times New Roman"/>
          <w:i w:val="false"/>
          <w:iCs w:val="false"/>
          <w:color w:val="00000A"/>
          <w:sz w:val="21"/>
          <w:szCs w:val="21"/>
          <w:lang w:val="en-US"/>
        </w:rPr>
        <w:t xml:space="preserve"> = 5 (black), 10 (red) and 20 (blue). Left column (</w:t>
      </w:r>
      <w:r>
        <w:rPr>
          <w:rFonts w:eastAsia="Arial" w:cs="Arial" w:ascii="Times New Roman" w:hAnsi="Times New Roman"/>
          <w:i/>
          <w:iCs/>
          <w:color w:val="00000A"/>
          <w:sz w:val="21"/>
          <w:szCs w:val="21"/>
          <w:highlight w:val="yellow"/>
          <w:lang w:val="en-US"/>
        </w:rPr>
        <w:t>a</w:t>
      </w:r>
      <w:r>
        <w:rPr>
          <w:rFonts w:eastAsia="Arial" w:cs="Arial" w:ascii="Times New Roman" w:hAnsi="Times New Roman"/>
          <w:i w:val="false"/>
          <w:iCs w:val="false"/>
          <w:color w:val="00000A"/>
          <w:sz w:val="21"/>
          <w:szCs w:val="21"/>
          <w:lang w:val="en-US"/>
        </w:rPr>
        <w:t xml:space="preserve">, </w:t>
      </w:r>
      <w:r>
        <w:rPr>
          <w:rFonts w:eastAsia="Arial" w:cs="Arial" w:ascii="Times New Roman" w:hAnsi="Times New Roman"/>
          <w:i/>
          <w:iCs/>
          <w:color w:val="00000A"/>
          <w:sz w:val="21"/>
          <w:szCs w:val="21"/>
          <w:highlight w:val="yellow"/>
          <w:lang w:val="en-US"/>
        </w:rPr>
        <w:t xml:space="preserve">c </w:t>
      </w:r>
      <w:r>
        <w:rPr>
          <w:rFonts w:eastAsia="Arial" w:cs="Arial" w:ascii="Times New Roman" w:hAnsi="Times New Roman"/>
          <w:i w:val="false"/>
          <w:iCs w:val="false"/>
          <w:color w:val="00000A"/>
          <w:sz w:val="21"/>
          <w:szCs w:val="21"/>
          <w:lang w:val="en-US"/>
        </w:rPr>
        <w:t xml:space="preserve">and </w:t>
      </w:r>
      <w:r>
        <w:rPr>
          <w:rFonts w:eastAsia="Arial" w:cs="Arial" w:ascii="Times New Roman" w:hAnsi="Times New Roman"/>
          <w:i/>
          <w:iCs/>
          <w:color w:val="00000A"/>
          <w:sz w:val="21"/>
          <w:szCs w:val="21"/>
          <w:highlight w:val="yellow"/>
          <w:lang w:val="en-US"/>
        </w:rPr>
        <w:t>e</w:t>
      </w:r>
      <w:r>
        <w:rPr>
          <w:rFonts w:eastAsia="Arial" w:cs="Arial" w:ascii="Times New Roman" w:hAnsi="Times New Roman"/>
          <w:i w:val="false"/>
          <w:iCs w:val="false"/>
          <w:color w:val="00000A"/>
          <w:sz w:val="21"/>
          <w:szCs w:val="21"/>
          <w:lang w:val="en-US"/>
        </w:rPr>
        <w:t>): tree species (</w:t>
      </w:r>
      <w:r>
        <w:rPr>
          <w:rFonts w:eastAsia="Arial" w:cs="Arial" w:ascii="Times New Roman" w:hAnsi="Times New Roman"/>
          <w:i/>
          <w:iCs/>
          <w:color w:val="00000A"/>
          <w:sz w:val="21"/>
          <w:szCs w:val="21"/>
          <w:lang w:val="en-US"/>
        </w:rPr>
        <w:t>Betula pubescens</w:t>
      </w:r>
      <w:r>
        <w:rPr>
          <w:rFonts w:eastAsia="Arial" w:cs="Arial" w:ascii="Times New Roman" w:hAnsi="Times New Roman"/>
          <w:i w:val="false"/>
          <w:iCs w:val="false"/>
          <w:color w:val="00000A"/>
          <w:sz w:val="21"/>
          <w:szCs w:val="21"/>
          <w:lang w:val="en-US"/>
        </w:rPr>
        <w:t xml:space="preserve"> shown dashed); right column (</w:t>
      </w:r>
      <w:r>
        <w:rPr>
          <w:rFonts w:eastAsia="Arial" w:cs="Arial" w:ascii="Times New Roman" w:hAnsi="Times New Roman"/>
          <w:i/>
          <w:iCs/>
          <w:color w:val="00000A"/>
          <w:sz w:val="21"/>
          <w:szCs w:val="21"/>
          <w:highlight w:val="yellow"/>
          <w:lang w:val="en-US"/>
        </w:rPr>
        <w:t>b</w:t>
      </w:r>
      <w:r>
        <w:rPr>
          <w:rFonts w:eastAsia="Arial" w:cs="Arial" w:ascii="Times New Roman" w:hAnsi="Times New Roman"/>
          <w:i w:val="false"/>
          <w:iCs w:val="false"/>
          <w:color w:val="00000A"/>
          <w:sz w:val="21"/>
          <w:szCs w:val="21"/>
          <w:lang w:val="en-US"/>
        </w:rPr>
        <w:t xml:space="preserve">, </w:t>
      </w:r>
      <w:r>
        <w:rPr>
          <w:rFonts w:eastAsia="Arial" w:cs="Arial" w:ascii="Times New Roman" w:hAnsi="Times New Roman"/>
          <w:i/>
          <w:iCs/>
          <w:color w:val="00000A"/>
          <w:sz w:val="21"/>
          <w:szCs w:val="21"/>
          <w:highlight w:val="yellow"/>
          <w:lang w:val="en-US"/>
        </w:rPr>
        <w:t>d</w:t>
      </w:r>
      <w:r>
        <w:rPr>
          <w:rFonts w:eastAsia="Arial" w:cs="Arial" w:ascii="Times New Roman" w:hAnsi="Times New Roman"/>
          <w:i w:val="false"/>
          <w:iCs w:val="false"/>
          <w:color w:val="00000A"/>
          <w:sz w:val="21"/>
          <w:szCs w:val="21"/>
          <w:lang w:val="en-US"/>
        </w:rPr>
        <w:t xml:space="preserve"> and </w:t>
      </w:r>
      <w:r>
        <w:rPr>
          <w:rFonts w:eastAsia="Arial" w:cs="Arial" w:ascii="Times New Roman" w:hAnsi="Times New Roman"/>
          <w:i/>
          <w:iCs/>
          <w:color w:val="00000A"/>
          <w:sz w:val="21"/>
          <w:szCs w:val="21"/>
          <w:highlight w:val="yellow"/>
          <w:lang w:val="en-US"/>
        </w:rPr>
        <w:t>f</w:t>
      </w:r>
      <w:r>
        <w:rPr>
          <w:rFonts w:eastAsia="Arial" w:cs="Arial" w:ascii="Times New Roman" w:hAnsi="Times New Roman"/>
          <w:i w:val="false"/>
          <w:iCs w:val="false"/>
          <w:color w:val="00000A"/>
          <w:sz w:val="21"/>
          <w:szCs w:val="21"/>
          <w:lang w:val="en-US"/>
        </w:rPr>
        <w:t>): dwarf shrub species.</w:t>
      </w:r>
    </w:p>
    <w:p>
      <w:pPr>
        <w:pStyle w:val="Normal"/>
        <w:spacing w:lineRule="auto" w:line="264"/>
        <w:ind w:left="0" w:right="80"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spacing w:lineRule="auto" w:line="240"/>
        <w:ind w:left="0" w:right="-19" w:hanging="0"/>
        <w:jc w:val="left"/>
        <w:rPr/>
      </w:pPr>
      <w:r>
        <w:rPr>
          <w:rFonts w:eastAsia="Arial" w:cs="Arial" w:ascii="Times New Roman" w:hAnsi="Times New Roman"/>
          <w:color w:val="00000A"/>
          <w:sz w:val="21"/>
          <w:szCs w:val="21"/>
          <w:lang w:val="en-US"/>
        </w:rPr>
        <w:t>Figure 9. Best estimate of NDVI from LAI for Biome 5 (broadleaf forest) and Biome 6 (needleleaf forest) according to the MODIS algorithm (Knyazikhin et al. 1999).</w:t>
      </w:r>
    </w:p>
    <w:p>
      <w:pPr>
        <w:pStyle w:val="Normal"/>
        <w:spacing w:lineRule="auto" w:line="240"/>
        <w:ind w:left="0" w:right="-19"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spacing w:lineRule="auto" w:line="240"/>
        <w:ind w:left="0" w:right="-19" w:hanging="0"/>
        <w:jc w:val="left"/>
        <w:rPr>
          <w:b/>
          <w:b/>
          <w:bCs/>
          <w:highlight w:val="yellow"/>
        </w:rPr>
      </w:pPr>
      <w:r>
        <w:rPr>
          <w:rFonts w:eastAsia="Arial" w:cs="Arial" w:ascii="Times New Roman" w:hAnsi="Times New Roman"/>
          <w:b/>
          <w:bCs/>
          <w:color w:val="00000A"/>
          <w:sz w:val="21"/>
          <w:szCs w:val="21"/>
          <w:highlight w:val="yellow"/>
          <w:lang w:val="en-US"/>
        </w:rPr>
        <w:t>Table captions</w:t>
      </w:r>
    </w:p>
    <w:p>
      <w:pPr>
        <w:pStyle w:val="Normal"/>
        <w:spacing w:lineRule="auto" w:line="240"/>
        <w:ind w:left="0" w:right="-19" w:hanging="0"/>
        <w:jc w:val="left"/>
        <w:rPr>
          <w:rFonts w:ascii="Times New Roman" w:hAnsi="Times New Roman" w:eastAsia="Arial" w:cs="Arial"/>
          <w:b w:val="false"/>
          <w:b w:val="false"/>
          <w:bCs w:val="false"/>
          <w:color w:val="00000A"/>
          <w:sz w:val="21"/>
          <w:szCs w:val="21"/>
          <w:lang w:val="en-US"/>
        </w:rPr>
      </w:pPr>
      <w:r>
        <w:rPr>
          <w:rFonts w:eastAsia="Arial" w:cs="Arial" w:ascii="Times New Roman" w:hAnsi="Times New Roman"/>
          <w:b w:val="false"/>
          <w:bCs w:val="false"/>
          <w:color w:val="00000A"/>
          <w:sz w:val="21"/>
          <w:szCs w:val="21"/>
          <w:lang w:val="en-US"/>
        </w:rPr>
      </w:r>
    </w:p>
    <w:p>
      <w:pPr>
        <w:pStyle w:val="Normal"/>
        <w:spacing w:lineRule="auto" w:line="252"/>
        <w:ind w:left="0" w:right="0" w:hanging="0"/>
        <w:jc w:val="left"/>
        <w:rPr>
          <w:b/>
          <w:b/>
          <w:bCs/>
          <w:highlight w:val="yellow"/>
        </w:rPr>
      </w:pPr>
      <w:r>
        <w:rPr>
          <w:rFonts w:eastAsia="Arial" w:cs="Arial" w:ascii="Times New Roman" w:hAnsi="Times New Roman"/>
          <w:b w:val="false"/>
          <w:bCs w:val="false"/>
          <w:color w:val="00000A"/>
          <w:sz w:val="21"/>
          <w:szCs w:val="21"/>
          <w:highlight w:val="yellow"/>
          <w:lang w:val="en-US"/>
        </w:rPr>
        <w:t xml:space="preserve">Table 1. Values of </w:t>
      </w:r>
      <w:r>
        <w:rPr>
          <w:rFonts w:eastAsia="Arial" w:cs="Arial" w:ascii="Times New Roman" w:hAnsi="Times New Roman"/>
          <w:b w:val="false"/>
          <w:bCs w:val="false"/>
          <w:i/>
          <w:iCs/>
          <w:color w:val="00000A"/>
          <w:sz w:val="21"/>
          <w:szCs w:val="21"/>
          <w:highlight w:val="yellow"/>
          <w:lang w:val="en-US"/>
        </w:rPr>
        <w:t>ρ</w:t>
      </w:r>
      <w:r>
        <w:rPr>
          <w:rFonts w:eastAsia="Arial" w:cs="Arial" w:ascii="Times New Roman" w:hAnsi="Times New Roman"/>
          <w:b w:val="false"/>
          <w:bCs w:val="false"/>
          <w:color w:val="00000A"/>
          <w:sz w:val="21"/>
          <w:szCs w:val="21"/>
          <w:highlight w:val="yellow"/>
          <w:lang w:val="en-US"/>
        </w:rPr>
        <w:t xml:space="preserve"> and </w:t>
      </w:r>
      <w:r>
        <w:rPr>
          <w:rFonts w:eastAsia="Arial" w:cs="Arial" w:ascii="Times New Roman" w:hAnsi="Times New Roman"/>
          <w:b w:val="false"/>
          <w:bCs w:val="false"/>
          <w:i/>
          <w:iCs/>
          <w:color w:val="00000A"/>
          <w:sz w:val="21"/>
          <w:szCs w:val="21"/>
          <w:highlight w:val="yellow"/>
          <w:lang w:val="en-US"/>
        </w:rPr>
        <w:t xml:space="preserve">τ </w:t>
      </w:r>
      <w:r>
        <w:rPr>
          <w:rFonts w:eastAsia="Arial" w:cs="Arial" w:ascii="Times New Roman" w:hAnsi="Times New Roman"/>
          <w:b w:val="false"/>
          <w:bCs w:val="false"/>
          <w:color w:val="00000A"/>
          <w:sz w:val="21"/>
          <w:szCs w:val="21"/>
          <w:highlight w:val="yellow"/>
          <w:lang w:val="en-US"/>
        </w:rPr>
        <w:t>in the visible and NIR regions, derived by fitting Equations (8)-(11) to reflectance measurements made from leaf stacks. In each case the best-fitting, minimum and maximum value of each parameter is shown.</w:t>
      </w:r>
    </w:p>
    <w:p>
      <w:pPr>
        <w:pStyle w:val="Normal"/>
        <w:spacing w:lineRule="auto" w:line="240"/>
        <w:ind w:left="0" w:right="-19" w:hanging="0"/>
        <w:jc w:val="left"/>
        <w:rPr>
          <w:rFonts w:ascii="Times New Roman" w:hAnsi="Times New Roman" w:eastAsia="Arial" w:cs="Arial"/>
          <w:color w:val="00000A"/>
          <w:sz w:val="21"/>
          <w:szCs w:val="21"/>
          <w:lang w:val="en-US"/>
        </w:rPr>
      </w:pPr>
      <w:r>
        <w:rPr>
          <w:rFonts w:eastAsia="Arial" w:cs="Arial" w:ascii="Times New Roman" w:hAnsi="Times New Roman"/>
          <w:color w:val="00000A"/>
          <w:sz w:val="21"/>
          <w:szCs w:val="21"/>
          <w:lang w:val="en-US"/>
        </w:rPr>
      </w:r>
    </w:p>
    <w:p>
      <w:pPr>
        <w:pStyle w:val="Normal"/>
        <w:rPr/>
      </w:pPr>
      <w:r>
        <w:rPr>
          <w:b/>
          <w:bCs/>
        </w:rPr>
        <w:t>Word count: 3875</w:t>
      </w:r>
    </w:p>
    <w:p>
      <w:pPr>
        <w:pStyle w:val="Normal"/>
        <w:rPr>
          <w:b/>
          <w:b/>
          <w:bCs/>
        </w:rPr>
      </w:pPr>
      <w:r>
        <w:rPr>
          <w:b/>
          <w:bCs/>
        </w:rPr>
      </w:r>
    </w:p>
    <w:p>
      <w:pPr>
        <w:pStyle w:val="Normal"/>
        <w:rPr/>
      </w:pPr>
      <w:r>
        <w:rPr/>
      </w:r>
    </w:p>
    <w:sectPr>
      <w:type w:val="continuous"/>
      <w:pgSz w:w="11906" w:h="16838"/>
      <w:pgMar w:left="1134" w:right="1134" w:header="0" w:top="1134" w:footer="0" w:bottom="1134" w:gutter="0"/>
      <w:pgNumType w:fmt="decimal"/>
      <w:formProt w:val="false"/>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Lucida Sans Unicode">
    <w:altName w:val="Lucida Grande"/>
    <w:charset w:val="01"/>
    <w:family w:val="roman"/>
    <w:pitch w:val="variable"/>
  </w:font>
  <w:font w:name="Liberation Sans">
    <w:altName w:val="Arial"/>
    <w:charset w:val="01"/>
    <w:family w:val="roman"/>
    <w:pitch w:val="variable"/>
  </w:font>
  <w:font w:name="Arial">
    <w:altName w:val="Tahoma"/>
    <w:charset w:val="01"/>
    <w:family w:val="roman"/>
    <w:pitch w:val="variable"/>
  </w:font>
  <w:font w:name="Symbol">
    <w:charset w:val="01"/>
    <w:family w:val="roman"/>
    <w:pitch w:val="variable"/>
  </w:font>
</w:fonts>
</file>

<file path=word/settings.xml><?xml version="1.0" encoding="utf-8"?>
<w:settings xmlns:w="http://schemas.openxmlformats.org/wordprocessingml/2006/main">
  <w:zoom w:percent="10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ongti SC" w:cs="Arial Unicode MS"/>
        <w:kern w:val="2"/>
        <w:sz w:val="20"/>
        <w:szCs w:val="24"/>
        <w:lang w:val="en-GB" w:eastAsia="zh-CN" w:bidi="hi-IN"/>
      </w:rPr>
    </w:rPrDefault>
    <w:pPrDefault>
      <w:pPr/>
    </w:pPrDefault>
  </w:docDefaults>
  <w:style w:type="paragraph" w:styleId="Normal">
    <w:name w:val="Normal"/>
    <w:qFormat/>
    <w:pPr>
      <w:widowControl/>
      <w:overflowPunct w:val="true"/>
      <w:bidi w:val="0"/>
      <w:jc w:val="left"/>
    </w:pPr>
    <w:rPr>
      <w:rFonts w:ascii="Liberation Serif" w:hAnsi="Liberation Serif" w:eastAsia="Songti SC" w:cs="Arial Unicode MS"/>
      <w:color w:val="auto"/>
      <w:kern w:val="2"/>
      <w:sz w:val="24"/>
      <w:szCs w:val="24"/>
      <w:lang w:val="en-GB" w:eastAsia="zh-CN" w:bidi="hi-IN"/>
    </w:rPr>
  </w:style>
  <w:style w:type="character" w:styleId="InternetLink">
    <w:name w:val="Internet Link"/>
    <w:rPr>
      <w:color w:val="000080"/>
      <w:u w:val="single"/>
      <w:lang w:val="zxx" w:eastAsia="zxx" w:bidi="zxx"/>
    </w:rPr>
  </w:style>
  <w:style w:type="character" w:styleId="Style14">
    <w:name w:val="Основной шрифт абзаца"/>
    <w:qFormat/>
    <w:rPr/>
  </w:style>
  <w:style w:type="character" w:styleId="ListLabel1">
    <w:name w:val="ListLabel 1"/>
    <w:qFormat/>
    <w:rPr>
      <w:rFonts w:ascii="Times New Roman" w:hAnsi="Times New Roman"/>
      <w:sz w:val="24"/>
      <w:szCs w:val="24"/>
      <w:lang w:val="en-US"/>
    </w:rPr>
  </w:style>
  <w:style w:type="character" w:styleId="ListLabel2">
    <w:name w:val="ListLabel 2"/>
    <w:qFormat/>
    <w:rPr/>
  </w:style>
  <w:style w:type="character" w:styleId="ListLabel3">
    <w:name w:val="ListLabel 3"/>
    <w:qFormat/>
    <w:rPr/>
  </w:style>
  <w:style w:type="character" w:styleId="ListLabel4">
    <w:name w:val="ListLabel 4"/>
    <w:qFormat/>
    <w:rPr>
      <w:highlight w:val="yellow"/>
    </w:rPr>
  </w:style>
  <w:style w:type="character" w:styleId="ListLabel5">
    <w:name w:val="ListLabel 5"/>
    <w:qFormat/>
    <w:rPr>
      <w:rFonts w:ascii="Times New Roman" w:hAnsi="Times New Roman" w:eastAsia="Times New Roman" w:cs="Times New Roman"/>
      <w:b w:val="false"/>
      <w:bCs w:val="false"/>
      <w:color w:val="00000A"/>
      <w:sz w:val="21"/>
      <w:szCs w:val="21"/>
      <w:lang w:val="en-US"/>
    </w:rPr>
  </w:style>
  <w:style w:type="character" w:styleId="ListLabel6">
    <w:name w:val="ListLabel 6"/>
    <w:qFormat/>
    <w:rPr>
      <w:rFonts w:ascii="Times New Roman" w:hAnsi="Times New Roman"/>
      <w:sz w:val="24"/>
      <w:szCs w:val="24"/>
      <w:lang w:val="en-US"/>
    </w:rPr>
  </w:style>
  <w:style w:type="character" w:styleId="ListLabel7">
    <w:name w:val="ListLabel 7"/>
    <w:qFormat/>
    <w:rPr/>
  </w:style>
  <w:style w:type="character" w:styleId="ListLabel8">
    <w:name w:val="ListLabel 8"/>
    <w:qFormat/>
    <w:rPr/>
  </w:style>
  <w:style w:type="character" w:styleId="ListLabel9">
    <w:name w:val="ListLabel 9"/>
    <w:qFormat/>
    <w:rPr>
      <w:highlight w:val="yellow"/>
    </w:rPr>
  </w:style>
  <w:style w:type="character" w:styleId="ListLabel10">
    <w:name w:val="ListLabel 10"/>
    <w:qFormat/>
    <w:rPr>
      <w:rFonts w:ascii="Times New Roman" w:hAnsi="Times New Roman" w:eastAsia="Times New Roman" w:cs="Times New Roman"/>
      <w:b w:val="false"/>
      <w:bCs w:val="false"/>
      <w:color w:val="00000A"/>
      <w:sz w:val="21"/>
      <w:szCs w:val="21"/>
      <w:lang w:val="en-US"/>
    </w:rPr>
  </w:style>
  <w:style w:type="character" w:styleId="ListLabel11">
    <w:name w:val="ListLabel 11"/>
    <w:qFormat/>
    <w:rPr>
      <w:rFonts w:ascii="Times New Roman" w:hAnsi="Times New Roman"/>
      <w:sz w:val="24"/>
      <w:szCs w:val="24"/>
      <w:lang w:val="en-US"/>
    </w:rPr>
  </w:style>
  <w:style w:type="character" w:styleId="ListLabel12">
    <w:name w:val="ListLabel 12"/>
    <w:qFormat/>
    <w:rPr/>
  </w:style>
  <w:style w:type="character" w:styleId="ListLabel13">
    <w:name w:val="ListLabel 13"/>
    <w:qFormat/>
    <w:rPr/>
  </w:style>
  <w:style w:type="character" w:styleId="ListLabel14">
    <w:name w:val="ListLabel 14"/>
    <w:qFormat/>
    <w:rPr>
      <w:highlight w:val="yellow"/>
    </w:rPr>
  </w:style>
  <w:style w:type="character" w:styleId="ListLabel15">
    <w:name w:val="ListLabel 15"/>
    <w:qFormat/>
    <w:rPr>
      <w:rFonts w:ascii="Times New Roman" w:hAnsi="Times New Roman" w:eastAsia="Times New Roman" w:cs="Times New Roman"/>
      <w:b w:val="false"/>
      <w:bCs w:val="false"/>
      <w:color w:val="00000A"/>
      <w:sz w:val="21"/>
      <w:szCs w:val="21"/>
      <w:lang w:val="en-US"/>
    </w:rPr>
  </w:style>
  <w:style w:type="character" w:styleId="ListLabel16">
    <w:name w:val="ListLabel 16"/>
    <w:qFormat/>
    <w:rPr>
      <w:rFonts w:ascii="Times New Roman" w:hAnsi="Times New Roman"/>
      <w:sz w:val="24"/>
      <w:szCs w:val="24"/>
      <w:lang w:val="en-US"/>
    </w:rPr>
  </w:style>
  <w:style w:type="character" w:styleId="ListLabel17">
    <w:name w:val="ListLabel 17"/>
    <w:qFormat/>
    <w:rPr/>
  </w:style>
  <w:style w:type="character" w:styleId="ListLabel18">
    <w:name w:val="ListLabel 18"/>
    <w:qFormat/>
    <w:rPr>
      <w:rFonts w:ascii="Lucida Sans Unicode;Lucida Grande;Tahoma;Verdana;sans-serif" w:hAnsi="Lucida Sans Unicode;Lucida Grande;Tahoma;Verdana;sans-serif"/>
      <w:b w:val="false"/>
      <w:bCs w:val="false"/>
      <w:i w:val="false"/>
      <w:iCs w:val="false"/>
      <w:caps w:val="false"/>
      <w:smallCaps w:val="false"/>
      <w:spacing w:val="0"/>
      <w:sz w:val="20"/>
      <w:highlight w:val="yellow"/>
      <w:lang w:val="en-US"/>
    </w:rPr>
  </w:style>
  <w:style w:type="character" w:styleId="ListLabel19">
    <w:name w:val="ListLabel 19"/>
    <w:qFormat/>
    <w:rPr/>
  </w:style>
  <w:style w:type="character" w:styleId="ListLabel20">
    <w:name w:val="ListLabel 20"/>
    <w:qFormat/>
    <w:rPr>
      <w:rFonts w:ascii="Times New Roman" w:hAnsi="Times New Roman" w:eastAsia="Times New Roman" w:cs="Times New Roman"/>
      <w:b w:val="false"/>
      <w:bCs w:val="false"/>
      <w:color w:val="00000A"/>
      <w:sz w:val="21"/>
      <w:szCs w:val="21"/>
      <w:lang w:val="en-US"/>
    </w:rPr>
  </w:style>
  <w:style w:type="character" w:styleId="ListLabel21">
    <w:name w:val="ListLabel 21"/>
    <w:qFormat/>
    <w:rPr>
      <w:rFonts w:ascii="Times New Roman" w:hAnsi="Times New Roman"/>
      <w:sz w:val="24"/>
      <w:szCs w:val="24"/>
      <w:lang w:val="en-US"/>
    </w:rPr>
  </w:style>
  <w:style w:type="character" w:styleId="ListLabel22">
    <w:name w:val="ListLabel 22"/>
    <w:qFormat/>
    <w:rPr/>
  </w:style>
  <w:style w:type="character" w:styleId="ListLabel23">
    <w:name w:val="ListLabel 23"/>
    <w:qFormat/>
    <w:rPr>
      <w:rFonts w:ascii="Lucida Sans Unicode;Lucida Grande;Tahoma;Verdana;sans-serif" w:hAnsi="Lucida Sans Unicode;Lucida Grande;Tahoma;Verdana;sans-serif"/>
      <w:b w:val="false"/>
      <w:bCs w:val="false"/>
      <w:i w:val="false"/>
      <w:iCs w:val="false"/>
      <w:caps w:val="false"/>
      <w:smallCaps w:val="false"/>
      <w:spacing w:val="0"/>
      <w:sz w:val="20"/>
      <w:highlight w:val="yellow"/>
      <w:lang w:val="en-US"/>
    </w:rPr>
  </w:style>
  <w:style w:type="character" w:styleId="ListLabel24">
    <w:name w:val="ListLabel 24"/>
    <w:qFormat/>
    <w:rPr/>
  </w:style>
  <w:style w:type="character" w:styleId="ListLabel25">
    <w:name w:val="ListLabel 25"/>
    <w:qFormat/>
    <w:rPr>
      <w:rFonts w:ascii="Times New Roman" w:hAnsi="Times New Roman" w:eastAsia="Times New Roman" w:cs="Times New Roman"/>
      <w:b w:val="false"/>
      <w:bCs w:val="false"/>
      <w:color w:val="00000A"/>
      <w:sz w:val="21"/>
      <w:szCs w:val="21"/>
      <w:lang w:val="en-US"/>
    </w:rPr>
  </w:style>
  <w:style w:type="character" w:styleId="ListLabel26">
    <w:name w:val="ListLabel 26"/>
    <w:qFormat/>
    <w:rPr>
      <w:rFonts w:ascii="Times New Roman" w:hAnsi="Times New Roman"/>
      <w:sz w:val="24"/>
      <w:szCs w:val="24"/>
      <w:lang w:val="en-US"/>
    </w:rPr>
  </w:style>
  <w:style w:type="character" w:styleId="ListLabel27">
    <w:name w:val="ListLabel 27"/>
    <w:qFormat/>
    <w:rPr/>
  </w:style>
  <w:style w:type="character" w:styleId="ListLabel28">
    <w:name w:val="ListLabel 28"/>
    <w:qFormat/>
    <w:rPr>
      <w:rFonts w:ascii="Lucida Sans Unicode;Lucida Grande;Tahoma;Verdana;sans-serif" w:hAnsi="Lucida Sans Unicode;Lucida Grande;Tahoma;Verdana;sans-serif"/>
      <w:b w:val="false"/>
      <w:bCs w:val="false"/>
      <w:i w:val="false"/>
      <w:iCs w:val="false"/>
      <w:caps w:val="false"/>
      <w:smallCaps w:val="false"/>
      <w:spacing w:val="0"/>
      <w:sz w:val="20"/>
      <w:highlight w:val="yellow"/>
      <w:lang w:val="en-US"/>
    </w:rPr>
  </w:style>
  <w:style w:type="character" w:styleId="ListLabel29">
    <w:name w:val="ListLabel 29"/>
    <w:qFormat/>
    <w:rPr/>
  </w:style>
  <w:style w:type="character" w:styleId="ListLabel30">
    <w:name w:val="ListLabel 30"/>
    <w:qFormat/>
    <w:rPr>
      <w:rFonts w:ascii="Times New Roman" w:hAnsi="Times New Roman" w:eastAsia="Times New Roman" w:cs="Times New Roman"/>
      <w:b w:val="false"/>
      <w:bCs w:val="false"/>
      <w:color w:val="00000A"/>
      <w:sz w:val="21"/>
      <w:szCs w:val="21"/>
      <w:lang w:val="en-US"/>
    </w:rPr>
  </w:style>
  <w:style w:type="character" w:styleId="ListLabel31">
    <w:name w:val="ListLabel 31"/>
    <w:qFormat/>
    <w:rPr>
      <w:rFonts w:ascii="Times New Roman" w:hAnsi="Times New Roman"/>
      <w:sz w:val="24"/>
      <w:szCs w:val="24"/>
      <w:lang w:val="en-US"/>
    </w:rPr>
  </w:style>
  <w:style w:type="character" w:styleId="ListLabel32">
    <w:name w:val="ListLabel 32"/>
    <w:qFormat/>
    <w:rPr/>
  </w:style>
  <w:style w:type="character" w:styleId="ListLabel33">
    <w:name w:val="ListLabel 33"/>
    <w:qFormat/>
    <w:rPr>
      <w:rFonts w:ascii="Lucida Sans Unicode;Lucida Grande;Tahoma;Verdana;sans-serif" w:hAnsi="Lucida Sans Unicode;Lucida Grande;Tahoma;Verdana;sans-serif"/>
      <w:b w:val="false"/>
      <w:bCs w:val="false"/>
      <w:i w:val="false"/>
      <w:iCs w:val="false"/>
      <w:caps w:val="false"/>
      <w:smallCaps w:val="false"/>
      <w:spacing w:val="0"/>
      <w:sz w:val="20"/>
      <w:highlight w:val="yellow"/>
      <w:lang w:val="en-US"/>
    </w:rPr>
  </w:style>
  <w:style w:type="character" w:styleId="ListLabel34">
    <w:name w:val="ListLabel 34"/>
    <w:qFormat/>
    <w:rPr/>
  </w:style>
  <w:style w:type="character" w:styleId="ListLabel35">
    <w:name w:val="ListLabel 35"/>
    <w:qFormat/>
    <w:rPr>
      <w:rFonts w:ascii="Times New Roman" w:hAnsi="Times New Roman" w:eastAsia="Times New Roman" w:cs="Times New Roman"/>
      <w:b w:val="false"/>
      <w:bCs w:val="false"/>
      <w:color w:val="00000A"/>
      <w:sz w:val="21"/>
      <w:szCs w:val="21"/>
      <w:lang w:val="en-US"/>
    </w:rPr>
  </w:style>
  <w:style w:type="character" w:styleId="ListLabel36">
    <w:name w:val="ListLabel 36"/>
    <w:qFormat/>
    <w:rPr>
      <w:rFonts w:ascii="Times New Roman" w:hAnsi="Times New Roman"/>
      <w:sz w:val="24"/>
      <w:szCs w:val="24"/>
      <w:lang w:val="en-US"/>
    </w:rPr>
  </w:style>
  <w:style w:type="character" w:styleId="ListLabel37">
    <w:name w:val="ListLabel 37"/>
    <w:qFormat/>
    <w:rPr/>
  </w:style>
  <w:style w:type="character" w:styleId="ListLabel38">
    <w:name w:val="ListLabel 38"/>
    <w:qFormat/>
    <w:rPr>
      <w:rFonts w:ascii="Lucida Sans Unicode;Lucida Grande;Tahoma;Verdana;sans-serif" w:hAnsi="Lucida Sans Unicode;Lucida Grande;Tahoma;Verdana;sans-serif"/>
      <w:b w:val="false"/>
      <w:bCs w:val="false"/>
      <w:i w:val="false"/>
      <w:iCs w:val="false"/>
      <w:caps w:val="false"/>
      <w:smallCaps w:val="false"/>
      <w:spacing w:val="0"/>
      <w:sz w:val="20"/>
      <w:highlight w:val="yellow"/>
      <w:lang w:val="en-US"/>
    </w:rPr>
  </w:style>
  <w:style w:type="character" w:styleId="ListLabel39">
    <w:name w:val="ListLabel 39"/>
    <w:qFormat/>
    <w:rPr/>
  </w:style>
  <w:style w:type="character" w:styleId="ListLabel40">
    <w:name w:val="ListLabel 40"/>
    <w:qFormat/>
    <w:rPr>
      <w:rFonts w:ascii="Times New Roman" w:hAnsi="Times New Roman" w:eastAsia="Times New Roman" w:cs="Times New Roman"/>
      <w:b w:val="false"/>
      <w:bCs w:val="false"/>
      <w:color w:val="00000A"/>
      <w:sz w:val="21"/>
      <w:szCs w:val="21"/>
      <w:lang w:val="en-US"/>
    </w:rPr>
  </w:style>
  <w:style w:type="character" w:styleId="ListLabel41">
    <w:name w:val="ListLabel 41"/>
    <w:qFormat/>
    <w:rPr>
      <w:rFonts w:ascii="Times New Roman" w:hAnsi="Times New Roman"/>
      <w:sz w:val="24"/>
      <w:szCs w:val="24"/>
      <w:lang w:val="en-US"/>
    </w:rPr>
  </w:style>
  <w:style w:type="character" w:styleId="ListLabel42">
    <w:name w:val="ListLabel 42"/>
    <w:qFormat/>
    <w:rPr/>
  </w:style>
  <w:style w:type="character" w:styleId="ListLabel43">
    <w:name w:val="ListLabel 43"/>
    <w:qFormat/>
    <w:rPr>
      <w:rFonts w:ascii="Lucida Sans Unicode;Lucida Grande;Tahoma;Verdana;sans-serif" w:hAnsi="Lucida Sans Unicode;Lucida Grande;Tahoma;Verdana;sans-serif"/>
      <w:b w:val="false"/>
      <w:bCs w:val="false"/>
      <w:i w:val="false"/>
      <w:iCs w:val="false"/>
      <w:caps w:val="false"/>
      <w:smallCaps w:val="false"/>
      <w:spacing w:val="0"/>
      <w:sz w:val="20"/>
      <w:highlight w:val="yellow"/>
      <w:lang w:val="en-US"/>
    </w:rPr>
  </w:style>
  <w:style w:type="character" w:styleId="ListLabel44">
    <w:name w:val="ListLabel 44"/>
    <w:qFormat/>
    <w:rPr/>
  </w:style>
  <w:style w:type="character" w:styleId="ListLabel45">
    <w:name w:val="ListLabel 45"/>
    <w:qFormat/>
    <w:rPr>
      <w:rFonts w:ascii="Times New Roman" w:hAnsi="Times New Roman" w:eastAsia="Times New Roman" w:cs="Times New Roman"/>
      <w:b w:val="false"/>
      <w:bCs w:val="false"/>
      <w:color w:val="00000A"/>
      <w:sz w:val="21"/>
      <w:szCs w:val="21"/>
      <w:lang w:val="en-US"/>
    </w:rPr>
  </w:style>
  <w:style w:type="character" w:styleId="ListLabel46">
    <w:name w:val="ListLabel 46"/>
    <w:qFormat/>
    <w:rPr>
      <w:rFonts w:ascii="Times New Roman" w:hAnsi="Times New Roman"/>
      <w:sz w:val="24"/>
      <w:szCs w:val="24"/>
      <w:lang w:val="en-US"/>
    </w:rPr>
  </w:style>
  <w:style w:type="character" w:styleId="ListLabel47">
    <w:name w:val="ListLabel 47"/>
    <w:qFormat/>
    <w:rPr/>
  </w:style>
  <w:style w:type="character" w:styleId="ListLabel48">
    <w:name w:val="ListLabel 48"/>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49">
    <w:name w:val="ListLabel 49"/>
    <w:qFormat/>
    <w:rPr/>
  </w:style>
  <w:style w:type="character" w:styleId="ListLabel50">
    <w:name w:val="ListLabel 50"/>
    <w:qFormat/>
    <w:rPr>
      <w:rFonts w:ascii="Times New Roman" w:hAnsi="Times New Roman" w:eastAsia="Times New Roman" w:cs="Times New Roman"/>
      <w:b w:val="false"/>
      <w:bCs w:val="false"/>
      <w:color w:val="00000A"/>
      <w:sz w:val="21"/>
      <w:szCs w:val="21"/>
      <w:lang w:val="en-US"/>
    </w:rPr>
  </w:style>
  <w:style w:type="character" w:styleId="ListLabel51">
    <w:name w:val="ListLabel 51"/>
    <w:qFormat/>
    <w:rPr>
      <w:rFonts w:ascii="Times New Roman" w:hAnsi="Times New Roman"/>
      <w:sz w:val="24"/>
      <w:szCs w:val="24"/>
      <w:lang w:val="en-US"/>
    </w:rPr>
  </w:style>
  <w:style w:type="character" w:styleId="ListLabel52">
    <w:name w:val="ListLabel 52"/>
    <w:qFormat/>
    <w:rPr/>
  </w:style>
  <w:style w:type="character" w:styleId="ListLabel53">
    <w:name w:val="ListLabel 53"/>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54">
    <w:name w:val="ListLabel 54"/>
    <w:qFormat/>
    <w:rPr/>
  </w:style>
  <w:style w:type="character" w:styleId="ListLabel55">
    <w:name w:val="ListLabel 55"/>
    <w:qFormat/>
    <w:rPr>
      <w:rFonts w:ascii="Times New Roman" w:hAnsi="Times New Roman" w:eastAsia="Times New Roman" w:cs="Times New Roman"/>
      <w:b w:val="false"/>
      <w:bCs w:val="false"/>
      <w:color w:val="00000A"/>
      <w:sz w:val="21"/>
      <w:szCs w:val="21"/>
      <w:lang w:val="en-US"/>
    </w:rPr>
  </w:style>
  <w:style w:type="character" w:styleId="ListLabel56">
    <w:name w:val="ListLabel 56"/>
    <w:qFormat/>
    <w:rPr>
      <w:rFonts w:ascii="Times New Roman" w:hAnsi="Times New Roman"/>
      <w:sz w:val="24"/>
      <w:szCs w:val="24"/>
      <w:lang w:val="en-US"/>
    </w:rPr>
  </w:style>
  <w:style w:type="character" w:styleId="ListLabel57">
    <w:name w:val="ListLabel 57"/>
    <w:qFormat/>
    <w:rPr/>
  </w:style>
  <w:style w:type="character" w:styleId="ListLabel58">
    <w:name w:val="ListLabel 58"/>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59">
    <w:name w:val="ListLabel 59"/>
    <w:qFormat/>
    <w:rPr/>
  </w:style>
  <w:style w:type="character" w:styleId="ListLabel60">
    <w:name w:val="ListLabel 60"/>
    <w:qFormat/>
    <w:rPr>
      <w:rFonts w:ascii="Times New Roman" w:hAnsi="Times New Roman" w:eastAsia="Times New Roman" w:cs="Times New Roman"/>
      <w:b w:val="false"/>
      <w:bCs w:val="false"/>
      <w:color w:val="00000A"/>
      <w:sz w:val="21"/>
      <w:szCs w:val="21"/>
      <w:lang w:val="en-US"/>
    </w:rPr>
  </w:style>
  <w:style w:type="character" w:styleId="ListLabel61">
    <w:name w:val="ListLabel 61"/>
    <w:qFormat/>
    <w:rPr>
      <w:rFonts w:ascii="Times New Roman" w:hAnsi="Times New Roman"/>
      <w:sz w:val="24"/>
      <w:szCs w:val="24"/>
      <w:lang w:val="en-US"/>
    </w:rPr>
  </w:style>
  <w:style w:type="character" w:styleId="ListLabel62">
    <w:name w:val="ListLabel 62"/>
    <w:qFormat/>
    <w:rPr/>
  </w:style>
  <w:style w:type="character" w:styleId="ListLabel63">
    <w:name w:val="ListLabel 63"/>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64">
    <w:name w:val="ListLabel 64"/>
    <w:qFormat/>
    <w:rPr/>
  </w:style>
  <w:style w:type="character" w:styleId="ListLabel65">
    <w:name w:val="ListLabel 65"/>
    <w:qFormat/>
    <w:rPr>
      <w:rFonts w:ascii="Times New Roman" w:hAnsi="Times New Roman" w:eastAsia="Times New Roman" w:cs="Times New Roman"/>
      <w:b w:val="false"/>
      <w:bCs w:val="false"/>
      <w:color w:val="00000A"/>
      <w:sz w:val="21"/>
      <w:szCs w:val="21"/>
      <w:lang w:val="en-US"/>
    </w:rPr>
  </w:style>
  <w:style w:type="character" w:styleId="ListLabel66">
    <w:name w:val="ListLabel 66"/>
    <w:qFormat/>
    <w:rPr>
      <w:rFonts w:ascii="Times New Roman" w:hAnsi="Times New Roman"/>
      <w:sz w:val="24"/>
      <w:szCs w:val="24"/>
      <w:lang w:val="en-US"/>
    </w:rPr>
  </w:style>
  <w:style w:type="character" w:styleId="ListLabel67">
    <w:name w:val="ListLabel 67"/>
    <w:qFormat/>
    <w:rPr/>
  </w:style>
  <w:style w:type="character" w:styleId="ListLabel68">
    <w:name w:val="ListLabel 68"/>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69">
    <w:name w:val="ListLabel 69"/>
    <w:qFormat/>
    <w:rPr/>
  </w:style>
  <w:style w:type="character" w:styleId="ListLabel70">
    <w:name w:val="ListLabel 70"/>
    <w:qFormat/>
    <w:rPr>
      <w:rFonts w:ascii="Times New Roman" w:hAnsi="Times New Roman" w:eastAsia="Times New Roman" w:cs="Times New Roman"/>
      <w:b w:val="false"/>
      <w:bCs w:val="false"/>
      <w:color w:val="00000A"/>
      <w:sz w:val="21"/>
      <w:szCs w:val="21"/>
      <w:lang w:val="en-US"/>
    </w:rPr>
  </w:style>
  <w:style w:type="character" w:styleId="ListLabel71">
    <w:name w:val="ListLabel 71"/>
    <w:qFormat/>
    <w:rPr>
      <w:rFonts w:ascii="Times New Roman" w:hAnsi="Times New Roman"/>
      <w:sz w:val="24"/>
      <w:szCs w:val="24"/>
      <w:lang w:val="en-US"/>
    </w:rPr>
  </w:style>
  <w:style w:type="character" w:styleId="ListLabel72">
    <w:name w:val="ListLabel 72"/>
    <w:qFormat/>
    <w:rPr/>
  </w:style>
  <w:style w:type="character" w:styleId="ListLabel73">
    <w:name w:val="ListLabel 73"/>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74">
    <w:name w:val="ListLabel 74"/>
    <w:qFormat/>
    <w:rPr/>
  </w:style>
  <w:style w:type="character" w:styleId="ListLabel75">
    <w:name w:val="ListLabel 75"/>
    <w:qFormat/>
    <w:rPr>
      <w:rFonts w:ascii="Times New Roman" w:hAnsi="Times New Roman" w:eastAsia="Times New Roman" w:cs="Times New Roman"/>
      <w:b w:val="false"/>
      <w:bCs w:val="false"/>
      <w:color w:val="00000A"/>
      <w:sz w:val="21"/>
      <w:szCs w:val="21"/>
      <w:lang w:val="en-US"/>
    </w:rPr>
  </w:style>
  <w:style w:type="character" w:styleId="ListLabel76">
    <w:name w:val="ListLabel 76"/>
    <w:qFormat/>
    <w:rPr>
      <w:rFonts w:ascii="Times New Roman" w:hAnsi="Times New Roman"/>
      <w:sz w:val="24"/>
      <w:szCs w:val="24"/>
      <w:lang w:val="en-US"/>
    </w:rPr>
  </w:style>
  <w:style w:type="character" w:styleId="ListLabel77">
    <w:name w:val="ListLabel 77"/>
    <w:qFormat/>
    <w:rPr/>
  </w:style>
  <w:style w:type="character" w:styleId="ListLabel78">
    <w:name w:val="ListLabel 78"/>
    <w:qFormat/>
    <w:rPr>
      <w:rFonts w:ascii="Times New Roman" w:hAnsi="Times New Roman"/>
      <w:b w:val="false"/>
      <w:bCs w:val="false"/>
      <w:i w:val="false"/>
      <w:iCs w:val="false"/>
      <w:caps w:val="false"/>
      <w:smallCaps w:val="false"/>
      <w:spacing w:val="0"/>
      <w:sz w:val="24"/>
      <w:szCs w:val="24"/>
      <w:highlight w:val="yellow"/>
      <w:lang w:val="en-US"/>
    </w:rPr>
  </w:style>
  <w:style w:type="character" w:styleId="ListLabel79">
    <w:name w:val="ListLabel 79"/>
    <w:qFormat/>
    <w:rPr/>
  </w:style>
  <w:style w:type="character" w:styleId="ListLabel80">
    <w:name w:val="ListLabel 80"/>
    <w:qFormat/>
    <w:rPr>
      <w:rFonts w:ascii="Times New Roman" w:hAnsi="Times New Roman" w:eastAsia="Times New Roman" w:cs="Times New Roman"/>
      <w:b w:val="false"/>
      <w:bCs w:val="false"/>
      <w:color w:val="00000A"/>
      <w:sz w:val="21"/>
      <w:szCs w:val="21"/>
      <w:lang w:val="en-US"/>
    </w:rPr>
  </w:style>
  <w:style w:type="paragraph" w:styleId="Heading">
    <w:name w:val="Heading"/>
    <w:basedOn w:val="Normal"/>
    <w:next w:val="TextBody"/>
    <w:qFormat/>
    <w:pPr>
      <w:keepNext w:val="true"/>
      <w:spacing w:before="240" w:after="120"/>
    </w:pPr>
    <w:rPr>
      <w:rFonts w:ascii="Liberation Sans" w:hAnsi="Liberation Sans" w:eastAsia="PingFang SC" w:cs="Arial Unicode MS"/>
      <w:sz w:val="28"/>
      <w:szCs w:val="28"/>
    </w:rPr>
  </w:style>
  <w:style w:type="paragraph" w:styleId="TextBody">
    <w:name w:val="Body Text"/>
    <w:basedOn w:val="Normal"/>
    <w:pPr>
      <w:spacing w:lineRule="auto" w:line="276" w:before="0" w:after="140"/>
    </w:pPr>
    <w:rPr/>
  </w:style>
  <w:style w:type="paragraph" w:styleId="List">
    <w:name w:val="List"/>
    <w:basedOn w:val="TextBody"/>
    <w:pPr/>
    <w:rPr>
      <w:rFonts w:cs="Arial Unicode MS"/>
    </w:rPr>
  </w:style>
  <w:style w:type="paragraph" w:styleId="Caption">
    <w:name w:val="Caption"/>
    <w:basedOn w:val="Normal"/>
    <w:qFormat/>
    <w:pPr>
      <w:suppressLineNumbers/>
      <w:spacing w:before="120" w:after="120"/>
    </w:pPr>
    <w:rPr>
      <w:rFonts w:cs="Arial Unicode MS"/>
      <w:i/>
      <w:iCs/>
      <w:sz w:val="24"/>
      <w:szCs w:val="24"/>
    </w:rPr>
  </w:style>
  <w:style w:type="paragraph" w:styleId="Index">
    <w:name w:val="Index"/>
    <w:basedOn w:val="Normal"/>
    <w:qFormat/>
    <w:pPr>
      <w:suppressLineNumbers/>
    </w:pPr>
    <w:rPr>
      <w:rFonts w:cs="Arial Unicode MS"/>
    </w:rPr>
  </w:style>
  <w:style w:type="paragraph" w:styleId="Bibliography1">
    <w:name w:val="Bibliography 1"/>
    <w:basedOn w:val="Index"/>
    <w:qFormat/>
    <w:pPr>
      <w:spacing w:lineRule="atLeast" w:line="240" w:before="0" w:after="0"/>
      <w:ind w:left="720" w:right="0" w:hanging="720"/>
    </w:pPr>
    <w:rPr/>
  </w:style>
  <w:style w:type="paragraph" w:styleId="TableContents">
    <w:name w:val="Table Contents"/>
    <w:basedOn w:val="Normal"/>
    <w:qFormat/>
    <w:pPr>
      <w:suppressLineNumbers/>
    </w:pPr>
    <w:rPr/>
  </w:style>
  <w:style w:type="paragraph" w:styleId="Style15">
    <w:name w:val="Обычный"/>
    <w:qFormat/>
    <w:pPr>
      <w:widowControl/>
      <w:suppressAutoHyphens w:val="true"/>
      <w:overflowPunct w:val="true"/>
      <w:bidi w:val="0"/>
      <w:jc w:val="left"/>
    </w:pPr>
    <w:rPr>
      <w:rFonts w:ascii="Liberation Serif" w:hAnsi="Liberation Serif" w:eastAsia="Songti SC" w:cs="Arial Unicode MS"/>
      <w:color w:val="auto"/>
      <w:kern w:val="2"/>
      <w:sz w:val="24"/>
      <w:szCs w:val="24"/>
      <w:lang w:val="en-GB" w:eastAsia="zh-CN" w:bidi="hi-IN"/>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wgr2@cam.ac.uk" TargetMode="External"/><Relationship Id="rId3" Type="http://schemas.openxmlformats.org/officeDocument/2006/relationships/hyperlink" Target="mailto:egolubeva@gmail.com" TargetMode="External"/><Relationship Id="rId4" Type="http://schemas.openxmlformats.org/officeDocument/2006/relationships/hyperlink" Target="mailto:olgatut@mail.ru" TargetMode="External"/><Relationship Id="rId5" Type="http://schemas.openxmlformats.org/officeDocument/2006/relationships/hyperlink" Target="mailto:ziminmv@mail.ru" TargetMode="External"/><Relationship Id="rId6" Type="http://schemas.openxmlformats.org/officeDocument/2006/relationships/hyperlink" Target="mailto:Anna.derkacheva@univ-grenoble-alpes.fr" TargetMode="External"/><Relationship Id="rId7" Type="http://schemas.openxmlformats.org/officeDocument/2006/relationships/hyperlink" Target="http://database.eohandbook.com/measurements/measurements.aspx" TargetMode="External"/><Relationship Id="rId8" Type="http://schemas.openxmlformats.org/officeDocument/2006/relationships/hyperlink" Target="https://doi.org/10.17863/CAM.52922" TargetMode="External"/><Relationship Id="rId9" Type="http://schemas.openxmlformats.org/officeDocument/2006/relationships/hyperlink" Target="http://www.eu-interact.org/" TargetMode="External"/><Relationship Id="rId10" Type="http://schemas.openxmlformats.org/officeDocument/2006/relationships/hyperlink" Target="https://doi.org/10.1111/gcb.13261" TargetMode="External"/><Relationship Id="rId11" Type="http://schemas.openxmlformats.org/officeDocument/2006/relationships/hyperlink" Target="https://doi.org/10.1016/S0034-4257(00)00128-0" TargetMode="External"/><Relationship Id="rId12" Type="http://schemas.openxmlformats.org/officeDocument/2006/relationships/hyperlink" Target="https://lpdaac.usgs.gov/tools/data-pool/" TargetMode="External"/><Relationship Id="rId13" Type="http://schemas.openxmlformats.org/officeDocument/2006/relationships/hyperlink" Target="http://www.naturalearth.com/" TargetMode="External"/><Relationship Id="rId14" Type="http://schemas.openxmlformats.org/officeDocument/2006/relationships/fontTable" Target="fontTable.xml"/><Relationship Id="rId15"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1811</TotalTime>
  <Application>LibreOffice/6.0.6.2$MacOSX_X86_64 LibreOffice_project/0c292870b25a325b5ed35f6b45599d2ea4458e77</Application>
  <Pages>12</Pages>
  <Words>5928</Words>
  <Characters>32461</Characters>
  <CharactersWithSpaces>38296</CharactersWithSpaces>
  <Paragraphs>139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2019-11-06T14:24:15Z</dcterms:created>
  <dc:creator/>
  <dc:description/>
  <dc:language>en-GB</dc:language>
  <cp:lastModifiedBy/>
  <cp:lastPrinted>2020-01-17T12:31:02Z</cp:lastPrinted>
  <dcterms:modified xsi:type="dcterms:W3CDTF">2020-06-04T14:33:49Z</dcterms:modified>
  <cp:revision>67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zotero-version="5.0.85"&gt;&lt;session id="C13KheFo"/&gt;&lt;style id="http://www.zotero.org/styles/chicago-author-date" locale="en-GB" hasBibliography="1" bibliographyStyleHasBeenSet="1"/&gt;&lt;prefs&gt;&lt;pref name="fieldType" value="ReferenceMark"/&gt;&lt;/</vt:lpwstr>
  </property>
  <property fmtid="{D5CDD505-2E9C-101B-9397-08002B2CF9AE}" pid="3" name="ZOTERO_PREF_2">
    <vt:lpwstr>prefs&gt;&lt;/data&gt;</vt:lpwstr>
  </property>
</Properties>
</file>