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2BE97D" w14:textId="7E66ED56" w:rsidR="005B6127" w:rsidRPr="002D6EC7" w:rsidRDefault="00853DE2" w:rsidP="005B6127">
      <w:pPr>
        <w:pStyle w:val="Title"/>
      </w:pPr>
      <w:r w:rsidRPr="002D6EC7">
        <w:t>Evaluation of (</w:t>
      </w:r>
      <w:r w:rsidR="00B02A53" w:rsidRPr="002D6EC7">
        <w:t>–</w:t>
      </w:r>
      <w:r w:rsidRPr="002D6EC7">
        <w:t xml:space="preserve">)-epicatechin metabolites as recovery biomarker of </w:t>
      </w:r>
      <w:r w:rsidR="00563657" w:rsidRPr="002D6EC7">
        <w:t xml:space="preserve">dietary </w:t>
      </w:r>
      <w:r w:rsidRPr="002D6EC7">
        <w:t>flavan-3-ol intake</w:t>
      </w:r>
    </w:p>
    <w:p w14:paraId="0E1EDCF7" w14:textId="57505458" w:rsidR="00B4474B" w:rsidRPr="002D6EC7" w:rsidRDefault="00B4474B" w:rsidP="00B4474B">
      <w:pPr>
        <w:pStyle w:val="RdgAuthors"/>
      </w:pPr>
      <w:r w:rsidRPr="002D6EC7">
        <w:t>Javier I. Ottaviani</w:t>
      </w:r>
      <w:r w:rsidRPr="002D6EC7">
        <w:rPr>
          <w:vertAlign w:val="superscript"/>
        </w:rPr>
        <w:t>1</w:t>
      </w:r>
      <w:r w:rsidRPr="002D6EC7">
        <w:t xml:space="preserve">, </w:t>
      </w:r>
      <w:proofErr w:type="spellStart"/>
      <w:r w:rsidRPr="002D6EC7">
        <w:t>Re</w:t>
      </w:r>
      <w:r w:rsidR="004C0843" w:rsidRPr="002D6EC7">
        <w:t>e</w:t>
      </w:r>
      <w:r w:rsidRPr="002D6EC7">
        <w:t>dmond</w:t>
      </w:r>
      <w:proofErr w:type="spellEnd"/>
      <w:r w:rsidRPr="002D6EC7">
        <w:t xml:space="preserve"> Fong</w:t>
      </w:r>
      <w:r w:rsidRPr="002D6EC7">
        <w:rPr>
          <w:vertAlign w:val="superscript"/>
        </w:rPr>
        <w:t>2</w:t>
      </w:r>
      <w:r w:rsidRPr="002D6EC7">
        <w:t>, Jennifer Kimball</w:t>
      </w:r>
      <w:r w:rsidRPr="002D6EC7">
        <w:rPr>
          <w:vertAlign w:val="superscript"/>
        </w:rPr>
        <w:t>2</w:t>
      </w:r>
      <w:r w:rsidRPr="002D6EC7">
        <w:t>, Jodi L. Ensunsa</w:t>
      </w:r>
      <w:r w:rsidRPr="002D6EC7">
        <w:rPr>
          <w:vertAlign w:val="superscript"/>
        </w:rPr>
        <w:t>2</w:t>
      </w:r>
      <w:r w:rsidRPr="002D6EC7">
        <w:t xml:space="preserve">, Nicola </w:t>
      </w:r>
      <w:r w:rsidR="00B00BBA" w:rsidRPr="002D6EC7">
        <w:t>Gray</w:t>
      </w:r>
      <w:r w:rsidR="00B00BBA" w:rsidRPr="002D6EC7">
        <w:rPr>
          <w:vertAlign w:val="superscript"/>
        </w:rPr>
        <w:t>3</w:t>
      </w:r>
      <w:r w:rsidRPr="002D6EC7">
        <w:t>, Anna Vogiatzoglou</w:t>
      </w:r>
      <w:r w:rsidR="000944D4" w:rsidRPr="002D6EC7">
        <w:rPr>
          <w:vertAlign w:val="superscript"/>
        </w:rPr>
        <w:t>4</w:t>
      </w:r>
      <w:r w:rsidRPr="002D6EC7">
        <w:t>, Abigail Britten</w:t>
      </w:r>
      <w:r w:rsidR="000944D4" w:rsidRPr="002D6EC7">
        <w:rPr>
          <w:vertAlign w:val="superscript"/>
        </w:rPr>
        <w:t>5</w:t>
      </w:r>
      <w:r w:rsidRPr="002D6EC7">
        <w:t>, Debora Lucarelli</w:t>
      </w:r>
      <w:r w:rsidR="000944D4" w:rsidRPr="002D6EC7">
        <w:rPr>
          <w:vertAlign w:val="superscript"/>
        </w:rPr>
        <w:t>5</w:t>
      </w:r>
      <w:r w:rsidRPr="002D6EC7">
        <w:t>, Robert Luben</w:t>
      </w:r>
      <w:r w:rsidR="000944D4" w:rsidRPr="002D6EC7">
        <w:rPr>
          <w:vertAlign w:val="superscript"/>
        </w:rPr>
        <w:t>6</w:t>
      </w:r>
      <w:r w:rsidRPr="002D6EC7">
        <w:t>, Philip B. Grace</w:t>
      </w:r>
      <w:r w:rsidR="000944D4" w:rsidRPr="002D6EC7">
        <w:rPr>
          <w:vertAlign w:val="superscript"/>
        </w:rPr>
        <w:t>7</w:t>
      </w:r>
      <w:r w:rsidRPr="002D6EC7">
        <w:t>, Deborah H. Mawson</w:t>
      </w:r>
      <w:r w:rsidR="000944D4" w:rsidRPr="002D6EC7">
        <w:rPr>
          <w:vertAlign w:val="superscript"/>
        </w:rPr>
        <w:t>7</w:t>
      </w:r>
      <w:r w:rsidRPr="002D6EC7">
        <w:t>, Amy Tym</w:t>
      </w:r>
      <w:r w:rsidR="000944D4" w:rsidRPr="002D6EC7">
        <w:rPr>
          <w:vertAlign w:val="superscript"/>
        </w:rPr>
        <w:t>7</w:t>
      </w:r>
      <w:r w:rsidRPr="002D6EC7">
        <w:t>, Antonia Wierzbicki</w:t>
      </w:r>
      <w:r w:rsidR="000944D4" w:rsidRPr="002D6EC7">
        <w:rPr>
          <w:vertAlign w:val="superscript"/>
        </w:rPr>
        <w:t>7</w:t>
      </w:r>
      <w:r w:rsidRPr="002D6EC7">
        <w:t>, A. David Smith</w:t>
      </w:r>
      <w:r w:rsidR="000944D4" w:rsidRPr="002D6EC7">
        <w:rPr>
          <w:vertAlign w:val="superscript"/>
        </w:rPr>
        <w:t>8</w:t>
      </w:r>
      <w:r w:rsidRPr="002D6EC7">
        <w:t xml:space="preserve">, Nicholas </w:t>
      </w:r>
      <w:r w:rsidR="00130BEA">
        <w:t>J.</w:t>
      </w:r>
      <w:bookmarkStart w:id="0" w:name="_GoBack"/>
      <w:bookmarkEnd w:id="0"/>
      <w:r w:rsidRPr="002D6EC7">
        <w:t>Wareham</w:t>
      </w:r>
      <w:r w:rsidR="000944D4" w:rsidRPr="002D6EC7">
        <w:rPr>
          <w:vertAlign w:val="superscript"/>
        </w:rPr>
        <w:t>5</w:t>
      </w:r>
      <w:r w:rsidRPr="002D6EC7">
        <w:t>, Nita G. Forouhi</w:t>
      </w:r>
      <w:r w:rsidR="000944D4" w:rsidRPr="002D6EC7">
        <w:rPr>
          <w:vertAlign w:val="superscript"/>
        </w:rPr>
        <w:t>5</w:t>
      </w:r>
      <w:r w:rsidRPr="002D6EC7">
        <w:t>, Kay-Tee Khaw</w:t>
      </w:r>
      <w:r w:rsidR="000944D4" w:rsidRPr="002D6EC7">
        <w:rPr>
          <w:vertAlign w:val="superscript"/>
        </w:rPr>
        <w:t>6</w:t>
      </w:r>
      <w:r w:rsidRPr="002D6EC7">
        <w:t>, Hagen Schroeter</w:t>
      </w:r>
      <w:r w:rsidRPr="002D6EC7">
        <w:rPr>
          <w:vertAlign w:val="superscript"/>
        </w:rPr>
        <w:t>1</w:t>
      </w:r>
      <w:r w:rsidRPr="002D6EC7">
        <w:t>, Gunter G. C. Kuhnle</w:t>
      </w:r>
      <w:r w:rsidR="000944D4" w:rsidRPr="002D6EC7">
        <w:rPr>
          <w:vertAlign w:val="superscript"/>
        </w:rPr>
        <w:t>3</w:t>
      </w:r>
      <w:r w:rsidRPr="002D6EC7">
        <w:rPr>
          <w:vertAlign w:val="superscript"/>
        </w:rPr>
        <w:t>,6,*</w:t>
      </w:r>
    </w:p>
    <w:p w14:paraId="510FAC32" w14:textId="0E32F37F" w:rsidR="00B4474B" w:rsidRPr="002D6EC7" w:rsidRDefault="00B4474B" w:rsidP="00B4474B">
      <w:pPr>
        <w:pStyle w:val="RdgAuthors"/>
      </w:pPr>
      <w:r w:rsidRPr="002D6EC7">
        <w:rPr>
          <w:vertAlign w:val="superscript"/>
        </w:rPr>
        <w:t>1</w:t>
      </w:r>
      <w:r w:rsidRPr="002D6EC7">
        <w:t xml:space="preserve">Mars, Inc., McLean, VA; </w:t>
      </w:r>
      <w:r w:rsidRPr="002D6EC7">
        <w:rPr>
          <w:vertAlign w:val="superscript"/>
        </w:rPr>
        <w:t>2</w:t>
      </w:r>
      <w:r w:rsidRPr="002D6EC7">
        <w:t>Department of Nutrition, UC Davis, CA;</w:t>
      </w:r>
      <w:r w:rsidR="000944D4" w:rsidRPr="002D6EC7">
        <w:t xml:space="preserve"> </w:t>
      </w:r>
      <w:r w:rsidR="000944D4" w:rsidRPr="002D6EC7">
        <w:rPr>
          <w:vertAlign w:val="superscript"/>
        </w:rPr>
        <w:t>3</w:t>
      </w:r>
      <w:r w:rsidR="000944D4" w:rsidRPr="002D6EC7">
        <w:t>Department of Food and Nutritional Sciences, University of Reading, UK</w:t>
      </w:r>
      <w:r w:rsidR="00352BF1" w:rsidRPr="002D6EC7">
        <w:t xml:space="preserve">; </w:t>
      </w:r>
      <w:r w:rsidR="00352BF1" w:rsidRPr="002D6EC7">
        <w:rPr>
          <w:vertAlign w:val="superscript"/>
        </w:rPr>
        <w:t>4</w:t>
      </w:r>
      <w:r w:rsidR="00352BF1" w:rsidRPr="002D6EC7">
        <w:t>School of Life Sciences, Coventry University, UK;</w:t>
      </w:r>
      <w:r w:rsidRPr="002D6EC7">
        <w:t xml:space="preserve"> </w:t>
      </w:r>
      <w:r w:rsidR="000944D4" w:rsidRPr="002D6EC7">
        <w:rPr>
          <w:vertAlign w:val="superscript"/>
        </w:rPr>
        <w:t>5</w:t>
      </w:r>
      <w:r w:rsidRPr="002D6EC7">
        <w:t xml:space="preserve">MRC Epidemiology Unit, University of Cambridge, UK; </w:t>
      </w:r>
      <w:r w:rsidR="000944D4" w:rsidRPr="002D6EC7">
        <w:rPr>
          <w:vertAlign w:val="superscript"/>
        </w:rPr>
        <w:t>6</w:t>
      </w:r>
      <w:r w:rsidRPr="002D6EC7">
        <w:t xml:space="preserve">Department of Public Health and Primary Care, University of Cambridge, UK; </w:t>
      </w:r>
      <w:r w:rsidR="000944D4" w:rsidRPr="002D6EC7">
        <w:rPr>
          <w:vertAlign w:val="superscript"/>
        </w:rPr>
        <w:t>7</w:t>
      </w:r>
      <w:r w:rsidRPr="002D6EC7">
        <w:t xml:space="preserve"> LGC, Newmarket Road, Fordham, UK; </w:t>
      </w:r>
      <w:r w:rsidR="000944D4" w:rsidRPr="002D6EC7">
        <w:rPr>
          <w:vertAlign w:val="superscript"/>
        </w:rPr>
        <w:t>8</w:t>
      </w:r>
      <w:r w:rsidR="000944D4" w:rsidRPr="002D6EC7">
        <w:t>OPTIMA Department of Pharmacology, University of Oxford, UK</w:t>
      </w:r>
    </w:p>
    <w:p w14:paraId="614DEA68" w14:textId="47F136AE" w:rsidR="00B4474B" w:rsidRPr="002D6EC7" w:rsidRDefault="00B4474B" w:rsidP="00B4474B">
      <w:pPr>
        <w:pStyle w:val="RdgAuthors"/>
      </w:pPr>
      <w:r w:rsidRPr="002D6EC7">
        <w:t xml:space="preserve">*Corresponding author: </w:t>
      </w:r>
      <w:r w:rsidR="00606BF7" w:rsidRPr="002D6EC7">
        <w:t xml:space="preserve">Gunter G. C. Kuhnle; </w:t>
      </w:r>
      <w:r w:rsidRPr="002D6EC7">
        <w:t xml:space="preserve">Department of Food &amp; Nutritional Sciences, University of Reading, Reading RG6 6UR, UK. </w:t>
      </w:r>
      <w:r w:rsidR="007132EE" w:rsidRPr="002D6EC7">
        <w:t xml:space="preserve">Telephone: +44 118 378 7723; </w:t>
      </w:r>
      <w:r w:rsidRPr="002D6EC7">
        <w:t xml:space="preserve">Email: </w:t>
      </w:r>
      <w:r w:rsidR="00606BF7" w:rsidRPr="002D6EC7">
        <w:t>g.g.kuhnle@reading.ac.uk</w:t>
      </w:r>
    </w:p>
    <w:p w14:paraId="0C541097" w14:textId="6EA8F5D4" w:rsidR="007132EE" w:rsidRPr="002D6EC7" w:rsidRDefault="007132EE" w:rsidP="00B4474B">
      <w:pPr>
        <w:pStyle w:val="RdgAuthors"/>
      </w:pPr>
      <w:r w:rsidRPr="002D6EC7">
        <w:t>This study was supported by an unrestricted grant from Mars, Inc.</w:t>
      </w:r>
    </w:p>
    <w:p w14:paraId="5A86201C" w14:textId="24F9558F" w:rsidR="00606BF7" w:rsidRPr="002D6EC7" w:rsidRDefault="00606BF7" w:rsidP="00B4474B">
      <w:pPr>
        <w:pStyle w:val="RdgAuthors"/>
        <w:rPr>
          <w:rStyle w:val="PageNumber"/>
        </w:rPr>
      </w:pPr>
      <w:r w:rsidRPr="002D6EC7">
        <w:t xml:space="preserve">Running title: </w:t>
      </w:r>
      <w:r w:rsidRPr="002D6EC7">
        <w:rPr>
          <w:rStyle w:val="PageNumber"/>
        </w:rPr>
        <w:t>Evaluation of SREM as nutritional biomarker</w:t>
      </w:r>
    </w:p>
    <w:p w14:paraId="5C12A4BD" w14:textId="3835BF4E" w:rsidR="00606BF7" w:rsidRPr="002D6EC7" w:rsidRDefault="00095473" w:rsidP="00B4474B">
      <w:pPr>
        <w:pStyle w:val="RdgAuthors"/>
      </w:pPr>
      <w:r w:rsidRPr="002D6EC7">
        <w:t xml:space="preserve">Dietary intervention studies </w:t>
      </w:r>
      <w:r w:rsidR="007139FC" w:rsidRPr="002D6EC7">
        <w:t>were registered as</w:t>
      </w:r>
      <w:r w:rsidR="00606BF7" w:rsidRPr="002D6EC7">
        <w:t xml:space="preserve"> NCT03194620 and NCT03201822</w:t>
      </w:r>
    </w:p>
    <w:p w14:paraId="5C8477DC" w14:textId="084B4D25" w:rsidR="007B24B5" w:rsidRPr="002D6EC7" w:rsidRDefault="007B24B5" w:rsidP="00B4474B">
      <w:pPr>
        <w:pStyle w:val="RdgAuthors"/>
      </w:pPr>
      <w:r w:rsidRPr="002D6EC7">
        <w:t>Data described in the manuscript will be made available upon request.</w:t>
      </w:r>
    </w:p>
    <w:p w14:paraId="4DABE7B0" w14:textId="3E28DB4F" w:rsidR="00BA4A81" w:rsidRPr="002D6EC7" w:rsidRDefault="00BA4A81">
      <w:pPr>
        <w:rPr>
          <w:rFonts w:ascii="Helvetica" w:hAnsi="Helvetica" w:cs="Arial"/>
          <w:bCs/>
          <w:kern w:val="28"/>
          <w:sz w:val="32"/>
          <w:szCs w:val="32"/>
        </w:rPr>
      </w:pPr>
      <w:r w:rsidRPr="002D6EC7">
        <w:br w:type="page"/>
      </w:r>
    </w:p>
    <w:p w14:paraId="40722923" w14:textId="2A19F450" w:rsidR="00B4474B" w:rsidRPr="002D6EC7" w:rsidRDefault="00BA4A81" w:rsidP="00BA4A81">
      <w:pPr>
        <w:pStyle w:val="NoNumberHeading"/>
      </w:pPr>
      <w:r w:rsidRPr="002D6EC7">
        <w:lastRenderedPageBreak/>
        <w:t>Abstract</w:t>
      </w:r>
    </w:p>
    <w:p w14:paraId="49A4051B" w14:textId="77777777" w:rsidR="0024795C" w:rsidRDefault="009213BE" w:rsidP="0024795C">
      <w:pPr>
        <w:pStyle w:val="RdgNormal"/>
        <w:rPr>
          <w:lang w:val="en-US"/>
        </w:rPr>
      </w:pPr>
      <w:r w:rsidRPr="002D6EC7">
        <w:rPr>
          <w:bCs/>
          <w:lang w:val="en-US"/>
        </w:rPr>
        <w:t>Data from dietary intervention studies suggest that intake of (−)-epicatechin mediates beneficial vascular effects in humans. However, population-based</w:t>
      </w:r>
      <w:r w:rsidRPr="002D6EC7">
        <w:rPr>
          <w:lang w:val="en-US"/>
        </w:rPr>
        <w:t xml:space="preserve"> investigations are required to evaluate associations between habitual intake and health</w:t>
      </w:r>
      <w:r w:rsidR="002D6EC7">
        <w:rPr>
          <w:lang w:val="en-US"/>
        </w:rPr>
        <w:t xml:space="preserve"> and t</w:t>
      </w:r>
      <w:r w:rsidRPr="002D6EC7">
        <w:rPr>
          <w:lang w:val="en-US"/>
        </w:rPr>
        <w:t xml:space="preserve">hese studies rely on accurate estimates of intake, </w:t>
      </w:r>
      <w:r w:rsidR="002D6EC7">
        <w:rPr>
          <w:lang w:val="en-US"/>
        </w:rPr>
        <w:t>which</w:t>
      </w:r>
      <w:r w:rsidRPr="002D6EC7">
        <w:rPr>
          <w:lang w:val="en-US"/>
        </w:rPr>
        <w:t xml:space="preserve"> nutritional biomarkers can provide</w:t>
      </w:r>
      <w:r w:rsidR="0024795C">
        <w:rPr>
          <w:lang w:val="en-US"/>
        </w:rPr>
        <w:t xml:space="preserve">. Here, </w:t>
      </w:r>
      <w:r w:rsidR="0024795C" w:rsidRPr="0024795C">
        <w:rPr>
          <w:lang w:val="en-US"/>
        </w:rPr>
        <w:t>we</w:t>
      </w:r>
      <w:r w:rsidRPr="0024795C">
        <w:rPr>
          <w:lang w:val="en-US"/>
        </w:rPr>
        <w:t xml:space="preserve"> </w:t>
      </w:r>
      <w:r w:rsidRPr="002D6EC7">
        <w:rPr>
          <w:lang w:val="en-US"/>
        </w:rPr>
        <w:t>evaluate a series of structurally related (−)</w:t>
      </w:r>
      <w:r w:rsidRPr="002D6EC7">
        <w:rPr>
          <w:lang w:val="en-US"/>
        </w:rPr>
        <w:noBreakHyphen/>
        <w:t>epicatechin metabolites (SREM), particularly (−)-epicatechin-3′-glucuronide, (−)-epicatechin-3′-sulfate and 3′-O-methyl-(−)-epicatechin-5-sulfate (SREM</w:t>
      </w:r>
      <w:r w:rsidRPr="002D6EC7">
        <w:rPr>
          <w:vertAlign w:val="subscript"/>
          <w:lang w:val="en-US"/>
        </w:rPr>
        <w:t>B</w:t>
      </w:r>
      <w:r w:rsidRPr="002D6EC7">
        <w:rPr>
          <w:lang w:val="en-US"/>
        </w:rPr>
        <w:t>), as biomarkers of (−)-epicatechin intake</w:t>
      </w:r>
      <w:r w:rsidR="0024795C">
        <w:rPr>
          <w:lang w:val="en-US"/>
        </w:rPr>
        <w:t xml:space="preserve"> as biomarkers of flavan-3-ol and </w:t>
      </w:r>
      <w:r w:rsidR="0024795C" w:rsidRPr="002D6EC7">
        <w:rPr>
          <w:bCs/>
          <w:lang w:val="en-US"/>
        </w:rPr>
        <w:t>(−)-epicatechin</w:t>
      </w:r>
      <w:r w:rsidR="0024795C">
        <w:rPr>
          <w:bCs/>
          <w:lang w:val="en-US"/>
        </w:rPr>
        <w:t xml:space="preserve"> intake. </w:t>
      </w:r>
      <w:r w:rsidR="0024795C" w:rsidRPr="002D6EC7">
        <w:rPr>
          <w:lang w:val="en-US"/>
        </w:rPr>
        <w:t>SREM</w:t>
      </w:r>
      <w:r w:rsidR="0024795C" w:rsidRPr="002D6EC7">
        <w:rPr>
          <w:vertAlign w:val="subscript"/>
          <w:lang w:val="en-US"/>
        </w:rPr>
        <w:t>B</w:t>
      </w:r>
      <w:r w:rsidR="0024795C" w:rsidRPr="002D6EC7">
        <w:rPr>
          <w:lang w:val="en-US"/>
        </w:rPr>
        <w:t xml:space="preserve"> in urine proved to be a specific indicator of (−)-epicatechin intake, showing also a strong correlation with the amount of (−)-epicatechin ingested (R</w:t>
      </w:r>
      <w:r w:rsidR="0024795C" w:rsidRPr="002D6EC7">
        <w:rPr>
          <w:vertAlign w:val="superscript"/>
          <w:lang w:val="en-US"/>
        </w:rPr>
        <w:t>2</w:t>
      </w:r>
      <w:r w:rsidR="0024795C" w:rsidRPr="002D6EC7">
        <w:rPr>
          <w:lang w:val="en-US"/>
        </w:rPr>
        <w:t>: 0.86 (95% CI 0.8l; 0.92). The median recovery of (−)-epicatechin as SREM</w:t>
      </w:r>
      <w:r w:rsidR="0024795C" w:rsidRPr="002D6EC7">
        <w:rPr>
          <w:vertAlign w:val="subscript"/>
          <w:lang w:val="en-US"/>
        </w:rPr>
        <w:t>B</w:t>
      </w:r>
      <w:r w:rsidR="0024795C" w:rsidRPr="002D6EC7">
        <w:rPr>
          <w:lang w:val="en-US"/>
        </w:rPr>
        <w:t xml:space="preserve"> in 24 h urine was </w:t>
      </w:r>
      <w:r w:rsidR="0024795C">
        <w:rPr>
          <w:lang w:val="en-US"/>
        </w:rPr>
        <w:t>1</w:t>
      </w:r>
      <w:r w:rsidR="0024795C" w:rsidRPr="002D6EC7">
        <w:rPr>
          <w:lang w:val="en-US"/>
        </w:rPr>
        <w:t>0% (IQR 7% – 13%)</w:t>
      </w:r>
      <w:r w:rsidR="0024795C">
        <w:rPr>
          <w:lang w:val="en-US"/>
        </w:rPr>
        <w:t xml:space="preserve"> and we</w:t>
      </w:r>
      <w:r w:rsidR="0024795C" w:rsidRPr="002D6EC7">
        <w:rPr>
          <w:lang w:val="en-US"/>
        </w:rPr>
        <w:t xml:space="preserve"> found SREM</w:t>
      </w:r>
      <w:r w:rsidR="0024795C" w:rsidRPr="002D6EC7">
        <w:rPr>
          <w:vertAlign w:val="subscript"/>
          <w:lang w:val="en-US"/>
        </w:rPr>
        <w:t>B</w:t>
      </w:r>
      <w:r w:rsidR="0024795C" w:rsidRPr="002D6EC7">
        <w:rPr>
          <w:lang w:val="en-US"/>
        </w:rPr>
        <w:t xml:space="preserve"> in the majority of participants of EPIC Norfolk (83%</w:t>
      </w:r>
      <w:r w:rsidR="0024795C">
        <w:rPr>
          <w:lang w:val="en-US"/>
        </w:rPr>
        <w:t xml:space="preserve"> of </w:t>
      </w:r>
      <w:r w:rsidR="0024795C" w:rsidRPr="002D6EC7">
        <w:t>24,341</w:t>
      </w:r>
      <w:r w:rsidR="0024795C" w:rsidRPr="002D6EC7">
        <w:rPr>
          <w:lang w:val="en-US"/>
        </w:rPr>
        <w:t>) with a mean concentration of 2.4 ± 3.2 µmol/L</w:t>
      </w:r>
      <w:r w:rsidR="0024795C">
        <w:rPr>
          <w:lang w:val="en-US"/>
        </w:rPr>
        <w:t xml:space="preserve">. </w:t>
      </w:r>
    </w:p>
    <w:p w14:paraId="095D1CB5" w14:textId="77777777" w:rsidR="0024795C" w:rsidRDefault="0024795C" w:rsidP="0024795C">
      <w:pPr>
        <w:pStyle w:val="RdgNormal"/>
        <w:rPr>
          <w:lang w:val="en-US"/>
        </w:rPr>
      </w:pPr>
    </w:p>
    <w:p w14:paraId="40BE621A" w14:textId="25F6D52E" w:rsidR="002C1D17" w:rsidRPr="002D6EC7" w:rsidRDefault="0024795C" w:rsidP="0024795C">
      <w:pPr>
        <w:pStyle w:val="RdgNormal"/>
      </w:pPr>
      <w:r>
        <w:rPr>
          <w:lang w:val="en-US"/>
        </w:rPr>
        <w:t xml:space="preserve">Our results show that </w:t>
      </w:r>
      <w:r w:rsidR="009213BE" w:rsidRPr="002D6EC7">
        <w:rPr>
          <w:lang w:val="en-US"/>
        </w:rPr>
        <w:t>SREM</w:t>
      </w:r>
      <w:r w:rsidR="009213BE" w:rsidRPr="002D6EC7">
        <w:rPr>
          <w:vertAlign w:val="subscript"/>
          <w:lang w:val="en-US"/>
        </w:rPr>
        <w:t>B</w:t>
      </w:r>
      <w:r w:rsidR="009213BE" w:rsidRPr="002D6EC7">
        <w:rPr>
          <w:lang w:val="en-US"/>
        </w:rPr>
        <w:t xml:space="preserve"> are suitable as biomarker of (</w:t>
      </w:r>
      <w:proofErr w:type="gramStart"/>
      <w:r w:rsidR="009213BE" w:rsidRPr="002D6EC7">
        <w:rPr>
          <w:lang w:val="en-US"/>
        </w:rPr>
        <w:t>−)</w:t>
      </w:r>
      <w:r w:rsidR="009213BE" w:rsidRPr="002D6EC7">
        <w:rPr>
          <w:lang w:val="en-US"/>
        </w:rPr>
        <w:noBreakHyphen/>
      </w:r>
      <w:proofErr w:type="gramEnd"/>
      <w:r w:rsidR="009213BE" w:rsidRPr="002D6EC7">
        <w:rPr>
          <w:lang w:val="en-US"/>
        </w:rPr>
        <w:t>epicatechin intake</w:t>
      </w:r>
      <w:r w:rsidR="00C5643B" w:rsidRPr="002D6EC7">
        <w:t xml:space="preserve">. </w:t>
      </w:r>
      <w:r w:rsidR="00C5643B" w:rsidRPr="002D6EC7">
        <w:rPr>
          <w:lang w:val="en-US"/>
        </w:rPr>
        <w:t>According to evaluation criteria from IARC and the Institute of Medicine, the results obtained support use of SREM</w:t>
      </w:r>
      <w:r w:rsidR="00C5643B" w:rsidRPr="002D6EC7">
        <w:rPr>
          <w:vertAlign w:val="subscript"/>
          <w:lang w:val="en-US"/>
        </w:rPr>
        <w:t>B</w:t>
      </w:r>
      <w:r w:rsidR="00C5643B" w:rsidRPr="002D6EC7">
        <w:rPr>
          <w:lang w:val="en-US"/>
        </w:rPr>
        <w:t xml:space="preserve"> as a recovery biomarker to estimate actual intake of (−)-epicatechin. </w:t>
      </w:r>
    </w:p>
    <w:p w14:paraId="5FA951DA" w14:textId="77777777" w:rsidR="00CA1FCB" w:rsidRPr="002D6EC7" w:rsidRDefault="00CA1FCB" w:rsidP="00CA1FCB">
      <w:pPr>
        <w:pStyle w:val="Heading1"/>
      </w:pPr>
      <w:r w:rsidRPr="002D6EC7">
        <w:lastRenderedPageBreak/>
        <w:t>Introduction</w:t>
      </w:r>
    </w:p>
    <w:p w14:paraId="137D7E38" w14:textId="7CBDF78A" w:rsidR="008A31F6" w:rsidRPr="002D6EC7" w:rsidRDefault="008D1DAD" w:rsidP="00606BF7">
      <w:pPr>
        <w:pStyle w:val="RdgNormal"/>
      </w:pPr>
      <w:r w:rsidRPr="002D6EC7">
        <w:t xml:space="preserve">There is considerable evidence suggesting that flavanols can </w:t>
      </w:r>
      <w:r w:rsidR="00523723" w:rsidRPr="002D6EC7">
        <w:t xml:space="preserve">be beneficial for cardiovascular disease prevention and health maintenance, </w:t>
      </w:r>
      <w:r w:rsidRPr="002D6EC7">
        <w:t xml:space="preserve">although </w:t>
      </w:r>
      <w:r w:rsidR="00563657" w:rsidRPr="002D6EC7">
        <w:t>current data are</w:t>
      </w:r>
      <w:r w:rsidR="00523723" w:rsidRPr="002D6EC7">
        <w:t xml:space="preserve"> still insufficient to provide </w:t>
      </w:r>
      <w:r w:rsidR="00563657" w:rsidRPr="002D6EC7">
        <w:t xml:space="preserve">general dietary guidance </w:t>
      </w:r>
      <w:r w:rsidR="00CE24FC" w:rsidRPr="002D6EC7">
        <w:rPr>
          <w:lang w:val="en-US" w:eastAsia="en-GB"/>
        </w:rPr>
        <w:fldChar w:fldCharType="begin"/>
      </w:r>
      <w:r w:rsidR="002D6EC7" w:rsidRPr="002D6EC7">
        <w:rPr>
          <w:lang w:val="en-US" w:eastAsia="en-GB"/>
        </w:rPr>
        <w:instrText xml:space="preserve"> ADDIN PAPERS2_CITATIONS &lt;citation&gt;&lt;priority&gt;0&lt;/priority&gt;&lt;uuid&gt;83492AB5-D257-4307-A4A0-3006F3C5A909&lt;/uuid&gt;&lt;publications&gt;&lt;publication&gt;&lt;subtype&gt;400&lt;/subtype&gt;&lt;title&gt;Recommending flavanols and procyanidins for cardiovascular health: Current knowledge and future needs&lt;/title&gt;&lt;url&gt;http://www.sciencedirect.com/science/article/pii/S0098299710000774&lt;/url&gt;&lt;volume&gt;31&lt;/volume&gt;&lt;publication_date&gt;9920100000120000000021000012//&lt;/publication_date&gt;&lt;uuid&gt;2C623CB8-9A32-4CC6-8565-B6B4FB411131&lt;/uuid&gt;&lt;type&gt;400&lt;/type&gt;&lt;number&gt;6&lt;/number&gt;&lt;citekey&gt;Schroeter:2010fo&lt;/citekey&gt;&lt;subtitle&gt;Molecular Aspects of Medicine&lt;/subtitle&gt;&lt;doi&gt;10.1016/j.mam.2010.09.008&lt;/doi&gt;&lt;startpage&gt;546&lt;/startpage&gt;&lt;endpage&gt;557&lt;/endpage&gt;&lt;bundle&gt;&lt;publication&gt;&lt;title&gt;Molecular Aspects of Medicine&lt;/title&gt;&lt;uuid&gt;E294E7B4-9CBE-44B9-ACBC-A17893365E9F&lt;/uuid&gt;&lt;subtype&gt;-100&lt;/subtype&gt;&lt;publisher&gt;Elsevier Ltd&lt;/publisher&gt;&lt;type&gt;-100&lt;/type&gt;&lt;/publication&gt;&lt;/bundle&gt;&lt;authors&gt;&lt;author&gt;&lt;lastName&gt;Schroeter&lt;/lastName&gt;&lt;firstName&gt;Hagen&lt;/firstName&gt;&lt;/author&gt;&lt;author&gt;&lt;lastName&gt;Heiss&lt;/lastName&gt;&lt;firstName&gt;Christian&lt;/firstName&gt;&lt;/author&gt;&lt;author&gt;&lt;lastName&gt;Spencer&lt;/lastName&gt;&lt;firstName&gt;Jeremy&lt;/firstName&gt;&lt;middleNames&gt;P E&lt;/middleNames&gt;&lt;/author&gt;&lt;author&gt;&lt;lastName&gt;Keen&lt;/lastName&gt;&lt;firstName&gt;Carl&lt;/firstName&gt;&lt;middleNames&gt;L&lt;/middleNames&gt;&lt;/author&gt;&lt;author&gt;&lt;lastName&gt;Lupton&lt;/lastName&gt;&lt;firstName&gt;Joanne&lt;/firstName&gt;&lt;middleNames&gt;R&lt;/middleNames&gt;&lt;/author&gt;&lt;author&gt;&lt;lastName&gt;Schmitz&lt;/lastName&gt;&lt;firstName&gt;Harold&lt;/firstName&gt;&lt;middleNames&gt;H&lt;/middleNames&gt;&lt;/author&gt;&lt;/authors&gt;&lt;/publication&gt;&lt;publication&gt;&lt;subtype&gt;400&lt;/subtype&gt;&lt;title&gt;Recommending flavanols and procyanidins for cardiovascular health: Revisited.&lt;/title&gt;&lt;revision_date&gt;99201801311200000000222000&lt;/revision_date&gt;&lt;publication_date&gt;99201802231200000000222000&lt;/publication_date&gt;&lt;uuid&gt;72B12727-993B-4719-8304-6C1F5C4CDAE5&lt;/uuid&gt;&lt;type&gt;400&lt;/type&gt;&lt;accepted_date&gt;99201802061200000000222000&lt;/accepted_date&gt;&lt;submission_date&gt;99201801091200000000222000&lt;/submission_date&gt;&lt;doi&gt;10.1016/j.mam.2018.02.001&lt;/doi&gt;&lt;institution&gt;Mars, Incorporated, 6885 Elm St, McLean, VA, 22101 USA. Electronic address: Javier.Ottaviani@mss.effem.com.&lt;/institution&gt;&lt;bundle&gt;&lt;publication&gt;&lt;title&gt;Mol Aspects Med&lt;/title&gt;&lt;uuid&gt;B81FDAD9-F6CF-4389-9FB3-4305404B6729&lt;/uuid&gt;&lt;subtype&gt;-100&lt;/subtype&gt;&lt;type&gt;-100&lt;/type&gt;&lt;/publication&gt;&lt;/bundle&gt;&lt;authors&gt;&lt;author&gt;&lt;role3&gt;0&lt;/role3&gt;&lt;fullname&gt;Javier I Ottaviani&lt;/fullname&gt;&lt;privacy_level&gt;0&lt;/privacy_level&gt;&lt;updated_at&gt;2018-12-19 08:29:50 +0000&lt;/updated_at&gt;&lt;publication_count&gt;13&lt;/publication_count&gt;&lt;is_me&gt;0&lt;/is_me&gt;&lt;initial&gt;O&lt;/initial&gt;&lt;role2&gt;0&lt;/role2&gt;&lt;searchresult&gt;0&lt;/searchresult&gt;&lt;standard_name&gt;Ottaviani, Javier I&lt;/standard_name&gt;&lt;uuid&gt;5FDC6E83-F9A3-44D8-B3A3-DF2F7A479E3C&lt;/uuid&gt;&lt;name_string&gt;[1] Ottaviani [4] Javier [5] I &lt;/name_string&gt;&lt;affiliation&gt;Mars Inc; McLean VA USA&lt;/affiliation&gt;&lt;prename&gt;Javier I&lt;/prename&gt;&lt;role1&gt;0&lt;/role1&gt;&lt;middleNames&gt;I&lt;/middleNames&gt;&lt;type&gt;0&lt;/type&gt;&lt;label&gt;0&lt;/label&gt;&lt;role5&gt;0&lt;/role5&gt;&lt;firstName&gt;Javier&lt;/firstName&gt;&lt;institutional&gt;0&lt;/institutional&gt;&lt;created_at&gt;2014-03-19 16:18:12 +0000&lt;/created_at&gt;&lt;role4&gt;0&lt;/role4&gt;&lt;surname&gt;Ottaviani&lt;/surname&gt;&lt;lastName&gt;Ottaviani&lt;/lastName&gt;&lt;flagged&gt;0&lt;/flagged&gt;&lt;/author&gt;&lt;author&gt;&lt;role3&gt;0&lt;/role3&gt;&lt;fullname&gt;Christian Heiss&lt;/fullname&gt;&lt;privacy_level&gt;0&lt;/privacy_level&gt;&lt;updated_at&gt;2018-12-19 08:29:52 +0000&lt;/updated_at&gt;&lt;publication_count&gt;17&lt;/publication_count&gt;&lt;is_me&gt;0&lt;/is_me&gt;&lt;initial&gt;H&lt;/initial&gt;&lt;role2&gt;0&lt;/role2&gt;&lt;searchresult&gt;0&lt;/searchresult&gt;&lt;standard_name&gt;Heiss, Christian&lt;/standard_name&gt;&lt;uuid&gt;9AEAAA07-AB82-4781-B762-1724880946B6&lt;/uuid&gt;&lt;name_string&gt;[1] Heiss [4] Christian &lt;/name_string&gt;&lt;affiliation&gt;Division of Cardiology; Pulmonology and Vascular Medicine; Medical Faculty; University of Düsseldorf; Düsseldorf Germany&lt;/affiliation&gt;&lt;prename&gt;Christian&lt;/prename&gt;&lt;role1&gt;0&lt;/role1&gt;&lt;type&gt;0&lt;/type&gt;&lt;label&gt;0&lt;/label&gt;&lt;role5&gt;0&lt;/role5&gt;&lt;firstName&gt;Christian&lt;/firstName&gt;&lt;institutional&gt;0&lt;/institutional&gt;&lt;created_at&gt;2013-12-22 13:45:57 +0000&lt;/created_at&gt;&lt;role4&gt;0&lt;/role4&gt;&lt;surname&gt;Heiss&lt;/surname&gt;&lt;lastName&gt;Heiss&lt;/lastName&gt;&lt;flagged&gt;0&lt;/flagged&gt;&lt;/author&gt;&lt;author&gt;&lt;role3&gt;0&lt;/role3&gt;&lt;fullname&gt;Jeremy P E Spencer&lt;/fullname&gt;&lt;privacy_level&gt;0&lt;/privacy_level&gt;&lt;extensible_properties&gt;&lt;derivedAffiliation&gt;Department of Food and Nutritional Sciences, The University of Reading, Reading, United Kingdom, and the Analytical and Applied Sciences Group, Mars Inc, Hackettstown, NJ.&lt;/derivedAffiliation&gt;&lt;/extensible_properties&gt;&lt;publication_count&gt;37&lt;/publication_count&gt;&lt;is_me&gt;0&lt;/is_me&gt;&lt;initial&gt;S&lt;/initial&gt;&lt;role2&gt;0&lt;/role2&gt;&lt;searchresult&gt;0&lt;/searchresult&gt;&lt;standard_name&gt;Spencer, Jeremy P E&lt;/standard_name&gt;&lt;updated_at&gt;2018-08-13 20:04:20 +0000&lt;/updated_at&gt;&lt;name_string&gt;[1] Spencer [4] Jeremy [5] P E &lt;/name_string&gt;&lt;affiliation&gt;Molecular Nutrition Group; School of Chemistry; Food and Pharmacy; University of Reading; Reading UK&lt;/affiliation&gt;&lt;prename&gt;Jeremy P E&lt;/prename&gt;&lt;role1&gt;0&lt;/role1&gt;&lt;middleNames&gt;P E&lt;/middleNames&gt;&lt;type&gt;0&lt;/type&gt;&lt;uuid&gt;0AE7C154-3E34-4B1D-9CBE-5C2FE5E271C3&lt;/uuid&gt;&lt;label&gt;0&lt;/label&gt;&lt;role5&gt;0&lt;/role5&gt;&lt;firstName&gt;Jeremy&lt;/firstName&gt;&lt;institutional&gt;0&lt;/institutional&gt;&lt;created_at&gt;2013-12-02 16:41:50 +0000&lt;/created_at&gt;&lt;role4&gt;0&lt;/role4&gt;&lt;surname&gt;Spencer&lt;/surname&gt;&lt;lastName&gt;Spencer&lt;/lastName&gt;&lt;flagged&gt;0&lt;/flagged&gt;&lt;/author&gt;&lt;author&gt;&lt;role3&gt;0&lt;/role3&gt;&lt;fullname&gt;Malte Kelm&lt;/fullname&gt;&lt;privacy_level&gt;0&lt;/privacy_level&gt;&lt;updated_at&gt;2018-12-19 08:29:51 +0000&lt;/updated_at&gt;&lt;publication_count&gt;21&lt;/publication_count&gt;&lt;is_me&gt;0&lt;/is_me&gt;&lt;initial&gt;K&lt;/initial&gt;&lt;role2&gt;0&lt;/role2&gt;&lt;searchresult&gt;0&lt;/searchresult&gt;&lt;standard_name&gt;Kelm, Malte&lt;/standard_name&gt;&lt;uuid&gt;0DA1C392-EE29-4C2A-965A-3E0F50E248A3&lt;/uuid&gt;&lt;name_string&gt;[1] Kelm [4] Malte &lt;/name_string&gt;&lt;affiliation&gt;Division of Cardiology; Pulmonology and Vascular Medicine; Medical Faculty; University of Düsseldorf; Düsseldorf Germany&lt;/affiliation&gt;&lt;prename&gt;Malte&lt;/prename&gt;&lt;role1&gt;0&lt;/role1&gt;&lt;type&gt;0&lt;/type&gt;&lt;label&gt;0&lt;/label&gt;&lt;role5&gt;0&lt;/role5&gt;&lt;firstName&gt;Malte&lt;/firstName&gt;&lt;institutional&gt;0&lt;/institutional&gt;&lt;created_at&gt;2013-12-02 16:43:25 +0000&lt;/created_at&gt;&lt;role4&gt;0&lt;/role4&gt;&lt;surname&gt;Kelm&lt;/surname&gt;&lt;lastName&gt;Kelm&lt;/lastName&gt;&lt;flagged&gt;0&lt;/flagged&gt;&lt;/author&gt;&lt;author&gt;&lt;role3&gt;0&lt;/role3&gt;&lt;fullname&gt;Hagen Schroeter&lt;/fullname&gt;&lt;privacy_level&gt;0&lt;/privacy_level&gt;&lt;updated_at&gt;2018-12-19 08:29:52 +0000&lt;/updated_at&gt;&lt;publication_count&gt;39&lt;/publication_count&gt;&lt;is_me&gt;0&lt;/is_me&gt;&lt;initial&gt;S&lt;/initial&gt;&lt;role2&gt;0&lt;/role2&gt;&lt;searchresult&gt;0&lt;/searchresult&gt;&lt;standard_name&gt;Schroeter, Hagen&lt;/standard_name&gt;&lt;uuid&gt;92869682-87CE-4043-A429-989E3DF280CA&lt;/uuid&gt;&lt;name_string&gt;[1] Schroeter [4] Hagen &lt;/name_string&gt;&lt;affiliation&gt;Mars Inc; McLean VA USA&lt;/affiliation&gt;&lt;prename&gt;Hagen&lt;/prename&gt;&lt;role1&gt;0&lt;/role1&gt;&lt;type&gt;0&lt;/type&gt;&lt;label&gt;0&lt;/label&gt;&lt;role5&gt;0&lt;/role5&gt;&lt;firstName&gt;Hagen&lt;/firstName&gt;&lt;institutional&gt;0&lt;/institutional&gt;&lt;created_at&gt;2014-02-15 10:48:19 +0000&lt;/created_at&gt;&lt;role4&gt;0&lt;/role4&gt;&lt;surname&gt;Schroeter&lt;/surname&gt;&lt;lastName&gt;Schroeter&lt;/lastName&gt;&lt;flagged&gt;0&lt;/flagged&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1,2</w:t>
      </w:r>
      <w:r w:rsidR="00CE24FC" w:rsidRPr="002D6EC7">
        <w:rPr>
          <w:lang w:val="en-US" w:eastAsia="en-GB"/>
        </w:rPr>
        <w:fldChar w:fldCharType="end"/>
      </w:r>
      <w:r w:rsidR="00523723" w:rsidRPr="002D6EC7">
        <w:t>. Recent data have shown that the monomer (−)</w:t>
      </w:r>
      <w:r w:rsidR="00523723" w:rsidRPr="002D6EC7">
        <w:noBreakHyphen/>
        <w:t xml:space="preserve">epicatechin, </w:t>
      </w:r>
      <w:r w:rsidR="005323EC" w:rsidRPr="002D6EC7">
        <w:t>but</w:t>
      </w:r>
      <w:r w:rsidR="00523723" w:rsidRPr="002D6EC7">
        <w:t xml:space="preserve"> not oligomeric and polymeric procyanidins, are responsible for improvements in vascular function </w:t>
      </w:r>
      <w:r w:rsidR="00CE24FC" w:rsidRPr="002D6EC7">
        <w:rPr>
          <w:lang w:val="en-US" w:eastAsia="en-GB"/>
        </w:rPr>
        <w:fldChar w:fldCharType="begin"/>
      </w:r>
      <w:r w:rsidR="002D6EC7" w:rsidRPr="002D6EC7">
        <w:rPr>
          <w:lang w:val="en-US" w:eastAsia="en-GB"/>
        </w:rPr>
        <w:instrText xml:space="preserve"> ADDIN PAPERS2_CITATIONS &lt;citation&gt;&lt;priority&gt;1&lt;/priority&gt;&lt;uuid&gt;D30C6394-F529-4250-AC4E-B31C5941CFA9&lt;/uuid&gt;&lt;publications&gt;&lt;publication&gt;&lt;subtype&gt;400&lt;/subtype&gt;&lt;title&gt;Assessing the respective contributions of dietary flavanol monomers and procyanidins in mediating cardiovascular effects in humans: randomized, controlled, double-masked intervention trial.&lt;/title&gt;&lt;url&gt;https://academic.oup.com/ajcn/advance-article/doi/10.1093/ajcn/nqy229/5144478&lt;/url&gt;&lt;volume&gt;31&lt;/volume&gt;&lt;publication_date&gt;99201810241200000000222000&lt;/publication_date&gt;&lt;uuid&gt;D2A927CE-4B16-4583-B44D-CA90A41322AF&lt;/uuid&gt;&lt;type&gt;400&lt;/type&gt;&lt;accepted_date&gt;99201808131200000000222000&lt;/accepted_date&gt;&lt;number&gt;6&lt;/number&gt;&lt;citekey&gt;RodriguezMateos:2018bs&lt;/citekey&gt;&lt;submission_date&gt;99201804271200000000222000&lt;/submission_date&gt;&lt;doi&gt;10.1093/ajcn/nqy229&lt;/doi&gt;&lt;institution&gt;Division of Cardiology, Pulmonology, and Vascular Medicine, Medical Faculty, University of Dusseldorf, Dusseldorf, Germany.&lt;/institution&gt;&lt;startpage&gt;546&lt;/startpage&gt;&lt;endpage&gt;1237&lt;/endpage&gt;&lt;bundle&gt;&lt;publication&gt;&lt;title&gt;The American journal of clinical nutrition&lt;/title&gt;&lt;uuid&gt;E4A68C8D-0654-4E33-8D3C-2CD7DF6B341B&lt;/uuid&gt;&lt;subtype&gt;-100&lt;/subtype&gt;&lt;type&gt;-100&lt;/type&gt;&lt;/publication&gt;&lt;/bundle&gt;&lt;authors&gt;&lt;author&gt;&lt;lastName&gt;Rodriguez-Mateos&lt;/lastName&gt;&lt;firstName&gt;Ana&lt;/firstName&gt;&lt;/author&gt;&lt;author&gt;&lt;lastName&gt;Weber&lt;/lastName&gt;&lt;firstName&gt;Timon&lt;/firstName&gt;&lt;/author&gt;&lt;author&gt;&lt;lastName&gt;Skene&lt;/lastName&gt;&lt;firstName&gt;Simon&lt;/firstName&gt;&lt;middleNames&gt;S&lt;/middleNames&gt;&lt;/author&gt;&lt;author&gt;&lt;lastName&gt;Ottaviani&lt;/lastName&gt;&lt;firstName&gt;Javier&lt;/firstName&gt;&lt;middleNames&gt;I&lt;/middleNames&gt;&lt;/author&gt;&lt;author&gt;&lt;lastName&gt;Crozier&lt;/lastName&gt;&lt;firstName&gt;Alan&lt;/firstName&gt;&lt;/author&gt;&lt;author&gt;&lt;lastName&gt;Kelm&lt;/lastName&gt;&lt;firstName&gt;Malte&lt;/firstName&gt;&lt;/author&gt;&lt;author&gt;&lt;lastName&gt;Schroeter&lt;/lastName&gt;&lt;firstName&gt;Hagen&lt;/firstName&gt;&lt;/author&gt;&lt;author&gt;&lt;lastName&gt;Heiss&lt;/lastName&gt;&lt;firstName&gt;Christian&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3</w:t>
      </w:r>
      <w:r w:rsidR="00CE24FC" w:rsidRPr="002D6EC7">
        <w:rPr>
          <w:lang w:val="en-US" w:eastAsia="en-GB"/>
        </w:rPr>
        <w:fldChar w:fldCharType="end"/>
      </w:r>
      <w:r w:rsidR="00523723" w:rsidRPr="002D6EC7">
        <w:t>. While the effect of (</w:t>
      </w:r>
      <w:proofErr w:type="gramStart"/>
      <w:r w:rsidR="00523723" w:rsidRPr="002D6EC7">
        <w:t>−)</w:t>
      </w:r>
      <w:r w:rsidR="00523723" w:rsidRPr="002D6EC7">
        <w:noBreakHyphen/>
      </w:r>
      <w:proofErr w:type="gramEnd"/>
      <w:r w:rsidR="00523723" w:rsidRPr="002D6EC7">
        <w:t>epicatechin on health can be investigated in clinical</w:t>
      </w:r>
      <w:r w:rsidR="00563657" w:rsidRPr="002D6EC7">
        <w:t xml:space="preserve"> dietary</w:t>
      </w:r>
      <w:r w:rsidR="00523723" w:rsidRPr="002D6EC7">
        <w:t xml:space="preserve"> intervention studies, only epidemiological </w:t>
      </w:r>
      <w:r w:rsidR="00563657" w:rsidRPr="002D6EC7">
        <w:t xml:space="preserve">investigations </w:t>
      </w:r>
      <w:r w:rsidR="00523723" w:rsidRPr="002D6EC7">
        <w:t xml:space="preserve">can provide </w:t>
      </w:r>
      <w:r w:rsidR="00563657" w:rsidRPr="002D6EC7">
        <w:t xml:space="preserve">population-based </w:t>
      </w:r>
      <w:r w:rsidR="00523723" w:rsidRPr="002D6EC7">
        <w:t>information about the long-term effect of (−)</w:t>
      </w:r>
      <w:r w:rsidR="00523723" w:rsidRPr="002D6EC7">
        <w:noBreakHyphen/>
        <w:t>epicatechin as part of the habitual diet.</w:t>
      </w:r>
      <w:r w:rsidR="00AF672C" w:rsidRPr="002D6EC7">
        <w:t xml:space="preserve"> However, </w:t>
      </w:r>
      <w:r w:rsidR="00563657" w:rsidRPr="002D6EC7">
        <w:t xml:space="preserve">such investigations </w:t>
      </w:r>
      <w:r w:rsidR="00AF672C" w:rsidRPr="002D6EC7">
        <w:t xml:space="preserve">rely on </w:t>
      </w:r>
      <w:r w:rsidR="00563657" w:rsidRPr="002D6EC7">
        <w:t xml:space="preserve">an </w:t>
      </w:r>
      <w:r w:rsidR="00AF672C" w:rsidRPr="002D6EC7">
        <w:t xml:space="preserve">accurate estimate of intake, and this is </w:t>
      </w:r>
      <w:r w:rsidR="00DA386E" w:rsidRPr="002D6EC7">
        <w:t>not possible with the methods commonly used</w:t>
      </w:r>
      <w:r w:rsidR="00563657" w:rsidRPr="002D6EC7">
        <w:t xml:space="preserve"> today.</w:t>
      </w:r>
      <w:r w:rsidR="00DA386E" w:rsidRPr="002D6EC7">
        <w:t xml:space="preserve"> </w:t>
      </w:r>
      <w:r w:rsidR="00563657" w:rsidRPr="002D6EC7">
        <w:t xml:space="preserve">Reasons lie in the significant limitation of </w:t>
      </w:r>
      <w:r w:rsidR="00DA386E" w:rsidRPr="002D6EC7">
        <w:t>self-reported dietary data</w:t>
      </w:r>
      <w:r w:rsidR="00563657" w:rsidRPr="002D6EC7">
        <w:t xml:space="preserve"> as well as in the </w:t>
      </w:r>
      <w:r w:rsidR="00AF672C" w:rsidRPr="002D6EC7">
        <w:t>large variability of</w:t>
      </w:r>
      <w:r w:rsidR="00563657" w:rsidRPr="002D6EC7">
        <w:t xml:space="preserve"> the </w:t>
      </w:r>
      <w:r w:rsidR="00AF672C" w:rsidRPr="002D6EC7">
        <w:t>(</w:t>
      </w:r>
      <w:proofErr w:type="gramStart"/>
      <w:r w:rsidR="00AF672C" w:rsidRPr="002D6EC7">
        <w:t>−)</w:t>
      </w:r>
      <w:r w:rsidR="00AF672C" w:rsidRPr="002D6EC7">
        <w:noBreakHyphen/>
      </w:r>
      <w:proofErr w:type="gramEnd"/>
      <w:r w:rsidR="00AF672C" w:rsidRPr="002D6EC7">
        <w:t>epicatechin content of foods</w:t>
      </w:r>
      <w:r w:rsidR="008A31F6" w:rsidRPr="002D6EC7">
        <w:t xml:space="preserve"> (Table 1)</w:t>
      </w:r>
      <w:r w:rsidR="00DA386E" w:rsidRPr="002D6EC7">
        <w:t xml:space="preserve">. </w:t>
      </w:r>
      <w:r w:rsidR="00563657" w:rsidRPr="002D6EC7">
        <w:t>A</w:t>
      </w:r>
      <w:r w:rsidR="00DA386E" w:rsidRPr="002D6EC7">
        <w:t>lternative</w:t>
      </w:r>
      <w:r w:rsidR="00563657" w:rsidRPr="002D6EC7">
        <w:t>s to the latter approach</w:t>
      </w:r>
      <w:r w:rsidR="00DA386E" w:rsidRPr="002D6EC7">
        <w:t xml:space="preserve"> </w:t>
      </w:r>
      <w:r w:rsidR="00563657" w:rsidRPr="002D6EC7">
        <w:t xml:space="preserve">emerge in the use of </w:t>
      </w:r>
      <w:r w:rsidR="00DA386E" w:rsidRPr="002D6EC7">
        <w:t>nutritional biomarkers</w:t>
      </w:r>
      <w:r w:rsidR="00563657" w:rsidRPr="002D6EC7">
        <w:t xml:space="preserve"> of intake</w:t>
      </w:r>
      <w:r w:rsidR="00DA386E" w:rsidRPr="002D6EC7">
        <w:t xml:space="preserve">, </w:t>
      </w:r>
      <w:r w:rsidR="006F1AED" w:rsidRPr="002D6EC7">
        <w:t>which reflect actual intake</w:t>
      </w:r>
      <w:r w:rsidR="00B857E4" w:rsidRPr="002D6EC7">
        <w:t xml:space="preserve"> and do not rely on </w:t>
      </w:r>
      <w:r w:rsidR="00563657" w:rsidRPr="002D6EC7">
        <w:t>self-reported food intakes</w:t>
      </w:r>
      <w:r w:rsidR="00B857E4" w:rsidRPr="002D6EC7">
        <w:t xml:space="preserve"> and food composition data </w:t>
      </w:r>
      <w:r w:rsidR="00CE24FC" w:rsidRPr="002D6EC7">
        <w:rPr>
          <w:lang w:val="en-US" w:eastAsia="en-GB"/>
        </w:rPr>
        <w:fldChar w:fldCharType="begin"/>
      </w:r>
      <w:r w:rsidR="002D6EC7" w:rsidRPr="002D6EC7">
        <w:rPr>
          <w:lang w:val="en-US" w:eastAsia="en-GB"/>
        </w:rPr>
        <w:instrText xml:space="preserve"> ADDIN PAPERS2_CITATIONS &lt;citation&gt;&lt;priority&gt;2&lt;/priority&gt;&lt;uuid&gt;3491C7BE-EFD6-4C06-8797-CE088CA2479F&lt;/uuid&gt;&lt;publications&gt;&lt;publication&gt;&lt;subtype&gt;400&lt;/subtype&gt;&lt;title&gt;Nutritional biomarkers for objective dietary assessment.&lt;/title&gt;&lt;url&gt;http://eutils.ncbi.nlm.nih.gov/entrez/eutils/elink.fcgi?dbfrom=pubmed&amp;amp;id=22351524&amp;amp;retmode=ref&amp;amp;cmd=prlinks&lt;/url&gt;&lt;volume&gt;92&lt;/volume&gt;&lt;publication_date&gt;99201204001200000000220000&lt;/publication_date&gt;&lt;uuid&gt;4982EFDB-6D62-4E01-8661-A738460625D3&lt;/uuid&gt;&lt;type&gt;400&lt;/type&gt;&lt;accepted_date&gt;99201201171200000000222000&lt;/accepted_date&gt;&lt;number&gt;6&lt;/number&gt;&lt;citekey&gt;Kuhnle:2012kr&lt;/citekey&gt;&lt;submission_date&gt;99201201171200000000222000&lt;/submission_date&gt;&lt;doi&gt;10.1002/jsfa.5631&lt;/doi&gt;&lt;institution&gt;Department of Food and Nutritional Sciences, University of Reading, Reading RG6 6 AH, UK. g.g.kuhnle@reading.ac.uk&lt;/institution&gt;&lt;startpage&gt;1145&lt;/startpage&gt;&lt;endpage&gt;1149&lt;/endpage&gt;&lt;bundle&gt;&lt;publication&gt;&lt;title&gt;Journal of the science of food and agriculture&lt;/title&gt;&lt;uuid&gt;AAFA9BB0-161D-4711-9186-2402A534228B&lt;/uuid&gt;&lt;subtype&gt;-100&lt;/subtype&gt;&lt;publisher&gt;John Wiley &amp;amp; Sons, Ltd.&lt;/publisher&gt;&lt;type&gt;-100&lt;/type&gt;&lt;/publication&gt;&lt;/bundle&gt;&lt;authors&gt;&lt;author&gt;&lt;lastName&gt;Kuhnle&lt;/lastName&gt;&lt;firstName&gt;Gunter&lt;/firstName&gt;&lt;middleNames&gt;G C&lt;/middleNames&gt;&lt;/author&gt;&lt;/authors&gt;&lt;/publication&gt;&lt;publication&gt;&lt;subtype&gt;400&lt;/subtype&gt;&lt;location&gt;&amp;lt;html&amp;gt;&amp;lt;head&amp;gt;&amp;lt;meta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Home&amp;lt;/a&amp;gt;&amp;lt;/div&amp;gt;&amp;lt;/body&amp;gt;&amp;lt;/html&amp;gt;&lt;/location&gt;&lt;title&gt;Biomarkers in nutritional epidemiology: applications, needs and new horizons&lt;/title&gt;&lt;url&gt;http://www.ncbi.nlm.nih.gov/entrez/query.fcgi?db=pubmed&amp;amp;amp&lt;/url&gt;&lt;volume&gt;125&lt;/volume&gt;&lt;publication_date&gt;99200907011200000000222000&lt;/publication_date&gt;&lt;uuid&gt;CC43BD6D-23D7-45DD-82A3-F22F7E6872C9&lt;/uuid&gt;&lt;type&gt;400&lt;/type&gt;&lt;number&gt;5-6&lt;/number&gt;&lt;citekey&gt;Jenab:2009ty&lt;/citekey&gt;&lt;subtitle&gt;Human Genetics&lt;/subtitle&gt;&lt;institution&gt;Lifestyle, Environment and Cancer Group, International Agency for Research on Cancer (IARC-WHO), Lyon, France. jenab@iarc.fr&lt;/institution&gt;&lt;startpage&gt;507&lt;/startpage&gt;&lt;endpage&gt;525&lt;/endpage&gt;&lt;bundle&gt;&lt;publication&gt;&lt;title&gt;Human genetics&lt;/title&gt;&lt;uuid&gt;A737A8C6-AEDF-4B6B-AA20-77F20C9CBF1B&lt;/uuid&gt;&lt;subtype&gt;-100&lt;/subtype&gt;&lt;type&gt;-100&lt;/type&gt;&lt;/publication&gt;&lt;/bundle&gt;&lt;authors&gt;&lt;author&gt;&lt;lastName&gt;Jenab&lt;/lastName&gt;&lt;firstName&gt;Mazda&lt;/firstName&gt;&lt;/author&gt;&lt;author&gt;&lt;lastName&gt;Slimani&lt;/lastName&gt;&lt;firstName&gt;Nadia&lt;/firstName&gt;&lt;/author&gt;&lt;author&gt;&lt;lastName&gt;Bictash&lt;/lastName&gt;&lt;firstName&gt;M&lt;/firstName&gt;&lt;/author&gt;&lt;author&gt;&lt;lastName&gt;Ferrari&lt;/lastName&gt;&lt;firstName&gt;Pietro&lt;/firstName&gt;&lt;/author&gt;&lt;author&gt;&lt;lastName&gt;Bingham&lt;/lastName&gt;&lt;firstName&gt;Shelia&lt;/firstName&gt;&lt;middleNames&gt;A&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4,5</w:t>
      </w:r>
      <w:r w:rsidR="00CE24FC" w:rsidRPr="002D6EC7">
        <w:rPr>
          <w:lang w:val="en-US" w:eastAsia="en-GB"/>
        </w:rPr>
        <w:fldChar w:fldCharType="end"/>
      </w:r>
      <w:r w:rsidR="00A210AE" w:rsidRPr="002D6EC7">
        <w:t xml:space="preserve">. While we have recently evaluated </w:t>
      </w:r>
      <w:r w:rsidR="00B35AE6" w:rsidRPr="002D6EC7">
        <w:t>a</w:t>
      </w:r>
      <w:r w:rsidR="00AF4646" w:rsidRPr="002D6EC7">
        <w:t xml:space="preserve"> </w:t>
      </w:r>
      <w:r w:rsidR="00A210AE" w:rsidRPr="002D6EC7">
        <w:t>nutritional biomarker of flavan-3-ol intake</w:t>
      </w:r>
      <w:r w:rsidR="00EB65D9"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&lt;citation&gt;&lt;priority&gt;3&lt;/priority&gt;&lt;uuid&gt;8FBA6C81-7941-40D8-B527-E19D1B473B32&lt;/uuid&gt;&lt;publications&gt;&lt;publication&gt;&lt;subtype&gt;400&lt;/subtype&gt;&lt;publisher&gt;Nature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6</w:t>
      </w:r>
      <w:r w:rsidR="00CE24FC" w:rsidRPr="002D6EC7">
        <w:rPr>
          <w:lang w:val="en-US" w:eastAsia="en-GB"/>
        </w:rPr>
        <w:fldChar w:fldCharType="end"/>
      </w:r>
      <w:r w:rsidR="00B857E4" w:rsidRPr="002D6EC7">
        <w:t xml:space="preserve">, there are currently no established biomarkers to </w:t>
      </w:r>
      <w:r w:rsidR="00A210AE" w:rsidRPr="002D6EC7">
        <w:t xml:space="preserve">specifically </w:t>
      </w:r>
      <w:r w:rsidR="00B857E4" w:rsidRPr="002D6EC7">
        <w:t xml:space="preserve">assess </w:t>
      </w:r>
      <w:r w:rsidR="00A210AE" w:rsidRPr="002D6EC7">
        <w:t xml:space="preserve">the intake of </w:t>
      </w:r>
      <w:r w:rsidR="00B857E4" w:rsidRPr="002D6EC7">
        <w:t>(−)</w:t>
      </w:r>
      <w:r w:rsidR="00B857E4" w:rsidRPr="002D6EC7">
        <w:noBreakHyphen/>
        <w:t>epicatechin.</w:t>
      </w:r>
    </w:p>
    <w:p w14:paraId="63BF3DDE" w14:textId="493DC8FB" w:rsidR="00B857E4" w:rsidRPr="002D6EC7" w:rsidRDefault="00B857E4" w:rsidP="00EB65D9">
      <w:pPr>
        <w:pStyle w:val="RdgNormalFollow"/>
      </w:pPr>
      <w:r w:rsidRPr="002D6EC7">
        <w:t>Nutritional biomarkers for phenolic compounds such as (−)</w:t>
      </w:r>
      <w:r w:rsidRPr="002D6EC7">
        <w:noBreakHyphen/>
        <w:t>epicatechin</w:t>
      </w:r>
      <w:r w:rsidR="00D75AC8" w:rsidRPr="002D6EC7">
        <w:t>,</w:t>
      </w:r>
      <w:r w:rsidRPr="002D6EC7">
        <w:t xml:space="preserve"> are often based on the concentration of their metabolites in blood or urine </w:t>
      </w:r>
      <w:r w:rsidR="00CE24FC" w:rsidRPr="002D6EC7">
        <w:rPr>
          <w:lang w:val="en-US" w:eastAsia="en-GB"/>
        </w:rPr>
        <w:fldChar w:fldCharType="begin"/>
      </w:r>
      <w:r w:rsidR="002D6EC7" w:rsidRPr="002D6EC7">
        <w:rPr>
          <w:lang w:val="en-US" w:eastAsia="en-GB"/>
        </w:rPr>
        <w:instrText xml:space="preserve"> ADDIN PAPERS2_CITATIONS &lt;citation&gt;&lt;priority&gt;4&lt;/priority&gt;&lt;uuid&gt;805BA827-429C-4D53-8E9D-95FA9CB22864&lt;/uuid&gt;&lt;publications&gt;&lt;publication&gt;&lt;subtype&gt;400&lt;/subtype&gt;&lt;title&gt;Urinary Excretion of Select Dietary Polyphenol Metabolites Is Associated with a Lower Risk of Type 2 Diabetes in Proximate but Not Remote Follow-Up in a Prospective Investigation in 2 Cohorts of US Women.&lt;/title&gt;&lt;url&gt;http://eutils.ncbi.nlm.nih.gov/entrez/eutils/elink.fcgi?dbfrom=pubmed&amp;amp;id=25904735&amp;amp;retmode=ref&amp;amp;cmd=prlinks&lt;/url&gt;&lt;volume&gt;145&lt;/volume&gt;&lt;publication_date&gt;99201506001200000000220000&lt;/publication_date&gt;&lt;uuid&gt;6D6044F3-2B8D-4990-B217-045B0BC97A6B&lt;/uuid&gt;&lt;type&gt;400&lt;/type&gt;&lt;accepted_date&gt;99201503271200000000222000&lt;/accepted_date&gt;&lt;number&gt;6&lt;/number&gt;&lt;citekey&gt;Sun:2015dv&lt;/citekey&gt;&lt;submission_date&gt;99201412151200000000222000&lt;/submission_date&gt;&lt;doi&gt;10.3945/jn.114.208736&lt;/doi&gt;&lt;institution&gt;Channing Division of Network Medicine, Department of Medicine, Brigham and Women's Hospital and Harvard Medical School, Boston, MA; Departments of Nutrition and qisun@hsph.harvard.edu.&lt;/institution&gt;&lt;startpage&gt;1280&lt;/startpage&gt;&lt;endpage&gt;1288&lt;/endpage&gt;&lt;bundle&gt;&lt;publication&gt;&lt;title&gt;Journal of Nutrition&lt;/title&gt;&lt;uuid&gt;9B217033-D8AD-4018-8F08-04E6395D7788&lt;/uuid&gt;&lt;subtype&gt;-100&lt;/subtype&gt;&lt;type&gt;-100&lt;/type&gt;&lt;/publication&gt;&lt;/bundle&gt;&lt;authors&gt;&lt;author&gt;&lt;lastName&gt;Sun&lt;/lastName&gt;&lt;firstName&gt;Qi&lt;/firstName&gt;&lt;/author&gt;&lt;author&gt;&lt;lastName&gt;Wedick&lt;/lastName&gt;&lt;firstName&gt;Nicole&lt;/firstName&gt;&lt;middleNames&gt;M&lt;/middleNames&gt;&lt;/author&gt;&lt;author&gt;&lt;lastName&gt;Tworoger&lt;/lastName&gt;&lt;firstName&gt;Shelley&lt;/firstName&gt;&lt;middleNames&gt;S&lt;/middleNames&gt;&lt;/author&gt;&lt;author&gt;&lt;lastName&gt;Pan&lt;/lastName&gt;&lt;firstName&gt;An&lt;/firstName&gt;&lt;/author&gt;&lt;author&gt;&lt;lastName&gt;Townsend&lt;/lastName&gt;&lt;firstName&gt;Mary&lt;/firstName&gt;&lt;middleNames&gt;K&lt;/middleNames&gt;&lt;/author&gt;&lt;author&gt;&lt;lastName&gt;Cassidy&lt;/lastName&gt;&lt;firstName&gt;Aedin&lt;/firstName&gt;&lt;/author&gt;&lt;author&gt;&lt;lastName&gt;Franke&lt;/lastName&gt;&lt;firstName&gt;Adrian&lt;/firstName&gt;&lt;middleNames&gt;A&lt;/middleNames&gt;&lt;/author&gt;&lt;author&gt;&lt;lastName&gt;Rimm&lt;/lastName&gt;&lt;firstName&gt;Eric&lt;/firstName&gt;&lt;middleNames&gt;B&lt;/middleNames&gt;&lt;/author&gt;&lt;author&gt;&lt;lastName&gt;Hu&lt;/lastName&gt;&lt;firstName&gt;Frank&lt;/firstName&gt;&lt;middleNames&gt;B&lt;/middleNames&gt;&lt;/author&gt;&lt;author&gt;&lt;lastName&gt;Dam&lt;/lastName&gt;&lt;nonDroppingParticle&gt;van&lt;/nonDroppingParticle&gt;&lt;firstName&gt;Rob&lt;/firstName&gt;&lt;middleNames&gt;M&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7</w:t>
      </w:r>
      <w:r w:rsidR="00CE24FC" w:rsidRPr="002D6EC7">
        <w:rPr>
          <w:lang w:val="en-US" w:eastAsia="en-GB"/>
        </w:rPr>
        <w:fldChar w:fldCharType="end"/>
      </w:r>
      <w:r w:rsidR="009F1D61" w:rsidRPr="002D6EC7">
        <w:t xml:space="preserve">. However, a </w:t>
      </w:r>
      <w:r w:rsidR="005323EC" w:rsidRPr="002D6EC7">
        <w:t xml:space="preserve">careful evaluation of </w:t>
      </w:r>
      <w:r w:rsidR="007B6F13" w:rsidRPr="002D6EC7">
        <w:t>phenolic me</w:t>
      </w:r>
      <w:r w:rsidR="007A7B4C" w:rsidRPr="002D6EC7">
        <w:t>tabolites</w:t>
      </w:r>
      <w:r w:rsidR="005323EC" w:rsidRPr="002D6EC7">
        <w:t xml:space="preserve"> is important to assess their suitability and </w:t>
      </w:r>
      <w:r w:rsidR="00D75AC8" w:rsidRPr="002D6EC7">
        <w:t xml:space="preserve">to </w:t>
      </w:r>
      <w:r w:rsidR="005323EC" w:rsidRPr="002D6EC7">
        <w:t>identify their strengths and limitations</w:t>
      </w:r>
      <w:r w:rsidR="007B6F13" w:rsidRPr="002D6EC7">
        <w:t xml:space="preserve"> as biomarkers</w:t>
      </w:r>
      <w:r w:rsidR="00D75AC8" w:rsidRPr="002D6EC7">
        <w:t xml:space="preserve"> of intake</w:t>
      </w:r>
      <w:r w:rsidR="005323EC" w:rsidRPr="002D6EC7">
        <w:t>.</w:t>
      </w:r>
      <w:r w:rsidR="009F1D61" w:rsidRPr="002D6EC7">
        <w:t xml:space="preserve"> </w:t>
      </w:r>
      <w:r w:rsidR="00C871F4" w:rsidRPr="002D6EC7">
        <w:t xml:space="preserve">Previously, we </w:t>
      </w:r>
      <w:r w:rsidR="009F1D61" w:rsidRPr="002D6EC7">
        <w:t xml:space="preserve">used the </w:t>
      </w:r>
      <w:r w:rsidR="007B6F13" w:rsidRPr="002D6EC7">
        <w:t>evaluation process</w:t>
      </w:r>
      <w:r w:rsidR="009F1D61" w:rsidRPr="002D6EC7">
        <w:t xml:space="preserve"> proposed by IARC and the Institute of Medicine </w:t>
      </w:r>
      <w:r w:rsidR="00CE24FC" w:rsidRPr="002D6EC7">
        <w:rPr>
          <w:lang w:val="en-US" w:eastAsia="en-GB"/>
        </w:rPr>
        <w:fldChar w:fldCharType="begin"/>
      </w:r>
      <w:r w:rsidR="002D6EC7" w:rsidRPr="002D6EC7">
        <w:rPr>
          <w:lang w:val="en-US" w:eastAsia="en-GB"/>
        </w:rPr>
        <w:instrText xml:space="preserve"> ADDIN PAPERS2_CITATIONS &lt;citation&gt;&lt;priority&gt;5&lt;/priority&gt;&lt;uuid&gt;291A3EEA-0B5C-4A5C-99AC-B63A634856A0&lt;/uuid&gt;&lt;publications&gt;&lt;publication&gt;&lt;subtype&gt;400&lt;/subtype&gt;&lt;publisher&gt;Nature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6</w:t>
      </w:r>
      <w:r w:rsidR="00CE24FC" w:rsidRPr="002D6EC7">
        <w:rPr>
          <w:lang w:val="en-US" w:eastAsia="en-GB"/>
        </w:rPr>
        <w:fldChar w:fldCharType="end"/>
      </w:r>
      <w:r w:rsidR="008B75A8" w:rsidRPr="002D6EC7">
        <w:rPr>
          <w:lang w:val="en-US" w:eastAsia="en-GB"/>
        </w:rPr>
        <w:t xml:space="preserve"> </w:t>
      </w:r>
      <w:r w:rsidR="009F1D61" w:rsidRPr="002D6EC7">
        <w:t xml:space="preserve">to </w:t>
      </w:r>
      <w:r w:rsidR="005323EC" w:rsidRPr="002D6EC7">
        <w:t>evaluate 5-(3′,4′-dihydroxyphenyl)-γ-valerolactone (</w:t>
      </w:r>
      <w:proofErr w:type="spellStart"/>
      <w:r w:rsidR="005323EC" w:rsidRPr="002D6EC7">
        <w:t>gVL</w:t>
      </w:r>
      <w:proofErr w:type="spellEnd"/>
      <w:r w:rsidR="005323EC" w:rsidRPr="002D6EC7">
        <w:t>) and its metabolites (</w:t>
      </w:r>
      <w:proofErr w:type="spellStart"/>
      <w:r w:rsidR="005323EC" w:rsidRPr="002D6EC7">
        <w:t>gVLM</w:t>
      </w:r>
      <w:proofErr w:type="spellEnd"/>
      <w:r w:rsidR="005323EC" w:rsidRPr="002D6EC7">
        <w:t>) as nutritional biomarker of flavan-3-ol intake</w:t>
      </w:r>
      <w:r w:rsidR="007B6006"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&lt;citation&gt;&lt;priority&gt;6&lt;/priority&gt;&lt;uuid&gt;4CACE81C-A14A-42F7-BE44-D7A245AB2C05&lt;/uuid&gt;&lt;publications&gt;&lt;publication&gt;&lt;subtype&gt;400&lt;/subtype&gt;&lt;publisher&gt;Nature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6</w:t>
      </w:r>
      <w:r w:rsidR="00CE24FC" w:rsidRPr="002D6EC7">
        <w:rPr>
          <w:lang w:val="en-US" w:eastAsia="en-GB"/>
        </w:rPr>
        <w:fldChar w:fldCharType="end"/>
      </w:r>
      <w:r w:rsidR="005323EC" w:rsidRPr="002D6EC7">
        <w:t xml:space="preserve">. </w:t>
      </w:r>
      <w:r w:rsidR="009F1D61" w:rsidRPr="002D6EC7">
        <w:t xml:space="preserve">These criteria include: </w:t>
      </w:r>
      <w:proofErr w:type="spellStart"/>
      <w:r w:rsidR="009F1D61" w:rsidRPr="002D6EC7">
        <w:t>i</w:t>
      </w:r>
      <w:proofErr w:type="spellEnd"/>
      <w:r w:rsidR="009F1D61" w:rsidRPr="002D6EC7">
        <w:t>) demonstration of accuracy</w:t>
      </w:r>
      <w:r w:rsidR="00B11457" w:rsidRPr="002D6EC7">
        <w:t>, precision</w:t>
      </w:r>
      <w:r w:rsidR="009F1D61" w:rsidRPr="002D6EC7">
        <w:t xml:space="preserve"> and reliability of the </w:t>
      </w:r>
      <w:r w:rsidR="00E663D3" w:rsidRPr="002D6EC7">
        <w:t xml:space="preserve">analytical </w:t>
      </w:r>
      <w:r w:rsidR="009F1D61" w:rsidRPr="002D6EC7">
        <w:t xml:space="preserve">method to quantify the </w:t>
      </w:r>
      <w:r w:rsidR="007A7B4C" w:rsidRPr="002D6EC7">
        <w:t xml:space="preserve">candidate </w:t>
      </w:r>
      <w:r w:rsidR="009F1D61" w:rsidRPr="002D6EC7">
        <w:t>biomarker; ii) demonstration and characteri</w:t>
      </w:r>
      <w:r w:rsidR="00312719" w:rsidRPr="002D6EC7">
        <w:t>z</w:t>
      </w:r>
      <w:r w:rsidR="009F1D61" w:rsidRPr="002D6EC7">
        <w:t>ation of the relationship between intake and candidate biomarker level</w:t>
      </w:r>
      <w:r w:rsidR="00E663D3" w:rsidRPr="002D6EC7">
        <w:t>s in urine</w:t>
      </w:r>
      <w:r w:rsidR="009F1D61" w:rsidRPr="002D6EC7">
        <w:t>, including characteri</w:t>
      </w:r>
      <w:r w:rsidR="00312719" w:rsidRPr="002D6EC7">
        <w:t>z</w:t>
      </w:r>
      <w:r w:rsidR="009F1D61" w:rsidRPr="002D6EC7">
        <w:t xml:space="preserve">ing specificity and </w:t>
      </w:r>
      <w:r w:rsidR="007B6F13" w:rsidRPr="002D6EC7">
        <w:t xml:space="preserve">intra-individual </w:t>
      </w:r>
      <w:r w:rsidR="009F1D61" w:rsidRPr="002D6EC7">
        <w:t xml:space="preserve">variability; and iii) demonstration of the applicability of the </w:t>
      </w:r>
      <w:r w:rsidR="009F1D61" w:rsidRPr="002D6EC7">
        <w:lastRenderedPageBreak/>
        <w:t xml:space="preserve">candidate biomarker to estimate intake in large cohort studies. </w:t>
      </w:r>
      <w:r w:rsidR="005323EC" w:rsidRPr="002D6EC7">
        <w:t xml:space="preserve">Here, we apply the same criteria to evaluate </w:t>
      </w:r>
      <w:r w:rsidR="00312719" w:rsidRPr="002D6EC7">
        <w:t xml:space="preserve">three </w:t>
      </w:r>
      <w:r w:rsidR="00DC6E38" w:rsidRPr="002D6EC7">
        <w:t xml:space="preserve">of the most abundant </w:t>
      </w:r>
      <w:r w:rsidR="005323EC" w:rsidRPr="002D6EC7">
        <w:t>structurally related (−)</w:t>
      </w:r>
      <w:r w:rsidR="005323EC" w:rsidRPr="002D6EC7">
        <w:noBreakHyphen/>
        <w:t>epicatechin metabolites (SREM)</w:t>
      </w:r>
      <w:r w:rsidR="00C83F33" w:rsidRPr="002D6EC7">
        <w:t>, including (−)-epicatechin-3</w:t>
      </w:r>
      <w:r w:rsidR="00C83F33" w:rsidRPr="002D6EC7">
        <w:rPr>
          <w:rFonts w:hint="eastAsia"/>
        </w:rPr>
        <w:t>′</w:t>
      </w:r>
      <w:r w:rsidR="00C83F33" w:rsidRPr="002D6EC7">
        <w:t>-glucuronide (E3</w:t>
      </w:r>
      <w:r w:rsidR="00AD57A5" w:rsidRPr="002D6EC7">
        <w:rPr>
          <w:rFonts w:ascii="Arial" w:hAnsi="Arial" w:cs="Arial"/>
        </w:rPr>
        <w:t>′</w:t>
      </w:r>
      <w:r w:rsidR="00C83F33" w:rsidRPr="002D6EC7">
        <w:t>G), (−)-epicatechin-3</w:t>
      </w:r>
      <w:r w:rsidR="00C83F33" w:rsidRPr="002D6EC7">
        <w:rPr>
          <w:rFonts w:hint="eastAsia"/>
        </w:rPr>
        <w:t>′</w:t>
      </w:r>
      <w:r w:rsidR="00C83F33" w:rsidRPr="002D6EC7">
        <w:t>-</w:t>
      </w:r>
      <w:proofErr w:type="spellStart"/>
      <w:r w:rsidR="00C83F33" w:rsidRPr="002D6EC7">
        <w:t>sulfate</w:t>
      </w:r>
      <w:proofErr w:type="spellEnd"/>
      <w:r w:rsidR="00C83F33" w:rsidRPr="002D6EC7">
        <w:t xml:space="preserve"> (E3</w:t>
      </w:r>
      <w:r w:rsidR="00D82FEC" w:rsidRPr="002D6EC7">
        <w:rPr>
          <w:rFonts w:ascii="Arial" w:hAnsi="Arial" w:cs="Arial"/>
        </w:rPr>
        <w:t>′</w:t>
      </w:r>
      <w:r w:rsidR="00C83F33" w:rsidRPr="002D6EC7">
        <w:t>S) and 3</w:t>
      </w:r>
      <w:r w:rsidR="00C83F33" w:rsidRPr="002D6EC7">
        <w:rPr>
          <w:rFonts w:hint="eastAsia"/>
        </w:rPr>
        <w:t>′</w:t>
      </w:r>
      <w:r w:rsidR="00C83F33" w:rsidRPr="002D6EC7">
        <w:rPr>
          <w:rFonts w:hint="eastAsia"/>
        </w:rPr>
        <w:t>-</w:t>
      </w:r>
      <w:r w:rsidR="00C83F33" w:rsidRPr="002D6EC7">
        <w:t>O-methyl-(−)-epicatechin-5-sulfate (</w:t>
      </w:r>
      <w:r w:rsidR="00D82FEC" w:rsidRPr="002D6EC7">
        <w:t>3</w:t>
      </w:r>
      <w:r w:rsidR="00C83F33" w:rsidRPr="002D6EC7">
        <w:t>MeE5S),</w:t>
      </w:r>
      <w:r w:rsidR="005323EC" w:rsidRPr="002D6EC7">
        <w:t xml:space="preserve"> as biomarker of (−)</w:t>
      </w:r>
      <w:r w:rsidR="005323EC" w:rsidRPr="002D6EC7">
        <w:noBreakHyphen/>
        <w:t xml:space="preserve">epicatechin intake and to estimate </w:t>
      </w:r>
      <w:r w:rsidR="007A7B4C" w:rsidRPr="002D6EC7">
        <w:t>(−)</w:t>
      </w:r>
      <w:r w:rsidR="007A7B4C" w:rsidRPr="002D6EC7">
        <w:noBreakHyphen/>
        <w:t xml:space="preserve">epicatechin </w:t>
      </w:r>
      <w:r w:rsidR="005323EC" w:rsidRPr="002D6EC7">
        <w:t xml:space="preserve">intake in </w:t>
      </w:r>
      <w:r w:rsidR="00E663D3" w:rsidRPr="002D6EC7">
        <w:t xml:space="preserve">large-scale </w:t>
      </w:r>
      <w:r w:rsidR="005323EC" w:rsidRPr="002D6EC7">
        <w:t xml:space="preserve">cohort </w:t>
      </w:r>
      <w:r w:rsidR="007A7B4C" w:rsidRPr="002D6EC7">
        <w:t>stud</w:t>
      </w:r>
      <w:r w:rsidR="00E663D3" w:rsidRPr="002D6EC7">
        <w:t>ies</w:t>
      </w:r>
      <w:r w:rsidR="00B44D6C" w:rsidRPr="002D6EC7">
        <w:t xml:space="preserve"> using this biomarker</w:t>
      </w:r>
      <w:r w:rsidR="005323EC" w:rsidRPr="002D6EC7">
        <w:t>.</w:t>
      </w:r>
    </w:p>
    <w:p w14:paraId="3AB54EAE" w14:textId="77777777" w:rsidR="00CA1FCB" w:rsidRPr="002D6EC7" w:rsidRDefault="00CA1FCB" w:rsidP="00CA1FCB">
      <w:pPr>
        <w:pStyle w:val="Heading1"/>
      </w:pPr>
      <w:r w:rsidRPr="002D6EC7">
        <w:lastRenderedPageBreak/>
        <w:t>Methodology</w:t>
      </w:r>
    </w:p>
    <w:p w14:paraId="58984BAA" w14:textId="77777777" w:rsidR="005323EC" w:rsidRPr="002D6EC7" w:rsidRDefault="005323EC" w:rsidP="005323EC">
      <w:pPr>
        <w:pStyle w:val="Heading2"/>
      </w:pPr>
      <w:r w:rsidRPr="002D6EC7">
        <w:t>Analytical method</w:t>
      </w:r>
    </w:p>
    <w:p w14:paraId="0B9DB44D" w14:textId="3517DA23" w:rsidR="0047750D" w:rsidRPr="002D6EC7" w:rsidRDefault="0047750D" w:rsidP="0047750D">
      <w:pPr>
        <w:pStyle w:val="RdgNormal"/>
      </w:pPr>
      <w:r w:rsidRPr="002D6EC7">
        <w:t>Analysis was performed using ultra high-performance liquid chromatography couple</w:t>
      </w:r>
      <w:r w:rsidR="00F10D74" w:rsidRPr="002D6EC7">
        <w:t>d</w:t>
      </w:r>
      <w:r w:rsidRPr="002D6EC7">
        <w:t xml:space="preserve"> to tandem mass spectrometry (UPLC-MS/MS). </w:t>
      </w:r>
      <w:r w:rsidRPr="002D6EC7">
        <w:rPr>
          <w:i/>
        </w:rPr>
        <w:t>De novo</w:t>
      </w:r>
      <w:r w:rsidRPr="002D6EC7">
        <w:t xml:space="preserve"> synthesi</w:t>
      </w:r>
      <w:r w:rsidR="00312719" w:rsidRPr="002D6EC7">
        <w:t>z</w:t>
      </w:r>
      <w:r w:rsidRPr="002D6EC7">
        <w:t xml:space="preserve">ed authentic standards </w:t>
      </w:r>
      <w:r w:rsidR="00CE24FC" w:rsidRPr="002D6EC7">
        <w:rPr>
          <w:lang w:val="en-US" w:eastAsia="en-GB"/>
        </w:rPr>
        <w:fldChar w:fldCharType="begin"/>
      </w:r>
      <w:r w:rsidR="002D6EC7" w:rsidRPr="002D6EC7">
        <w:rPr>
          <w:lang w:val="en-US" w:eastAsia="en-GB"/>
        </w:rPr>
        <w:instrText xml:space="preserve"> ADDIN PAPERS2_CITATIONS &lt;citation&gt;&lt;priority&gt;7&lt;/priority&gt;&lt;uuid&gt;80D2A386-7563-4CF1-8B62-2BD79AE0E4B0&lt;/uuid&gt;&lt;publications&gt;&lt;publication&gt;&lt;subtype&gt;400&lt;/subtype&gt;&lt;title&gt;Enantioselective synthesis of orthogonally protected (2R,3R)-(−)-epicatechin derivatives, key intermediates in the de novo chemical synthesis of (−)-epicatechin glucuronides and sulfates&lt;/title&gt;&lt;url&gt;http://linkinghub.elsevier.com/retrieve/pii/S0957416613000815&lt;/url&gt;&lt;volume&gt;24&lt;/volume&gt;&lt;publication_date&gt;99201304001200000000220000&lt;/publication_date&gt;&lt;uuid&gt;A28F58AE-F96C-4313-B849-6C38A153BEE0&lt;/uuid&gt;&lt;type&gt;400&lt;/type&gt;&lt;number&gt;7&lt;/number&gt;&lt;citekey&gt;Zhang:2013jh&lt;/citekey&gt;&lt;doi&gt;10.1016/j.tetasy.2013.02.012&lt;/doi&gt;&lt;startpage&gt;362&lt;/startpage&gt;&lt;endpage&gt;373&lt;/endpage&gt;&lt;bundle&gt;&lt;publication&gt;&lt;title&gt;Tetrahedron: Asymmetry&lt;/title&gt;&lt;uuid&gt;21C881FB-8926-413F-BFCB-A62038E6E5C3&lt;/uuid&gt;&lt;subtype&gt;-100&lt;/subtype&gt;&lt;type&gt;-100&lt;/type&gt;&lt;/publication&gt;&lt;/bundle&gt;&lt;authors&gt;&lt;author&gt;&lt;lastName&gt;Zhang&lt;/lastName&gt;&lt;firstName&gt;Mingbao&lt;/firstName&gt;&lt;/author&gt;&lt;author&gt;&lt;lastName&gt;Erik Jagdmann&lt;/lastName&gt;&lt;firstName&gt;G&lt;/firstName&gt;&lt;suffix&gt;Jr.&lt;/suffix&gt;&lt;/author&gt;&lt;author&gt;&lt;lastName&gt;Zandt&lt;/lastName&gt;&lt;nonDroppingParticle&gt;Van&lt;/nonDroppingParticle&gt;&lt;firstName&gt;Michael&lt;/firstName&gt;&lt;/author&gt;&lt;author&gt;&lt;lastName&gt;Beckett&lt;/lastName&gt;&lt;firstName&gt;Paul&lt;/firstName&gt;&lt;/author&gt;&lt;author&gt;&lt;lastName&gt;Schroeter&lt;/lastName&gt;&lt;firstName&gt;Hagen&lt;/firstName&gt;&lt;/author&gt;&lt;/authors&gt;&lt;/publication&gt;&lt;publication&gt;&lt;subtype&gt;400&lt;/subtype&gt;&lt;title&gt;Chemical Synthesis and Characterization of Epicatechin Glucuronides and Sulfates: Bioanalytical Standards for Epicatechin Metabolite Identification&lt;/title&gt;&lt;url&gt;http://pubs.acs.org/doi/abs/10.1021/np300568m&lt;/url&gt;&lt;volume&gt;76&lt;/volume&gt;&lt;publication_date&gt;99201302221200000000222000&lt;/publication_date&gt;&lt;uuid&gt;7EE0101A-3071-4B6D-A880-2C9468F393B2&lt;/uuid&gt;&lt;type&gt;400&lt;/type&gt;&lt;number&gt;2&lt;/number&gt;&lt;citekey&gt;Zhang:2013gr&lt;/citekey&gt;&lt;doi&gt;10.1021/np300568m&lt;/doi&gt;&lt;startpage&gt;157&lt;/startpage&gt;&lt;endpage&gt;169&lt;/endpage&gt;&lt;bundle&gt;&lt;publication&gt;&lt;title&gt;J Nat Prod&lt;/title&gt;&lt;uuid&gt;91555C79-7FAC-4FE8-A3C3-40D1ED62A4BC&lt;/uuid&gt;&lt;subtype&gt;-100&lt;/subtype&gt;&lt;type&gt;-100&lt;/type&gt;&lt;/publication&gt;&lt;/bundle&gt;&lt;authors&gt;&lt;author&gt;&lt;lastName&gt;Zhang&lt;/lastName&gt;&lt;firstName&gt;Mingbao&lt;/firstName&gt;&lt;/author&gt;&lt;author&gt;&lt;lastName&gt;Jagdmann&lt;/lastName&gt;&lt;firstName&gt;G&lt;/firstName&gt;&lt;middleNames&gt;Erik&lt;/middleNames&gt;&lt;suffix&gt;Jr.&lt;/suffix&gt;&lt;/author&gt;&lt;author&gt;&lt;lastName&gt;Zandt&lt;/lastName&gt;&lt;nonDroppingParticle&gt;Van&lt;/nonDroppingParticle&gt;&lt;firstName&gt;Michael&lt;/firstName&gt;&lt;/author&gt;&lt;author&gt;&lt;lastName&gt;Sheeler&lt;/lastName&gt;&lt;firstName&gt;Ryan&lt;/firstName&gt;&lt;/author&gt;&lt;author&gt;&lt;lastName&gt;Beckett&lt;/lastName&gt;&lt;firstName&gt;Paul&lt;/firstName&gt;&lt;/author&gt;&lt;author&gt;&lt;lastName&gt;Schroeter&lt;/lastName&gt;&lt;firstName&gt;Hagen&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8,9</w:t>
      </w:r>
      <w:r w:rsidR="00CE24FC" w:rsidRPr="002D6EC7">
        <w:rPr>
          <w:lang w:val="en-US" w:eastAsia="en-GB"/>
        </w:rPr>
        <w:fldChar w:fldCharType="end"/>
      </w:r>
      <w:r w:rsidRPr="002D6EC7">
        <w:t xml:space="preserve"> of three human structurally related epicatechin metabolites (SERMs) considered in this study (</w:t>
      </w:r>
      <w:r w:rsidRPr="002D6EC7">
        <w:rPr>
          <w:rStyle w:val="normaltextrun"/>
        </w:rPr>
        <w:t>(−)-epicatechin-3′-glucuronide</w:t>
      </w:r>
      <w:r w:rsidRPr="002D6EC7">
        <w:rPr>
          <w:rStyle w:val="apple-converted-space"/>
        </w:rPr>
        <w:t> </w:t>
      </w:r>
      <w:r w:rsidRPr="002D6EC7">
        <w:rPr>
          <w:rStyle w:val="normaltextrun"/>
        </w:rPr>
        <w:t>(E3G),</w:t>
      </w:r>
      <w:r w:rsidRPr="002D6EC7">
        <w:rPr>
          <w:rStyle w:val="apple-converted-space"/>
        </w:rPr>
        <w:t> </w:t>
      </w:r>
      <w:r w:rsidRPr="002D6EC7">
        <w:rPr>
          <w:rStyle w:val="normaltextrun"/>
        </w:rPr>
        <w:t>(−)-epicatechin-3′-sulfate</w:t>
      </w:r>
      <w:r w:rsidRPr="002D6EC7">
        <w:rPr>
          <w:rStyle w:val="apple-converted-space"/>
        </w:rPr>
        <w:t> </w:t>
      </w:r>
      <w:r w:rsidRPr="002D6EC7">
        <w:rPr>
          <w:rStyle w:val="normaltextrun"/>
        </w:rPr>
        <w:t>(E3S)</w:t>
      </w:r>
      <w:r w:rsidRPr="002D6EC7">
        <w:rPr>
          <w:rStyle w:val="apple-converted-space"/>
        </w:rPr>
        <w:t> </w:t>
      </w:r>
      <w:r w:rsidRPr="002D6EC7">
        <w:rPr>
          <w:rStyle w:val="normaltextrun"/>
        </w:rPr>
        <w:t>and</w:t>
      </w:r>
      <w:r w:rsidRPr="002D6EC7">
        <w:rPr>
          <w:rStyle w:val="apple-converted-space"/>
        </w:rPr>
        <w:t> </w:t>
      </w:r>
      <w:r w:rsidRPr="002D6EC7">
        <w:rPr>
          <w:rStyle w:val="normaltextrun"/>
        </w:rPr>
        <w:t>3′-O-methyl-(−)-epicatechin-5-sulfate</w:t>
      </w:r>
      <w:r w:rsidRPr="002D6EC7">
        <w:rPr>
          <w:rStyle w:val="apple-converted-space"/>
        </w:rPr>
        <w:t> </w:t>
      </w:r>
      <w:r w:rsidRPr="002D6EC7">
        <w:rPr>
          <w:rStyle w:val="normaltextrun"/>
        </w:rPr>
        <w:t>(3Me5S</w:t>
      </w:r>
      <w:r w:rsidRPr="002D6EC7">
        <w:t>), as well as stable isotope labelled internal standards (D</w:t>
      </w:r>
      <w:r w:rsidRPr="002D6EC7">
        <w:rPr>
          <w:vertAlign w:val="subscript"/>
        </w:rPr>
        <w:t>2</w:t>
      </w:r>
      <w:r w:rsidRPr="002D6EC7">
        <w:t>/D</w:t>
      </w:r>
      <w:r w:rsidRPr="002D6EC7">
        <w:rPr>
          <w:vertAlign w:val="subscript"/>
        </w:rPr>
        <w:t>3</w:t>
      </w:r>
      <w:r w:rsidRPr="002D6EC7">
        <w:t>-epicatechin-3</w:t>
      </w:r>
      <w:r w:rsidRPr="002D6EC7">
        <w:rPr>
          <w:rStyle w:val="normaltextrun"/>
        </w:rPr>
        <w:t>′</w:t>
      </w:r>
      <w:r w:rsidRPr="002D6EC7">
        <w:t xml:space="preserve">-b-D-glucuronide, 50:50 mix) were obtained from </w:t>
      </w:r>
      <w:proofErr w:type="spellStart"/>
      <w:r w:rsidRPr="002D6EC7">
        <w:t>Analyticon</w:t>
      </w:r>
      <w:proofErr w:type="spellEnd"/>
      <w:r w:rsidRPr="002D6EC7">
        <w:t xml:space="preserve"> (</w:t>
      </w:r>
      <w:proofErr w:type="spellStart"/>
      <w:r w:rsidRPr="002D6EC7">
        <w:t>Analyticon</w:t>
      </w:r>
      <w:proofErr w:type="spellEnd"/>
      <w:r w:rsidRPr="002D6EC7">
        <w:t xml:space="preserve"> Technologies AG, </w:t>
      </w:r>
      <w:proofErr w:type="spellStart"/>
      <w:r w:rsidRPr="002D6EC7">
        <w:t>Lichtenfels</w:t>
      </w:r>
      <w:proofErr w:type="spellEnd"/>
      <w:r w:rsidRPr="002D6EC7">
        <w:t xml:space="preserve">, Germany). Stock solutions were prepared in </w:t>
      </w:r>
      <w:proofErr w:type="spellStart"/>
      <w:proofErr w:type="gramStart"/>
      <w:r w:rsidRPr="002D6EC7">
        <w:t>ethanol:water</w:t>
      </w:r>
      <w:proofErr w:type="spellEnd"/>
      <w:proofErr w:type="gramEnd"/>
      <w:r w:rsidRPr="002D6EC7">
        <w:t xml:space="preserve"> (70:30</w:t>
      </w:r>
      <w:r w:rsidR="00312719" w:rsidRPr="002D6EC7">
        <w:t>, v/v</w:t>
      </w:r>
      <w:r w:rsidRPr="002D6EC7">
        <w:t>) and stored at -80</w:t>
      </w:r>
      <w:r w:rsidRPr="002D6EC7">
        <w:sym w:font="Symbol" w:char="F0B0"/>
      </w:r>
      <w:r w:rsidRPr="002D6EC7">
        <w:t xml:space="preserve">C. </w:t>
      </w:r>
    </w:p>
    <w:p w14:paraId="55C2F2C5" w14:textId="44ADB8C6" w:rsidR="0047750D" w:rsidRPr="002D6EC7" w:rsidRDefault="0047750D" w:rsidP="0047750D">
      <w:pPr>
        <w:pStyle w:val="RdgNormalFollow"/>
      </w:pPr>
      <w:r w:rsidRPr="002D6EC7">
        <w:t xml:space="preserve">Flavan-3-ol </w:t>
      </w:r>
      <w:r w:rsidR="00312719" w:rsidRPr="002D6EC7">
        <w:t>metabolite-</w:t>
      </w:r>
      <w:r w:rsidRPr="002D6EC7">
        <w:t>free</w:t>
      </w:r>
      <w:r w:rsidR="00EB65D9" w:rsidRPr="002D6EC7">
        <w:t xml:space="preserve"> spot</w:t>
      </w:r>
      <w:r w:rsidRPr="002D6EC7">
        <w:t xml:space="preserve"> urine was obtained from human</w:t>
      </w:r>
      <w:r w:rsidR="003E784B" w:rsidRPr="002D6EC7">
        <w:t xml:space="preserve"> </w:t>
      </w:r>
      <w:r w:rsidRPr="002D6EC7">
        <w:t xml:space="preserve">volunteers on a </w:t>
      </w:r>
      <w:r w:rsidR="00C9507D" w:rsidRPr="002D6EC7">
        <w:t>low-</w:t>
      </w:r>
      <w:r w:rsidRPr="002D6EC7">
        <w:t>flavan-3-ol diet</w:t>
      </w:r>
      <w:r w:rsidR="00EB65D9" w:rsidRPr="002D6EC7">
        <w:t>, excluding in particular tea, pome fruits and berries from their diet</w:t>
      </w:r>
      <w:r w:rsidRPr="002D6EC7">
        <w:t xml:space="preserve">. This study was approved by the University of Reading Research Ethics Committee. All </w:t>
      </w:r>
      <w:r w:rsidR="00EB65D9" w:rsidRPr="002D6EC7">
        <w:t>participants</w:t>
      </w:r>
      <w:r w:rsidRPr="002D6EC7">
        <w:t xml:space="preserve"> gave their written informed consent to participate and all experiments were performed in accordance with relevant </w:t>
      </w:r>
      <w:r w:rsidR="00EB65D9" w:rsidRPr="002D6EC7">
        <w:t xml:space="preserve">University </w:t>
      </w:r>
      <w:r w:rsidRPr="002D6EC7">
        <w:t>guidelines and regulations</w:t>
      </w:r>
      <w:r w:rsidR="00EB65D9" w:rsidRPr="002D6EC7">
        <w:t xml:space="preserve"> and followed GCP</w:t>
      </w:r>
      <w:r w:rsidRPr="002D6EC7">
        <w:t xml:space="preserve">. </w:t>
      </w:r>
    </w:p>
    <w:p w14:paraId="6364E177" w14:textId="77777777" w:rsidR="0047750D" w:rsidRPr="002D6EC7" w:rsidRDefault="0047750D" w:rsidP="0047750D">
      <w:pPr>
        <w:pStyle w:val="RdgNormalFollow"/>
      </w:pPr>
      <w:r w:rsidRPr="002D6EC7">
        <w:t xml:space="preserve">Urine samples (60 </w:t>
      </w:r>
      <w:r w:rsidRPr="002D6EC7">
        <w:rPr>
          <w:rFonts w:ascii="Calibri" w:hAnsi="Calibri" w:cs="Calibri"/>
        </w:rPr>
        <w:t>µ</w:t>
      </w:r>
      <w:r w:rsidRPr="002D6EC7">
        <w:t xml:space="preserve">L) and internal standard solutions (1.0 </w:t>
      </w:r>
      <w:r w:rsidRPr="002D6EC7">
        <w:rPr>
          <w:rFonts w:ascii="Calibri" w:hAnsi="Calibri" w:cs="Calibri"/>
        </w:rPr>
        <w:t>µ</w:t>
      </w:r>
      <w:r w:rsidRPr="002D6EC7">
        <w:t xml:space="preserve">M ISTD, 60 </w:t>
      </w:r>
      <w:r w:rsidRPr="002D6EC7">
        <w:rPr>
          <w:rFonts w:ascii="Calibri" w:hAnsi="Calibri" w:cs="Calibri"/>
        </w:rPr>
        <w:t>µ</w:t>
      </w:r>
      <w:r w:rsidRPr="002D6EC7">
        <w:t>L) were combined, filtered (Impact Protein Precipitation filter plate, Phenomenex, Macclesfield, UK) by centrifugation (500 x g) for 2 minutes at room temperature and stored at -20</w:t>
      </w:r>
      <w:r w:rsidRPr="002D6EC7">
        <w:sym w:font="Symbol" w:char="F0B0"/>
      </w:r>
      <w:r w:rsidRPr="002D6EC7">
        <w:t xml:space="preserve">C until analysis. Sample preparation was automated for the analysis of EPIC Norfolk urine samples using a Hamilton Star robot (Hamilton, </w:t>
      </w:r>
      <w:proofErr w:type="spellStart"/>
      <w:r w:rsidRPr="002D6EC7">
        <w:t>Bonaduz</w:t>
      </w:r>
      <w:proofErr w:type="spellEnd"/>
      <w:r w:rsidRPr="002D6EC7">
        <w:t xml:space="preserve">, Switzerland). </w:t>
      </w:r>
    </w:p>
    <w:p w14:paraId="659BAC85" w14:textId="547EC3EE" w:rsidR="005323EC" w:rsidRPr="002D6EC7" w:rsidRDefault="0047750D" w:rsidP="0047750D">
      <w:pPr>
        <w:pStyle w:val="RdgNormalFollow"/>
      </w:pPr>
      <w:r w:rsidRPr="002D6EC7">
        <w:t>Samples were separated by liquid chromatography (</w:t>
      </w:r>
      <w:proofErr w:type="spellStart"/>
      <w:r w:rsidRPr="002D6EC7">
        <w:t>Acquity</w:t>
      </w:r>
      <w:proofErr w:type="spellEnd"/>
      <w:r w:rsidRPr="002D6EC7">
        <w:t>, Waters, Elstree, UK) using a C18 column (</w:t>
      </w:r>
      <w:proofErr w:type="spellStart"/>
      <w:r w:rsidRPr="002D6EC7">
        <w:t>Kinetex</w:t>
      </w:r>
      <w:proofErr w:type="spellEnd"/>
      <w:r w:rsidRPr="002D6EC7">
        <w:t xml:space="preserve"> C18 100 x 2.1 mm, 1.7 </w:t>
      </w:r>
      <w:r w:rsidRPr="002D6EC7">
        <w:rPr>
          <w:rFonts w:ascii="Calibri" w:hAnsi="Calibri" w:cs="Calibri"/>
        </w:rPr>
        <w:t>µ</w:t>
      </w:r>
      <w:r w:rsidRPr="002D6EC7">
        <w:t xml:space="preserve">m, with 0.5 </w:t>
      </w:r>
      <w:r w:rsidRPr="002D6EC7">
        <w:rPr>
          <w:rFonts w:ascii="Calibri" w:hAnsi="Calibri" w:cs="Calibri"/>
        </w:rPr>
        <w:t>µ</w:t>
      </w:r>
      <w:r w:rsidRPr="002D6EC7">
        <w:t xml:space="preserve">m </w:t>
      </w:r>
      <w:proofErr w:type="spellStart"/>
      <w:r w:rsidRPr="002D6EC7">
        <w:t>Krudcatcher</w:t>
      </w:r>
      <w:proofErr w:type="spellEnd"/>
      <w:r w:rsidRPr="002D6EC7">
        <w:t xml:space="preserve">, Phenomenex, Macclesfield, UK). Gradient elution was performed at a flow rate of 0.5 mL/min using 0.1 % formic acid in water as mobile phase A and acetonitrile/methanol (9:1, v/v) as mobile phase B. The initial starting conditions were </w:t>
      </w:r>
      <w:r w:rsidR="00393022" w:rsidRPr="002D6EC7">
        <w:t>9</w:t>
      </w:r>
      <w:r w:rsidRPr="002D6EC7">
        <w:t>5% A</w:t>
      </w:r>
      <w:r w:rsidR="003E784B" w:rsidRPr="002D6EC7">
        <w:t>,</w:t>
      </w:r>
      <w:r w:rsidRPr="002D6EC7">
        <w:t xml:space="preserve"> which were held for 2 min, </w:t>
      </w:r>
      <w:r w:rsidR="00393022" w:rsidRPr="002D6EC7">
        <w:t>de</w:t>
      </w:r>
      <w:r w:rsidRPr="002D6EC7">
        <w:t xml:space="preserve">creasing to </w:t>
      </w:r>
      <w:r w:rsidR="00393022" w:rsidRPr="002D6EC7">
        <w:t>8</w:t>
      </w:r>
      <w:r w:rsidRPr="002D6EC7">
        <w:t xml:space="preserve">5% </w:t>
      </w:r>
      <w:r w:rsidRPr="002D6EC7">
        <w:lastRenderedPageBreak/>
        <w:t xml:space="preserve">A at 3.5 min, </w:t>
      </w:r>
      <w:r w:rsidR="00393022" w:rsidRPr="002D6EC7">
        <w:t>79.6</w:t>
      </w:r>
      <w:r w:rsidRPr="002D6EC7">
        <w:t xml:space="preserve"> % at 6.0 minutes 5 % A at 6.1 minutes</w:t>
      </w:r>
      <w:r w:rsidR="00F30E78" w:rsidRPr="002D6EC7">
        <w:t xml:space="preserve"> </w:t>
      </w:r>
      <w:r w:rsidRPr="002D6EC7">
        <w:t xml:space="preserve">and held until 7.0 min to wash the column before returning to </w:t>
      </w:r>
      <w:r w:rsidR="00393022" w:rsidRPr="002D6EC7">
        <w:t>9</w:t>
      </w:r>
      <w:r w:rsidRPr="002D6EC7">
        <w:t>5% A at 7.1 min for re-equilibration until 8 min. The column temperature was maintained at 25</w:t>
      </w:r>
      <w:r w:rsidRPr="002D6EC7">
        <w:sym w:font="Symbol" w:char="F0B0"/>
      </w:r>
      <w:r w:rsidRPr="002D6EC7">
        <w:t xml:space="preserve">C and the injection volume was 10 </w:t>
      </w:r>
      <w:r w:rsidRPr="002D6EC7">
        <w:rPr>
          <w:rFonts w:ascii="Calibri" w:hAnsi="Calibri" w:cs="Calibri"/>
        </w:rPr>
        <w:t>µ</w:t>
      </w:r>
      <w:r w:rsidRPr="002D6EC7">
        <w:t>L.</w:t>
      </w:r>
    </w:p>
    <w:p w14:paraId="37D68477" w14:textId="405DDCC0" w:rsidR="0047750D" w:rsidRPr="002D6EC7" w:rsidRDefault="006674F6" w:rsidP="00EB65D9">
      <w:pPr>
        <w:pStyle w:val="RdgNormalFollow"/>
      </w:pPr>
      <w:r w:rsidRPr="002D6EC7">
        <w:t xml:space="preserve">Compounds were detected </w:t>
      </w:r>
      <w:r w:rsidR="00827974" w:rsidRPr="002D6EC7">
        <w:t xml:space="preserve">using an Applied Biosystems </w:t>
      </w:r>
      <w:proofErr w:type="spellStart"/>
      <w:r w:rsidR="00827974" w:rsidRPr="002D6EC7">
        <w:t>Sciex</w:t>
      </w:r>
      <w:proofErr w:type="spellEnd"/>
      <w:r w:rsidR="00827974" w:rsidRPr="002D6EC7">
        <w:t xml:space="preserve"> API 4000 instrument (Warrington, UK) equipped with Turbo Ion Spray probe operating </w:t>
      </w:r>
      <w:r w:rsidRPr="002D6EC7">
        <w:t xml:space="preserve">in negative ion mode using the parameters shown in Table </w:t>
      </w:r>
      <w:r w:rsidR="00827974" w:rsidRPr="002D6EC7">
        <w:t>2</w:t>
      </w:r>
      <w:r w:rsidRPr="002D6EC7">
        <w:t>. The spray voltage was -4500 V and the source temperature was 600</w:t>
      </w:r>
      <w:r w:rsidR="00312719" w:rsidRPr="002D6EC7">
        <w:sym w:font="Symbol" w:char="F0B0"/>
      </w:r>
      <w:r w:rsidRPr="002D6EC7">
        <w:t xml:space="preserve">C. The dwell time was </w:t>
      </w:r>
      <w:r w:rsidR="00827974" w:rsidRPr="002D6EC7">
        <w:t>2</w:t>
      </w:r>
      <w:r w:rsidRPr="002D6EC7">
        <w:t xml:space="preserve">0 </w:t>
      </w:r>
      <w:proofErr w:type="spellStart"/>
      <w:r w:rsidRPr="002D6EC7">
        <w:t>ms</w:t>
      </w:r>
      <w:proofErr w:type="spellEnd"/>
      <w:r w:rsidRPr="002D6EC7">
        <w:t xml:space="preserve"> for each transition.</w:t>
      </w:r>
      <w:r w:rsidR="00EB65D9" w:rsidRPr="002D6EC7">
        <w:t xml:space="preserve"> </w:t>
      </w:r>
    </w:p>
    <w:p w14:paraId="115AACDD" w14:textId="7CD37848" w:rsidR="0047750D" w:rsidRPr="002D6EC7" w:rsidRDefault="005F48E2" w:rsidP="005F48E2">
      <w:pPr>
        <w:pStyle w:val="RdgNormalFollow"/>
      </w:pPr>
      <w:r w:rsidRPr="002D6EC7">
        <w:t>Samples quantified using calibration standards prepared in flavan-3-ol metabolite-free urine samples (standard concentrations [µM] were prepared at 0.1, 0.25, 1, 2, 3, 4, 5). E3G, E3S and 3Me5S were quantified using the peak area ratio of analyte and ISTD (D2/D3-E3G, 50:50 (w/w), where the D3-E3G precursor / product ions were used).</w:t>
      </w:r>
    </w:p>
    <w:p w14:paraId="36BFC08F" w14:textId="7F5D3EE5" w:rsidR="0047750D" w:rsidRPr="002D6EC7" w:rsidRDefault="0047750D" w:rsidP="0047750D">
      <w:pPr>
        <w:pStyle w:val="RdgNormalFollow"/>
      </w:pPr>
      <w:r w:rsidRPr="002D6EC7">
        <w:t>Each batch included two replicates of quality control (QC) samples with three different concentrations; low QC (0.3 µM), medium QC (2</w:t>
      </w:r>
      <w:r w:rsidR="006674F6" w:rsidRPr="002D6EC7">
        <w:t>.</w:t>
      </w:r>
      <w:r w:rsidRPr="002D6EC7">
        <w:t>5 µM) and high QC (3</w:t>
      </w:r>
      <w:r w:rsidR="006674F6" w:rsidRPr="002D6EC7">
        <w:t>.</w:t>
      </w:r>
      <w:r w:rsidRPr="002D6EC7">
        <w:t>8 µM). Usual acceptance criteria for each batch were that as least one QC at each concentration and four out of the six QCs were within 15% of the theoretical concentration.</w:t>
      </w:r>
    </w:p>
    <w:p w14:paraId="3D63EDD5" w14:textId="09EDCC56" w:rsidR="0047750D" w:rsidRPr="002D6EC7" w:rsidRDefault="0047750D" w:rsidP="0047750D">
      <w:pPr>
        <w:pStyle w:val="RdgNormalFollow"/>
      </w:pPr>
      <w:r w:rsidRPr="002D6EC7">
        <w:t xml:space="preserve">The method was validated using flavan-3-ol </w:t>
      </w:r>
      <w:r w:rsidR="00312719" w:rsidRPr="002D6EC7">
        <w:t>metabolite-</w:t>
      </w:r>
      <w:r w:rsidRPr="002D6EC7">
        <w:t xml:space="preserve">free urine, spiked with the authentic standards E3G, E3S and 3Me5S to assess stability, specificity, matrix effects, precision and accuracy. The matrix effect was assessed by spiking flavan-3-ol </w:t>
      </w:r>
      <w:r w:rsidR="00312719" w:rsidRPr="002D6EC7">
        <w:t>metabolite-</w:t>
      </w:r>
      <w:r w:rsidRPr="002D6EC7">
        <w:t xml:space="preserve">free urines from different sources with known amounts of analyte and internal standard and comparing their peak-area-ratio ratios. Method performance was assessed using data from quality control samples in 255 batches </w:t>
      </w:r>
      <w:proofErr w:type="spellStart"/>
      <w:r w:rsidR="00312719" w:rsidRPr="002D6EC7">
        <w:t>analyzed</w:t>
      </w:r>
      <w:proofErr w:type="spellEnd"/>
      <w:r w:rsidRPr="002D6EC7">
        <w:t>.</w:t>
      </w:r>
    </w:p>
    <w:p w14:paraId="20365C82" w14:textId="3DE5030B" w:rsidR="005323EC" w:rsidRPr="002D6EC7" w:rsidRDefault="005323EC" w:rsidP="005323EC">
      <w:pPr>
        <w:pStyle w:val="Heading2"/>
      </w:pPr>
      <w:r w:rsidRPr="002D6EC7">
        <w:t>Human intervention studies</w:t>
      </w:r>
    </w:p>
    <w:p w14:paraId="4399D192" w14:textId="473F0ABE" w:rsidR="004F5344" w:rsidRPr="002D6EC7" w:rsidRDefault="00014934" w:rsidP="004F5344">
      <w:pPr>
        <w:pStyle w:val="RdgNormal"/>
      </w:pPr>
      <w:r w:rsidRPr="002D6EC7">
        <w:t xml:space="preserve">Three human intervention studies were conducted to investigate biomarker specificity, intake-response relationship and </w:t>
      </w:r>
      <w:r w:rsidR="00DB79DB" w:rsidRPr="002D6EC7">
        <w:t xml:space="preserve">intra-individual variability. </w:t>
      </w:r>
      <w:r w:rsidR="004F5344" w:rsidRPr="002D6EC7">
        <w:t>Details of the human intervention studies</w:t>
      </w:r>
      <w:r w:rsidR="003E784B" w:rsidRPr="002D6EC7">
        <w:t>,</w:t>
      </w:r>
      <w:r w:rsidR="004F5344" w:rsidRPr="002D6EC7">
        <w:t xml:space="preserve"> with the exception of the investigation of intra-individual variability</w:t>
      </w:r>
      <w:r w:rsidR="003E784B" w:rsidRPr="002D6EC7">
        <w:t>,</w:t>
      </w:r>
      <w:r w:rsidR="004F5344" w:rsidRPr="002D6EC7">
        <w:t xml:space="preserve"> have been described previously </w:t>
      </w:r>
      <w:r w:rsidR="00CE24FC" w:rsidRPr="002D6EC7">
        <w:rPr>
          <w:lang w:val="en-US" w:eastAsia="en-GB"/>
        </w:rPr>
        <w:fldChar w:fldCharType="begin"/>
      </w:r>
      <w:r w:rsidR="002D6EC7" w:rsidRPr="002D6EC7">
        <w:rPr>
          <w:lang w:val="en-US" w:eastAsia="en-GB"/>
        </w:rPr>
        <w:instrText xml:space="preserve"> ADDIN PAPERS2_CITATIONS &lt;citation&gt;&lt;priority&gt;8&lt;/priority&gt;&lt;uuid&gt;15844AAE-F7E9-42A4-B95A-8B3FBB402AE9&lt;/uuid&gt;&lt;publications&gt;&lt;publication&gt;&lt;subtype&gt;400&lt;/subtype&gt;&lt;publisher&gt;Nature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6</w:t>
      </w:r>
      <w:r w:rsidR="00CE24FC" w:rsidRPr="002D6EC7">
        <w:rPr>
          <w:lang w:val="en-US" w:eastAsia="en-GB"/>
        </w:rPr>
        <w:fldChar w:fldCharType="end"/>
      </w:r>
      <w:r w:rsidR="004F5344" w:rsidRPr="002D6EC7">
        <w:t xml:space="preserve">. Briefly, </w:t>
      </w:r>
      <w:r w:rsidR="00F30E78" w:rsidRPr="002D6EC7">
        <w:t xml:space="preserve">the intervention </w:t>
      </w:r>
      <w:r w:rsidR="004F5344" w:rsidRPr="002D6EC7">
        <w:t>consisted of fruit-flavo</w:t>
      </w:r>
      <w:r w:rsidR="00DB79DB" w:rsidRPr="002D6EC7">
        <w:t>u</w:t>
      </w:r>
      <w:r w:rsidR="004F5344" w:rsidRPr="002D6EC7">
        <w:t xml:space="preserve">red non-dairy drinks </w:t>
      </w:r>
      <w:r w:rsidR="004F5344" w:rsidRPr="002D6EC7">
        <w:lastRenderedPageBreak/>
        <w:t>that contained either specific flavan-3-ols (specificity study) or varying amounts of flavan-3-ols derived from cocoa (4 levels for the intake amount escalation study)</w:t>
      </w:r>
      <w:r w:rsidR="00D734AB" w:rsidRPr="002D6EC7">
        <w:t xml:space="preserve"> and chocolate-</w:t>
      </w:r>
      <w:proofErr w:type="spellStart"/>
      <w:r w:rsidR="00D734AB" w:rsidRPr="002D6EC7">
        <w:t>flavored</w:t>
      </w:r>
      <w:proofErr w:type="spellEnd"/>
      <w:r w:rsidR="00D734AB" w:rsidRPr="002D6EC7">
        <w:t xml:space="preserve"> dairy drinks containing flavan-3-ols derived from cocoa (intra-variability study)</w:t>
      </w:r>
      <w:r w:rsidR="004F5344" w:rsidRPr="002D6EC7">
        <w:t>.</w:t>
      </w:r>
      <w:r w:rsidR="00F30E78" w:rsidRPr="002D6EC7">
        <w:t xml:space="preserve"> The test materials were prepared freshly each </w:t>
      </w:r>
      <w:proofErr w:type="gramStart"/>
      <w:r w:rsidR="00F30E78" w:rsidRPr="002D6EC7">
        <w:t>day, and</w:t>
      </w:r>
      <w:proofErr w:type="gramEnd"/>
      <w:r w:rsidR="00F30E78" w:rsidRPr="002D6EC7">
        <w:t xml:space="preserve"> were matched regarding their macro- and micronutrient content and </w:t>
      </w:r>
      <w:proofErr w:type="spellStart"/>
      <w:r w:rsidR="00F30E78" w:rsidRPr="002D6EC7">
        <w:t>orosensory</w:t>
      </w:r>
      <w:proofErr w:type="spellEnd"/>
      <w:r w:rsidR="00F30E78" w:rsidRPr="002D6EC7">
        <w:t xml:space="preserve"> and physicochemical characteristics. </w:t>
      </w:r>
      <w:r w:rsidR="004F5344" w:rsidRPr="002D6EC7">
        <w:t>All test materials were supplied by Mars, Incorporated (McLean, VA).</w:t>
      </w:r>
      <w:r w:rsidR="00D734AB" w:rsidRPr="002D6EC7">
        <w:t xml:space="preserve"> </w:t>
      </w:r>
      <w:r w:rsidR="00162C4B" w:rsidRPr="002D6EC7">
        <w:t xml:space="preserve">A summary of the events taking during each study visit is summarized in Supplemental Figure </w:t>
      </w:r>
      <w:r w:rsidR="00E641EB" w:rsidRPr="002D6EC7">
        <w:t>1</w:t>
      </w:r>
      <w:r w:rsidR="00162C4B" w:rsidRPr="002D6EC7">
        <w:t xml:space="preserve">. </w:t>
      </w:r>
      <w:r w:rsidR="00D734AB" w:rsidRPr="002D6EC7">
        <w:t xml:space="preserve">These study protocols were approved by the Institutional Review Board of UC Davis. All </w:t>
      </w:r>
      <w:r w:rsidR="00EB65D9" w:rsidRPr="002D6EC7">
        <w:t>participants</w:t>
      </w:r>
      <w:r w:rsidR="00D734AB" w:rsidRPr="002D6EC7">
        <w:t xml:space="preserve"> gave their written informed consent to participate and all experiments were performed in accordance with </w:t>
      </w:r>
      <w:r w:rsidR="00582B6A" w:rsidRPr="002D6EC7">
        <w:t>local</w:t>
      </w:r>
      <w:r w:rsidR="00D734AB" w:rsidRPr="002D6EC7">
        <w:t xml:space="preserve"> guidelines and regulations. These studies were registered as NCT03194620 and NCT03201822.</w:t>
      </w:r>
    </w:p>
    <w:p w14:paraId="66992B78" w14:textId="47364CEF" w:rsidR="004F5344" w:rsidRPr="002D6EC7" w:rsidRDefault="004F5344" w:rsidP="005323EC">
      <w:pPr>
        <w:pStyle w:val="Heading3"/>
      </w:pPr>
      <w:r w:rsidRPr="002D6EC7">
        <w:t>Study population</w:t>
      </w:r>
    </w:p>
    <w:p w14:paraId="0932579A" w14:textId="1F684567" w:rsidR="004F5344" w:rsidRPr="002D6EC7" w:rsidRDefault="004F5344" w:rsidP="00CD7E13">
      <w:pPr>
        <w:pStyle w:val="RdgNormal"/>
      </w:pPr>
      <w:r w:rsidRPr="002D6EC7">
        <w:t>Healthy adults between 25 and 60 years of age (specificity study</w:t>
      </w:r>
      <w:r w:rsidR="00CF4AA2" w:rsidRPr="002D6EC7">
        <w:t xml:space="preserve">, Supplemental Figure </w:t>
      </w:r>
      <w:r w:rsidR="008B75A8" w:rsidRPr="002D6EC7">
        <w:t>2</w:t>
      </w:r>
      <w:r w:rsidRPr="002D6EC7">
        <w:t>) and between 25 and 40 years of age (intake amount escalation study</w:t>
      </w:r>
      <w:r w:rsidR="00CF4AA2" w:rsidRPr="002D6EC7">
        <w:t xml:space="preserve">, Supplemental Figure </w:t>
      </w:r>
      <w:r w:rsidR="008B75A8" w:rsidRPr="002D6EC7">
        <w:t>3</w:t>
      </w:r>
      <w:r w:rsidRPr="002D6EC7">
        <w:t xml:space="preserve">) were recruited by public advertisement in the city of Davis and surrounding areas (California, USA). </w:t>
      </w:r>
      <w:r w:rsidR="00953077" w:rsidRPr="002D6EC7">
        <w:t>E</w:t>
      </w:r>
      <w:r w:rsidRPr="002D6EC7">
        <w:t xml:space="preserve">xclusion </w:t>
      </w:r>
      <w:r w:rsidR="00BA4A81" w:rsidRPr="002D6EC7">
        <w:t xml:space="preserve">criteria </w:t>
      </w:r>
      <w:r w:rsidR="00953077" w:rsidRPr="002D6EC7">
        <w:t>were</w:t>
      </w:r>
      <w:r w:rsidR="00BA4A81" w:rsidRPr="002D6EC7">
        <w:t xml:space="preserve"> previously </w:t>
      </w:r>
      <w:r w:rsidR="00953077" w:rsidRPr="002D6EC7">
        <w:t>described as:</w:t>
      </w:r>
      <w:r w:rsidRPr="002D6EC7">
        <w:t xml:space="preserve"> body mass index (BMI) higher than 30 kg/m2, blood pressure (BP) higher than 140/90 mmHg, </w:t>
      </w:r>
      <w:r w:rsidR="00BA4A81" w:rsidRPr="002D6EC7">
        <w:t>food allergies to test materials and a history of disease</w:t>
      </w:r>
      <w:r w:rsidR="00953077"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&lt;citation&gt;&lt;priority&gt;9&lt;/priority&gt;&lt;uuid&gt;71EDD278-9F9D-43E4-A8C2-F5E67CB289CB&lt;/uuid&gt;&lt;publications&gt;&lt;publication&gt;&lt;subtype&gt;400&lt;/subtype&gt;&lt;publisher&gt;Nature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6</w:t>
      </w:r>
      <w:r w:rsidR="00CE24FC" w:rsidRPr="002D6EC7">
        <w:rPr>
          <w:lang w:val="en-US" w:eastAsia="en-GB"/>
        </w:rPr>
        <w:fldChar w:fldCharType="end"/>
      </w:r>
      <w:r w:rsidR="00BA4A81" w:rsidRPr="002D6EC7">
        <w:t xml:space="preserve">. Throughout participation </w:t>
      </w:r>
      <w:r w:rsidR="003E784B" w:rsidRPr="002D6EC7">
        <w:t xml:space="preserve">in </w:t>
      </w:r>
      <w:r w:rsidR="00BA4A81" w:rsidRPr="002D6EC7">
        <w:t>the study</w:t>
      </w:r>
      <w:r w:rsidR="0069704E" w:rsidRPr="002D6EC7">
        <w:t xml:space="preserve"> (approximately, 8 weeks for the Specificity </w:t>
      </w:r>
      <w:r w:rsidR="00162C4B" w:rsidRPr="002D6EC7">
        <w:t>s</w:t>
      </w:r>
      <w:r w:rsidR="0069704E" w:rsidRPr="002D6EC7">
        <w:t xml:space="preserve">tudy, 4 weeks for the Intake </w:t>
      </w:r>
      <w:r w:rsidR="00162C4B" w:rsidRPr="002D6EC7">
        <w:t>e</w:t>
      </w:r>
      <w:r w:rsidR="0069704E" w:rsidRPr="002D6EC7">
        <w:t xml:space="preserve">scalation </w:t>
      </w:r>
      <w:r w:rsidR="00162C4B" w:rsidRPr="002D6EC7">
        <w:t>s</w:t>
      </w:r>
      <w:r w:rsidR="0069704E" w:rsidRPr="002D6EC7">
        <w:t>tudy and 2 weeks for the Int</w:t>
      </w:r>
      <w:r w:rsidR="00E909F5" w:rsidRPr="002D6EC7">
        <w:t>ra</w:t>
      </w:r>
      <w:r w:rsidR="00162C4B" w:rsidRPr="002D6EC7">
        <w:t>-</w:t>
      </w:r>
      <w:r w:rsidR="0069704E" w:rsidRPr="002D6EC7">
        <w:t xml:space="preserve">individual </w:t>
      </w:r>
      <w:r w:rsidR="00162C4B" w:rsidRPr="002D6EC7">
        <w:t>v</w:t>
      </w:r>
      <w:r w:rsidR="0069704E" w:rsidRPr="002D6EC7">
        <w:t xml:space="preserve">ariability </w:t>
      </w:r>
      <w:r w:rsidR="00162C4B" w:rsidRPr="002D6EC7">
        <w:t>s</w:t>
      </w:r>
      <w:r w:rsidR="00877DEB" w:rsidRPr="002D6EC7">
        <w:t>tudy</w:t>
      </w:r>
      <w:r w:rsidR="0069704E" w:rsidRPr="002D6EC7">
        <w:t>)</w:t>
      </w:r>
      <w:r w:rsidR="00BA4A81" w:rsidRPr="002D6EC7">
        <w:t xml:space="preserve">, </w:t>
      </w:r>
      <w:r w:rsidRPr="002D6EC7">
        <w:t>volunteers were asked to maintain their typical daily activities and diet. To control for potential dietary flavan-3-ol intake, volunteers were asked to follow a defined low-flavan-3-ol diet on the day prior to and during each study day</w:t>
      </w:r>
      <w:r w:rsidR="0069704E" w:rsidRPr="002D6EC7">
        <w:t xml:space="preserve">, for a total of 2 days </w:t>
      </w:r>
      <w:r w:rsidR="00162C4B" w:rsidRPr="002D6EC7">
        <w:t>following</w:t>
      </w:r>
      <w:r w:rsidR="0069704E" w:rsidRPr="002D6EC7">
        <w:t xml:space="preserve"> a low-flavan-3-ol diet</w:t>
      </w:r>
      <w:r w:rsidRPr="002D6EC7">
        <w:t xml:space="preserve">. All volunteers were instructed on how to follow a low-flavan-3-ol diet, receiving foods containing low or negligible amounts of flavanols including the dinner for the night previous to the study day. Volunteers were required to fast overnight (12 h water, </w:t>
      </w:r>
      <w:r w:rsidRPr="002D6EC7">
        <w:rPr>
          <w:i/>
        </w:rPr>
        <w:t>ad libitum</w:t>
      </w:r>
      <w:r w:rsidRPr="002D6EC7">
        <w:t>) before each study day.</w:t>
      </w:r>
      <w:r w:rsidR="00CD7E13" w:rsidRPr="002D6EC7">
        <w:t xml:space="preserve"> </w:t>
      </w:r>
    </w:p>
    <w:p w14:paraId="6087BA2C" w14:textId="0B6E3C5C" w:rsidR="005323EC" w:rsidRPr="002D6EC7" w:rsidRDefault="005323EC" w:rsidP="005323EC">
      <w:pPr>
        <w:pStyle w:val="Heading3"/>
      </w:pPr>
      <w:r w:rsidRPr="002D6EC7">
        <w:lastRenderedPageBreak/>
        <w:t>Specificity study</w:t>
      </w:r>
    </w:p>
    <w:p w14:paraId="0B57EC7D" w14:textId="5D5BEF7D" w:rsidR="00BA4A81" w:rsidRPr="002D6EC7" w:rsidRDefault="00BA4A81" w:rsidP="00BA4A81">
      <w:pPr>
        <w:pStyle w:val="RdgNormal"/>
      </w:pPr>
      <w:r w:rsidRPr="002D6EC7">
        <w:t>In order to investigate the specificity of SREM</w:t>
      </w:r>
      <w:r w:rsidRPr="002D6EC7">
        <w:rPr>
          <w:vertAlign w:val="subscript"/>
        </w:rPr>
        <w:t>B</w:t>
      </w:r>
      <w:r w:rsidRPr="002D6EC7">
        <w:t xml:space="preserve"> as nutritional biomarker of flavan-3-ol intake, we performed a randomized, double-masked and 8x-crossover dietary intervention study with different possible precursors of structurally related (−)-epicatechin metabolites</w:t>
      </w:r>
      <w:r w:rsidR="0013731C" w:rsidRPr="002D6EC7">
        <w:t xml:space="preserve"> in healthy male adults</w:t>
      </w:r>
      <w:r w:rsidR="00EB2A74" w:rsidRPr="002D6EC7">
        <w:t xml:space="preserve"> (n=12)</w:t>
      </w:r>
      <w:r w:rsidRPr="002D6EC7">
        <w:t xml:space="preserve">. Details of this study have been reported previously </w:t>
      </w:r>
      <w:r w:rsidR="00CE24FC" w:rsidRPr="002D6EC7">
        <w:rPr>
          <w:lang w:val="en-US" w:eastAsia="en-GB"/>
        </w:rPr>
        <w:fldChar w:fldCharType="begin"/>
      </w:r>
      <w:r w:rsidR="002D6EC7" w:rsidRPr="002D6EC7">
        <w:rPr>
          <w:lang w:val="en-US" w:eastAsia="en-GB"/>
        </w:rPr>
        <w:instrText xml:space="preserve"> ADDIN PAPERS2_CITATIONS &lt;citation&gt;&lt;priority&gt;10&lt;/priority&gt;&lt;uuid&gt;1E78D1AC-E42F-4138-8A68-BECCDCE70639&lt;/uuid&gt;&lt;publications&gt;&lt;publication&gt;&lt;subtype&gt;400&lt;/subtype&gt;&lt;publisher&gt;Nature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6</w:t>
      </w:r>
      <w:r w:rsidR="00CE24FC" w:rsidRPr="002D6EC7">
        <w:rPr>
          <w:lang w:val="en-US" w:eastAsia="en-GB"/>
        </w:rPr>
        <w:fldChar w:fldCharType="end"/>
      </w:r>
      <w:r w:rsidRPr="002D6EC7">
        <w:t xml:space="preserve">. The flavan-3-ols tested were: </w:t>
      </w:r>
      <w:proofErr w:type="spellStart"/>
      <w:r w:rsidRPr="002D6EC7">
        <w:t>i</w:t>
      </w:r>
      <w:proofErr w:type="spellEnd"/>
      <w:r w:rsidRPr="002D6EC7">
        <w:rPr>
          <w:rFonts w:cs="Gill Sans Light"/>
        </w:rPr>
        <w:t>) (</w:t>
      </w:r>
      <w:r w:rsidRPr="002D6EC7">
        <w:rPr>
          <w:rFonts w:ascii="Helvetica" w:eastAsia="Helvetica" w:hAnsi="Helvetica" w:cs="Helvetica"/>
        </w:rPr>
        <w:t>–</w:t>
      </w:r>
      <w:r w:rsidRPr="002D6EC7">
        <w:rPr>
          <w:rFonts w:cs="Gill Sans Light"/>
        </w:rPr>
        <w:t>)-epicatechin</w:t>
      </w:r>
      <w:r w:rsidR="00C9507D" w:rsidRPr="002D6EC7">
        <w:rPr>
          <w:rFonts w:cs="Gill Sans Light"/>
        </w:rPr>
        <w:t>,</w:t>
      </w:r>
      <w:r w:rsidRPr="002D6EC7">
        <w:rPr>
          <w:rFonts w:cs="Gill Sans Light"/>
        </w:rPr>
        <w:t xml:space="preserve"> ii) (</w:t>
      </w:r>
      <w:r w:rsidRPr="002D6EC7">
        <w:rPr>
          <w:rFonts w:ascii="Helvetica" w:eastAsia="Helvetica" w:hAnsi="Helvetica" w:cs="Helvetica"/>
        </w:rPr>
        <w:t>−</w:t>
      </w:r>
      <w:r w:rsidRPr="002D6EC7">
        <w:rPr>
          <w:rFonts w:cs="Gill Sans Light"/>
        </w:rPr>
        <w:t>)-epigallocatechin, iii) (</w:t>
      </w:r>
      <w:r w:rsidRPr="002D6EC7">
        <w:rPr>
          <w:rFonts w:ascii="Helvetica" w:eastAsia="Helvetica" w:hAnsi="Helvetica" w:cs="Helvetica"/>
        </w:rPr>
        <w:t>−</w:t>
      </w:r>
      <w:r w:rsidRPr="002D6EC7">
        <w:rPr>
          <w:rFonts w:cs="Gill Sans Light"/>
        </w:rPr>
        <w:t>)-epicatechin-3-O-gallate, iv) (</w:t>
      </w:r>
      <w:r w:rsidRPr="002D6EC7">
        <w:rPr>
          <w:rFonts w:ascii="Helvetica" w:eastAsia="Helvetica" w:hAnsi="Helvetica" w:cs="Helvetica"/>
        </w:rPr>
        <w:t>−</w:t>
      </w:r>
      <w:r w:rsidRPr="002D6EC7">
        <w:rPr>
          <w:rFonts w:eastAsia="Helvetica" w:cs="Gill Sans Light"/>
        </w:rPr>
        <w:t>)-epigallocatechin-3-O-gallate (all compounds isolated from green tea</w:t>
      </w:r>
      <w:r w:rsidRPr="002D6EC7">
        <w:rPr>
          <w:rFonts w:cs="Gill Sans Light"/>
        </w:rPr>
        <w:t>, purity &gt;99% and food grade), v)</w:t>
      </w:r>
      <w:r w:rsidRPr="002D6EC7">
        <w:t xml:space="preserve"> a 1:1:1: mixture of theaflavin-3-O-gallate, theaflavin-3</w:t>
      </w:r>
      <w:r w:rsidRPr="002D6EC7">
        <w:rPr>
          <w:rFonts w:ascii="Helvetica" w:eastAsia="Helvetica" w:hAnsi="Helvetica" w:cs="Helvetica"/>
        </w:rPr>
        <w:t>′</w:t>
      </w:r>
      <w:r w:rsidRPr="002D6EC7">
        <w:t>-O-gallate and theaflavin-3,3</w:t>
      </w:r>
      <w:r w:rsidRPr="002D6EC7">
        <w:rPr>
          <w:rFonts w:ascii="Helvetica" w:eastAsia="Helvetica" w:hAnsi="Helvetica" w:cs="Helvetica"/>
        </w:rPr>
        <w:t>′</w:t>
      </w:r>
      <w:r w:rsidRPr="002D6EC7">
        <w:t xml:space="preserve">-O-digallate, vi) thearubigins (all isolated from black tea, purity &gt;95% and food grade) and vii) </w:t>
      </w:r>
      <w:r w:rsidRPr="002D6EC7">
        <w:rPr>
          <w:rFonts w:cs="Gill Sans Light"/>
        </w:rPr>
        <w:t>procyanidin B-2 ((</w:t>
      </w:r>
      <w:r w:rsidRPr="002D6EC7">
        <w:rPr>
          <w:rFonts w:ascii="Helvetica" w:eastAsia="Helvetica" w:hAnsi="Helvetica" w:cs="Helvetica"/>
        </w:rPr>
        <w:t>−</w:t>
      </w:r>
      <w:r w:rsidRPr="002D6EC7">
        <w:rPr>
          <w:rFonts w:cs="Gill Sans Light"/>
        </w:rPr>
        <w:t>)-epicatechin-(4</w:t>
      </w:r>
      <w:r w:rsidRPr="002D6EC7">
        <w:rPr>
          <w:rFonts w:ascii="Symbol" w:hAnsi="Symbol" w:cs="Gill Sans Light"/>
        </w:rPr>
        <w:t></w:t>
      </w:r>
      <w:r w:rsidRPr="002D6EC7">
        <w:rPr>
          <w:rFonts w:cs="Gill Sans Light"/>
        </w:rPr>
        <w:t>4</w:t>
      </w:r>
      <w:r w:rsidRPr="002D6EC7">
        <w:rPr>
          <w:rFonts w:ascii="Symbol" w:hAnsi="Symbol" w:cs="Gill Sans Light"/>
        </w:rPr>
        <w:t></w:t>
      </w:r>
      <w:r w:rsidRPr="002D6EC7">
        <w:rPr>
          <w:rFonts w:cs="Gill Sans Light"/>
        </w:rPr>
        <w:t>)-(</w:t>
      </w:r>
      <w:r w:rsidRPr="002D6EC7">
        <w:rPr>
          <w:rFonts w:ascii="Helvetica" w:eastAsia="Helvetica" w:hAnsi="Helvetica" w:cs="Helvetica"/>
        </w:rPr>
        <w:t>−</w:t>
      </w:r>
      <w:r w:rsidRPr="002D6EC7">
        <w:rPr>
          <w:rFonts w:cs="Gill Sans Light"/>
        </w:rPr>
        <w:t xml:space="preserve">)-epicatechin; isolated from cocoa, purity 91%). One additional visit included the consumption of the test material without any flavan-3-ol added (control day). The amount of </w:t>
      </w:r>
      <w:r w:rsidR="00470CCB" w:rsidRPr="002D6EC7">
        <w:t xml:space="preserve">flavan-3-ols </w:t>
      </w:r>
      <w:r w:rsidRPr="002D6EC7">
        <w:rPr>
          <w:rFonts w:cs="Gill Sans Light"/>
        </w:rPr>
        <w:t>consumed per volunteer</w:t>
      </w:r>
      <w:r w:rsidR="0069704E" w:rsidRPr="002D6EC7">
        <w:rPr>
          <w:rFonts w:cs="Gill Sans Light"/>
        </w:rPr>
        <w:t xml:space="preserve"> per study visit</w:t>
      </w:r>
      <w:r w:rsidRPr="002D6EC7">
        <w:rPr>
          <w:rFonts w:cs="Gill Sans Light"/>
        </w:rPr>
        <w:t xml:space="preserve"> was </w:t>
      </w:r>
      <w:r w:rsidR="00470CCB" w:rsidRPr="002D6EC7">
        <w:rPr>
          <w:rFonts w:cs="Gill Sans Light"/>
        </w:rPr>
        <w:t xml:space="preserve">equivalent to </w:t>
      </w:r>
      <w:r w:rsidRPr="002D6EC7">
        <w:rPr>
          <w:rFonts w:cs="Gill Sans Light"/>
        </w:rPr>
        <w:t xml:space="preserve">34.8 mg or 120 µmol, </w:t>
      </w:r>
      <w:r w:rsidRPr="002D6EC7">
        <w:rPr>
          <w:rFonts w:eastAsia="Helvetica" w:cs="Gill Sans Light"/>
        </w:rPr>
        <w:t xml:space="preserve">which is close to the mean intake amount of </w:t>
      </w:r>
      <w:r w:rsidRPr="002D6EC7">
        <w:rPr>
          <w:rFonts w:cs="Gill Sans Light"/>
        </w:rPr>
        <w:t>(</w:t>
      </w:r>
      <w:r w:rsidRPr="002D6EC7">
        <w:rPr>
          <w:rFonts w:ascii="Helvetica" w:eastAsia="Helvetica" w:hAnsi="Helvetica" w:cs="Helvetica"/>
        </w:rPr>
        <w:t>–</w:t>
      </w:r>
      <w:r w:rsidRPr="002D6EC7">
        <w:rPr>
          <w:rFonts w:cs="Gill Sans Light"/>
        </w:rPr>
        <w:t>)-epicatechin consumed in the UK</w:t>
      </w:r>
      <w:r w:rsidR="00A62538" w:rsidRPr="002D6EC7">
        <w:rPr>
          <w:rFonts w:cs="Gill Sans Light"/>
        </w:rPr>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&lt;citation&gt;&lt;priority&gt;11&lt;/priority&gt;&lt;uuid&gt;707F8CAD-0767-4032-B2F2-D40DD5A9C1BC&lt;/uuid&gt;&lt;publications&gt;&lt;publication&gt;&lt;subtype&gt;400&lt;/subtype&gt;&lt;title&gt;Assessment of the dietary intake of total flavan-3-ols, monomeric flavan-3-ols, proanthocyanidins and theaflavins in the European Union.&lt;/title&gt;&lt;url&gt;http://eutils.ncbi.nlm.nih.gov/entrez/eutils/elink.fcgi?dbfrom=pubmed&amp;amp;id=24331295&amp;amp;retmode=ref&amp;amp;cmd=prlinks&lt;/url&gt;&lt;volume&gt;111&lt;/volume&gt;&lt;publication_date&gt;99201404281200000000222000&lt;/publication_date&gt;&lt;uuid&gt;163D3429-8B94-4C5A-B5CF-F8D8BE5686CB&lt;/uuid&gt;&lt;type&gt;400&lt;/type&gt;&lt;number&gt;8&lt;/number&gt;&lt;citekey&gt;Vogiatzoglou:2014jm&lt;/citekey&gt;&lt;doi&gt;10.1017/S0007114513003930&lt;/doi&gt;&lt;institution&gt;Department of Food &amp;amp; Nutritional Sciences, University of Reading, Reading RG6 6AP, UK.&lt;/institution&gt;&lt;startpage&gt;1463&lt;/startpage&gt;&lt;endpage&gt;1473&lt;/endpage&gt;&lt;bundle&gt;&lt;publication&gt;&lt;title&gt;The British journal of nutrition&lt;/title&gt;&lt;uuid&gt;FA1558D5-95C2-4C15-A13E-7B1DBF8FDAF4&lt;/uuid&gt;&lt;subtype&gt;-100&lt;/subtype&gt;&lt;publisher&gt;Cambridge Journals Online&lt;/publisher&gt;&lt;type&gt;-100&lt;/type&gt;&lt;/publication&gt;&lt;/bundle&gt;&lt;authors&gt;&lt;author&gt;&lt;lastName&gt;Vogiatzoglou&lt;/lastName&gt;&lt;firstName&gt;Anna&lt;/firstName&gt;&lt;/author&gt;&lt;author&gt;&lt;lastName&gt;Mulligan&lt;/lastName&gt;&lt;firstName&gt;Angela&lt;/firstName&gt;&lt;middleNames&gt;A&lt;/middleNames&gt;&lt;/author&gt;&lt;author&gt;&lt;lastName&gt;Luben&lt;/lastName&gt;&lt;firstName&gt;Robert&lt;/firstName&gt;&lt;middleNames&gt;N&lt;/middleNames&gt;&lt;/author&gt;&lt;author&gt;&lt;lastName&gt;Lentjes&lt;/lastName&gt;&lt;firstName&gt;Marleen&lt;/firstName&gt;&lt;/author&gt;&lt;author&gt;&lt;lastName&gt;Heiss&lt;/lastName&gt;&lt;firstName&gt;Christian&lt;/firstName&gt;&lt;/author&gt;&lt;author&gt;&lt;lastName&gt;Kelm&lt;/lastName&gt;&lt;firstName&gt;Malte&lt;/firstName&gt;&lt;/author&gt;&lt;author&gt;&lt;lastName&gt;Merx&lt;/lastName&gt;&lt;firstName&gt;Marc&lt;/firstName&gt;&lt;middleNames&gt;W&lt;/middleNames&gt;&lt;/author&gt;&lt;author&gt;&lt;lastName&gt;Spencer&lt;/lastName&gt;&lt;firstName&gt;Jeremy&lt;/firstName&gt;&lt;middleNames&gt;P E&lt;/middleNames&gt;&lt;/author&gt;&lt;author&gt;&lt;lastName&gt;Schroeter&lt;/lastName&gt;&lt;firstName&gt;Hagen&lt;/firstName&gt;&lt;/author&gt;&lt;author&gt;&lt;lastName&gt;Kuhnle&lt;/lastName&gt;&lt;firstName&gt;Gunter&lt;/firstName&gt;&lt;middleNames&gt;G C&lt;/middleNames&gt;&lt;/author&gt;&lt;/authors&gt;&lt;/publication&gt;&lt;/publications&gt;&lt;cites&gt;&lt;/cites&gt;&lt;/citation&gt;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10</w:t>
      </w:r>
      <w:r w:rsidR="00CE24FC" w:rsidRPr="002D6EC7">
        <w:rPr>
          <w:lang w:val="en-US" w:eastAsia="en-GB"/>
        </w:rPr>
        <w:fldChar w:fldCharType="end"/>
      </w:r>
      <w:r w:rsidRPr="002D6EC7">
        <w:rPr>
          <w:rFonts w:cs="Gill Sans Light"/>
        </w:rPr>
        <w:t xml:space="preserve">. </w:t>
      </w:r>
      <w:r w:rsidR="00470CCB" w:rsidRPr="002D6EC7">
        <w:rPr>
          <w:rFonts w:cs="Gill Sans Light"/>
        </w:rPr>
        <w:t>T</w:t>
      </w:r>
      <w:r w:rsidR="00162C4B" w:rsidRPr="002D6EC7">
        <w:rPr>
          <w:rFonts w:cs="Gill Sans Light"/>
        </w:rPr>
        <w:t>est materials w</w:t>
      </w:r>
      <w:r w:rsidR="00470CCB" w:rsidRPr="002D6EC7">
        <w:t>ere</w:t>
      </w:r>
      <w:r w:rsidR="00470CCB" w:rsidRPr="002D6EC7">
        <w:rPr>
          <w:rFonts w:cs="Gill Sans Light"/>
        </w:rPr>
        <w:t xml:space="preserve"> consumed on a single occasion in the morning of the study visit. </w:t>
      </w:r>
      <w:r w:rsidRPr="002D6EC7">
        <w:t>After intake, urine was collected over 24 h in two collection periods (from 0 h to 6 h post intake and 6 h to 24 h post intake), using a fresh container for each collection period with 20 m</w:t>
      </w:r>
      <w:r w:rsidR="0042412C" w:rsidRPr="002D6EC7">
        <w:t>L</w:t>
      </w:r>
      <w:r w:rsidRPr="002D6EC7">
        <w:t xml:space="preserve"> of 2 M sodium acetate (pH=4.5) and 2 mL of 0.5% (w/v) thymol in isopropanol as preservatives. Volunteers returned containers upon completion of sample collection, and urine was stored at </w:t>
      </w:r>
      <w:r w:rsidRPr="002D6EC7">
        <w:noBreakHyphen/>
      </w:r>
      <w:r w:rsidRPr="002D6EC7">
        <w:rPr>
          <w:rFonts w:cs="Gill Sans Light"/>
        </w:rPr>
        <w:t>80°C</w:t>
      </w:r>
      <w:r w:rsidRPr="002D6EC7">
        <w:rPr>
          <w:rFonts w:eastAsia="Helvetica" w:cs="Gill Sans Light"/>
        </w:rPr>
        <w:t xml:space="preserve"> until analysis. Volunteers were randomized to receive the 8 different test materials using computer-generated lists of random</w:t>
      </w:r>
      <w:r w:rsidRPr="002D6EC7">
        <w:rPr>
          <w:rFonts w:cs="Gill Sans Light"/>
        </w:rPr>
        <w:t xml:space="preserve"> numbers via the randomly permuted block method. </w:t>
      </w:r>
      <w:r w:rsidR="00CD7E13" w:rsidRPr="002D6EC7">
        <w:t>S</w:t>
      </w:r>
      <w:r w:rsidR="00CD7E13" w:rsidRPr="002D6EC7">
        <w:rPr>
          <w:rFonts w:cs="Gill Sans Light"/>
        </w:rPr>
        <w:t xml:space="preserve">tudy visits were separated by approximately 7 days for most volunteers, but never less than 3 days. </w:t>
      </w:r>
      <w:r w:rsidRPr="002D6EC7">
        <w:rPr>
          <w:rFonts w:cs="Gill Sans Light"/>
        </w:rPr>
        <w:t xml:space="preserve">The </w:t>
      </w:r>
      <w:r w:rsidRPr="002D6EC7">
        <w:t xml:space="preserve">allocation list was generated by a researcher not involved with the recruitment and allocation of participants. Participants, study nurses, and researchers assessing outcomes as well as researchers involved with the statistical analysis of data were masked to the specific nature of intervention. The initial recruitment started in August 2016, and the study was conducted from August 2016 to January 2017. </w:t>
      </w:r>
    </w:p>
    <w:p w14:paraId="51FE06BF" w14:textId="246F6FB3" w:rsidR="005323EC" w:rsidRPr="002D6EC7" w:rsidRDefault="00BA4A81" w:rsidP="00BA4A81">
      <w:pPr>
        <w:pStyle w:val="Heading3"/>
      </w:pPr>
      <w:r w:rsidRPr="002D6EC7">
        <w:lastRenderedPageBreak/>
        <w:t xml:space="preserve"> </w:t>
      </w:r>
      <w:r w:rsidR="005323EC" w:rsidRPr="002D6EC7">
        <w:t>Intake escalation study</w:t>
      </w:r>
    </w:p>
    <w:p w14:paraId="621CEA96" w14:textId="5FF67CED" w:rsidR="00BA4A81" w:rsidRPr="002D6EC7" w:rsidRDefault="00BA4A81" w:rsidP="00BA4A81">
      <w:pPr>
        <w:pStyle w:val="RdgNormal"/>
      </w:pPr>
      <w:r w:rsidRPr="002D6EC7">
        <w:t>In order to investigate the association between flavan-3-ol intake and SREM</w:t>
      </w:r>
      <w:r w:rsidRPr="002D6EC7">
        <w:rPr>
          <w:vertAlign w:val="subscript"/>
        </w:rPr>
        <w:t>B</w:t>
      </w:r>
      <w:r w:rsidRPr="002D6EC7">
        <w:t xml:space="preserve"> excretion, we conducted a dietary intervention study where participants consumed different amounts of flavan-3-ol. Details of this study have been reported previously</w:t>
      </w:r>
      <w:r w:rsidR="008B75A8"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&lt;citation&gt;&lt;priority&gt;12&lt;/priority&gt;&lt;uuid&gt;579145DF-80A8-4E56-BA0D-A492DFA1EB56&lt;/uuid&gt;&lt;publications&gt;&lt;publication&gt;&lt;subtype&gt;400&lt;/subtype&gt;&lt;publisher&gt;Nature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6</w:t>
      </w:r>
      <w:r w:rsidR="00CE24FC" w:rsidRPr="002D6EC7">
        <w:rPr>
          <w:lang w:val="en-US" w:eastAsia="en-GB"/>
        </w:rPr>
        <w:fldChar w:fldCharType="end"/>
      </w:r>
      <w:r w:rsidRPr="002D6EC7">
        <w:t xml:space="preserve">. </w:t>
      </w:r>
      <w:r w:rsidR="00153611" w:rsidRPr="002D6EC7">
        <w:t xml:space="preserve">This </w:t>
      </w:r>
      <w:r w:rsidRPr="002D6EC7">
        <w:t xml:space="preserve">was </w:t>
      </w:r>
      <w:r w:rsidR="00153611" w:rsidRPr="002D6EC7">
        <w:t xml:space="preserve">a </w:t>
      </w:r>
      <w:r w:rsidRPr="002D6EC7">
        <w:t xml:space="preserve">randomized, double-masked </w:t>
      </w:r>
      <w:r w:rsidR="00153611" w:rsidRPr="002D6EC7">
        <w:t xml:space="preserve">study </w:t>
      </w:r>
      <w:r w:rsidRPr="002D6EC7">
        <w:t xml:space="preserve">and followed a 4×-crossover design, in which </w:t>
      </w:r>
      <w:r w:rsidR="0013731C" w:rsidRPr="002D6EC7">
        <w:t>healthy male adults</w:t>
      </w:r>
      <w:r w:rsidR="003F3480" w:rsidRPr="002D6EC7">
        <w:t xml:space="preserve"> </w:t>
      </w:r>
      <w:r w:rsidR="00EB2A74" w:rsidRPr="002D6EC7">
        <w:t xml:space="preserve">(n=14) </w:t>
      </w:r>
      <w:r w:rsidRPr="002D6EC7">
        <w:t>consumed four different amounts of flavan-3-ols that ranged from 95 mg</w:t>
      </w:r>
      <w:r w:rsidR="00153611" w:rsidRPr="002D6EC7">
        <w:t xml:space="preserve"> </w:t>
      </w:r>
      <w:r w:rsidRPr="002D6EC7">
        <w:t xml:space="preserve">to 1424 mg, </w:t>
      </w:r>
      <w:r w:rsidR="00153611" w:rsidRPr="002D6EC7">
        <w:t xml:space="preserve">including 15 mg to </w:t>
      </w:r>
      <w:r w:rsidRPr="002D6EC7">
        <w:t xml:space="preserve">227 mg of (−)-epicatechin, which are amounts </w:t>
      </w:r>
      <w:r w:rsidR="00977970" w:rsidRPr="002D6EC7">
        <w:t xml:space="preserve">including and exceeding </w:t>
      </w:r>
      <w:r w:rsidRPr="002D6EC7">
        <w:t>the range of intakes determined in the UK</w:t>
      </w:r>
      <w:r w:rsidR="00A62538"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&lt;citation&gt;&lt;priority&gt;13&lt;/priority&gt;&lt;uuid&gt;647B6595-1C4E-4503-A6A6-C3DFBCBB70EF&lt;/uuid&gt;&lt;publications&gt;&lt;publication&gt;&lt;subtype&gt;400&lt;/subtype&gt;&lt;title&gt;Assessment of the dietary intake of total flavan-3-ols, monomeric flavan-3-ols, proanthocyanidins and theaflavins in the European Union.&lt;/title&gt;&lt;url&gt;http://eutils.ncbi.nlm.nih.gov/entrez/eutils/elink.fcgi?dbfrom=pubmed&amp;amp;id=24331295&amp;amp;retmode=ref&amp;amp;cmd=prlinks&lt;/url&gt;&lt;volume&gt;111&lt;/volume&gt;&lt;publication_date&gt;99201404281200000000222000&lt;/publication_date&gt;&lt;uuid&gt;163D3429-8B94-4C5A-B5CF-F8D8BE5686CB&lt;/uuid&gt;&lt;type&gt;400&lt;/type&gt;&lt;number&gt;8&lt;/number&gt;&lt;citekey&gt;Vogiatzoglou:2014jm&lt;/citekey&gt;&lt;doi&gt;10.1017/S0007114513003930&lt;/doi&gt;&lt;institution&gt;Department of Food &amp;amp; Nutritional Sciences, University of Reading, Reading RG6 6AP, UK.&lt;/institution&gt;&lt;startpage&gt;1463&lt;/startpage&gt;&lt;endpage&gt;1473&lt;/endpage&gt;&lt;bundle&gt;&lt;publication&gt;&lt;title&gt;The British journal of nutrition&lt;/title&gt;&lt;uuid&gt;FA1558D5-95C2-4C15-A13E-7B1DBF8FDAF4&lt;/uuid&gt;&lt;subtype&gt;-100&lt;/subtype&gt;&lt;publisher&gt;Cambridge Journals Online&lt;/publisher&gt;&lt;type&gt;-100&lt;/type&gt;&lt;/publication&gt;&lt;/bundle&gt;&lt;authors&gt;&lt;author&gt;&lt;lastName&gt;Vogiatzoglou&lt;/lastName&gt;&lt;firstName&gt;Anna&lt;/firstName&gt;&lt;/author&gt;&lt;author&gt;&lt;lastName&gt;Mulligan&lt;/lastName&gt;&lt;firstName&gt;Angela&lt;/firstName&gt;&lt;middleNames&gt;A&lt;/middleNames&gt;&lt;/author&gt;&lt;author&gt;&lt;lastName&gt;Luben&lt;/lastName&gt;&lt;firstName&gt;Robert&lt;/firstName&gt;&lt;middleNames&gt;N&lt;/middleNames&gt;&lt;/author&gt;&lt;author&gt;&lt;lastName&gt;Lentjes&lt;/lastName&gt;&lt;firstName&gt;Marleen&lt;/firstName&gt;&lt;/author&gt;&lt;author&gt;&lt;lastName&gt;Heiss&lt;/lastName&gt;&lt;firstName&gt;Christian&lt;/firstName&gt;&lt;/author&gt;&lt;author&gt;&lt;lastName&gt;Kelm&lt;/lastName&gt;&lt;firstName&gt;Malte&lt;/firstName&gt;&lt;/author&gt;&lt;author&gt;&lt;lastName&gt;Merx&lt;/lastName&gt;&lt;firstName&gt;Marc&lt;/firstName&gt;&lt;middleNames&gt;W&lt;/middleNames&gt;&lt;/author&gt;&lt;author&gt;&lt;lastName&gt;Spencer&lt;/lastName&gt;&lt;firstName&gt;Jeremy&lt;/firstName&gt;&lt;middleNames&gt;P E&lt;/middleNames&gt;&lt;/author&gt;&lt;author&gt;&lt;lastName&gt;Schroeter&lt;/lastName&gt;&lt;firstName&gt;Hagen&lt;/firstName&gt;&lt;/author&gt;&lt;author&gt;&lt;lastName&gt;Kuhnle&lt;/lastName&gt;&lt;firstName&gt;Gunter&lt;/firstName&gt;&lt;middleNames&gt;G C&lt;/middleNames&gt;&lt;/author&gt;&lt;/authors&gt;&lt;/publication&gt;&lt;/publications&gt;&lt;cites&gt;&lt;/cites&gt;&lt;/citation&gt;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10</w:t>
      </w:r>
      <w:r w:rsidR="00CE24FC" w:rsidRPr="002D6EC7">
        <w:rPr>
          <w:lang w:val="en-US" w:eastAsia="en-GB"/>
        </w:rPr>
        <w:fldChar w:fldCharType="end"/>
      </w:r>
      <w:r w:rsidRPr="002D6EC7">
        <w:rPr>
          <w:rFonts w:cs="Gill Sans Light"/>
        </w:rPr>
        <w:t xml:space="preserve">. </w:t>
      </w:r>
      <w:r w:rsidR="00CD7E13" w:rsidRPr="002D6EC7">
        <w:rPr>
          <w:rFonts w:cs="Gill Sans Light"/>
        </w:rPr>
        <w:t>Test materials</w:t>
      </w:r>
      <w:r w:rsidR="0069704E" w:rsidRPr="002D6EC7">
        <w:t xml:space="preserve"> were</w:t>
      </w:r>
      <w:r w:rsidR="0069704E" w:rsidRPr="002D6EC7">
        <w:rPr>
          <w:rFonts w:cs="Gill Sans Light"/>
        </w:rPr>
        <w:t xml:space="preserve"> consumed on a single occasion in the morning of the study visit. </w:t>
      </w:r>
      <w:r w:rsidRPr="002D6EC7">
        <w:t>After intake, urine was collected over 24 h in 4 collection periods (from 0 h to 4 h post intake, 4 h to 8 h post intake, 8 h to 12 h post intake and 12 h to 24 h post intake), using a fresh container for each collection period with 20 m</w:t>
      </w:r>
      <w:r w:rsidR="0042412C" w:rsidRPr="002D6EC7">
        <w:t>L</w:t>
      </w:r>
      <w:r w:rsidRPr="002D6EC7">
        <w:t xml:space="preserve"> of 2 M sodium acetate (pH=4.5) and 2 mL of 0.5% (w/v) thymol in isopropanol as preservatives. Volunteers returned the container upon completion of sample collection, and urine was stored at -80°C until analysis. Volunteers were randomized to receive the four different test materials using computer-generated lists of random numbers via the randomly permuted block method. </w:t>
      </w:r>
      <w:r w:rsidR="00CD7E13" w:rsidRPr="002D6EC7">
        <w:t>S</w:t>
      </w:r>
      <w:r w:rsidR="00CD7E13" w:rsidRPr="002D6EC7">
        <w:rPr>
          <w:rFonts w:cs="Gill Sans Light"/>
        </w:rPr>
        <w:t xml:space="preserve">tudy visits were separated by approximately 7 days for most volunteers, but never </w:t>
      </w:r>
      <w:r w:rsidR="00E641EB" w:rsidRPr="002D6EC7">
        <w:rPr>
          <w:rFonts w:cs="Gill Sans Light"/>
        </w:rPr>
        <w:t>fewer</w:t>
      </w:r>
      <w:r w:rsidR="00CD7E13" w:rsidRPr="002D6EC7">
        <w:rPr>
          <w:rFonts w:cs="Gill Sans Light"/>
        </w:rPr>
        <w:t xml:space="preserve"> than 3 days. </w:t>
      </w:r>
      <w:r w:rsidR="0069704E" w:rsidRPr="002D6EC7">
        <w:rPr>
          <w:rFonts w:cs="Gill Sans Light"/>
        </w:rPr>
        <w:t xml:space="preserve"> </w:t>
      </w:r>
      <w:r w:rsidRPr="002D6EC7">
        <w:t xml:space="preserve">The allocation list was generated by a researcher not involved with the recruitment and allocation of participants. Participants, study nurses, and researchers assessing outcomes as well as researchers involved with the statistical analysis of data were masked to the intervention. The initial recruitment started in April 2013, and the study was conducted from April to May 2013. </w:t>
      </w:r>
    </w:p>
    <w:p w14:paraId="1955A248" w14:textId="4AC739C6" w:rsidR="005323EC" w:rsidRPr="002D6EC7" w:rsidRDefault="005323EC" w:rsidP="005323EC">
      <w:pPr>
        <w:pStyle w:val="Heading3"/>
      </w:pPr>
      <w:r w:rsidRPr="002D6EC7">
        <w:t>Intra-individual variability study</w:t>
      </w:r>
    </w:p>
    <w:p w14:paraId="4E4E01A0" w14:textId="7029A774" w:rsidR="00DA761A" w:rsidRPr="002D6EC7" w:rsidRDefault="00DA761A" w:rsidP="00DA761A">
      <w:pPr>
        <w:pStyle w:val="RdgNormal"/>
      </w:pPr>
      <w:r w:rsidRPr="002D6EC7">
        <w:t>In order to investigate the intra-individual variation of SREM</w:t>
      </w:r>
      <w:r w:rsidRPr="002D6EC7">
        <w:rPr>
          <w:vertAlign w:val="subscript"/>
        </w:rPr>
        <w:t>B</w:t>
      </w:r>
      <w:r w:rsidRPr="002D6EC7">
        <w:t xml:space="preserve"> excretion, we conducted a dietary intervention study where </w:t>
      </w:r>
      <w:r w:rsidR="0013731C" w:rsidRPr="002D6EC7">
        <w:t xml:space="preserve">male and female </w:t>
      </w:r>
      <w:r w:rsidRPr="002D6EC7">
        <w:t xml:space="preserve">participants consumed the same flavan-3-ol-containing drink on two different occasions separated </w:t>
      </w:r>
      <w:r w:rsidR="00D734AB" w:rsidRPr="002D6EC7">
        <w:t>by</w:t>
      </w:r>
      <w:r w:rsidRPr="002D6EC7">
        <w:t xml:space="preserve"> not less than 3 days</w:t>
      </w:r>
      <w:r w:rsidR="008B75A8" w:rsidRPr="002D6EC7">
        <w:t xml:space="preserve"> (for study </w:t>
      </w:r>
      <w:r w:rsidR="008B75A8" w:rsidRPr="002D6EC7">
        <w:lastRenderedPageBreak/>
        <w:t>population see Supplemental Figure 4)</w:t>
      </w:r>
      <w:r w:rsidRPr="002D6EC7">
        <w:t xml:space="preserve">. </w:t>
      </w:r>
      <w:r w:rsidR="00D734AB" w:rsidRPr="002D6EC7">
        <w:t>The amount of flavan-3-ols ingested was 5</w:t>
      </w:r>
      <w:r w:rsidR="00153611" w:rsidRPr="002D6EC7">
        <w:t>42</w:t>
      </w:r>
      <w:r w:rsidR="00D734AB" w:rsidRPr="002D6EC7">
        <w:t xml:space="preserve"> mg, including </w:t>
      </w:r>
      <w:r w:rsidR="00153611" w:rsidRPr="002D6EC7">
        <w:t>76</w:t>
      </w:r>
      <w:r w:rsidRPr="002D6EC7">
        <w:t xml:space="preserve"> mg of (−)-epicatechin</w:t>
      </w:r>
      <w:r w:rsidR="00C9507D" w:rsidRPr="002D6EC7">
        <w:t>,</w:t>
      </w:r>
      <w:r w:rsidR="00153611" w:rsidRPr="002D6EC7">
        <w:t xml:space="preserve"> which is well within the range of intakes determined in the UK </w:t>
      </w:r>
      <w:r w:rsidR="00CE24FC" w:rsidRPr="002D6EC7">
        <w:rPr>
          <w:lang w:val="en-US" w:eastAsia="en-GB"/>
        </w:rPr>
        <w:fldChar w:fldCharType="begin"/>
      </w:r>
      <w:r w:rsidR="002D6EC7" w:rsidRPr="002D6EC7">
        <w:rPr>
          <w:lang w:val="en-US" w:eastAsia="en-GB"/>
        </w:rPr>
        <w:instrText xml:space="preserve"> ADDIN PAPERS2_CITATIONS &lt;citation&gt;&lt;priority&gt;14&lt;/priority&gt;&lt;uuid&gt;2D31AD7E-1A17-4CE0-BE5B-04D0B27C90C8&lt;/uuid&gt;&lt;publications&gt;&lt;publication&gt;&lt;subtype&gt;400&lt;/subtype&gt;&lt;title&gt;Assessment of the dietary intake of total flavan-3-ols, monomeric flavan-3-ols, proanthocyanidins and theaflavins in the European Union.&lt;/title&gt;&lt;url&gt;http://eutils.ncbi.nlm.nih.gov/entrez/eutils/elink.fcgi?dbfrom=pubmed&amp;amp;id=24331295&amp;amp;retmode=ref&amp;amp;cmd=prlinks&lt;/url&gt;&lt;volume&gt;111&lt;/volume&gt;&lt;publication_date&gt;99201404281200000000222000&lt;/publication_date&gt;&lt;uuid&gt;163D3429-8B94-4C5A-B5CF-F8D8BE5686CB&lt;/uuid&gt;&lt;type&gt;400&lt;/type&gt;&lt;number&gt;8&lt;/number&gt;&lt;citekey&gt;Vogiatzoglou:2014jm&lt;/citekey&gt;&lt;doi&gt;10.1017/S0007114513003930&lt;/doi&gt;&lt;institution&gt;Department of Food &amp;amp; Nutritional Sciences, University of Reading, Reading RG6 6AP, UK.&lt;/institution&gt;&lt;startpage&gt;1463&lt;/startpage&gt;&lt;endpage&gt;1473&lt;/endpage&gt;&lt;bundle&gt;&lt;publication&gt;&lt;title&gt;The British journal of nutrition&lt;/title&gt;&lt;uuid&gt;FA1558D5-95C2-4C15-A13E-7B1DBF8FDAF4&lt;/uuid&gt;&lt;subtype&gt;-100&lt;/subtype&gt;&lt;publisher&gt;Cambridge Journals Online&lt;/publisher&gt;&lt;type&gt;-100&lt;/type&gt;&lt;/publication&gt;&lt;/bundle&gt;&lt;authors&gt;&lt;author&gt;&lt;lastName&gt;Vogiatzoglou&lt;/lastName&gt;&lt;firstName&gt;Anna&lt;/firstName&gt;&lt;/author&gt;&lt;author&gt;&lt;lastName&gt;Mulligan&lt;/lastName&gt;&lt;firstName&gt;Angela&lt;/firstName&gt;&lt;middleNames&gt;A&lt;/middleNames&gt;&lt;/author&gt;&lt;author&gt;&lt;lastName&gt;Luben&lt;/lastName&gt;&lt;firstName&gt;Robert&lt;/firstName&gt;&lt;middleNames&gt;N&lt;/middleNames&gt;&lt;/author&gt;&lt;author&gt;&lt;lastName&gt;Lentjes&lt;/lastName&gt;&lt;firstName&gt;Marleen&lt;/firstName&gt;&lt;/author&gt;&lt;author&gt;&lt;lastName&gt;Heiss&lt;/lastName&gt;&lt;firstName&gt;Christian&lt;/firstName&gt;&lt;/author&gt;&lt;author&gt;&lt;lastName&gt;Kelm&lt;/lastName&gt;&lt;firstName&gt;Malte&lt;/firstName&gt;&lt;/author&gt;&lt;author&gt;&lt;lastName&gt;Merx&lt;/lastName&gt;&lt;firstName&gt;Marc&lt;/firstName&gt;&lt;middleNames&gt;W&lt;/middleNames&gt;&lt;/author&gt;&lt;author&gt;&lt;lastName&gt;Spencer&lt;/lastName&gt;&lt;firstName&gt;Jeremy&lt;/firstName&gt;&lt;middleNames&gt;P E&lt;/middleNames&gt;&lt;/author&gt;&lt;author&gt;&lt;lastName&gt;Schroeter&lt;/lastName&gt;&lt;firstName&gt;Hagen&lt;/firstName&gt;&lt;/author&gt;&lt;author&gt;&lt;lastName&gt;Kuhnle&lt;/lastName&gt;&lt;firstName&gt;Gunter&lt;/firstName&gt;&lt;middleNames&gt;G C&lt;/middleNames&gt;&lt;/author&gt;&lt;/authors&gt;&lt;/publication&gt;&lt;/publications&gt;&lt;cites&gt;&lt;/cites&gt;&lt;/citation&gt;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10</w:t>
      </w:r>
      <w:r w:rsidR="00CE24FC" w:rsidRPr="002D6EC7">
        <w:rPr>
          <w:lang w:val="en-US" w:eastAsia="en-GB"/>
        </w:rPr>
        <w:fldChar w:fldCharType="end"/>
      </w:r>
      <w:r w:rsidR="00153611" w:rsidRPr="002D6EC7">
        <w:rPr>
          <w:rFonts w:cs="Gill Sans Light"/>
        </w:rPr>
        <w:t>.</w:t>
      </w:r>
      <w:r w:rsidRPr="002D6EC7">
        <w:rPr>
          <w:rFonts w:cs="Gill Sans Light"/>
        </w:rPr>
        <w:t xml:space="preserve"> </w:t>
      </w:r>
      <w:r w:rsidR="00CD7E13" w:rsidRPr="002D6EC7">
        <w:rPr>
          <w:rFonts w:cs="Gill Sans Light"/>
        </w:rPr>
        <w:t xml:space="preserve">Tet materials </w:t>
      </w:r>
      <w:r w:rsidR="00CD7E13" w:rsidRPr="002D6EC7">
        <w:t>were</w:t>
      </w:r>
      <w:r w:rsidR="00CD7E13" w:rsidRPr="002D6EC7">
        <w:rPr>
          <w:rFonts w:cs="Gill Sans Light"/>
        </w:rPr>
        <w:t xml:space="preserve"> consumed on a single occasion in the morning of the study visit. </w:t>
      </w:r>
      <w:r w:rsidRPr="002D6EC7">
        <w:t xml:space="preserve">After intake, urine was collected over 24 h in </w:t>
      </w:r>
      <w:r w:rsidR="005C287A" w:rsidRPr="002D6EC7">
        <w:t>2</w:t>
      </w:r>
      <w:r w:rsidRPr="002D6EC7">
        <w:t xml:space="preserve"> collection periods (from 0 h to 6 h post intake and 6 h to 24 h post intake), using a fresh container for each collection period with 20 m</w:t>
      </w:r>
      <w:r w:rsidR="0042412C" w:rsidRPr="002D6EC7">
        <w:t>L</w:t>
      </w:r>
      <w:r w:rsidRPr="002D6EC7">
        <w:t xml:space="preserve"> of 2 M sodium acetate (pH=4.5) and 2 mL of 0.5% (w/v) thymol in isopropanol as preservatives. Volunteers returned the container upon completion of sample collection, and urine was stored at -80°C until analysis. </w:t>
      </w:r>
      <w:r w:rsidR="00CD7E13" w:rsidRPr="002D6EC7">
        <w:t>S</w:t>
      </w:r>
      <w:r w:rsidR="00CD7E13" w:rsidRPr="002D6EC7">
        <w:rPr>
          <w:rFonts w:cs="Gill Sans Light"/>
        </w:rPr>
        <w:t xml:space="preserve">tudy visits were separated by approximately 7 days for most volunteers, but never less than 3 days.  </w:t>
      </w:r>
      <w:r w:rsidRPr="002D6EC7">
        <w:t>The initial recruitment started in J</w:t>
      </w:r>
      <w:r w:rsidR="005C287A" w:rsidRPr="002D6EC7">
        <w:t>uly</w:t>
      </w:r>
      <w:r w:rsidRPr="002D6EC7">
        <w:t xml:space="preserve"> 2018, and the study was conducted from </w:t>
      </w:r>
      <w:r w:rsidR="005C287A" w:rsidRPr="002D6EC7">
        <w:t>August</w:t>
      </w:r>
      <w:r w:rsidRPr="002D6EC7">
        <w:t xml:space="preserve"> to September 2018</w:t>
      </w:r>
      <w:r w:rsidR="00153611" w:rsidRPr="002D6EC7">
        <w:t>.</w:t>
      </w:r>
    </w:p>
    <w:p w14:paraId="053F7648" w14:textId="77777777" w:rsidR="005323EC" w:rsidRPr="002D6EC7" w:rsidRDefault="005323EC" w:rsidP="005323EC">
      <w:pPr>
        <w:pStyle w:val="Heading3"/>
      </w:pPr>
      <w:r w:rsidRPr="002D6EC7">
        <w:t>Sample analysis</w:t>
      </w:r>
    </w:p>
    <w:p w14:paraId="1621E75D" w14:textId="311E98D7" w:rsidR="00BA4A81" w:rsidRPr="002D6EC7" w:rsidRDefault="00BA4A81" w:rsidP="00D306FD">
      <w:pPr>
        <w:pStyle w:val="RdgNormal"/>
      </w:pPr>
      <w:r w:rsidRPr="002D6EC7">
        <w:t xml:space="preserve">Urine samples from human intervention studies (50 µL) were diluted with 100 µL of 100 µM 3-methyl hippuric acid (internal standard) and </w:t>
      </w:r>
      <w:proofErr w:type="spellStart"/>
      <w:r w:rsidRPr="002D6EC7">
        <w:t>analyzed</w:t>
      </w:r>
      <w:proofErr w:type="spellEnd"/>
      <w:r w:rsidRPr="002D6EC7">
        <w:t xml:space="preserve"> by UPLC-MS within 24 h, using a method described previously </w:t>
      </w:r>
      <w:r w:rsidR="00CE24FC" w:rsidRPr="002D6EC7">
        <w:rPr>
          <w:lang w:val="en-US" w:eastAsia="en-GB"/>
        </w:rPr>
        <w:fldChar w:fldCharType="begin"/>
      </w:r>
      <w:r w:rsidR="002D6EC7" w:rsidRPr="002D6EC7">
        <w:rPr>
          <w:lang w:val="en-US" w:eastAsia="en-GB"/>
        </w:rPr>
        <w:instrText xml:space="preserve"> ADDIN PAPERS2_CITATIONS &lt;citation&gt;&lt;priority&gt;15&lt;/priority&gt;&lt;uuid&gt;6ECF88F8-87C2-4F71-BF27-D26C79D41C5F&lt;/uuid&gt;&lt;publications&gt;&lt;publication&gt;&lt;subtype&gt;400&lt;/subtype&gt;&lt;publisher&gt;Nature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6</w:t>
      </w:r>
      <w:r w:rsidR="00CE24FC" w:rsidRPr="002D6EC7">
        <w:rPr>
          <w:lang w:val="en-US" w:eastAsia="en-GB"/>
        </w:rPr>
        <w:fldChar w:fldCharType="end"/>
      </w:r>
      <w:r w:rsidRPr="002D6EC7">
        <w:t xml:space="preserve">. Samples were separated on a Waters </w:t>
      </w:r>
      <w:proofErr w:type="spellStart"/>
      <w:r w:rsidRPr="002D6EC7">
        <w:t>Acquity</w:t>
      </w:r>
      <w:proofErr w:type="spellEnd"/>
      <w:r w:rsidRPr="002D6EC7">
        <w:t xml:space="preserve"> UPLC (Waters, Milford, MA, USA) with an autosampler cooled at 5°C. The injection volume was 37.5 µL. Chromatography was carried out at 25°C using a 100 x 2.1 mm </w:t>
      </w:r>
      <w:proofErr w:type="spellStart"/>
      <w:r w:rsidRPr="002D6EC7">
        <w:t>Kinetex</w:t>
      </w:r>
      <w:proofErr w:type="spellEnd"/>
      <w:r w:rsidRPr="002D6EC7">
        <w:t xml:space="preserve"> C18 1.7µm, reversed phase column with a </w:t>
      </w:r>
      <w:proofErr w:type="spellStart"/>
      <w:r w:rsidR="00824A22" w:rsidRPr="002D6EC7">
        <w:t>K</w:t>
      </w:r>
      <w:r w:rsidRPr="002D6EC7">
        <w:t>rudcatcher</w:t>
      </w:r>
      <w:proofErr w:type="spellEnd"/>
      <w:r w:rsidRPr="002D6EC7">
        <w:t xml:space="preserve"> (Phenomenex). The mobile phase, pumped at a flow rate of 0.5 mL/min, was (A) 5mM ammonium </w:t>
      </w:r>
      <w:proofErr w:type="spellStart"/>
      <w:r w:rsidRPr="002D6EC7">
        <w:t>formate</w:t>
      </w:r>
      <w:proofErr w:type="spellEnd"/>
      <w:r w:rsidRPr="002D6EC7">
        <w:t xml:space="preserve"> (pH 2.9); and (B) acetonitrile/methanol (90:10, v/v). The gradient started with 5% B from 0-2 min, then ramped to 17.5% from 2-3.5 min, and then to 22.5% from 3.5-6 min. Detection was achieved with a Waters</w:t>
      </w:r>
      <w:r w:rsidR="005F48E2" w:rsidRPr="002D6EC7">
        <w:t xml:space="preserve"> </w:t>
      </w:r>
      <w:proofErr w:type="spellStart"/>
      <w:r w:rsidRPr="002D6EC7">
        <w:t>Micromass</w:t>
      </w:r>
      <w:proofErr w:type="spellEnd"/>
      <w:r w:rsidR="005F48E2" w:rsidRPr="002D6EC7">
        <w:t xml:space="preserve"> Quattro Premier</w:t>
      </w:r>
      <w:r w:rsidRPr="002D6EC7">
        <w:t xml:space="preserve"> spectrometer fitted with an electrospray interface (ESI; Waters). MS analysis was carried out in negative ionization mode by multiple reaction monitoring (MRM). </w:t>
      </w:r>
      <w:r w:rsidR="00412FE2" w:rsidRPr="002D6EC7">
        <w:t xml:space="preserve">Detection of (−)-epicatechin-3′-glucuronide, (−)-epicatechin-3′-sulfate, and </w:t>
      </w:r>
      <w:r w:rsidR="00412FE2" w:rsidRPr="002D6EC7">
        <w:rPr>
          <w:rStyle w:val="normaltextrun"/>
        </w:rPr>
        <w:t>3′-O-methyl-(−)-epicatechin-5-sulfate utilized transitions from 464.5 m/z to 289 m/z, 368.8 m/z to 289 m/z, and 382.5 m/z to 302.5 m/z</w:t>
      </w:r>
      <w:r w:rsidR="00D82FEC" w:rsidRPr="002D6EC7">
        <w:rPr>
          <w:rStyle w:val="normaltextrun"/>
        </w:rPr>
        <w:t>,</w:t>
      </w:r>
      <w:r w:rsidR="00412FE2" w:rsidRPr="002D6EC7">
        <w:rPr>
          <w:rStyle w:val="normaltextrun"/>
        </w:rPr>
        <w:t xml:space="preserve"> respectively with dwell times of 0.05 s, 0.1 s, and 0.1 s; cone voltages of 25 V, 30 V, and 35 V; and collision energies of 18 V, 20 V, and 18 V </w:t>
      </w:r>
      <w:r w:rsidR="00412FE2" w:rsidRPr="002D6EC7">
        <w:rPr>
          <w:rStyle w:val="normaltextrun"/>
        </w:rPr>
        <w:lastRenderedPageBreak/>
        <w:t xml:space="preserve">respectively. </w:t>
      </w:r>
      <w:r w:rsidRPr="002D6EC7">
        <w:t xml:space="preserve">Data processing was performed using </w:t>
      </w:r>
      <w:proofErr w:type="spellStart"/>
      <w:r w:rsidRPr="002D6EC7">
        <w:t>Masslynx</w:t>
      </w:r>
      <w:proofErr w:type="spellEnd"/>
      <w:r w:rsidRPr="002D6EC7">
        <w:t xml:space="preserve"> software (Waters). MS conditions were set by tuning with the corresponding compound. Source and </w:t>
      </w:r>
      <w:proofErr w:type="spellStart"/>
      <w:r w:rsidRPr="002D6EC7">
        <w:t>desolvation</w:t>
      </w:r>
      <w:proofErr w:type="spellEnd"/>
      <w:r w:rsidRPr="002D6EC7">
        <w:t xml:space="preserve"> temperature were set at 150°C and 500°C, respectively, while </w:t>
      </w:r>
      <w:proofErr w:type="spellStart"/>
      <w:r w:rsidRPr="002D6EC7">
        <w:t>desolvation</w:t>
      </w:r>
      <w:proofErr w:type="spellEnd"/>
      <w:r w:rsidRPr="002D6EC7">
        <w:t xml:space="preserve"> and cone gas were set at 900 L/h and 30 L/h, respectively. In both ionization modes, capillary, cone, and lens voltage were set at 4 kV, 30 V, and 1 V, respectively. The identification and quantification of the compounds were based on co-elution with authentic standards. The precision and accuracy of the method was better than 5% and 20%, respectively.</w:t>
      </w:r>
    </w:p>
    <w:p w14:paraId="72A02259" w14:textId="77777777" w:rsidR="005323EC" w:rsidRPr="002D6EC7" w:rsidRDefault="005323EC" w:rsidP="005323EC">
      <w:pPr>
        <w:pStyle w:val="Heading2"/>
      </w:pPr>
      <w:r w:rsidRPr="002D6EC7">
        <w:t>Cohort studies</w:t>
      </w:r>
    </w:p>
    <w:p w14:paraId="0452A4D9" w14:textId="24231FFB" w:rsidR="005323EC" w:rsidRPr="002D6EC7" w:rsidRDefault="005323EC" w:rsidP="005323EC">
      <w:pPr>
        <w:pStyle w:val="RdgNormal"/>
      </w:pPr>
      <w:r w:rsidRPr="002D6EC7">
        <w:t>We have investigated the feasibility of SREM</w:t>
      </w:r>
      <w:r w:rsidR="007C1C17" w:rsidRPr="002D6EC7">
        <w:rPr>
          <w:vertAlign w:val="subscript"/>
        </w:rPr>
        <w:t>B</w:t>
      </w:r>
      <w:r w:rsidRPr="002D6EC7">
        <w:t xml:space="preserve"> as nutritional biomarker of (</w:t>
      </w:r>
      <w:proofErr w:type="gramStart"/>
      <w:r w:rsidRPr="002D6EC7">
        <w:t>−)</w:t>
      </w:r>
      <w:r w:rsidRPr="002D6EC7">
        <w:noBreakHyphen/>
      </w:r>
      <w:proofErr w:type="gramEnd"/>
      <w:r w:rsidRPr="002D6EC7">
        <w:t>epicatechin in</w:t>
      </w:r>
      <w:r w:rsidR="00991D17" w:rsidRPr="002D6EC7">
        <w:t xml:space="preserve"> samples from two cohort studies, EPIC Norfolk and </w:t>
      </w:r>
      <w:r w:rsidR="004753E0" w:rsidRPr="002D6EC7">
        <w:t>Challenge</w:t>
      </w:r>
      <w:r w:rsidR="00991D17" w:rsidRPr="002D6EC7">
        <w:t xml:space="preserve">. </w:t>
      </w:r>
    </w:p>
    <w:p w14:paraId="718ADDB0" w14:textId="77777777" w:rsidR="005323EC" w:rsidRPr="002D6EC7" w:rsidRDefault="005323EC" w:rsidP="005323EC">
      <w:pPr>
        <w:pStyle w:val="Heading3"/>
      </w:pPr>
      <w:r w:rsidRPr="002D6EC7">
        <w:t>EPIC Norfolk</w:t>
      </w:r>
    </w:p>
    <w:p w14:paraId="7767A65D" w14:textId="4671004A" w:rsidR="004753E0" w:rsidRPr="002D6EC7" w:rsidRDefault="004753E0" w:rsidP="004753E0">
      <w:pPr>
        <w:pStyle w:val="RdgNormal"/>
      </w:pPr>
      <w:r w:rsidRPr="002D6EC7">
        <w:rPr>
          <w:shd w:val="clear" w:color="auto" w:fill="FFFFFF"/>
        </w:rPr>
        <w:t xml:space="preserve">25,639 apparently healthy men and women between 40 and 75 years of age, living in and around Norwich, UK, were recruited between 1993 and 1997 </w:t>
      </w:r>
      <w:r w:rsidR="00CE24FC" w:rsidRPr="002D6EC7">
        <w:rPr>
          <w:lang w:val="en-US" w:eastAsia="en-GB"/>
        </w:rPr>
        <w:fldChar w:fldCharType="begin"/>
      </w:r>
      <w:r w:rsidR="002D6EC7" w:rsidRPr="002D6EC7">
        <w:rPr>
          <w:lang w:val="en-US" w:eastAsia="en-GB"/>
        </w:rPr>
        <w:instrText xml:space="preserve"> ADDIN PAPERS2_CITATIONS &lt;citation&gt;&lt;priority&gt;16&lt;/priority&gt;&lt;uuid&gt;98DD91EE-0425-48A1-88D7-E4FBEA826CBD&lt;/uuid&gt;&lt;publications&gt;&lt;publication&gt;&lt;subtype&gt;400&lt;/subtype&gt;&lt;title&gt;EPIC-Norfolk: study design and characteristics of the cohort. European Prospective Investigation of Cancer.&lt;/title&gt;&lt;url&gt;http://eutils.ncbi.nlm.nih.gov/entrez/eutils/elink.fcgi?dbfrom=pubmed&amp;amp;id=10466767&amp;amp;retmode=ref&amp;amp;cmd=prlinks&lt;/url&gt;&lt;volume&gt;80 Suppl 1&lt;/volume&gt;&lt;publication_date&gt;99199907001200000000220000&lt;/publication_date&gt;&lt;uuid&gt;2E944D0A-956C-43D4-AA6B-04F524250F1A&lt;/uuid&gt;&lt;type&gt;400&lt;/type&gt;&lt;citekey&gt;Day:1999vc&lt;/citekey&gt;&lt;doi&gt;10.2337/diacare.23.6.726&lt;/doi&gt;&lt;institution&gt;Department of Community Medicine, University of Cambridge, Medical Research Council, UK.&lt;/institution&gt;&lt;startpage&gt;95&lt;/startpage&gt;&lt;endpage&gt;103&lt;/endpage&gt;&lt;bundle&gt;&lt;publication&gt;&lt;title&gt;British Journal of Cancer&lt;/title&gt;&lt;uuid&gt;400F80FB-5AB0-48AB-B505-16809F93125B&lt;/uuid&gt;&lt;subtype&gt;-100&lt;/subtype&gt;&lt;publisher&gt;Nature Publishing Group&lt;/publisher&gt;&lt;type&gt;-100&lt;/type&gt;&lt;/publication&gt;&lt;/bundle&gt;&lt;authors&gt;&lt;author&gt;&lt;lastName&gt;Day&lt;/lastName&gt;&lt;firstName&gt;N&lt;/firstName&gt;&lt;/author&gt;&lt;author&gt;&lt;lastName&gt;Oakes&lt;/lastName&gt;&lt;firstName&gt;S&lt;/firstName&gt;&lt;/author&gt;&lt;author&gt;&lt;lastName&gt;Luben&lt;/lastName&gt;&lt;firstName&gt;R&lt;/firstName&gt;&lt;/author&gt;&lt;author&gt;&lt;lastName&gt;Khaw&lt;/lastName&gt;&lt;firstName&gt;Kay-Tee&lt;/firstName&gt;&lt;/author&gt;&lt;author&gt;&lt;lastName&gt;Bingham&lt;/lastName&gt;&lt;firstName&gt;Shelia&lt;/firstName&gt;&lt;middleNames&gt;A&lt;/middleNames&gt;&lt;/author&gt;&lt;author&gt;&lt;lastName&gt;Welch&lt;/lastName&gt;&lt;firstName&gt;Ailsa&lt;/firstName&gt;&lt;middleNames&gt;A&lt;/middleNames&gt;&lt;/author&gt;&lt;author&gt;&lt;lastName&gt;Wareham&lt;/lastName&gt;&lt;firstName&gt;Nicholas&lt;/firstName&gt;&lt;middleNames&gt;J&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11</w:t>
      </w:r>
      <w:r w:rsidR="00CE24FC" w:rsidRPr="002D6EC7">
        <w:rPr>
          <w:lang w:val="en-US" w:eastAsia="en-GB"/>
        </w:rPr>
        <w:fldChar w:fldCharType="end"/>
      </w:r>
      <w:r w:rsidRPr="002D6EC7">
        <w:rPr>
          <w:shd w:val="clear" w:color="auto" w:fill="FFFFFF"/>
        </w:rPr>
        <w:t xml:space="preserve">. Spot urine samples were collected during the baseline health examination and stored at −20°C; </w:t>
      </w:r>
      <w:r w:rsidRPr="002D6EC7">
        <w:t>24,341 spot urine samples were available for analysis.</w:t>
      </w:r>
      <w:r w:rsidRPr="002D6EC7">
        <w:rPr>
          <w:shd w:val="clear" w:color="auto" w:fill="FFFFFF"/>
        </w:rPr>
        <w:t xml:space="preserve"> The study was approved by the Norwich </w:t>
      </w:r>
      <w:r w:rsidRPr="002D6EC7">
        <w:t>District</w:t>
      </w:r>
      <w:r w:rsidRPr="002D6EC7">
        <w:rPr>
          <w:shd w:val="clear" w:color="auto" w:fill="FFFFFF"/>
        </w:rPr>
        <w:t xml:space="preserve"> Health Authority Ethics Committee, and all participants gave signed informed consent.</w:t>
      </w:r>
    </w:p>
    <w:p w14:paraId="5E6640AF" w14:textId="77777777" w:rsidR="005323EC" w:rsidRPr="002D6EC7" w:rsidRDefault="004753E0" w:rsidP="005323EC">
      <w:pPr>
        <w:pStyle w:val="Heading3"/>
      </w:pPr>
      <w:r w:rsidRPr="002D6EC7">
        <w:t>Challenge study</w:t>
      </w:r>
    </w:p>
    <w:p w14:paraId="249FBEDF" w14:textId="6D2584E9" w:rsidR="0047750D" w:rsidRPr="002D6EC7" w:rsidRDefault="004753E0" w:rsidP="0047750D">
      <w:pPr>
        <w:pStyle w:val="RdgNormal"/>
        <w:rPr>
          <w:shd w:val="clear" w:color="auto" w:fill="FFFFFF"/>
        </w:rPr>
      </w:pPr>
      <w:r w:rsidRPr="002D6EC7">
        <w:t xml:space="preserve">158 cognitively normal elderly people </w:t>
      </w:r>
      <w:r w:rsidR="0042412C" w:rsidRPr="002D6EC7">
        <w:t>(</w:t>
      </w:r>
      <w:r w:rsidR="0047750D" w:rsidRPr="002D6EC7">
        <w:t xml:space="preserve">(77 women, 81 men) aged 60 to 91 years old) </w:t>
      </w:r>
      <w:r w:rsidRPr="002D6EC7">
        <w:t xml:space="preserve">living in and around Oxford were recruited in 1997 as part of the OPTIMA study </w:t>
      </w:r>
      <w:r w:rsidR="00CE24FC" w:rsidRPr="002D6EC7">
        <w:rPr>
          <w:lang w:val="en-US" w:eastAsia="en-GB"/>
        </w:rPr>
        <w:fldChar w:fldCharType="begin"/>
      </w:r>
      <w:r w:rsidR="002D6EC7" w:rsidRPr="002D6EC7">
        <w:rPr>
          <w:lang w:val="en-US" w:eastAsia="en-GB"/>
        </w:rPr>
        <w:instrText xml:space="preserve"> ADDIN PAPERS2_CITATIONS &lt;citation&gt;&lt;priority&gt;17&lt;/priority&gt;&lt;uuid&gt;BD694E6E-A75A-420A-A848-2155CBAF10B9&lt;/uuid&gt;&lt;publications&gt;&lt;publication&gt;&lt;subtype&gt;400&lt;/subtype&gt;&lt;title&gt;Total plasma homocysteine, age, systolic blood pressure, and cognitive performance in older people.&lt;/title&gt;&lt;url&gt;http://eutils.ncbi.nlm.nih.gov/entrez/eutils/elink.fcgi?dbfrom=pubmed&amp;amp;id=12473014&amp;amp;retmode=ref&amp;amp;cmd=prlinks&lt;/url&gt;&lt;volume&gt;50&lt;/volume&gt;&lt;publication_date&gt;99200212001200000000220000&lt;/publication_date&gt;&lt;uuid&gt;1B90DFC1-E343-4FC0-97A0-3DCD1B7DFAC9&lt;/uuid&gt;&lt;type&gt;400&lt;/type&gt;&lt;number&gt;12&lt;/number&gt;&lt;institution&gt;Department of Pharmacology, University of Oxford, and Radcliffe Infirmary, United Kingdom. marc.budge@pharm.ox.ac.uk&lt;/institution&gt;&lt;startpage&gt;2014&lt;/startpage&gt;&lt;endpage&gt;2018&lt;/endpage&gt;&lt;bundle&gt;&lt;publication&gt;&lt;title&gt;Journal of the American Geriatrics Society&lt;/title&gt;&lt;uuid&gt;1BE7C891-5F79-432E-AD5C-06C925F7588E&lt;/uuid&gt;&lt;subtype&gt;-100&lt;/subtype&gt;&lt;type&gt;-100&lt;/type&gt;&lt;/publication&gt;&lt;/bundle&gt;&lt;authors&gt;&lt;author&gt;&lt;lastName&gt;Budge&lt;/lastName&gt;&lt;firstName&gt;Marc&lt;/firstName&gt;&lt;middleNames&gt;M&lt;/middleNames&gt;&lt;/author&gt;&lt;author&gt;&lt;lastName&gt;Jager&lt;/lastName&gt;&lt;nonDroppingParticle&gt;de&lt;/nonDroppingParticle&gt;&lt;firstName&gt;Celeste&lt;/firstName&gt;&lt;/author&gt;&lt;author&gt;&lt;lastName&gt;Hogervorst&lt;/lastName&gt;&lt;firstName&gt;Eva&lt;/firstName&gt;&lt;/author&gt;&lt;author&gt;&lt;lastName&gt;Smith&lt;/lastName&gt;&lt;firstName&gt;A&lt;/firstName&gt;&lt;middleNames&gt;David&lt;/middleNames&gt;&lt;/author&gt;&lt;author&gt;&lt;lastName&gt;Oxford Project To Investigate Memory and Ageing (OPTIMA)&lt;/lastName&gt;&lt;/author&gt;&lt;/authors&gt;&lt;/publication&gt;&lt;/publications&gt;&lt;cites&gt;&lt;/cites&gt;&lt;/citation&gt;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12</w:t>
      </w:r>
      <w:r w:rsidR="00CE24FC" w:rsidRPr="002D6EC7">
        <w:rPr>
          <w:lang w:val="en-US" w:eastAsia="en-GB"/>
        </w:rPr>
        <w:fldChar w:fldCharType="end"/>
      </w:r>
      <w:r w:rsidRPr="002D6EC7">
        <w:t xml:space="preserve">. 24h urine samples were collected at baseline and stored </w:t>
      </w:r>
      <w:r w:rsidR="004D5513" w:rsidRPr="002D6EC7">
        <w:t xml:space="preserve">at </w:t>
      </w:r>
      <w:r w:rsidR="004D5513" w:rsidRPr="002D6EC7">
        <w:rPr>
          <w:shd w:val="clear" w:color="auto" w:fill="FFFFFF"/>
        </w:rPr>
        <w:t>−</w:t>
      </w:r>
      <w:r w:rsidR="00223385" w:rsidRPr="002D6EC7">
        <w:rPr>
          <w:shd w:val="clear" w:color="auto" w:fill="FFFFFF"/>
        </w:rPr>
        <w:t>7</w:t>
      </w:r>
      <w:r w:rsidR="004D5513" w:rsidRPr="002D6EC7">
        <w:rPr>
          <w:shd w:val="clear" w:color="auto" w:fill="FFFFFF"/>
        </w:rPr>
        <w:t xml:space="preserve">0 °C; </w:t>
      </w:r>
      <w:r w:rsidR="004D5513" w:rsidRPr="002D6EC7">
        <w:t xml:space="preserve">145 samples were available for analysis. </w:t>
      </w:r>
      <w:r w:rsidR="0047750D" w:rsidRPr="002D6EC7">
        <w:rPr>
          <w:shd w:val="clear" w:color="auto" w:fill="FFFFFF"/>
        </w:rPr>
        <w:t>The Central Oxford Research Ethics Committee granted ethical approval. Informed consent was obtained from all participants for all testing.</w:t>
      </w:r>
    </w:p>
    <w:p w14:paraId="228BC574" w14:textId="69FCDC63" w:rsidR="00991D17" w:rsidRPr="002D6EC7" w:rsidRDefault="00991D17" w:rsidP="0047750D">
      <w:pPr>
        <w:pStyle w:val="Heading2"/>
      </w:pPr>
      <w:r w:rsidRPr="002D6EC7">
        <w:lastRenderedPageBreak/>
        <w:t>Statistical analyses</w:t>
      </w:r>
    </w:p>
    <w:p w14:paraId="6722CABB" w14:textId="186DB354" w:rsidR="005323EC" w:rsidRPr="002D6EC7" w:rsidRDefault="00991D17" w:rsidP="005323EC">
      <w:pPr>
        <w:pStyle w:val="RdgNormal"/>
      </w:pPr>
      <w:r w:rsidRPr="002D6EC7">
        <w:t xml:space="preserve">Associations between biomarker and intake were assessed with linear regression models using R 3.5.0 </w:t>
      </w:r>
      <w:r w:rsidR="00CE24FC" w:rsidRPr="002D6EC7">
        <w:rPr>
          <w:lang w:val="en-US" w:eastAsia="en-GB"/>
        </w:rPr>
        <w:fldChar w:fldCharType="begin"/>
      </w:r>
      <w:r w:rsidR="002D6EC7" w:rsidRPr="002D6EC7">
        <w:rPr>
          <w:lang w:val="en-US" w:eastAsia="en-GB"/>
        </w:rPr>
        <w:instrText xml:space="preserve"> ADDIN PAPERS2_CITATIONS &lt;citation&gt;&lt;priority&gt;18&lt;/priority&gt;&lt;uuid&gt;3CC99D5D-B9AD-48D4-86D7-7A3377BF3124&lt;/uuid&gt;&lt;publications&gt;&lt;publication&gt;&lt;subtype&gt;400&lt;/subtype&gt;&lt;place&gt;Vienna&lt;/place&gt;&lt;publisher&gt;Oxford University Press&lt;/publisher&gt;&lt;title&gt;R: A Language and Environment for Statistical Computing&lt;/title&gt;&lt;url&gt;http://www.oxfordmedicine.com/view/10.1093/med/9780199656097.001.0001/med-9780199656097-chapter-41&lt;/url&gt;&lt;volume&gt;1&lt;/volume&gt;&lt;publication_date&gt;99201800001200000000200000&lt;/publication_date&gt;&lt;uuid&gt;F4B6E044-FA70-4BDE-AB9A-F4243C93FC51&lt;/uuid&gt;&lt;type&gt;400&lt;/type&gt;&lt;citekey&gt;RCoreTeam:2015ix&lt;/citekey&gt;&lt;subtitle&gt;The core team and the extended team&lt;/subtitle&gt;&lt;doi&gt;10.1093/med/9780199656097.003.0041&lt;/doi&gt;&lt;institution&gt;R Foundation for Statistical Computing&lt;/institution&gt;&lt;authors&gt;&lt;author&gt;&lt;lastName&gt;R Core Team&lt;/lastName&gt;&lt;/author&gt;&lt;/authors&gt;&lt;/publication&gt;&lt;/publications&gt;&lt;cites&gt;&lt;/cites&gt;&lt;/citation&gt;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13</w:t>
      </w:r>
      <w:r w:rsidR="00CE24FC" w:rsidRPr="002D6EC7">
        <w:rPr>
          <w:lang w:val="en-US" w:eastAsia="en-GB"/>
        </w:rPr>
        <w:fldChar w:fldCharType="end"/>
      </w:r>
      <w:r w:rsidRPr="002D6EC7">
        <w:t xml:space="preserve"> with the </w:t>
      </w:r>
      <w:r w:rsidRPr="002D6EC7">
        <w:rPr>
          <w:i/>
        </w:rPr>
        <w:t>boot</w:t>
      </w:r>
      <w:r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&lt;citation&gt;&lt;priority&gt;19&lt;/priority&gt;&lt;uuid&gt;F7DDCBEA-EAD3-4783-A767-18B92ABA6543&lt;/uuid&gt;&lt;publications&gt;&lt;publication&gt;&lt;subtype&gt;700&lt;/subtype&gt;&lt;title&gt;boot: Bootstrap R (S-Plus) Functions&lt;/title&gt;&lt;publication_date&gt;99201700001200000000200000&lt;/publication_date&gt;&lt;uuid&gt;306F84F8-78C1-407A-95E5-A67A7B536436&lt;/uuid&gt;&lt;type&gt;700&lt;/type&gt;&lt;citekey&gt;Canty:2017bo&lt;/citekey&gt;&lt;authors&gt;&lt;author&gt;&lt;lastName&gt;Canty&lt;/lastName&gt;&lt;firstName&gt;Angelo&lt;/firstName&gt;&lt;/author&gt;&lt;author&gt;&lt;lastName&gt;Ripley&lt;/lastName&gt;&lt;firstName&gt;Brian&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14</w:t>
      </w:r>
      <w:r w:rsidR="00CE24FC" w:rsidRPr="002D6EC7">
        <w:rPr>
          <w:lang w:val="en-US" w:eastAsia="en-GB"/>
        </w:rPr>
        <w:fldChar w:fldCharType="end"/>
      </w:r>
      <w:r w:rsidR="000E02A4" w:rsidRPr="002D6EC7">
        <w:t>,</w:t>
      </w:r>
      <w:r w:rsidRPr="002D6EC7">
        <w:t xml:space="preserve"> </w:t>
      </w:r>
      <w:r w:rsidRPr="002D6EC7">
        <w:rPr>
          <w:i/>
        </w:rPr>
        <w:t>ggplot2</w:t>
      </w:r>
      <w:r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&lt;citation&gt;&lt;priority&gt;20&lt;/priority&gt;&lt;uuid&gt;F26D4C58-BD0C-455B-87E1-EFEBCB20ED29&lt;/uuid&gt;&lt;publications&gt;&lt;publication&gt;&lt;subtype&gt;0&lt;/subtype&gt;&lt;publisher&gt;Springer-Verlag New York&lt;/publisher&gt;&lt;title&gt;ggplot2: Elegant Graphics for Data Analysis&lt;/title&gt;&lt;url&gt;http://ggplot2.org&lt;/url&gt;&lt;publication_date&gt;99200900001200000000200000&lt;/publication_date&gt;&lt;uuid&gt;B058DF92-F815-4033-9C47-DBB6045981CE&lt;/uuid&gt;&lt;type&gt;0&lt;/type&gt;&lt;citekey&gt;R:ggplot2&lt;/citekey&gt;&lt;authors&gt;&lt;author&gt;&lt;lastName&gt;Wickham&lt;/lastName&gt;&lt;firstName&gt;Hadley&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15</w:t>
      </w:r>
      <w:r w:rsidR="00CE24FC" w:rsidRPr="002D6EC7">
        <w:rPr>
          <w:lang w:val="en-US" w:eastAsia="en-GB"/>
        </w:rPr>
        <w:fldChar w:fldCharType="end"/>
      </w:r>
      <w:r w:rsidRPr="002D6EC7">
        <w:t xml:space="preserve"> and </w:t>
      </w:r>
      <w:r w:rsidRPr="002D6EC7">
        <w:rPr>
          <w:i/>
        </w:rPr>
        <w:t>rms</w:t>
      </w:r>
      <w:r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&lt;citation&gt;&lt;priority&gt;21&lt;/priority&gt;&lt;uuid&gt;8B82A6A8-61B8-472B-BCC9-A7CE41453DE1&lt;/uuid&gt;&lt;publications&gt;&lt;publication&gt;&lt;subtype&gt;400&lt;/subtype&gt;&lt;title&gt;rms: Regression Modeling Strategies&lt;/title&gt;&lt;url&gt;https://CRAN.R-project.org/package=rms&lt;/url&gt;&lt;publication_date&gt;99201700001200000000200000&lt;/publication_date&gt;&lt;uuid&gt;13D6E69C-DABE-4F8E-A3B5-7137E3C5B699&lt;/uuid&gt;&lt;type&gt;400&lt;/type&gt;&lt;citekey&gt;R:rms&lt;/citekey&gt;&lt;authors&gt;&lt;author&gt;&lt;lastName&gt;Harrell Jr&lt;/lastName&gt;&lt;firstName&gt;Frank&lt;/firstName&gt;&lt;middleNames&gt;E&lt;/middleNames&gt;&lt;/author&gt;&lt;/authors&gt;&lt;/publication&gt;&lt;/publications&gt;&lt;cites&gt;&lt;/cites&gt;&lt;/citation&gt;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16</w:t>
      </w:r>
      <w:r w:rsidR="00CE24FC" w:rsidRPr="002D6EC7">
        <w:rPr>
          <w:lang w:val="en-US" w:eastAsia="en-GB"/>
        </w:rPr>
        <w:fldChar w:fldCharType="end"/>
      </w:r>
      <w:r w:rsidRPr="002D6EC7">
        <w:t xml:space="preserve"> packages. Differences between epicatechin precursors where investigated using one-way ANOVA with Tukey’s Honest Significant Difference method </w:t>
      </w:r>
      <w:r w:rsidR="00CE24FC" w:rsidRPr="002D6EC7">
        <w:rPr>
          <w:lang w:val="en-US" w:eastAsia="en-GB"/>
        </w:rPr>
        <w:fldChar w:fldCharType="begin"/>
      </w:r>
      <w:r w:rsidR="002D6EC7" w:rsidRPr="002D6EC7">
        <w:rPr>
          <w:lang w:val="en-US" w:eastAsia="en-GB"/>
        </w:rPr>
        <w:instrText xml:space="preserve"> ADDIN PAPERS2_CITATIONS &lt;citation&gt;&lt;priority&gt;22&lt;/priority&gt;&lt;uuid&gt;28980CDD-FB57-4B0D-AD5B-9A19F079DF3A&lt;/uuid&gt;&lt;publications&gt;&lt;publication&gt;&lt;subtype&gt;400&lt;/subtype&gt;&lt;title&gt;Comparing individual means in the analysis of variance.&lt;/title&gt;&lt;url&gt;http://eutils.ncbi.nlm.nih.gov/entrez/eutils/elink.fcgi?dbfrom=pubmed&amp;amp;id=18151955&amp;amp;retmode=ref&amp;amp;cmd=prlinks&lt;/url&gt;&lt;volume&gt;5&lt;/volume&gt;&lt;publication_date&gt;99194906001200000000220000&lt;/publication_date&gt;&lt;uuid&gt;E9335EDE-725E-44BA-94D9-DD773DFC9013&lt;/uuid&gt;&lt;type&gt;400&lt;/type&gt;&lt;number&gt;2&lt;/number&gt;&lt;citekey&gt;Tukey:1949tw&lt;/citekey&gt;&lt;startpage&gt;99&lt;/startpage&gt;&lt;endpage&gt;114&lt;/endpage&gt;&lt;bundle&gt;&lt;publication&gt;&lt;title&gt;Biometrics&lt;/title&gt;&lt;uuid&gt;1AA9E39C-A8AE-42E5-AD66-66A86B91B226&lt;/uuid&gt;&lt;subtype&gt;-100&lt;/subtype&gt;&lt;type&gt;-100&lt;/type&gt;&lt;/publication&gt;&lt;/bundle&gt;&lt;authors&gt;&lt;author&gt;&lt;lastName&gt;Tukey&lt;/lastName&gt;&lt;firstName&gt;John&lt;/firstName&gt;&lt;middleNames&gt;W&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17</w:t>
      </w:r>
      <w:r w:rsidR="00CE24FC" w:rsidRPr="002D6EC7">
        <w:rPr>
          <w:lang w:val="en-US" w:eastAsia="en-GB"/>
        </w:rPr>
        <w:fldChar w:fldCharType="end"/>
      </w:r>
      <w:r w:rsidRPr="002D6EC7">
        <w:t>.</w:t>
      </w:r>
    </w:p>
    <w:p w14:paraId="3CC84EBC" w14:textId="77777777" w:rsidR="005956AA" w:rsidRPr="002D6EC7" w:rsidRDefault="00CA1FCB" w:rsidP="00CA1FCB">
      <w:pPr>
        <w:pStyle w:val="Heading1"/>
      </w:pPr>
      <w:r w:rsidRPr="002D6EC7">
        <w:lastRenderedPageBreak/>
        <w:t>Results</w:t>
      </w:r>
    </w:p>
    <w:p w14:paraId="6B81643A" w14:textId="77777777" w:rsidR="00CA1FCB" w:rsidRPr="002D6EC7" w:rsidRDefault="00CA1FCB" w:rsidP="00CA1FCB">
      <w:pPr>
        <w:pStyle w:val="Heading2"/>
      </w:pPr>
      <w:r w:rsidRPr="002D6EC7">
        <w:t>Analytical method validation and performance</w:t>
      </w:r>
    </w:p>
    <w:p w14:paraId="14428E09" w14:textId="5A0D2D1F" w:rsidR="004D582E" w:rsidRPr="002D6EC7" w:rsidRDefault="00CA1FCB" w:rsidP="00582B6A">
      <w:pPr>
        <w:pStyle w:val="RdgNormal"/>
      </w:pPr>
      <w:r w:rsidRPr="002D6EC7">
        <w:t xml:space="preserve">The analysis of nutritional biomarker </w:t>
      </w:r>
      <w:r w:rsidR="0011157E" w:rsidRPr="002D6EC7">
        <w:t>requires robust and validated analytical methods. We have included</w:t>
      </w:r>
      <w:r w:rsidR="00AC2440" w:rsidRPr="002D6EC7">
        <w:t xml:space="preserve"> the sum of</w:t>
      </w:r>
      <w:r w:rsidR="0011157E" w:rsidRPr="002D6EC7">
        <w:t xml:space="preserve"> three SREMs ((−)-epicatechin-3</w:t>
      </w:r>
      <w:r w:rsidR="0011157E" w:rsidRPr="002D6EC7">
        <w:rPr>
          <w:rFonts w:hint="eastAsia"/>
        </w:rPr>
        <w:t>′</w:t>
      </w:r>
      <w:r w:rsidR="0011157E" w:rsidRPr="002D6EC7">
        <w:t>-glucuronide</w:t>
      </w:r>
      <w:r w:rsidR="00C946F6" w:rsidRPr="002D6EC7">
        <w:t xml:space="preserve"> (E3G)</w:t>
      </w:r>
      <w:r w:rsidR="0011157E" w:rsidRPr="002D6EC7">
        <w:t>, (−)-epicatechin-3</w:t>
      </w:r>
      <w:r w:rsidR="0011157E" w:rsidRPr="002D6EC7">
        <w:rPr>
          <w:rFonts w:hint="eastAsia"/>
        </w:rPr>
        <w:t>′</w:t>
      </w:r>
      <w:r w:rsidR="0011157E" w:rsidRPr="002D6EC7">
        <w:t>-</w:t>
      </w:r>
      <w:proofErr w:type="spellStart"/>
      <w:r w:rsidR="0011157E" w:rsidRPr="002D6EC7">
        <w:t>sulfate</w:t>
      </w:r>
      <w:proofErr w:type="spellEnd"/>
      <w:r w:rsidR="0011157E" w:rsidRPr="002D6EC7">
        <w:t xml:space="preserve"> </w:t>
      </w:r>
      <w:r w:rsidR="00C946F6" w:rsidRPr="002D6EC7">
        <w:t xml:space="preserve">(E3S) </w:t>
      </w:r>
      <w:r w:rsidR="0011157E" w:rsidRPr="002D6EC7">
        <w:t>and 3</w:t>
      </w:r>
      <w:r w:rsidR="0011157E" w:rsidRPr="002D6EC7">
        <w:rPr>
          <w:rFonts w:hint="eastAsia"/>
        </w:rPr>
        <w:t>′</w:t>
      </w:r>
      <w:r w:rsidR="0011157E" w:rsidRPr="002D6EC7">
        <w:rPr>
          <w:rFonts w:hint="eastAsia"/>
        </w:rPr>
        <w:t>-</w:t>
      </w:r>
      <w:r w:rsidR="00624E98" w:rsidRPr="002D6EC7">
        <w:t>O</w:t>
      </w:r>
      <w:r w:rsidR="0011157E" w:rsidRPr="002D6EC7">
        <w:t>-methyl-(</w:t>
      </w:r>
      <w:r w:rsidR="00C946F6" w:rsidRPr="002D6EC7">
        <w:t>−</w:t>
      </w:r>
      <w:r w:rsidR="0011157E" w:rsidRPr="002D6EC7">
        <w:t>)-epicatechin-5-sulfate</w:t>
      </w:r>
      <w:r w:rsidR="00C946F6" w:rsidRPr="002D6EC7">
        <w:t xml:space="preserve"> (MeE5S</w:t>
      </w:r>
      <w:r w:rsidR="009445B8" w:rsidRPr="002D6EC7">
        <w:t>), SREM</w:t>
      </w:r>
      <w:r w:rsidR="009445B8" w:rsidRPr="002D6EC7">
        <w:rPr>
          <w:vertAlign w:val="subscript"/>
        </w:rPr>
        <w:t>B</w:t>
      </w:r>
      <w:r w:rsidR="008A31F6" w:rsidRPr="002D6EC7">
        <w:t xml:space="preserve">) </w:t>
      </w:r>
      <w:r w:rsidR="0011157E" w:rsidRPr="002D6EC7">
        <w:t xml:space="preserve">in an LC-MS method developed for the analysis of </w:t>
      </w:r>
      <w:proofErr w:type="spellStart"/>
      <w:r w:rsidR="0011157E" w:rsidRPr="002D6EC7">
        <w:t>gVLM</w:t>
      </w:r>
      <w:proofErr w:type="spellEnd"/>
      <w:r w:rsidR="0011157E" w:rsidRPr="002D6EC7">
        <w:t xml:space="preserve"> </w:t>
      </w:r>
      <w:r w:rsidR="00624E98" w:rsidRPr="002D6EC7">
        <w:t>(5-(3′,4′-dihydroxyphenyl)-</w:t>
      </w:r>
      <w:r w:rsidR="00624E98" w:rsidRPr="002D6EC7">
        <w:rPr>
          <w:rFonts w:ascii="Symbol" w:hAnsi="Symbol"/>
        </w:rPr>
        <w:t></w:t>
      </w:r>
      <w:r w:rsidR="00624E98" w:rsidRPr="002D6EC7">
        <w:t>-valerolactone-3′/4′-O-glucuronide (gVL34G) and 5-(3′,4′-dihydroxyphenyl)-</w:t>
      </w:r>
      <w:r w:rsidR="00624E98" w:rsidRPr="002D6EC7">
        <w:rPr>
          <w:rFonts w:ascii="Symbol" w:hAnsi="Symbol"/>
        </w:rPr>
        <w:t></w:t>
      </w:r>
      <w:r w:rsidR="00624E98" w:rsidRPr="002D6EC7">
        <w:t>-valerolactone-3′/4′-sul</w:t>
      </w:r>
      <w:r w:rsidR="0042412C" w:rsidRPr="002D6EC7">
        <w:t>f</w:t>
      </w:r>
      <w:r w:rsidR="00624E98" w:rsidRPr="002D6EC7">
        <w:t xml:space="preserve">ate (gVL34S)) </w:t>
      </w:r>
      <w:r w:rsidR="0011157E" w:rsidRPr="002D6EC7">
        <w:t>as biomarker of flavan-3-ol intake, as this method can be automated</w:t>
      </w:r>
      <w:r w:rsidR="00624E98" w:rsidRPr="002D6EC7">
        <w:t xml:space="preserve"> </w:t>
      </w:r>
      <w:r w:rsidR="0011157E" w:rsidRPr="002D6EC7">
        <w:t>and is suitable for high-throughput analysis</w:t>
      </w:r>
      <w:r w:rsidR="00D306FD"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&lt;citation&gt;&lt;priority&gt;23&lt;/priority&gt;&lt;uuid&gt;12318A53-AD15-4305-9EBE-E5553BE325E1&lt;/uuid&gt;&lt;publications&gt;&lt;publication&gt;&lt;subtype&gt;400&lt;/subtype&gt;&lt;publisher&gt;Nature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6</w:t>
      </w:r>
      <w:r w:rsidR="00CE24FC" w:rsidRPr="002D6EC7">
        <w:rPr>
          <w:lang w:val="en-US" w:eastAsia="en-GB"/>
        </w:rPr>
        <w:fldChar w:fldCharType="end"/>
      </w:r>
      <w:r w:rsidR="0011157E" w:rsidRPr="002D6EC7">
        <w:t xml:space="preserve">. </w:t>
      </w:r>
      <w:r w:rsidR="00AA65BE" w:rsidRPr="002D6EC7">
        <w:t xml:space="preserve">The precision and accuracy of the method was well within the usual GLP criteria of 15% </w:t>
      </w:r>
      <w:r w:rsidR="007E67DB" w:rsidRPr="002D6EC7">
        <w:t xml:space="preserve">and better than 10% for most </w:t>
      </w:r>
      <w:r w:rsidR="00C946F6" w:rsidRPr="002D6EC7">
        <w:t>compounds</w:t>
      </w:r>
      <w:r w:rsidR="007E67DB" w:rsidRPr="002D6EC7">
        <w:t xml:space="preserve">. </w:t>
      </w:r>
      <w:r w:rsidR="004D582E" w:rsidRPr="002D6EC7">
        <w:t>The estimated limit of detection (signal-to-noise ratio better than 5-to-1) was at least 0.1 µM</w:t>
      </w:r>
      <w:r w:rsidR="00C946F6" w:rsidRPr="002D6EC7">
        <w:t xml:space="preserve"> for all compounds</w:t>
      </w:r>
      <w:r w:rsidR="004D582E" w:rsidRPr="002D6EC7">
        <w:t xml:space="preserve">. </w:t>
      </w:r>
      <w:r w:rsidR="005F48E2" w:rsidRPr="002D6EC7">
        <w:t>Where matrix effects were evident, these</w:t>
      </w:r>
      <w:r w:rsidR="004D582E" w:rsidRPr="002D6EC7">
        <w:t xml:space="preserve"> w</w:t>
      </w:r>
      <w:r w:rsidR="00C946F6" w:rsidRPr="002D6EC7">
        <w:t>ere</w:t>
      </w:r>
      <w:r w:rsidR="004D582E" w:rsidRPr="002D6EC7">
        <w:t xml:space="preserve"> adequately compensated for by the</w:t>
      </w:r>
      <w:r w:rsidR="00E663D3" w:rsidRPr="002D6EC7">
        <w:t xml:space="preserve"> use of a</w:t>
      </w:r>
      <w:r w:rsidR="0042412C" w:rsidRPr="002D6EC7">
        <w:t>n</w:t>
      </w:r>
      <w:r w:rsidR="004D582E" w:rsidRPr="002D6EC7">
        <w:t xml:space="preserve"> isotope-labelled internal standard.</w:t>
      </w:r>
      <w:r w:rsidR="00AA65BE" w:rsidRPr="002D6EC7">
        <w:t xml:space="preserve"> </w:t>
      </w:r>
      <w:r w:rsidR="004D582E" w:rsidRPr="002D6EC7">
        <w:t xml:space="preserve">All compounds were tested for their stability in urine under different conditions, including at high temperature (six </w:t>
      </w:r>
      <w:r w:rsidR="00906774" w:rsidRPr="002D6EC7">
        <w:t xml:space="preserve">h </w:t>
      </w:r>
      <w:r w:rsidR="004D582E" w:rsidRPr="002D6EC7">
        <w:t>at 3</w:t>
      </w:r>
      <w:r w:rsidR="005F48E2" w:rsidRPr="002D6EC7">
        <w:t>7</w:t>
      </w:r>
      <w:r w:rsidR="004D582E" w:rsidRPr="002D6EC7">
        <w:t>°C, 24</w:t>
      </w:r>
      <w:r w:rsidR="00F127CC" w:rsidRPr="002D6EC7">
        <w:t xml:space="preserve"> </w:t>
      </w:r>
      <w:r w:rsidR="004D582E" w:rsidRPr="002D6EC7">
        <w:t>h at room temperature) and following four freeze-thaw cycles (-80°C), and the extracted samples were tested for 72</w:t>
      </w:r>
      <w:r w:rsidR="00F127CC" w:rsidRPr="002D6EC7">
        <w:t xml:space="preserve"> </w:t>
      </w:r>
      <w:r w:rsidR="004D582E" w:rsidRPr="002D6EC7">
        <w:t xml:space="preserve">h at 5°C and seven d at </w:t>
      </w:r>
      <w:r w:rsidR="004D582E" w:rsidRPr="002D6EC7">
        <w:rPr>
          <w:rFonts w:ascii="MS Mincho" w:eastAsia="MS Mincho" w:hAnsi="MS Mincho" w:cs="MS Mincho"/>
        </w:rPr>
        <w:t>‑</w:t>
      </w:r>
      <w:r w:rsidR="004D582E" w:rsidRPr="002D6EC7">
        <w:t>20°C. All compounds were stable under these conditions and showed no indication of deterioration</w:t>
      </w:r>
      <w:r w:rsidR="006674F6" w:rsidRPr="002D6EC7">
        <w:t xml:space="preserve"> </w:t>
      </w:r>
      <w:r w:rsidR="008A31F6" w:rsidRPr="002D6EC7">
        <w:t xml:space="preserve">and we did not observe any batch effect or long-term drift of results. </w:t>
      </w:r>
      <w:r w:rsidR="006674F6" w:rsidRPr="002D6EC7">
        <w:t>Table 3</w:t>
      </w:r>
      <w:r w:rsidR="008A31F6" w:rsidRPr="002D6EC7">
        <w:t xml:space="preserve"> shows long term precision and accuracy data for the three (−)-epicatechin metabolites (SREM</w:t>
      </w:r>
      <w:r w:rsidR="008A31F6" w:rsidRPr="002D6EC7">
        <w:rPr>
          <w:vertAlign w:val="subscript"/>
        </w:rPr>
        <w:t>B</w:t>
      </w:r>
      <w:r w:rsidR="008A31F6" w:rsidRPr="002D6EC7">
        <w:t>).</w:t>
      </w:r>
    </w:p>
    <w:p w14:paraId="273DB05B" w14:textId="5611B8DD" w:rsidR="00BC6C84" w:rsidRPr="002D6EC7" w:rsidRDefault="007B701D" w:rsidP="007B701D">
      <w:pPr>
        <w:pStyle w:val="RdgNormalFollow"/>
      </w:pPr>
      <w:r w:rsidRPr="002D6EC7">
        <w:t xml:space="preserve">In an analysis of </w:t>
      </w:r>
      <w:r w:rsidR="007A41EF" w:rsidRPr="002D6EC7">
        <w:t xml:space="preserve">spot urines collected from </w:t>
      </w:r>
      <w:r w:rsidR="00D41BE5" w:rsidRPr="002D6EC7">
        <w:t>24,341</w:t>
      </w:r>
      <w:r w:rsidRPr="002D6EC7">
        <w:t xml:space="preserve"> </w:t>
      </w:r>
      <w:r w:rsidR="007A41EF" w:rsidRPr="002D6EC7">
        <w:t>participants</w:t>
      </w:r>
      <w:r w:rsidRPr="002D6EC7">
        <w:t xml:space="preserve"> of EPIC Norfolk</w:t>
      </w:r>
      <w:r w:rsidR="009B420F" w:rsidRPr="002D6EC7">
        <w:t xml:space="preserve">, </w:t>
      </w:r>
      <w:r w:rsidR="008C3172" w:rsidRPr="002D6EC7">
        <w:t>biomarker</w:t>
      </w:r>
      <w:r w:rsidR="009B420F" w:rsidRPr="002D6EC7">
        <w:t xml:space="preserve"> concentrations above the limit of quantification (0.1 µM) were found in 20,277 participants (83%).</w:t>
      </w:r>
      <w:r w:rsidR="008A31F6" w:rsidRPr="002D6EC7">
        <w:t xml:space="preserve"> Figure 1 shows the distribution of SREM</w:t>
      </w:r>
      <w:r w:rsidR="008A31F6" w:rsidRPr="002D6EC7">
        <w:rPr>
          <w:vertAlign w:val="subscript"/>
        </w:rPr>
        <w:t>B</w:t>
      </w:r>
      <w:r w:rsidR="008A31F6" w:rsidRPr="002D6EC7">
        <w:t xml:space="preserve"> concentration</w:t>
      </w:r>
      <w:r w:rsidR="00977970" w:rsidRPr="002D6EC7">
        <w:t>s, which</w:t>
      </w:r>
      <w:r w:rsidR="009B420F" w:rsidRPr="002D6EC7">
        <w:t xml:space="preserve"> was skewed to the left with a median (IQR) of 1.2 (0.5 – 2.9) µmol/L and a mean (SD) of 2.4 (3.2) µmol/L</w:t>
      </w:r>
      <w:r w:rsidR="008A31F6" w:rsidRPr="002D6EC7">
        <w:t>.</w:t>
      </w:r>
    </w:p>
    <w:p w14:paraId="04A36136" w14:textId="60EE1B4E" w:rsidR="005956AA" w:rsidRPr="002D6EC7" w:rsidRDefault="00CA1FCB" w:rsidP="0011157E">
      <w:pPr>
        <w:pStyle w:val="Heading2"/>
      </w:pPr>
      <w:r w:rsidRPr="002D6EC7">
        <w:lastRenderedPageBreak/>
        <w:t>Specificity</w:t>
      </w:r>
      <w:r w:rsidR="006C052A" w:rsidRPr="002D6EC7">
        <w:t xml:space="preserve"> of </w:t>
      </w:r>
      <w:r w:rsidR="007D2D4B" w:rsidRPr="002D6EC7">
        <w:t>SREM</w:t>
      </w:r>
      <w:r w:rsidR="007D2D4B" w:rsidRPr="002D6EC7">
        <w:rPr>
          <w:vertAlign w:val="subscript"/>
        </w:rPr>
        <w:t>B</w:t>
      </w:r>
      <w:r w:rsidR="007D2D4B" w:rsidRPr="002D6EC7">
        <w:t xml:space="preserve"> </w:t>
      </w:r>
      <w:r w:rsidR="001F0410" w:rsidRPr="002D6EC7">
        <w:t>as biomarker of flavan-3-ol intake</w:t>
      </w:r>
    </w:p>
    <w:p w14:paraId="404D82E9" w14:textId="77F56E0B" w:rsidR="00D34A64" w:rsidRPr="002D6EC7" w:rsidRDefault="00B44D6C" w:rsidP="007A60FD">
      <w:pPr>
        <w:pStyle w:val="RdgNormal"/>
      </w:pPr>
      <w:r w:rsidRPr="002D6EC7">
        <w:t>To assess potential</w:t>
      </w:r>
      <w:r w:rsidR="006C052A" w:rsidRPr="002D6EC7">
        <w:t xml:space="preserve"> precursors </w:t>
      </w:r>
      <w:r w:rsidR="00D41BE5" w:rsidRPr="002D6EC7">
        <w:t>of SREMs</w:t>
      </w:r>
      <w:r w:rsidR="001F0410" w:rsidRPr="002D6EC7">
        <w:t xml:space="preserve">, we investigated </w:t>
      </w:r>
      <w:r w:rsidR="007D2D4B" w:rsidRPr="002D6EC7">
        <w:t>SREM</w:t>
      </w:r>
      <w:r w:rsidR="007D2D4B" w:rsidRPr="002D6EC7">
        <w:rPr>
          <w:vertAlign w:val="subscript"/>
        </w:rPr>
        <w:t>B</w:t>
      </w:r>
      <w:r w:rsidR="007D2D4B" w:rsidRPr="002D6EC7">
        <w:t xml:space="preserve"> </w:t>
      </w:r>
      <w:r w:rsidR="001F0410" w:rsidRPr="002D6EC7">
        <w:t xml:space="preserve">formation following the consumption of different </w:t>
      </w:r>
      <w:r w:rsidRPr="002D6EC7">
        <w:t xml:space="preserve">flavan-3-ols, including </w:t>
      </w:r>
      <w:r w:rsidR="001F0410" w:rsidRPr="002D6EC7">
        <w:t>monomeric</w:t>
      </w:r>
      <w:r w:rsidRPr="002D6EC7">
        <w:t xml:space="preserve"> flavan-3-ols</w:t>
      </w:r>
      <w:r w:rsidR="001F0410" w:rsidRPr="002D6EC7">
        <w:t>, oligomeric</w:t>
      </w:r>
      <w:r w:rsidR="00FB4D03" w:rsidRPr="002D6EC7">
        <w:t xml:space="preserve"> (procyanidins)</w:t>
      </w:r>
      <w:r w:rsidR="001F0410" w:rsidRPr="002D6EC7">
        <w:t xml:space="preserve"> and </w:t>
      </w:r>
      <w:r w:rsidR="00A11200" w:rsidRPr="002D6EC7">
        <w:t>gall</w:t>
      </w:r>
      <w:r w:rsidR="0044056C" w:rsidRPr="002D6EC7">
        <w:t>oyl</w:t>
      </w:r>
      <w:r w:rsidR="00A11200" w:rsidRPr="002D6EC7">
        <w:t xml:space="preserve">ated </w:t>
      </w:r>
      <w:r w:rsidR="001F0410" w:rsidRPr="002D6EC7">
        <w:t>flavan-3-ols</w:t>
      </w:r>
      <w:r w:rsidR="0013731C" w:rsidRPr="002D6EC7">
        <w:t xml:space="preserve"> in male adults (n=12)</w:t>
      </w:r>
      <w:r w:rsidR="006C052A" w:rsidRPr="002D6EC7">
        <w:t xml:space="preserve">. </w:t>
      </w:r>
      <w:r w:rsidR="00977970" w:rsidRPr="002D6EC7">
        <w:t>Figure 2 shows that o</w:t>
      </w:r>
      <w:r w:rsidR="001F0410" w:rsidRPr="002D6EC7">
        <w:t xml:space="preserve">nly the consumption </w:t>
      </w:r>
      <w:r w:rsidR="0044056C" w:rsidRPr="002D6EC7">
        <w:t xml:space="preserve">of </w:t>
      </w:r>
      <w:r w:rsidR="001F0410" w:rsidRPr="002D6EC7">
        <w:t xml:space="preserve">(−)-epicatechin resulted in </w:t>
      </w:r>
      <w:r w:rsidR="00A11200" w:rsidRPr="002D6EC7">
        <w:t xml:space="preserve">statistically significant increase of </w:t>
      </w:r>
      <w:r w:rsidR="00D41BE5" w:rsidRPr="002D6EC7">
        <w:t>SREM</w:t>
      </w:r>
      <w:r w:rsidR="00C36BDD" w:rsidRPr="002D6EC7">
        <w:rPr>
          <w:vertAlign w:val="subscript"/>
        </w:rPr>
        <w:t>B</w:t>
      </w:r>
      <w:r w:rsidR="00A11200" w:rsidRPr="002D6EC7">
        <w:t xml:space="preserve"> excreted in urine</w:t>
      </w:r>
      <w:r w:rsidR="009636AC" w:rsidRPr="002D6EC7">
        <w:t>.</w:t>
      </w:r>
      <w:r w:rsidR="0044056C" w:rsidRPr="002D6EC7">
        <w:t xml:space="preserve"> While the intake of procyanidin dimer B2 did not statistically increase SREM</w:t>
      </w:r>
      <w:r w:rsidR="004570D8" w:rsidRPr="002D6EC7">
        <w:rPr>
          <w:vertAlign w:val="subscript"/>
        </w:rPr>
        <w:t>B</w:t>
      </w:r>
      <w:r w:rsidR="0044056C" w:rsidRPr="002D6EC7">
        <w:t xml:space="preserve"> excreted in urine</w:t>
      </w:r>
      <w:r w:rsidR="009636AC" w:rsidRPr="002D6EC7">
        <w:t xml:space="preserve"> (p=0.4</w:t>
      </w:r>
      <w:r w:rsidR="00C36BDD" w:rsidRPr="002D6EC7">
        <w:t>; one-way ANOVA)</w:t>
      </w:r>
      <w:r w:rsidR="0044056C" w:rsidRPr="002D6EC7">
        <w:t xml:space="preserve">, the contribution could be </w:t>
      </w:r>
      <w:r w:rsidR="002A68A7" w:rsidRPr="002D6EC7">
        <w:t>esti</w:t>
      </w:r>
      <w:r w:rsidR="004570D8" w:rsidRPr="002D6EC7">
        <w:t>m</w:t>
      </w:r>
      <w:r w:rsidR="002A68A7" w:rsidRPr="002D6EC7">
        <w:t>ated</w:t>
      </w:r>
      <w:r w:rsidR="0044056C" w:rsidRPr="002D6EC7">
        <w:t xml:space="preserve"> </w:t>
      </w:r>
      <w:r w:rsidR="002B2F11" w:rsidRPr="002D6EC7">
        <w:t>as</w:t>
      </w:r>
      <w:r w:rsidR="0044056C" w:rsidRPr="002D6EC7">
        <w:t xml:space="preserve"> </w:t>
      </w:r>
      <w:r w:rsidR="00D41BE5" w:rsidRPr="002D6EC7">
        <w:t>2% of the amount of procyanidin dimer B2</w:t>
      </w:r>
      <w:r w:rsidR="0044056C" w:rsidRPr="002D6EC7">
        <w:t xml:space="preserve"> ingested</w:t>
      </w:r>
      <w:r w:rsidR="00D41BE5" w:rsidRPr="002D6EC7">
        <w:t>.</w:t>
      </w:r>
      <w:r w:rsidR="007A60FD" w:rsidRPr="002D6EC7">
        <w:t xml:space="preserve"> </w:t>
      </w:r>
      <w:r w:rsidR="002A68A7" w:rsidRPr="002D6EC7">
        <w:t>The rest of the flavan-3-ols ingested</w:t>
      </w:r>
      <w:r w:rsidR="004570D8" w:rsidRPr="002D6EC7">
        <w:t xml:space="preserve">, including </w:t>
      </w:r>
      <w:r w:rsidR="001E609B" w:rsidRPr="002D6EC7">
        <w:t>(</w:t>
      </w:r>
      <w:proofErr w:type="gramStart"/>
      <w:r w:rsidR="001E609B" w:rsidRPr="002D6EC7">
        <w:t>−)</w:t>
      </w:r>
      <w:r w:rsidR="009636AC" w:rsidRPr="002D6EC7">
        <w:noBreakHyphen/>
      </w:r>
      <w:proofErr w:type="gramEnd"/>
      <w:r w:rsidR="004570D8" w:rsidRPr="002D6EC7">
        <w:t>epicatechin-3-</w:t>
      </w:r>
      <w:r w:rsidR="004570D8" w:rsidRPr="002D6EC7">
        <w:rPr>
          <w:i/>
        </w:rPr>
        <w:t>O</w:t>
      </w:r>
      <w:r w:rsidR="009636AC" w:rsidRPr="002D6EC7">
        <w:t>-galat</w:t>
      </w:r>
      <w:r w:rsidR="004570D8" w:rsidRPr="002D6EC7">
        <w:t>e,</w:t>
      </w:r>
      <w:r w:rsidR="002A68A7" w:rsidRPr="002D6EC7">
        <w:t xml:space="preserve"> did not </w:t>
      </w:r>
      <w:r w:rsidR="004570D8" w:rsidRPr="002D6EC7">
        <w:t>contribute</w:t>
      </w:r>
      <w:r w:rsidR="002A68A7" w:rsidRPr="002D6EC7">
        <w:t xml:space="preserve"> to the presence of SREM</w:t>
      </w:r>
      <w:r w:rsidR="002A68A7" w:rsidRPr="002D6EC7">
        <w:rPr>
          <w:vertAlign w:val="subscript"/>
        </w:rPr>
        <w:t>B</w:t>
      </w:r>
      <w:r w:rsidR="002A68A7" w:rsidRPr="002D6EC7">
        <w:t xml:space="preserve"> excreted in urine.</w:t>
      </w:r>
    </w:p>
    <w:p w14:paraId="78A3E887" w14:textId="14D714E0" w:rsidR="00CA1FCB" w:rsidRPr="002D6EC7" w:rsidRDefault="009B420F" w:rsidP="00CA1FCB">
      <w:pPr>
        <w:pStyle w:val="Heading2"/>
      </w:pPr>
      <w:r w:rsidRPr="002D6EC7">
        <w:t>Relationship</w:t>
      </w:r>
      <w:r w:rsidR="00CA1FCB" w:rsidRPr="002D6EC7">
        <w:t xml:space="preserve"> between flavan-3-ol intake and SREM</w:t>
      </w:r>
      <w:r w:rsidR="009445B8" w:rsidRPr="002D6EC7">
        <w:rPr>
          <w:vertAlign w:val="subscript"/>
        </w:rPr>
        <w:t>B</w:t>
      </w:r>
    </w:p>
    <w:p w14:paraId="1F4AE0B6" w14:textId="02DAD80E" w:rsidR="007D2D4B" w:rsidRPr="002D6EC7" w:rsidRDefault="009B420F" w:rsidP="005F0F30">
      <w:pPr>
        <w:pStyle w:val="RdgNormal"/>
      </w:pPr>
      <w:r w:rsidRPr="002D6EC7">
        <w:t>A consis</w:t>
      </w:r>
      <w:r w:rsidR="00555DFC" w:rsidRPr="002D6EC7">
        <w:t>tent and strong relationship between flavan-3-ol intake and SREM</w:t>
      </w:r>
      <w:r w:rsidR="009445B8" w:rsidRPr="002D6EC7">
        <w:rPr>
          <w:vertAlign w:val="subscript"/>
        </w:rPr>
        <w:t>B</w:t>
      </w:r>
      <w:r w:rsidR="00555DFC" w:rsidRPr="002D6EC7">
        <w:t xml:space="preserve"> excretion in </w:t>
      </w:r>
      <w:r w:rsidR="00701FB5" w:rsidRPr="002D6EC7">
        <w:t xml:space="preserve">24h </w:t>
      </w:r>
      <w:r w:rsidR="00555DFC" w:rsidRPr="002D6EC7">
        <w:t xml:space="preserve">urine is crucial to establish </w:t>
      </w:r>
      <w:r w:rsidR="00F771A4" w:rsidRPr="002D6EC7">
        <w:t xml:space="preserve">its </w:t>
      </w:r>
      <w:r w:rsidR="00555DFC" w:rsidRPr="002D6EC7">
        <w:t xml:space="preserve">suitability as biomarker. We have therefore investigated this association with an intake-escalation study in </w:t>
      </w:r>
      <w:r w:rsidR="0013731C" w:rsidRPr="002D6EC7">
        <w:t xml:space="preserve">healthy male adults (n=14) </w:t>
      </w:r>
      <w:r w:rsidR="00555DFC" w:rsidRPr="002D6EC7">
        <w:t xml:space="preserve">with intakes of up to 1400 mg/d of flavan-3-ols (230 mg/d of (−)-epicatechin), which exceeds the range of likely </w:t>
      </w:r>
      <w:r w:rsidR="00A03D3E" w:rsidRPr="002D6EC7">
        <w:t xml:space="preserve">dietary </w:t>
      </w:r>
      <w:r w:rsidR="00555DFC" w:rsidRPr="002D6EC7">
        <w:t>intake</w:t>
      </w:r>
      <w:r w:rsidR="00F320E5"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&lt;citation&gt;&lt;priority&gt;24&lt;/priority&gt;&lt;uuid&gt;EE51F194-E027-4921-BFF0-A45E5AA51BE3&lt;/uuid&gt;&lt;publications&gt;&lt;publication&gt;&lt;subtype&gt;400&lt;/subtype&gt;&lt;title&gt;Assessment of the dietary intake of total flavan-3-ols, monomeric flavan-3-ols, proanthocyanidins and theaflavins in the European Union.&lt;/title&gt;&lt;url&gt;http://eutils.ncbi.nlm.nih.gov/entrez/eutils/elink.fcgi?dbfrom=pubmed&amp;amp;id=24331295&amp;amp;retmode=ref&amp;amp;cmd=prlinks&lt;/url&gt;&lt;volume&gt;111&lt;/volume&gt;&lt;publication_date&gt;99201404281200000000222000&lt;/publication_date&gt;&lt;uuid&gt;163D3429-8B94-4C5A-B5CF-F8D8BE5686CB&lt;/uuid&gt;&lt;type&gt;400&lt;/type&gt;&lt;number&gt;8&lt;/number&gt;&lt;citekey&gt;Vogiatzoglou:2014jm&lt;/citekey&gt;&lt;doi&gt;10.1017/S0007114513003930&lt;/doi&gt;&lt;institution&gt;Department of Food &amp;amp; Nutritional Sciences, University of Reading, Reading RG6 6AP, UK.&lt;/institution&gt;&lt;startpage&gt;1463&lt;/startpage&gt;&lt;endpage&gt;1473&lt;/endpage&gt;&lt;bundle&gt;&lt;publication&gt;&lt;title&gt;The British journal of nutrition&lt;/title&gt;&lt;uuid&gt;FA1558D5-95C2-4C15-A13E-7B1DBF8FDAF4&lt;/uuid&gt;&lt;subtype&gt;-100&lt;/subtype&gt;&lt;publisher&gt;Cambridge Journals Online&lt;/publisher&gt;&lt;type&gt;-100&lt;/type&gt;&lt;/publication&gt;&lt;/bundle&gt;&lt;authors&gt;&lt;author&gt;&lt;lastName&gt;Vogiatzoglou&lt;/lastName&gt;&lt;firstName&gt;Anna&lt;/firstName&gt;&lt;/author&gt;&lt;author&gt;&lt;lastName&gt;Mulligan&lt;/lastName&gt;&lt;firstName&gt;Angela&lt;/firstName&gt;&lt;middleNames&gt;A&lt;/middleNames&gt;&lt;/author&gt;&lt;author&gt;&lt;lastName&gt;Luben&lt;/lastName&gt;&lt;firstName&gt;Robert&lt;/firstName&gt;&lt;middleNames&gt;N&lt;/middleNames&gt;&lt;/author&gt;&lt;author&gt;&lt;lastName&gt;Lentjes&lt;/lastName&gt;&lt;firstName&gt;Marleen&lt;/firstName&gt;&lt;/author&gt;&lt;author&gt;&lt;lastName&gt;Heiss&lt;/lastName&gt;&lt;firstName&gt;Christian&lt;/firstName&gt;&lt;/author&gt;&lt;author&gt;&lt;lastName&gt;Kelm&lt;/lastName&gt;&lt;firstName&gt;Malte&lt;/firstName&gt;&lt;/author&gt;&lt;author&gt;&lt;lastName&gt;Merx&lt;/lastName&gt;&lt;firstName&gt;Marc&lt;/firstName&gt;&lt;middleNames&gt;W&lt;/middleNames&gt;&lt;/author&gt;&lt;author&gt;&lt;lastName&gt;Spencer&lt;/lastName&gt;&lt;firstName&gt;Jeremy&lt;/firstName&gt;&lt;middleNames&gt;P E&lt;/middleNames&gt;&lt;/author&gt;&lt;author&gt;&lt;lastName&gt;Schroeter&lt;/lastName&gt;&lt;firstName&gt;Hagen&lt;/firstName&gt;&lt;/author&gt;&lt;author&gt;&lt;lastName&gt;Kuhnle&lt;/lastName&gt;&lt;firstName&gt;Gunter&lt;/firstName&gt;&lt;middleNames&gt;G C&lt;/middleNames&gt;&lt;/author&gt;&lt;/authors&gt;&lt;/publication&gt;&lt;publication&gt;&lt;subtype&gt;400&lt;/subtype&gt;&lt;title&gt;Flavonoid intake in European adults (18 to 64 Years)&lt;/title&gt;&lt;url&gt;https://www.scopus.com/inward/record.uri?eid=2-s2.0-84930226859&amp;amp;doi=10.1371%2fjournal.pone.0128132&amp;amp;partnerID=40&amp;amp;md5=8a7bb92188e7c40bc22fb42e37c4e1c0&lt;/url&gt;&lt;volume&gt;10&lt;/volume&gt;&lt;publication_date&gt;99201500001200000000200000&lt;/publication_date&gt;&lt;uuid&gt;B0E43896-3217-4AE4-80A4-AF4349CB8362&lt;/uuid&gt;&lt;type&gt;400&lt;/type&gt;&lt;number&gt;5&lt;/number&gt;&lt;citekey&gt;Vogiatzoglou2015&lt;/citekey&gt;&lt;bundle&gt;&lt;publication&gt;&lt;title&gt;PLoS ONE&lt;/title&gt;&lt;uuid&gt;8D5D62E5-A21C-4925-B36A-44A132A323DC&lt;/uuid&gt;&lt;subtype&gt;-100&lt;/subtype&gt;&lt;publisher&gt;Public Library of Science&lt;/publisher&gt;&lt;type&gt;-100&lt;/type&gt;&lt;/publication&gt;&lt;/bundle&gt;&lt;authors&gt;&lt;author&gt;&lt;lastName&gt;Vogiatzoglou&lt;/lastName&gt;&lt;firstName&gt;Anna&lt;/firstName&gt;&lt;/author&gt;&lt;author&gt;&lt;lastName&gt;Mulligan&lt;/lastName&gt;&lt;firstName&gt;A&lt;/firstName&gt;&lt;middleNames&gt;A&lt;/middleNames&gt;&lt;/author&gt;&lt;author&gt;&lt;lastName&gt;Lentjes&lt;/lastName&gt;&lt;firstName&gt;Marleen&lt;/firstName&gt;&lt;/author&gt;&lt;author&gt;&lt;lastName&gt;Luben&lt;/lastName&gt;&lt;firstName&gt;R&lt;/firstName&gt;&lt;middleNames&gt;N&lt;/middleNames&gt;&lt;/author&gt;&lt;author&gt;&lt;lastName&gt;Spencer&lt;/lastName&gt;&lt;firstName&gt;J&lt;/firstName&gt;&lt;middleNames&gt;P E&lt;/middleNames&gt;&lt;/author&gt;&lt;author&gt;&lt;lastName&gt;Schroeter&lt;/lastName&gt;&lt;firstName&gt;Hagen&lt;/firstName&gt;&lt;/author&gt;&lt;author&gt;&lt;lastName&gt;Khaw&lt;/lastName&gt;&lt;firstName&gt;Kay-Tee&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10,18</w:t>
      </w:r>
      <w:r w:rsidR="00CE24FC" w:rsidRPr="002D6EC7">
        <w:rPr>
          <w:lang w:val="en-US" w:eastAsia="en-GB"/>
        </w:rPr>
        <w:fldChar w:fldCharType="end"/>
      </w:r>
      <w:r w:rsidR="00555DFC" w:rsidRPr="002D6EC7">
        <w:t>.</w:t>
      </w:r>
      <w:r w:rsidR="009C5017" w:rsidRPr="002D6EC7">
        <w:t xml:space="preserve"> The results show a strong correlation between intake and </w:t>
      </w:r>
      <w:r w:rsidR="00FB4D03" w:rsidRPr="002D6EC7">
        <w:t>SREM</w:t>
      </w:r>
      <w:r w:rsidR="00FB4D03" w:rsidRPr="002D6EC7">
        <w:rPr>
          <w:vertAlign w:val="subscript"/>
        </w:rPr>
        <w:t>B</w:t>
      </w:r>
      <w:r w:rsidR="00FB4D03" w:rsidRPr="002D6EC7">
        <w:t xml:space="preserve"> </w:t>
      </w:r>
      <w:r w:rsidR="009C5017" w:rsidRPr="002D6EC7">
        <w:t>(R</w:t>
      </w:r>
      <w:r w:rsidR="009C5017" w:rsidRPr="002D6EC7">
        <w:rPr>
          <w:vertAlign w:val="superscript"/>
        </w:rPr>
        <w:t>2</w:t>
      </w:r>
      <w:r w:rsidR="009C5017" w:rsidRPr="002D6EC7">
        <w:t>: 0</w:t>
      </w:r>
      <w:r w:rsidR="00AB78B2" w:rsidRPr="002D6EC7">
        <w:t>.</w:t>
      </w:r>
      <w:r w:rsidR="009C5017" w:rsidRPr="002D6EC7">
        <w:t>86 (95% CI 0.</w:t>
      </w:r>
      <w:r w:rsidR="00AB78B2" w:rsidRPr="002D6EC7">
        <w:t xml:space="preserve">8l; 0.92), Spearman’s rank correlation: </w:t>
      </w:r>
      <w:r w:rsidR="00AB78B2" w:rsidRPr="002D6EC7">
        <w:rPr>
          <w:rFonts w:ascii="Symbol" w:hAnsi="Symbol"/>
        </w:rPr>
        <w:t></w:t>
      </w:r>
      <w:r w:rsidR="00AB78B2" w:rsidRPr="002D6EC7">
        <w:t>=0.96; Pearson’s r=0.93;</w:t>
      </w:r>
      <w:r w:rsidR="006674F6" w:rsidRPr="002D6EC7">
        <w:t xml:space="preserve"> Figure 3</w:t>
      </w:r>
      <w:r w:rsidR="00AB78B2" w:rsidRPr="002D6EC7">
        <w:t>). These results were only slightly attenuated when excluding high intakes above 750 mg/d (R</w:t>
      </w:r>
      <w:r w:rsidR="00AB78B2" w:rsidRPr="002D6EC7">
        <w:rPr>
          <w:vertAlign w:val="superscript"/>
        </w:rPr>
        <w:t>2</w:t>
      </w:r>
      <w:r w:rsidR="00AB78B2" w:rsidRPr="002D6EC7">
        <w:t xml:space="preserve">: 0.82 (95% CI 0.73; 0.88), Spearman’s rank correlation: </w:t>
      </w:r>
      <w:r w:rsidR="00AB78B2" w:rsidRPr="002D6EC7">
        <w:rPr>
          <w:rFonts w:ascii="Symbol" w:hAnsi="Symbol"/>
        </w:rPr>
        <w:t></w:t>
      </w:r>
      <w:r w:rsidR="00AB78B2" w:rsidRPr="002D6EC7">
        <w:t>=0.94; Pearson’s r=0.90).</w:t>
      </w:r>
      <w:r w:rsidR="007D2D4B" w:rsidRPr="002D6EC7">
        <w:t xml:space="preserve"> </w:t>
      </w:r>
      <w:r w:rsidR="006C2AC5" w:rsidRPr="002D6EC7">
        <w:t>W</w:t>
      </w:r>
      <w:r w:rsidR="00E36F0D" w:rsidRPr="002D6EC7">
        <w:t xml:space="preserve">e </w:t>
      </w:r>
      <w:r w:rsidR="006C2AC5" w:rsidRPr="002D6EC7">
        <w:t xml:space="preserve">also </w:t>
      </w:r>
      <w:r w:rsidR="00E36F0D" w:rsidRPr="002D6EC7">
        <w:t xml:space="preserve">investigated </w:t>
      </w:r>
      <w:r w:rsidR="00AB78B2" w:rsidRPr="002D6EC7">
        <w:t xml:space="preserve">the </w:t>
      </w:r>
      <w:r w:rsidR="002A4BE8" w:rsidRPr="002D6EC7">
        <w:t>exten</w:t>
      </w:r>
      <w:r w:rsidR="00F771A4" w:rsidRPr="002D6EC7">
        <w:t>t</w:t>
      </w:r>
      <w:r w:rsidR="002A4BE8" w:rsidRPr="002D6EC7">
        <w:t xml:space="preserve"> </w:t>
      </w:r>
      <w:r w:rsidR="007D2D4B" w:rsidRPr="002D6EC7">
        <w:t xml:space="preserve">of the </w:t>
      </w:r>
      <w:r w:rsidR="00AB78B2" w:rsidRPr="002D6EC7">
        <w:t xml:space="preserve">relationship between (−)-epicatechin intake and </w:t>
      </w:r>
      <w:r w:rsidR="007D2D4B" w:rsidRPr="002D6EC7">
        <w:t>SREM</w:t>
      </w:r>
      <w:r w:rsidR="007D2D4B" w:rsidRPr="002D6EC7">
        <w:rPr>
          <w:vertAlign w:val="subscript"/>
        </w:rPr>
        <w:t>B</w:t>
      </w:r>
      <w:r w:rsidR="00AB78B2" w:rsidRPr="002D6EC7">
        <w:t xml:space="preserve">. </w:t>
      </w:r>
      <w:r w:rsidR="00854B2A" w:rsidRPr="002D6EC7">
        <w:t>The results show that</w:t>
      </w:r>
      <w:r w:rsidR="00E36F0D" w:rsidRPr="002D6EC7">
        <w:t xml:space="preserve"> the relationship between dietary intake of (−)-epicatechin </w:t>
      </w:r>
      <w:r w:rsidR="00944DFF" w:rsidRPr="002D6EC7">
        <w:t xml:space="preserve">and </w:t>
      </w:r>
      <w:r w:rsidR="009445B8" w:rsidRPr="002D6EC7">
        <w:t>SREM</w:t>
      </w:r>
      <w:r w:rsidR="009445B8" w:rsidRPr="002D6EC7">
        <w:rPr>
          <w:vertAlign w:val="subscript"/>
        </w:rPr>
        <w:t>B</w:t>
      </w:r>
      <w:r w:rsidR="00944DFF" w:rsidRPr="002D6EC7">
        <w:t xml:space="preserve"> is</w:t>
      </w:r>
      <w:r w:rsidR="00E36F0D" w:rsidRPr="002D6EC7">
        <w:t xml:space="preserve"> </w:t>
      </w:r>
      <w:r w:rsidR="00E36F0D" w:rsidRPr="002D6EC7">
        <w:rPr>
          <w:rFonts w:ascii="Symbol" w:hAnsi="Symbol"/>
        </w:rPr>
        <w:t></w:t>
      </w:r>
      <w:r w:rsidR="00E36F0D" w:rsidRPr="002D6EC7">
        <w:t>=0.12 (95% CI 0.11; 0.12</w:t>
      </w:r>
      <w:r w:rsidR="00221D10" w:rsidRPr="002D6EC7">
        <w:t xml:space="preserve">) </w:t>
      </w:r>
      <w:r w:rsidR="00F771A4" w:rsidRPr="002D6EC7">
        <w:t xml:space="preserve">with </w:t>
      </w:r>
      <w:r w:rsidR="00221D10" w:rsidRPr="002D6EC7">
        <w:t>a median recovery of</w:t>
      </w:r>
      <w:r w:rsidR="00944DFF" w:rsidRPr="002D6EC7">
        <w:t xml:space="preserve"> 1</w:t>
      </w:r>
      <w:r w:rsidR="00221D10" w:rsidRPr="002D6EC7">
        <w:t>0</w:t>
      </w:r>
      <w:r w:rsidR="00944DFF" w:rsidRPr="002D6EC7">
        <w:t xml:space="preserve">% </w:t>
      </w:r>
      <w:r w:rsidR="00221D10" w:rsidRPr="002D6EC7">
        <w:t>(IQR 7% – 13%)</w:t>
      </w:r>
      <w:r w:rsidR="004E0FBD" w:rsidRPr="002D6EC7">
        <w:t>.</w:t>
      </w:r>
      <w:r w:rsidR="00221D10" w:rsidRPr="002D6EC7">
        <w:t xml:space="preserve"> </w:t>
      </w:r>
    </w:p>
    <w:p w14:paraId="41C42DCD" w14:textId="2C3C09B5" w:rsidR="00AE38A2" w:rsidRPr="002D6EC7" w:rsidRDefault="00AE38A2" w:rsidP="00F658AC">
      <w:pPr>
        <w:pStyle w:val="Heading2"/>
      </w:pPr>
      <w:r w:rsidRPr="002D6EC7">
        <w:t>Int</w:t>
      </w:r>
      <w:r w:rsidR="004849BA" w:rsidRPr="002D6EC7">
        <w:t>r</w:t>
      </w:r>
      <w:r w:rsidRPr="002D6EC7">
        <w:t>a-</w:t>
      </w:r>
      <w:r w:rsidR="002B2F11" w:rsidRPr="002D6EC7">
        <w:t xml:space="preserve"> </w:t>
      </w:r>
      <w:r w:rsidRPr="002D6EC7">
        <w:t>and inter-individual variability</w:t>
      </w:r>
    </w:p>
    <w:p w14:paraId="1E1DDCDA" w14:textId="7BE5A21D" w:rsidR="00A27D90" w:rsidRPr="002D6EC7" w:rsidRDefault="00A27D90" w:rsidP="00B35AE6">
      <w:pPr>
        <w:pStyle w:val="RdgNormal"/>
      </w:pPr>
      <w:r w:rsidRPr="002D6EC7">
        <w:t>Intra- and inter-individual variability of the association between flavan-3-ol intake and SREM</w:t>
      </w:r>
      <w:r w:rsidRPr="002D6EC7">
        <w:rPr>
          <w:vertAlign w:val="subscript"/>
        </w:rPr>
        <w:t>B</w:t>
      </w:r>
      <w:r w:rsidRPr="002D6EC7">
        <w:t xml:space="preserve"> affect its suitability as biomarker of intake. We have therefore investigated intra- and </w:t>
      </w:r>
      <w:r w:rsidRPr="002D6EC7">
        <w:lastRenderedPageBreak/>
        <w:t xml:space="preserve">inter-individual variability in </w:t>
      </w:r>
      <w:r w:rsidR="00493448" w:rsidRPr="002D6EC7">
        <w:t>men and women</w:t>
      </w:r>
      <w:r w:rsidR="0013731C" w:rsidRPr="002D6EC7">
        <w:t xml:space="preserve"> (n=1</w:t>
      </w:r>
      <w:r w:rsidR="00C65835" w:rsidRPr="002D6EC7">
        <w:t>5</w:t>
      </w:r>
      <w:r w:rsidR="0013731C" w:rsidRPr="002D6EC7">
        <w:t xml:space="preserve">, m/f: </w:t>
      </w:r>
      <w:r w:rsidR="00C65835" w:rsidRPr="002D6EC7">
        <w:t>m/f</w:t>
      </w:r>
      <w:r w:rsidR="0013731C" w:rsidRPr="002D6EC7">
        <w:t>)</w:t>
      </w:r>
      <w:r w:rsidRPr="002D6EC7">
        <w:t xml:space="preserve"> consuming </w:t>
      </w:r>
      <w:r w:rsidR="00B35AE6" w:rsidRPr="002D6EC7">
        <w:t>543</w:t>
      </w:r>
      <w:r w:rsidRPr="002D6EC7">
        <w:t xml:space="preserve"> </w:t>
      </w:r>
      <w:r w:rsidR="00B35AE6" w:rsidRPr="002D6EC7">
        <w:t>mg</w:t>
      </w:r>
      <w:r w:rsidRPr="002D6EC7">
        <w:t xml:space="preserve"> of flavan-3-ols (including 263 µmol (−) epicatechin) on two occasions. Mean (±SEM) SREM</w:t>
      </w:r>
      <w:r w:rsidRPr="002D6EC7">
        <w:rPr>
          <w:vertAlign w:val="subscript"/>
        </w:rPr>
        <w:t>B</w:t>
      </w:r>
      <w:r w:rsidRPr="002D6EC7">
        <w:t xml:space="preserve"> excretion at the first and second intervention was 46.2 ± 4.2 µmol and 42.8 ± 4.4 µmol respectively, with no statistically significant difference (paired t-test, p=0.2</w:t>
      </w:r>
      <w:r w:rsidR="009963A2" w:rsidRPr="002D6EC7">
        <w:t>)</w:t>
      </w:r>
      <w:r w:rsidRPr="002D6EC7">
        <w:t>. There was a strong correlation between SREM</w:t>
      </w:r>
      <w:r w:rsidRPr="002D6EC7">
        <w:rPr>
          <w:vertAlign w:val="subscript"/>
        </w:rPr>
        <w:t>B</w:t>
      </w:r>
      <w:r w:rsidRPr="002D6EC7">
        <w:t xml:space="preserve"> excretion at first and second visit (Pearson’s </w:t>
      </w:r>
      <w:r w:rsidRPr="002D6EC7">
        <w:rPr>
          <w:rFonts w:ascii="Symbol" w:hAnsi="Symbol"/>
        </w:rPr>
        <w:t></w:t>
      </w:r>
      <w:r w:rsidRPr="002D6EC7">
        <w:t>: 0.83; R</w:t>
      </w:r>
      <w:r w:rsidRPr="002D6EC7">
        <w:rPr>
          <w:vertAlign w:val="superscript"/>
        </w:rPr>
        <w:t>2</w:t>
      </w:r>
      <w:r w:rsidRPr="002D6EC7">
        <w:t>=0.66). The intra-individual variability was 12±2.5%, with only two participants having differences larger than 20%.</w:t>
      </w:r>
    </w:p>
    <w:p w14:paraId="7AAE66B1" w14:textId="77777777" w:rsidR="008F0691" w:rsidRPr="002D6EC7" w:rsidRDefault="00935EF1" w:rsidP="00935EF1">
      <w:pPr>
        <w:pStyle w:val="Heading2"/>
      </w:pPr>
      <w:r w:rsidRPr="002D6EC7">
        <w:t xml:space="preserve">Applicability of the candidate biomarker to estimate intake in </w:t>
      </w:r>
      <w:r w:rsidR="002A4BE8" w:rsidRPr="002D6EC7">
        <w:t xml:space="preserve">free living individuals </w:t>
      </w:r>
      <w:r w:rsidR="008F0691" w:rsidRPr="002D6EC7">
        <w:t>(Challenge study)</w:t>
      </w:r>
    </w:p>
    <w:p w14:paraId="0FA689CB" w14:textId="0F2577D5" w:rsidR="008F0691" w:rsidRPr="002D6EC7" w:rsidRDefault="00503AEE" w:rsidP="002872EC">
      <w:pPr>
        <w:pStyle w:val="RdgNormal"/>
        <w:rPr>
          <w:strike/>
        </w:rPr>
      </w:pPr>
      <w:r w:rsidRPr="002D6EC7">
        <w:t xml:space="preserve">We </w:t>
      </w:r>
      <w:proofErr w:type="spellStart"/>
      <w:r w:rsidRPr="002D6EC7">
        <w:t>analy</w:t>
      </w:r>
      <w:r w:rsidR="00906774" w:rsidRPr="002D6EC7">
        <w:t>z</w:t>
      </w:r>
      <w:r w:rsidRPr="002D6EC7">
        <w:t>ed</w:t>
      </w:r>
      <w:proofErr w:type="spellEnd"/>
      <w:r w:rsidRPr="002D6EC7">
        <w:t xml:space="preserve"> </w:t>
      </w:r>
      <w:r w:rsidR="00935EF1" w:rsidRPr="002D6EC7">
        <w:t xml:space="preserve">24h urine (n=158) collected in the context of </w:t>
      </w:r>
      <w:r w:rsidRPr="002D6EC7">
        <w:t xml:space="preserve">the Challenge study. </w:t>
      </w:r>
      <w:r w:rsidR="005F371F" w:rsidRPr="002D6EC7">
        <w:t xml:space="preserve">With a </w:t>
      </w:r>
      <w:r w:rsidR="00865CEF" w:rsidRPr="002D6EC7">
        <w:t xml:space="preserve">median </w:t>
      </w:r>
      <w:r w:rsidR="005F371F" w:rsidRPr="002D6EC7">
        <w:t>recovery of 10% as found in the intake-escalation study, t</w:t>
      </w:r>
      <w:r w:rsidRPr="002D6EC7">
        <w:t>he estimated intake of (</w:t>
      </w:r>
      <w:proofErr w:type="gramStart"/>
      <w:r w:rsidRPr="002D6EC7">
        <w:t>−</w:t>
      </w:r>
      <w:r w:rsidR="00935EF1" w:rsidRPr="002D6EC7">
        <w:t>)</w:t>
      </w:r>
      <w:r w:rsidR="00935EF1" w:rsidRPr="002D6EC7">
        <w:noBreakHyphen/>
      </w:r>
      <w:proofErr w:type="gramEnd"/>
      <w:r w:rsidR="00935EF1" w:rsidRPr="002D6EC7">
        <w:t xml:space="preserve">epicatechin </w:t>
      </w:r>
      <w:r w:rsidR="007A7B4C" w:rsidRPr="002D6EC7">
        <w:t xml:space="preserve">was </w:t>
      </w:r>
      <w:r w:rsidR="00935EF1" w:rsidRPr="002D6EC7">
        <w:t>of</w:t>
      </w:r>
      <w:r w:rsidRPr="002D6EC7">
        <w:t xml:space="preserve"> 14.0 ± 1 mg/d, ranging from 0 to 58 mg/d. </w:t>
      </w:r>
    </w:p>
    <w:p w14:paraId="0300DD08" w14:textId="77777777" w:rsidR="00210CDE" w:rsidRPr="002D6EC7" w:rsidRDefault="00210CDE" w:rsidP="00210CDE">
      <w:pPr>
        <w:pStyle w:val="Heading1"/>
      </w:pPr>
      <w:r w:rsidRPr="002D6EC7">
        <w:lastRenderedPageBreak/>
        <w:t>Discussion</w:t>
      </w:r>
    </w:p>
    <w:p w14:paraId="532C3CCB" w14:textId="2FD74DBE" w:rsidR="0008362B" w:rsidRPr="002D6EC7" w:rsidRDefault="00210CDE" w:rsidP="00210CDE">
      <w:pPr>
        <w:pStyle w:val="RdgNormal"/>
      </w:pPr>
      <w:r w:rsidRPr="002D6EC7">
        <w:t xml:space="preserve">In this </w:t>
      </w:r>
      <w:r w:rsidR="00493448" w:rsidRPr="002D6EC7">
        <w:t xml:space="preserve">series of </w:t>
      </w:r>
      <w:r w:rsidRPr="002D6EC7">
        <w:t>stud</w:t>
      </w:r>
      <w:r w:rsidR="00493448" w:rsidRPr="002D6EC7">
        <w:t>ies</w:t>
      </w:r>
      <w:r w:rsidRPr="002D6EC7">
        <w:t>, we have investigated the suitability of three structurally related (−)-epicatechin metabolites ((−)-epicatechin-3</w:t>
      </w:r>
      <w:r w:rsidRPr="002D6EC7">
        <w:rPr>
          <w:rFonts w:hint="eastAsia"/>
        </w:rPr>
        <w:t>′</w:t>
      </w:r>
      <w:r w:rsidRPr="002D6EC7">
        <w:t>-glucuronide (E3G), (−)-epicatechin-3</w:t>
      </w:r>
      <w:r w:rsidRPr="002D6EC7">
        <w:rPr>
          <w:rFonts w:hint="eastAsia"/>
        </w:rPr>
        <w:t>′</w:t>
      </w:r>
      <w:r w:rsidRPr="002D6EC7">
        <w:t>-</w:t>
      </w:r>
      <w:proofErr w:type="spellStart"/>
      <w:r w:rsidRPr="002D6EC7">
        <w:t>sulfate</w:t>
      </w:r>
      <w:proofErr w:type="spellEnd"/>
      <w:r w:rsidRPr="002D6EC7">
        <w:t xml:space="preserve"> (E3S) and 3</w:t>
      </w:r>
      <w:r w:rsidRPr="002D6EC7">
        <w:rPr>
          <w:rFonts w:hint="eastAsia"/>
        </w:rPr>
        <w:t>′</w:t>
      </w:r>
      <w:r w:rsidR="002872EC" w:rsidRPr="002D6EC7">
        <w:t>-</w:t>
      </w:r>
      <w:r w:rsidRPr="002D6EC7">
        <w:t>O</w:t>
      </w:r>
      <w:r w:rsidR="002872EC" w:rsidRPr="002D6EC7">
        <w:noBreakHyphen/>
      </w:r>
      <w:r w:rsidRPr="002D6EC7">
        <w:t>methyl-(−)-epicatechin-5-sulfate (MeE5S), SREM</w:t>
      </w:r>
      <w:r w:rsidRPr="002D6EC7">
        <w:rPr>
          <w:vertAlign w:val="subscript"/>
        </w:rPr>
        <w:t>B</w:t>
      </w:r>
      <w:r w:rsidRPr="002D6EC7">
        <w:t>)</w:t>
      </w:r>
      <w:r w:rsidR="005701A7" w:rsidRPr="002D6EC7">
        <w:t xml:space="preserve"> as nutritional biomarker</w:t>
      </w:r>
      <w:r w:rsidR="00493448" w:rsidRPr="002D6EC7">
        <w:t>s</w:t>
      </w:r>
      <w:r w:rsidR="005701A7" w:rsidRPr="002D6EC7">
        <w:t xml:space="preserve"> of </w:t>
      </w:r>
      <w:r w:rsidR="00E663D3" w:rsidRPr="002D6EC7">
        <w:t xml:space="preserve">dietary </w:t>
      </w:r>
      <w:r w:rsidR="00190CE2" w:rsidRPr="002D6EC7">
        <w:t>(−)-epicatechin</w:t>
      </w:r>
      <w:r w:rsidR="005701A7" w:rsidRPr="002D6EC7">
        <w:t xml:space="preserve"> intake using criteria by IARC </w:t>
      </w:r>
      <w:r w:rsidR="00CE24FC" w:rsidRPr="002D6EC7">
        <w:rPr>
          <w:lang w:val="en-US" w:eastAsia="en-GB"/>
        </w:rPr>
        <w:fldChar w:fldCharType="begin"/>
      </w:r>
      <w:r w:rsidR="002D6EC7" w:rsidRPr="002D6EC7">
        <w:rPr>
          <w:lang w:val="en-US" w:eastAsia="en-GB"/>
        </w:rPr>
        <w:instrText xml:space="preserve"> ADDIN PAPERS2_CITATIONS &lt;citation&gt;&lt;priority&gt;25&lt;/priority&gt;&lt;uuid&gt;8E0D8E51-09A5-4D76-9FE6-DF1208E2213F&lt;/uuid&gt;&lt;publications&gt;&lt;publication&gt;&lt;subtype&gt;400&lt;/subtype&gt;&lt;location&gt;&amp;lt;html&amp;gt;&amp;lt;head&amp;gt;&amp;lt;meta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Home&amp;lt;/a&amp;gt;&amp;lt;/div&amp;gt;&amp;lt;/body&amp;gt;&amp;lt;/html&amp;gt;&lt;/location&gt;&lt;title&gt;Biochemical markers of dietary intake&lt;/title&gt;&lt;url&gt;http://www.ncbi.nlm.nih.gov/entrez/query.fcgi?db=pubmed&amp;amp;amp&lt;/url&gt;&lt;publication_date&gt;99199700001200000000200000&lt;/publication_date&gt;&lt;uuid&gt;AE4D355F-4D0A-4972-B7B4-F9716585048D&lt;/uuid&gt;&lt;type&gt;400&lt;/type&gt;&lt;number&gt;142&lt;/number&gt;&lt;citekey&gt;Kaaks:1997vc&lt;/citekey&gt;&lt;subtitle&gt;IARC Scientific Publication No. 84&lt;/subtitle&gt;&lt;institution&gt;Unit of Nutrition and Cancer, International Agency for Research on Cancer, Lyon, France.&lt;/institution&gt;&lt;startpage&gt;103&lt;/startpage&gt;&lt;endpage&gt;126&lt;/endpage&gt;&lt;bundle&gt;&lt;publication&gt;&lt;title&gt;IARC Scientific Publication No. 84&lt;/title&gt;&lt;uuid&gt;5FDA2984-F6F4-4789-97CC-E391BA896E83&lt;/uuid&gt;&lt;subtype&gt;-100&lt;/subtype&gt;&lt;type&gt;-100&lt;/type&gt;&lt;/publication&gt;&lt;/bundle&gt;&lt;authors&gt;&lt;author&gt;&lt;lastName&gt;Kaaks&lt;/lastName&gt;&lt;firstName&gt;Rudolf&lt;/firstName&gt;&lt;/author&gt;&lt;author&gt;&lt;lastName&gt;Riboli&lt;/lastName&gt;&lt;firstName&gt;Elio&lt;/firstName&gt;&lt;/author&gt;&lt;author&gt;&lt;lastName&gt;Sinha&lt;/lastName&gt;&lt;firstName&gt;Rashmi&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19</w:t>
      </w:r>
      <w:r w:rsidR="00CE24FC" w:rsidRPr="002D6EC7">
        <w:rPr>
          <w:lang w:val="en-US" w:eastAsia="en-GB"/>
        </w:rPr>
        <w:fldChar w:fldCharType="end"/>
      </w:r>
      <w:r w:rsidR="005701A7" w:rsidRPr="002D6EC7">
        <w:t xml:space="preserve"> and the Institute of Medicine </w:t>
      </w:r>
      <w:r w:rsidR="00CE24FC" w:rsidRPr="002D6EC7">
        <w:rPr>
          <w:lang w:val="en-US" w:eastAsia="en-GB"/>
        </w:rPr>
        <w:fldChar w:fldCharType="begin"/>
      </w:r>
      <w:r w:rsidR="002D6EC7" w:rsidRPr="002D6EC7">
        <w:rPr>
          <w:lang w:val="en-US" w:eastAsia="en-GB"/>
        </w:rPr>
        <w:instrText xml:space="preserve"> ADDIN PAPERS2_CITATIONS &lt;citation&gt;&lt;priority&gt;26&lt;/priority&gt;&lt;uuid&gt;F17E56E2-EA91-4BA1-9C25-FED4A0CC86F7&lt;/uuid&gt;&lt;publications&gt;&lt;publication&gt;&lt;subtype&gt;0&lt;/subtype&gt;&lt;place&gt;Washington (DC)&lt;/place&gt;&lt;publisher&gt;National Academies Press (US)&lt;/publisher&gt;&lt;title&gt;Evaluation of Biomarkers and Surrogate Endpoints in Chronic Disease&lt;/title&gt;&lt;url&gt;http://www.nap.edu/catalog/12869&lt;/url&gt;&lt;publication_date&gt;99201000001200000000200000&lt;/publication_date&gt;&lt;uuid&gt;3E9154A0-02DF-4BDE-9655-B2BDD5417BD6&lt;/uuid&gt;&lt;type&gt;0&lt;/type&gt;&lt;citekey&gt;IoM_Biomarker:2010wc&lt;/citekey&gt;&lt;doi&gt;10.17226/12869&lt;/doi&gt;&lt;authors&gt;&lt;author&gt;&lt;lastName&gt;The National Academies of Sciences, Engineering and Medicine&lt;/lastName&gt;&lt;/author&gt;&lt;author&gt;&lt;lastName&gt;Micheel&lt;/lastName&gt;&lt;firstName&gt;Christine&lt;/firstName&gt;&lt;middleNames&gt;M&lt;/middleNames&gt;&lt;/author&gt;&lt;author&gt;&lt;lastName&gt;Ball&lt;/lastName&gt;&lt;firstName&gt;John&lt;/firstName&gt;&lt;middleNames&gt;R&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20</w:t>
      </w:r>
      <w:r w:rsidR="00CE24FC" w:rsidRPr="002D6EC7">
        <w:rPr>
          <w:lang w:val="en-US" w:eastAsia="en-GB"/>
        </w:rPr>
        <w:fldChar w:fldCharType="end"/>
      </w:r>
      <w:r w:rsidR="005701A7" w:rsidRPr="002D6EC7">
        <w:t xml:space="preserve"> as described previously </w:t>
      </w:r>
      <w:r w:rsidR="00CE24FC" w:rsidRPr="002D6EC7">
        <w:rPr>
          <w:lang w:val="en-US" w:eastAsia="en-GB"/>
        </w:rPr>
        <w:fldChar w:fldCharType="begin"/>
      </w:r>
      <w:r w:rsidR="002D6EC7" w:rsidRPr="002D6EC7">
        <w:rPr>
          <w:lang w:val="en-US" w:eastAsia="en-GB"/>
        </w:rPr>
        <w:instrText xml:space="preserve"> ADDIN PAPERS2_CITATIONS &lt;citation&gt;&lt;priority&gt;27&lt;/priority&gt;&lt;uuid&gt;C93FBC92-D125-4B22-802D-8C6073F576B9&lt;/uuid&gt;&lt;publications&gt;&lt;publication&gt;&lt;subtype&gt;400&lt;/subtype&gt;&lt;publisher&gt;Nature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6</w:t>
      </w:r>
      <w:r w:rsidR="00CE24FC" w:rsidRPr="002D6EC7">
        <w:rPr>
          <w:lang w:val="en-US" w:eastAsia="en-GB"/>
        </w:rPr>
        <w:fldChar w:fldCharType="end"/>
      </w:r>
      <w:r w:rsidR="005701A7" w:rsidRPr="002D6EC7">
        <w:t xml:space="preserve">. </w:t>
      </w:r>
      <w:r w:rsidR="0093542F" w:rsidRPr="002D6EC7">
        <w:t>Here</w:t>
      </w:r>
      <w:r w:rsidR="00EF792B" w:rsidRPr="002D6EC7">
        <w:t>, we discuss whether or not SREM</w:t>
      </w:r>
      <w:r w:rsidR="00EF792B" w:rsidRPr="002D6EC7">
        <w:rPr>
          <w:vertAlign w:val="subscript"/>
        </w:rPr>
        <w:t>B</w:t>
      </w:r>
      <w:r w:rsidR="00EF792B" w:rsidRPr="002D6EC7">
        <w:t xml:space="preserve"> is suitable as biomarker of flavan-3-ol intake</w:t>
      </w:r>
      <w:r w:rsidR="0093542F" w:rsidRPr="002D6EC7">
        <w:t>:</w:t>
      </w:r>
      <w:r w:rsidR="00EF792B" w:rsidRPr="002D6EC7">
        <w:t xml:space="preserve"> </w:t>
      </w:r>
    </w:p>
    <w:p w14:paraId="63251D20" w14:textId="77777777" w:rsidR="0008362B" w:rsidRPr="002D6EC7" w:rsidRDefault="0008362B" w:rsidP="0008362B">
      <w:pPr>
        <w:pStyle w:val="Heading2"/>
      </w:pPr>
      <w:r w:rsidRPr="002D6EC7">
        <w:t>Measurement of SREM</w:t>
      </w:r>
      <w:r w:rsidRPr="002D6EC7">
        <w:rPr>
          <w:vertAlign w:val="subscript"/>
        </w:rPr>
        <w:t>B</w:t>
      </w:r>
      <w:r w:rsidRPr="002D6EC7">
        <w:t xml:space="preserve"> in urine using LC-MS</w:t>
      </w:r>
    </w:p>
    <w:p w14:paraId="21DB3C41" w14:textId="1D87802E" w:rsidR="008C1BFD" w:rsidRPr="002D6EC7" w:rsidRDefault="00EA0D17" w:rsidP="00B61F29">
      <w:pPr>
        <w:pStyle w:val="RdgNormal"/>
      </w:pPr>
      <w:r w:rsidRPr="002D6EC7">
        <w:t xml:space="preserve">The application of any biomarker relies on the availability of accurate, precise and robust analytical methods, which ideally should be suitable for automation and high-throughput analysis to allow their application to large studies. </w:t>
      </w:r>
      <w:r w:rsidR="00314C3B" w:rsidRPr="002D6EC7">
        <w:t xml:space="preserve">We have developed an analytical method which is suitable for the rapid analysis of the two main types of flavan-3-ol metabolites, structurally related (−)-epicatechin metabolites (SREM) and metabolites of the microbial fission products of flavan-3-ols, </w:t>
      </w:r>
      <w:r w:rsidR="00314C3B" w:rsidRPr="002D6EC7">
        <w:rPr>
          <w:rFonts w:ascii="Symbol" w:hAnsi="Symbol"/>
        </w:rPr>
        <w:t></w:t>
      </w:r>
      <w:r w:rsidR="00314C3B" w:rsidRPr="002D6EC7">
        <w:t>-</w:t>
      </w:r>
      <w:proofErr w:type="spellStart"/>
      <w:r w:rsidR="00314C3B" w:rsidRPr="002D6EC7">
        <w:t>valerolactones</w:t>
      </w:r>
      <w:proofErr w:type="spellEnd"/>
      <w:r w:rsidR="00314C3B" w:rsidRPr="002D6EC7">
        <w:t xml:space="preserve"> </w:t>
      </w:r>
      <w:r w:rsidR="00CE24FC" w:rsidRPr="002D6EC7">
        <w:fldChar w:fldCharType="begin"/>
      </w:r>
      <w:r w:rsidR="002D6EC7" w:rsidRPr="002D6EC7">
        <w:instrText xml:space="preserve"> ADDIN PAPERS2_CITATIONS &lt;citation&gt;&lt;priority&gt;28&lt;/priority&gt;&lt;uuid&gt;4523049E-8153-483E-9C60-51D8613CC27E&lt;/uuid&gt;&lt;publications&gt;&lt;publication&gt;&lt;subtype&gt;400&lt;/subtype&gt;&lt;publisher&gt;Nature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fldChar w:fldCharType="separate"/>
      </w:r>
      <w:r w:rsidR="002D6EC7" w:rsidRPr="002D6EC7">
        <w:rPr>
          <w:vertAlign w:val="superscript"/>
          <w:lang w:val="en-US" w:eastAsia="en-GB"/>
        </w:rPr>
        <w:t>6</w:t>
      </w:r>
      <w:r w:rsidR="00CE24FC" w:rsidRPr="002D6EC7">
        <w:fldChar w:fldCharType="end"/>
      </w:r>
      <w:r w:rsidR="00314C3B" w:rsidRPr="002D6EC7">
        <w:t>. This method allows us to determine a range of different metabolites in a short time, and therefore is suitable for the analysis of samples even from large studies.</w:t>
      </w:r>
      <w:r w:rsidR="00B61F29" w:rsidRPr="002D6EC7">
        <w:t xml:space="preserve"> </w:t>
      </w:r>
      <w:r w:rsidR="008C1BFD" w:rsidRPr="002D6EC7">
        <w:t>The accurate and precise analysis of these metabolites requires the availability of authentic standards, as other methods, relying for example on enzymatic deconjugation</w:t>
      </w:r>
      <w:r w:rsidR="00B61F29"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&lt;citation&gt;&lt;priority&gt;29&lt;/priority&gt;&lt;uuid&gt;666D2BAB-CED7-4932-A9D9-C9F4488F639A&lt;/uuid&gt;&lt;publications&gt;&lt;publication&gt;&lt;subtype&gt;400&lt;/subtype&gt;&lt;title&gt;Human O-sulfated metabolites of (−)-epicatechin and methyl-(−)-epicatechin are poor substrates for commercial aryl-sulfatases: Implications for studies concerned with quantifying epicatechin bioavailability&lt;/title&gt;&lt;url&gt;http://linkinghub.elsevier.com/retrieve/pii/S1043661812000230&lt;/url&gt;&lt;volume&gt;65&lt;/volume&gt;&lt;publication_date&gt;99201206001200000000220000&lt;/publication_date&gt;&lt;uuid&gt;5DC744C6-646C-4CF0-9BFD-771E9C73E791&lt;/uuid&gt;&lt;type&gt;400&lt;/type&gt;&lt;number&gt;6&lt;/number&gt;&lt;citekey&gt;Saha:2012kq&lt;/citekey&gt;&lt;doi&gt;10.1016/j.phrs.2012.02.005&lt;/doi&gt;&lt;startpage&gt;592&lt;/startpage&gt;&lt;endpage&gt;602&lt;/endpage&gt;&lt;bundle&gt;&lt;publication&gt;&lt;title&gt;Pharmacological Research&lt;/title&gt;&lt;uuid&gt;32120C18-91E2-4C08-ACDB-3FE083CDDC90&lt;/uuid&gt;&lt;subtype&gt;-100&lt;/subtype&gt;&lt;publisher&gt;Elsevier Ltd&lt;/publisher&gt;&lt;type&gt;-100&lt;/type&gt;&lt;/publication&gt;&lt;/bundle&gt;&lt;authors&gt;&lt;author&gt;&lt;lastName&gt;Saha&lt;/lastName&gt;&lt;firstName&gt;S&lt;/firstName&gt;&lt;/author&gt;&lt;author&gt;&lt;lastName&gt;Hollands&lt;/lastName&gt;&lt;firstName&gt;W&lt;/firstName&gt;&lt;/author&gt;&lt;author&gt;&lt;lastName&gt;Needs&lt;/lastName&gt;&lt;firstName&gt;P&lt;/firstName&gt;&lt;middleNames&gt;W&lt;/middleNames&gt;&lt;/author&gt;&lt;author&gt;&lt;lastName&gt;Ostertag&lt;/lastName&gt;&lt;firstName&gt;L&lt;/firstName&gt;&lt;middleNames&gt;M&lt;/middleNames&gt;&lt;/author&gt;&lt;author&gt;&lt;lastName&gt;Roos&lt;/lastName&gt;&lt;nonDroppingParticle&gt;de&lt;/nonDroppingParticle&gt;&lt;firstName&gt;B&lt;/firstName&gt;&lt;/author&gt;&lt;author&gt;&lt;lastName&gt;Duthie&lt;/lastName&gt;&lt;firstName&gt;G&lt;/firstName&gt;&lt;middleNames&gt;G&lt;/middleNames&gt;&lt;/author&gt;&lt;author&gt;&lt;lastName&gt;Kroon&lt;/lastName&gt;&lt;firstName&gt;P&lt;/firstName&gt;&lt;middleNames&gt;A&lt;/middleNames&gt;&lt;/author&gt;&lt;/authors&gt;&lt;/publication&gt;&lt;publication&gt;&lt;subtype&gt;400&lt;/subtype&gt;&lt;title&gt;Structurally related (-)-epicatechin metabolites in humans: assessment using de novo chemically synthesized authentic standards.&lt;/title&gt;&lt;url&gt;http://linkinghub.elsevier.com/retrieve/pii/S0891584911012548&lt;/url&gt;&lt;volume&gt;52&lt;/volume&gt;&lt;revision_date&gt;99201112091200000000222000&lt;/revision_date&gt;&lt;publication_date&gt;99201204151200000000222000&lt;/publication_date&gt;&lt;uuid&gt;95108AC6-F2F1-4688-8FCD-8014C2127A41&lt;/uuid&gt;&lt;type&gt;400&lt;/type&gt;&lt;accepted_date&gt;99201112111200000000222000&lt;/accepted_date&gt;&lt;number&gt;8&lt;/number&gt;&lt;citekey&gt;Ottaviani:2012cj&lt;/citekey&gt;&lt;submission_date&gt;99201107181200000000222000&lt;/submission_date&gt;&lt;doi&gt;10.1016/j.freeradbiomed.2011.12.010&lt;/doi&gt;&lt;institution&gt;Department of Nutrition, University of California at Davis, Davis, CA 95616, USA. jottaviani@ucdavis.edu&lt;/institution&gt;&lt;startpage&gt;1403&lt;/startpage&gt;&lt;endpage&gt;1412&lt;/endpage&gt;&lt;bundle&gt;&lt;publication&gt;&lt;title&gt;Free Radical Biology and Medicine&lt;/title&gt;&lt;uuid&gt;6B0B8C0B-3F29-40B2-9B61-9B3EAF9179DE&lt;/uuid&gt;&lt;subtype&gt;-100&lt;/subtype&gt;&lt;publisher&gt;Elsevier Inc.&lt;/publisher&gt;&lt;type&gt;-100&lt;/type&gt;&lt;/publication&gt;&lt;/bundle&gt;&lt;authors&gt;&lt;author&gt;&lt;lastName&gt;Ottaviani&lt;/lastName&gt;&lt;firstName&gt;Javier&lt;/firstName&gt;&lt;middleNames&gt;I&lt;/middleNames&gt;&lt;/author&gt;&lt;author&gt;&lt;lastName&gt;Momma&lt;/lastName&gt;&lt;firstName&gt;Tony&lt;/firstName&gt;&lt;middleNames&gt;Y&lt;/middleNames&gt;&lt;/author&gt;&lt;author&gt;&lt;lastName&gt;Kuhnle&lt;/lastName&gt;&lt;firstName&gt;Gunter&lt;/firstName&gt;&lt;middleNames&gt;Georg&lt;/middleNames&gt;&lt;/author&gt;&lt;author&gt;&lt;lastName&gt;Keen&lt;/lastName&gt;&lt;firstName&gt;Carl&lt;/firstName&gt;&lt;middleNames&gt;L&lt;/middleNames&gt;&lt;/author&gt;&lt;author&gt;&lt;lastName&gt;Schroeter&lt;/lastName&gt;&lt;firstName&gt;Hagen&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21,22</w:t>
      </w:r>
      <w:r w:rsidR="00CE24FC" w:rsidRPr="002D6EC7">
        <w:rPr>
          <w:lang w:val="en-US" w:eastAsia="en-GB"/>
        </w:rPr>
        <w:fldChar w:fldCharType="end"/>
      </w:r>
      <w:r w:rsidR="00B61F29" w:rsidRPr="002D6EC7">
        <w:t xml:space="preserve"> or the identification of metabolites using their tandem-MS fragmentation pattern and quantification as aglycone </w:t>
      </w:r>
      <w:r w:rsidR="00CE24FC" w:rsidRPr="002D6EC7">
        <w:rPr>
          <w:lang w:val="en-US" w:eastAsia="en-GB"/>
        </w:rPr>
        <w:fldChar w:fldCharType="begin"/>
      </w:r>
      <w:r w:rsidR="002D6EC7" w:rsidRPr="002D6EC7">
        <w:rPr>
          <w:lang w:val="en-US" w:eastAsia="en-GB"/>
        </w:rPr>
        <w:instrText xml:space="preserve"> ADDIN PAPERS2_CITATIONS &lt;citation&gt;&lt;priority&gt;30&lt;/priority&gt;&lt;uuid&gt;3275254F-A1B0-4085-BCB0-CC35BD023F19&lt;/uuid&gt;&lt;publications&gt;&lt;publication&gt;&lt;subtype&gt;400&lt;/subtype&gt;&lt;title&gt;Use of LC-MS for the quantitative analysis of (poly)phenol metabolites does not necessarily yield accurate results: Implications for assessing existing data and conducting future research.&lt;/title&gt;&lt;url&gt;https://linkinghub.elsevier.com/retrieve/pii/S0891584918309717&lt;/url&gt;&lt;volume&gt;124&lt;/volume&gt;&lt;publication_date&gt;99201808201200000000222000&lt;/publication_date&gt;&lt;uuid&gt;0C0A3A16-4B8D-49F1-85CC-79C70E7E3C8D&lt;/uuid&gt;&lt;type&gt;400&lt;/type&gt;&lt;accepted_date&gt;99201805311200000000222000&lt;/accepted_date&gt;&lt;citekey&gt;Ottaviani:2018kp&lt;/citekey&gt;&lt;submission_date&gt;99201804271200000000222000&lt;/submission_date&gt;&lt;doi&gt;10.1016/j.freeradbiomed.2018.05.092&lt;/doi&gt;&lt;institution&gt;Mars Inc., McLean, VA 22101, USA; Department of Nutrition, University of California, Davis, CA 95616, USA.&lt;/institution&gt;&lt;startpage&gt;97&lt;/startpage&gt;&lt;endpage&gt;103&lt;/endpage&gt;&lt;bundle&gt;&lt;publication&gt;&lt;title&gt;Free Radical Biology and Medicine&lt;/title&gt;&lt;uuid&gt;6B0B8C0B-3F29-40B2-9B61-9B3EAF9179DE&lt;/uuid&gt;&lt;subtype&gt;-100&lt;/subtype&gt;&lt;publisher&gt;Elsevier Inc.&lt;/publisher&gt;&lt;type&gt;-100&lt;/type&gt;&lt;/publication&gt;&lt;/bundle&gt;&lt;authors&gt;&lt;author&gt;&lt;lastName&gt;Ottaviani&lt;/lastName&gt;&lt;firstName&gt;Javier&lt;/firstName&gt;&lt;middleNames&gt;I&lt;/middleNames&gt;&lt;/author&gt;&lt;author&gt;&lt;lastName&gt;Fong&lt;/lastName&gt;&lt;firstName&gt;Reedmond&lt;/firstName&gt;&lt;middleNames&gt;Y&lt;/middleNames&gt;&lt;/author&gt;&lt;author&gt;&lt;lastName&gt;Borges&lt;/lastName&gt;&lt;firstName&gt;Gina&lt;/firstName&gt;&lt;/author&gt;&lt;author&gt;&lt;lastName&gt;Schroeter&lt;/lastName&gt;&lt;firstName&gt;Hagen&lt;/firstName&gt;&lt;/author&gt;&lt;author&gt;&lt;lastName&gt;Crozier&lt;/lastName&gt;&lt;firstName&gt;Alan&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23</w:t>
      </w:r>
      <w:r w:rsidR="00CE24FC" w:rsidRPr="002D6EC7">
        <w:rPr>
          <w:lang w:val="en-US" w:eastAsia="en-GB"/>
        </w:rPr>
        <w:fldChar w:fldCharType="end"/>
      </w:r>
      <w:r w:rsidR="00B61F29" w:rsidRPr="002D6EC7">
        <w:t>, considerab</w:t>
      </w:r>
      <w:r w:rsidR="00AD0BE0" w:rsidRPr="002D6EC7">
        <w:t xml:space="preserve">le bias. The measurement error introduced by these methods </w:t>
      </w:r>
      <w:r w:rsidR="00436D8B" w:rsidRPr="002D6EC7">
        <w:t xml:space="preserve">is dependent on metabolite and metabolite concentration, and therefore does not only affect absolute but also relative </w:t>
      </w:r>
      <w:r w:rsidR="0071110B" w:rsidRPr="002D6EC7">
        <w:t xml:space="preserve">quantification. This makes such methods </w:t>
      </w:r>
      <w:r w:rsidR="00AB5144" w:rsidRPr="002D6EC7">
        <w:t>unsuitable to rank participants according to intake, as is common practice for many nutritional biomarkers.</w:t>
      </w:r>
      <w:r w:rsidR="00B61F29" w:rsidRPr="002D6EC7">
        <w:t xml:space="preserve"> We have </w:t>
      </w:r>
      <w:r w:rsidR="005F48E2" w:rsidRPr="002D6EC7">
        <w:t>confirmed the performance of</w:t>
      </w:r>
      <w:r w:rsidR="00B61F29" w:rsidRPr="002D6EC7">
        <w:t xml:space="preserve"> the method following generally accepted standards</w:t>
      </w:r>
      <w:r w:rsidR="00F320E5"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&lt;citation&gt;&lt;priority&gt;31&lt;/priority&gt;&lt;uuid&gt;B7448075-E520-4CE4-B799-8EB1BA5966C6&lt;/uuid&gt;&lt;publications&gt;&lt;publication&gt;&lt;subtype&gt;400&lt;/subtype&gt;&lt;publisher&gt;CRC Press&lt;/publisher&gt;&lt;title&gt;Guidance for Industry - Bioanalytical Method Validation&lt;/title&gt;&lt;url&gt;http://www.crcnetbase.com/doi/10.1201/b18276-17&lt;/url&gt;&lt;publication_date&gt;99200100001200000000200000&lt;/publication_date&gt;&lt;uuid&gt;4284D1A5-1629-43F8-BF69-E55E6E9B5D19&lt;/uuid&gt;&lt;type&gt;400&lt;/type&gt;&lt;citekey&gt;Administration:2001up&lt;/citekey&gt;&lt;doi&gt;10.1201/b18276-17&lt;/doi&gt;&lt;startpage&gt;247&lt;/startpage&gt;&lt;endpage&gt;264&lt;/endpage&gt;&lt;bundle&gt;&lt;publication&gt;&lt;subtype&gt;0&lt;/subtype&gt;&lt;publisher&gt;CRC Press&lt;/publisher&gt;&lt;title&gt;Tobacco Smoke Exposure Biomarkers&lt;/title&gt;&lt;url&gt;http://www.crcnetbase.com/doi/book/10.1201/b18276&lt;/url&gt;&lt;publication_date&gt;99201503261200000000222000&lt;/publication_date&gt;&lt;uuid&gt;855902F5-0D8D-458D-B14F-603FED78E225&lt;/uuid&gt;&lt;type&gt;0&lt;/type&gt;&lt;citekey&gt;Hu:2015dp&lt;/citekey&gt;&lt;doi&gt;10.1201/b18276&lt;/doi&gt;&lt;/publication&gt;&lt;/bundle&gt;&lt;authors&gt;&lt;author&gt;&lt;lastName&gt;Food and Drug Administration&lt;/lastName&gt;&lt;/author&gt;&lt;/authors&gt;&lt;/publication&gt;&lt;/publications&gt;&lt;cites&gt;&lt;/cites&gt;&lt;/citation&gt;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24</w:t>
      </w:r>
      <w:r w:rsidR="00CE24FC" w:rsidRPr="002D6EC7">
        <w:rPr>
          <w:lang w:val="en-US" w:eastAsia="en-GB"/>
        </w:rPr>
        <w:fldChar w:fldCharType="end"/>
      </w:r>
      <w:r w:rsidR="00B61F29" w:rsidRPr="002D6EC7">
        <w:t xml:space="preserve">, with precision and accuracy well below 15% for the entire </w:t>
      </w:r>
      <w:r w:rsidR="00B61F29" w:rsidRPr="002D6EC7">
        <w:lastRenderedPageBreak/>
        <w:t xml:space="preserve">concentration range. In combination with a run time of </w:t>
      </w:r>
      <w:r w:rsidR="00197C7C" w:rsidRPr="002D6EC7">
        <w:t xml:space="preserve">eight </w:t>
      </w:r>
      <w:r w:rsidR="00B61F29" w:rsidRPr="002D6EC7">
        <w:t>minutes and the suitability for robotic automation, this makes the method suitable for the high-throughput analysis of large-scale studies. The application of the method to two different cohort studies in the UK shows that the validation range is sufficient to measure SREM</w:t>
      </w:r>
      <w:r w:rsidR="00B61F29" w:rsidRPr="002D6EC7">
        <w:rPr>
          <w:vertAlign w:val="subscript"/>
        </w:rPr>
        <w:t>B</w:t>
      </w:r>
      <w:r w:rsidR="00B61F29" w:rsidRPr="002D6EC7">
        <w:t xml:space="preserve"> and </w:t>
      </w:r>
      <w:proofErr w:type="spellStart"/>
      <w:r w:rsidR="00B61F29" w:rsidRPr="002D6EC7">
        <w:t>gVLM</w:t>
      </w:r>
      <w:proofErr w:type="spellEnd"/>
      <w:r w:rsidR="00B61F29"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&lt;citation&gt;&lt;priority&gt;32&lt;/priority&gt;&lt;uuid&gt;2E574F8A-FC93-46A6-9AD6-F97FBD24CEFE&lt;/uuid&gt;&lt;publications&gt;&lt;publication&gt;&lt;subtype&gt;400&lt;/subtype&gt;&lt;title&gt;Use of LC-MS for the quantitative analysis of (poly)phenol metabolites does not necessarily yield accurate results: Implications for assessing existing data and conducting future research.&lt;/title&gt;&lt;url&gt;https://linkinghub.elsevier.com/retrieve/pii/S0891584918309717&lt;/url&gt;&lt;volume&gt;124&lt;/volume&gt;&lt;publication_date&gt;99201808201200000000222000&lt;/publication_date&gt;&lt;uuid&gt;0C0A3A16-4B8D-49F1-85CC-79C70E7E3C8D&lt;/uuid&gt;&lt;type&gt;400&lt;/type&gt;&lt;accepted_date&gt;99201805311200000000222000&lt;/accepted_date&gt;&lt;citekey&gt;Ottaviani:2018kp&lt;/citekey&gt;&lt;submission_date&gt;99201804271200000000222000&lt;/submission_date&gt;&lt;doi&gt;10.1016/j.freeradbiomed.2018.05.092&lt;/doi&gt;&lt;institution&gt;Mars Inc., McLean, VA 22101, USA; Department of Nutrition, University of California, Davis, CA 95616, USA.&lt;/institution&gt;&lt;startpage&gt;97&lt;/startpage&gt;&lt;endpage&gt;103&lt;/endpage&gt;&lt;bundle&gt;&lt;publication&gt;&lt;title&gt;Free Radical Biology and Medicine&lt;/title&gt;&lt;uuid&gt;6B0B8C0B-3F29-40B2-9B61-9B3EAF9179DE&lt;/uuid&gt;&lt;subtype&gt;-100&lt;/subtype&gt;&lt;publisher&gt;Elsevier Inc.&lt;/publisher&gt;&lt;type&gt;-100&lt;/type&gt;&lt;/publication&gt;&lt;/bundle&gt;&lt;authors&gt;&lt;author&gt;&lt;lastName&gt;Ottaviani&lt;/lastName&gt;&lt;firstName&gt;Javier&lt;/firstName&gt;&lt;middleNames&gt;I&lt;/middleNames&gt;&lt;/author&gt;&lt;author&gt;&lt;lastName&gt;Fong&lt;/lastName&gt;&lt;firstName&gt;Reedmond&lt;/firstName&gt;&lt;middleNames&gt;Y&lt;/middleNames&gt;&lt;/author&gt;&lt;author&gt;&lt;lastName&gt;Borges&lt;/lastName&gt;&lt;firstName&gt;Gina&lt;/firstName&gt;&lt;/author&gt;&lt;author&gt;&lt;lastName&gt;Schroeter&lt;/lastName&gt;&lt;firstName&gt;Hagen&lt;/firstName&gt;&lt;/author&gt;&lt;author&gt;&lt;lastName&gt;Crozier&lt;/lastName&gt;&lt;firstName&gt;Alan&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23</w:t>
      </w:r>
      <w:r w:rsidR="00CE24FC" w:rsidRPr="002D6EC7">
        <w:rPr>
          <w:lang w:val="en-US" w:eastAsia="en-GB"/>
        </w:rPr>
        <w:fldChar w:fldCharType="end"/>
      </w:r>
      <w:r w:rsidR="00B61F29" w:rsidRPr="002D6EC7">
        <w:t xml:space="preserve"> in the majority of participants.</w:t>
      </w:r>
    </w:p>
    <w:p w14:paraId="72A3451B" w14:textId="77777777" w:rsidR="0008362B" w:rsidRPr="002D6EC7" w:rsidRDefault="0008362B" w:rsidP="0008362B">
      <w:pPr>
        <w:pStyle w:val="Heading2"/>
      </w:pPr>
      <w:r w:rsidRPr="002D6EC7">
        <w:t>Dietary precursors of SREM</w:t>
      </w:r>
      <w:r w:rsidRPr="002D6EC7">
        <w:rPr>
          <w:vertAlign w:val="subscript"/>
        </w:rPr>
        <w:t>B</w:t>
      </w:r>
      <w:r w:rsidRPr="002D6EC7">
        <w:t xml:space="preserve"> </w:t>
      </w:r>
    </w:p>
    <w:p w14:paraId="7C9EFF30" w14:textId="6CED2256" w:rsidR="00C824B7" w:rsidRPr="002D6EC7" w:rsidRDefault="00B61F29" w:rsidP="00B61F29">
      <w:pPr>
        <w:pStyle w:val="RdgNormal"/>
      </w:pPr>
      <w:r w:rsidRPr="002D6EC7">
        <w:t xml:space="preserve">The importance of the specificity of nutritional biomarkers has been discussed previously </w:t>
      </w:r>
      <w:r w:rsidR="00CE24FC" w:rsidRPr="002D6EC7">
        <w:rPr>
          <w:lang w:val="en-US" w:eastAsia="en-GB"/>
        </w:rPr>
        <w:fldChar w:fldCharType="begin"/>
      </w:r>
      <w:r w:rsidR="002D6EC7" w:rsidRPr="002D6EC7">
        <w:rPr>
          <w:lang w:val="en-US" w:eastAsia="en-GB"/>
        </w:rPr>
        <w:instrText xml:space="preserve"> ADDIN PAPERS2_CITATIONS &lt;citation&gt;&lt;priority&gt;33&lt;/priority&gt;&lt;uuid&gt;A1C91D3A-D7D3-4021-A23E-A63E64B1EF88&lt;/uuid&gt;&lt;publications&gt;&lt;publication&gt;&lt;subtype&gt;400&lt;/subtype&gt;&lt;location&gt;&amp;lt;html&amp;gt;&amp;lt;head&amp;gt;&amp;lt;meta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Home&amp;lt;/a&amp;gt;&amp;lt;/div&amp;gt;&amp;lt;/body&amp;gt;&amp;lt;/html&amp;gt;&lt;/location&gt;&lt;title&gt;Biochemical markers of dietary intake&lt;/title&gt;&lt;url&gt;http://www.ncbi.nlm.nih.gov/entrez/query.fcgi?db=pubmed&amp;amp;amp&lt;/url&gt;&lt;publication_date&gt;99199700001200000000200000&lt;/publication_date&gt;&lt;uuid&gt;AE4D355F-4D0A-4972-B7B4-F9716585048D&lt;/uuid&gt;&lt;type&gt;400&lt;/type&gt;&lt;number&gt;142&lt;/number&gt;&lt;citekey&gt;Kaaks:1997vc&lt;/citekey&gt;&lt;subtitle&gt;IARC Scientific Publication No. 84&lt;/subtitle&gt;&lt;institution&gt;Unit of Nutrition and Cancer, International Agency for Research on Cancer, Lyon, France.&lt;/institution&gt;&lt;startpage&gt;103&lt;/startpage&gt;&lt;endpage&gt;126&lt;/endpage&gt;&lt;bundle&gt;&lt;publication&gt;&lt;title&gt;IARC Scientific Publication No. 84&lt;/title&gt;&lt;uuid&gt;5FDA2984-F6F4-4789-97CC-E391BA896E83&lt;/uuid&gt;&lt;subtype&gt;-100&lt;/subtype&gt;&lt;type&gt;-100&lt;/type&gt;&lt;/publication&gt;&lt;/bundle&gt;&lt;authors&gt;&lt;author&gt;&lt;lastName&gt;Kaaks&lt;/lastName&gt;&lt;firstName&gt;Rudolf&lt;/firstName&gt;&lt;/author&gt;&lt;author&gt;&lt;lastName&gt;Riboli&lt;/lastName&gt;&lt;firstName&gt;Elio&lt;/firstName&gt;&lt;/author&gt;&lt;author&gt;&lt;lastName&gt;Sinha&lt;/lastName&gt;&lt;firstName&gt;Rashmi&lt;/firstName&gt;&lt;/author&gt;&lt;/authors&gt;&lt;/publication&gt;&lt;publication&gt;&lt;subtype&gt;400&lt;/subtyp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Home&amp;lt;/a&amp;gt;&amp;lt;/div&amp;gt;&amp;lt;/body&amp;gt;&amp;lt;/html&amp;gt;&lt;/location&gt;&lt;title&gt;Biomarkers in nutritional epidemiology: applications, needs and new horizons&lt;/title&gt;&lt;url&gt;http://www.ncbi.nlm.nih.gov/entrez/query.fcgi?db=pubmed&amp;amp;amp&lt;/url&gt;&lt;volume&gt;125&lt;/volume&gt;&lt;publication_date&gt;99200907011200000000222000&lt;/publication_date&gt;&lt;uuid&gt;CC43BD6D-23D7-45DD-82A3-F22F7E6872C9&lt;/uuid&gt;&lt;type&gt;400&lt;/type&gt;&lt;number&gt;5-6&lt;/number&gt;&lt;citekey&gt;Jenab:2009ty&lt;/citekey&gt;&lt;subtitle&gt;Human Genetics&lt;/subtitle&gt;&lt;institution&gt;Lifestyle, Environment and Cancer Group, International Agency for Research on Cancer (IARC-WHO), Lyon, France. jenab@iarc.fr&lt;/institution&gt;&lt;startpage&gt;507&lt;/startpage&gt;&lt;endpage&gt;525&lt;/endpage&gt;&lt;bundle&gt;&lt;publication&gt;&lt;title&gt;Human genetics&lt;/title&gt;&lt;uuid&gt;A737A8C6-AEDF-4B6B-AA20-77F20C9CBF1B&lt;/uuid&gt;&lt;subtype&gt;-100&lt;/subtype&gt;&lt;type&gt;-100&lt;/type&gt;&lt;/publication&gt;&lt;/bundle&gt;&lt;authors&gt;&lt;author&gt;&lt;lastName&gt;Jenab&lt;/lastName&gt;&lt;firstName&gt;Mazda&lt;/firstName&gt;&lt;/author&gt;&lt;author&gt;&lt;lastName&gt;Slimani&lt;/lastName&gt;&lt;firstName&gt;Nadia&lt;/firstName&gt;&lt;/author&gt;&lt;author&gt;&lt;lastName&gt;Bictash&lt;/lastName&gt;&lt;firstName&gt;M&lt;/firstName&gt;&lt;/author&gt;&lt;author&gt;&lt;lastName&gt;Ferrari&lt;/lastName&gt;&lt;firstName&gt;Pietro&lt;/firstName&gt;&lt;/author&gt;&lt;author&gt;&lt;lastName&gt;Bingham&lt;/lastName&gt;&lt;firstName&gt;Shelia&lt;/firstName&gt;&lt;middleNames&gt;A&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5,19</w:t>
      </w:r>
      <w:r w:rsidR="00CE24FC" w:rsidRPr="002D6EC7">
        <w:rPr>
          <w:lang w:val="en-US" w:eastAsia="en-GB"/>
        </w:rPr>
        <w:fldChar w:fldCharType="end"/>
      </w:r>
      <w:r w:rsidRPr="002D6EC7">
        <w:t xml:space="preserve">, but </w:t>
      </w:r>
      <w:r w:rsidR="00C824B7" w:rsidRPr="002D6EC7">
        <w:t xml:space="preserve">in contrast to the relationship between nutritional biomarker and intake, this is not often assessed. We have shown </w:t>
      </w:r>
      <w:r w:rsidR="00E54DC8" w:rsidRPr="002D6EC7">
        <w:t xml:space="preserve">that </w:t>
      </w:r>
      <w:r w:rsidR="00C824B7" w:rsidRPr="002D6EC7">
        <w:t>(</w:t>
      </w:r>
      <w:proofErr w:type="gramStart"/>
      <w:r w:rsidR="00C824B7" w:rsidRPr="002D6EC7">
        <w:t>−)</w:t>
      </w:r>
      <w:r w:rsidR="00C824B7" w:rsidRPr="002D6EC7">
        <w:noBreakHyphen/>
      </w:r>
      <w:proofErr w:type="gramEnd"/>
      <w:r w:rsidR="00C824B7" w:rsidRPr="002D6EC7">
        <w:t xml:space="preserve">epicatechin, but none of the other </w:t>
      </w:r>
      <w:r w:rsidR="00E54DC8" w:rsidRPr="002D6EC7">
        <w:t xml:space="preserve">flavan-3-ols </w:t>
      </w:r>
      <w:r w:rsidR="00C824B7" w:rsidRPr="002D6EC7">
        <w:t>tested</w:t>
      </w:r>
      <w:r w:rsidR="00190CE2" w:rsidRPr="002D6EC7">
        <w:t>,</w:t>
      </w:r>
      <w:r w:rsidR="00C824B7" w:rsidRPr="002D6EC7">
        <w:t xml:space="preserve"> resulted in the formation of SREM</w:t>
      </w:r>
      <w:r w:rsidR="00C824B7" w:rsidRPr="002D6EC7">
        <w:rPr>
          <w:vertAlign w:val="subscript"/>
        </w:rPr>
        <w:t>B</w:t>
      </w:r>
      <w:r w:rsidR="00C824B7" w:rsidRPr="002D6EC7">
        <w:t xml:space="preserve">. This confirms </w:t>
      </w:r>
      <w:r w:rsidR="00717097" w:rsidRPr="002D6EC7">
        <w:t xml:space="preserve">results from our previous studies </w:t>
      </w:r>
      <w:r w:rsidR="00CE24FC" w:rsidRPr="002D6EC7">
        <w:rPr>
          <w:lang w:val="en-US" w:eastAsia="en-GB"/>
        </w:rPr>
        <w:fldChar w:fldCharType="begin"/>
      </w:r>
      <w:r w:rsidR="002D6EC7" w:rsidRPr="002D6EC7">
        <w:rPr>
          <w:lang w:val="en-US" w:eastAsia="en-GB"/>
        </w:rPr>
        <w:instrText xml:space="preserve"> ADDIN PAPERS2_CITATIONS &lt;citation&gt;&lt;priority&gt;34&lt;/priority&gt;&lt;uuid&gt;3EF90913-BC0B-41A7-929E-C5C0731DFD13&lt;/uuid&gt;&lt;publications&gt;&lt;publication&gt;&lt;subtype&gt;400&lt;/subtype&gt;&lt;location&gt;&amp;lt;html&amp;gt;&amp;lt;head&amp;gt;&amp;lt;meta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Home&amp;lt;/a&amp;gt;&amp;lt;/div&amp;gt;&amp;lt;/body&amp;gt;&amp;lt;/html&amp;gt;&lt;/location&gt;&lt;publisher&gt;American Society for Nutrition&lt;/publisher&gt;&lt;title&gt;Intake of dietary procyanidins does not contribute to the pool of circulating flavanols in humans.&lt;/title&gt;&lt;url&gt;http://www.ncbi.nlm.nih.gov/pubmed/22378733&lt;/url&gt;&lt;volume&gt;95&lt;/volume&gt;&lt;publication_date&gt;99201204001200000000220000&lt;/publication_date&gt;&lt;uuid&gt;ECFD1A9A-9B13-419E-8D86-5827F5CE3AFB&lt;/uuid&gt;&lt;type&gt;400&lt;/type&gt;&lt;number&gt;4&lt;/number&gt;&lt;citekey&gt;Ottaviani:2012ej&lt;/citekey&gt;&lt;subtitle&gt;Am J Clin Nutr&lt;/subtitle&gt;&lt;doi&gt;10.3945/ajcn.111.028340&lt;/doi&gt;&lt;institution&gt;Department of Nutrition, University of California Davis, Davis, CA, USA. jottaviani@ucdavis.edu&lt;/institution&gt;&lt;startpage&gt;851&lt;/startpage&gt;&lt;endpage&gt;858&lt;/endpage&gt;&lt;authors&gt;&lt;author&gt;&lt;lastName&gt;Ottaviani&lt;/lastName&gt;&lt;firstName&gt;Javier&lt;/firstName&gt;&lt;middleNames&gt;I&lt;/middleNames&gt;&lt;/author&gt;&lt;author&gt;&lt;lastName&gt;Kwik-Uribe&lt;/lastName&gt;&lt;firstName&gt;C&lt;/firstName&gt;&lt;/author&gt;&lt;author&gt;&lt;lastName&gt;Keen&lt;/lastName&gt;&lt;firstName&gt;C&lt;/firstName&gt;&lt;middleNames&gt;L&lt;/middleNames&gt;&lt;/author&gt;&lt;author&gt;&lt;lastName&gt;Schroeter&lt;/lastName&gt;&lt;firstName&gt;Hagen&lt;/firstName&gt;&lt;/author&gt;&lt;/authors&gt;&lt;/publication&gt;&lt;publication&gt;&lt;subtype&gt;400&lt;/subtype&gt;&lt;title&gt;Assessing the respective contributions of dietary flavanol monomers and procyanidins in mediating cardiovascular effects in humans: randomized, controlled, double-masked intervention trial.&lt;/title&gt;&lt;url&gt;https://academic.oup.com/ajcn/advance-article/doi/10.1093/ajcn/nqy229/5144478&lt;/url&gt;&lt;volume&gt;31&lt;/volume&gt;&lt;publication_date&gt;99201810241200000000222000&lt;/publication_date&gt;&lt;uuid&gt;D2A927CE-4B16-4583-B44D-CA90A41322AF&lt;/uuid&gt;&lt;type&gt;400&lt;/type&gt;&lt;accepted_date&gt;99201808131200000000222000&lt;/accepted_date&gt;&lt;number&gt;6&lt;/number&gt;&lt;citekey&gt;RodriguezMateos:2018bs&lt;/citekey&gt;&lt;submission_date&gt;99201804271200000000222000&lt;/submission_date&gt;&lt;doi&gt;10.1093/ajcn/nqy229&lt;/doi&gt;&lt;institution&gt;Division of Cardiology, Pulmonology, and Vascular Medicine, Medical Faculty, University of Dusseldorf, Dusseldorf, Germany.&lt;/institution&gt;&lt;startpage&gt;546&lt;/startpage&gt;&lt;endpage&gt;1237&lt;/endpage&gt;&lt;bundle&gt;&lt;publication&gt;&lt;title&gt;The American journal of clinical nutrition&lt;/title&gt;&lt;uuid&gt;E4A68C8D-0654-4E33-8D3C-2CD7DF6B341B&lt;/uuid&gt;&lt;subtype&gt;-100&lt;/subtype&gt;&lt;type&gt;-100&lt;/type&gt;&lt;/publication&gt;&lt;/bundle&gt;&lt;authors&gt;&lt;author&gt;&lt;lastName&gt;Rodriguez-Mateos&lt;/lastName&gt;&lt;firstName&gt;Ana&lt;/firstName&gt;&lt;/author&gt;&lt;author&gt;&lt;lastName&gt;Weber&lt;/lastName&gt;&lt;firstName&gt;Timon&lt;/firstName&gt;&lt;/author&gt;&lt;author&gt;&lt;lastName&gt;Skene&lt;/lastName&gt;&lt;firstName&gt;Simon&lt;/firstName&gt;&lt;middleNames&gt;S&lt;/middleNames&gt;&lt;/author&gt;&lt;author&gt;&lt;lastName&gt;Ottaviani&lt;/lastName&gt;&lt;firstName&gt;Javier&lt;/firstName&gt;&lt;middleNames&gt;I&lt;/middleNames&gt;&lt;/author&gt;&lt;author&gt;&lt;lastName&gt;Crozier&lt;/lastName&gt;&lt;firstName&gt;Alan&lt;/firstName&gt;&lt;/author&gt;&lt;author&gt;&lt;lastName&gt;Kelm&lt;/lastName&gt;&lt;firstName&gt;Malte&lt;/firstName&gt;&lt;/author&gt;&lt;author&gt;&lt;lastName&gt;Schroeter&lt;/lastName&gt;&lt;firstName&gt;Hagen&lt;/firstName&gt;&lt;/author&gt;&lt;author&gt;&lt;lastName&gt;Heiss&lt;/lastName&gt;&lt;firstName&gt;Christian&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3,25</w:t>
      </w:r>
      <w:r w:rsidR="00CE24FC" w:rsidRPr="002D6EC7">
        <w:rPr>
          <w:lang w:val="en-US" w:eastAsia="en-GB"/>
        </w:rPr>
        <w:fldChar w:fldCharType="end"/>
      </w:r>
      <w:r w:rsidR="00717097" w:rsidRPr="002D6EC7">
        <w:t>, showing that oligo- and polymeric procyanidins</w:t>
      </w:r>
      <w:r w:rsidR="00E54DC8" w:rsidRPr="002D6EC7">
        <w:t xml:space="preserve"> are not </w:t>
      </w:r>
      <w:r w:rsidR="00190CE2" w:rsidRPr="002D6EC7">
        <w:t xml:space="preserve">cleaved </w:t>
      </w:r>
      <w:r w:rsidR="00717097" w:rsidRPr="002D6EC7">
        <w:t>into their flavan-3-ol subunits.</w:t>
      </w:r>
      <w:r w:rsidR="005D0834" w:rsidRPr="002D6EC7">
        <w:t xml:space="preserve"> </w:t>
      </w:r>
    </w:p>
    <w:p w14:paraId="7AB0C14E" w14:textId="310F6910" w:rsidR="00B61F29" w:rsidRPr="002D6EC7" w:rsidRDefault="00EA0C20" w:rsidP="00282A0A">
      <w:pPr>
        <w:pStyle w:val="RdgNormalFollow"/>
      </w:pPr>
      <w:r w:rsidRPr="002D6EC7">
        <w:t xml:space="preserve">The data therefore show that </w:t>
      </w:r>
      <w:r w:rsidR="00701FB5" w:rsidRPr="002D6EC7">
        <w:t xml:space="preserve">urinary </w:t>
      </w:r>
      <w:r w:rsidRPr="002D6EC7">
        <w:t>SREM</w:t>
      </w:r>
      <w:r w:rsidRPr="002D6EC7">
        <w:rPr>
          <w:vertAlign w:val="subscript"/>
        </w:rPr>
        <w:t>B</w:t>
      </w:r>
      <w:r w:rsidRPr="002D6EC7">
        <w:t xml:space="preserve"> is specific for </w:t>
      </w:r>
      <w:r w:rsidR="00190CE2" w:rsidRPr="002D6EC7">
        <w:t>(−)-</w:t>
      </w:r>
      <w:proofErr w:type="gramStart"/>
      <w:r w:rsidRPr="002D6EC7">
        <w:t>epicatechin</w:t>
      </w:r>
      <w:r w:rsidR="000B4AF5" w:rsidRPr="002D6EC7">
        <w:t>, but</w:t>
      </w:r>
      <w:proofErr w:type="gramEnd"/>
      <w:r w:rsidR="000B4AF5" w:rsidRPr="002D6EC7">
        <w:t xml:space="preserve"> </w:t>
      </w:r>
      <w:r w:rsidR="00CC1229" w:rsidRPr="002D6EC7">
        <w:t>considering th</w:t>
      </w:r>
      <w:r w:rsidR="007F26A6" w:rsidRPr="002D6EC7">
        <w:t xml:space="preserve">at this compound could be present in its enantiomeric form (+)-epicatechin, </w:t>
      </w:r>
      <w:r w:rsidR="00CC1229" w:rsidRPr="002D6EC7">
        <w:t>it is worth questioning whether SREM</w:t>
      </w:r>
      <w:r w:rsidR="00CC1229" w:rsidRPr="002D6EC7">
        <w:rPr>
          <w:vertAlign w:val="subscript"/>
        </w:rPr>
        <w:t>B</w:t>
      </w:r>
      <w:r w:rsidR="00CC1229" w:rsidRPr="002D6EC7">
        <w:t xml:space="preserve"> </w:t>
      </w:r>
      <w:r w:rsidR="000B4AF5" w:rsidRPr="002D6EC7">
        <w:t xml:space="preserve">could be specific </w:t>
      </w:r>
      <w:r w:rsidR="006D2BD8" w:rsidRPr="002D6EC7">
        <w:t>to assess</w:t>
      </w:r>
      <w:r w:rsidR="000B4AF5" w:rsidRPr="002D6EC7">
        <w:t xml:space="preserve"> </w:t>
      </w:r>
      <w:r w:rsidR="007F26A6" w:rsidRPr="002D6EC7">
        <w:t>(−)-</w:t>
      </w:r>
      <w:r w:rsidR="000B4AF5" w:rsidRPr="002D6EC7">
        <w:t xml:space="preserve">epicatechin intake. In this context, </w:t>
      </w:r>
      <w:r w:rsidR="00CC1229" w:rsidRPr="002D6EC7">
        <w:t xml:space="preserve">the biosynthetic pathways of flavonoids in plants result predominantly in (−)-epicatechin </w:t>
      </w:r>
      <w:r w:rsidR="00CE24FC" w:rsidRPr="002D6EC7">
        <w:rPr>
          <w:lang w:val="en-US" w:eastAsia="en-GB"/>
        </w:rPr>
        <w:fldChar w:fldCharType="begin"/>
      </w:r>
      <w:r w:rsidR="002D6EC7" w:rsidRPr="002D6EC7">
        <w:rPr>
          <w:lang w:val="en-US" w:eastAsia="en-GB"/>
        </w:rPr>
        <w:instrText xml:space="preserve"> ADDIN PAPERS2_CITATIONS &lt;citation&gt;&lt;priority&gt;35&lt;/priority&gt;&lt;uuid&gt;3000916D-60AC-4ED4-A9F6-4E9475B69210&lt;/uuid&gt;&lt;publications&gt;&lt;publication&gt;&lt;subtype&gt;400&lt;/subtype&gt;&lt;title&gt;Enantioseparation of catechin and epicatechin in plant food by chiral capillary electrophoresis&lt;/title&gt;&lt;url&gt;http://link.springer.com/10.1007/s00217-006-0455-1&lt;/url&gt;&lt;volume&gt;225&lt;/volume&gt;&lt;publication_date&gt;99200608261200000000222000&lt;/publication_date&gt;&lt;uuid&gt;BBAF1EF1-DC07-46D8-865B-8BB5EE954C3F&lt;/uuid&gt;&lt;type&gt;400&lt;/type&gt;&lt;number&gt;3-4&lt;/number&gt;&lt;citekey&gt;Kofink:2006ky&lt;/citekey&gt;&lt;doi&gt;10.1007/s00217-006-0455-1&lt;/doi&gt;&lt;startpage&gt;569&lt;/startpage&gt;&lt;endpage&gt;577&lt;/endpage&gt;&lt;bundle&gt;&lt;publication&gt;&lt;title&gt;European Food Research and Technology&lt;/title&gt;&lt;uuid&gt;C50EFD18-DEF9-42D0-8F64-86AB97893195&lt;/uuid&gt;&lt;subtype&gt;-100&lt;/subtype&gt;&lt;type&gt;-100&lt;/type&gt;&lt;/publication&gt;&lt;/bundle&gt;&lt;authors&gt;&lt;author&gt;&lt;lastName&gt;Kofink&lt;/lastName&gt;&lt;firstName&gt;Michael&lt;/firstName&gt;&lt;/author&gt;&lt;author&gt;&lt;lastName&gt;Papagiannopoulos&lt;/lastName&gt;&lt;firstName&gt;Menelaos&lt;/firstName&gt;&lt;/author&gt;&lt;author&gt;&lt;lastName&gt;Galensa&lt;/lastName&gt;&lt;firstName&gt;Rudolf&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26</w:t>
      </w:r>
      <w:r w:rsidR="00CE24FC" w:rsidRPr="002D6EC7">
        <w:rPr>
          <w:lang w:val="en-US" w:eastAsia="en-GB"/>
        </w:rPr>
        <w:fldChar w:fldCharType="end"/>
      </w:r>
      <w:r w:rsidR="00CC1229" w:rsidRPr="002D6EC7">
        <w:t xml:space="preserve"> and only </w:t>
      </w:r>
      <w:r w:rsidR="005F48E2" w:rsidRPr="002D6EC7">
        <w:t xml:space="preserve">small </w:t>
      </w:r>
      <w:r w:rsidR="000B4AF5" w:rsidRPr="002D6EC7">
        <w:t xml:space="preserve">amounts of </w:t>
      </w:r>
      <w:r w:rsidR="00CC1229" w:rsidRPr="002D6EC7">
        <w:t xml:space="preserve">(+)-epicatechin </w:t>
      </w:r>
      <w:r w:rsidR="000B4AF5" w:rsidRPr="002D6EC7">
        <w:t>are</w:t>
      </w:r>
      <w:r w:rsidR="00CC1229" w:rsidRPr="002D6EC7">
        <w:t xml:space="preserve"> found in </w:t>
      </w:r>
      <w:r w:rsidR="008B05AB" w:rsidRPr="002D6EC7">
        <w:t xml:space="preserve">the </w:t>
      </w:r>
      <w:r w:rsidR="00CC1229" w:rsidRPr="002D6EC7">
        <w:t xml:space="preserve">diet </w:t>
      </w:r>
      <w:r w:rsidR="00CE24FC" w:rsidRPr="002D6EC7">
        <w:rPr>
          <w:lang w:val="en-US" w:eastAsia="en-GB"/>
        </w:rPr>
        <w:fldChar w:fldCharType="begin"/>
      </w:r>
      <w:r w:rsidR="002D6EC7" w:rsidRPr="002D6EC7">
        <w:rPr>
          <w:lang w:val="en-US" w:eastAsia="en-GB"/>
        </w:rPr>
        <w:instrText xml:space="preserve"> ADDIN PAPERS2_CITATIONS &lt;citation&gt;&lt;priority&gt;36&lt;/priority&gt;&lt;uuid&gt;E966B6C2-7C55-4FC1-8554-97538ED21798&lt;/uuid&gt;&lt;publications&gt;&lt;publication&gt;&lt;subtype&gt;400&lt;/subtype&gt;&lt;publisher&gt;Elsevier Ltd&lt;/publisher&gt;&lt;title&gt;Assessment of flavanol stereoisomers and caffeine and theobromine content in commercial chocolates&lt;/title&gt;&lt;url&gt;http://dx.doi.org/10.1016/j.foodchem.2016.03.116&lt;/url&gt;&lt;volume&gt;208&lt;/volume&gt;&lt;publication_date&gt;99201610011200000000222000&lt;/publication_date&gt;&lt;uuid&gt;2E8CC0BD-81A3-43C0-A314-EFF4EB2DCB7F&lt;/uuid&gt;&lt;type&gt;400&lt;/type&gt;&lt;number&gt;C&lt;/number&gt;&lt;citekey&gt;Alanon:2016jk&lt;/citekey&gt;&lt;doi&gt;10.1016/j.foodchem.2016.03.116&lt;/doi&gt;&lt;startpage&gt;177&lt;/startpage&gt;&lt;endpage&gt;184&lt;/endpage&gt;&lt;bundle&gt;&lt;publication&gt;&lt;title&gt;Food Chemistry&lt;/title&gt;&lt;uuid&gt;BE394B1D-4E0A-4025-AE13-03C6D923EDD6&lt;/uuid&gt;&lt;subtype&gt;-100&lt;/subtype&gt;&lt;type&gt;-100&lt;/type&gt;&lt;/publication&gt;&lt;/bundle&gt;&lt;authors&gt;&lt;author&gt;&lt;lastName&gt;Alanon&lt;/lastName&gt;&lt;firstName&gt;M&lt;/firstName&gt;&lt;middleNames&gt;E&lt;/middleNames&gt;&lt;/author&gt;&lt;author&gt;&lt;lastName&gt;Castle&lt;/lastName&gt;&lt;firstName&gt;S&lt;/firstName&gt;&lt;middleNames&gt;M&lt;/middleNames&gt;&lt;/author&gt;&lt;author&gt;&lt;lastName&gt;Siswanto&lt;/lastName&gt;&lt;firstName&gt;P&lt;/firstName&gt;&lt;middleNames&gt;J&lt;/middleNames&gt;&lt;/author&gt;&lt;author&gt;&lt;lastName&gt;Cifuentes-Gómez&lt;/lastName&gt;&lt;firstName&gt;T&lt;/firstName&gt;&lt;/author&gt;&lt;author&gt;&lt;lastName&gt;Spencer&lt;/lastName&gt;&lt;firstName&gt;J&lt;/firstName&gt;&lt;middleNames&gt;P E&lt;/middleNames&gt;&lt;/author&gt;&lt;/authors&gt;&lt;/publication&gt;&lt;/publications&gt;&lt;cites&gt;&lt;/cites&gt;&lt;/citation&gt;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27</w:t>
      </w:r>
      <w:r w:rsidR="00CE24FC" w:rsidRPr="002D6EC7">
        <w:rPr>
          <w:lang w:val="en-US" w:eastAsia="en-GB"/>
        </w:rPr>
        <w:fldChar w:fldCharType="end"/>
      </w:r>
      <w:r w:rsidR="00CC1229" w:rsidRPr="002D6EC7">
        <w:t xml:space="preserve"> and thus not relevant as a contributor to SREM</w:t>
      </w:r>
      <w:r w:rsidR="00CC1229" w:rsidRPr="002D6EC7">
        <w:rPr>
          <w:vertAlign w:val="subscript"/>
        </w:rPr>
        <w:t>B</w:t>
      </w:r>
      <w:r w:rsidR="00CC1229" w:rsidRPr="002D6EC7">
        <w:t>. Furthermore, previous</w:t>
      </w:r>
      <w:r w:rsidR="007569D8" w:rsidRPr="002D6EC7">
        <w:t xml:space="preserve"> data show that</w:t>
      </w:r>
      <w:r w:rsidR="000B4AF5" w:rsidRPr="002D6EC7">
        <w:t xml:space="preserve"> (+)-epicatechin intake does not significantly contribute to </w:t>
      </w:r>
      <w:r w:rsidR="00CC1229" w:rsidRPr="002D6EC7">
        <w:t>epicatechin-3</w:t>
      </w:r>
      <w:r w:rsidR="00E7422B" w:rsidRPr="002D6EC7">
        <w:sym w:font="Symbol" w:char="F0A2"/>
      </w:r>
      <w:r w:rsidR="00CC1229" w:rsidRPr="002D6EC7">
        <w:t>-B-glucuronide</w:t>
      </w:r>
      <w:r w:rsidR="000B4AF5" w:rsidRPr="002D6EC7">
        <w:t>, one of the main contributors to the set of metabolites included in SREM</w:t>
      </w:r>
      <w:r w:rsidR="000B4AF5" w:rsidRPr="002D6EC7">
        <w:rPr>
          <w:vertAlign w:val="subscript"/>
        </w:rPr>
        <w:t>B</w:t>
      </w:r>
      <w:r w:rsidR="00F320E5" w:rsidRPr="002D6EC7">
        <w:rPr>
          <w:lang w:val="en-US" w:eastAsia="en-GB"/>
        </w:rPr>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&lt;citation&gt;&lt;priority&gt;37&lt;/priority&gt;&lt;uuid&gt;A72FD2BE-AED3-4B51-8216-46208FBFAB00&lt;/uuid&gt;&lt;publications&gt;&lt;publication&gt;&lt;subtype&gt;400&lt;/subtype&gt;&lt;title&gt;The stereochemical configuration of flavanols influences the level and metabolism of flavanols in humans and their biological activity in vivo.&lt;/title&gt;&lt;url&gt;http://linkinghub.elsevier.com/retrieve/pii/S0891584910013596&lt;/url&gt;&lt;volume&gt;50&lt;/volume&gt;&lt;publication_date&gt;99201101151200000000222000&lt;/publication_date&gt;&lt;uuid&gt;F16CBD25-BA0F-4345-B1BA-37B73E765AA1&lt;/uuid&gt;&lt;type&gt;400&lt;/type&gt;&lt;accepted_date&gt;99201011041200000000222000&lt;/accepted_date&gt;&lt;number&gt;2&lt;/number&gt;&lt;citekey&gt;Ottaviani:2011iv&lt;/citekey&gt;&lt;submission_date&gt;99201010071200000000222000&lt;/submission_date&gt;&lt;doi&gt;10.1016/j.freeradbiomed.2010.11.005&lt;/doi&gt;&lt;institution&gt;Department of Nutrition, University of California at Davis, Davis, CA 95616, USA. jottaviani@ucdavis.edu&lt;/institution&gt;&lt;startpage&gt;237&lt;/startpage&gt;&lt;endpage&gt;244&lt;/endpage&gt;&lt;bundle&gt;&lt;publication&gt;&lt;title&gt;Free Radical Biology and Medicine&lt;/title&gt;&lt;uuid&gt;6B0B8C0B-3F29-40B2-9B61-9B3EAF9179DE&lt;/uuid&gt;&lt;subtype&gt;-100&lt;/subtype&gt;&lt;publisher&gt;Elsevier Inc.&lt;/publisher&gt;&lt;type&gt;-100&lt;/type&gt;&lt;/publication&gt;&lt;/bundle&gt;&lt;authors&gt;&lt;author&gt;&lt;lastName&gt;Ottaviani&lt;/lastName&gt;&lt;firstName&gt;Javier&lt;/firstName&gt;&lt;middleNames&gt;I&lt;/middleNames&gt;&lt;/author&gt;&lt;author&gt;&lt;lastName&gt;Momma&lt;/lastName&gt;&lt;firstName&gt;Tony&lt;/firstName&gt;&lt;middleNames&gt;Y&lt;/middleNames&gt;&lt;/author&gt;&lt;author&gt;&lt;lastName&gt;Heiss&lt;/lastName&gt;&lt;firstName&gt;Christian&lt;/firstName&gt;&lt;/author&gt;&lt;author&gt;&lt;lastName&gt;Kwik-Uribe&lt;/lastName&gt;&lt;firstName&gt;Catherine&lt;/firstName&gt;&lt;/author&gt;&lt;author&gt;&lt;lastName&gt;Schroeter&lt;/lastName&gt;&lt;firstName&gt;Hagen&lt;/firstName&gt;&lt;/author&gt;&lt;author&gt;&lt;lastName&gt;Keen&lt;/lastName&gt;&lt;firstName&gt;Carl&lt;/firstName&gt;&lt;middleNames&gt;L&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28</w:t>
      </w:r>
      <w:r w:rsidR="00CE24FC" w:rsidRPr="002D6EC7">
        <w:rPr>
          <w:lang w:val="en-US" w:eastAsia="en-GB"/>
        </w:rPr>
        <w:fldChar w:fldCharType="end"/>
      </w:r>
      <w:r w:rsidR="000B4AF5" w:rsidRPr="002D6EC7">
        <w:t>. Thus, SREM</w:t>
      </w:r>
      <w:r w:rsidR="000B4AF5" w:rsidRPr="002D6EC7">
        <w:rPr>
          <w:vertAlign w:val="subscript"/>
        </w:rPr>
        <w:t>B</w:t>
      </w:r>
      <w:r w:rsidR="000B4AF5" w:rsidRPr="002D6EC7">
        <w:t xml:space="preserve"> will predominantly </w:t>
      </w:r>
      <w:r w:rsidR="006D2BD8" w:rsidRPr="002D6EC7">
        <w:t>reflect the intake of</w:t>
      </w:r>
      <w:r w:rsidR="00E7422B" w:rsidRPr="002D6EC7">
        <w:t xml:space="preserve"> </w:t>
      </w:r>
      <w:r w:rsidR="002932A3" w:rsidRPr="002D6EC7">
        <w:t>(−)-</w:t>
      </w:r>
      <w:r w:rsidR="00E7422B" w:rsidRPr="002D6EC7">
        <w:t xml:space="preserve">epicatechin. </w:t>
      </w:r>
    </w:p>
    <w:p w14:paraId="69F4CAB0" w14:textId="77777777" w:rsidR="00995115" w:rsidRPr="002D6EC7" w:rsidRDefault="0008362B" w:rsidP="00210CDE">
      <w:pPr>
        <w:pStyle w:val="Heading2"/>
      </w:pPr>
      <w:r w:rsidRPr="002D6EC7">
        <w:t>Association between dietary intake and SREM</w:t>
      </w:r>
      <w:r w:rsidRPr="002D6EC7">
        <w:rPr>
          <w:vertAlign w:val="subscript"/>
        </w:rPr>
        <w:t>B</w:t>
      </w:r>
      <w:r w:rsidRPr="002D6EC7">
        <w:t xml:space="preserve"> </w:t>
      </w:r>
    </w:p>
    <w:p w14:paraId="6F10BDCB" w14:textId="599F2E88" w:rsidR="007F26A6" w:rsidRPr="002D6EC7" w:rsidRDefault="00995115" w:rsidP="00750971">
      <w:pPr>
        <w:pStyle w:val="RdgNormal"/>
      </w:pPr>
      <w:r w:rsidRPr="002D6EC7">
        <w:t>We have shown a statistically significant</w:t>
      </w:r>
      <w:r w:rsidR="00854B2A" w:rsidRPr="002D6EC7">
        <w:t xml:space="preserve"> linear</w:t>
      </w:r>
      <w:r w:rsidRPr="002D6EC7">
        <w:t xml:space="preserve"> association between </w:t>
      </w:r>
      <w:r w:rsidR="003210B5" w:rsidRPr="002D6EC7">
        <w:t>(−)-epicatechin</w:t>
      </w:r>
      <w:r w:rsidRPr="002D6EC7">
        <w:t xml:space="preserve"> and</w:t>
      </w:r>
      <w:r w:rsidR="00501122" w:rsidRPr="002D6EC7">
        <w:t xml:space="preserve"> </w:t>
      </w:r>
      <w:r w:rsidRPr="002D6EC7">
        <w:t>SREM</w:t>
      </w:r>
      <w:r w:rsidRPr="002D6EC7">
        <w:rPr>
          <w:vertAlign w:val="subscript"/>
        </w:rPr>
        <w:t>B</w:t>
      </w:r>
      <w:r w:rsidR="00501122" w:rsidRPr="002D6EC7">
        <w:t xml:space="preserve"> </w:t>
      </w:r>
      <w:r w:rsidR="00701FB5" w:rsidRPr="002D6EC7">
        <w:t>excretion in 24</w:t>
      </w:r>
      <w:r w:rsidR="00FB7DCD" w:rsidRPr="002D6EC7">
        <w:t xml:space="preserve"> </w:t>
      </w:r>
      <w:r w:rsidR="00701FB5" w:rsidRPr="002D6EC7">
        <w:t xml:space="preserve">h urine </w:t>
      </w:r>
      <w:r w:rsidRPr="002D6EC7">
        <w:t>in an intake-escalation study (R</w:t>
      </w:r>
      <w:r w:rsidRPr="002D6EC7">
        <w:rPr>
          <w:vertAlign w:val="superscript"/>
        </w:rPr>
        <w:t>2</w:t>
      </w:r>
      <w:r w:rsidRPr="002D6EC7">
        <w:t>: 0.86 (95% CI 0.8l; 0.92)</w:t>
      </w:r>
      <w:r w:rsidR="002B2F11" w:rsidRPr="002D6EC7">
        <w:t>)</w:t>
      </w:r>
      <w:r w:rsidR="00431DD9" w:rsidRPr="002D6EC7">
        <w:t xml:space="preserve">. </w:t>
      </w:r>
      <w:r w:rsidR="003210B5" w:rsidRPr="002D6EC7">
        <w:t xml:space="preserve">Importantly, the association of individual metabolites showed a weaker association with </w:t>
      </w:r>
      <w:r w:rsidR="003210B5" w:rsidRPr="002D6EC7">
        <w:lastRenderedPageBreak/>
        <w:t xml:space="preserve">intake than </w:t>
      </w:r>
      <w:r w:rsidR="00B9034E" w:rsidRPr="002D6EC7">
        <w:t>did the sum</w:t>
      </w:r>
      <w:r w:rsidR="003210B5" w:rsidRPr="002D6EC7">
        <w:t xml:space="preserve"> (SREM</w:t>
      </w:r>
      <w:r w:rsidR="003210B5" w:rsidRPr="002D6EC7">
        <w:rPr>
          <w:vertAlign w:val="subscript"/>
        </w:rPr>
        <w:t>B</w:t>
      </w:r>
      <w:r w:rsidR="003210B5" w:rsidRPr="002D6EC7">
        <w:t>). We demonstrated that this is due to change</w:t>
      </w:r>
      <w:r w:rsidR="007F26A6" w:rsidRPr="002D6EC7">
        <w:t>s</w:t>
      </w:r>
      <w:r w:rsidR="003210B5" w:rsidRPr="002D6EC7">
        <w:t xml:space="preserve"> in the </w:t>
      </w:r>
      <w:r w:rsidR="009445FC" w:rsidRPr="002D6EC7">
        <w:t xml:space="preserve">relative contribution of different </w:t>
      </w:r>
      <w:r w:rsidR="008F5212" w:rsidRPr="002D6EC7">
        <w:t>SREM</w:t>
      </w:r>
      <w:r w:rsidR="008F5212" w:rsidRPr="002D6EC7">
        <w:rPr>
          <w:vertAlign w:val="subscript"/>
        </w:rPr>
        <w:t>B</w:t>
      </w:r>
      <w:r w:rsidR="008F5212" w:rsidRPr="002D6EC7">
        <w:t xml:space="preserve"> m</w:t>
      </w:r>
      <w:r w:rsidR="009445FC" w:rsidRPr="002D6EC7">
        <w:t>etabolites according to intake amount</w:t>
      </w:r>
      <w:r w:rsidR="003210B5" w:rsidRPr="002D6EC7">
        <w:t xml:space="preserve">. This observation is not novel and </w:t>
      </w:r>
      <w:r w:rsidR="007F26A6" w:rsidRPr="002D6EC7">
        <w:t xml:space="preserve">concurs with </w:t>
      </w:r>
      <w:r w:rsidR="003210B5" w:rsidRPr="002D6EC7">
        <w:t>previous</w:t>
      </w:r>
      <w:r w:rsidR="007F26A6" w:rsidRPr="002D6EC7">
        <w:t xml:space="preserve"> studies demonstrating a change </w:t>
      </w:r>
      <w:r w:rsidR="002872EC" w:rsidRPr="002D6EC7">
        <w:t xml:space="preserve">in </w:t>
      </w:r>
      <w:proofErr w:type="spellStart"/>
      <w:r w:rsidR="002872EC" w:rsidRPr="002D6EC7">
        <w:t>sulf</w:t>
      </w:r>
      <w:r w:rsidR="007F26A6" w:rsidRPr="002D6EC7">
        <w:t>ation</w:t>
      </w:r>
      <w:proofErr w:type="spellEnd"/>
      <w:r w:rsidR="007F26A6" w:rsidRPr="002D6EC7">
        <w:t>/glucuronidation ratio with the amount of p</w:t>
      </w:r>
      <w:r w:rsidR="003210B5" w:rsidRPr="002D6EC7">
        <w:t xml:space="preserve">henolic compounds </w:t>
      </w:r>
      <w:r w:rsidR="007F26A6" w:rsidRPr="002D6EC7">
        <w:t>ingested</w:t>
      </w:r>
      <w:r w:rsidR="00F658AC"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&lt;citation&gt;&lt;priority&gt;38&lt;/priority&gt;&lt;uuid&gt;9AD06BBF-E605-4D42-84E0-3EA073504213&lt;/uuid&gt;&lt;publications&gt;&lt;publication&gt;&lt;subtype&gt;400&lt;/subtype&gt;&lt;title&gt;Dose-dependent shifts in the sulfation and glucuronidation of phenolic compounds in the rat in vivo and in isolated hepatocytes. The role of saturation of phenolsulfotransferase.&lt;/title&gt;&lt;url&gt;http://eutils.ncbi.nlm.nih.gov/entrez/eutils/elink.fcgi?dbfrom=pubmed&amp;amp;id=6946775&amp;amp;retmode=ref&amp;amp;cmd=prlinks&lt;/url&gt;&lt;volume&gt;30&lt;/volume&gt;&lt;publication_date&gt;99198109151200000000222000&lt;/publication_date&gt;&lt;uuid&gt;C1F70F8D-64D1-4F32-91BF-4B57912DC9E6&lt;/uuid&gt;&lt;type&gt;400&lt;/type&gt;&lt;number&gt;18&lt;/number&gt;&lt;startpage&gt;2569&lt;/startpage&gt;&lt;endpage&gt;2575&lt;/endpage&gt;&lt;bundle&gt;&lt;publication&gt;&lt;title&gt;Biochem Pharmacol&lt;/title&gt;&lt;uuid&gt;A47FFCF4-D0BE-4749-AB1B-20FFE44E09DC&lt;/uuid&gt;&lt;subtype&gt;-100&lt;/subtype&gt;&lt;type&gt;-100&lt;/type&gt;&lt;/publication&gt;&lt;/bundle&gt;&lt;authors&gt;&lt;author&gt;&lt;lastName&gt;Koster&lt;/lastName&gt;&lt;firstName&gt;H&lt;/firstName&gt;&lt;/author&gt;&lt;author&gt;&lt;lastName&gt;Halsema&lt;/lastName&gt;&lt;firstName&gt;I&lt;/firstName&gt;&lt;/author&gt;&lt;author&gt;&lt;lastName&gt;Scholtens&lt;/lastName&gt;&lt;firstName&gt;E&lt;/firstName&gt;&lt;/author&gt;&lt;author&gt;&lt;lastName&gt;Knippers&lt;/lastName&gt;&lt;firstName&gt;M&lt;/firstName&gt;&lt;/author&gt;&lt;author&gt;&lt;lastName&gt;Mulder&lt;/lastName&gt;&lt;firstName&gt;G&lt;/firstName&gt;&lt;middleNames&gt;J&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29</w:t>
      </w:r>
      <w:r w:rsidR="00CE24FC" w:rsidRPr="002D6EC7">
        <w:rPr>
          <w:lang w:val="en-US" w:eastAsia="en-GB"/>
        </w:rPr>
        <w:fldChar w:fldCharType="end"/>
      </w:r>
      <w:r w:rsidR="003210B5" w:rsidRPr="002D6EC7">
        <w:t>. Thus, these results show that it is important to use a combination of different metabolites as biomarker</w:t>
      </w:r>
      <w:r w:rsidR="002B6B41" w:rsidRPr="002D6EC7">
        <w:t>s</w:t>
      </w:r>
      <w:r w:rsidR="003210B5" w:rsidRPr="002D6EC7">
        <w:t xml:space="preserve"> of intake, as changes in metabolism due to intake could result in mis-estimations of intake. The combination of metabolites permits both, improving the strength </w:t>
      </w:r>
      <w:r w:rsidR="007F26A6" w:rsidRPr="002D6EC7">
        <w:t xml:space="preserve">of the association </w:t>
      </w:r>
      <w:r w:rsidR="003210B5" w:rsidRPr="002D6EC7">
        <w:t xml:space="preserve">and increasing the recovery assessed for (−)-epicatechin. Overall, </w:t>
      </w:r>
      <w:r w:rsidR="00F658AC" w:rsidRPr="002D6EC7">
        <w:t>t</w:t>
      </w:r>
      <w:r w:rsidR="00672A31" w:rsidRPr="002D6EC7">
        <w:t>he data presented here</w:t>
      </w:r>
      <w:r w:rsidR="00701FB5" w:rsidRPr="002D6EC7">
        <w:t xml:space="preserve"> show that changes in urinary excretion of SREM</w:t>
      </w:r>
      <w:r w:rsidR="00701FB5" w:rsidRPr="002D6EC7">
        <w:rPr>
          <w:vertAlign w:val="subscript"/>
        </w:rPr>
        <w:t>B</w:t>
      </w:r>
      <w:r w:rsidR="00701FB5" w:rsidRPr="002D6EC7">
        <w:t xml:space="preserve"> reflect changes in dietary intake of (</w:t>
      </w:r>
      <w:proofErr w:type="gramStart"/>
      <w:r w:rsidR="00701FB5" w:rsidRPr="002D6EC7">
        <w:t>−)</w:t>
      </w:r>
      <w:r w:rsidR="00E33A4E" w:rsidRPr="002D6EC7">
        <w:noBreakHyphen/>
      </w:r>
      <w:proofErr w:type="gramEnd"/>
      <w:r w:rsidR="00701FB5" w:rsidRPr="002D6EC7">
        <w:t>epicatechin consistently and are therefore prognostic of intake.</w:t>
      </w:r>
      <w:r w:rsidR="006E5834" w:rsidRPr="002D6EC7">
        <w:t xml:space="preserve"> </w:t>
      </w:r>
    </w:p>
    <w:p w14:paraId="704DF840" w14:textId="526A90CE" w:rsidR="00501122" w:rsidRPr="002D6EC7" w:rsidRDefault="0008362B" w:rsidP="0008362B">
      <w:pPr>
        <w:pStyle w:val="Heading2"/>
      </w:pPr>
      <w:r w:rsidRPr="002D6EC7">
        <w:t>Suitability of SREM</w:t>
      </w:r>
      <w:r w:rsidRPr="002D6EC7">
        <w:rPr>
          <w:vertAlign w:val="subscript"/>
        </w:rPr>
        <w:t>B</w:t>
      </w:r>
      <w:r w:rsidRPr="002D6EC7">
        <w:t xml:space="preserve"> as nutritional biomarker of (</w:t>
      </w:r>
      <w:proofErr w:type="gramStart"/>
      <w:r w:rsidRPr="002D6EC7">
        <w:t>−)</w:t>
      </w:r>
      <w:r w:rsidR="006E5834" w:rsidRPr="002D6EC7">
        <w:noBreakHyphen/>
      </w:r>
      <w:proofErr w:type="gramEnd"/>
      <w:r w:rsidRPr="002D6EC7">
        <w:t>epicatechin intake</w:t>
      </w:r>
    </w:p>
    <w:p w14:paraId="7A39917A" w14:textId="5878DF52" w:rsidR="00DF486B" w:rsidRPr="002D6EC7" w:rsidRDefault="006E5834" w:rsidP="00293752">
      <w:pPr>
        <w:pStyle w:val="RdgNormal"/>
        <w:rPr>
          <w:strike/>
        </w:rPr>
      </w:pPr>
      <w:r w:rsidRPr="002D6EC7">
        <w:t>Our results show that 24</w:t>
      </w:r>
      <w:r w:rsidR="00FB7DCD" w:rsidRPr="002D6EC7">
        <w:t xml:space="preserve"> </w:t>
      </w:r>
      <w:r w:rsidRPr="002D6EC7">
        <w:t>h urinary SREM</w:t>
      </w:r>
      <w:r w:rsidRPr="002D6EC7">
        <w:rPr>
          <w:vertAlign w:val="subscript"/>
        </w:rPr>
        <w:t>B</w:t>
      </w:r>
      <w:r w:rsidRPr="002D6EC7">
        <w:t xml:space="preserve"> excretion meets the criteria set to evaluate candidate nutritional biomarker</w:t>
      </w:r>
      <w:r w:rsidR="002B6B41" w:rsidRPr="002D6EC7">
        <w:t>s</w:t>
      </w:r>
      <w:r w:rsidR="00771854" w:rsidRPr="002D6EC7">
        <w:t xml:space="preserve">. </w:t>
      </w:r>
      <w:r w:rsidR="00A42A7D" w:rsidRPr="002D6EC7">
        <w:t>Furthermore and according to the criterion for biomarker evaluation used previously by the NPAAS-FS (R</w:t>
      </w:r>
      <w:r w:rsidR="00A42A7D" w:rsidRPr="002D6EC7">
        <w:rPr>
          <w:vertAlign w:val="superscript"/>
        </w:rPr>
        <w:t>2</w:t>
      </w:r>
      <w:r w:rsidR="00A42A7D" w:rsidRPr="002D6EC7">
        <w:t xml:space="preserve"> ≥ 0.36) </w:t>
      </w:r>
      <w:r w:rsidR="00CE24FC" w:rsidRPr="002D6EC7">
        <w:rPr>
          <w:lang w:val="en-US" w:eastAsia="en-GB"/>
        </w:rPr>
        <w:fldChar w:fldCharType="begin"/>
      </w:r>
      <w:r w:rsidR="002D6EC7" w:rsidRPr="002D6EC7">
        <w:rPr>
          <w:lang w:val="en-US" w:eastAsia="en-GB"/>
        </w:rPr>
        <w:instrText xml:space="preserve"> ADDIN PAPERS2_CITATIONS &lt;citation&gt;&lt;priority&gt;39&lt;/priority&gt;&lt;uuid&gt;9C4CCAD5-7A51-4C25-86FD-2184DE74C2A2&lt;/uuid&gt;&lt;publications&gt;&lt;publication&gt;&lt;subtype&gt;400&lt;/subtype&gt;&lt;title&gt;Dietary biomarker evaluation in a controlled feeding study in women from the Women's Health Initiative cohort.&lt;/title&gt;&lt;url&gt;http://eutils.ncbi.nlm.nih.gov/entrez/eutils/elink.fcgi?dbfrom=pubmed&amp;amp;id=28031191&amp;amp;retmode=ref&amp;amp;cmd=prlinks&lt;/url&gt;&lt;volume&gt;105&lt;/volume&gt;&lt;publication_date&gt;99201702001200000000220000&lt;/publication_date&gt;&lt;uuid&gt;8AD4E06A-88F7-48D5-B9FD-CC3530A44975&lt;/uuid&gt;&lt;type&gt;400&lt;/type&gt;&lt;accepted_date&gt;99201611221200000000222000&lt;/accepted_date&gt;&lt;number&gt;2&lt;/number&gt;&lt;citekey&gt;Lampe:2017gm&lt;/citekey&gt;&lt;submission_date&gt;99201609011200000000222000&lt;/submission_date&gt;&lt;doi&gt;10.3945/ajcn.116.144840&lt;/doi&gt;&lt;institution&gt;Division of Public Health Sciences, Fred Hutchinson Cancer Research Center, Seattle, WA; jlampe@fredhutch.org.&lt;/institution&gt;&lt;startpage&gt;466&lt;/startpage&gt;&lt;endpage&gt;475&lt;/endpage&gt;&lt;bundle&gt;&lt;publication&gt;&lt;title&gt;The American journal of clinical nutrition&lt;/title&gt;&lt;uuid&gt;E4A68C8D-0654-4E33-8D3C-2CD7DF6B341B&lt;/uuid&gt;&lt;subtype&gt;-100&lt;/subtype&gt;&lt;type&gt;-100&lt;/type&gt;&lt;/publication&gt;&lt;/bundle&gt;&lt;authors&gt;&lt;author&gt;&lt;lastName&gt;Lampe&lt;/lastName&gt;&lt;firstName&gt;Johanna&lt;/firstName&gt;&lt;middleNames&gt;W&lt;/middleNames&gt;&lt;/author&gt;&lt;author&gt;&lt;lastName&gt;Huang&lt;/lastName&gt;&lt;firstName&gt;Ying&lt;/firstName&gt;&lt;/author&gt;&lt;author&gt;&lt;lastName&gt;Neuhouser&lt;/lastName&gt;&lt;firstName&gt;Marian&lt;/firstName&gt;&lt;middleNames&gt;L&lt;/middleNames&gt;&lt;/author&gt;&lt;author&gt;&lt;lastName&gt;Tinker&lt;/lastName&gt;&lt;firstName&gt;Lesley&lt;/firstName&gt;&lt;middleNames&gt;F&lt;/middleNames&gt;&lt;/author&gt;&lt;author&gt;&lt;lastName&gt;Song&lt;/lastName&gt;&lt;firstName&gt;Xiaoling&lt;/firstName&gt;&lt;/author&gt;&lt;author&gt;&lt;lastName&gt;Schoeller&lt;/lastName&gt;&lt;firstName&gt;Dale&lt;/firstName&gt;&lt;middleNames&gt;A&lt;/middleNames&gt;&lt;/author&gt;&lt;author&gt;&lt;lastName&gt;Kim&lt;/lastName&gt;&lt;firstName&gt;Soyoung&lt;/firstName&gt;&lt;/author&gt;&lt;author&gt;&lt;lastName&gt;Raftery&lt;/lastName&gt;&lt;firstName&gt;Daniel&lt;/firstName&gt;&lt;/author&gt;&lt;author&gt;&lt;lastName&gt;Di&lt;/lastName&gt;&lt;firstName&gt;Chongzhi&lt;/firstName&gt;&lt;/author&gt;&lt;author&gt;&lt;lastName&gt;Zheng&lt;/lastName&gt;&lt;firstName&gt;Cheng&lt;/firstName&gt;&lt;/author&gt;&lt;author&gt;&lt;lastName&gt;Schwarz&lt;/lastName&gt;&lt;firstName&gt;Yvonne&lt;/firstName&gt;&lt;/author&gt;&lt;author&gt;&lt;lastName&gt;Horn&lt;/lastName&gt;&lt;nonDroppingParticle&gt;Van&lt;/nonDroppingParticle&gt;&lt;firstName&gt;Linda&lt;/firstName&gt;&lt;/author&gt;&lt;author&gt;&lt;lastName&gt;Thomson&lt;/lastName&gt;&lt;firstName&gt;Cynthia&lt;/firstName&gt;&lt;middleNames&gt;A&lt;/middleNames&gt;&lt;/author&gt;&lt;author&gt;&lt;lastName&gt;Mossavar-Rahmani&lt;/lastName&gt;&lt;firstName&gt;Yasmin&lt;/firstName&gt;&lt;/author&gt;&lt;author&gt;&lt;lastName&gt;Beresford&lt;/lastName&gt;&lt;firstName&gt;Shirley&lt;/firstName&gt;&lt;middleNames&gt;AA&lt;/middleNames&gt;&lt;/author&gt;&lt;author&gt;&lt;lastName&gt;Prentice&lt;/lastName&gt;&lt;firstName&gt;Ross&lt;/firstName&gt;&lt;middleNames&gt;L&lt;/middleNames&gt;&lt;/author&gt;&lt;/authors&gt;&lt;/publication&gt;&lt;publication&gt;&lt;subtype&gt;400&lt;/subtype&gt;&lt;title&gt;Serum nitrogen and carbon stable isotope ratios meet biomarker criteria for fish and animal protein intake in a controlled feeding study of a Women’s Health Initiative cohort&lt;/title&gt;&lt;publication_date&gt;99201800001200000000200000&lt;/publication_date&gt;&lt;uuid&gt;5634051F-D714-4275-979D-749B8C156EE7&lt;/uuid&gt;&lt;type&gt;400&lt;/type&gt;&lt;accepted_date&gt;99201800001200000000200000&lt;/accepted_date&gt;&lt;citekey&gt;Yun:2018tr&lt;/citekey&gt;&lt;bundle&gt;&lt;publication&gt;&lt;title&gt;Journal of Nutrition&lt;/title&gt;&lt;uuid&gt;9B217033-D8AD-4018-8F08-04E6395D7788&lt;/uuid&gt;&lt;subtype&gt;-100&lt;/subtype&gt;&lt;type&gt;-100&lt;/type&gt;&lt;/publication&gt;&lt;/bundle&gt;&lt;authors&gt;&lt;author&gt;&lt;lastName&gt;Yun&lt;/lastName&gt;&lt;firstName&gt;Hee&lt;/firstName&gt;&lt;middleNames&gt;Young&lt;/middleNames&gt;&lt;/author&gt;&lt;author&gt;&lt;lastName&gt;Lampe&lt;/lastName&gt;&lt;firstName&gt;Johanna&lt;/firstName&gt;&lt;middleNames&gt;W&lt;/middleNames&gt;&lt;/author&gt;&lt;author&gt;&lt;lastName&gt;Tinker&lt;/lastName&gt;&lt;firstName&gt;Lesley&lt;/firstName&gt;&lt;middleNames&gt;F&lt;/middleNames&gt;&lt;/author&gt;&lt;author&gt;&lt;lastName&gt;Neuhouser&lt;/lastName&gt;&lt;firstName&gt;Marian&lt;/firstName&gt;&lt;middleNames&gt;L&lt;/middleNames&gt;&lt;/author&gt;&lt;author&gt;&lt;lastName&gt;Beresford&lt;/lastName&gt;&lt;firstName&gt;Shirley&lt;/firstName&gt;&lt;middleNames&gt;A A&lt;/middleNames&gt;&lt;/author&gt;&lt;author&gt;&lt;lastName&gt;Niles&lt;/lastName&gt;&lt;firstName&gt;Kristine&lt;/firstName&gt;&lt;middleNames&gt;R&lt;/middleNames&gt;&lt;/author&gt;&lt;author&gt;&lt;lastName&gt;Mossavar-Rahmani&lt;/lastName&gt;&lt;firstName&gt;Yasmin&lt;/firstName&gt;&lt;/author&gt;&lt;author&gt;&lt;lastName&gt;Snetselaar&lt;/lastName&gt;&lt;firstName&gt;Linda&lt;/firstName&gt;&lt;middleNames&gt;G&lt;/middleNames&gt;&lt;/author&gt;&lt;author&gt;&lt;lastName&gt;Horn&lt;/lastName&gt;&lt;firstName&gt;Linda&lt;/firstName&gt;&lt;middleNames&gt;Van&lt;/middleNames&gt;&lt;/author&gt;&lt;author&gt;&lt;lastName&gt;Prentice&lt;/lastName&gt;&lt;firstName&gt;Ross&lt;/firstName&gt;&lt;middleNames&gt;L&lt;/middleNames&gt;&lt;/author&gt;&lt;author&gt;&lt;lastName&gt;O'Brien&lt;/lastName&gt;&lt;firstName&gt;Diane&lt;/firstName&gt;&lt;middleNames&gt;M&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30,31</w:t>
      </w:r>
      <w:r w:rsidR="00CE24FC" w:rsidRPr="002D6EC7">
        <w:rPr>
          <w:lang w:val="en-US" w:eastAsia="en-GB"/>
        </w:rPr>
        <w:fldChar w:fldCharType="end"/>
      </w:r>
      <w:r w:rsidR="00A42A7D" w:rsidRPr="002D6EC7">
        <w:t>, t</w:t>
      </w:r>
      <w:r w:rsidRPr="002D6EC7">
        <w:t>he data also suggest that 24</w:t>
      </w:r>
      <w:r w:rsidR="00FB7DCD" w:rsidRPr="002D6EC7">
        <w:t xml:space="preserve"> </w:t>
      </w:r>
      <w:r w:rsidRPr="002D6EC7">
        <w:t>h excretion of SREM</w:t>
      </w:r>
      <w:r w:rsidRPr="002D6EC7">
        <w:rPr>
          <w:vertAlign w:val="subscript"/>
        </w:rPr>
        <w:t>B</w:t>
      </w:r>
      <w:r w:rsidRPr="002D6EC7">
        <w:t xml:space="preserve"> can be used as recovery biomarker of (−)</w:t>
      </w:r>
      <w:r w:rsidRPr="002D6EC7">
        <w:noBreakHyphen/>
        <w:t>epicatechin and therefore used to estimate actual (−)</w:t>
      </w:r>
      <w:r w:rsidRPr="002D6EC7">
        <w:noBreakHyphen/>
        <w:t xml:space="preserve">epicatechin intake. </w:t>
      </w:r>
      <w:r w:rsidR="00AF203B" w:rsidRPr="002D6EC7">
        <w:t>The correlation between intake and biomarker is &gt;0.8 and therefore meets the criteria commonly used for re</w:t>
      </w:r>
      <w:r w:rsidRPr="002D6EC7">
        <w:t xml:space="preserve">covery biomarkers </w:t>
      </w:r>
      <w:r w:rsidR="00CE24FC" w:rsidRPr="002D6EC7">
        <w:rPr>
          <w:lang w:val="en-US" w:eastAsia="en-GB"/>
        </w:rPr>
        <w:fldChar w:fldCharType="begin"/>
      </w:r>
      <w:r w:rsidR="002D6EC7" w:rsidRPr="002D6EC7">
        <w:rPr>
          <w:lang w:val="en-US" w:eastAsia="en-GB"/>
        </w:rPr>
        <w:instrText xml:space="preserve"> ADDIN PAPERS2_CITATIONS &lt;citation&gt;&lt;priority&gt;40&lt;/priority&gt;&lt;uuid&gt;F56EA31D-3B6F-4C95-B537-0AB03EFC9445&lt;/uuid&gt;&lt;publications&gt;&lt;publication&gt;&lt;subtype&gt;400&lt;/subtype&gt;&lt;location&gt;&amp;lt;html&amp;gt;&amp;lt;head&amp;gt;&amp;lt;meta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Home&amp;lt;/a&amp;gt;&amp;lt;/div&amp;gt;&amp;lt;/body&amp;gt;&amp;lt;/html&amp;gt;&lt;/location&gt;&lt;title&gt;Biomarkers in nutritional epidemiology: applications, needs and new horizons&lt;/title&gt;&lt;url&gt;http://www.ncbi.nlm.nih.gov/entrez/query.fcgi?db=pubmed&amp;amp;amp&lt;/url&gt;&lt;volume&gt;125&lt;/volume&gt;&lt;publication_date&gt;99200907011200000000222000&lt;/publication_date&gt;&lt;uuid&gt;CC43BD6D-23D7-45DD-82A3-F22F7E6872C9&lt;/uuid&gt;&lt;type&gt;400&lt;/type&gt;&lt;number&gt;5-6&lt;/number&gt;&lt;citekey&gt;Jenab:2009ty&lt;/citekey&gt;&lt;subtitle&gt;Human Genetics&lt;/subtitle&gt;&lt;institution&gt;Lifestyle, Environment and Cancer Group, International Agency for Research on Cancer (IARC-WHO), Lyon, France. jenab@iarc.fr&lt;/institution&gt;&lt;startpage&gt;507&lt;/startpage&gt;&lt;endpage&gt;525&lt;/endpage&gt;&lt;bundle&gt;&lt;publication&gt;&lt;title&gt;Human genetics&lt;/title&gt;&lt;uuid&gt;A737A8C6-AEDF-4B6B-AA20-77F20C9CBF1B&lt;/uuid&gt;&lt;subtype&gt;-100&lt;/subtype&gt;&lt;type&gt;-100&lt;/type&gt;&lt;/publication&gt;&lt;/bundle&gt;&lt;authors&gt;&lt;author&gt;&lt;lastName&gt;Jenab&lt;/lastName&gt;&lt;firstName&gt;Mazda&lt;/firstName&gt;&lt;/author&gt;&lt;author&gt;&lt;lastName&gt;Slimani&lt;/lastName&gt;&lt;firstName&gt;Nadia&lt;/firstName&gt;&lt;/author&gt;&lt;author&gt;&lt;lastName&gt;Bictash&lt;/lastName&gt;&lt;firstName&gt;M&lt;/firstName&gt;&lt;/author&gt;&lt;author&gt;&lt;lastName&gt;Ferrari&lt;/lastName&gt;&lt;firstName&gt;Pietro&lt;/firstName&gt;&lt;/author&gt;&lt;author&gt;&lt;lastName&gt;Bingham&lt;/lastName&gt;&lt;firstName&gt;Shelia&lt;/firstName&gt;&lt;middleNames&gt;A&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5</w:t>
      </w:r>
      <w:r w:rsidR="00CE24FC" w:rsidRPr="002D6EC7">
        <w:rPr>
          <w:lang w:val="en-US" w:eastAsia="en-GB"/>
        </w:rPr>
        <w:fldChar w:fldCharType="end"/>
      </w:r>
      <w:r w:rsidR="00AF203B" w:rsidRPr="002D6EC7">
        <w:t xml:space="preserve">. Furthermore, </w:t>
      </w:r>
      <w:r w:rsidR="00293752" w:rsidRPr="002D6EC7">
        <w:t xml:space="preserve">the data available from this and previous studies, in particular the pharmacokinetic data </w:t>
      </w:r>
      <w:r w:rsidR="00CE24FC" w:rsidRPr="002D6EC7">
        <w:rPr>
          <w:lang w:val="en-US" w:eastAsia="en-GB"/>
        </w:rPr>
        <w:fldChar w:fldCharType="begin"/>
      </w:r>
      <w:r w:rsidR="002D6EC7" w:rsidRPr="002D6EC7">
        <w:rPr>
          <w:lang w:val="en-US" w:eastAsia="en-GB"/>
        </w:rPr>
        <w:instrText xml:space="preserve"> ADDIN PAPERS2_CITATIONS &lt;citation&gt;&lt;priority&gt;41&lt;/priority&gt;&lt;uuid&gt;CEC8B178-F859-40CA-BBD1-9575BD45841C&lt;/uuid&gt;&lt;publications&gt;&lt;publication&gt;&lt;subtype&gt;400&lt;/subtype&gt;&lt;publisher&gt;Nature Publishing Group&lt;/publisher&gt;&lt;title&gt;The metabolome of [2-14C](−)-epicatechin in humans: implications for the assessment of efficacy, safety, and mechanisms of action of polyphenolic bioactives&lt;/title&gt;&lt;url&gt;http://dx.doi.org/10.1038/srep29034&lt;/url&gt;&lt;volume&gt;6&lt;/volume&gt;&lt;publication_date&gt;99201606301200000000222000&lt;/publication_date&gt;&lt;uuid&gt;718CA7C0-F1D4-490E-AB6C-5CF461B84152&lt;/uuid&gt;&lt;type&gt;400&lt;/type&gt;&lt;citekey&gt;Ottaviani:2016fk&lt;/citekey&gt;&lt;doi&gt;10.1038/srep29034&lt;/doi&gt;&lt;startpage&gt;1&lt;/startpage&gt;&lt;endpage&gt;10&lt;/end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Borges&lt;/lastName&gt;&lt;firstName&gt;Gina&lt;/firstName&gt;&lt;/author&gt;&lt;author&gt;&lt;lastName&gt;Momma&lt;/lastName&gt;&lt;firstName&gt;Tony&lt;/firstName&gt;&lt;middleNames&gt;Y&lt;/middleNames&gt;&lt;/author&gt;&lt;author&gt;&lt;lastName&gt;Spencer&lt;/lastName&gt;&lt;firstName&gt;Jeremy&lt;/firstName&gt;&lt;middleNames&gt;P E&lt;/middleNames&gt;&lt;/author&gt;&lt;author&gt;&lt;lastName&gt;Keen&lt;/lastName&gt;&lt;firstName&gt;Carl&lt;/firstName&gt;&lt;middleNames&gt;L&lt;/middleNames&gt;&lt;/author&gt;&lt;author&gt;&lt;lastName&gt;Crozier&lt;/lastName&gt;&lt;firstName&gt;Alan&lt;/firstName&gt;&lt;/author&gt;&lt;author&gt;&lt;lastName&gt;Schroeter&lt;/lastName&gt;&lt;firstName&gt;Hagen&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32</w:t>
      </w:r>
      <w:r w:rsidR="00CE24FC" w:rsidRPr="002D6EC7">
        <w:rPr>
          <w:lang w:val="en-US" w:eastAsia="en-GB"/>
        </w:rPr>
        <w:fldChar w:fldCharType="end"/>
      </w:r>
      <w:r w:rsidR="00672A31" w:rsidRPr="002D6EC7">
        <w:t>,</w:t>
      </w:r>
      <w:r w:rsidR="00293752" w:rsidRPr="002D6EC7">
        <w:t xml:space="preserve"> provide</w:t>
      </w:r>
      <w:r w:rsidR="00AF203B" w:rsidRPr="002D6EC7">
        <w:t xml:space="preserve"> precise and quantitative knowledge of the physiological balance between intake and output </w:t>
      </w:r>
      <w:r w:rsidR="00293752" w:rsidRPr="002D6EC7">
        <w:t xml:space="preserve">which is required for recovery biomarkers </w:t>
      </w:r>
      <w:r w:rsidR="00CE24FC" w:rsidRPr="002D6EC7">
        <w:rPr>
          <w:lang w:val="en-US" w:eastAsia="en-GB"/>
        </w:rPr>
        <w:fldChar w:fldCharType="begin"/>
      </w:r>
      <w:r w:rsidR="002D6EC7" w:rsidRPr="002D6EC7">
        <w:rPr>
          <w:lang w:val="en-US" w:eastAsia="en-GB"/>
        </w:rPr>
        <w:instrText xml:space="preserve"> ADDIN PAPERS2_CITATIONS &lt;citation&gt;&lt;priority&gt;42&lt;/priority&gt;&lt;uuid&gt;36CA6691-2879-4504-A8D3-B0E48AF1F546&lt;/uuid&gt;&lt;publications&gt;&lt;publication&gt;&lt;subtype&gt;400&lt;/subtype&gt;&lt;title&gt;Uses and limitations of statistical accounting for random error correlations, in the validation of dietary questionnaire assessments.&lt;/title&gt;&lt;url&gt;http://eutils.ncbi.nlm.nih.gov/entrez/eutils/elink.fcgi?dbfrom=pubmed&amp;amp;id=12638598&amp;amp;retmode=ref&amp;amp;cmd=prlinks&lt;/url&gt;&lt;volume&gt;5&lt;/volume&gt;&lt;publication_date&gt;99200212001200000000220000&lt;/publication_date&gt;&lt;uuid&gt;C46699BB-6677-4320-97B6-7443CB84CED8&lt;/uuid&gt;&lt;type&gt;400&lt;/type&gt;&lt;number&gt;6A&lt;/number&gt;&lt;citekey&gt;Kaaks:2002uc&lt;/citekey&gt;&lt;institution&gt;International Agency for Research on Cancer, 150 cours Albert Thomas, 69372 Lyon Cedex 08, France. kaaks@iarc.fr&lt;/institution&gt;&lt;startpage&gt;969&lt;/startpage&gt;&lt;endpage&gt;976&lt;/endpage&gt;&lt;bundle&gt;&lt;publication&gt;&lt;title&gt;Public Health Nutrition&lt;/title&gt;&lt;uuid&gt;1221818B-391B-4354-B000-8D4AA2979E7E&lt;/uuid&gt;&lt;subtype&gt;-100&lt;/subtype&gt;&lt;type&gt;-100&lt;/type&gt;&lt;/publication&gt;&lt;/bundle&gt;&lt;authors&gt;&lt;author&gt;&lt;lastName&gt;Kaaks&lt;/lastName&gt;&lt;firstName&gt;Rudolf&lt;/firstName&gt;&lt;/author&gt;&lt;author&gt;&lt;lastName&gt;Ferrari&lt;/lastName&gt;&lt;firstName&gt;Pietro&lt;/firstName&gt;&lt;/author&gt;&lt;author&gt;&lt;lastName&gt;Ciampi&lt;/lastName&gt;&lt;firstName&gt;Antonio&lt;/firstName&gt;&lt;/author&gt;&lt;author&gt;&lt;lastName&gt;Plummer&lt;/lastName&gt;&lt;firstName&gt;Martyn&lt;/firstName&gt;&lt;/author&gt;&lt;author&gt;&lt;lastName&gt;Riboli&lt;/lastName&gt;&lt;firstName&gt;Elio&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33</w:t>
      </w:r>
      <w:r w:rsidR="00CE24FC" w:rsidRPr="002D6EC7">
        <w:rPr>
          <w:lang w:val="en-US" w:eastAsia="en-GB"/>
        </w:rPr>
        <w:fldChar w:fldCharType="end"/>
      </w:r>
      <w:r w:rsidR="00293752" w:rsidRPr="002D6EC7">
        <w:t xml:space="preserve">. In comparison with urinary nitrogen as biomarker of dietary protein intake, one of the best </w:t>
      </w:r>
      <w:r w:rsidR="0019275C" w:rsidRPr="002D6EC7">
        <w:t xml:space="preserve">characterized </w:t>
      </w:r>
      <w:r w:rsidR="00293752" w:rsidRPr="002D6EC7">
        <w:t xml:space="preserve">recovery biomarkers, the correlations between intake and biomarker are comparable (0.8 – 0.9 for nitrogen </w:t>
      </w:r>
      <w:r w:rsidR="00574A35" w:rsidRPr="002D6EC7">
        <w:t xml:space="preserve">as a biomarker of dietary protein </w:t>
      </w:r>
      <w:r w:rsidR="00CE24FC" w:rsidRPr="002D6EC7">
        <w:rPr>
          <w:lang w:val="en-US" w:eastAsia="en-GB"/>
        </w:rPr>
        <w:fldChar w:fldCharType="begin"/>
      </w:r>
      <w:r w:rsidR="002D6EC7" w:rsidRPr="002D6EC7">
        <w:rPr>
          <w:lang w:val="en-US" w:eastAsia="en-GB"/>
        </w:rPr>
        <w:instrText xml:space="preserve"> ADDIN PAPERS2_CITATIONS &lt;citation&gt;&lt;priority&gt;43&lt;/priority&gt;&lt;uuid&gt;D72798D2-9725-4138-A1A3-2A34AD178ED2&lt;/uuid&gt;&lt;publications&gt;&lt;publication&gt;&lt;subtype&gt;400&lt;/subtype&gt;&lt;location&gt;&amp;lt;html&amp;gt;&amp;lt;head&amp;gt;&amp;lt;meta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Home&amp;lt;/a&amp;gt;&amp;lt;/div&amp;gt;&amp;lt;/body&amp;gt;&amp;lt;/html&amp;gt;&lt;/location&gt;&lt;title&gt;Validation of weighed records and other methods of dietary assessment using the 24 h urine nitrogen technique and other biological markers.&lt;/title&gt;&lt;url&gt;http://eutils.ncbi.nlm.nih.gov/entrez/eutils/elink.fcgi?dbfrom=pubmed&amp;amp;id=7794870&amp;amp;retmode=ref&amp;amp;cmd=prlinks&lt;/url&gt;&lt;volume&gt;73&lt;/volume&gt;&lt;publication_date&gt;99199504001200000000220000&lt;/publication_date&gt;&lt;uuid&gt;FCCA08D0-93A3-462F-838E-FB7F0120C398&lt;/uuid&gt;&lt;type&gt;400&lt;/type&gt;&lt;number&gt;4&lt;/number&gt;&lt;citekey&gt;Bingham:1995vy&lt;/citekey&gt;&lt;institution&gt;MRC Dunn Clinical Nutrition Centre, Cambridge.&lt;/institution&gt;&lt;startpage&gt;531&lt;/startpage&gt;&lt;endpage&gt;550&lt;/endpage&gt;&lt;bundle&gt;&lt;publication&gt;&lt;title&gt;The British journal of nutrition&lt;/title&gt;&lt;uuid&gt;FA1558D5-95C2-4C15-A13E-7B1DBF8FDAF4&lt;/uuid&gt;&lt;subtype&gt;-100&lt;/subtype&gt;&lt;publisher&gt;Cambridge Journals Online&lt;/publisher&gt;&lt;type&gt;-100&lt;/type&gt;&lt;/publication&gt;&lt;/bundle&gt;&lt;authors&gt;&lt;author&gt;&lt;lastName&gt;Bingham&lt;/lastName&gt;&lt;firstName&gt;Shelia&lt;/firstName&gt;&lt;middleNames&gt;A&lt;/middleNames&gt;&lt;/author&gt;&lt;author&gt;&lt;lastName&gt;Cassidy&lt;/lastName&gt;&lt;firstName&gt;Aedin&lt;/firstName&gt;&lt;/author&gt;&lt;author&gt;&lt;lastName&gt;Cole&lt;/lastName&gt;&lt;firstName&gt;T&lt;/firstName&gt;&lt;middleNames&gt;J&lt;/middleNames&gt;&lt;/author&gt;&lt;author&gt;&lt;lastName&gt;Welch&lt;/lastName&gt;&lt;firstName&gt;Ailsa&lt;/firstName&gt;&lt;middleNames&gt;A&lt;/middleNames&gt;&lt;/author&gt;&lt;author&gt;&lt;lastName&gt;Runswick&lt;/lastName&gt;&lt;firstName&gt;Shirley&lt;/firstName&gt;&lt;middleNames&gt;A&lt;/middleNames&gt;&lt;/author&gt;&lt;author&gt;&lt;lastName&gt;Black&lt;/lastName&gt;&lt;firstName&gt;A&lt;/firstName&gt;&lt;middleNames&gt;E&lt;/middleNames&gt;&lt;/author&gt;&lt;author&gt;&lt;lastName&gt;Thurnham&lt;/lastName&gt;&lt;firstName&gt;D&lt;/firstName&gt;&lt;/author&gt;&lt;author&gt;&lt;lastName&gt;Bates&lt;/lastName&gt;&lt;firstName&gt;C&lt;/firstName&gt;&lt;/author&gt;&lt;author&gt;&lt;lastName&gt;Khaw&lt;/lastName&gt;&lt;firstName&gt;Kay-Tee&lt;/firstName&gt;&lt;/author&gt;&lt;author&gt;&lt;lastName&gt;Key&lt;/lastName&gt;&lt;firstName&gt;Timothy&lt;/firstName&gt;&lt;middleNames&gt;J A&lt;/middleNames&gt;&lt;/author&gt;&lt;/authors&gt;&lt;/publication&gt;&lt;/publications&gt;&lt;cites&gt;&lt;/cites&gt;&lt;/citation&gt;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34</w:t>
      </w:r>
      <w:r w:rsidR="00CE24FC" w:rsidRPr="002D6EC7">
        <w:rPr>
          <w:lang w:val="en-US" w:eastAsia="en-GB"/>
        </w:rPr>
        <w:fldChar w:fldCharType="end"/>
      </w:r>
      <w:r w:rsidR="00293752" w:rsidRPr="002D6EC7">
        <w:t>, 0.9 for urinary SREM</w:t>
      </w:r>
      <w:r w:rsidR="00293752" w:rsidRPr="002D6EC7">
        <w:rPr>
          <w:vertAlign w:val="subscript"/>
        </w:rPr>
        <w:t>B</w:t>
      </w:r>
      <w:r w:rsidR="00574A35" w:rsidRPr="002D6EC7">
        <w:rPr>
          <w:vertAlign w:val="subscript"/>
        </w:rPr>
        <w:t xml:space="preserve"> </w:t>
      </w:r>
      <w:r w:rsidR="00574A35" w:rsidRPr="002D6EC7">
        <w:t>as biomarker</w:t>
      </w:r>
      <w:r w:rsidR="00574A35" w:rsidRPr="002D6EC7">
        <w:rPr>
          <w:vertAlign w:val="subscript"/>
        </w:rPr>
        <w:t xml:space="preserve"> </w:t>
      </w:r>
      <w:r w:rsidR="00574A35" w:rsidRPr="002D6EC7">
        <w:t>of epicatechin intake</w:t>
      </w:r>
      <w:r w:rsidR="00293752" w:rsidRPr="002D6EC7">
        <w:t>). Although the recovery of (−)</w:t>
      </w:r>
      <w:r w:rsidR="00293752" w:rsidRPr="002D6EC7">
        <w:noBreakHyphen/>
        <w:t>epicatechin as urinary SREM</w:t>
      </w:r>
      <w:r w:rsidR="00293752" w:rsidRPr="002D6EC7">
        <w:rPr>
          <w:vertAlign w:val="subscript"/>
        </w:rPr>
        <w:t>B</w:t>
      </w:r>
      <w:r w:rsidR="00293752" w:rsidRPr="002D6EC7">
        <w:t xml:space="preserve"> (10% ± 1%) was lower than the recovery of dietary nitrogen in urine (91% ± 1%, </w:t>
      </w:r>
      <w:r w:rsidR="00CE24FC" w:rsidRPr="002D6EC7">
        <w:rPr>
          <w:lang w:val="en-US" w:eastAsia="en-GB"/>
        </w:rPr>
        <w:fldChar w:fldCharType="begin"/>
      </w:r>
      <w:r w:rsidR="002D6EC7" w:rsidRPr="002D6EC7">
        <w:rPr>
          <w:lang w:val="en-US" w:eastAsia="en-GB"/>
        </w:rPr>
        <w:instrText xml:space="preserve"> ADDIN PAPERS2_CITATIONS &lt;citation&gt;&lt;priority&gt;44&lt;/priority&gt;&lt;uuid&gt;FE5C819A-F3AB-47A5-B323-58F0641ACFBB&lt;/uuid&gt;&lt;publications&gt;&lt;publication&gt;&lt;subtype&gt;400&lt;/subtype&gt;&lt;location&gt;&amp;lt;html&amp;gt;&amp;lt;head&amp;gt;&amp;lt;meta http-equiv="content-type" content="text/html; charset=utf-8"/&amp;gt;&amp;lt;title&amp;gt;Sorry...&amp;lt;/title&amp;gt;&amp;lt;style&amp;gt; body { font-family: verdana, arial, sans-serif; background-color: #fff; color: #000; }&amp;lt;/style&amp;gt;&amp;lt;/head&amp;gt;&amp;lt;body&amp;gt;&amp;lt;div&amp;gt;&amp;lt;table&amp;gt;&amp;lt;tr&amp;gt;&amp;lt;td&amp;gt;&amp;lt;b&amp;gt;&amp;lt;font face=times color=#0039b6 size=10&amp;gt;G&amp;lt;/font&amp;gt;&amp;lt;font face=times color=#c41200 size=10&amp;gt;o&amp;lt;/font&amp;gt;&amp;lt;font face=times color=#f3c518 size=10&amp;gt;o&amp;lt;/font&amp;gt;&amp;lt;font face=times color=#0039b6 size=10&amp;gt;g&amp;lt;/font&amp;gt;&amp;lt;font face=times color=#30a72f size=10&amp;gt;l&amp;lt;/font&amp;gt;&amp;lt;font face=times color=#c41200 size=10&amp;gt;e&amp;lt;/font&amp;gt;&amp;lt;/b&amp;gt;&amp;lt;/td&amp;gt;&amp;lt;td style="text-align: left; vertical-align: bottom; padding-bottom: 15px; width: 50%"&amp;gt;&amp;lt;div style="border-bottom: 1px solid #dfdfdf;"&amp;gt;Sorry...&amp;lt;/div&amp;gt;&amp;lt;/td&amp;gt;&amp;lt;/tr&amp;gt;&amp;lt;/table&amp;gt;&amp;lt;/div&amp;gt;&amp;lt;div style="margin-left: 4em;"&amp;gt;&amp;lt;h1&amp;gt;We're sorry...&amp;lt;/h1&amp;gt;&amp;lt;p&amp;gt;... but your computer or network may be sending automated queries. To protect our users, we can't process your request right now.&amp;lt;/p&amp;gt;&amp;lt;/div&amp;gt;&amp;lt;div style="margin-left: 4em;"&amp;gt;See &amp;lt;a href="https://support.google.com/websearch/answer/86640"&amp;gt;Google Help&amp;lt;/a&amp;gt; for more information.&amp;lt;br/&amp;gt;&amp;lt;br/&amp;gt;&amp;lt;/div&amp;gt;&amp;lt;div style="text-align: center; border-top: 1px solid #dfdfdf;"&amp;gt;&amp;amp;copy; 2013 Google - &amp;lt;a href="https://www.google.com"&amp;gt;Google Home&amp;lt;/a&amp;gt;&amp;lt;/div&amp;gt;&amp;lt;/body&amp;gt;&amp;lt;/html&amp;gt;&lt;/location&gt;&lt;title&gt;Validation of weighed records and other methods of dietary assessment using the 24 h urine nitrogen technique and other biological markers.&lt;/title&gt;&lt;url&gt;http://eutils.ncbi.nlm.nih.gov/entrez/eutils/elink.fcgi?dbfrom=pubmed&amp;amp;id=7794870&amp;amp;retmode=ref&amp;amp;cmd=prlinks&lt;/url&gt;&lt;volume&gt;73&lt;/volume&gt;&lt;publication_date&gt;99199504001200000000220000&lt;/publication_date&gt;&lt;uuid&gt;FCCA08D0-93A3-462F-838E-FB7F0120C398&lt;/uuid&gt;&lt;type&gt;400&lt;/type&gt;&lt;number&gt;4&lt;/number&gt;&lt;citekey&gt;Bingham:1995vy&lt;/citekey&gt;&lt;institution&gt;MRC Dunn Clinical Nutrition Centre, Cambridge.&lt;/institution&gt;&lt;startpage&gt;531&lt;/startpage&gt;&lt;endpage&gt;550&lt;/endpage&gt;&lt;bundle&gt;&lt;publication&gt;&lt;title&gt;The British journal of nutrition&lt;/title&gt;&lt;uuid&gt;FA1558D5-95C2-4C15-A13E-7B1DBF8FDAF4&lt;/uuid&gt;&lt;subtype&gt;-100&lt;/subtype&gt;&lt;publisher&gt;Cambridge Journals Online&lt;/publisher&gt;&lt;type&gt;-100&lt;/type&gt;&lt;/publication&gt;&lt;/bundle&gt;&lt;authors&gt;&lt;author&gt;&lt;lastName&gt;Bingham&lt;/lastName&gt;&lt;firstName&gt;Shelia&lt;/firstName&gt;&lt;middleNames&gt;A&lt;/middleNames&gt;&lt;/author&gt;&lt;author&gt;&lt;lastName&gt;Cassidy&lt;/lastName&gt;&lt;firstName&gt;Aedin&lt;/firstName&gt;&lt;/author&gt;&lt;author&gt;&lt;lastName&gt;Cole&lt;/lastName&gt;&lt;firstName&gt;T&lt;/firstName&gt;&lt;middleNames&gt;J&lt;/middleNames&gt;&lt;/author&gt;&lt;author&gt;&lt;lastName&gt;Welch&lt;/lastName&gt;&lt;firstName&gt;Ailsa&lt;/firstName&gt;&lt;middleNames&gt;A&lt;/middleNames&gt;&lt;/author&gt;&lt;author&gt;&lt;lastName&gt;Runswick&lt;/lastName&gt;&lt;firstName&gt;Shirley&lt;/firstName&gt;&lt;middleNames&gt;A&lt;/middleNames&gt;&lt;/author&gt;&lt;author&gt;&lt;lastName&gt;Black&lt;/lastName&gt;&lt;firstName&gt;A&lt;/firstName&gt;&lt;middleNames&gt;E&lt;/middleNames&gt;&lt;/author&gt;&lt;author&gt;&lt;lastName&gt;Thurnham&lt;/lastName&gt;&lt;firstName&gt;D&lt;/firstName&gt;&lt;/author&gt;&lt;author&gt;&lt;lastName&gt;Bates&lt;/lastName&gt;&lt;firstName&gt;C&lt;/firstName&gt;&lt;/author&gt;&lt;author&gt;&lt;lastName&gt;Khaw&lt;/lastName&gt;&lt;firstName&gt;Kay-Tee&lt;/firstName&gt;&lt;/author&gt;&lt;author&gt;&lt;lastName&gt;Key&lt;/lastName&gt;&lt;firstName&gt;Timothy&lt;/firstName&gt;&lt;middleNames&gt;J A&lt;/middleNames&gt;&lt;/author&gt;&lt;/authors&gt;&lt;/publication&gt;&lt;/publications&gt;&lt;cites&gt;&lt;/cites&gt;&lt;/citation&gt;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34</w:t>
      </w:r>
      <w:r w:rsidR="00CE24FC" w:rsidRPr="002D6EC7">
        <w:rPr>
          <w:lang w:val="en-US" w:eastAsia="en-GB"/>
        </w:rPr>
        <w:fldChar w:fldCharType="end"/>
      </w:r>
      <w:r w:rsidR="00293752" w:rsidRPr="002D6EC7">
        <w:t>), the variability of recovery was similar and most notably the recovery was neither skewed n</w:t>
      </w:r>
      <w:r w:rsidR="00DF486B" w:rsidRPr="002D6EC7">
        <w:t>or depen</w:t>
      </w:r>
      <w:r w:rsidR="00716E6F" w:rsidRPr="002D6EC7">
        <w:t>den</w:t>
      </w:r>
      <w:r w:rsidR="00574A35" w:rsidRPr="002D6EC7">
        <w:t>t</w:t>
      </w:r>
      <w:r w:rsidR="00DF486B" w:rsidRPr="002D6EC7">
        <w:t xml:space="preserve"> on intake.</w:t>
      </w:r>
      <w:r w:rsidR="00B31240" w:rsidRPr="002D6EC7">
        <w:t xml:space="preserve"> When applying </w:t>
      </w:r>
      <w:r w:rsidR="00B31240" w:rsidRPr="002D6EC7">
        <w:lastRenderedPageBreak/>
        <w:t xml:space="preserve">this biomarker to the 24h urine samples collected in </w:t>
      </w:r>
      <w:r w:rsidR="00B31240" w:rsidRPr="002D6EC7">
        <w:rPr>
          <w:i/>
        </w:rPr>
        <w:t>Challenge</w:t>
      </w:r>
      <w:r w:rsidR="00B31240" w:rsidRPr="002D6EC7">
        <w:t xml:space="preserve">, the estimated intake of </w:t>
      </w:r>
      <w:r w:rsidR="0029297E" w:rsidRPr="002D6EC7">
        <w:t>(</w:t>
      </w:r>
      <w:proofErr w:type="gramStart"/>
      <w:r w:rsidR="0029297E" w:rsidRPr="002D6EC7">
        <w:t>−)</w:t>
      </w:r>
      <w:r w:rsidR="0029297E" w:rsidRPr="002D6EC7">
        <w:noBreakHyphen/>
      </w:r>
      <w:proofErr w:type="gramEnd"/>
      <w:r w:rsidR="0029297E" w:rsidRPr="002D6EC7">
        <w:t xml:space="preserve">epicatechin </w:t>
      </w:r>
      <w:r w:rsidR="007F26A6" w:rsidRPr="002D6EC7">
        <w:t xml:space="preserve">was </w:t>
      </w:r>
      <w:r w:rsidR="00172D34" w:rsidRPr="002D6EC7">
        <w:t>14.0</w:t>
      </w:r>
      <w:r w:rsidR="0029297E" w:rsidRPr="002D6EC7">
        <w:t> </w:t>
      </w:r>
      <w:r w:rsidR="00172D34" w:rsidRPr="002D6EC7">
        <w:t>± 1 mg/d</w:t>
      </w:r>
      <w:r w:rsidR="0029297E" w:rsidRPr="002D6EC7">
        <w:t xml:space="preserve">, </w:t>
      </w:r>
      <w:r w:rsidR="009C4C96" w:rsidRPr="002D6EC7">
        <w:t xml:space="preserve">ranging from </w:t>
      </w:r>
      <w:r w:rsidR="001E250F" w:rsidRPr="002D6EC7">
        <w:t>0</w:t>
      </w:r>
      <w:r w:rsidR="009C4C96" w:rsidRPr="002D6EC7">
        <w:t xml:space="preserve"> to </w:t>
      </w:r>
      <w:r w:rsidR="00172D34" w:rsidRPr="002D6EC7">
        <w:t>58</w:t>
      </w:r>
      <w:r w:rsidR="001E250F" w:rsidRPr="002D6EC7">
        <w:t xml:space="preserve"> mg/d</w:t>
      </w:r>
      <w:r w:rsidR="00771854" w:rsidRPr="002D6EC7">
        <w:t>.</w:t>
      </w:r>
      <w:r w:rsidR="00172D34" w:rsidRPr="002D6EC7">
        <w:t xml:space="preserve"> </w:t>
      </w:r>
    </w:p>
    <w:p w14:paraId="0D8EFA9F" w14:textId="5A52CF57" w:rsidR="0029297E" w:rsidRPr="002D6EC7" w:rsidRDefault="0029297E" w:rsidP="0029297E">
      <w:pPr>
        <w:pStyle w:val="Heading2"/>
      </w:pPr>
      <w:r w:rsidRPr="002D6EC7">
        <w:t xml:space="preserve">Comparison with </w:t>
      </w:r>
      <w:r w:rsidR="00977970" w:rsidRPr="002D6EC7">
        <w:rPr>
          <w:rFonts w:ascii="Symbol" w:hAnsi="Symbol"/>
        </w:rPr>
        <w:t></w:t>
      </w:r>
      <w:r w:rsidR="00977970" w:rsidRPr="002D6EC7">
        <w:t>-valerolactone metabolites (</w:t>
      </w:r>
      <w:proofErr w:type="spellStart"/>
      <w:r w:rsidR="00977970" w:rsidRPr="002D6EC7">
        <w:t>gVLM</w:t>
      </w:r>
      <w:proofErr w:type="spellEnd"/>
      <w:r w:rsidR="00977970" w:rsidRPr="002D6EC7">
        <w:t>)</w:t>
      </w:r>
    </w:p>
    <w:p w14:paraId="22A9C856" w14:textId="3CD52C98" w:rsidR="009445FC" w:rsidRPr="002D6EC7" w:rsidRDefault="0029297E" w:rsidP="00765E87">
      <w:pPr>
        <w:pStyle w:val="RdgNormal"/>
      </w:pPr>
      <w:r w:rsidRPr="002D6EC7">
        <w:t xml:space="preserve">We have previously evaluated </w:t>
      </w:r>
      <w:proofErr w:type="spellStart"/>
      <w:r w:rsidRPr="002D6EC7">
        <w:t>gVLM</w:t>
      </w:r>
      <w:proofErr w:type="spellEnd"/>
      <w:r w:rsidRPr="002D6EC7">
        <w:t xml:space="preserve"> as biomarker of flavan-3-ol intake and shown that</w:t>
      </w:r>
      <w:r w:rsidR="00B9034E" w:rsidRPr="002D6EC7">
        <w:t>,</w:t>
      </w:r>
      <w:r w:rsidRPr="002D6EC7">
        <w:t xml:space="preserve"> due to its plasma half-life of approximately 6</w:t>
      </w:r>
      <w:r w:rsidR="00FB7DCD" w:rsidRPr="002D6EC7">
        <w:t xml:space="preserve"> </w:t>
      </w:r>
      <w:r w:rsidRPr="002D6EC7">
        <w:t xml:space="preserve">h </w:t>
      </w:r>
      <w:r w:rsidR="00CE24FC" w:rsidRPr="002D6EC7">
        <w:rPr>
          <w:lang w:val="en-US" w:eastAsia="en-GB"/>
        </w:rPr>
        <w:fldChar w:fldCharType="begin"/>
      </w:r>
      <w:r w:rsidR="002D6EC7" w:rsidRPr="002D6EC7">
        <w:rPr>
          <w:lang w:val="en-US" w:eastAsia="en-GB"/>
        </w:rPr>
        <w:instrText xml:space="preserve"> ADDIN PAPERS2_CITATIONS &lt;citation&gt;&lt;priority&gt;45&lt;/priority&gt;&lt;uuid&gt;A55B04CE-F814-4DB5-895B-D63646B71F08&lt;/uuid&gt;&lt;publications&gt;&lt;publication&gt;&lt;subtype&gt;400&lt;/subtype&gt;&lt;publisher&gt;Nature Publishing Group&lt;/publisher&gt;&lt;title&gt;The metabolome of [2-14C](−)-epicatechin in humans: implications for the assessment of efficacy, safety, and mechanisms of action of polyphenolic bioactives&lt;/title&gt;&lt;url&gt;http://dx.doi.org/10.1038/srep29034&lt;/url&gt;&lt;volume&gt;6&lt;/volume&gt;&lt;publication_date&gt;99201606301200000000222000&lt;/publication_date&gt;&lt;uuid&gt;718CA7C0-F1D4-490E-AB6C-5CF461B84152&lt;/uuid&gt;&lt;type&gt;400&lt;/type&gt;&lt;citekey&gt;Ottaviani:2016fk&lt;/citekey&gt;&lt;doi&gt;10.1038/srep29034&lt;/doi&gt;&lt;startpage&gt;1&lt;/startpage&gt;&lt;endpage&gt;10&lt;/end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Borges&lt;/lastName&gt;&lt;firstName&gt;Gina&lt;/firstName&gt;&lt;/author&gt;&lt;author&gt;&lt;lastName&gt;Momma&lt;/lastName&gt;&lt;firstName&gt;Tony&lt;/firstName&gt;&lt;middleNames&gt;Y&lt;/middleNames&gt;&lt;/author&gt;&lt;author&gt;&lt;lastName&gt;Spencer&lt;/lastName&gt;&lt;firstName&gt;Jeremy&lt;/firstName&gt;&lt;middleNames&gt;P E&lt;/middleNames&gt;&lt;/author&gt;&lt;author&gt;&lt;lastName&gt;Keen&lt;/lastName&gt;&lt;firstName&gt;Carl&lt;/firstName&gt;&lt;middleNames&gt;L&lt;/middleNames&gt;&lt;/author&gt;&lt;author&gt;&lt;lastName&gt;Crozier&lt;/lastName&gt;&lt;firstName&gt;Alan&lt;/firstName&gt;&lt;/author&gt;&lt;author&gt;&lt;lastName&gt;Schroeter&lt;/lastName&gt;&lt;firstName&gt;Hagen&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32</w:t>
      </w:r>
      <w:r w:rsidR="00CE24FC" w:rsidRPr="002D6EC7">
        <w:rPr>
          <w:lang w:val="en-US" w:eastAsia="en-GB"/>
        </w:rPr>
        <w:fldChar w:fldCharType="end"/>
      </w:r>
      <w:r w:rsidRPr="002D6EC7">
        <w:t xml:space="preserve"> and the frequent consumption of flavan-3-ol containing foods, it can be used as surrogate </w:t>
      </w:r>
      <w:r w:rsidR="00CE24FC" w:rsidRPr="002D6EC7">
        <w:rPr>
          <w:lang w:val="en-US" w:eastAsia="en-GB"/>
        </w:rPr>
        <w:fldChar w:fldCharType="begin"/>
      </w:r>
      <w:r w:rsidR="002D6EC7" w:rsidRPr="002D6EC7">
        <w:rPr>
          <w:lang w:val="en-US" w:eastAsia="en-GB"/>
        </w:rPr>
        <w:instrText xml:space="preserve"> ADDIN PAPERS2_CITATIONS &lt;citation&gt;&lt;priority&gt;46&lt;/priority&gt;&lt;uuid&gt;0B18F703-02AD-4723-B7DB-67A97045E9AC&lt;/uuid&gt;&lt;publications&gt;&lt;publication&gt;&lt;subtype&gt;400&lt;/subtype&gt;&lt;title&gt;Using surrogate biomarkers to improve measurement error models in nutritional epidemiology.&lt;/title&gt;&lt;url&gt;http://doi.wiley.com/10.1002/sim.5803&lt;/url&gt;&lt;volume&gt;32&lt;/volume&gt;&lt;publication_date&gt;99201309301200000000222000&lt;/publication_date&gt;&lt;uuid&gt;962BC41D-563A-4DBE-8C0F-C0023181A281&lt;/uuid&gt;&lt;type&gt;400&lt;/type&gt;&lt;accepted_date&gt;99201302251200000000222000&lt;/accepted_date&gt;&lt;number&gt;22&lt;/number&gt;&lt;citekey&gt;Keogh:2013dj&lt;/citekey&gt;&lt;submission_date&gt;99201012131200000000222000&lt;/submission_date&gt;&lt;doi&gt;10.1002/sim.5803&lt;/doi&gt;&lt;institution&gt;MRC Biostatistics Unit, Cambridge, U.K.; MRC Centre for Nutritional Epidemiology in Cancer Prevention and Survival, Department of Public Health and Primary Care, University of Cambridge, Cambridge, U.K.; Department of Medical Statistics, London School of Hygiene and Tropical Medicine, London, U.K.&lt;/institution&gt;&lt;startpage&gt;3838&lt;/startpage&gt;&lt;endpage&gt;3861&lt;/endpage&gt;&lt;bundle&gt;&lt;publication&gt;&lt;title&gt;Statistics in medicine&lt;/title&gt;&lt;uuid&gt;660AB2A5-E135-45A6-8622-345E47802376&lt;/uuid&gt;&lt;subtype&gt;-100&lt;/subtype&gt;&lt;publisher&gt;Wiley Subscription Services, Inc., A Wiley Company&lt;/publisher&gt;&lt;type&gt;-100&lt;/type&gt;&lt;/publication&gt;&lt;/bundle&gt;&lt;authors&gt;&lt;author&gt;&lt;lastName&gt;Keogh&lt;/lastName&gt;&lt;firstName&gt;Ruth&lt;/firstName&gt;&lt;middleNames&gt;H&lt;/middleNames&gt;&lt;/author&gt;&lt;author&gt;&lt;lastName&gt;White&lt;/lastName&gt;&lt;firstName&gt;Ian&lt;/firstName&gt;&lt;middleNames&gt;R&lt;/middleNames&gt;&lt;/author&gt;&lt;author&gt;&lt;lastName&gt;Bingham&lt;/lastName&gt;&lt;firstName&gt;Shelia&lt;/firstName&gt;&lt;middleNames&gt;A&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35</w:t>
      </w:r>
      <w:r w:rsidR="00CE24FC" w:rsidRPr="002D6EC7">
        <w:rPr>
          <w:lang w:val="en-US" w:eastAsia="en-GB"/>
        </w:rPr>
        <w:fldChar w:fldCharType="end"/>
      </w:r>
      <w:r w:rsidRPr="002D6EC7">
        <w:t xml:space="preserve"> or concentration biomarker </w:t>
      </w:r>
      <w:r w:rsidR="00B01DA3" w:rsidRPr="002D6EC7">
        <w:t xml:space="preserve">both </w:t>
      </w:r>
      <w:r w:rsidRPr="002D6EC7">
        <w:t xml:space="preserve">in </w:t>
      </w:r>
      <w:r w:rsidR="00B01DA3" w:rsidRPr="002D6EC7">
        <w:t xml:space="preserve">24h urine and </w:t>
      </w:r>
      <w:r w:rsidRPr="002D6EC7">
        <w:t xml:space="preserve">spot urine samples </w:t>
      </w:r>
      <w:r w:rsidR="00CE24FC" w:rsidRPr="002D6EC7">
        <w:fldChar w:fldCharType="begin"/>
      </w:r>
      <w:r w:rsidR="002D6EC7" w:rsidRPr="002D6EC7">
        <w:instrText xml:space="preserve"> ADDIN PAPERS2_CITATIONS &lt;citation&gt;&lt;priority&gt;47&lt;/priority&gt;&lt;uuid&gt;0E37003B-4910-47BB-8002-AD7E777A8CCF&lt;/uuid&gt;&lt;publications&gt;&lt;publication&gt;&lt;subtype&gt;400&lt;/subtype&gt;&lt;publisher&gt;Nature Publishing Group&lt;/publisher&gt;&lt;title&gt;Evaluation at scale of microbiome-derived metabolites as biomarker of flavan-3-ol intake in epidemiological studies&lt;/title&gt;&lt;volume&gt;8&lt;/volume&gt;&lt;publication_date&gt;99201800001200000000200000&lt;/publication_date&gt;&lt;uuid&gt;338B0A0A-7244-43E1-B6EC-333C8A6A550F&lt;/uuid&gt;&lt;type&gt;400&lt;/type&gt;&lt;number&gt;1&lt;/number&gt;&lt;citekey&gt;ottaviani2018&lt;/citekey&gt;&lt;startpage&gt;9859&lt;/startpage&gt;&lt;bundle&gt;&lt;publication&gt;&lt;title&gt;Scientific reports&lt;/title&gt;&lt;uuid&gt;A8FD1035-1A8D-41C8-8C23-40AC8347D3B9&lt;/uuid&gt;&lt;subtype&gt;-100&lt;/subtype&gt;&lt;publisher&gt;Nature Publishing Group&lt;/publisher&gt;&lt;type&gt;-100&lt;/type&gt;&lt;/publication&gt;&lt;/bundle&gt;&lt;authors&gt;&lt;author&gt;&lt;lastName&gt;Ottaviani&lt;/lastName&gt;&lt;firstName&gt;Javier&lt;/firstName&gt;&lt;middleNames&gt;I&lt;/middleNames&gt;&lt;/author&gt;&lt;author&gt;&lt;lastName&gt;Fong&lt;/lastName&gt;&lt;firstName&gt;R&lt;/firstName&gt;&lt;/author&gt;&lt;author&gt;&lt;lastName&gt;Kimball&lt;/lastName&gt;&lt;firstName&gt;J&lt;/firstName&gt;&lt;/author&gt;&lt;author&gt;&lt;lastName&gt;Ensunsa&lt;/lastName&gt;&lt;firstName&gt;J&lt;/firstName&gt;&lt;middleNames&gt;L&lt;/middleNames&gt;&lt;/author&gt;&lt;author&gt;&lt;lastName&gt;Britten&lt;/lastName&gt;&lt;firstName&gt;A&lt;/firstName&gt;&lt;/author&gt;&lt;author&gt;&lt;lastName&gt;Lucarelli&lt;/lastName&gt;&lt;firstName&gt;D&lt;/firstName&gt;&lt;/author&gt;&lt;author&gt;&lt;lastName&gt;Luben&lt;/lastName&gt;&lt;firstName&gt;R&lt;/firstName&gt;&lt;/author&gt;&lt;author&gt;&lt;lastName&gt;Grace&lt;/lastName&gt;&lt;firstName&gt;P&lt;/firstName&gt;&lt;middleNames&gt;B&lt;/middleNames&gt;&lt;/author&gt;&lt;author&gt;&lt;lastName&gt;Mawson&lt;/lastName&gt;&lt;firstName&gt;D&lt;/firstName&gt;&lt;middleNames&gt;H&lt;/middleNames&gt;&lt;/author&gt;&lt;author&gt;&lt;lastName&gt;Tym&lt;/lastName&gt;&lt;firstName&gt;A&lt;/firstName&gt;&lt;/author&gt;&lt;author&gt;&lt;lastName&gt;Wierzbicki&lt;/lastName&gt;&lt;firstName&gt;A&lt;/firstName&gt;&lt;/author&gt;&lt;author&gt;&lt;lastName&gt;Khaw&lt;/lastName&gt;&lt;firstName&gt;Kay-Tee&lt;/firstName&gt;&lt;/author&gt;&lt;author&gt;&lt;lastName&gt;Schroeter&lt;/lastName&gt;&lt;firstName&gt;Hagen&lt;/firstName&gt;&lt;/author&gt;&lt;author&gt;&lt;lastName&gt;Kuhnle&lt;/lastName&gt;&lt;firstName&gt;Gunter&lt;/firstName&gt;&lt;middleNames&gt;Georg&lt;/middleNames&gt;&lt;/author&gt;&lt;/authors&gt;&lt;/publication&gt;&lt;/publications&gt;&lt;cites&gt;&lt;/cites&gt;&lt;/citation&gt;</w:instrText>
      </w:r>
      <w:r w:rsidR="00CE24FC" w:rsidRPr="002D6EC7">
        <w:fldChar w:fldCharType="separate"/>
      </w:r>
      <w:r w:rsidR="002D6EC7" w:rsidRPr="002D6EC7">
        <w:rPr>
          <w:vertAlign w:val="superscript"/>
          <w:lang w:val="en-US" w:eastAsia="en-GB"/>
        </w:rPr>
        <w:t>6</w:t>
      </w:r>
      <w:r w:rsidR="00CE24FC" w:rsidRPr="002D6EC7">
        <w:fldChar w:fldCharType="end"/>
      </w:r>
      <w:r w:rsidRPr="002D6EC7">
        <w:t xml:space="preserve">. </w:t>
      </w:r>
      <w:r w:rsidR="00765E87" w:rsidRPr="002D6EC7">
        <w:t xml:space="preserve">However, the large inter-individual variability in colonic microbial metabolism makes </w:t>
      </w:r>
      <w:proofErr w:type="spellStart"/>
      <w:r w:rsidR="00B01DA3" w:rsidRPr="002D6EC7">
        <w:t>gVLM</w:t>
      </w:r>
      <w:proofErr w:type="spellEnd"/>
      <w:r w:rsidR="00765E87" w:rsidRPr="002D6EC7">
        <w:t xml:space="preserve"> not suitable as recovery biomarker. Conversely, the short plasma half-life of SREM</w:t>
      </w:r>
      <w:r w:rsidR="00765E87" w:rsidRPr="002D6EC7">
        <w:rPr>
          <w:vertAlign w:val="subscript"/>
        </w:rPr>
        <w:t>B</w:t>
      </w:r>
      <w:r w:rsidR="00765E87" w:rsidRPr="002D6EC7">
        <w:t>, approximately 2</w:t>
      </w:r>
      <w:r w:rsidR="00B9034E" w:rsidRPr="002D6EC7">
        <w:t xml:space="preserve"> </w:t>
      </w:r>
      <w:r w:rsidR="00765E87" w:rsidRPr="002D6EC7">
        <w:t>h,</w:t>
      </w:r>
      <w:r w:rsidR="005479FD" w:rsidRPr="002D6EC7">
        <w:t xml:space="preserve"> assures a complete excretion within 24 h of urine collection that, added up to the</w:t>
      </w:r>
      <w:r w:rsidR="00765E87" w:rsidRPr="002D6EC7">
        <w:t xml:space="preserve"> </w:t>
      </w:r>
      <w:r w:rsidR="00B01DA3" w:rsidRPr="002D6EC7">
        <w:t xml:space="preserve">high </w:t>
      </w:r>
      <w:r w:rsidR="00FE3054" w:rsidRPr="002D6EC7">
        <w:t>association</w:t>
      </w:r>
      <w:r w:rsidR="00FB7DCD" w:rsidRPr="002D6EC7">
        <w:t xml:space="preserve"> with intake</w:t>
      </w:r>
      <w:r w:rsidR="005479FD" w:rsidRPr="002D6EC7">
        <w:t>,</w:t>
      </w:r>
      <w:r w:rsidR="00B01DA3" w:rsidRPr="002D6EC7">
        <w:t xml:space="preserve"> makes SREM</w:t>
      </w:r>
      <w:r w:rsidR="00D06DB9" w:rsidRPr="002D6EC7">
        <w:rPr>
          <w:vertAlign w:val="subscript"/>
        </w:rPr>
        <w:t>B</w:t>
      </w:r>
      <w:r w:rsidR="00B01DA3" w:rsidRPr="002D6EC7">
        <w:t xml:space="preserve"> ideal </w:t>
      </w:r>
      <w:r w:rsidR="006D2BD8" w:rsidRPr="002D6EC7">
        <w:t xml:space="preserve">for a </w:t>
      </w:r>
      <w:r w:rsidR="00B01DA3" w:rsidRPr="002D6EC7">
        <w:t>recovery biomarker.</w:t>
      </w:r>
      <w:r w:rsidR="00765E87" w:rsidRPr="002D6EC7">
        <w:t xml:space="preserve"> </w:t>
      </w:r>
      <w:r w:rsidR="004657E1" w:rsidRPr="002D6EC7">
        <w:t xml:space="preserve">Due to the different </w:t>
      </w:r>
      <w:r w:rsidR="006D2BD8" w:rsidRPr="002D6EC7">
        <w:t>flavanols</w:t>
      </w:r>
      <w:r w:rsidR="004657E1" w:rsidRPr="002D6EC7">
        <w:t xml:space="preserve"> contributing to </w:t>
      </w:r>
      <w:proofErr w:type="spellStart"/>
      <w:r w:rsidR="004657E1" w:rsidRPr="002D6EC7">
        <w:t>gVLM</w:t>
      </w:r>
      <w:proofErr w:type="spellEnd"/>
      <w:r w:rsidR="004657E1" w:rsidRPr="002D6EC7">
        <w:t xml:space="preserve"> and SREM</w:t>
      </w:r>
      <w:r w:rsidR="00D06DB9" w:rsidRPr="002D6EC7">
        <w:rPr>
          <w:vertAlign w:val="subscript"/>
        </w:rPr>
        <w:t>B</w:t>
      </w:r>
      <w:r w:rsidR="004657E1" w:rsidRPr="002D6EC7">
        <w:t xml:space="preserve"> and differences in half-life, t</w:t>
      </w:r>
      <w:r w:rsidR="00B01DA3" w:rsidRPr="002D6EC7">
        <w:t xml:space="preserve">he </w:t>
      </w:r>
      <w:r w:rsidR="004657E1" w:rsidRPr="002D6EC7">
        <w:t>measurement of both biomarkers</w:t>
      </w:r>
      <w:r w:rsidR="00B01DA3" w:rsidRPr="002D6EC7">
        <w:t xml:space="preserve"> </w:t>
      </w:r>
      <w:r w:rsidR="004657E1" w:rsidRPr="002D6EC7">
        <w:t xml:space="preserve">could provide complementary information. </w:t>
      </w:r>
      <w:r w:rsidR="009445FC" w:rsidRPr="002D6EC7">
        <w:t>In 24h urine samples, a combination of SREM</w:t>
      </w:r>
      <w:r w:rsidR="009445FC" w:rsidRPr="002D6EC7">
        <w:rPr>
          <w:vertAlign w:val="subscript"/>
        </w:rPr>
        <w:t>B</w:t>
      </w:r>
      <w:r w:rsidR="009445FC" w:rsidRPr="002D6EC7">
        <w:t xml:space="preserve"> and </w:t>
      </w:r>
      <w:proofErr w:type="spellStart"/>
      <w:r w:rsidR="009445FC" w:rsidRPr="002D6EC7">
        <w:t>gVLM</w:t>
      </w:r>
      <w:proofErr w:type="spellEnd"/>
      <w:r w:rsidR="009445FC" w:rsidRPr="002D6EC7">
        <w:t xml:space="preserve"> could be used to differentiate between (−)</w:t>
      </w:r>
      <w:r w:rsidR="009445FC" w:rsidRPr="002D6EC7">
        <w:noBreakHyphen/>
        <w:t>epicatechin and total flavan-3-ol intake</w:t>
      </w:r>
      <w:r w:rsidR="008A30E6" w:rsidRPr="002D6EC7">
        <w:t>, whereas in spot urine samples, SREM</w:t>
      </w:r>
      <w:r w:rsidR="008A30E6" w:rsidRPr="002D6EC7">
        <w:rPr>
          <w:vertAlign w:val="subscript"/>
        </w:rPr>
        <w:t>B</w:t>
      </w:r>
      <w:r w:rsidR="008A30E6" w:rsidRPr="002D6EC7">
        <w:rPr>
          <w:vertAlign w:val="superscript"/>
        </w:rPr>
        <w:t xml:space="preserve"> </w:t>
      </w:r>
      <w:r w:rsidR="008A30E6" w:rsidRPr="002D6EC7">
        <w:t xml:space="preserve">can be used as marker of </w:t>
      </w:r>
      <w:r w:rsidR="00FB7DCD" w:rsidRPr="002D6EC7">
        <w:t xml:space="preserve">very </w:t>
      </w:r>
      <w:r w:rsidR="008A30E6" w:rsidRPr="002D6EC7">
        <w:t>short-term, acute (−)</w:t>
      </w:r>
      <w:r w:rsidR="008A30E6" w:rsidRPr="002D6EC7">
        <w:noBreakHyphen/>
        <w:t>epicatechin intake</w:t>
      </w:r>
      <w:r w:rsidR="0071171C" w:rsidRPr="002D6EC7">
        <w:t xml:space="preserve"> (see Table 4 for a direct comparison)</w:t>
      </w:r>
      <w:r w:rsidR="008A30E6" w:rsidRPr="002D6EC7">
        <w:t>.</w:t>
      </w:r>
    </w:p>
    <w:p w14:paraId="4870A555" w14:textId="6048C1C6" w:rsidR="000A7600" w:rsidRPr="002D6EC7" w:rsidRDefault="000263B0" w:rsidP="000A7600">
      <w:pPr>
        <w:pStyle w:val="Heading2"/>
      </w:pPr>
      <w:r w:rsidRPr="002D6EC7">
        <w:t>Strengths and l</w:t>
      </w:r>
      <w:r w:rsidR="000A7600" w:rsidRPr="002D6EC7">
        <w:t>imitations</w:t>
      </w:r>
    </w:p>
    <w:p w14:paraId="0F5CA41C" w14:textId="70B10F88" w:rsidR="000A7600" w:rsidRPr="002D6EC7" w:rsidRDefault="00E91898" w:rsidP="00280BDB">
      <w:pPr>
        <w:pStyle w:val="RdgNormal"/>
      </w:pPr>
      <w:r w:rsidRPr="002D6EC7">
        <w:t xml:space="preserve">This study has a number of strengths, but also some limitations which need to be considered when interpreting results. </w:t>
      </w:r>
      <w:r w:rsidR="00AC068E" w:rsidRPr="002D6EC7">
        <w:t xml:space="preserve">A key strength of the study is </w:t>
      </w:r>
      <w:r w:rsidR="00AD1E29" w:rsidRPr="002D6EC7">
        <w:t xml:space="preserve">the carefully validated analytical method and </w:t>
      </w:r>
      <w:r w:rsidR="00AC068E" w:rsidRPr="002D6EC7">
        <w:t xml:space="preserve">the availability of authentic standards for </w:t>
      </w:r>
      <w:r w:rsidR="00DE0501" w:rsidRPr="002D6EC7">
        <w:t>all three (–)-epicatechin metabolites</w:t>
      </w:r>
      <w:r w:rsidR="002532C2" w:rsidRPr="002D6EC7">
        <w:t xml:space="preserve">, and </w:t>
      </w:r>
      <w:r w:rsidR="00C9225E" w:rsidRPr="002D6EC7">
        <w:t xml:space="preserve">we have shown previously that this is </w:t>
      </w:r>
      <w:r w:rsidR="002532C2" w:rsidRPr="002D6EC7">
        <w:t xml:space="preserve">a major contributor to the accuracy of polyphenol metabolite quantification </w:t>
      </w:r>
      <w:r w:rsidR="00C9225E" w:rsidRPr="002D6EC7">
        <w:t>by LC-MS</w:t>
      </w:r>
      <w:r w:rsidR="00F320E5" w:rsidRPr="002D6EC7">
        <w:t xml:space="preserve"> </w:t>
      </w:r>
      <w:r w:rsidR="00CE24FC" w:rsidRPr="002D6EC7">
        <w:rPr>
          <w:lang w:val="en-US" w:eastAsia="en-GB"/>
        </w:rPr>
        <w:fldChar w:fldCharType="begin"/>
      </w:r>
      <w:r w:rsidR="002D6EC7" w:rsidRPr="002D6EC7">
        <w:rPr>
          <w:lang w:val="en-US" w:eastAsia="en-GB"/>
        </w:rPr>
        <w:instrText xml:space="preserve"> ADDIN PAPERS2_CITATIONS &lt;citation&gt;&lt;priority&gt;48&lt;/priority&gt;&lt;uuid&gt;838C6505-BF83-4408-9082-C53158BC569D&lt;/uuid&gt;&lt;publications&gt;&lt;publication&gt;&lt;subtype&gt;400&lt;/subtype&gt;&lt;title&gt;Use of LC-MS for the quantitative analysis of (poly)phenol metabolites does not necessarily yield accurate results: Implications for assessing existing data and conducting future research.&lt;/title&gt;&lt;url&gt;https://linkinghub.elsevier.com/retrieve/pii/S0891584918309717&lt;/url&gt;&lt;volume&gt;124&lt;/volume&gt;&lt;publication_date&gt;99201808201200000000222000&lt;/publication_date&gt;&lt;uuid&gt;0C0A3A16-4B8D-49F1-85CC-79C70E7E3C8D&lt;/uuid&gt;&lt;type&gt;400&lt;/type&gt;&lt;accepted_date&gt;99201805311200000000222000&lt;/accepted_date&gt;&lt;citekey&gt;Ottaviani:2018kp&lt;/citekey&gt;&lt;submission_date&gt;99201804271200000000222000&lt;/submission_date&gt;&lt;doi&gt;10.1016/j.freeradbiomed.2018.05.092&lt;/doi&gt;&lt;institution&gt;Mars Inc., McLean, VA 22101, USA; Department of Nutrition, University of California, Davis, CA 95616, USA.&lt;/institution&gt;&lt;startpage&gt;97&lt;/startpage&gt;&lt;endpage&gt;103&lt;/endpage&gt;&lt;bundle&gt;&lt;publication&gt;&lt;title&gt;Free Radical Biology and Medicine&lt;/title&gt;&lt;uuid&gt;6B0B8C0B-3F29-40B2-9B61-9B3EAF9179DE&lt;/uuid&gt;&lt;subtype&gt;-100&lt;/subtype&gt;&lt;publisher&gt;Elsevier Inc.&lt;/publisher&gt;&lt;type&gt;-100&lt;/type&gt;&lt;/publication&gt;&lt;/bundle&gt;&lt;authors&gt;&lt;author&gt;&lt;lastName&gt;Ottaviani&lt;/lastName&gt;&lt;firstName&gt;Javier&lt;/firstName&gt;&lt;middleNames&gt;I&lt;/middleNames&gt;&lt;/author&gt;&lt;author&gt;&lt;lastName&gt;Fong&lt;/lastName&gt;&lt;firstName&gt;Reedmond&lt;/firstName&gt;&lt;middleNames&gt;Y&lt;/middleNames&gt;&lt;/author&gt;&lt;author&gt;&lt;lastName&gt;Borges&lt;/lastName&gt;&lt;firstName&gt;Gina&lt;/firstName&gt;&lt;/author&gt;&lt;author&gt;&lt;lastName&gt;Schroeter&lt;/lastName&gt;&lt;firstName&gt;Hagen&lt;/firstName&gt;&lt;/author&gt;&lt;author&gt;&lt;lastName&gt;Crozier&lt;/lastName&gt;&lt;firstName&gt;Alan&lt;/firstName&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23</w:t>
      </w:r>
      <w:r w:rsidR="00CE24FC" w:rsidRPr="002D6EC7">
        <w:rPr>
          <w:lang w:val="en-US" w:eastAsia="en-GB"/>
        </w:rPr>
        <w:fldChar w:fldCharType="end"/>
      </w:r>
      <w:r w:rsidR="002532C2" w:rsidRPr="002D6EC7">
        <w:t xml:space="preserve">. </w:t>
      </w:r>
      <w:r w:rsidR="00C9225E" w:rsidRPr="002D6EC7">
        <w:t>T</w:t>
      </w:r>
      <w:r w:rsidR="002532C2" w:rsidRPr="002D6EC7">
        <w:t>he rel</w:t>
      </w:r>
      <w:r w:rsidR="00DC7CAA" w:rsidRPr="002D6EC7">
        <w:t xml:space="preserve">iance on </w:t>
      </w:r>
      <w:r w:rsidR="000A7600" w:rsidRPr="002D6EC7">
        <w:t xml:space="preserve">a single </w:t>
      </w:r>
      <w:r w:rsidR="00DC7CAA" w:rsidRPr="002D6EC7">
        <w:t xml:space="preserve">deuterium-labelled </w:t>
      </w:r>
      <w:r w:rsidR="0054703E" w:rsidRPr="002D6EC7">
        <w:t xml:space="preserve">internal </w:t>
      </w:r>
      <w:r w:rsidR="000A7600" w:rsidRPr="002D6EC7">
        <w:t>standard (</w:t>
      </w:r>
      <w:r w:rsidR="0054703E" w:rsidRPr="002D6EC7">
        <w:t>D</w:t>
      </w:r>
      <w:r w:rsidR="0054703E" w:rsidRPr="002D6EC7">
        <w:rPr>
          <w:vertAlign w:val="subscript"/>
        </w:rPr>
        <w:t>2</w:t>
      </w:r>
      <w:r w:rsidR="0054703E" w:rsidRPr="002D6EC7">
        <w:t>/D</w:t>
      </w:r>
      <w:r w:rsidR="0054703E" w:rsidRPr="002D6EC7">
        <w:rPr>
          <w:vertAlign w:val="subscript"/>
        </w:rPr>
        <w:t>3</w:t>
      </w:r>
      <w:r w:rsidR="000A7600" w:rsidRPr="002D6EC7">
        <w:t>-</w:t>
      </w:r>
      <w:r w:rsidR="00DC7CAA" w:rsidRPr="002D6EC7">
        <w:t>E</w:t>
      </w:r>
      <w:r w:rsidR="000A7600" w:rsidRPr="002D6EC7">
        <w:t>3</w:t>
      </w:r>
      <w:r w:rsidR="000A7600" w:rsidRPr="002D6EC7">
        <w:rPr>
          <w:rFonts w:ascii="Arial" w:hAnsi="Arial" w:cs="Arial"/>
        </w:rPr>
        <w:t>ʹ</w:t>
      </w:r>
      <w:r w:rsidR="000A7600" w:rsidRPr="002D6EC7">
        <w:t xml:space="preserve">G) </w:t>
      </w:r>
      <w:r w:rsidR="00DC7CAA" w:rsidRPr="002D6EC7">
        <w:t>for quantification of E</w:t>
      </w:r>
      <w:r w:rsidR="00E86A2F" w:rsidRPr="002D6EC7">
        <w:t>3ʹG</w:t>
      </w:r>
      <w:r w:rsidR="00DC7CAA" w:rsidRPr="002D6EC7">
        <w:t>, E</w:t>
      </w:r>
      <w:r w:rsidR="00E86A2F" w:rsidRPr="002D6EC7">
        <w:t>3ʹ</w:t>
      </w:r>
      <w:r w:rsidR="007C35C7" w:rsidRPr="002D6EC7">
        <w:t>S</w:t>
      </w:r>
      <w:r w:rsidR="00E86A2F" w:rsidRPr="002D6EC7">
        <w:t xml:space="preserve"> and 3ʹMe5S</w:t>
      </w:r>
      <w:r w:rsidR="002532C2" w:rsidRPr="002D6EC7">
        <w:t xml:space="preserve"> might have affected quantification of the latter two metabolites</w:t>
      </w:r>
      <w:r w:rsidR="00C9225E" w:rsidRPr="002D6EC7">
        <w:t xml:space="preserve">, but the method </w:t>
      </w:r>
      <w:r w:rsidR="00AD1E29" w:rsidRPr="002D6EC7">
        <w:t xml:space="preserve">validation </w:t>
      </w:r>
      <w:r w:rsidR="00DC7CAA" w:rsidRPr="002D6EC7">
        <w:t>showed very good precision and accuracy</w:t>
      </w:r>
      <w:r w:rsidR="00AC068E" w:rsidRPr="002D6EC7">
        <w:t>.</w:t>
      </w:r>
      <w:r w:rsidR="00F10E3A" w:rsidRPr="002D6EC7">
        <w:t xml:space="preserve"> A further strength of the study is the careful investigation of the </w:t>
      </w:r>
      <w:r w:rsidR="00F10E3A" w:rsidRPr="002D6EC7">
        <w:lastRenderedPageBreak/>
        <w:t xml:space="preserve">intake response relationship and in particular the specificity of </w:t>
      </w:r>
      <w:r w:rsidR="004B00C3" w:rsidRPr="002D6EC7">
        <w:t>SREM</w:t>
      </w:r>
      <w:r w:rsidR="004B00C3" w:rsidRPr="002D6EC7">
        <w:rPr>
          <w:vertAlign w:val="subscript"/>
        </w:rPr>
        <w:t>B</w:t>
      </w:r>
      <w:r w:rsidR="004B00C3" w:rsidRPr="002D6EC7">
        <w:t xml:space="preserve">. </w:t>
      </w:r>
      <w:r w:rsidR="003D5253" w:rsidRPr="002D6EC7">
        <w:t xml:space="preserve">Providing the flavan-3-ol intervention </w:t>
      </w:r>
      <w:r w:rsidR="00613209" w:rsidRPr="002D6EC7">
        <w:t xml:space="preserve">on a single occasion using a defined test material was different from what could be expected as part of the habitual diet, but permitted </w:t>
      </w:r>
      <w:r w:rsidR="00E86A2F" w:rsidRPr="002D6EC7">
        <w:t xml:space="preserve"> a</w:t>
      </w:r>
      <w:r w:rsidR="0054703E" w:rsidRPr="002D6EC7">
        <w:t xml:space="preserve"> </w:t>
      </w:r>
      <w:r w:rsidR="00E86A2F" w:rsidRPr="002D6EC7">
        <w:t>tight</w:t>
      </w:r>
      <w:r w:rsidR="0054703E" w:rsidRPr="002D6EC7">
        <w:t xml:space="preserve"> control on the amounts </w:t>
      </w:r>
      <w:r w:rsidR="00E86A2F" w:rsidRPr="002D6EC7">
        <w:t>and</w:t>
      </w:r>
      <w:r w:rsidR="0054703E" w:rsidRPr="002D6EC7">
        <w:t xml:space="preserve"> type of flava-3</w:t>
      </w:r>
      <w:r w:rsidR="00E86A2F" w:rsidRPr="002D6EC7">
        <w:t>-</w:t>
      </w:r>
      <w:r w:rsidR="0054703E" w:rsidRPr="002D6EC7">
        <w:t>ols consumed during the intervention</w:t>
      </w:r>
      <w:r w:rsidR="007C35C7" w:rsidRPr="002D6EC7">
        <w:t xml:space="preserve"> and thus, obtain essential information on the specificity and intake-amount relationship of SREM</w:t>
      </w:r>
      <w:r w:rsidR="007C35C7" w:rsidRPr="002D6EC7">
        <w:rPr>
          <w:vertAlign w:val="subscript"/>
        </w:rPr>
        <w:t>B</w:t>
      </w:r>
      <w:r w:rsidR="007C35C7" w:rsidRPr="002D6EC7">
        <w:t xml:space="preserve"> as biomarkers of (–)-epicatechin intake</w:t>
      </w:r>
      <w:r w:rsidR="0054703E" w:rsidRPr="002D6EC7">
        <w:t xml:space="preserve">. </w:t>
      </w:r>
      <w:r w:rsidR="00A84AE4" w:rsidRPr="002D6EC7">
        <w:t>A limitation of the study is the reliance on two UK cohorts to evaluate the applicability of SREM</w:t>
      </w:r>
      <w:r w:rsidR="00A84AE4" w:rsidRPr="002D6EC7">
        <w:rPr>
          <w:vertAlign w:val="subscript"/>
        </w:rPr>
        <w:t>B</w:t>
      </w:r>
      <w:r w:rsidR="00A84AE4" w:rsidRPr="002D6EC7">
        <w:t xml:space="preserve"> as urinary biomarker. While flavan-3-ol intake in the UK is generally higher than in many other countries, </w:t>
      </w:r>
      <w:r w:rsidR="00C65577" w:rsidRPr="002D6EC7">
        <w:t xml:space="preserve">their main source is tea </w:t>
      </w:r>
      <w:r w:rsidR="00CE24FC" w:rsidRPr="002D6EC7">
        <w:rPr>
          <w:lang w:val="en-US" w:eastAsia="en-GB"/>
        </w:rPr>
        <w:fldChar w:fldCharType="begin"/>
      </w:r>
      <w:r w:rsidR="002D6EC7" w:rsidRPr="002D6EC7">
        <w:rPr>
          <w:lang w:val="en-US" w:eastAsia="en-GB"/>
        </w:rPr>
        <w:instrText xml:space="preserve"> ADDIN PAPERS2_CITATIONS &lt;citation&gt;&lt;priority&gt;49&lt;/priority&gt;&lt;uuid&gt;E621D660-84B7-434C-8B22-4E66B8D5E8F4&lt;/uuid&gt;&lt;publications&gt;&lt;publication&gt;&lt;subtype&gt;400&lt;/subtype&gt;&lt;title&gt;Assessment of the dietary intake of total flavan-3-ols, monomeric flavan-3-ols, proanthocyanidins and theaflavins in the European Union.&lt;/title&gt;&lt;url&gt;http://eutils.ncbi.nlm.nih.gov/entrez/eutils/elink.fcgi?dbfrom=pubmed&amp;amp;id=24331295&amp;amp;retmode=ref&amp;amp;cmd=prlinks&lt;/url&gt;&lt;volume&gt;111&lt;/volume&gt;&lt;publication_date&gt;99201404281200000000222000&lt;/publication_date&gt;&lt;uuid&gt;163D3429-8B94-4C5A-B5CF-F8D8BE5686CB&lt;/uuid&gt;&lt;type&gt;400&lt;/type&gt;&lt;number&gt;8&lt;/number&gt;&lt;citekey&gt;Vogiatzoglou:2014jm&lt;/citekey&gt;&lt;doi&gt;10.1017/S0007114513003930&lt;/doi&gt;&lt;institution&gt;Department of Food &amp;amp; Nutritional Sciences, University of Reading, Reading RG6 6AP, UK.&lt;/institution&gt;&lt;startpage&gt;1463&lt;/startpage&gt;&lt;endpage&gt;1473&lt;/endpage&gt;&lt;bundle&gt;&lt;publication&gt;&lt;title&gt;The British journal of nutrition&lt;/title&gt;&lt;uuid&gt;FA1558D5-95C2-4C15-A13E-7B1DBF8FDAF4&lt;/uuid&gt;&lt;subtype&gt;-100&lt;/subtype&gt;&lt;publisher&gt;Cambridge Journals Online&lt;/publisher&gt;&lt;type&gt;-100&lt;/type&gt;&lt;/publication&gt;&lt;/bundle&gt;&lt;authors&gt;&lt;author&gt;&lt;lastName&gt;Vogiatzoglou&lt;/lastName&gt;&lt;firstName&gt;Anna&lt;/firstName&gt;&lt;/author&gt;&lt;author&gt;&lt;lastName&gt;Mulligan&lt;/lastName&gt;&lt;firstName&gt;Angela&lt;/firstName&gt;&lt;middleNames&gt;A&lt;/middleNames&gt;&lt;/author&gt;&lt;author&gt;&lt;lastName&gt;Luben&lt;/lastName&gt;&lt;firstName&gt;Robert&lt;/firstName&gt;&lt;middleNames&gt;N&lt;/middleNames&gt;&lt;/author&gt;&lt;author&gt;&lt;lastName&gt;Lentjes&lt;/lastName&gt;&lt;firstName&gt;Marleen&lt;/firstName&gt;&lt;/author&gt;&lt;author&gt;&lt;lastName&gt;Heiss&lt;/lastName&gt;&lt;firstName&gt;Christian&lt;/firstName&gt;&lt;/author&gt;&lt;author&gt;&lt;lastName&gt;Kelm&lt;/lastName&gt;&lt;firstName&gt;Malte&lt;/firstName&gt;&lt;/author&gt;&lt;author&gt;&lt;lastName&gt;Merx&lt;/lastName&gt;&lt;firstName&gt;Marc&lt;/firstName&gt;&lt;middleNames&gt;W&lt;/middleNames&gt;&lt;/author&gt;&lt;author&gt;&lt;lastName&gt;Spencer&lt;/lastName&gt;&lt;firstName&gt;Jeremy&lt;/firstName&gt;&lt;middleNames&gt;P E&lt;/middleNames&gt;&lt;/author&gt;&lt;author&gt;&lt;lastName&gt;Schroeter&lt;/lastName&gt;&lt;firstName&gt;Hagen&lt;/firstName&gt;&lt;/author&gt;&lt;author&gt;&lt;lastName&gt;Kuhnle&lt;/lastName&gt;&lt;firstName&gt;Gunter&lt;/firstName&gt;&lt;middleNames&gt;G C&lt;/middleNames&gt;&lt;/author&gt;&lt;/authors&gt;&lt;/publication&gt;&lt;publication&gt;&lt;subtype&gt;400&lt;/subtype&gt;&lt;title&gt;Flavonoid intake in European adults (18 to 64 Years)&lt;/title&gt;&lt;url&gt;https://www.scopus.com/inward/record.uri?eid=2-s2.0-84930226859&amp;amp;doi=10.1371%2fjournal.pone.0128132&amp;amp;partnerID=40&amp;amp;md5=8a7bb92188e7c40bc22fb42e37c4e1c0&lt;/url&gt;&lt;volume&gt;10&lt;/volume&gt;&lt;publication_date&gt;99201500001200000000200000&lt;/publication_date&gt;&lt;uuid&gt;B0E43896-3217-4AE4-80A4-AF4349CB8362&lt;/uuid&gt;&lt;type&gt;400&lt;/type&gt;&lt;number&gt;5&lt;/number&gt;&lt;citekey&gt;Vogiatzoglou2015&lt;/citekey&gt;&lt;bundle&gt;&lt;publication&gt;&lt;title&gt;PLoS ONE&lt;/title&gt;&lt;uuid&gt;8D5D62E5-A21C-4925-B36A-44A132A323DC&lt;/uuid&gt;&lt;subtype&gt;-100&lt;/subtype&gt;&lt;publisher&gt;Public Library of Science&lt;/publisher&gt;&lt;type&gt;-100&lt;/type&gt;&lt;/publication&gt;&lt;/bundle&gt;&lt;authors&gt;&lt;author&gt;&lt;lastName&gt;Vogiatzoglou&lt;/lastName&gt;&lt;firstName&gt;Anna&lt;/firstName&gt;&lt;/author&gt;&lt;author&gt;&lt;lastName&gt;Mulligan&lt;/lastName&gt;&lt;firstName&gt;A&lt;/firstName&gt;&lt;middleNames&gt;A&lt;/middleNames&gt;&lt;/author&gt;&lt;author&gt;&lt;lastName&gt;Lentjes&lt;/lastName&gt;&lt;firstName&gt;Marleen&lt;/firstName&gt;&lt;/author&gt;&lt;author&gt;&lt;lastName&gt;Luben&lt;/lastName&gt;&lt;firstName&gt;R&lt;/firstName&gt;&lt;middleNames&gt;N&lt;/middleNames&gt;&lt;/author&gt;&lt;author&gt;&lt;lastName&gt;Spencer&lt;/lastName&gt;&lt;firstName&gt;J&lt;/firstName&gt;&lt;middleNames&gt;P E&lt;/middleNames&gt;&lt;/author&gt;&lt;author&gt;&lt;lastName&gt;Schroeter&lt;/lastName&gt;&lt;firstName&gt;Hagen&lt;/firstName&gt;&lt;/author&gt;&lt;author&gt;&lt;lastName&gt;Khaw&lt;/lastName&gt;&lt;firstName&gt;Kay-Tee&lt;/firstName&gt;&lt;/author&gt;&lt;author&gt;&lt;lastName&gt;Kuhnle&lt;/lastName&gt;&lt;firstName&gt;Gunter&lt;/firstName&gt;&lt;middleNames&gt;Georg&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10,18</w:t>
      </w:r>
      <w:r w:rsidR="00CE24FC" w:rsidRPr="002D6EC7">
        <w:rPr>
          <w:lang w:val="en-US" w:eastAsia="en-GB"/>
        </w:rPr>
        <w:fldChar w:fldCharType="end"/>
      </w:r>
      <w:r w:rsidR="00C65577" w:rsidRPr="002D6EC7">
        <w:t xml:space="preserve"> with a very different flavan-3-ol composition than for example pome fruits</w:t>
      </w:r>
      <w:r w:rsidR="007B2BE4" w:rsidRPr="002D6EC7">
        <w:t>. While this ensured that there was a wide range of flavanol intake within the study population</w:t>
      </w:r>
      <w:r w:rsidR="00C65577" w:rsidRPr="002D6EC7">
        <w:t>,</w:t>
      </w:r>
      <w:r w:rsidR="007B2BE4" w:rsidRPr="002D6EC7">
        <w:t xml:space="preserve"> it</w:t>
      </w:r>
      <w:r w:rsidR="00C65577" w:rsidRPr="002D6EC7">
        <w:t xml:space="preserve"> could have affected outcomes. It is therefore important to apply this biomarker to </w:t>
      </w:r>
      <w:r w:rsidR="007B2BE4" w:rsidRPr="002D6EC7">
        <w:t>studies from countr</w:t>
      </w:r>
      <w:r w:rsidR="0071171C" w:rsidRPr="002D6EC7">
        <w:t>ies</w:t>
      </w:r>
      <w:r w:rsidR="007B2BE4" w:rsidRPr="002D6EC7">
        <w:t xml:space="preserve"> with more diverse sources of flavanols.</w:t>
      </w:r>
      <w:r w:rsidR="0071171C" w:rsidRPr="002D6EC7">
        <w:t xml:space="preserve"> </w:t>
      </w:r>
      <w:r w:rsidR="00224A7C" w:rsidRPr="002D6EC7">
        <w:t>Finally, it should be noted that the criteria chosen for the evaluation of SREM</w:t>
      </w:r>
      <w:r w:rsidR="00224A7C" w:rsidRPr="002D6EC7">
        <w:rPr>
          <w:vertAlign w:val="subscript"/>
        </w:rPr>
        <w:t>B</w:t>
      </w:r>
      <w:r w:rsidR="00224A7C" w:rsidRPr="002D6EC7">
        <w:t xml:space="preserve"> ha</w:t>
      </w:r>
      <w:r w:rsidR="007B2BE4" w:rsidRPr="002D6EC7">
        <w:t>ve</w:t>
      </w:r>
      <w:r w:rsidR="00224A7C" w:rsidRPr="002D6EC7">
        <w:t xml:space="preserve"> not </w:t>
      </w:r>
      <w:r w:rsidR="00E86A2F" w:rsidRPr="002D6EC7">
        <w:t xml:space="preserve">been </w:t>
      </w:r>
      <w:r w:rsidR="00224A7C" w:rsidRPr="002D6EC7">
        <w:t xml:space="preserve">specifically created for nutritional biomarkers of dietary bioactives. </w:t>
      </w:r>
      <w:r w:rsidR="00E86A2F" w:rsidRPr="002D6EC7">
        <w:t>The criteria used w</w:t>
      </w:r>
      <w:r w:rsidR="007B2BE4" w:rsidRPr="002D6EC7">
        <w:t>ere</w:t>
      </w:r>
      <w:r w:rsidR="00224A7C" w:rsidRPr="002D6EC7">
        <w:t xml:space="preserve"> derived fr</w:t>
      </w:r>
      <w:r w:rsidR="00E86A2F" w:rsidRPr="002D6EC7">
        <w:t>o</w:t>
      </w:r>
      <w:r w:rsidR="00224A7C" w:rsidRPr="002D6EC7">
        <w:t>m</w:t>
      </w:r>
      <w:r w:rsidR="00E86A2F" w:rsidRPr="002D6EC7">
        <w:t xml:space="preserve"> the framework</w:t>
      </w:r>
      <w:r w:rsidR="007B2BE4" w:rsidRPr="002D6EC7">
        <w:t>s</w:t>
      </w:r>
      <w:r w:rsidR="00E86A2F" w:rsidRPr="002D6EC7">
        <w:t xml:space="preserve"> provided </w:t>
      </w:r>
      <w:r w:rsidR="007C35C7" w:rsidRPr="002D6EC7">
        <w:t xml:space="preserve">by </w:t>
      </w:r>
      <w:r w:rsidR="00224A7C" w:rsidRPr="002D6EC7">
        <w:rPr>
          <w:lang w:val="en-US"/>
        </w:rPr>
        <w:t>IARC</w:t>
      </w:r>
      <w:r w:rsidR="00224A7C" w:rsidRPr="002D6EC7">
        <w:t xml:space="preserve"> and IOM</w:t>
      </w:r>
      <w:r w:rsidR="00E86A2F" w:rsidRPr="002D6EC7">
        <w:t xml:space="preserve">. </w:t>
      </w:r>
      <w:r w:rsidR="007C35C7" w:rsidRPr="002D6EC7">
        <w:t>F</w:t>
      </w:r>
      <w:r w:rsidR="00224A7C" w:rsidRPr="002D6EC7">
        <w:t>uture discussions</w:t>
      </w:r>
      <w:r w:rsidR="00280BDB" w:rsidRPr="002D6EC7">
        <w:t xml:space="preserve">, such as suggested previously </w:t>
      </w:r>
      <w:r w:rsidR="00CE24FC" w:rsidRPr="002D6EC7">
        <w:rPr>
          <w:lang w:val="en-US" w:eastAsia="en-GB"/>
        </w:rPr>
        <w:fldChar w:fldCharType="begin"/>
      </w:r>
      <w:r w:rsidR="002D6EC7" w:rsidRPr="002D6EC7">
        <w:rPr>
          <w:lang w:val="en-US" w:eastAsia="en-GB"/>
        </w:rPr>
        <w:instrText xml:space="preserve"> ADDIN PAPERS2_CITATIONS &lt;citation&gt;&lt;priority&gt;50&lt;/priority&gt;&lt;uuid&gt;0430721D-79C8-4D1F-B38A-3FB4083ED990&lt;/uuid&gt;&lt;publications&gt;&lt;publication&gt;&lt;subtype&gt;400&lt;/subtype&gt;&lt;publisher&gt;BioMed Central&lt;/publisher&gt;&lt;title&gt;Guidelines for Biomarker of Food Intake Reviews (BFIRev): how to conduct an extensive literature search for biomarker of food intake discovery.&lt;/title&gt;&lt;url&gt;https://genesandnutrition.biomedcentral.com/articles/10.1186/s12263-018-0592-8&lt;/url&gt;&lt;volume&gt;13&lt;/volume&gt;&lt;publication_date&gt;99201800001200000000200000&lt;/publication_date&gt;&lt;uuid&gt;508DC8B6-9230-4925-B166-D4AD6F7935CA&lt;/uuid&gt;&lt;type&gt;400&lt;/type&gt;&lt;accepted_date&gt;99201801301200000000222000&lt;/accepted_date&gt;&lt;number&gt;1&lt;/number&gt;&lt;submission_date&gt;99201707071200000000222000&lt;/submission_date&gt;&lt;doi&gt;10.1186/s12263-018-0592-8&lt;/doi&gt;&lt;institution&gt;1Department of Nutrition, Exercise and Sports, University of Copenhagen, Copenhagen, Denmark.&lt;/institution&gt;&lt;startpage&gt;3&lt;/startpage&gt;&lt;bundle&gt;&lt;publication&gt;&lt;title&gt;Genes Nutr&lt;/title&gt;&lt;uuid&gt;EA1D0D86-A62A-411F-8EE9-4B14C054E1ED&lt;/uuid&gt;&lt;subtype&gt;-100&lt;/subtype&gt;&lt;type&gt;-100&lt;/type&gt;&lt;/publication&gt;&lt;/bundle&gt;&lt;authors&gt;&lt;author&gt;&lt;lastName&gt;Praticò&lt;/lastName&gt;&lt;firstName&gt;Giulia&lt;/firstName&gt;&lt;/author&gt;&lt;author&gt;&lt;lastName&gt;Gao&lt;/lastName&gt;&lt;firstName&gt;Qian&lt;/firstName&gt;&lt;/author&gt;&lt;author&gt;&lt;lastName&gt;Scalbert&lt;/lastName&gt;&lt;firstName&gt;Augustin&lt;/firstName&gt;&lt;/author&gt;&lt;author&gt;&lt;lastName&gt;Vergères&lt;/lastName&gt;&lt;firstName&gt;Guy&lt;/firstName&gt;&lt;/author&gt;&lt;author&gt;&lt;lastName&gt;Kolehmainen&lt;/lastName&gt;&lt;firstName&gt;Marjukka&lt;/firstName&gt;&lt;/author&gt;&lt;author&gt;&lt;lastName&gt;Manach&lt;/lastName&gt;&lt;firstName&gt;Claudine&lt;/firstName&gt;&lt;/author&gt;&lt;author&gt;&lt;lastName&gt;Brennan&lt;/lastName&gt;&lt;firstName&gt;Lorraine&lt;/firstName&gt;&lt;/author&gt;&lt;author&gt;&lt;lastName&gt;Pedapati&lt;/lastName&gt;&lt;firstName&gt;Sri&lt;/firstName&gt;&lt;middleNames&gt;Harsha&lt;/middleNames&gt;&lt;/author&gt;&lt;author&gt;&lt;lastName&gt;Afman&lt;/lastName&gt;&lt;firstName&gt;Lydia&lt;/firstName&gt;&lt;middleNames&gt;A&lt;/middleNames&gt;&lt;/author&gt;&lt;author&gt;&lt;lastName&gt;Wishart&lt;/lastName&gt;&lt;firstName&gt;David&lt;/firstName&gt;&lt;middleNames&gt;S&lt;/middleNames&gt;&lt;/author&gt;&lt;author&gt;&lt;lastName&gt;Vázquez-Fresno&lt;/lastName&gt;&lt;firstName&gt;Rosa&lt;/firstName&gt;&lt;/author&gt;&lt;author&gt;&lt;lastName&gt;AndrÈs-Lacueva&lt;/lastName&gt;&lt;firstName&gt;Cristina&lt;/firstName&gt;&lt;/author&gt;&lt;author&gt;&lt;lastName&gt;Garcia-Aloy&lt;/lastName&gt;&lt;firstName&gt;Mar&lt;/firstName&gt;&lt;/author&gt;&lt;author&gt;&lt;lastName&gt;Verhagen&lt;/lastName&gt;&lt;firstName&gt;Hans&lt;/firstName&gt;&lt;/author&gt;&lt;author&gt;&lt;lastName&gt;Feskens&lt;/lastName&gt;&lt;firstName&gt;Edith&lt;/firstName&gt;&lt;middleNames&gt;J M&lt;/middleNames&gt;&lt;/author&gt;&lt;author&gt;&lt;lastName&gt;Dragsted&lt;/lastName&gt;&lt;firstName&gt;Lars&lt;/firstName&gt;&lt;middleNames&gt;O&lt;/middleNames&gt;&lt;/author&gt;&lt;/authors&gt;&lt;/publication&gt;&lt;/publications&gt;&lt;cites&gt;&lt;/cites&gt;&lt;/citation&gt;</w:instrText>
      </w:r>
      <w:r w:rsidR="00CE24FC" w:rsidRPr="002D6EC7">
        <w:rPr>
          <w:lang w:val="en-US" w:eastAsia="en-GB"/>
        </w:rPr>
        <w:fldChar w:fldCharType="separate"/>
      </w:r>
      <w:r w:rsidR="002D6EC7" w:rsidRPr="002D6EC7">
        <w:rPr>
          <w:vertAlign w:val="superscript"/>
          <w:lang w:val="en-US" w:eastAsia="en-GB"/>
        </w:rPr>
        <w:t>36</w:t>
      </w:r>
      <w:r w:rsidR="00CE24FC" w:rsidRPr="002D6EC7">
        <w:rPr>
          <w:lang w:val="en-US" w:eastAsia="en-GB"/>
        </w:rPr>
        <w:fldChar w:fldCharType="end"/>
      </w:r>
      <w:r w:rsidR="00280BDB" w:rsidRPr="002D6EC7">
        <w:t>,</w:t>
      </w:r>
      <w:r w:rsidR="00224A7C" w:rsidRPr="002D6EC7">
        <w:t xml:space="preserve"> </w:t>
      </w:r>
      <w:r w:rsidR="00280BDB" w:rsidRPr="002D6EC7">
        <w:t>are crucial</w:t>
      </w:r>
      <w:r w:rsidR="00224A7C" w:rsidRPr="002D6EC7">
        <w:t xml:space="preserve"> to develop specific criteria for the evaluation of nutritional biomarkers</w:t>
      </w:r>
      <w:r w:rsidR="00E86A2F" w:rsidRPr="002D6EC7">
        <w:t xml:space="preserve">, </w:t>
      </w:r>
      <w:r w:rsidR="007C35C7" w:rsidRPr="002D6EC7">
        <w:t xml:space="preserve">and thus foster the development of new biomarkers of dietary bioactives for the </w:t>
      </w:r>
      <w:r w:rsidR="00E86A2F" w:rsidRPr="002D6EC7">
        <w:t xml:space="preserve">replacement of biased methods for </w:t>
      </w:r>
      <w:r w:rsidR="007C35C7" w:rsidRPr="002D6EC7">
        <w:t>intake assessment</w:t>
      </w:r>
      <w:r w:rsidR="00224A7C" w:rsidRPr="002D6EC7">
        <w:t>.</w:t>
      </w:r>
    </w:p>
    <w:p w14:paraId="667750C6" w14:textId="77777777" w:rsidR="0008362B" w:rsidRPr="002D6EC7" w:rsidRDefault="0008362B" w:rsidP="0008362B">
      <w:pPr>
        <w:pStyle w:val="Heading1"/>
      </w:pPr>
      <w:r w:rsidRPr="002D6EC7">
        <w:lastRenderedPageBreak/>
        <w:t>Conclusion</w:t>
      </w:r>
    </w:p>
    <w:p w14:paraId="0A62AB5A" w14:textId="6548E3E5" w:rsidR="008F5212" w:rsidRPr="002D6EC7" w:rsidRDefault="008F5212" w:rsidP="001708F6">
      <w:pPr>
        <w:pStyle w:val="RdgNormal"/>
      </w:pPr>
      <w:r w:rsidRPr="002D6EC7">
        <w:t xml:space="preserve">In </w:t>
      </w:r>
      <w:r w:rsidR="00461816" w:rsidRPr="002D6EC7">
        <w:t>our</w:t>
      </w:r>
      <w:r w:rsidRPr="002D6EC7">
        <w:t xml:space="preserve"> stud</w:t>
      </w:r>
      <w:r w:rsidR="00461816" w:rsidRPr="002D6EC7">
        <w:t>ies</w:t>
      </w:r>
      <w:r w:rsidRPr="002D6EC7">
        <w:t xml:space="preserve">, we have shown that </w:t>
      </w:r>
      <w:r w:rsidR="00A75E22" w:rsidRPr="002D6EC7">
        <w:t>24</w:t>
      </w:r>
      <w:r w:rsidR="005479FD" w:rsidRPr="002D6EC7">
        <w:t xml:space="preserve"> </w:t>
      </w:r>
      <w:r w:rsidR="00A75E22" w:rsidRPr="002D6EC7">
        <w:t xml:space="preserve">h urinary excretion of </w:t>
      </w:r>
      <w:r w:rsidRPr="002D6EC7">
        <w:t>a combination of three structurally related (−)-epicatechin metabolites ((−)-epicatechin-3</w:t>
      </w:r>
      <w:r w:rsidRPr="002D6EC7">
        <w:rPr>
          <w:rFonts w:hint="eastAsia"/>
        </w:rPr>
        <w:t>′</w:t>
      </w:r>
      <w:r w:rsidRPr="002D6EC7">
        <w:t>-glucuronide (E3G), (−)-epicatechin-3</w:t>
      </w:r>
      <w:r w:rsidRPr="002D6EC7">
        <w:rPr>
          <w:rFonts w:hint="eastAsia"/>
        </w:rPr>
        <w:t>′</w:t>
      </w:r>
      <w:r w:rsidRPr="002D6EC7">
        <w:t>-</w:t>
      </w:r>
      <w:proofErr w:type="spellStart"/>
      <w:r w:rsidRPr="002D6EC7">
        <w:t>sulfate</w:t>
      </w:r>
      <w:proofErr w:type="spellEnd"/>
      <w:r w:rsidRPr="002D6EC7">
        <w:t xml:space="preserve"> (E3S) and 3</w:t>
      </w:r>
      <w:r w:rsidRPr="002D6EC7">
        <w:rPr>
          <w:rFonts w:hint="eastAsia"/>
        </w:rPr>
        <w:t>′</w:t>
      </w:r>
      <w:r w:rsidRPr="002D6EC7">
        <w:rPr>
          <w:rFonts w:hint="eastAsia"/>
        </w:rPr>
        <w:t>-</w:t>
      </w:r>
      <w:r w:rsidRPr="002D6EC7">
        <w:t>O-methyl-(−)-epicatechin-5-sulfate (MeE5S), SREM</w:t>
      </w:r>
      <w:r w:rsidRPr="002D6EC7">
        <w:rPr>
          <w:vertAlign w:val="subscript"/>
        </w:rPr>
        <w:t>B</w:t>
      </w:r>
      <w:r w:rsidRPr="002D6EC7">
        <w:t>)</w:t>
      </w:r>
      <w:r w:rsidR="00A75E22" w:rsidRPr="002D6EC7">
        <w:t xml:space="preserve"> meet the criteria for </w:t>
      </w:r>
      <w:r w:rsidR="00574A35" w:rsidRPr="002D6EC7">
        <w:t xml:space="preserve">a </w:t>
      </w:r>
      <w:r w:rsidR="00A75E22" w:rsidRPr="002D6EC7">
        <w:t xml:space="preserve">recovery biomarker </w:t>
      </w:r>
      <w:r w:rsidR="00E663D3" w:rsidRPr="002D6EC7">
        <w:t>in 24</w:t>
      </w:r>
      <w:r w:rsidR="005479FD" w:rsidRPr="002D6EC7">
        <w:t xml:space="preserve"> </w:t>
      </w:r>
      <w:r w:rsidR="00E663D3" w:rsidRPr="002D6EC7">
        <w:t xml:space="preserve">h urines </w:t>
      </w:r>
      <w:r w:rsidR="00A75E22" w:rsidRPr="002D6EC7">
        <w:t>and can therefore</w:t>
      </w:r>
      <w:r w:rsidRPr="002D6EC7">
        <w:t xml:space="preserve"> be used </w:t>
      </w:r>
      <w:r w:rsidR="00B21EF8" w:rsidRPr="002D6EC7">
        <w:t xml:space="preserve">as </w:t>
      </w:r>
      <w:r w:rsidRPr="002D6EC7">
        <w:t>a nutritional biomarker to estimate actual (−)-epicatechin intake</w:t>
      </w:r>
      <w:r w:rsidR="00A75E22" w:rsidRPr="002D6EC7">
        <w:t xml:space="preserve">. </w:t>
      </w:r>
      <w:r w:rsidR="0062437C" w:rsidRPr="002D6EC7">
        <w:t>The method we have developed is suitable for automation and therefore high-throughput analysis, and we have applied it successfully to more than 24,000 samples of the EPIC Norfolk cohort.</w:t>
      </w:r>
      <w:r w:rsidR="0068097C" w:rsidRPr="002D6EC7">
        <w:t xml:space="preserve"> The development of this biomarker would not have been possible without the availability of authentic standards and detailed pharmacokinetic data.</w:t>
      </w:r>
    </w:p>
    <w:p w14:paraId="10018587" w14:textId="6F6FC8D8" w:rsidR="00B4474B" w:rsidRPr="002D6EC7" w:rsidRDefault="0068097C" w:rsidP="00B4474B">
      <w:pPr>
        <w:pStyle w:val="RdgNormalFollow"/>
      </w:pPr>
      <w:r w:rsidRPr="002D6EC7">
        <w:t xml:space="preserve">We </w:t>
      </w:r>
      <w:r w:rsidR="009B1D1C" w:rsidRPr="002D6EC7">
        <w:t>have shown</w:t>
      </w:r>
      <w:r w:rsidRPr="002D6EC7">
        <w:t xml:space="preserve"> that SREM</w:t>
      </w:r>
      <w:r w:rsidRPr="002D6EC7">
        <w:rPr>
          <w:vertAlign w:val="subscript"/>
        </w:rPr>
        <w:t>B</w:t>
      </w:r>
      <w:r w:rsidRPr="002D6EC7">
        <w:t xml:space="preserve"> is specific for (−)-epicatechin and not any other flavan-3-ol commonly consumed.</w:t>
      </w:r>
      <w:r w:rsidR="00B419F3" w:rsidRPr="002D6EC7">
        <w:t xml:space="preserve"> </w:t>
      </w:r>
      <w:r w:rsidR="00574A35" w:rsidRPr="002D6EC7">
        <w:t>Our findings provide</w:t>
      </w:r>
      <w:r w:rsidR="00B419F3" w:rsidRPr="002D6EC7">
        <w:t xml:space="preserve"> </w:t>
      </w:r>
      <w:r w:rsidR="00574A35" w:rsidRPr="002D6EC7">
        <w:t xml:space="preserve">an accurate method for the objective estimation of dietary </w:t>
      </w:r>
      <w:r w:rsidRPr="002D6EC7">
        <w:t>(−)-epicatechin</w:t>
      </w:r>
      <w:r w:rsidR="00574A35" w:rsidRPr="002D6EC7">
        <w:t>,</w:t>
      </w:r>
      <w:r w:rsidRPr="002D6EC7">
        <w:t xml:space="preserve"> the m</w:t>
      </w:r>
      <w:r w:rsidR="00B419F3" w:rsidRPr="002D6EC7">
        <w:t>ost likely bioactive flavan-3-ol</w:t>
      </w:r>
      <w:r w:rsidR="00574A35" w:rsidRPr="002D6EC7">
        <w:t xml:space="preserve">. </w:t>
      </w:r>
      <w:r w:rsidR="00B419F3" w:rsidRPr="002D6EC7">
        <w:t xml:space="preserve"> </w:t>
      </w:r>
      <w:r w:rsidR="008C0220" w:rsidRPr="002D6EC7">
        <w:t xml:space="preserve">This opens up the possibility to </w:t>
      </w:r>
      <w:r w:rsidR="00B419F3" w:rsidRPr="002D6EC7">
        <w:t>investigat</w:t>
      </w:r>
      <w:r w:rsidR="008C0220" w:rsidRPr="002D6EC7">
        <w:t>e</w:t>
      </w:r>
      <w:r w:rsidR="00B419F3" w:rsidRPr="002D6EC7">
        <w:t xml:space="preserve"> associations between (−)-epicatechin intake and health outcomes in large-scale observational studies.</w:t>
      </w:r>
      <w:r w:rsidR="00C40B1E" w:rsidRPr="002D6EC7">
        <w:t xml:space="preserve"> In the future this method could hold the potential to objectively assess </w:t>
      </w:r>
      <w:r w:rsidR="00461816" w:rsidRPr="002D6EC7">
        <w:t>dietary</w:t>
      </w:r>
      <w:r w:rsidR="00C40B1E" w:rsidRPr="002D6EC7">
        <w:t xml:space="preserve"> epicatechin adequacy </w:t>
      </w:r>
      <w:r w:rsidR="00CD6412" w:rsidRPr="002D6EC7">
        <w:t xml:space="preserve">as part of </w:t>
      </w:r>
      <w:r w:rsidR="00C40B1E" w:rsidRPr="002D6EC7">
        <w:t>approaches for personalised nutrition goals.</w:t>
      </w:r>
    </w:p>
    <w:p w14:paraId="17848FD9" w14:textId="77777777" w:rsidR="00B4474B" w:rsidRPr="002D6EC7" w:rsidRDefault="00B4474B">
      <w:pPr>
        <w:rPr>
          <w:rFonts w:ascii="Helvetica" w:hAnsi="Helvetica" w:cs="Arial"/>
          <w:kern w:val="32"/>
          <w:sz w:val="28"/>
          <w:szCs w:val="32"/>
        </w:rPr>
      </w:pPr>
      <w:r w:rsidRPr="002D6EC7">
        <w:br w:type="page"/>
      </w:r>
    </w:p>
    <w:p w14:paraId="1EB6711B" w14:textId="448AAFBC" w:rsidR="00B4474B" w:rsidRPr="002D6EC7" w:rsidRDefault="00B4474B" w:rsidP="00B4474B">
      <w:pPr>
        <w:pStyle w:val="NoNumberHeading"/>
      </w:pPr>
      <w:r w:rsidRPr="002D6EC7">
        <w:lastRenderedPageBreak/>
        <w:t>Acknowledgements</w:t>
      </w:r>
    </w:p>
    <w:p w14:paraId="1FFB62BA" w14:textId="6A9CA525" w:rsidR="0037347D" w:rsidRPr="002D6EC7" w:rsidRDefault="00B4474B" w:rsidP="00461816">
      <w:pPr>
        <w:pStyle w:val="RdgNormal"/>
        <w:rPr>
          <w:lang w:eastAsia="en-GB"/>
        </w:rPr>
      </w:pPr>
      <w:r w:rsidRPr="002D6EC7">
        <w:rPr>
          <w:shd w:val="clear" w:color="auto" w:fill="FFFFFF"/>
          <w:lang w:eastAsia="en-GB"/>
        </w:rPr>
        <w:t>We thank all EPIC-Norfolk study participants and staff for their contribution to the study. We thank all volunteers at UC Davis.</w:t>
      </w:r>
      <w:r w:rsidR="0037347D" w:rsidRPr="002D6EC7">
        <w:rPr>
          <w:lang w:eastAsia="en-GB"/>
        </w:rPr>
        <w:t xml:space="preserve"> NGF acknowledges MRC Epidemiology Unit core support [MC_UU_12015/5] and NIHR Biomedical Research Centre Cambridge: Nutrition, Diet and Lifestyle Research Theme [IS-BRC-1215-20014]. </w:t>
      </w:r>
    </w:p>
    <w:p w14:paraId="0B581101" w14:textId="77777777" w:rsidR="00B4474B" w:rsidRPr="002D6EC7" w:rsidRDefault="00B4474B" w:rsidP="00B4474B">
      <w:pPr>
        <w:pStyle w:val="NoNumberHeading"/>
      </w:pPr>
      <w:r w:rsidRPr="002D6EC7">
        <w:t>Author contributions</w:t>
      </w:r>
    </w:p>
    <w:p w14:paraId="72EE35B5" w14:textId="7D475816" w:rsidR="00B4474B" w:rsidRPr="002D6EC7" w:rsidRDefault="00B4474B" w:rsidP="00893069">
      <w:pPr>
        <w:pStyle w:val="RdgNormal"/>
        <w:rPr>
          <w:szCs w:val="27"/>
          <w:lang w:eastAsia="en-GB"/>
        </w:rPr>
      </w:pPr>
      <w:r w:rsidRPr="002D6EC7">
        <w:t>JIO, HS and GGCK designed the research. JIO, RF, JK and JLE conducted the intake escalation and specificity studies. JIO, RF, PBG, DHM, AT, AW and GGCK developed and validated the analytical methods. AB, NG, AV, DL, PBG, DHM, AT, AW, RL, GGCK analysed and processed samples of the prospective cohort study. KTK</w:t>
      </w:r>
      <w:r w:rsidR="009F64F5" w:rsidRPr="002D6EC7">
        <w:t xml:space="preserve"> and</w:t>
      </w:r>
      <w:r w:rsidRPr="002D6EC7">
        <w:t xml:space="preserve"> NJW are PIs </w:t>
      </w:r>
      <w:r w:rsidR="009F64F5" w:rsidRPr="002D6EC7">
        <w:t xml:space="preserve">of </w:t>
      </w:r>
      <w:r w:rsidRPr="002D6EC7">
        <w:t>EPIC Norfolk, ADS is PI of OPTIMA</w:t>
      </w:r>
      <w:r w:rsidR="009F64F5" w:rsidRPr="002D6EC7">
        <w:t>; NGF provided intellectual input and edited the manuscript</w:t>
      </w:r>
      <w:r w:rsidRPr="002D6EC7">
        <w:t>. JIO, HS and GGCK had primary responsibility for the final content. All authors read and approved the final manuscript.</w:t>
      </w:r>
    </w:p>
    <w:p w14:paraId="0E8379BC" w14:textId="147BE08B" w:rsidR="006674F6" w:rsidRPr="002D6EC7" w:rsidRDefault="00B4474B" w:rsidP="00AA4456">
      <w:pPr>
        <w:pStyle w:val="RdgNormal"/>
      </w:pPr>
      <w:r w:rsidRPr="002D6EC7">
        <w:t>HS and JIO are employed by Mars, Inc., a company engaged in flavanol research and flavanol-related commercial activities. GGCK has received an unrestricted research grant from Mars Inc.</w:t>
      </w:r>
      <w:r w:rsidR="00893069" w:rsidRPr="002D6EC7">
        <w:t xml:space="preserve"> None of the other authors has a conflict of interest to declare.</w:t>
      </w:r>
    </w:p>
    <w:p w14:paraId="74E20617" w14:textId="77777777" w:rsidR="00131685" w:rsidRPr="002D6EC7" w:rsidRDefault="00131685">
      <w:pPr>
        <w:rPr>
          <w:rFonts w:ascii="Helvetica" w:hAnsi="Helvetica" w:cs="Arial"/>
          <w:kern w:val="32"/>
          <w:sz w:val="28"/>
          <w:szCs w:val="32"/>
        </w:rPr>
      </w:pPr>
      <w:r w:rsidRPr="002D6EC7">
        <w:br w:type="page"/>
      </w:r>
    </w:p>
    <w:p w14:paraId="5A7D93E3" w14:textId="543421D3" w:rsidR="00CE24FC" w:rsidRPr="002D6EC7" w:rsidRDefault="006674F6" w:rsidP="00CE24FC">
      <w:pPr>
        <w:pStyle w:val="NoNumberHeading"/>
        <w:rPr>
          <w:rFonts w:eastAsia="MS ??"/>
          <w:sz w:val="18"/>
          <w:szCs w:val="18"/>
          <w:lang w:val="en-US" w:eastAsia="en-GB"/>
        </w:rPr>
      </w:pPr>
      <w:r w:rsidRPr="002D6EC7">
        <w:lastRenderedPageBreak/>
        <w:t>References</w:t>
      </w:r>
      <w:r w:rsidR="00A9217F" w:rsidRPr="002D6EC7">
        <w:rPr>
          <w:rFonts w:eastAsia="MS ??"/>
          <w:sz w:val="18"/>
          <w:szCs w:val="18"/>
          <w:lang w:val="en-US" w:eastAsia="en-GB"/>
        </w:rPr>
        <w:t xml:space="preserve"> </w:t>
      </w:r>
    </w:p>
    <w:p w14:paraId="2C05136C"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1.</w:t>
      </w:r>
      <w:r w:rsidRPr="002D6EC7">
        <w:rPr>
          <w:rFonts w:eastAsia="MS ??"/>
          <w:sz w:val="18"/>
          <w:szCs w:val="18"/>
          <w:lang w:val="en-US" w:eastAsia="en-GB"/>
        </w:rPr>
        <w:tab/>
      </w:r>
      <w:proofErr w:type="spellStart"/>
      <w:r w:rsidRPr="002D6EC7">
        <w:rPr>
          <w:rFonts w:eastAsia="MS ??"/>
          <w:sz w:val="18"/>
          <w:szCs w:val="18"/>
          <w:lang w:val="en-US" w:eastAsia="en-GB"/>
        </w:rPr>
        <w:t>Schroeter</w:t>
      </w:r>
      <w:proofErr w:type="spellEnd"/>
      <w:r w:rsidRPr="002D6EC7">
        <w:rPr>
          <w:rFonts w:eastAsia="MS ??"/>
          <w:sz w:val="18"/>
          <w:szCs w:val="18"/>
          <w:lang w:val="en-US" w:eastAsia="en-GB"/>
        </w:rPr>
        <w:t xml:space="preserve">, H. </w:t>
      </w:r>
      <w:r w:rsidRPr="002D6EC7">
        <w:rPr>
          <w:rFonts w:eastAsia="MS ??"/>
          <w:i/>
          <w:iCs/>
          <w:sz w:val="18"/>
          <w:szCs w:val="18"/>
          <w:lang w:val="en-US" w:eastAsia="en-GB"/>
        </w:rPr>
        <w:t>et al.</w:t>
      </w:r>
      <w:r w:rsidRPr="002D6EC7">
        <w:rPr>
          <w:rFonts w:eastAsia="MS ??"/>
          <w:sz w:val="18"/>
          <w:szCs w:val="18"/>
          <w:lang w:val="en-US" w:eastAsia="en-GB"/>
        </w:rPr>
        <w:t xml:space="preserve"> Recommending flavanols and procyanidins for cardiovascular health: Current knowledge and future needs. </w:t>
      </w:r>
      <w:r w:rsidRPr="002D6EC7">
        <w:rPr>
          <w:rFonts w:eastAsia="MS ??"/>
          <w:i/>
          <w:iCs/>
          <w:sz w:val="18"/>
          <w:szCs w:val="18"/>
          <w:lang w:val="en-US" w:eastAsia="en-GB"/>
        </w:rPr>
        <w:t>Molecular Aspects of Medicine</w:t>
      </w:r>
      <w:r w:rsidRPr="002D6EC7">
        <w:rPr>
          <w:rFonts w:eastAsia="MS ??"/>
          <w:sz w:val="18"/>
          <w:szCs w:val="18"/>
          <w:lang w:val="en-US" w:eastAsia="en-GB"/>
        </w:rPr>
        <w:t xml:space="preserve"> </w:t>
      </w:r>
      <w:r w:rsidRPr="002D6EC7">
        <w:rPr>
          <w:rFonts w:eastAsia="MS ??"/>
          <w:b/>
          <w:bCs/>
          <w:sz w:val="18"/>
          <w:szCs w:val="18"/>
          <w:lang w:val="en-US" w:eastAsia="en-GB"/>
        </w:rPr>
        <w:t>31,</w:t>
      </w:r>
      <w:r w:rsidRPr="002D6EC7">
        <w:rPr>
          <w:rFonts w:eastAsia="MS ??"/>
          <w:sz w:val="18"/>
          <w:szCs w:val="18"/>
          <w:lang w:val="en-US" w:eastAsia="en-GB"/>
        </w:rPr>
        <w:t xml:space="preserve"> 546–557 (2010).</w:t>
      </w:r>
    </w:p>
    <w:p w14:paraId="59C6E150"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2.</w:t>
      </w:r>
      <w:r w:rsidRPr="002D6EC7">
        <w:rPr>
          <w:rFonts w:eastAsia="MS ??"/>
          <w:sz w:val="18"/>
          <w:szCs w:val="18"/>
          <w:lang w:val="en-US" w:eastAsia="en-GB"/>
        </w:rPr>
        <w:tab/>
        <w:t xml:space="preserve">Recommending flavanols and procyanidins for cardiovascular health: Revisited. </w:t>
      </w:r>
      <w:r w:rsidRPr="002D6EC7">
        <w:rPr>
          <w:rFonts w:eastAsia="MS ??"/>
          <w:i/>
          <w:iCs/>
          <w:sz w:val="18"/>
          <w:szCs w:val="18"/>
          <w:lang w:val="en-US" w:eastAsia="en-GB"/>
        </w:rPr>
        <w:t>Mol. Aspects Med.</w:t>
      </w:r>
      <w:r w:rsidRPr="002D6EC7">
        <w:rPr>
          <w:rFonts w:eastAsia="MS ??"/>
          <w:sz w:val="18"/>
          <w:szCs w:val="18"/>
          <w:lang w:val="en-US" w:eastAsia="en-GB"/>
        </w:rPr>
        <w:t xml:space="preserve"> (2018). </w:t>
      </w:r>
      <w:proofErr w:type="gramStart"/>
      <w:r w:rsidRPr="002D6EC7">
        <w:rPr>
          <w:rFonts w:eastAsia="MS ??"/>
          <w:sz w:val="18"/>
          <w:szCs w:val="18"/>
          <w:lang w:val="en-US" w:eastAsia="en-GB"/>
        </w:rPr>
        <w:t>doi:10.1016/j.mam</w:t>
      </w:r>
      <w:proofErr w:type="gramEnd"/>
      <w:r w:rsidRPr="002D6EC7">
        <w:rPr>
          <w:rFonts w:eastAsia="MS ??"/>
          <w:sz w:val="18"/>
          <w:szCs w:val="18"/>
          <w:lang w:val="en-US" w:eastAsia="en-GB"/>
        </w:rPr>
        <w:t>.2018.02.001</w:t>
      </w:r>
    </w:p>
    <w:p w14:paraId="3DBE940D"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3.</w:t>
      </w:r>
      <w:r w:rsidRPr="002D6EC7">
        <w:rPr>
          <w:rFonts w:eastAsia="MS ??"/>
          <w:sz w:val="18"/>
          <w:szCs w:val="18"/>
          <w:lang w:val="en-US" w:eastAsia="en-GB"/>
        </w:rPr>
        <w:tab/>
        <w:t>Rodriguez-</w:t>
      </w:r>
      <w:proofErr w:type="spellStart"/>
      <w:r w:rsidRPr="002D6EC7">
        <w:rPr>
          <w:rFonts w:eastAsia="MS ??"/>
          <w:sz w:val="18"/>
          <w:szCs w:val="18"/>
          <w:lang w:val="en-US" w:eastAsia="en-GB"/>
        </w:rPr>
        <w:t>Mateos</w:t>
      </w:r>
      <w:proofErr w:type="spellEnd"/>
      <w:r w:rsidRPr="002D6EC7">
        <w:rPr>
          <w:rFonts w:eastAsia="MS ??"/>
          <w:sz w:val="18"/>
          <w:szCs w:val="18"/>
          <w:lang w:val="en-US" w:eastAsia="en-GB"/>
        </w:rPr>
        <w:t xml:space="preserve">, A. </w:t>
      </w:r>
      <w:r w:rsidRPr="002D6EC7">
        <w:rPr>
          <w:rFonts w:eastAsia="MS ??"/>
          <w:i/>
          <w:iCs/>
          <w:sz w:val="18"/>
          <w:szCs w:val="18"/>
          <w:lang w:val="en-US" w:eastAsia="en-GB"/>
        </w:rPr>
        <w:t>et al.</w:t>
      </w:r>
      <w:r w:rsidRPr="002D6EC7">
        <w:rPr>
          <w:rFonts w:eastAsia="MS ??"/>
          <w:sz w:val="18"/>
          <w:szCs w:val="18"/>
          <w:lang w:val="en-US" w:eastAsia="en-GB"/>
        </w:rPr>
        <w:t xml:space="preserve"> Assessing the respective contributions of dietary flavanol monomers and procyanidins in mediating cardiovascular effects in humans: randomized, controlled, double-masked intervention trial. </w:t>
      </w:r>
      <w:r w:rsidRPr="002D6EC7">
        <w:rPr>
          <w:rFonts w:eastAsia="MS ??"/>
          <w:i/>
          <w:iCs/>
          <w:sz w:val="18"/>
          <w:szCs w:val="18"/>
          <w:lang w:val="en-US" w:eastAsia="en-GB"/>
        </w:rPr>
        <w:t xml:space="preserve">Am J Clin </w:t>
      </w:r>
      <w:proofErr w:type="spellStart"/>
      <w:r w:rsidRPr="002D6EC7">
        <w:rPr>
          <w:rFonts w:eastAsia="MS ??"/>
          <w:i/>
          <w:iCs/>
          <w:sz w:val="18"/>
          <w:szCs w:val="18"/>
          <w:lang w:val="en-US" w:eastAsia="en-GB"/>
        </w:rPr>
        <w:t>Nutr</w:t>
      </w:r>
      <w:proofErr w:type="spellEnd"/>
      <w:r w:rsidRPr="002D6EC7">
        <w:rPr>
          <w:rFonts w:eastAsia="MS ??"/>
          <w:sz w:val="18"/>
          <w:szCs w:val="18"/>
          <w:lang w:val="en-US" w:eastAsia="en-GB"/>
        </w:rPr>
        <w:t xml:space="preserve"> </w:t>
      </w:r>
      <w:r w:rsidRPr="002D6EC7">
        <w:rPr>
          <w:rFonts w:eastAsia="MS ??"/>
          <w:b/>
          <w:bCs/>
          <w:sz w:val="18"/>
          <w:szCs w:val="18"/>
          <w:lang w:val="en-US" w:eastAsia="en-GB"/>
        </w:rPr>
        <w:t>31,</w:t>
      </w:r>
      <w:r w:rsidRPr="002D6EC7">
        <w:rPr>
          <w:rFonts w:eastAsia="MS ??"/>
          <w:sz w:val="18"/>
          <w:szCs w:val="18"/>
          <w:lang w:val="en-US" w:eastAsia="en-GB"/>
        </w:rPr>
        <w:t xml:space="preserve"> 546–1237 (2018).</w:t>
      </w:r>
    </w:p>
    <w:p w14:paraId="53429655"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4.</w:t>
      </w:r>
      <w:r w:rsidRPr="002D6EC7">
        <w:rPr>
          <w:rFonts w:eastAsia="MS ??"/>
          <w:sz w:val="18"/>
          <w:szCs w:val="18"/>
          <w:lang w:val="en-US" w:eastAsia="en-GB"/>
        </w:rPr>
        <w:tab/>
        <w:t xml:space="preserve">Kuhnle, G. G. C. Nutritional biomarkers for objective dietary assessment. </w:t>
      </w:r>
      <w:r w:rsidRPr="002D6EC7">
        <w:rPr>
          <w:rFonts w:eastAsia="MS ??"/>
          <w:i/>
          <w:iCs/>
          <w:sz w:val="18"/>
          <w:szCs w:val="18"/>
          <w:lang w:val="en-US" w:eastAsia="en-GB"/>
        </w:rPr>
        <w:t>J. Sci. Food Agric.</w:t>
      </w:r>
      <w:r w:rsidRPr="002D6EC7">
        <w:rPr>
          <w:rFonts w:eastAsia="MS ??"/>
          <w:sz w:val="18"/>
          <w:szCs w:val="18"/>
          <w:lang w:val="en-US" w:eastAsia="en-GB"/>
        </w:rPr>
        <w:t xml:space="preserve"> </w:t>
      </w:r>
      <w:r w:rsidRPr="002D6EC7">
        <w:rPr>
          <w:rFonts w:eastAsia="MS ??"/>
          <w:b/>
          <w:bCs/>
          <w:sz w:val="18"/>
          <w:szCs w:val="18"/>
          <w:lang w:val="en-US" w:eastAsia="en-GB"/>
        </w:rPr>
        <w:t>92,</w:t>
      </w:r>
      <w:r w:rsidRPr="002D6EC7">
        <w:rPr>
          <w:rFonts w:eastAsia="MS ??"/>
          <w:sz w:val="18"/>
          <w:szCs w:val="18"/>
          <w:lang w:val="en-US" w:eastAsia="en-GB"/>
        </w:rPr>
        <w:t xml:space="preserve"> 1145–1149 (2012).</w:t>
      </w:r>
    </w:p>
    <w:p w14:paraId="3C8E0C07"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5.</w:t>
      </w:r>
      <w:r w:rsidRPr="002D6EC7">
        <w:rPr>
          <w:rFonts w:eastAsia="MS ??"/>
          <w:sz w:val="18"/>
          <w:szCs w:val="18"/>
          <w:lang w:val="en-US" w:eastAsia="en-GB"/>
        </w:rPr>
        <w:tab/>
      </w:r>
      <w:proofErr w:type="spellStart"/>
      <w:r w:rsidRPr="002D6EC7">
        <w:rPr>
          <w:rFonts w:eastAsia="MS ??"/>
          <w:sz w:val="18"/>
          <w:szCs w:val="18"/>
          <w:lang w:val="en-US" w:eastAsia="en-GB"/>
        </w:rPr>
        <w:t>Jenab</w:t>
      </w:r>
      <w:proofErr w:type="spellEnd"/>
      <w:r w:rsidRPr="002D6EC7">
        <w:rPr>
          <w:rFonts w:eastAsia="MS ??"/>
          <w:sz w:val="18"/>
          <w:szCs w:val="18"/>
          <w:lang w:val="en-US" w:eastAsia="en-GB"/>
        </w:rPr>
        <w:t xml:space="preserve">, M., Slimani, N., </w:t>
      </w:r>
      <w:proofErr w:type="spellStart"/>
      <w:r w:rsidRPr="002D6EC7">
        <w:rPr>
          <w:rFonts w:eastAsia="MS ??"/>
          <w:sz w:val="18"/>
          <w:szCs w:val="18"/>
          <w:lang w:val="en-US" w:eastAsia="en-GB"/>
        </w:rPr>
        <w:t>Bictash</w:t>
      </w:r>
      <w:proofErr w:type="spellEnd"/>
      <w:r w:rsidRPr="002D6EC7">
        <w:rPr>
          <w:rFonts w:eastAsia="MS ??"/>
          <w:sz w:val="18"/>
          <w:szCs w:val="18"/>
          <w:lang w:val="en-US" w:eastAsia="en-GB"/>
        </w:rPr>
        <w:t xml:space="preserve">, M., Ferrari, P. &amp; Bingham, S. A. Biomarkers in nutritional epidemiology: applications, needs and new horizons. </w:t>
      </w:r>
      <w:r w:rsidRPr="002D6EC7">
        <w:rPr>
          <w:rFonts w:eastAsia="MS ??"/>
          <w:i/>
          <w:iCs/>
          <w:sz w:val="18"/>
          <w:szCs w:val="18"/>
          <w:lang w:val="en-US" w:eastAsia="en-GB"/>
        </w:rPr>
        <w:t>Hum. Genet.</w:t>
      </w:r>
      <w:r w:rsidRPr="002D6EC7">
        <w:rPr>
          <w:rFonts w:eastAsia="MS ??"/>
          <w:sz w:val="18"/>
          <w:szCs w:val="18"/>
          <w:lang w:val="en-US" w:eastAsia="en-GB"/>
        </w:rPr>
        <w:t xml:space="preserve"> </w:t>
      </w:r>
      <w:r w:rsidRPr="002D6EC7">
        <w:rPr>
          <w:rFonts w:eastAsia="MS ??"/>
          <w:b/>
          <w:bCs/>
          <w:sz w:val="18"/>
          <w:szCs w:val="18"/>
          <w:lang w:val="en-US" w:eastAsia="en-GB"/>
        </w:rPr>
        <w:t>125,</w:t>
      </w:r>
      <w:r w:rsidRPr="002D6EC7">
        <w:rPr>
          <w:rFonts w:eastAsia="MS ??"/>
          <w:sz w:val="18"/>
          <w:szCs w:val="18"/>
          <w:lang w:val="en-US" w:eastAsia="en-GB"/>
        </w:rPr>
        <w:t xml:space="preserve"> 507–525 (2009).</w:t>
      </w:r>
    </w:p>
    <w:p w14:paraId="30703785"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6.</w:t>
      </w:r>
      <w:r w:rsidRPr="002D6EC7">
        <w:rPr>
          <w:rFonts w:eastAsia="MS ??"/>
          <w:sz w:val="18"/>
          <w:szCs w:val="18"/>
          <w:lang w:val="en-US" w:eastAsia="en-GB"/>
        </w:rPr>
        <w:tab/>
        <w:t xml:space="preserve">Ottaviani, J. I. </w:t>
      </w:r>
      <w:r w:rsidRPr="002D6EC7">
        <w:rPr>
          <w:rFonts w:eastAsia="MS ??"/>
          <w:i/>
          <w:iCs/>
          <w:sz w:val="18"/>
          <w:szCs w:val="18"/>
          <w:lang w:val="en-US" w:eastAsia="en-GB"/>
        </w:rPr>
        <w:t>et al.</w:t>
      </w:r>
      <w:r w:rsidRPr="002D6EC7">
        <w:rPr>
          <w:rFonts w:eastAsia="MS ??"/>
          <w:sz w:val="18"/>
          <w:szCs w:val="18"/>
          <w:lang w:val="en-US" w:eastAsia="en-GB"/>
        </w:rPr>
        <w:t xml:space="preserve"> Evaluation at scale of microbiome-derived metabolites as biomarker of flavan-3-ol intake in epidemiological studies. </w:t>
      </w:r>
      <w:r w:rsidRPr="002D6EC7">
        <w:rPr>
          <w:rFonts w:eastAsia="MS ??"/>
          <w:i/>
          <w:iCs/>
          <w:sz w:val="18"/>
          <w:szCs w:val="18"/>
          <w:lang w:val="en-US" w:eastAsia="en-GB"/>
        </w:rPr>
        <w:t>Sci Rep</w:t>
      </w:r>
      <w:r w:rsidRPr="002D6EC7">
        <w:rPr>
          <w:rFonts w:eastAsia="MS ??"/>
          <w:sz w:val="18"/>
          <w:szCs w:val="18"/>
          <w:lang w:val="en-US" w:eastAsia="en-GB"/>
        </w:rPr>
        <w:t xml:space="preserve"> </w:t>
      </w:r>
      <w:r w:rsidRPr="002D6EC7">
        <w:rPr>
          <w:rFonts w:eastAsia="MS ??"/>
          <w:b/>
          <w:bCs/>
          <w:sz w:val="18"/>
          <w:szCs w:val="18"/>
          <w:lang w:val="en-US" w:eastAsia="en-GB"/>
        </w:rPr>
        <w:t>8,</w:t>
      </w:r>
      <w:r w:rsidRPr="002D6EC7">
        <w:rPr>
          <w:rFonts w:eastAsia="MS ??"/>
          <w:sz w:val="18"/>
          <w:szCs w:val="18"/>
          <w:lang w:val="en-US" w:eastAsia="en-GB"/>
        </w:rPr>
        <w:t xml:space="preserve"> 9859 (2018).</w:t>
      </w:r>
    </w:p>
    <w:p w14:paraId="5C0EAE06"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7.</w:t>
      </w:r>
      <w:r w:rsidRPr="002D6EC7">
        <w:rPr>
          <w:rFonts w:eastAsia="MS ??"/>
          <w:sz w:val="18"/>
          <w:szCs w:val="18"/>
          <w:lang w:val="en-US" w:eastAsia="en-GB"/>
        </w:rPr>
        <w:tab/>
        <w:t xml:space="preserve">Sun, Q. </w:t>
      </w:r>
      <w:r w:rsidRPr="002D6EC7">
        <w:rPr>
          <w:rFonts w:eastAsia="MS ??"/>
          <w:i/>
          <w:iCs/>
          <w:sz w:val="18"/>
          <w:szCs w:val="18"/>
          <w:lang w:val="en-US" w:eastAsia="en-GB"/>
        </w:rPr>
        <w:t>et al.</w:t>
      </w:r>
      <w:r w:rsidRPr="002D6EC7">
        <w:rPr>
          <w:rFonts w:eastAsia="MS ??"/>
          <w:sz w:val="18"/>
          <w:szCs w:val="18"/>
          <w:lang w:val="en-US" w:eastAsia="en-GB"/>
        </w:rPr>
        <w:t xml:space="preserve"> Urinary Excretion of Select Dietary Polyphenol Metabolites Is Associated with a Lower Risk of Type 2 Diabetes in Proximate but Not Remote Follow-Up in a Prospective Investigation in 2 Cohorts of US Women. </w:t>
      </w:r>
      <w:r w:rsidRPr="002D6EC7">
        <w:rPr>
          <w:rFonts w:eastAsia="MS ??"/>
          <w:i/>
          <w:iCs/>
          <w:sz w:val="18"/>
          <w:szCs w:val="18"/>
          <w:lang w:val="en-US" w:eastAsia="en-GB"/>
        </w:rPr>
        <w:t>Journal of Nutrition</w:t>
      </w:r>
      <w:r w:rsidRPr="002D6EC7">
        <w:rPr>
          <w:rFonts w:eastAsia="MS ??"/>
          <w:sz w:val="18"/>
          <w:szCs w:val="18"/>
          <w:lang w:val="en-US" w:eastAsia="en-GB"/>
        </w:rPr>
        <w:t xml:space="preserve"> </w:t>
      </w:r>
      <w:r w:rsidRPr="002D6EC7">
        <w:rPr>
          <w:rFonts w:eastAsia="MS ??"/>
          <w:b/>
          <w:bCs/>
          <w:sz w:val="18"/>
          <w:szCs w:val="18"/>
          <w:lang w:val="en-US" w:eastAsia="en-GB"/>
        </w:rPr>
        <w:t>145,</w:t>
      </w:r>
      <w:r w:rsidRPr="002D6EC7">
        <w:rPr>
          <w:rFonts w:eastAsia="MS ??"/>
          <w:sz w:val="18"/>
          <w:szCs w:val="18"/>
          <w:lang w:val="en-US" w:eastAsia="en-GB"/>
        </w:rPr>
        <w:t xml:space="preserve"> 1280–1288 (2015).</w:t>
      </w:r>
    </w:p>
    <w:p w14:paraId="3A370BAC"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8.</w:t>
      </w:r>
      <w:r w:rsidRPr="002D6EC7">
        <w:rPr>
          <w:rFonts w:eastAsia="MS ??"/>
          <w:sz w:val="18"/>
          <w:szCs w:val="18"/>
          <w:lang w:val="en-US" w:eastAsia="en-GB"/>
        </w:rPr>
        <w:tab/>
        <w:t xml:space="preserve">Zhang, M., Erik </w:t>
      </w:r>
      <w:proofErr w:type="spellStart"/>
      <w:r w:rsidRPr="002D6EC7">
        <w:rPr>
          <w:rFonts w:eastAsia="MS ??"/>
          <w:sz w:val="18"/>
          <w:szCs w:val="18"/>
          <w:lang w:val="en-US" w:eastAsia="en-GB"/>
        </w:rPr>
        <w:t>Jagdmann</w:t>
      </w:r>
      <w:proofErr w:type="spellEnd"/>
      <w:r w:rsidRPr="002D6EC7">
        <w:rPr>
          <w:rFonts w:eastAsia="MS ??"/>
          <w:sz w:val="18"/>
          <w:szCs w:val="18"/>
          <w:lang w:val="en-US" w:eastAsia="en-GB"/>
        </w:rPr>
        <w:t xml:space="preserve">, G., Jr., Van Zandt, M., Beckett, P. &amp; </w:t>
      </w:r>
      <w:proofErr w:type="spellStart"/>
      <w:r w:rsidRPr="002D6EC7">
        <w:rPr>
          <w:rFonts w:eastAsia="MS ??"/>
          <w:sz w:val="18"/>
          <w:szCs w:val="18"/>
          <w:lang w:val="en-US" w:eastAsia="en-GB"/>
        </w:rPr>
        <w:t>Schroeter</w:t>
      </w:r>
      <w:proofErr w:type="spellEnd"/>
      <w:r w:rsidRPr="002D6EC7">
        <w:rPr>
          <w:rFonts w:eastAsia="MS ??"/>
          <w:sz w:val="18"/>
          <w:szCs w:val="18"/>
          <w:lang w:val="en-US" w:eastAsia="en-GB"/>
        </w:rPr>
        <w:t>, H. Enantioselective synthesis of orthogonally protected (2R,3R)</w:t>
      </w:r>
      <w:proofErr w:type="gramStart"/>
      <w:r w:rsidRPr="002D6EC7">
        <w:rPr>
          <w:rFonts w:eastAsia="MS ??"/>
          <w:sz w:val="18"/>
          <w:szCs w:val="18"/>
          <w:lang w:val="en-US" w:eastAsia="en-GB"/>
        </w:rPr>
        <w:t>-(</w:t>
      </w:r>
      <w:proofErr w:type="gramEnd"/>
      <w:r w:rsidRPr="002D6EC7">
        <w:rPr>
          <w:rFonts w:eastAsia="MS ??"/>
          <w:sz w:val="18"/>
          <w:szCs w:val="18"/>
          <w:lang w:val="en-US" w:eastAsia="en-GB"/>
        </w:rPr>
        <w:t xml:space="preserve">−)-epicatechin derivatives, key intermediates in the de novo chemical synthesis of (−)-epicatechin glucuronides and sulfates. </w:t>
      </w:r>
      <w:r w:rsidRPr="002D6EC7">
        <w:rPr>
          <w:rFonts w:eastAsia="MS ??"/>
          <w:i/>
          <w:iCs/>
          <w:sz w:val="18"/>
          <w:szCs w:val="18"/>
          <w:lang w:val="en-US" w:eastAsia="en-GB"/>
        </w:rPr>
        <w:t>Tetrahedron: Asymmetry</w:t>
      </w:r>
      <w:r w:rsidRPr="002D6EC7">
        <w:rPr>
          <w:rFonts w:eastAsia="MS ??"/>
          <w:sz w:val="18"/>
          <w:szCs w:val="18"/>
          <w:lang w:val="en-US" w:eastAsia="en-GB"/>
        </w:rPr>
        <w:t xml:space="preserve"> </w:t>
      </w:r>
      <w:r w:rsidRPr="002D6EC7">
        <w:rPr>
          <w:rFonts w:eastAsia="MS ??"/>
          <w:b/>
          <w:bCs/>
          <w:sz w:val="18"/>
          <w:szCs w:val="18"/>
          <w:lang w:val="en-US" w:eastAsia="en-GB"/>
        </w:rPr>
        <w:t>24,</w:t>
      </w:r>
      <w:r w:rsidRPr="002D6EC7">
        <w:rPr>
          <w:rFonts w:eastAsia="MS ??"/>
          <w:sz w:val="18"/>
          <w:szCs w:val="18"/>
          <w:lang w:val="en-US" w:eastAsia="en-GB"/>
        </w:rPr>
        <w:t xml:space="preserve"> 362–373 (2013).</w:t>
      </w:r>
    </w:p>
    <w:p w14:paraId="6CC7AA1C"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9.</w:t>
      </w:r>
      <w:r w:rsidRPr="002D6EC7">
        <w:rPr>
          <w:rFonts w:eastAsia="MS ??"/>
          <w:sz w:val="18"/>
          <w:szCs w:val="18"/>
          <w:lang w:val="en-US" w:eastAsia="en-GB"/>
        </w:rPr>
        <w:tab/>
        <w:t xml:space="preserve">Zhang, M. </w:t>
      </w:r>
      <w:r w:rsidRPr="002D6EC7">
        <w:rPr>
          <w:rFonts w:eastAsia="MS ??"/>
          <w:i/>
          <w:iCs/>
          <w:sz w:val="18"/>
          <w:szCs w:val="18"/>
          <w:lang w:val="en-US" w:eastAsia="en-GB"/>
        </w:rPr>
        <w:t>et al.</w:t>
      </w:r>
      <w:r w:rsidRPr="002D6EC7">
        <w:rPr>
          <w:rFonts w:eastAsia="MS ??"/>
          <w:sz w:val="18"/>
          <w:szCs w:val="18"/>
          <w:lang w:val="en-US" w:eastAsia="en-GB"/>
        </w:rPr>
        <w:t xml:space="preserve"> Chemical Synthesis and Characterization of Epicatechin Glucuronides and Sulfates: Bioanalytical Standards for Epicatechin Metabolite Identification. </w:t>
      </w:r>
      <w:r w:rsidRPr="002D6EC7">
        <w:rPr>
          <w:rFonts w:eastAsia="MS ??"/>
          <w:i/>
          <w:iCs/>
          <w:sz w:val="18"/>
          <w:szCs w:val="18"/>
          <w:lang w:val="en-US" w:eastAsia="en-GB"/>
        </w:rPr>
        <w:t>J Nat Prod</w:t>
      </w:r>
      <w:r w:rsidRPr="002D6EC7">
        <w:rPr>
          <w:rFonts w:eastAsia="MS ??"/>
          <w:sz w:val="18"/>
          <w:szCs w:val="18"/>
          <w:lang w:val="en-US" w:eastAsia="en-GB"/>
        </w:rPr>
        <w:t xml:space="preserve"> </w:t>
      </w:r>
      <w:r w:rsidRPr="002D6EC7">
        <w:rPr>
          <w:rFonts w:eastAsia="MS ??"/>
          <w:b/>
          <w:bCs/>
          <w:sz w:val="18"/>
          <w:szCs w:val="18"/>
          <w:lang w:val="en-US" w:eastAsia="en-GB"/>
        </w:rPr>
        <w:t>76,</w:t>
      </w:r>
      <w:r w:rsidRPr="002D6EC7">
        <w:rPr>
          <w:rFonts w:eastAsia="MS ??"/>
          <w:sz w:val="18"/>
          <w:szCs w:val="18"/>
          <w:lang w:val="en-US" w:eastAsia="en-GB"/>
        </w:rPr>
        <w:t xml:space="preserve"> 157–169 (2013).</w:t>
      </w:r>
    </w:p>
    <w:p w14:paraId="42D5F234"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10.</w:t>
      </w:r>
      <w:r w:rsidRPr="002D6EC7">
        <w:rPr>
          <w:rFonts w:eastAsia="MS ??"/>
          <w:sz w:val="18"/>
          <w:szCs w:val="18"/>
          <w:lang w:val="en-US" w:eastAsia="en-GB"/>
        </w:rPr>
        <w:tab/>
      </w:r>
      <w:proofErr w:type="spellStart"/>
      <w:r w:rsidRPr="002D6EC7">
        <w:rPr>
          <w:rFonts w:eastAsia="MS ??"/>
          <w:sz w:val="18"/>
          <w:szCs w:val="18"/>
          <w:lang w:val="en-US" w:eastAsia="en-GB"/>
        </w:rPr>
        <w:t>Vogiatzoglou</w:t>
      </w:r>
      <w:proofErr w:type="spellEnd"/>
      <w:r w:rsidRPr="002D6EC7">
        <w:rPr>
          <w:rFonts w:eastAsia="MS ??"/>
          <w:sz w:val="18"/>
          <w:szCs w:val="18"/>
          <w:lang w:val="en-US" w:eastAsia="en-GB"/>
        </w:rPr>
        <w:t xml:space="preserve">, A. </w:t>
      </w:r>
      <w:r w:rsidRPr="002D6EC7">
        <w:rPr>
          <w:rFonts w:eastAsia="MS ??"/>
          <w:i/>
          <w:iCs/>
          <w:sz w:val="18"/>
          <w:szCs w:val="18"/>
          <w:lang w:val="en-US" w:eastAsia="en-GB"/>
        </w:rPr>
        <w:t>et al.</w:t>
      </w:r>
      <w:r w:rsidRPr="002D6EC7">
        <w:rPr>
          <w:rFonts w:eastAsia="MS ??"/>
          <w:sz w:val="18"/>
          <w:szCs w:val="18"/>
          <w:lang w:val="en-US" w:eastAsia="en-GB"/>
        </w:rPr>
        <w:t xml:space="preserve"> Assessment of the dietary intake of total flavan-3-ols, monomeric flavan-3-ols, proanthocyanidins and theaflavins in the European Union. </w:t>
      </w:r>
      <w:r w:rsidRPr="002D6EC7">
        <w:rPr>
          <w:rFonts w:eastAsia="MS ??"/>
          <w:i/>
          <w:iCs/>
          <w:sz w:val="18"/>
          <w:szCs w:val="18"/>
          <w:lang w:val="en-US" w:eastAsia="en-GB"/>
        </w:rPr>
        <w:t xml:space="preserve">Br J </w:t>
      </w:r>
      <w:proofErr w:type="spellStart"/>
      <w:r w:rsidRPr="002D6EC7">
        <w:rPr>
          <w:rFonts w:eastAsia="MS ??"/>
          <w:i/>
          <w:iCs/>
          <w:sz w:val="18"/>
          <w:szCs w:val="18"/>
          <w:lang w:val="en-US" w:eastAsia="en-GB"/>
        </w:rPr>
        <w:t>Nutr</w:t>
      </w:r>
      <w:proofErr w:type="spellEnd"/>
      <w:r w:rsidRPr="002D6EC7">
        <w:rPr>
          <w:rFonts w:eastAsia="MS ??"/>
          <w:sz w:val="18"/>
          <w:szCs w:val="18"/>
          <w:lang w:val="en-US" w:eastAsia="en-GB"/>
        </w:rPr>
        <w:t xml:space="preserve"> </w:t>
      </w:r>
      <w:r w:rsidRPr="002D6EC7">
        <w:rPr>
          <w:rFonts w:eastAsia="MS ??"/>
          <w:b/>
          <w:bCs/>
          <w:sz w:val="18"/>
          <w:szCs w:val="18"/>
          <w:lang w:val="en-US" w:eastAsia="en-GB"/>
        </w:rPr>
        <w:t>111,</w:t>
      </w:r>
      <w:r w:rsidRPr="002D6EC7">
        <w:rPr>
          <w:rFonts w:eastAsia="MS ??"/>
          <w:sz w:val="18"/>
          <w:szCs w:val="18"/>
          <w:lang w:val="en-US" w:eastAsia="en-GB"/>
        </w:rPr>
        <w:t xml:space="preserve"> 1463–1473 (2014).</w:t>
      </w:r>
    </w:p>
    <w:p w14:paraId="24B97C73"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11.</w:t>
      </w:r>
      <w:r w:rsidRPr="002D6EC7">
        <w:rPr>
          <w:rFonts w:eastAsia="MS ??"/>
          <w:sz w:val="18"/>
          <w:szCs w:val="18"/>
          <w:lang w:val="en-US" w:eastAsia="en-GB"/>
        </w:rPr>
        <w:tab/>
        <w:t xml:space="preserve">Day, N. </w:t>
      </w:r>
      <w:r w:rsidRPr="002D6EC7">
        <w:rPr>
          <w:rFonts w:eastAsia="MS ??"/>
          <w:i/>
          <w:iCs/>
          <w:sz w:val="18"/>
          <w:szCs w:val="18"/>
          <w:lang w:val="en-US" w:eastAsia="en-GB"/>
        </w:rPr>
        <w:t>et al.</w:t>
      </w:r>
      <w:r w:rsidRPr="002D6EC7">
        <w:rPr>
          <w:rFonts w:eastAsia="MS ??"/>
          <w:sz w:val="18"/>
          <w:szCs w:val="18"/>
          <w:lang w:val="en-US" w:eastAsia="en-GB"/>
        </w:rPr>
        <w:t xml:space="preserve"> EPIC-Norfolk: study design and characteristics of the cohort. European Prospective Investigation of Cancer. </w:t>
      </w:r>
      <w:r w:rsidRPr="002D6EC7">
        <w:rPr>
          <w:rFonts w:eastAsia="MS ??"/>
          <w:i/>
          <w:iCs/>
          <w:sz w:val="18"/>
          <w:szCs w:val="18"/>
          <w:lang w:val="en-US" w:eastAsia="en-GB"/>
        </w:rPr>
        <w:t>Br J Cancer</w:t>
      </w:r>
      <w:r w:rsidRPr="002D6EC7">
        <w:rPr>
          <w:rFonts w:eastAsia="MS ??"/>
          <w:sz w:val="18"/>
          <w:szCs w:val="18"/>
          <w:lang w:val="en-US" w:eastAsia="en-GB"/>
        </w:rPr>
        <w:t xml:space="preserve"> </w:t>
      </w:r>
      <w:r w:rsidRPr="002D6EC7">
        <w:rPr>
          <w:rFonts w:eastAsia="MS ??"/>
          <w:b/>
          <w:bCs/>
          <w:sz w:val="18"/>
          <w:szCs w:val="18"/>
          <w:lang w:val="en-US" w:eastAsia="en-GB"/>
        </w:rPr>
        <w:t>80 Suppl 1,</w:t>
      </w:r>
      <w:r w:rsidRPr="002D6EC7">
        <w:rPr>
          <w:rFonts w:eastAsia="MS ??"/>
          <w:sz w:val="18"/>
          <w:szCs w:val="18"/>
          <w:lang w:val="en-US" w:eastAsia="en-GB"/>
        </w:rPr>
        <w:t xml:space="preserve"> 95–103 (1999).</w:t>
      </w:r>
    </w:p>
    <w:p w14:paraId="7AE80D28"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12.</w:t>
      </w:r>
      <w:r w:rsidRPr="002D6EC7">
        <w:rPr>
          <w:rFonts w:eastAsia="MS ??"/>
          <w:sz w:val="18"/>
          <w:szCs w:val="18"/>
          <w:lang w:val="en-US" w:eastAsia="en-GB"/>
        </w:rPr>
        <w:tab/>
        <w:t xml:space="preserve">Budge, M. M., de Jager, C., </w:t>
      </w:r>
      <w:proofErr w:type="spellStart"/>
      <w:r w:rsidRPr="002D6EC7">
        <w:rPr>
          <w:rFonts w:eastAsia="MS ??"/>
          <w:sz w:val="18"/>
          <w:szCs w:val="18"/>
          <w:lang w:val="en-US" w:eastAsia="en-GB"/>
        </w:rPr>
        <w:t>Hogervorst</w:t>
      </w:r>
      <w:proofErr w:type="spellEnd"/>
      <w:r w:rsidRPr="002D6EC7">
        <w:rPr>
          <w:rFonts w:eastAsia="MS ??"/>
          <w:sz w:val="18"/>
          <w:szCs w:val="18"/>
          <w:lang w:val="en-US" w:eastAsia="en-GB"/>
        </w:rPr>
        <w:t xml:space="preserve">, E., Smith, A. </w:t>
      </w:r>
      <w:proofErr w:type="spellStart"/>
      <w:proofErr w:type="gramStart"/>
      <w:r w:rsidRPr="002D6EC7">
        <w:rPr>
          <w:rFonts w:eastAsia="MS ??"/>
          <w:sz w:val="18"/>
          <w:szCs w:val="18"/>
          <w:lang w:val="en-US" w:eastAsia="en-GB"/>
        </w:rPr>
        <w:t>D.Oxford</w:t>
      </w:r>
      <w:proofErr w:type="spellEnd"/>
      <w:proofErr w:type="gramEnd"/>
      <w:r w:rsidRPr="002D6EC7">
        <w:rPr>
          <w:rFonts w:eastAsia="MS ??"/>
          <w:sz w:val="18"/>
          <w:szCs w:val="18"/>
          <w:lang w:val="en-US" w:eastAsia="en-GB"/>
        </w:rPr>
        <w:t xml:space="preserve"> Project To Investigate Memory and Ageing (OPTIMA). Total plasma homocysteine, age, systolic blood pressure, and cognitive performance in older people. </w:t>
      </w:r>
      <w:r w:rsidRPr="002D6EC7">
        <w:rPr>
          <w:rFonts w:eastAsia="MS ??"/>
          <w:i/>
          <w:iCs/>
          <w:sz w:val="18"/>
          <w:szCs w:val="18"/>
          <w:lang w:val="en-US" w:eastAsia="en-GB"/>
        </w:rPr>
        <w:t xml:space="preserve">J Am </w:t>
      </w:r>
      <w:proofErr w:type="spellStart"/>
      <w:r w:rsidRPr="002D6EC7">
        <w:rPr>
          <w:rFonts w:eastAsia="MS ??"/>
          <w:i/>
          <w:iCs/>
          <w:sz w:val="18"/>
          <w:szCs w:val="18"/>
          <w:lang w:val="en-US" w:eastAsia="en-GB"/>
        </w:rPr>
        <w:t>Geriatr</w:t>
      </w:r>
      <w:proofErr w:type="spellEnd"/>
      <w:r w:rsidRPr="002D6EC7">
        <w:rPr>
          <w:rFonts w:eastAsia="MS ??"/>
          <w:i/>
          <w:iCs/>
          <w:sz w:val="18"/>
          <w:szCs w:val="18"/>
          <w:lang w:val="en-US" w:eastAsia="en-GB"/>
        </w:rPr>
        <w:t xml:space="preserve"> Soc</w:t>
      </w:r>
      <w:r w:rsidRPr="002D6EC7">
        <w:rPr>
          <w:rFonts w:eastAsia="MS ??"/>
          <w:sz w:val="18"/>
          <w:szCs w:val="18"/>
          <w:lang w:val="en-US" w:eastAsia="en-GB"/>
        </w:rPr>
        <w:t xml:space="preserve"> </w:t>
      </w:r>
      <w:r w:rsidRPr="002D6EC7">
        <w:rPr>
          <w:rFonts w:eastAsia="MS ??"/>
          <w:b/>
          <w:bCs/>
          <w:sz w:val="18"/>
          <w:szCs w:val="18"/>
          <w:lang w:val="en-US" w:eastAsia="en-GB"/>
        </w:rPr>
        <w:t>50,</w:t>
      </w:r>
      <w:r w:rsidRPr="002D6EC7">
        <w:rPr>
          <w:rFonts w:eastAsia="MS ??"/>
          <w:sz w:val="18"/>
          <w:szCs w:val="18"/>
          <w:lang w:val="en-US" w:eastAsia="en-GB"/>
        </w:rPr>
        <w:t xml:space="preserve"> 2014–2018 (2002).</w:t>
      </w:r>
    </w:p>
    <w:p w14:paraId="334DBF61"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13.</w:t>
      </w:r>
      <w:r w:rsidRPr="002D6EC7">
        <w:rPr>
          <w:rFonts w:eastAsia="MS ??"/>
          <w:sz w:val="18"/>
          <w:szCs w:val="18"/>
          <w:lang w:val="en-US" w:eastAsia="en-GB"/>
        </w:rPr>
        <w:tab/>
        <w:t xml:space="preserve">R Core Team. R: A Language and Environment for Statistical Computing. </w:t>
      </w:r>
      <w:r w:rsidRPr="002D6EC7">
        <w:rPr>
          <w:rFonts w:eastAsia="MS ??"/>
          <w:b/>
          <w:bCs/>
          <w:sz w:val="18"/>
          <w:szCs w:val="18"/>
          <w:lang w:val="en-US" w:eastAsia="en-GB"/>
        </w:rPr>
        <w:t>1,</w:t>
      </w:r>
      <w:r w:rsidRPr="002D6EC7">
        <w:rPr>
          <w:rFonts w:eastAsia="MS ??"/>
          <w:sz w:val="18"/>
          <w:szCs w:val="18"/>
          <w:lang w:val="en-US" w:eastAsia="en-GB"/>
        </w:rPr>
        <w:t xml:space="preserve"> (2018).</w:t>
      </w:r>
    </w:p>
    <w:p w14:paraId="48B3ABDA"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14.</w:t>
      </w:r>
      <w:r w:rsidRPr="002D6EC7">
        <w:rPr>
          <w:rFonts w:eastAsia="MS ??"/>
          <w:sz w:val="18"/>
          <w:szCs w:val="18"/>
          <w:lang w:val="en-US" w:eastAsia="en-GB"/>
        </w:rPr>
        <w:tab/>
        <w:t xml:space="preserve">Canty, A. &amp; Ripley, B. </w:t>
      </w:r>
      <w:r w:rsidRPr="002D6EC7">
        <w:rPr>
          <w:rFonts w:eastAsia="MS ??"/>
          <w:i/>
          <w:iCs/>
          <w:sz w:val="18"/>
          <w:szCs w:val="18"/>
          <w:lang w:val="en-US" w:eastAsia="en-GB"/>
        </w:rPr>
        <w:t>boot: Bootstrap R (S-Plus) Functions</w:t>
      </w:r>
      <w:r w:rsidRPr="002D6EC7">
        <w:rPr>
          <w:rFonts w:eastAsia="MS ??"/>
          <w:sz w:val="18"/>
          <w:szCs w:val="18"/>
          <w:lang w:val="en-US" w:eastAsia="en-GB"/>
        </w:rPr>
        <w:t>. (2017).</w:t>
      </w:r>
    </w:p>
    <w:p w14:paraId="2FD4AC34"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15.</w:t>
      </w:r>
      <w:r w:rsidRPr="002D6EC7">
        <w:rPr>
          <w:rFonts w:eastAsia="MS ??"/>
          <w:sz w:val="18"/>
          <w:szCs w:val="18"/>
          <w:lang w:val="en-US" w:eastAsia="en-GB"/>
        </w:rPr>
        <w:tab/>
        <w:t xml:space="preserve">Wickham, H. </w:t>
      </w:r>
      <w:r w:rsidRPr="002D6EC7">
        <w:rPr>
          <w:rFonts w:eastAsia="MS ??"/>
          <w:i/>
          <w:iCs/>
          <w:sz w:val="18"/>
          <w:szCs w:val="18"/>
          <w:lang w:val="en-US" w:eastAsia="en-GB"/>
        </w:rPr>
        <w:t>ggplot2: Elegant Graphics for Data Analysis</w:t>
      </w:r>
      <w:r w:rsidRPr="002D6EC7">
        <w:rPr>
          <w:rFonts w:eastAsia="MS ??"/>
          <w:sz w:val="18"/>
          <w:szCs w:val="18"/>
          <w:lang w:val="en-US" w:eastAsia="en-GB"/>
        </w:rPr>
        <w:t>. (Springer-Verlag New York, 2009).</w:t>
      </w:r>
    </w:p>
    <w:p w14:paraId="0CDF10D9"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16.</w:t>
      </w:r>
      <w:r w:rsidRPr="002D6EC7">
        <w:rPr>
          <w:rFonts w:eastAsia="MS ??"/>
          <w:sz w:val="18"/>
          <w:szCs w:val="18"/>
          <w:lang w:val="en-US" w:eastAsia="en-GB"/>
        </w:rPr>
        <w:tab/>
        <w:t>Harrell Jr, F. E. rms: Regression Modeling Strategies. (2017).</w:t>
      </w:r>
    </w:p>
    <w:p w14:paraId="64961305"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17.</w:t>
      </w:r>
      <w:r w:rsidRPr="002D6EC7">
        <w:rPr>
          <w:rFonts w:eastAsia="MS ??"/>
          <w:sz w:val="18"/>
          <w:szCs w:val="18"/>
          <w:lang w:val="en-US" w:eastAsia="en-GB"/>
        </w:rPr>
        <w:tab/>
        <w:t xml:space="preserve">Tukey, J. W. Comparing individual means in the analysis of variance. </w:t>
      </w:r>
      <w:r w:rsidRPr="002D6EC7">
        <w:rPr>
          <w:rFonts w:eastAsia="MS ??"/>
          <w:i/>
          <w:iCs/>
          <w:sz w:val="18"/>
          <w:szCs w:val="18"/>
          <w:lang w:val="en-US" w:eastAsia="en-GB"/>
        </w:rPr>
        <w:t>Biometrics</w:t>
      </w:r>
      <w:r w:rsidRPr="002D6EC7">
        <w:rPr>
          <w:rFonts w:eastAsia="MS ??"/>
          <w:sz w:val="18"/>
          <w:szCs w:val="18"/>
          <w:lang w:val="en-US" w:eastAsia="en-GB"/>
        </w:rPr>
        <w:t xml:space="preserve"> </w:t>
      </w:r>
      <w:r w:rsidRPr="002D6EC7">
        <w:rPr>
          <w:rFonts w:eastAsia="MS ??"/>
          <w:b/>
          <w:bCs/>
          <w:sz w:val="18"/>
          <w:szCs w:val="18"/>
          <w:lang w:val="en-US" w:eastAsia="en-GB"/>
        </w:rPr>
        <w:t>5,</w:t>
      </w:r>
      <w:r w:rsidRPr="002D6EC7">
        <w:rPr>
          <w:rFonts w:eastAsia="MS ??"/>
          <w:sz w:val="18"/>
          <w:szCs w:val="18"/>
          <w:lang w:val="en-US" w:eastAsia="en-GB"/>
        </w:rPr>
        <w:t xml:space="preserve"> 99–114 (1949).</w:t>
      </w:r>
    </w:p>
    <w:p w14:paraId="6C649DE0"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18.</w:t>
      </w:r>
      <w:r w:rsidRPr="002D6EC7">
        <w:rPr>
          <w:rFonts w:eastAsia="MS ??"/>
          <w:sz w:val="18"/>
          <w:szCs w:val="18"/>
          <w:lang w:val="en-US" w:eastAsia="en-GB"/>
        </w:rPr>
        <w:tab/>
      </w:r>
      <w:proofErr w:type="spellStart"/>
      <w:r w:rsidRPr="002D6EC7">
        <w:rPr>
          <w:rFonts w:eastAsia="MS ??"/>
          <w:sz w:val="18"/>
          <w:szCs w:val="18"/>
          <w:lang w:val="en-US" w:eastAsia="en-GB"/>
        </w:rPr>
        <w:t>Vogiatzoglou</w:t>
      </w:r>
      <w:proofErr w:type="spellEnd"/>
      <w:r w:rsidRPr="002D6EC7">
        <w:rPr>
          <w:rFonts w:eastAsia="MS ??"/>
          <w:sz w:val="18"/>
          <w:szCs w:val="18"/>
          <w:lang w:val="en-US" w:eastAsia="en-GB"/>
        </w:rPr>
        <w:t xml:space="preserve">, A. </w:t>
      </w:r>
      <w:r w:rsidRPr="002D6EC7">
        <w:rPr>
          <w:rFonts w:eastAsia="MS ??"/>
          <w:i/>
          <w:iCs/>
          <w:sz w:val="18"/>
          <w:szCs w:val="18"/>
          <w:lang w:val="en-US" w:eastAsia="en-GB"/>
        </w:rPr>
        <w:t>et al.</w:t>
      </w:r>
      <w:r w:rsidRPr="002D6EC7">
        <w:rPr>
          <w:rFonts w:eastAsia="MS ??"/>
          <w:sz w:val="18"/>
          <w:szCs w:val="18"/>
          <w:lang w:val="en-US" w:eastAsia="en-GB"/>
        </w:rPr>
        <w:t xml:space="preserve"> Flavonoid intake in European adults (18 to 64 Years). </w:t>
      </w:r>
      <w:proofErr w:type="spellStart"/>
      <w:r w:rsidRPr="002D6EC7">
        <w:rPr>
          <w:rFonts w:eastAsia="MS ??"/>
          <w:i/>
          <w:iCs/>
          <w:sz w:val="18"/>
          <w:szCs w:val="18"/>
          <w:lang w:val="en-US" w:eastAsia="en-GB"/>
        </w:rPr>
        <w:t>PLoS</w:t>
      </w:r>
      <w:proofErr w:type="spellEnd"/>
      <w:r w:rsidRPr="002D6EC7">
        <w:rPr>
          <w:rFonts w:eastAsia="MS ??"/>
          <w:i/>
          <w:iCs/>
          <w:sz w:val="18"/>
          <w:szCs w:val="18"/>
          <w:lang w:val="en-US" w:eastAsia="en-GB"/>
        </w:rPr>
        <w:t xml:space="preserve"> One</w:t>
      </w:r>
      <w:r w:rsidRPr="002D6EC7">
        <w:rPr>
          <w:rFonts w:eastAsia="MS ??"/>
          <w:sz w:val="18"/>
          <w:szCs w:val="18"/>
          <w:lang w:val="en-US" w:eastAsia="en-GB"/>
        </w:rPr>
        <w:t xml:space="preserve"> </w:t>
      </w:r>
      <w:r w:rsidRPr="002D6EC7">
        <w:rPr>
          <w:rFonts w:eastAsia="MS ??"/>
          <w:b/>
          <w:bCs/>
          <w:sz w:val="18"/>
          <w:szCs w:val="18"/>
          <w:lang w:val="en-US" w:eastAsia="en-GB"/>
        </w:rPr>
        <w:t>10,</w:t>
      </w:r>
      <w:r w:rsidRPr="002D6EC7">
        <w:rPr>
          <w:rFonts w:eastAsia="MS ??"/>
          <w:sz w:val="18"/>
          <w:szCs w:val="18"/>
          <w:lang w:val="en-US" w:eastAsia="en-GB"/>
        </w:rPr>
        <w:t xml:space="preserve"> (2015).</w:t>
      </w:r>
    </w:p>
    <w:p w14:paraId="6B098C44"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19.</w:t>
      </w:r>
      <w:r w:rsidRPr="002D6EC7">
        <w:rPr>
          <w:rFonts w:eastAsia="MS ??"/>
          <w:sz w:val="18"/>
          <w:szCs w:val="18"/>
          <w:lang w:val="en-US" w:eastAsia="en-GB"/>
        </w:rPr>
        <w:tab/>
      </w:r>
      <w:proofErr w:type="spellStart"/>
      <w:r w:rsidRPr="002D6EC7">
        <w:rPr>
          <w:rFonts w:eastAsia="MS ??"/>
          <w:sz w:val="18"/>
          <w:szCs w:val="18"/>
          <w:lang w:val="en-US" w:eastAsia="en-GB"/>
        </w:rPr>
        <w:t>Kaaks</w:t>
      </w:r>
      <w:proofErr w:type="spellEnd"/>
      <w:r w:rsidRPr="002D6EC7">
        <w:rPr>
          <w:rFonts w:eastAsia="MS ??"/>
          <w:sz w:val="18"/>
          <w:szCs w:val="18"/>
          <w:lang w:val="en-US" w:eastAsia="en-GB"/>
        </w:rPr>
        <w:t xml:space="preserve">, R., </w:t>
      </w:r>
      <w:proofErr w:type="spellStart"/>
      <w:r w:rsidRPr="002D6EC7">
        <w:rPr>
          <w:rFonts w:eastAsia="MS ??"/>
          <w:sz w:val="18"/>
          <w:szCs w:val="18"/>
          <w:lang w:val="en-US" w:eastAsia="en-GB"/>
        </w:rPr>
        <w:t>Riboli</w:t>
      </w:r>
      <w:proofErr w:type="spellEnd"/>
      <w:r w:rsidRPr="002D6EC7">
        <w:rPr>
          <w:rFonts w:eastAsia="MS ??"/>
          <w:sz w:val="18"/>
          <w:szCs w:val="18"/>
          <w:lang w:val="en-US" w:eastAsia="en-GB"/>
        </w:rPr>
        <w:t xml:space="preserve">, E. &amp; Sinha, R. Biochemical markers of dietary intake. </w:t>
      </w:r>
      <w:r w:rsidRPr="002D6EC7">
        <w:rPr>
          <w:rFonts w:eastAsia="MS ??"/>
          <w:i/>
          <w:iCs/>
          <w:sz w:val="18"/>
          <w:szCs w:val="18"/>
          <w:lang w:val="en-US" w:eastAsia="en-GB"/>
        </w:rPr>
        <w:t xml:space="preserve">IARC Sci </w:t>
      </w:r>
      <w:proofErr w:type="spellStart"/>
      <w:r w:rsidRPr="002D6EC7">
        <w:rPr>
          <w:rFonts w:eastAsia="MS ??"/>
          <w:i/>
          <w:iCs/>
          <w:sz w:val="18"/>
          <w:szCs w:val="18"/>
          <w:lang w:val="en-US" w:eastAsia="en-GB"/>
        </w:rPr>
        <w:t>Publ</w:t>
      </w:r>
      <w:proofErr w:type="spellEnd"/>
      <w:r w:rsidRPr="002D6EC7">
        <w:rPr>
          <w:rFonts w:eastAsia="MS ??"/>
          <w:sz w:val="18"/>
          <w:szCs w:val="18"/>
          <w:lang w:val="en-US" w:eastAsia="en-GB"/>
        </w:rPr>
        <w:t xml:space="preserve"> 103–126 (1997).</w:t>
      </w:r>
    </w:p>
    <w:p w14:paraId="6856EA23"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20.</w:t>
      </w:r>
      <w:r w:rsidRPr="002D6EC7">
        <w:rPr>
          <w:rFonts w:eastAsia="MS ??"/>
          <w:sz w:val="18"/>
          <w:szCs w:val="18"/>
          <w:lang w:val="en-US" w:eastAsia="en-GB"/>
        </w:rPr>
        <w:tab/>
        <w:t xml:space="preserve">The National Academies of Sciences, Engineering and Medicine, </w:t>
      </w:r>
      <w:proofErr w:type="spellStart"/>
      <w:r w:rsidRPr="002D6EC7">
        <w:rPr>
          <w:rFonts w:eastAsia="MS ??"/>
          <w:sz w:val="18"/>
          <w:szCs w:val="18"/>
          <w:lang w:val="en-US" w:eastAsia="en-GB"/>
        </w:rPr>
        <w:t>Micheel</w:t>
      </w:r>
      <w:proofErr w:type="spellEnd"/>
      <w:r w:rsidRPr="002D6EC7">
        <w:rPr>
          <w:rFonts w:eastAsia="MS ??"/>
          <w:sz w:val="18"/>
          <w:szCs w:val="18"/>
          <w:lang w:val="en-US" w:eastAsia="en-GB"/>
        </w:rPr>
        <w:t xml:space="preserve">, C. M. &amp; Ball, J. R. </w:t>
      </w:r>
      <w:r w:rsidRPr="002D6EC7">
        <w:rPr>
          <w:rFonts w:eastAsia="MS ??"/>
          <w:i/>
          <w:iCs/>
          <w:sz w:val="18"/>
          <w:szCs w:val="18"/>
          <w:lang w:val="en-US" w:eastAsia="en-GB"/>
        </w:rPr>
        <w:t>Evaluation of Biomarkers and Surrogate Endpoints in Chronic Disease</w:t>
      </w:r>
      <w:r w:rsidRPr="002D6EC7">
        <w:rPr>
          <w:rFonts w:eastAsia="MS ??"/>
          <w:sz w:val="18"/>
          <w:szCs w:val="18"/>
          <w:lang w:val="en-US" w:eastAsia="en-GB"/>
        </w:rPr>
        <w:t>. (National Academies Press (US), 2010). doi:10.17226/12869</w:t>
      </w:r>
    </w:p>
    <w:p w14:paraId="69612E08"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21.</w:t>
      </w:r>
      <w:r w:rsidRPr="002D6EC7">
        <w:rPr>
          <w:rFonts w:eastAsia="MS ??"/>
          <w:sz w:val="18"/>
          <w:szCs w:val="18"/>
          <w:lang w:val="en-US" w:eastAsia="en-GB"/>
        </w:rPr>
        <w:tab/>
      </w:r>
      <w:proofErr w:type="spellStart"/>
      <w:r w:rsidRPr="002D6EC7">
        <w:rPr>
          <w:rFonts w:eastAsia="MS ??"/>
          <w:sz w:val="18"/>
          <w:szCs w:val="18"/>
          <w:lang w:val="en-US" w:eastAsia="en-GB"/>
        </w:rPr>
        <w:t>Saha</w:t>
      </w:r>
      <w:proofErr w:type="spellEnd"/>
      <w:r w:rsidRPr="002D6EC7">
        <w:rPr>
          <w:rFonts w:eastAsia="MS ??"/>
          <w:sz w:val="18"/>
          <w:szCs w:val="18"/>
          <w:lang w:val="en-US" w:eastAsia="en-GB"/>
        </w:rPr>
        <w:t xml:space="preserve">, S. </w:t>
      </w:r>
      <w:r w:rsidRPr="002D6EC7">
        <w:rPr>
          <w:rFonts w:eastAsia="MS ??"/>
          <w:i/>
          <w:iCs/>
          <w:sz w:val="18"/>
          <w:szCs w:val="18"/>
          <w:lang w:val="en-US" w:eastAsia="en-GB"/>
        </w:rPr>
        <w:t>et al.</w:t>
      </w:r>
      <w:r w:rsidRPr="002D6EC7">
        <w:rPr>
          <w:rFonts w:eastAsia="MS ??"/>
          <w:sz w:val="18"/>
          <w:szCs w:val="18"/>
          <w:lang w:val="en-US" w:eastAsia="en-GB"/>
        </w:rPr>
        <w:t xml:space="preserve"> Human O-sulfated metabolites of (−)-epicatechin and methyl</w:t>
      </w:r>
      <w:proofErr w:type="gramStart"/>
      <w:r w:rsidRPr="002D6EC7">
        <w:rPr>
          <w:rFonts w:eastAsia="MS ??"/>
          <w:sz w:val="18"/>
          <w:szCs w:val="18"/>
          <w:lang w:val="en-US" w:eastAsia="en-GB"/>
        </w:rPr>
        <w:t>-(</w:t>
      </w:r>
      <w:proofErr w:type="gramEnd"/>
      <w:r w:rsidRPr="002D6EC7">
        <w:rPr>
          <w:rFonts w:eastAsia="MS ??"/>
          <w:sz w:val="18"/>
          <w:szCs w:val="18"/>
          <w:lang w:val="en-US" w:eastAsia="en-GB"/>
        </w:rPr>
        <w:t xml:space="preserve">−)-epicatechin are poor substrates for commercial aryl-sulfatases: Implications for studies concerned with quantifying epicatechin bioavailability. </w:t>
      </w:r>
      <w:r w:rsidRPr="002D6EC7">
        <w:rPr>
          <w:rFonts w:eastAsia="MS ??"/>
          <w:i/>
          <w:iCs/>
          <w:sz w:val="18"/>
          <w:szCs w:val="18"/>
          <w:lang w:val="en-US" w:eastAsia="en-GB"/>
        </w:rPr>
        <w:t>Pharmacological Research</w:t>
      </w:r>
      <w:r w:rsidRPr="002D6EC7">
        <w:rPr>
          <w:rFonts w:eastAsia="MS ??"/>
          <w:sz w:val="18"/>
          <w:szCs w:val="18"/>
          <w:lang w:val="en-US" w:eastAsia="en-GB"/>
        </w:rPr>
        <w:t xml:space="preserve"> </w:t>
      </w:r>
      <w:r w:rsidRPr="002D6EC7">
        <w:rPr>
          <w:rFonts w:eastAsia="MS ??"/>
          <w:b/>
          <w:bCs/>
          <w:sz w:val="18"/>
          <w:szCs w:val="18"/>
          <w:lang w:val="en-US" w:eastAsia="en-GB"/>
        </w:rPr>
        <w:t>65,</w:t>
      </w:r>
      <w:r w:rsidRPr="002D6EC7">
        <w:rPr>
          <w:rFonts w:eastAsia="MS ??"/>
          <w:sz w:val="18"/>
          <w:szCs w:val="18"/>
          <w:lang w:val="en-US" w:eastAsia="en-GB"/>
        </w:rPr>
        <w:t xml:space="preserve"> 592–602 (2012).</w:t>
      </w:r>
    </w:p>
    <w:p w14:paraId="502FE9A2"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22.</w:t>
      </w:r>
      <w:r w:rsidRPr="002D6EC7">
        <w:rPr>
          <w:rFonts w:eastAsia="MS ??"/>
          <w:sz w:val="18"/>
          <w:szCs w:val="18"/>
          <w:lang w:val="en-US" w:eastAsia="en-GB"/>
        </w:rPr>
        <w:tab/>
        <w:t xml:space="preserve">Ottaviani, J. I., Momma, T. Y., Kuhnle, G. G., Keen, C. L. &amp; </w:t>
      </w:r>
      <w:proofErr w:type="spellStart"/>
      <w:r w:rsidRPr="002D6EC7">
        <w:rPr>
          <w:rFonts w:eastAsia="MS ??"/>
          <w:sz w:val="18"/>
          <w:szCs w:val="18"/>
          <w:lang w:val="en-US" w:eastAsia="en-GB"/>
        </w:rPr>
        <w:t>Schroeter</w:t>
      </w:r>
      <w:proofErr w:type="spellEnd"/>
      <w:r w:rsidRPr="002D6EC7">
        <w:rPr>
          <w:rFonts w:eastAsia="MS ??"/>
          <w:sz w:val="18"/>
          <w:szCs w:val="18"/>
          <w:lang w:val="en-US" w:eastAsia="en-GB"/>
        </w:rPr>
        <w:t xml:space="preserve">, H. Structurally related (-)-epicatechin metabolites in humans: assessment using de novo chemically synthesized authentic standards. </w:t>
      </w:r>
      <w:r w:rsidRPr="002D6EC7">
        <w:rPr>
          <w:rFonts w:eastAsia="MS ??"/>
          <w:i/>
          <w:iCs/>
          <w:sz w:val="18"/>
          <w:szCs w:val="18"/>
          <w:lang w:val="en-US" w:eastAsia="en-GB"/>
        </w:rPr>
        <w:t xml:space="preserve">Free </w:t>
      </w:r>
      <w:proofErr w:type="spellStart"/>
      <w:r w:rsidRPr="002D6EC7">
        <w:rPr>
          <w:rFonts w:eastAsia="MS ??"/>
          <w:i/>
          <w:iCs/>
          <w:sz w:val="18"/>
          <w:szCs w:val="18"/>
          <w:lang w:val="en-US" w:eastAsia="en-GB"/>
        </w:rPr>
        <w:t>Radic</w:t>
      </w:r>
      <w:proofErr w:type="spellEnd"/>
      <w:r w:rsidRPr="002D6EC7">
        <w:rPr>
          <w:rFonts w:eastAsia="MS ??"/>
          <w:i/>
          <w:iCs/>
          <w:sz w:val="18"/>
          <w:szCs w:val="18"/>
          <w:lang w:val="en-US" w:eastAsia="en-GB"/>
        </w:rPr>
        <w:t xml:space="preserve"> Biol Med</w:t>
      </w:r>
      <w:r w:rsidRPr="002D6EC7">
        <w:rPr>
          <w:rFonts w:eastAsia="MS ??"/>
          <w:sz w:val="18"/>
          <w:szCs w:val="18"/>
          <w:lang w:val="en-US" w:eastAsia="en-GB"/>
        </w:rPr>
        <w:t xml:space="preserve"> </w:t>
      </w:r>
      <w:r w:rsidRPr="002D6EC7">
        <w:rPr>
          <w:rFonts w:eastAsia="MS ??"/>
          <w:b/>
          <w:bCs/>
          <w:sz w:val="18"/>
          <w:szCs w:val="18"/>
          <w:lang w:val="en-US" w:eastAsia="en-GB"/>
        </w:rPr>
        <w:t>52,</w:t>
      </w:r>
      <w:r w:rsidRPr="002D6EC7">
        <w:rPr>
          <w:rFonts w:eastAsia="MS ??"/>
          <w:sz w:val="18"/>
          <w:szCs w:val="18"/>
          <w:lang w:val="en-US" w:eastAsia="en-GB"/>
        </w:rPr>
        <w:t xml:space="preserve"> 1403–1412 (2012).</w:t>
      </w:r>
    </w:p>
    <w:p w14:paraId="5922C7F0"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23.</w:t>
      </w:r>
      <w:r w:rsidRPr="002D6EC7">
        <w:rPr>
          <w:rFonts w:eastAsia="MS ??"/>
          <w:sz w:val="18"/>
          <w:szCs w:val="18"/>
          <w:lang w:val="en-US" w:eastAsia="en-GB"/>
        </w:rPr>
        <w:tab/>
        <w:t xml:space="preserve">Ottaviani, J. I., Fong, R. Y., Borges, G., </w:t>
      </w:r>
      <w:proofErr w:type="spellStart"/>
      <w:r w:rsidRPr="002D6EC7">
        <w:rPr>
          <w:rFonts w:eastAsia="MS ??"/>
          <w:sz w:val="18"/>
          <w:szCs w:val="18"/>
          <w:lang w:val="en-US" w:eastAsia="en-GB"/>
        </w:rPr>
        <w:t>Schroeter</w:t>
      </w:r>
      <w:proofErr w:type="spellEnd"/>
      <w:r w:rsidRPr="002D6EC7">
        <w:rPr>
          <w:rFonts w:eastAsia="MS ??"/>
          <w:sz w:val="18"/>
          <w:szCs w:val="18"/>
          <w:lang w:val="en-US" w:eastAsia="en-GB"/>
        </w:rPr>
        <w:t xml:space="preserve">, H. &amp; Crozier, A. Use of LC-MS for the quantitative analysis of (poly)phenol metabolites does not necessarily yield accurate results: Implications for assessing existing data and conducting future research. </w:t>
      </w:r>
      <w:r w:rsidRPr="002D6EC7">
        <w:rPr>
          <w:rFonts w:eastAsia="MS ??"/>
          <w:i/>
          <w:iCs/>
          <w:sz w:val="18"/>
          <w:szCs w:val="18"/>
          <w:lang w:val="en-US" w:eastAsia="en-GB"/>
        </w:rPr>
        <w:t xml:space="preserve">Free </w:t>
      </w:r>
      <w:proofErr w:type="spellStart"/>
      <w:r w:rsidRPr="002D6EC7">
        <w:rPr>
          <w:rFonts w:eastAsia="MS ??"/>
          <w:i/>
          <w:iCs/>
          <w:sz w:val="18"/>
          <w:szCs w:val="18"/>
          <w:lang w:val="en-US" w:eastAsia="en-GB"/>
        </w:rPr>
        <w:t>Radic</w:t>
      </w:r>
      <w:proofErr w:type="spellEnd"/>
      <w:r w:rsidRPr="002D6EC7">
        <w:rPr>
          <w:rFonts w:eastAsia="MS ??"/>
          <w:i/>
          <w:iCs/>
          <w:sz w:val="18"/>
          <w:szCs w:val="18"/>
          <w:lang w:val="en-US" w:eastAsia="en-GB"/>
        </w:rPr>
        <w:t xml:space="preserve"> Biol Med</w:t>
      </w:r>
      <w:r w:rsidRPr="002D6EC7">
        <w:rPr>
          <w:rFonts w:eastAsia="MS ??"/>
          <w:sz w:val="18"/>
          <w:szCs w:val="18"/>
          <w:lang w:val="en-US" w:eastAsia="en-GB"/>
        </w:rPr>
        <w:t xml:space="preserve"> </w:t>
      </w:r>
      <w:r w:rsidRPr="002D6EC7">
        <w:rPr>
          <w:rFonts w:eastAsia="MS ??"/>
          <w:b/>
          <w:bCs/>
          <w:sz w:val="18"/>
          <w:szCs w:val="18"/>
          <w:lang w:val="en-US" w:eastAsia="en-GB"/>
        </w:rPr>
        <w:t>124,</w:t>
      </w:r>
      <w:r w:rsidRPr="002D6EC7">
        <w:rPr>
          <w:rFonts w:eastAsia="MS ??"/>
          <w:sz w:val="18"/>
          <w:szCs w:val="18"/>
          <w:lang w:val="en-US" w:eastAsia="en-GB"/>
        </w:rPr>
        <w:t xml:space="preserve"> 97–103 (2018).</w:t>
      </w:r>
    </w:p>
    <w:p w14:paraId="265D2518"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24.</w:t>
      </w:r>
      <w:r w:rsidRPr="002D6EC7">
        <w:rPr>
          <w:rFonts w:eastAsia="MS ??"/>
          <w:sz w:val="18"/>
          <w:szCs w:val="18"/>
          <w:lang w:val="en-US" w:eastAsia="en-GB"/>
        </w:rPr>
        <w:tab/>
        <w:t xml:space="preserve">Food and Drug Administration. Guidance for Industry - Bioanalytical Method Validation. </w:t>
      </w:r>
      <w:r w:rsidRPr="002D6EC7">
        <w:rPr>
          <w:rFonts w:eastAsia="MS ??"/>
          <w:i/>
          <w:iCs/>
          <w:sz w:val="18"/>
          <w:szCs w:val="18"/>
          <w:lang w:val="en-US" w:eastAsia="en-GB"/>
        </w:rPr>
        <w:t>Tobacco Smoke Exposure Biomarkers</w:t>
      </w:r>
      <w:r w:rsidRPr="002D6EC7">
        <w:rPr>
          <w:rFonts w:eastAsia="MS ??"/>
          <w:sz w:val="18"/>
          <w:szCs w:val="18"/>
          <w:lang w:val="en-US" w:eastAsia="en-GB"/>
        </w:rPr>
        <w:t xml:space="preserve"> 247–264 (2001). doi:10.1201/b18276-17</w:t>
      </w:r>
    </w:p>
    <w:p w14:paraId="5E64DA91"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25.</w:t>
      </w:r>
      <w:r w:rsidRPr="002D6EC7">
        <w:rPr>
          <w:rFonts w:eastAsia="MS ??"/>
          <w:sz w:val="18"/>
          <w:szCs w:val="18"/>
          <w:lang w:val="en-US" w:eastAsia="en-GB"/>
        </w:rPr>
        <w:tab/>
        <w:t xml:space="preserve">Ottaviani, J. I., Kwik-Uribe, C., Keen, C. L. &amp; </w:t>
      </w:r>
      <w:proofErr w:type="spellStart"/>
      <w:r w:rsidRPr="002D6EC7">
        <w:rPr>
          <w:rFonts w:eastAsia="MS ??"/>
          <w:sz w:val="18"/>
          <w:szCs w:val="18"/>
          <w:lang w:val="en-US" w:eastAsia="en-GB"/>
        </w:rPr>
        <w:t>Schroeter</w:t>
      </w:r>
      <w:proofErr w:type="spellEnd"/>
      <w:r w:rsidRPr="002D6EC7">
        <w:rPr>
          <w:rFonts w:eastAsia="MS ??"/>
          <w:sz w:val="18"/>
          <w:szCs w:val="18"/>
          <w:lang w:val="en-US" w:eastAsia="en-GB"/>
        </w:rPr>
        <w:t xml:space="preserve">, H. Intake of dietary procyanidins does not contribute to the pool of circulating flavanols in humans. </w:t>
      </w:r>
      <w:r w:rsidRPr="002D6EC7">
        <w:rPr>
          <w:rFonts w:eastAsia="MS ??"/>
          <w:b/>
          <w:bCs/>
          <w:sz w:val="18"/>
          <w:szCs w:val="18"/>
          <w:lang w:val="en-US" w:eastAsia="en-GB"/>
        </w:rPr>
        <w:t>95,</w:t>
      </w:r>
      <w:r w:rsidRPr="002D6EC7">
        <w:rPr>
          <w:rFonts w:eastAsia="MS ??"/>
          <w:sz w:val="18"/>
          <w:szCs w:val="18"/>
          <w:lang w:val="en-US" w:eastAsia="en-GB"/>
        </w:rPr>
        <w:t xml:space="preserve"> 851–858 (2012).</w:t>
      </w:r>
    </w:p>
    <w:p w14:paraId="5E21C623"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26.</w:t>
      </w:r>
      <w:r w:rsidRPr="002D6EC7">
        <w:rPr>
          <w:rFonts w:eastAsia="MS ??"/>
          <w:sz w:val="18"/>
          <w:szCs w:val="18"/>
          <w:lang w:val="en-US" w:eastAsia="en-GB"/>
        </w:rPr>
        <w:tab/>
      </w:r>
      <w:proofErr w:type="spellStart"/>
      <w:r w:rsidRPr="002D6EC7">
        <w:rPr>
          <w:rFonts w:eastAsia="MS ??"/>
          <w:sz w:val="18"/>
          <w:szCs w:val="18"/>
          <w:lang w:val="en-US" w:eastAsia="en-GB"/>
        </w:rPr>
        <w:t>Kofink</w:t>
      </w:r>
      <w:proofErr w:type="spellEnd"/>
      <w:r w:rsidRPr="002D6EC7">
        <w:rPr>
          <w:rFonts w:eastAsia="MS ??"/>
          <w:sz w:val="18"/>
          <w:szCs w:val="18"/>
          <w:lang w:val="en-US" w:eastAsia="en-GB"/>
        </w:rPr>
        <w:t xml:space="preserve">, M., </w:t>
      </w:r>
      <w:proofErr w:type="spellStart"/>
      <w:r w:rsidRPr="002D6EC7">
        <w:rPr>
          <w:rFonts w:eastAsia="MS ??"/>
          <w:sz w:val="18"/>
          <w:szCs w:val="18"/>
          <w:lang w:val="en-US" w:eastAsia="en-GB"/>
        </w:rPr>
        <w:t>Papagiannopoulos</w:t>
      </w:r>
      <w:proofErr w:type="spellEnd"/>
      <w:r w:rsidRPr="002D6EC7">
        <w:rPr>
          <w:rFonts w:eastAsia="MS ??"/>
          <w:sz w:val="18"/>
          <w:szCs w:val="18"/>
          <w:lang w:val="en-US" w:eastAsia="en-GB"/>
        </w:rPr>
        <w:t xml:space="preserve">, M. &amp; </w:t>
      </w:r>
      <w:proofErr w:type="spellStart"/>
      <w:r w:rsidRPr="002D6EC7">
        <w:rPr>
          <w:rFonts w:eastAsia="MS ??"/>
          <w:sz w:val="18"/>
          <w:szCs w:val="18"/>
          <w:lang w:val="en-US" w:eastAsia="en-GB"/>
        </w:rPr>
        <w:t>Galensa</w:t>
      </w:r>
      <w:proofErr w:type="spellEnd"/>
      <w:r w:rsidRPr="002D6EC7">
        <w:rPr>
          <w:rFonts w:eastAsia="MS ??"/>
          <w:sz w:val="18"/>
          <w:szCs w:val="18"/>
          <w:lang w:val="en-US" w:eastAsia="en-GB"/>
        </w:rPr>
        <w:t xml:space="preserve">, R. </w:t>
      </w:r>
      <w:proofErr w:type="spellStart"/>
      <w:r w:rsidRPr="002D6EC7">
        <w:rPr>
          <w:rFonts w:eastAsia="MS ??"/>
          <w:sz w:val="18"/>
          <w:szCs w:val="18"/>
          <w:lang w:val="en-US" w:eastAsia="en-GB"/>
        </w:rPr>
        <w:t>Enantioseparation</w:t>
      </w:r>
      <w:proofErr w:type="spellEnd"/>
      <w:r w:rsidRPr="002D6EC7">
        <w:rPr>
          <w:rFonts w:eastAsia="MS ??"/>
          <w:sz w:val="18"/>
          <w:szCs w:val="18"/>
          <w:lang w:val="en-US" w:eastAsia="en-GB"/>
        </w:rPr>
        <w:t xml:space="preserve"> of catechin and epicatechin in plant food by chiral capillary electrophoresis. </w:t>
      </w:r>
      <w:r w:rsidRPr="002D6EC7">
        <w:rPr>
          <w:rFonts w:eastAsia="MS ??"/>
          <w:i/>
          <w:iCs/>
          <w:sz w:val="18"/>
          <w:szCs w:val="18"/>
          <w:lang w:val="en-US" w:eastAsia="en-GB"/>
        </w:rPr>
        <w:t>Eur Food Res Technol</w:t>
      </w:r>
      <w:r w:rsidRPr="002D6EC7">
        <w:rPr>
          <w:rFonts w:eastAsia="MS ??"/>
          <w:sz w:val="18"/>
          <w:szCs w:val="18"/>
          <w:lang w:val="en-US" w:eastAsia="en-GB"/>
        </w:rPr>
        <w:t xml:space="preserve"> </w:t>
      </w:r>
      <w:r w:rsidRPr="002D6EC7">
        <w:rPr>
          <w:rFonts w:eastAsia="MS ??"/>
          <w:b/>
          <w:bCs/>
          <w:sz w:val="18"/>
          <w:szCs w:val="18"/>
          <w:lang w:val="en-US" w:eastAsia="en-GB"/>
        </w:rPr>
        <w:t>225,</w:t>
      </w:r>
      <w:r w:rsidRPr="002D6EC7">
        <w:rPr>
          <w:rFonts w:eastAsia="MS ??"/>
          <w:sz w:val="18"/>
          <w:szCs w:val="18"/>
          <w:lang w:val="en-US" w:eastAsia="en-GB"/>
        </w:rPr>
        <w:t xml:space="preserve"> 569–577 (2006).</w:t>
      </w:r>
    </w:p>
    <w:p w14:paraId="50BB2845"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27.</w:t>
      </w:r>
      <w:r w:rsidRPr="002D6EC7">
        <w:rPr>
          <w:rFonts w:eastAsia="MS ??"/>
          <w:sz w:val="18"/>
          <w:szCs w:val="18"/>
          <w:lang w:val="en-US" w:eastAsia="en-GB"/>
        </w:rPr>
        <w:tab/>
      </w:r>
      <w:proofErr w:type="spellStart"/>
      <w:r w:rsidRPr="002D6EC7">
        <w:rPr>
          <w:rFonts w:eastAsia="MS ??"/>
          <w:sz w:val="18"/>
          <w:szCs w:val="18"/>
          <w:lang w:val="en-US" w:eastAsia="en-GB"/>
        </w:rPr>
        <w:t>Alanon</w:t>
      </w:r>
      <w:proofErr w:type="spellEnd"/>
      <w:r w:rsidRPr="002D6EC7">
        <w:rPr>
          <w:rFonts w:eastAsia="MS ??"/>
          <w:sz w:val="18"/>
          <w:szCs w:val="18"/>
          <w:lang w:val="en-US" w:eastAsia="en-GB"/>
        </w:rPr>
        <w:t xml:space="preserve">, M. E., Castle, S. M., </w:t>
      </w:r>
      <w:proofErr w:type="spellStart"/>
      <w:r w:rsidRPr="002D6EC7">
        <w:rPr>
          <w:rFonts w:eastAsia="MS ??"/>
          <w:sz w:val="18"/>
          <w:szCs w:val="18"/>
          <w:lang w:val="en-US" w:eastAsia="en-GB"/>
        </w:rPr>
        <w:t>Siswanto</w:t>
      </w:r>
      <w:proofErr w:type="spellEnd"/>
      <w:r w:rsidRPr="002D6EC7">
        <w:rPr>
          <w:rFonts w:eastAsia="MS ??"/>
          <w:sz w:val="18"/>
          <w:szCs w:val="18"/>
          <w:lang w:val="en-US" w:eastAsia="en-GB"/>
        </w:rPr>
        <w:t xml:space="preserve">, P. J., Cifuentes-Gómez, T. &amp; Spencer, J. P. E. Assessment of flavanol stereoisomers and caffeine and theobromine content in commercial chocolates. </w:t>
      </w:r>
      <w:r w:rsidRPr="002D6EC7">
        <w:rPr>
          <w:rFonts w:eastAsia="MS ??"/>
          <w:i/>
          <w:iCs/>
          <w:sz w:val="18"/>
          <w:szCs w:val="18"/>
          <w:lang w:val="en-US" w:eastAsia="en-GB"/>
        </w:rPr>
        <w:t>Food Chemistry</w:t>
      </w:r>
      <w:r w:rsidRPr="002D6EC7">
        <w:rPr>
          <w:rFonts w:eastAsia="MS ??"/>
          <w:sz w:val="18"/>
          <w:szCs w:val="18"/>
          <w:lang w:val="en-US" w:eastAsia="en-GB"/>
        </w:rPr>
        <w:t xml:space="preserve"> </w:t>
      </w:r>
      <w:r w:rsidRPr="002D6EC7">
        <w:rPr>
          <w:rFonts w:eastAsia="MS ??"/>
          <w:b/>
          <w:bCs/>
          <w:sz w:val="18"/>
          <w:szCs w:val="18"/>
          <w:lang w:val="en-US" w:eastAsia="en-GB"/>
        </w:rPr>
        <w:t>208,</w:t>
      </w:r>
      <w:r w:rsidRPr="002D6EC7">
        <w:rPr>
          <w:rFonts w:eastAsia="MS ??"/>
          <w:sz w:val="18"/>
          <w:szCs w:val="18"/>
          <w:lang w:val="en-US" w:eastAsia="en-GB"/>
        </w:rPr>
        <w:t xml:space="preserve"> 177–184 (2016).</w:t>
      </w:r>
    </w:p>
    <w:p w14:paraId="3704CD10"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28.</w:t>
      </w:r>
      <w:r w:rsidRPr="002D6EC7">
        <w:rPr>
          <w:rFonts w:eastAsia="MS ??"/>
          <w:sz w:val="18"/>
          <w:szCs w:val="18"/>
          <w:lang w:val="en-US" w:eastAsia="en-GB"/>
        </w:rPr>
        <w:tab/>
        <w:t xml:space="preserve">Ottaviani, J. I. </w:t>
      </w:r>
      <w:r w:rsidRPr="002D6EC7">
        <w:rPr>
          <w:rFonts w:eastAsia="MS ??"/>
          <w:i/>
          <w:iCs/>
          <w:sz w:val="18"/>
          <w:szCs w:val="18"/>
          <w:lang w:val="en-US" w:eastAsia="en-GB"/>
        </w:rPr>
        <w:t>et al.</w:t>
      </w:r>
      <w:r w:rsidRPr="002D6EC7">
        <w:rPr>
          <w:rFonts w:eastAsia="MS ??"/>
          <w:sz w:val="18"/>
          <w:szCs w:val="18"/>
          <w:lang w:val="en-US" w:eastAsia="en-GB"/>
        </w:rPr>
        <w:t xml:space="preserve"> The stereochemical configuration of flavanols influences the level and metabolism of flavanols in humans and their biological activity in vivo. </w:t>
      </w:r>
      <w:r w:rsidRPr="002D6EC7">
        <w:rPr>
          <w:rFonts w:eastAsia="MS ??"/>
          <w:i/>
          <w:iCs/>
          <w:sz w:val="18"/>
          <w:szCs w:val="18"/>
          <w:lang w:val="en-US" w:eastAsia="en-GB"/>
        </w:rPr>
        <w:t xml:space="preserve">Free </w:t>
      </w:r>
      <w:proofErr w:type="spellStart"/>
      <w:r w:rsidRPr="002D6EC7">
        <w:rPr>
          <w:rFonts w:eastAsia="MS ??"/>
          <w:i/>
          <w:iCs/>
          <w:sz w:val="18"/>
          <w:szCs w:val="18"/>
          <w:lang w:val="en-US" w:eastAsia="en-GB"/>
        </w:rPr>
        <w:t>Radic</w:t>
      </w:r>
      <w:proofErr w:type="spellEnd"/>
      <w:r w:rsidRPr="002D6EC7">
        <w:rPr>
          <w:rFonts w:eastAsia="MS ??"/>
          <w:i/>
          <w:iCs/>
          <w:sz w:val="18"/>
          <w:szCs w:val="18"/>
          <w:lang w:val="en-US" w:eastAsia="en-GB"/>
        </w:rPr>
        <w:t xml:space="preserve"> Biol Med</w:t>
      </w:r>
      <w:r w:rsidRPr="002D6EC7">
        <w:rPr>
          <w:rFonts w:eastAsia="MS ??"/>
          <w:sz w:val="18"/>
          <w:szCs w:val="18"/>
          <w:lang w:val="en-US" w:eastAsia="en-GB"/>
        </w:rPr>
        <w:t xml:space="preserve"> </w:t>
      </w:r>
      <w:r w:rsidRPr="002D6EC7">
        <w:rPr>
          <w:rFonts w:eastAsia="MS ??"/>
          <w:b/>
          <w:bCs/>
          <w:sz w:val="18"/>
          <w:szCs w:val="18"/>
          <w:lang w:val="en-US" w:eastAsia="en-GB"/>
        </w:rPr>
        <w:t>50,</w:t>
      </w:r>
      <w:r w:rsidRPr="002D6EC7">
        <w:rPr>
          <w:rFonts w:eastAsia="MS ??"/>
          <w:sz w:val="18"/>
          <w:szCs w:val="18"/>
          <w:lang w:val="en-US" w:eastAsia="en-GB"/>
        </w:rPr>
        <w:t xml:space="preserve"> 237–244 (2011).</w:t>
      </w:r>
    </w:p>
    <w:p w14:paraId="4E3BAB2A"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29.</w:t>
      </w:r>
      <w:r w:rsidRPr="002D6EC7">
        <w:rPr>
          <w:rFonts w:eastAsia="MS ??"/>
          <w:sz w:val="18"/>
          <w:szCs w:val="18"/>
          <w:lang w:val="en-US" w:eastAsia="en-GB"/>
        </w:rPr>
        <w:tab/>
      </w:r>
      <w:proofErr w:type="spellStart"/>
      <w:r w:rsidRPr="002D6EC7">
        <w:rPr>
          <w:rFonts w:eastAsia="MS ??"/>
          <w:sz w:val="18"/>
          <w:szCs w:val="18"/>
          <w:lang w:val="en-US" w:eastAsia="en-GB"/>
        </w:rPr>
        <w:t>Koster</w:t>
      </w:r>
      <w:proofErr w:type="spellEnd"/>
      <w:r w:rsidRPr="002D6EC7">
        <w:rPr>
          <w:rFonts w:eastAsia="MS ??"/>
          <w:sz w:val="18"/>
          <w:szCs w:val="18"/>
          <w:lang w:val="en-US" w:eastAsia="en-GB"/>
        </w:rPr>
        <w:t xml:space="preserve">, H., </w:t>
      </w:r>
      <w:proofErr w:type="spellStart"/>
      <w:r w:rsidRPr="002D6EC7">
        <w:rPr>
          <w:rFonts w:eastAsia="MS ??"/>
          <w:sz w:val="18"/>
          <w:szCs w:val="18"/>
          <w:lang w:val="en-US" w:eastAsia="en-GB"/>
        </w:rPr>
        <w:t>Halsema</w:t>
      </w:r>
      <w:proofErr w:type="spellEnd"/>
      <w:r w:rsidRPr="002D6EC7">
        <w:rPr>
          <w:rFonts w:eastAsia="MS ??"/>
          <w:sz w:val="18"/>
          <w:szCs w:val="18"/>
          <w:lang w:val="en-US" w:eastAsia="en-GB"/>
        </w:rPr>
        <w:t xml:space="preserve">, I., </w:t>
      </w:r>
      <w:proofErr w:type="spellStart"/>
      <w:r w:rsidRPr="002D6EC7">
        <w:rPr>
          <w:rFonts w:eastAsia="MS ??"/>
          <w:sz w:val="18"/>
          <w:szCs w:val="18"/>
          <w:lang w:val="en-US" w:eastAsia="en-GB"/>
        </w:rPr>
        <w:t>Scholtens</w:t>
      </w:r>
      <w:proofErr w:type="spellEnd"/>
      <w:r w:rsidRPr="002D6EC7">
        <w:rPr>
          <w:rFonts w:eastAsia="MS ??"/>
          <w:sz w:val="18"/>
          <w:szCs w:val="18"/>
          <w:lang w:val="en-US" w:eastAsia="en-GB"/>
        </w:rPr>
        <w:t xml:space="preserve">, E., </w:t>
      </w:r>
      <w:proofErr w:type="spellStart"/>
      <w:r w:rsidRPr="002D6EC7">
        <w:rPr>
          <w:rFonts w:eastAsia="MS ??"/>
          <w:sz w:val="18"/>
          <w:szCs w:val="18"/>
          <w:lang w:val="en-US" w:eastAsia="en-GB"/>
        </w:rPr>
        <w:t>Knippers</w:t>
      </w:r>
      <w:proofErr w:type="spellEnd"/>
      <w:r w:rsidRPr="002D6EC7">
        <w:rPr>
          <w:rFonts w:eastAsia="MS ??"/>
          <w:sz w:val="18"/>
          <w:szCs w:val="18"/>
          <w:lang w:val="en-US" w:eastAsia="en-GB"/>
        </w:rPr>
        <w:t xml:space="preserve">, M. &amp; Mulder, G. J. Dose-dependent shifts in the </w:t>
      </w:r>
      <w:proofErr w:type="spellStart"/>
      <w:r w:rsidRPr="002D6EC7">
        <w:rPr>
          <w:rFonts w:eastAsia="MS ??"/>
          <w:sz w:val="18"/>
          <w:szCs w:val="18"/>
          <w:lang w:val="en-US" w:eastAsia="en-GB"/>
        </w:rPr>
        <w:t>sulfation</w:t>
      </w:r>
      <w:proofErr w:type="spellEnd"/>
      <w:r w:rsidRPr="002D6EC7">
        <w:rPr>
          <w:rFonts w:eastAsia="MS ??"/>
          <w:sz w:val="18"/>
          <w:szCs w:val="18"/>
          <w:lang w:val="en-US" w:eastAsia="en-GB"/>
        </w:rPr>
        <w:t xml:space="preserve"> and glucuronidation of phenolic compounds in the rat in vivo and in isolated hepatocytes. The role of saturation of </w:t>
      </w:r>
      <w:proofErr w:type="spellStart"/>
      <w:r w:rsidRPr="002D6EC7">
        <w:rPr>
          <w:rFonts w:eastAsia="MS ??"/>
          <w:sz w:val="18"/>
          <w:szCs w:val="18"/>
          <w:lang w:val="en-US" w:eastAsia="en-GB"/>
        </w:rPr>
        <w:t>phenolsulfotransferase</w:t>
      </w:r>
      <w:proofErr w:type="spellEnd"/>
      <w:r w:rsidRPr="002D6EC7">
        <w:rPr>
          <w:rFonts w:eastAsia="MS ??"/>
          <w:sz w:val="18"/>
          <w:szCs w:val="18"/>
          <w:lang w:val="en-US" w:eastAsia="en-GB"/>
        </w:rPr>
        <w:t xml:space="preserve">. </w:t>
      </w:r>
      <w:proofErr w:type="spellStart"/>
      <w:r w:rsidRPr="002D6EC7">
        <w:rPr>
          <w:rFonts w:eastAsia="MS ??"/>
          <w:i/>
          <w:iCs/>
          <w:sz w:val="18"/>
          <w:szCs w:val="18"/>
          <w:lang w:val="en-US" w:eastAsia="en-GB"/>
        </w:rPr>
        <w:t>Biochem</w:t>
      </w:r>
      <w:proofErr w:type="spellEnd"/>
      <w:r w:rsidRPr="002D6EC7">
        <w:rPr>
          <w:rFonts w:eastAsia="MS ??"/>
          <w:i/>
          <w:iCs/>
          <w:sz w:val="18"/>
          <w:szCs w:val="18"/>
          <w:lang w:val="en-US" w:eastAsia="en-GB"/>
        </w:rPr>
        <w:t xml:space="preserve"> </w:t>
      </w:r>
      <w:proofErr w:type="spellStart"/>
      <w:r w:rsidRPr="002D6EC7">
        <w:rPr>
          <w:rFonts w:eastAsia="MS ??"/>
          <w:i/>
          <w:iCs/>
          <w:sz w:val="18"/>
          <w:szCs w:val="18"/>
          <w:lang w:val="en-US" w:eastAsia="en-GB"/>
        </w:rPr>
        <w:t>Pharmacol</w:t>
      </w:r>
      <w:proofErr w:type="spellEnd"/>
      <w:r w:rsidRPr="002D6EC7">
        <w:rPr>
          <w:rFonts w:eastAsia="MS ??"/>
          <w:sz w:val="18"/>
          <w:szCs w:val="18"/>
          <w:lang w:val="en-US" w:eastAsia="en-GB"/>
        </w:rPr>
        <w:t xml:space="preserve"> </w:t>
      </w:r>
      <w:r w:rsidRPr="002D6EC7">
        <w:rPr>
          <w:rFonts w:eastAsia="MS ??"/>
          <w:b/>
          <w:bCs/>
          <w:sz w:val="18"/>
          <w:szCs w:val="18"/>
          <w:lang w:val="en-US" w:eastAsia="en-GB"/>
        </w:rPr>
        <w:t>30,</w:t>
      </w:r>
      <w:r w:rsidRPr="002D6EC7">
        <w:rPr>
          <w:rFonts w:eastAsia="MS ??"/>
          <w:sz w:val="18"/>
          <w:szCs w:val="18"/>
          <w:lang w:val="en-US" w:eastAsia="en-GB"/>
        </w:rPr>
        <w:t xml:space="preserve"> 2569–2575 (1981).</w:t>
      </w:r>
    </w:p>
    <w:p w14:paraId="6222479E"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30.</w:t>
      </w:r>
      <w:r w:rsidRPr="002D6EC7">
        <w:rPr>
          <w:rFonts w:eastAsia="MS ??"/>
          <w:sz w:val="18"/>
          <w:szCs w:val="18"/>
          <w:lang w:val="en-US" w:eastAsia="en-GB"/>
        </w:rPr>
        <w:tab/>
        <w:t xml:space="preserve">Lampe, J. W. </w:t>
      </w:r>
      <w:r w:rsidRPr="002D6EC7">
        <w:rPr>
          <w:rFonts w:eastAsia="MS ??"/>
          <w:i/>
          <w:iCs/>
          <w:sz w:val="18"/>
          <w:szCs w:val="18"/>
          <w:lang w:val="en-US" w:eastAsia="en-GB"/>
        </w:rPr>
        <w:t>et al.</w:t>
      </w:r>
      <w:r w:rsidRPr="002D6EC7">
        <w:rPr>
          <w:rFonts w:eastAsia="MS ??"/>
          <w:sz w:val="18"/>
          <w:szCs w:val="18"/>
          <w:lang w:val="en-US" w:eastAsia="en-GB"/>
        </w:rPr>
        <w:t xml:space="preserve"> Dietary biomarker evaluation in a controlled feeding study in women from the Women's Health Initiative cohort. </w:t>
      </w:r>
      <w:r w:rsidRPr="002D6EC7">
        <w:rPr>
          <w:rFonts w:eastAsia="MS ??"/>
          <w:i/>
          <w:iCs/>
          <w:sz w:val="18"/>
          <w:szCs w:val="18"/>
          <w:lang w:val="en-US" w:eastAsia="en-GB"/>
        </w:rPr>
        <w:t xml:space="preserve">Am J Clin </w:t>
      </w:r>
      <w:proofErr w:type="spellStart"/>
      <w:r w:rsidRPr="002D6EC7">
        <w:rPr>
          <w:rFonts w:eastAsia="MS ??"/>
          <w:i/>
          <w:iCs/>
          <w:sz w:val="18"/>
          <w:szCs w:val="18"/>
          <w:lang w:val="en-US" w:eastAsia="en-GB"/>
        </w:rPr>
        <w:t>Nutr</w:t>
      </w:r>
      <w:proofErr w:type="spellEnd"/>
      <w:r w:rsidRPr="002D6EC7">
        <w:rPr>
          <w:rFonts w:eastAsia="MS ??"/>
          <w:sz w:val="18"/>
          <w:szCs w:val="18"/>
          <w:lang w:val="en-US" w:eastAsia="en-GB"/>
        </w:rPr>
        <w:t xml:space="preserve"> </w:t>
      </w:r>
      <w:r w:rsidRPr="002D6EC7">
        <w:rPr>
          <w:rFonts w:eastAsia="MS ??"/>
          <w:b/>
          <w:bCs/>
          <w:sz w:val="18"/>
          <w:szCs w:val="18"/>
          <w:lang w:val="en-US" w:eastAsia="en-GB"/>
        </w:rPr>
        <w:t>105,</w:t>
      </w:r>
      <w:r w:rsidRPr="002D6EC7">
        <w:rPr>
          <w:rFonts w:eastAsia="MS ??"/>
          <w:sz w:val="18"/>
          <w:szCs w:val="18"/>
          <w:lang w:val="en-US" w:eastAsia="en-GB"/>
        </w:rPr>
        <w:t xml:space="preserve"> 466–475 (2017).</w:t>
      </w:r>
    </w:p>
    <w:p w14:paraId="58225EAD"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31.</w:t>
      </w:r>
      <w:r w:rsidRPr="002D6EC7">
        <w:rPr>
          <w:rFonts w:eastAsia="MS ??"/>
          <w:sz w:val="18"/>
          <w:szCs w:val="18"/>
          <w:lang w:val="en-US" w:eastAsia="en-GB"/>
        </w:rPr>
        <w:tab/>
        <w:t xml:space="preserve">Yun, H. Y. </w:t>
      </w:r>
      <w:r w:rsidRPr="002D6EC7">
        <w:rPr>
          <w:rFonts w:eastAsia="MS ??"/>
          <w:i/>
          <w:iCs/>
          <w:sz w:val="18"/>
          <w:szCs w:val="18"/>
          <w:lang w:val="en-US" w:eastAsia="en-GB"/>
        </w:rPr>
        <w:t>et al.</w:t>
      </w:r>
      <w:r w:rsidRPr="002D6EC7">
        <w:rPr>
          <w:rFonts w:eastAsia="MS ??"/>
          <w:sz w:val="18"/>
          <w:szCs w:val="18"/>
          <w:lang w:val="en-US" w:eastAsia="en-GB"/>
        </w:rPr>
        <w:t xml:space="preserve"> Serum nitrogen and carbon stable isotope ratios meet biomarker criteria for fish and animal protein intake in a controlled feeding study of a Women’s Health Initiative cohort. </w:t>
      </w:r>
      <w:r w:rsidRPr="002D6EC7">
        <w:rPr>
          <w:rFonts w:eastAsia="MS ??"/>
          <w:i/>
          <w:iCs/>
          <w:sz w:val="18"/>
          <w:szCs w:val="18"/>
          <w:lang w:val="en-US" w:eastAsia="en-GB"/>
        </w:rPr>
        <w:t>Journal of Nutrition</w:t>
      </w:r>
      <w:r w:rsidRPr="002D6EC7">
        <w:rPr>
          <w:rFonts w:eastAsia="MS ??"/>
          <w:sz w:val="18"/>
          <w:szCs w:val="18"/>
          <w:lang w:val="en-US" w:eastAsia="en-GB"/>
        </w:rPr>
        <w:t xml:space="preserve"> (2018).</w:t>
      </w:r>
    </w:p>
    <w:p w14:paraId="3996EA5D"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32.</w:t>
      </w:r>
      <w:r w:rsidRPr="002D6EC7">
        <w:rPr>
          <w:rFonts w:eastAsia="MS ??"/>
          <w:sz w:val="18"/>
          <w:szCs w:val="18"/>
          <w:lang w:val="en-US" w:eastAsia="en-GB"/>
        </w:rPr>
        <w:tab/>
        <w:t xml:space="preserve">Ottaviani, J. I. </w:t>
      </w:r>
      <w:r w:rsidRPr="002D6EC7">
        <w:rPr>
          <w:rFonts w:eastAsia="MS ??"/>
          <w:i/>
          <w:iCs/>
          <w:sz w:val="18"/>
          <w:szCs w:val="18"/>
          <w:lang w:val="en-US" w:eastAsia="en-GB"/>
        </w:rPr>
        <w:t>et al.</w:t>
      </w:r>
      <w:r w:rsidRPr="002D6EC7">
        <w:rPr>
          <w:rFonts w:eastAsia="MS ??"/>
          <w:sz w:val="18"/>
          <w:szCs w:val="18"/>
          <w:lang w:val="en-US" w:eastAsia="en-GB"/>
        </w:rPr>
        <w:t xml:space="preserve"> The metabolome of [2-14</w:t>
      </w:r>
      <w:proofErr w:type="gramStart"/>
      <w:r w:rsidRPr="002D6EC7">
        <w:rPr>
          <w:rFonts w:eastAsia="MS ??"/>
          <w:sz w:val="18"/>
          <w:szCs w:val="18"/>
          <w:lang w:val="en-US" w:eastAsia="en-GB"/>
        </w:rPr>
        <w:t>C](</w:t>
      </w:r>
      <w:proofErr w:type="gramEnd"/>
      <w:r w:rsidRPr="002D6EC7">
        <w:rPr>
          <w:rFonts w:eastAsia="MS ??"/>
          <w:sz w:val="18"/>
          <w:szCs w:val="18"/>
          <w:lang w:val="en-US" w:eastAsia="en-GB"/>
        </w:rPr>
        <w:t xml:space="preserve">−)-epicatechin in humans: implications for the assessment of efficacy, safety, and mechanisms of action of polyphenolic bioactives. </w:t>
      </w:r>
      <w:r w:rsidRPr="002D6EC7">
        <w:rPr>
          <w:rFonts w:eastAsia="MS ??"/>
          <w:i/>
          <w:iCs/>
          <w:sz w:val="18"/>
          <w:szCs w:val="18"/>
          <w:lang w:val="en-US" w:eastAsia="en-GB"/>
        </w:rPr>
        <w:t>Sci Rep</w:t>
      </w:r>
      <w:r w:rsidRPr="002D6EC7">
        <w:rPr>
          <w:rFonts w:eastAsia="MS ??"/>
          <w:sz w:val="18"/>
          <w:szCs w:val="18"/>
          <w:lang w:val="en-US" w:eastAsia="en-GB"/>
        </w:rPr>
        <w:t xml:space="preserve"> </w:t>
      </w:r>
      <w:r w:rsidRPr="002D6EC7">
        <w:rPr>
          <w:rFonts w:eastAsia="MS ??"/>
          <w:b/>
          <w:bCs/>
          <w:sz w:val="18"/>
          <w:szCs w:val="18"/>
          <w:lang w:val="en-US" w:eastAsia="en-GB"/>
        </w:rPr>
        <w:t>6,</w:t>
      </w:r>
      <w:r w:rsidRPr="002D6EC7">
        <w:rPr>
          <w:rFonts w:eastAsia="MS ??"/>
          <w:sz w:val="18"/>
          <w:szCs w:val="18"/>
          <w:lang w:val="en-US" w:eastAsia="en-GB"/>
        </w:rPr>
        <w:t xml:space="preserve"> 1–10 (2016).</w:t>
      </w:r>
    </w:p>
    <w:p w14:paraId="6DA9D19E"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lastRenderedPageBreak/>
        <w:t>33.</w:t>
      </w:r>
      <w:r w:rsidRPr="002D6EC7">
        <w:rPr>
          <w:rFonts w:eastAsia="MS ??"/>
          <w:sz w:val="18"/>
          <w:szCs w:val="18"/>
          <w:lang w:val="en-US" w:eastAsia="en-GB"/>
        </w:rPr>
        <w:tab/>
      </w:r>
      <w:proofErr w:type="spellStart"/>
      <w:r w:rsidRPr="002D6EC7">
        <w:rPr>
          <w:rFonts w:eastAsia="MS ??"/>
          <w:sz w:val="18"/>
          <w:szCs w:val="18"/>
          <w:lang w:val="en-US" w:eastAsia="en-GB"/>
        </w:rPr>
        <w:t>Kaaks</w:t>
      </w:r>
      <w:proofErr w:type="spellEnd"/>
      <w:r w:rsidRPr="002D6EC7">
        <w:rPr>
          <w:rFonts w:eastAsia="MS ??"/>
          <w:sz w:val="18"/>
          <w:szCs w:val="18"/>
          <w:lang w:val="en-US" w:eastAsia="en-GB"/>
        </w:rPr>
        <w:t xml:space="preserve">, R., Ferrari, P., </w:t>
      </w:r>
      <w:proofErr w:type="spellStart"/>
      <w:r w:rsidRPr="002D6EC7">
        <w:rPr>
          <w:rFonts w:eastAsia="MS ??"/>
          <w:sz w:val="18"/>
          <w:szCs w:val="18"/>
          <w:lang w:val="en-US" w:eastAsia="en-GB"/>
        </w:rPr>
        <w:t>Ciampi</w:t>
      </w:r>
      <w:proofErr w:type="spellEnd"/>
      <w:r w:rsidRPr="002D6EC7">
        <w:rPr>
          <w:rFonts w:eastAsia="MS ??"/>
          <w:sz w:val="18"/>
          <w:szCs w:val="18"/>
          <w:lang w:val="en-US" w:eastAsia="en-GB"/>
        </w:rPr>
        <w:t xml:space="preserve">, A., Plummer, M. &amp; </w:t>
      </w:r>
      <w:proofErr w:type="spellStart"/>
      <w:r w:rsidRPr="002D6EC7">
        <w:rPr>
          <w:rFonts w:eastAsia="MS ??"/>
          <w:sz w:val="18"/>
          <w:szCs w:val="18"/>
          <w:lang w:val="en-US" w:eastAsia="en-GB"/>
        </w:rPr>
        <w:t>Riboli</w:t>
      </w:r>
      <w:proofErr w:type="spellEnd"/>
      <w:r w:rsidRPr="002D6EC7">
        <w:rPr>
          <w:rFonts w:eastAsia="MS ??"/>
          <w:sz w:val="18"/>
          <w:szCs w:val="18"/>
          <w:lang w:val="en-US" w:eastAsia="en-GB"/>
        </w:rPr>
        <w:t xml:space="preserve">, E. Uses and limitations of statistical accounting for random error correlations, in the validation of dietary questionnaire assessments. </w:t>
      </w:r>
      <w:r w:rsidRPr="002D6EC7">
        <w:rPr>
          <w:rFonts w:eastAsia="MS ??"/>
          <w:i/>
          <w:iCs/>
          <w:sz w:val="18"/>
          <w:szCs w:val="18"/>
          <w:lang w:val="en-US" w:eastAsia="en-GB"/>
        </w:rPr>
        <w:t xml:space="preserve">Public Health </w:t>
      </w:r>
      <w:proofErr w:type="spellStart"/>
      <w:r w:rsidRPr="002D6EC7">
        <w:rPr>
          <w:rFonts w:eastAsia="MS ??"/>
          <w:i/>
          <w:iCs/>
          <w:sz w:val="18"/>
          <w:szCs w:val="18"/>
          <w:lang w:val="en-US" w:eastAsia="en-GB"/>
        </w:rPr>
        <w:t>Nutr</w:t>
      </w:r>
      <w:proofErr w:type="spellEnd"/>
      <w:r w:rsidRPr="002D6EC7">
        <w:rPr>
          <w:rFonts w:eastAsia="MS ??"/>
          <w:sz w:val="18"/>
          <w:szCs w:val="18"/>
          <w:lang w:val="en-US" w:eastAsia="en-GB"/>
        </w:rPr>
        <w:t xml:space="preserve"> </w:t>
      </w:r>
      <w:r w:rsidRPr="002D6EC7">
        <w:rPr>
          <w:rFonts w:eastAsia="MS ??"/>
          <w:b/>
          <w:bCs/>
          <w:sz w:val="18"/>
          <w:szCs w:val="18"/>
          <w:lang w:val="en-US" w:eastAsia="en-GB"/>
        </w:rPr>
        <w:t>5,</w:t>
      </w:r>
      <w:r w:rsidRPr="002D6EC7">
        <w:rPr>
          <w:rFonts w:eastAsia="MS ??"/>
          <w:sz w:val="18"/>
          <w:szCs w:val="18"/>
          <w:lang w:val="en-US" w:eastAsia="en-GB"/>
        </w:rPr>
        <w:t xml:space="preserve"> 969–976 (2002).</w:t>
      </w:r>
    </w:p>
    <w:p w14:paraId="26DB8074"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34.</w:t>
      </w:r>
      <w:r w:rsidRPr="002D6EC7">
        <w:rPr>
          <w:rFonts w:eastAsia="MS ??"/>
          <w:sz w:val="18"/>
          <w:szCs w:val="18"/>
          <w:lang w:val="en-US" w:eastAsia="en-GB"/>
        </w:rPr>
        <w:tab/>
        <w:t xml:space="preserve">Bingham, S. A. </w:t>
      </w:r>
      <w:r w:rsidRPr="002D6EC7">
        <w:rPr>
          <w:rFonts w:eastAsia="MS ??"/>
          <w:i/>
          <w:iCs/>
          <w:sz w:val="18"/>
          <w:szCs w:val="18"/>
          <w:lang w:val="en-US" w:eastAsia="en-GB"/>
        </w:rPr>
        <w:t>et al.</w:t>
      </w:r>
      <w:r w:rsidRPr="002D6EC7">
        <w:rPr>
          <w:rFonts w:eastAsia="MS ??"/>
          <w:sz w:val="18"/>
          <w:szCs w:val="18"/>
          <w:lang w:val="en-US" w:eastAsia="en-GB"/>
        </w:rPr>
        <w:t xml:space="preserve"> Validation of weighed records and other methods of dietary assessment using the 24 h urine nitrogen technique and other biological markers. </w:t>
      </w:r>
      <w:r w:rsidRPr="002D6EC7">
        <w:rPr>
          <w:rFonts w:eastAsia="MS ??"/>
          <w:i/>
          <w:iCs/>
          <w:sz w:val="18"/>
          <w:szCs w:val="18"/>
          <w:lang w:val="en-US" w:eastAsia="en-GB"/>
        </w:rPr>
        <w:t xml:space="preserve">Br J </w:t>
      </w:r>
      <w:proofErr w:type="spellStart"/>
      <w:r w:rsidRPr="002D6EC7">
        <w:rPr>
          <w:rFonts w:eastAsia="MS ??"/>
          <w:i/>
          <w:iCs/>
          <w:sz w:val="18"/>
          <w:szCs w:val="18"/>
          <w:lang w:val="en-US" w:eastAsia="en-GB"/>
        </w:rPr>
        <w:t>Nutr</w:t>
      </w:r>
      <w:proofErr w:type="spellEnd"/>
      <w:r w:rsidRPr="002D6EC7">
        <w:rPr>
          <w:rFonts w:eastAsia="MS ??"/>
          <w:sz w:val="18"/>
          <w:szCs w:val="18"/>
          <w:lang w:val="en-US" w:eastAsia="en-GB"/>
        </w:rPr>
        <w:t xml:space="preserve"> </w:t>
      </w:r>
      <w:r w:rsidRPr="002D6EC7">
        <w:rPr>
          <w:rFonts w:eastAsia="MS ??"/>
          <w:b/>
          <w:bCs/>
          <w:sz w:val="18"/>
          <w:szCs w:val="18"/>
          <w:lang w:val="en-US" w:eastAsia="en-GB"/>
        </w:rPr>
        <w:t>73,</w:t>
      </w:r>
      <w:r w:rsidRPr="002D6EC7">
        <w:rPr>
          <w:rFonts w:eastAsia="MS ??"/>
          <w:sz w:val="18"/>
          <w:szCs w:val="18"/>
          <w:lang w:val="en-US" w:eastAsia="en-GB"/>
        </w:rPr>
        <w:t xml:space="preserve"> 531–550 (1995).</w:t>
      </w:r>
    </w:p>
    <w:p w14:paraId="4DDBA4E7"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35.</w:t>
      </w:r>
      <w:r w:rsidRPr="002D6EC7">
        <w:rPr>
          <w:rFonts w:eastAsia="MS ??"/>
          <w:sz w:val="18"/>
          <w:szCs w:val="18"/>
          <w:lang w:val="en-US" w:eastAsia="en-GB"/>
        </w:rPr>
        <w:tab/>
        <w:t xml:space="preserve">Keogh, R. H., White, I. R. &amp; Bingham, S. A. Using surrogate biomarkers to improve measurement error models in nutritional epidemiology. </w:t>
      </w:r>
      <w:r w:rsidRPr="002D6EC7">
        <w:rPr>
          <w:rFonts w:eastAsia="MS ??"/>
          <w:i/>
          <w:iCs/>
          <w:sz w:val="18"/>
          <w:szCs w:val="18"/>
          <w:lang w:val="en-US" w:eastAsia="en-GB"/>
        </w:rPr>
        <w:t>Stat Med</w:t>
      </w:r>
      <w:r w:rsidRPr="002D6EC7">
        <w:rPr>
          <w:rFonts w:eastAsia="MS ??"/>
          <w:sz w:val="18"/>
          <w:szCs w:val="18"/>
          <w:lang w:val="en-US" w:eastAsia="en-GB"/>
        </w:rPr>
        <w:t xml:space="preserve"> </w:t>
      </w:r>
      <w:r w:rsidRPr="002D6EC7">
        <w:rPr>
          <w:rFonts w:eastAsia="MS ??"/>
          <w:b/>
          <w:bCs/>
          <w:sz w:val="18"/>
          <w:szCs w:val="18"/>
          <w:lang w:val="en-US" w:eastAsia="en-GB"/>
        </w:rPr>
        <w:t>32,</w:t>
      </w:r>
      <w:r w:rsidRPr="002D6EC7">
        <w:rPr>
          <w:rFonts w:eastAsia="MS ??"/>
          <w:sz w:val="18"/>
          <w:szCs w:val="18"/>
          <w:lang w:val="en-US" w:eastAsia="en-GB"/>
        </w:rPr>
        <w:t xml:space="preserve"> 3838–3861 (2013).</w:t>
      </w:r>
    </w:p>
    <w:p w14:paraId="7E5205AF"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36.</w:t>
      </w:r>
      <w:r w:rsidRPr="002D6EC7">
        <w:rPr>
          <w:rFonts w:eastAsia="MS ??"/>
          <w:sz w:val="18"/>
          <w:szCs w:val="18"/>
          <w:lang w:val="en-US" w:eastAsia="en-GB"/>
        </w:rPr>
        <w:tab/>
      </w:r>
      <w:proofErr w:type="spellStart"/>
      <w:r w:rsidRPr="002D6EC7">
        <w:rPr>
          <w:rFonts w:eastAsia="MS ??"/>
          <w:sz w:val="18"/>
          <w:szCs w:val="18"/>
          <w:lang w:val="en-US" w:eastAsia="en-GB"/>
        </w:rPr>
        <w:t>Praticò</w:t>
      </w:r>
      <w:proofErr w:type="spellEnd"/>
      <w:r w:rsidRPr="002D6EC7">
        <w:rPr>
          <w:rFonts w:eastAsia="MS ??"/>
          <w:sz w:val="18"/>
          <w:szCs w:val="18"/>
          <w:lang w:val="en-US" w:eastAsia="en-GB"/>
        </w:rPr>
        <w:t xml:space="preserve">, G. </w:t>
      </w:r>
      <w:r w:rsidRPr="002D6EC7">
        <w:rPr>
          <w:rFonts w:eastAsia="MS ??"/>
          <w:i/>
          <w:iCs/>
          <w:sz w:val="18"/>
          <w:szCs w:val="18"/>
          <w:lang w:val="en-US" w:eastAsia="en-GB"/>
        </w:rPr>
        <w:t>et al.</w:t>
      </w:r>
      <w:r w:rsidRPr="002D6EC7">
        <w:rPr>
          <w:rFonts w:eastAsia="MS ??"/>
          <w:sz w:val="18"/>
          <w:szCs w:val="18"/>
          <w:lang w:val="en-US" w:eastAsia="en-GB"/>
        </w:rPr>
        <w:t xml:space="preserve"> Guidelines for Biomarker of Food Intake Reviews (</w:t>
      </w:r>
      <w:proofErr w:type="spellStart"/>
      <w:r w:rsidRPr="002D6EC7">
        <w:rPr>
          <w:rFonts w:eastAsia="MS ??"/>
          <w:sz w:val="18"/>
          <w:szCs w:val="18"/>
          <w:lang w:val="en-US" w:eastAsia="en-GB"/>
        </w:rPr>
        <w:t>BFIRev</w:t>
      </w:r>
      <w:proofErr w:type="spellEnd"/>
      <w:r w:rsidRPr="002D6EC7">
        <w:rPr>
          <w:rFonts w:eastAsia="MS ??"/>
          <w:sz w:val="18"/>
          <w:szCs w:val="18"/>
          <w:lang w:val="en-US" w:eastAsia="en-GB"/>
        </w:rPr>
        <w:t xml:space="preserve">): how to conduct an extensive literature search for biomarker of food intake discovery. </w:t>
      </w:r>
      <w:r w:rsidRPr="002D6EC7">
        <w:rPr>
          <w:rFonts w:eastAsia="MS ??"/>
          <w:i/>
          <w:iCs/>
          <w:sz w:val="18"/>
          <w:szCs w:val="18"/>
          <w:lang w:val="en-US" w:eastAsia="en-GB"/>
        </w:rPr>
        <w:t xml:space="preserve">Genes </w:t>
      </w:r>
      <w:proofErr w:type="spellStart"/>
      <w:r w:rsidRPr="002D6EC7">
        <w:rPr>
          <w:rFonts w:eastAsia="MS ??"/>
          <w:i/>
          <w:iCs/>
          <w:sz w:val="18"/>
          <w:szCs w:val="18"/>
          <w:lang w:val="en-US" w:eastAsia="en-GB"/>
        </w:rPr>
        <w:t>Nutr</w:t>
      </w:r>
      <w:proofErr w:type="spellEnd"/>
      <w:r w:rsidRPr="002D6EC7">
        <w:rPr>
          <w:rFonts w:eastAsia="MS ??"/>
          <w:sz w:val="18"/>
          <w:szCs w:val="18"/>
          <w:lang w:val="en-US" w:eastAsia="en-GB"/>
        </w:rPr>
        <w:t xml:space="preserve"> </w:t>
      </w:r>
      <w:r w:rsidRPr="002D6EC7">
        <w:rPr>
          <w:rFonts w:eastAsia="MS ??"/>
          <w:b/>
          <w:bCs/>
          <w:sz w:val="18"/>
          <w:szCs w:val="18"/>
          <w:lang w:val="en-US" w:eastAsia="en-GB"/>
        </w:rPr>
        <w:t>13,</w:t>
      </w:r>
      <w:r w:rsidRPr="002D6EC7">
        <w:rPr>
          <w:rFonts w:eastAsia="MS ??"/>
          <w:sz w:val="18"/>
          <w:szCs w:val="18"/>
          <w:lang w:val="en-US" w:eastAsia="en-GB"/>
        </w:rPr>
        <w:t xml:space="preserve"> 3 (2018).</w:t>
      </w:r>
    </w:p>
    <w:p w14:paraId="2BB10DA0" w14:textId="77777777" w:rsidR="002D6EC7" w:rsidRPr="002D6EC7" w:rsidRDefault="002D6EC7" w:rsidP="002D6EC7">
      <w:pPr>
        <w:tabs>
          <w:tab w:val="left" w:pos="640"/>
        </w:tabs>
        <w:autoSpaceDE w:val="0"/>
        <w:autoSpaceDN w:val="0"/>
        <w:adjustRightInd w:val="0"/>
        <w:ind w:left="640" w:hanging="640"/>
        <w:rPr>
          <w:rFonts w:eastAsia="MS ??"/>
          <w:sz w:val="18"/>
          <w:szCs w:val="18"/>
          <w:lang w:val="en-US" w:eastAsia="en-GB"/>
        </w:rPr>
      </w:pPr>
      <w:r w:rsidRPr="002D6EC7">
        <w:rPr>
          <w:rFonts w:eastAsia="MS ??"/>
          <w:sz w:val="18"/>
          <w:szCs w:val="18"/>
          <w:lang w:val="en-US" w:eastAsia="en-GB"/>
        </w:rPr>
        <w:t>37.</w:t>
      </w:r>
      <w:r w:rsidRPr="002D6EC7">
        <w:rPr>
          <w:rFonts w:eastAsia="MS ??"/>
          <w:sz w:val="18"/>
          <w:szCs w:val="18"/>
          <w:lang w:val="en-US" w:eastAsia="en-GB"/>
        </w:rPr>
        <w:tab/>
        <w:t xml:space="preserve">Rothwell, J. A. </w:t>
      </w:r>
      <w:r w:rsidRPr="002D6EC7">
        <w:rPr>
          <w:rFonts w:eastAsia="MS ??"/>
          <w:i/>
          <w:iCs/>
          <w:sz w:val="18"/>
          <w:szCs w:val="18"/>
          <w:lang w:val="en-US" w:eastAsia="en-GB"/>
        </w:rPr>
        <w:t>et al.</w:t>
      </w:r>
      <w:r w:rsidRPr="002D6EC7">
        <w:rPr>
          <w:rFonts w:eastAsia="MS ??"/>
          <w:sz w:val="18"/>
          <w:szCs w:val="18"/>
          <w:lang w:val="en-US" w:eastAsia="en-GB"/>
        </w:rPr>
        <w:t xml:space="preserve"> Phenol-Explorer 3.0: a major update of the Phenol-Explorer database to incorporate data on the effects of food processing on polyphenol content. </w:t>
      </w:r>
      <w:r w:rsidRPr="002D6EC7">
        <w:rPr>
          <w:rFonts w:eastAsia="MS ??"/>
          <w:i/>
          <w:iCs/>
          <w:sz w:val="18"/>
          <w:szCs w:val="18"/>
          <w:lang w:val="en-US" w:eastAsia="en-GB"/>
        </w:rPr>
        <w:t>Database</w:t>
      </w:r>
      <w:r w:rsidRPr="002D6EC7">
        <w:rPr>
          <w:rFonts w:eastAsia="MS ??"/>
          <w:sz w:val="18"/>
          <w:szCs w:val="18"/>
          <w:lang w:val="en-US" w:eastAsia="en-GB"/>
        </w:rPr>
        <w:t xml:space="preserve"> </w:t>
      </w:r>
      <w:r w:rsidRPr="002D6EC7">
        <w:rPr>
          <w:rFonts w:eastAsia="MS ??"/>
          <w:b/>
          <w:bCs/>
          <w:sz w:val="18"/>
          <w:szCs w:val="18"/>
          <w:lang w:val="en-US" w:eastAsia="en-GB"/>
        </w:rPr>
        <w:t>2013,</w:t>
      </w:r>
      <w:r w:rsidRPr="002D6EC7">
        <w:rPr>
          <w:rFonts w:eastAsia="MS ??"/>
          <w:sz w:val="18"/>
          <w:szCs w:val="18"/>
          <w:lang w:val="en-US" w:eastAsia="en-GB"/>
        </w:rPr>
        <w:t xml:space="preserve"> bat070–bat070 (2013).</w:t>
      </w:r>
    </w:p>
    <w:p w14:paraId="42648120" w14:textId="77777777" w:rsidR="002D6EC7" w:rsidRPr="002D6EC7" w:rsidRDefault="002D6EC7" w:rsidP="002D6EC7">
      <w:pPr>
        <w:pStyle w:val="RdgCaptions"/>
      </w:pPr>
      <w:r w:rsidRPr="002D6EC7">
        <w:fldChar w:fldCharType="begin"/>
      </w:r>
      <w:r w:rsidRPr="002D6EC7">
        <w:instrText xml:space="preserve"> ADDIN PAPERS2_CITATIONS &lt;papers2_bibliography/&gt;</w:instrText>
      </w:r>
      <w:r w:rsidRPr="002D6EC7">
        <w:fldChar w:fldCharType="end"/>
      </w:r>
    </w:p>
    <w:p w14:paraId="7D79B78F" w14:textId="555D583E" w:rsidR="00CE24FC" w:rsidRPr="002D6EC7" w:rsidRDefault="00CE24FC" w:rsidP="002D6EC7">
      <w:pPr>
        <w:tabs>
          <w:tab w:val="left" w:pos="640"/>
        </w:tabs>
        <w:autoSpaceDE w:val="0"/>
        <w:autoSpaceDN w:val="0"/>
        <w:adjustRightInd w:val="0"/>
        <w:spacing w:after="240"/>
        <w:ind w:left="640" w:hanging="640"/>
        <w:rPr>
          <w:rFonts w:eastAsia="MS ??"/>
          <w:sz w:val="18"/>
          <w:szCs w:val="18"/>
          <w:lang w:val="en-US" w:eastAsia="en-GB"/>
        </w:rPr>
      </w:pPr>
      <w:r w:rsidRPr="002D6EC7">
        <w:rPr>
          <w:rFonts w:eastAsia="MS ??"/>
          <w:sz w:val="18"/>
          <w:szCs w:val="18"/>
          <w:lang w:val="en-US" w:eastAsia="en-GB"/>
        </w:rPr>
        <w:t xml:space="preserve"> </w:t>
      </w:r>
    </w:p>
    <w:p w14:paraId="7D1D2532" w14:textId="227EDDC1" w:rsidR="000F69DB" w:rsidRPr="002D6EC7" w:rsidRDefault="000F69DB">
      <w:pPr>
        <w:rPr>
          <w:rFonts w:eastAsia="MS ??"/>
          <w:sz w:val="18"/>
          <w:szCs w:val="18"/>
          <w:lang w:val="en-US" w:eastAsia="en-GB"/>
        </w:rPr>
      </w:pPr>
      <w:r w:rsidRPr="002D6EC7">
        <w:rPr>
          <w:rFonts w:eastAsia="MS ??"/>
          <w:sz w:val="18"/>
          <w:szCs w:val="18"/>
          <w:lang w:val="en-US" w:eastAsia="en-GB"/>
        </w:rPr>
        <w:br w:type="page"/>
      </w:r>
    </w:p>
    <w:p w14:paraId="780E0176" w14:textId="77777777" w:rsidR="00C23C73" w:rsidRPr="002D6EC7" w:rsidRDefault="00C23C73" w:rsidP="000F69DB">
      <w:pPr>
        <w:tabs>
          <w:tab w:val="left" w:pos="640"/>
        </w:tabs>
        <w:autoSpaceDE w:val="0"/>
        <w:autoSpaceDN w:val="0"/>
        <w:adjustRightInd w:val="0"/>
        <w:spacing w:after="240"/>
        <w:rPr>
          <w:rFonts w:eastAsia="MS ??"/>
          <w:lang w:eastAsia="en-GB"/>
        </w:rPr>
      </w:pPr>
    </w:p>
    <w:p w14:paraId="38539F70" w14:textId="77777777" w:rsidR="00C23C73" w:rsidRPr="002D6EC7" w:rsidRDefault="00C23C73" w:rsidP="00C23C73">
      <w:pPr>
        <w:pStyle w:val="NoNumberHeading"/>
      </w:pPr>
      <w:r w:rsidRPr="002D6EC7">
        <w:t>Tables</w:t>
      </w:r>
    </w:p>
    <w:p w14:paraId="444ACDBA" w14:textId="1D610248" w:rsidR="00C23C73" w:rsidRPr="002D6EC7" w:rsidRDefault="00C23C73" w:rsidP="00C23C73">
      <w:pPr>
        <w:pStyle w:val="Caption"/>
      </w:pPr>
      <w:r w:rsidRPr="002D6EC7">
        <w:t>Table 1:</w:t>
      </w:r>
      <w:r w:rsidRPr="002D6EC7">
        <w:tab/>
        <w:t>Ranges of (−)</w:t>
      </w:r>
      <w:r w:rsidRPr="002D6EC7">
        <w:noBreakHyphen/>
        <w:t xml:space="preserve">epicatechin content (mg/100 g or mg/100 mL) of different foods commonly consumed (data from Phenol Explorer 3.0 </w:t>
      </w:r>
      <w:r w:rsidR="00CE24FC" w:rsidRPr="002D6EC7">
        <w:rPr>
          <w:szCs w:val="20"/>
          <w:lang w:val="en-US" w:eastAsia="en-GB"/>
        </w:rPr>
        <w:fldChar w:fldCharType="begin"/>
      </w:r>
      <w:r w:rsidR="002D6EC7" w:rsidRPr="002D6EC7">
        <w:rPr>
          <w:szCs w:val="20"/>
          <w:lang w:val="en-US" w:eastAsia="en-GB"/>
        </w:rPr>
        <w:instrText xml:space="preserve"> ADDIN PAPERS2_CITATIONS &lt;citation&gt;&lt;priority&gt;51&lt;/priority&gt;&lt;uuid&gt;24F10F9C-C8AD-4D67-A880-878C69B60070&lt;/uuid&gt;&lt;publications&gt;&lt;publication&gt;&lt;subtype&gt;400&lt;/subtype&gt;&lt;title&gt;Phenol-Explorer 3.0: a major update of the Phenol-Explorer database to incorporate data on the effects of food processing on polyphenol content.&lt;/title&gt;&lt;url&gt;https://academic.oup.com/database/article-lookup/doi/10.1093/database/bat070&lt;/url&gt;&lt;volume&gt;2013&lt;/volume&gt;&lt;publication_date&gt;99201300001200000000200000&lt;/publication_date&gt;&lt;uuid&gt;F291FA24-0C7C-4158-938C-B21F724842F6&lt;/uuid&gt;&lt;type&gt;400&lt;/type&gt;&lt;number&gt;0&lt;/number&gt;&lt;citekey&gt;Rothwell:2013jf&lt;/citekey&gt;&lt;doi&gt;10.1093/database/bat070&lt;/doi&gt;&lt;institution&gt;International Agency for Research on Cancer (IARC), Nutrition and Metabolism Section, Biomarkers Group, 150 cours Albert Thomas, F-69372 Lyon Cedex 08, France, INRA, UMR1019, Unité Nutrition Humaine, CRNH Auvergne, F-63000 Clermont-Ferrand, France, Department of Biological Chemistry, Institute of Advanced Chemistry of Catalonia (IQAC-CSIC), 18-26 c/ Jordi Girona, 0834, Barcelona, Spain, Nutrition and Food Science Department, School of Pharmacy, Diagonal Campus, 27-31 Joan XXIII, 0828, University of Barcelona, Barcelona, Spain, CIBER: BC06/03 Fisiopatologia de la Obesidad y la Nutrición, CIBERobn. Instituto de Salud Carlos III, 4 c/ Sinesio Delgado, 28029 Madrid, Spain, In Siliflo Inc, ABT6V1Y2, Edmonton, Canada and Departments of Computing Science and Biological Sciences, University of Alberta, Edmonton AB T6G 2E8, Canada.&lt;/institution&gt;&lt;startpage&gt;bat070&lt;/startpage&gt;&lt;endpage&gt;bat070&lt;/endpage&gt;&lt;bundle&gt;&lt;publication&gt;&lt;title&gt;Database&lt;/title&gt;&lt;uuid&gt;58189B7C-B270-4EC0-8001-AA21E97A736F&lt;/uuid&gt;&lt;subtype&gt;-100&lt;/subtype&gt;&lt;type&gt;-100&lt;/type&gt;&lt;/publication&gt;&lt;/bundle&gt;&lt;authors&gt;&lt;author&gt;&lt;lastName&gt;Rothwell&lt;/lastName&gt;&lt;firstName&gt;Joseph&lt;/firstName&gt;&lt;middleNames&gt;A&lt;/middleNames&gt;&lt;/author&gt;&lt;author&gt;&lt;lastName&gt;Pérez-Jiménez&lt;/lastName&gt;&lt;firstName&gt;Jara&lt;/firstName&gt;&lt;/author&gt;&lt;author&gt;&lt;lastName&gt;Neveu&lt;/lastName&gt;&lt;firstName&gt;Vanessa&lt;/firstName&gt;&lt;/author&gt;&lt;author&gt;&lt;lastName&gt;Medina-Remón&lt;/lastName&gt;&lt;firstName&gt;Alexander&lt;/firstName&gt;&lt;/author&gt;&lt;author&gt;&lt;lastName&gt;M'hiri&lt;/lastName&gt;&lt;firstName&gt;Nouha&lt;/firstName&gt;&lt;/author&gt;&lt;author&gt;&lt;lastName&gt;García-Lobato&lt;/lastName&gt;&lt;firstName&gt;Paula&lt;/firstName&gt;&lt;/author&gt;&lt;author&gt;&lt;lastName&gt;Manach&lt;/lastName&gt;&lt;firstName&gt;Claudine&lt;/firstName&gt;&lt;/author&gt;&lt;author&gt;&lt;lastName&gt;Knox&lt;/lastName&gt;&lt;firstName&gt;Craig&lt;/firstName&gt;&lt;/author&gt;&lt;author&gt;&lt;lastName&gt;Eisner&lt;/lastName&gt;&lt;firstName&gt;Roman&lt;/firstName&gt;&lt;/author&gt;&lt;author&gt;&lt;lastName&gt;Wishart&lt;/lastName&gt;&lt;firstName&gt;David&lt;/firstName&gt;&lt;middleNames&gt;S&lt;/middleNames&gt;&lt;/author&gt;&lt;author&gt;&lt;lastName&gt;Scalbert&lt;/lastName&gt;&lt;firstName&gt;Augustin&lt;/firstName&gt;&lt;/author&gt;&lt;/authors&gt;&lt;/publication&gt;&lt;/publications&gt;&lt;cites&gt;&lt;/cites&gt;&lt;/citation&gt;</w:instrText>
      </w:r>
      <w:r w:rsidR="00CE24FC" w:rsidRPr="002D6EC7">
        <w:rPr>
          <w:szCs w:val="20"/>
          <w:lang w:val="en-US" w:eastAsia="en-GB"/>
        </w:rPr>
        <w:fldChar w:fldCharType="separate"/>
      </w:r>
      <w:r w:rsidR="002D6EC7" w:rsidRPr="002D6EC7">
        <w:rPr>
          <w:szCs w:val="20"/>
          <w:vertAlign w:val="superscript"/>
          <w:lang w:val="en-US" w:eastAsia="en-GB"/>
        </w:rPr>
        <w:t>37</w:t>
      </w:r>
      <w:r w:rsidR="00CE24FC" w:rsidRPr="002D6EC7">
        <w:rPr>
          <w:szCs w:val="20"/>
          <w:lang w:val="en-US" w:eastAsia="en-GB"/>
        </w:rPr>
        <w:fldChar w:fldCharType="end"/>
      </w:r>
      <w:r w:rsidRPr="002D6EC7">
        <w:t>)</w:t>
      </w:r>
    </w:p>
    <w:tbl>
      <w:tblPr>
        <w:tblW w:w="7520" w:type="dxa"/>
        <w:jc w:val="center"/>
        <w:tblLook w:val="04A0" w:firstRow="1" w:lastRow="0" w:firstColumn="1" w:lastColumn="0" w:noHBand="0" w:noVBand="1"/>
      </w:tblPr>
      <w:tblGrid>
        <w:gridCol w:w="4400"/>
        <w:gridCol w:w="3120"/>
      </w:tblGrid>
      <w:tr w:rsidR="00C23C73" w:rsidRPr="002D6EC7" w14:paraId="5E1C184B" w14:textId="77777777" w:rsidTr="009B0B39">
        <w:trPr>
          <w:trHeight w:val="320"/>
          <w:jc w:val="center"/>
        </w:trPr>
        <w:tc>
          <w:tcPr>
            <w:tcW w:w="4400" w:type="dxa"/>
            <w:tcBorders>
              <w:top w:val="single" w:sz="4" w:space="0" w:color="auto"/>
              <w:left w:val="nil"/>
              <w:bottom w:val="single" w:sz="4" w:space="0" w:color="auto"/>
              <w:right w:val="nil"/>
            </w:tcBorders>
            <w:shd w:val="clear" w:color="auto" w:fill="auto"/>
            <w:noWrap/>
            <w:vAlign w:val="bottom"/>
            <w:hideMark/>
          </w:tcPr>
          <w:p w14:paraId="04C3443F" w14:textId="77777777" w:rsidR="00C23C73" w:rsidRPr="002D6EC7" w:rsidRDefault="00C23C73" w:rsidP="009B0B39">
            <w:pPr>
              <w:pStyle w:val="Rdgtable"/>
              <w:rPr>
                <w:szCs w:val="24"/>
              </w:rPr>
            </w:pPr>
            <w:r w:rsidRPr="002D6EC7">
              <w:t>Food</w:t>
            </w:r>
          </w:p>
        </w:tc>
        <w:tc>
          <w:tcPr>
            <w:tcW w:w="3120" w:type="dxa"/>
            <w:tcBorders>
              <w:top w:val="single" w:sz="4" w:space="0" w:color="auto"/>
              <w:left w:val="nil"/>
              <w:bottom w:val="single" w:sz="4" w:space="0" w:color="auto"/>
              <w:right w:val="nil"/>
            </w:tcBorders>
            <w:shd w:val="clear" w:color="auto" w:fill="auto"/>
            <w:noWrap/>
            <w:vAlign w:val="bottom"/>
            <w:hideMark/>
          </w:tcPr>
          <w:p w14:paraId="521DD909" w14:textId="77777777" w:rsidR="00C23C73" w:rsidRPr="002D6EC7" w:rsidRDefault="00C23C73" w:rsidP="009B0B39">
            <w:pPr>
              <w:pStyle w:val="Rdgtable"/>
              <w:jc w:val="center"/>
            </w:pPr>
            <w:r w:rsidRPr="002D6EC7">
              <w:t>Content [mean ± SD, range]</w:t>
            </w:r>
          </w:p>
        </w:tc>
      </w:tr>
      <w:tr w:rsidR="00C23C73" w:rsidRPr="002D6EC7" w14:paraId="5A86F005" w14:textId="77777777" w:rsidTr="009B0B39">
        <w:trPr>
          <w:trHeight w:val="320"/>
          <w:jc w:val="center"/>
        </w:trPr>
        <w:tc>
          <w:tcPr>
            <w:tcW w:w="4400" w:type="dxa"/>
            <w:tcBorders>
              <w:top w:val="single" w:sz="4" w:space="0" w:color="auto"/>
              <w:left w:val="nil"/>
              <w:bottom w:val="nil"/>
              <w:right w:val="nil"/>
            </w:tcBorders>
            <w:shd w:val="clear" w:color="auto" w:fill="auto"/>
            <w:noWrap/>
            <w:vAlign w:val="bottom"/>
            <w:hideMark/>
          </w:tcPr>
          <w:p w14:paraId="76DCCFE8" w14:textId="77777777" w:rsidR="00C23C73" w:rsidRPr="002D6EC7" w:rsidRDefault="00C23C73" w:rsidP="009B0B39">
            <w:pPr>
              <w:pStyle w:val="Rdgtable"/>
            </w:pPr>
            <w:r w:rsidRPr="002D6EC7">
              <w:t>Apple (Cider), peeled</w:t>
            </w:r>
          </w:p>
        </w:tc>
        <w:tc>
          <w:tcPr>
            <w:tcW w:w="3120" w:type="dxa"/>
            <w:tcBorders>
              <w:top w:val="single" w:sz="4" w:space="0" w:color="auto"/>
              <w:left w:val="nil"/>
              <w:bottom w:val="nil"/>
              <w:right w:val="nil"/>
            </w:tcBorders>
            <w:shd w:val="clear" w:color="auto" w:fill="auto"/>
            <w:noWrap/>
            <w:vAlign w:val="bottom"/>
            <w:hideMark/>
          </w:tcPr>
          <w:p w14:paraId="1020EF3F" w14:textId="77777777" w:rsidR="00C23C73" w:rsidRPr="002D6EC7" w:rsidRDefault="00C23C73" w:rsidP="009B0B39">
            <w:pPr>
              <w:pStyle w:val="Rdgtable"/>
              <w:jc w:val="center"/>
            </w:pPr>
            <w:r w:rsidRPr="002D6EC7">
              <w:t>28.7 ± 26.5 (0.0 - 141.0)</w:t>
            </w:r>
          </w:p>
        </w:tc>
      </w:tr>
      <w:tr w:rsidR="00C23C73" w:rsidRPr="002D6EC7" w14:paraId="0681048D"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05B2C923" w14:textId="77777777" w:rsidR="00C23C73" w:rsidRPr="002D6EC7" w:rsidRDefault="00C23C73" w:rsidP="009B0B39">
            <w:pPr>
              <w:pStyle w:val="Rdgtable"/>
            </w:pPr>
            <w:r w:rsidRPr="002D6EC7">
              <w:t>Apple (Dessert), peeled</w:t>
            </w:r>
          </w:p>
        </w:tc>
        <w:tc>
          <w:tcPr>
            <w:tcW w:w="3120" w:type="dxa"/>
            <w:tcBorders>
              <w:top w:val="nil"/>
              <w:left w:val="nil"/>
              <w:bottom w:val="nil"/>
              <w:right w:val="nil"/>
            </w:tcBorders>
            <w:shd w:val="clear" w:color="auto" w:fill="auto"/>
            <w:noWrap/>
            <w:vAlign w:val="bottom"/>
            <w:hideMark/>
          </w:tcPr>
          <w:p w14:paraId="36DAE49C" w14:textId="77777777" w:rsidR="00C23C73" w:rsidRPr="002D6EC7" w:rsidRDefault="00C23C73" w:rsidP="009B0B39">
            <w:pPr>
              <w:pStyle w:val="Rdgtable"/>
              <w:jc w:val="center"/>
            </w:pPr>
            <w:r w:rsidRPr="002D6EC7">
              <w:t>6.7 ± 4.5 (0.0 - 19.8)</w:t>
            </w:r>
          </w:p>
        </w:tc>
      </w:tr>
      <w:tr w:rsidR="00C23C73" w:rsidRPr="002D6EC7" w14:paraId="2D5C3131"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1E983A77" w14:textId="77777777" w:rsidR="00C23C73" w:rsidRPr="002D6EC7" w:rsidRDefault="00C23C73" w:rsidP="009B0B39">
            <w:pPr>
              <w:pStyle w:val="Rdgtable"/>
            </w:pPr>
            <w:r w:rsidRPr="002D6EC7">
              <w:t>Apricot, raw</w:t>
            </w:r>
          </w:p>
        </w:tc>
        <w:tc>
          <w:tcPr>
            <w:tcW w:w="3120" w:type="dxa"/>
            <w:tcBorders>
              <w:top w:val="nil"/>
              <w:left w:val="nil"/>
              <w:bottom w:val="nil"/>
              <w:right w:val="nil"/>
            </w:tcBorders>
            <w:shd w:val="clear" w:color="auto" w:fill="auto"/>
            <w:noWrap/>
            <w:vAlign w:val="bottom"/>
            <w:hideMark/>
          </w:tcPr>
          <w:p w14:paraId="5107A545" w14:textId="77777777" w:rsidR="00C23C73" w:rsidRPr="002D6EC7" w:rsidRDefault="00C23C73" w:rsidP="009B0B39">
            <w:pPr>
              <w:pStyle w:val="Rdgtable"/>
              <w:jc w:val="center"/>
            </w:pPr>
            <w:r w:rsidRPr="002D6EC7">
              <w:t>3.5 ± 4.3 (0.0 - 6.1)</w:t>
            </w:r>
          </w:p>
        </w:tc>
      </w:tr>
      <w:tr w:rsidR="00C23C73" w:rsidRPr="002D6EC7" w14:paraId="267F0E7F"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44D7F892" w14:textId="77777777" w:rsidR="00C23C73" w:rsidRPr="002D6EC7" w:rsidRDefault="00C23C73" w:rsidP="009B0B39">
            <w:pPr>
              <w:pStyle w:val="Rdgtable"/>
            </w:pPr>
            <w:r w:rsidRPr="002D6EC7">
              <w:t>Blackberry, raw</w:t>
            </w:r>
          </w:p>
        </w:tc>
        <w:tc>
          <w:tcPr>
            <w:tcW w:w="3120" w:type="dxa"/>
            <w:tcBorders>
              <w:top w:val="nil"/>
              <w:left w:val="nil"/>
              <w:bottom w:val="nil"/>
              <w:right w:val="nil"/>
            </w:tcBorders>
            <w:shd w:val="clear" w:color="auto" w:fill="auto"/>
            <w:noWrap/>
            <w:vAlign w:val="bottom"/>
            <w:hideMark/>
          </w:tcPr>
          <w:p w14:paraId="2C67D5BA" w14:textId="77777777" w:rsidR="00C23C73" w:rsidRPr="002D6EC7" w:rsidRDefault="00C23C73" w:rsidP="009B0B39">
            <w:pPr>
              <w:pStyle w:val="Rdgtable"/>
              <w:jc w:val="center"/>
            </w:pPr>
            <w:r w:rsidRPr="002D6EC7">
              <w:t>11.5 ± 10.9 (2.7 - 18.1)</w:t>
            </w:r>
          </w:p>
        </w:tc>
      </w:tr>
      <w:tr w:rsidR="00C23C73" w:rsidRPr="002D6EC7" w14:paraId="076FF791"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735BF460" w14:textId="77777777" w:rsidR="00C23C73" w:rsidRPr="002D6EC7" w:rsidRDefault="00C23C73" w:rsidP="009B0B39">
            <w:pPr>
              <w:pStyle w:val="Rdgtable"/>
            </w:pPr>
            <w:r w:rsidRPr="002D6EC7">
              <w:t>Chocolate, dark</w:t>
            </w:r>
          </w:p>
        </w:tc>
        <w:tc>
          <w:tcPr>
            <w:tcW w:w="3120" w:type="dxa"/>
            <w:tcBorders>
              <w:top w:val="nil"/>
              <w:left w:val="nil"/>
              <w:bottom w:val="nil"/>
              <w:right w:val="nil"/>
            </w:tcBorders>
            <w:shd w:val="clear" w:color="auto" w:fill="auto"/>
            <w:noWrap/>
            <w:vAlign w:val="bottom"/>
            <w:hideMark/>
          </w:tcPr>
          <w:p w14:paraId="29BB09B4" w14:textId="77777777" w:rsidR="00C23C73" w:rsidRPr="002D6EC7" w:rsidRDefault="00C23C73" w:rsidP="009B0B39">
            <w:pPr>
              <w:pStyle w:val="Rdgtable"/>
              <w:jc w:val="center"/>
            </w:pPr>
            <w:r w:rsidRPr="002D6EC7">
              <w:t>70.4 ± 29.5 (32.7 - 125.0)</w:t>
            </w:r>
          </w:p>
        </w:tc>
      </w:tr>
      <w:tr w:rsidR="00C23C73" w:rsidRPr="002D6EC7" w14:paraId="2CF4346C"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6D79197D" w14:textId="77777777" w:rsidR="00C23C73" w:rsidRPr="002D6EC7" w:rsidRDefault="00C23C73" w:rsidP="009B0B39">
            <w:pPr>
              <w:pStyle w:val="Rdgtable"/>
            </w:pPr>
            <w:r w:rsidRPr="002D6EC7">
              <w:t>European cranberry</w:t>
            </w:r>
          </w:p>
        </w:tc>
        <w:tc>
          <w:tcPr>
            <w:tcW w:w="3120" w:type="dxa"/>
            <w:tcBorders>
              <w:top w:val="nil"/>
              <w:left w:val="nil"/>
              <w:bottom w:val="nil"/>
              <w:right w:val="nil"/>
            </w:tcBorders>
            <w:shd w:val="clear" w:color="auto" w:fill="auto"/>
            <w:noWrap/>
            <w:vAlign w:val="bottom"/>
            <w:hideMark/>
          </w:tcPr>
          <w:p w14:paraId="59D3C9DE" w14:textId="77777777" w:rsidR="00C23C73" w:rsidRPr="002D6EC7" w:rsidRDefault="00C23C73" w:rsidP="009B0B39">
            <w:pPr>
              <w:pStyle w:val="Rdgtable"/>
              <w:jc w:val="center"/>
            </w:pPr>
            <w:r w:rsidRPr="002D6EC7">
              <w:t>4.2 ± 0.0 (4.2 - 4.2)</w:t>
            </w:r>
          </w:p>
        </w:tc>
      </w:tr>
      <w:tr w:rsidR="00C23C73" w:rsidRPr="002D6EC7" w14:paraId="781162DD"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2F8BE6DB" w14:textId="77777777" w:rsidR="00C23C73" w:rsidRPr="002D6EC7" w:rsidRDefault="00C23C73" w:rsidP="009B0B39">
            <w:pPr>
              <w:pStyle w:val="Rdgtable"/>
            </w:pPr>
            <w:r w:rsidRPr="002D6EC7">
              <w:t>Grape (Black)</w:t>
            </w:r>
          </w:p>
        </w:tc>
        <w:tc>
          <w:tcPr>
            <w:tcW w:w="3120" w:type="dxa"/>
            <w:tcBorders>
              <w:top w:val="nil"/>
              <w:left w:val="nil"/>
              <w:bottom w:val="nil"/>
              <w:right w:val="nil"/>
            </w:tcBorders>
            <w:shd w:val="clear" w:color="auto" w:fill="auto"/>
            <w:noWrap/>
            <w:vAlign w:val="bottom"/>
            <w:hideMark/>
          </w:tcPr>
          <w:p w14:paraId="25242E4F" w14:textId="77777777" w:rsidR="00C23C73" w:rsidRPr="002D6EC7" w:rsidRDefault="00C23C73" w:rsidP="009B0B39">
            <w:pPr>
              <w:pStyle w:val="Rdgtable"/>
              <w:jc w:val="center"/>
            </w:pPr>
            <w:r w:rsidRPr="002D6EC7">
              <w:t>5.2 ± 5.6 (0.7 - 8.6)</w:t>
            </w:r>
          </w:p>
        </w:tc>
      </w:tr>
      <w:tr w:rsidR="00C23C73" w:rsidRPr="002D6EC7" w14:paraId="20C5923C"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4E0AB424" w14:textId="77777777" w:rsidR="00C23C73" w:rsidRPr="002D6EC7" w:rsidRDefault="00C23C73" w:rsidP="009B0B39">
            <w:pPr>
              <w:pStyle w:val="Rdgtable"/>
            </w:pPr>
            <w:r w:rsidRPr="002D6EC7">
              <w:t>Nectarine, peeled</w:t>
            </w:r>
          </w:p>
        </w:tc>
        <w:tc>
          <w:tcPr>
            <w:tcW w:w="3120" w:type="dxa"/>
            <w:tcBorders>
              <w:top w:val="nil"/>
              <w:left w:val="nil"/>
              <w:bottom w:val="nil"/>
              <w:right w:val="nil"/>
            </w:tcBorders>
            <w:shd w:val="clear" w:color="auto" w:fill="auto"/>
            <w:noWrap/>
            <w:vAlign w:val="bottom"/>
            <w:hideMark/>
          </w:tcPr>
          <w:p w14:paraId="0BADACA9" w14:textId="77777777" w:rsidR="00C23C73" w:rsidRPr="002D6EC7" w:rsidRDefault="00C23C73" w:rsidP="009B0B39">
            <w:pPr>
              <w:pStyle w:val="Rdgtable"/>
              <w:jc w:val="center"/>
            </w:pPr>
            <w:r w:rsidRPr="002D6EC7">
              <w:t>3.0 ± 1.1 (1.3 - 5.6)</w:t>
            </w:r>
          </w:p>
        </w:tc>
      </w:tr>
      <w:tr w:rsidR="00C23C73" w:rsidRPr="002D6EC7" w14:paraId="3E303B86"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5687BC2C" w14:textId="77777777" w:rsidR="00C23C73" w:rsidRPr="002D6EC7" w:rsidRDefault="00C23C73" w:rsidP="009B0B39">
            <w:pPr>
              <w:pStyle w:val="Rdgtable"/>
            </w:pPr>
            <w:r w:rsidRPr="002D6EC7">
              <w:t>Peach, peeled</w:t>
            </w:r>
          </w:p>
        </w:tc>
        <w:tc>
          <w:tcPr>
            <w:tcW w:w="3120" w:type="dxa"/>
            <w:tcBorders>
              <w:top w:val="nil"/>
              <w:left w:val="nil"/>
              <w:bottom w:val="nil"/>
              <w:right w:val="nil"/>
            </w:tcBorders>
            <w:shd w:val="clear" w:color="auto" w:fill="auto"/>
            <w:noWrap/>
            <w:vAlign w:val="bottom"/>
            <w:hideMark/>
          </w:tcPr>
          <w:p w14:paraId="304ABC8D" w14:textId="77777777" w:rsidR="00C23C73" w:rsidRPr="002D6EC7" w:rsidRDefault="00C23C73" w:rsidP="009B0B39">
            <w:pPr>
              <w:pStyle w:val="Rdgtable"/>
              <w:jc w:val="center"/>
            </w:pPr>
            <w:r w:rsidRPr="002D6EC7">
              <w:t>8.0 ± 4.2 (0.7 - 16.5)</w:t>
            </w:r>
          </w:p>
        </w:tc>
      </w:tr>
      <w:tr w:rsidR="00C23C73" w:rsidRPr="002D6EC7" w14:paraId="1AEADFB0"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5B685666" w14:textId="77777777" w:rsidR="00C23C73" w:rsidRPr="002D6EC7" w:rsidRDefault="00C23C73" w:rsidP="009B0B39">
            <w:pPr>
              <w:pStyle w:val="Rdgtable"/>
            </w:pPr>
            <w:r w:rsidRPr="002D6EC7">
              <w:t>Pear, whole</w:t>
            </w:r>
          </w:p>
        </w:tc>
        <w:tc>
          <w:tcPr>
            <w:tcW w:w="3120" w:type="dxa"/>
            <w:tcBorders>
              <w:top w:val="nil"/>
              <w:left w:val="nil"/>
              <w:bottom w:val="nil"/>
              <w:right w:val="nil"/>
            </w:tcBorders>
            <w:shd w:val="clear" w:color="auto" w:fill="auto"/>
            <w:noWrap/>
            <w:vAlign w:val="bottom"/>
            <w:hideMark/>
          </w:tcPr>
          <w:p w14:paraId="4CC77546" w14:textId="77777777" w:rsidR="00C23C73" w:rsidRPr="002D6EC7" w:rsidRDefault="00C23C73" w:rsidP="009B0B39">
            <w:pPr>
              <w:pStyle w:val="Rdgtable"/>
              <w:jc w:val="center"/>
            </w:pPr>
            <w:r w:rsidRPr="002D6EC7">
              <w:t>3.8 ± 2.7 (0.2 - 7.5)</w:t>
            </w:r>
          </w:p>
        </w:tc>
      </w:tr>
      <w:tr w:rsidR="00C23C73" w:rsidRPr="002D6EC7" w14:paraId="191B6106"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3F9433EF" w14:textId="77777777" w:rsidR="00C23C73" w:rsidRPr="002D6EC7" w:rsidRDefault="00C23C73" w:rsidP="009B0B39">
            <w:pPr>
              <w:pStyle w:val="Rdgtable"/>
            </w:pPr>
            <w:r w:rsidRPr="002D6EC7">
              <w:t>Red raspberry, raw</w:t>
            </w:r>
          </w:p>
        </w:tc>
        <w:tc>
          <w:tcPr>
            <w:tcW w:w="3120" w:type="dxa"/>
            <w:tcBorders>
              <w:top w:val="nil"/>
              <w:left w:val="nil"/>
              <w:bottom w:val="nil"/>
              <w:right w:val="nil"/>
            </w:tcBorders>
            <w:shd w:val="clear" w:color="auto" w:fill="auto"/>
            <w:noWrap/>
            <w:vAlign w:val="bottom"/>
            <w:hideMark/>
          </w:tcPr>
          <w:p w14:paraId="33993F3A" w14:textId="77777777" w:rsidR="00C23C73" w:rsidRPr="002D6EC7" w:rsidRDefault="00C23C73" w:rsidP="009B0B39">
            <w:pPr>
              <w:pStyle w:val="Rdgtable"/>
              <w:jc w:val="center"/>
            </w:pPr>
            <w:r w:rsidRPr="002D6EC7">
              <w:t>5.0 ± 3.8 (0.3 - 8.3)</w:t>
            </w:r>
          </w:p>
        </w:tc>
      </w:tr>
      <w:tr w:rsidR="00C23C73" w:rsidRPr="002D6EC7" w14:paraId="0D598647"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4A65EB8F" w14:textId="77777777" w:rsidR="00C23C73" w:rsidRPr="002D6EC7" w:rsidRDefault="00C23C73" w:rsidP="009B0B39">
            <w:pPr>
              <w:pStyle w:val="Rdgtable"/>
            </w:pPr>
            <w:r w:rsidRPr="002D6EC7">
              <w:t>Sweet cherry, raw</w:t>
            </w:r>
          </w:p>
        </w:tc>
        <w:tc>
          <w:tcPr>
            <w:tcW w:w="3120" w:type="dxa"/>
            <w:tcBorders>
              <w:top w:val="nil"/>
              <w:left w:val="nil"/>
              <w:bottom w:val="nil"/>
              <w:right w:val="nil"/>
            </w:tcBorders>
            <w:shd w:val="clear" w:color="auto" w:fill="auto"/>
            <w:noWrap/>
            <w:vAlign w:val="bottom"/>
            <w:hideMark/>
          </w:tcPr>
          <w:p w14:paraId="430AB89F" w14:textId="77777777" w:rsidR="00C23C73" w:rsidRPr="002D6EC7" w:rsidRDefault="00C23C73" w:rsidP="009B0B39">
            <w:pPr>
              <w:pStyle w:val="Rdgtable"/>
              <w:jc w:val="center"/>
            </w:pPr>
            <w:r w:rsidRPr="002D6EC7">
              <w:t>7.8 ± 2.9 (5.5 - 9.5)</w:t>
            </w:r>
          </w:p>
        </w:tc>
      </w:tr>
      <w:tr w:rsidR="00C23C73" w:rsidRPr="002D6EC7" w14:paraId="7CE9F96E"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3E811574" w14:textId="77777777" w:rsidR="00C23C73" w:rsidRPr="002D6EC7" w:rsidRDefault="00C23C73" w:rsidP="009B0B39">
            <w:pPr>
              <w:pStyle w:val="Rdgtable"/>
            </w:pPr>
            <w:r w:rsidRPr="002D6EC7">
              <w:t>Tea (Black), infusion</w:t>
            </w:r>
          </w:p>
        </w:tc>
        <w:tc>
          <w:tcPr>
            <w:tcW w:w="3120" w:type="dxa"/>
            <w:tcBorders>
              <w:top w:val="nil"/>
              <w:left w:val="nil"/>
              <w:bottom w:val="nil"/>
              <w:right w:val="nil"/>
            </w:tcBorders>
            <w:shd w:val="clear" w:color="auto" w:fill="auto"/>
            <w:noWrap/>
            <w:vAlign w:val="bottom"/>
            <w:hideMark/>
          </w:tcPr>
          <w:p w14:paraId="7920DDCD" w14:textId="77777777" w:rsidR="00C23C73" w:rsidRPr="002D6EC7" w:rsidRDefault="00C23C73" w:rsidP="009B0B39">
            <w:pPr>
              <w:pStyle w:val="Rdgtable"/>
              <w:jc w:val="center"/>
            </w:pPr>
            <w:r w:rsidRPr="002D6EC7">
              <w:t>3.9 ± 4.3 (0.0 - 16.8)</w:t>
            </w:r>
          </w:p>
        </w:tc>
      </w:tr>
      <w:tr w:rsidR="00C23C73" w:rsidRPr="002D6EC7" w14:paraId="19243F70" w14:textId="77777777" w:rsidTr="009B0B39">
        <w:trPr>
          <w:trHeight w:val="320"/>
          <w:jc w:val="center"/>
        </w:trPr>
        <w:tc>
          <w:tcPr>
            <w:tcW w:w="4400" w:type="dxa"/>
            <w:tcBorders>
              <w:top w:val="nil"/>
              <w:left w:val="nil"/>
              <w:bottom w:val="nil"/>
              <w:right w:val="nil"/>
            </w:tcBorders>
            <w:shd w:val="clear" w:color="auto" w:fill="auto"/>
            <w:noWrap/>
            <w:vAlign w:val="bottom"/>
            <w:hideMark/>
          </w:tcPr>
          <w:p w14:paraId="3712E9D2" w14:textId="77777777" w:rsidR="00C23C73" w:rsidRPr="002D6EC7" w:rsidRDefault="00C23C73" w:rsidP="009B0B39">
            <w:pPr>
              <w:pStyle w:val="Rdgtable"/>
            </w:pPr>
            <w:r w:rsidRPr="002D6EC7">
              <w:t>Tea (Green), infusion</w:t>
            </w:r>
          </w:p>
        </w:tc>
        <w:tc>
          <w:tcPr>
            <w:tcW w:w="3120" w:type="dxa"/>
            <w:tcBorders>
              <w:top w:val="nil"/>
              <w:left w:val="nil"/>
              <w:bottom w:val="nil"/>
              <w:right w:val="nil"/>
            </w:tcBorders>
            <w:shd w:val="clear" w:color="auto" w:fill="auto"/>
            <w:noWrap/>
            <w:vAlign w:val="bottom"/>
            <w:hideMark/>
          </w:tcPr>
          <w:p w14:paraId="6BA0F6AD" w14:textId="77777777" w:rsidR="00C23C73" w:rsidRPr="002D6EC7" w:rsidRDefault="00C23C73" w:rsidP="009B0B39">
            <w:pPr>
              <w:pStyle w:val="Rdgtable"/>
              <w:jc w:val="center"/>
            </w:pPr>
            <w:r w:rsidRPr="002D6EC7">
              <w:t>7.9 ± 13.7 (0.0 - 73.9)</w:t>
            </w:r>
          </w:p>
        </w:tc>
      </w:tr>
      <w:tr w:rsidR="00C23C73" w:rsidRPr="002D6EC7" w14:paraId="27074B6D" w14:textId="77777777" w:rsidTr="009B0B39">
        <w:trPr>
          <w:trHeight w:val="320"/>
          <w:jc w:val="center"/>
        </w:trPr>
        <w:tc>
          <w:tcPr>
            <w:tcW w:w="4400" w:type="dxa"/>
            <w:tcBorders>
              <w:top w:val="nil"/>
              <w:left w:val="nil"/>
              <w:right w:val="nil"/>
            </w:tcBorders>
            <w:shd w:val="clear" w:color="auto" w:fill="auto"/>
            <w:noWrap/>
            <w:vAlign w:val="bottom"/>
            <w:hideMark/>
          </w:tcPr>
          <w:p w14:paraId="1EA27771" w14:textId="77777777" w:rsidR="00C23C73" w:rsidRPr="002D6EC7" w:rsidRDefault="00C23C73" w:rsidP="009B0B39">
            <w:pPr>
              <w:pStyle w:val="Rdgtable"/>
            </w:pPr>
            <w:r w:rsidRPr="002D6EC7">
              <w:t>Tea (Oolong), infusion</w:t>
            </w:r>
          </w:p>
        </w:tc>
        <w:tc>
          <w:tcPr>
            <w:tcW w:w="3120" w:type="dxa"/>
            <w:tcBorders>
              <w:top w:val="nil"/>
              <w:left w:val="nil"/>
              <w:right w:val="nil"/>
            </w:tcBorders>
            <w:shd w:val="clear" w:color="auto" w:fill="auto"/>
            <w:noWrap/>
            <w:vAlign w:val="bottom"/>
            <w:hideMark/>
          </w:tcPr>
          <w:p w14:paraId="59CCF607" w14:textId="77777777" w:rsidR="00C23C73" w:rsidRPr="002D6EC7" w:rsidRDefault="00C23C73" w:rsidP="009B0B39">
            <w:pPr>
              <w:pStyle w:val="Rdgtable"/>
              <w:jc w:val="center"/>
            </w:pPr>
            <w:r w:rsidRPr="002D6EC7">
              <w:t>2.7 ± 3.8 (0.0 - 13.2)</w:t>
            </w:r>
          </w:p>
        </w:tc>
      </w:tr>
      <w:tr w:rsidR="00C23C73" w:rsidRPr="002D6EC7" w14:paraId="71899492" w14:textId="77777777" w:rsidTr="009B0B39">
        <w:trPr>
          <w:trHeight w:val="320"/>
          <w:jc w:val="center"/>
        </w:trPr>
        <w:tc>
          <w:tcPr>
            <w:tcW w:w="4400" w:type="dxa"/>
            <w:tcBorders>
              <w:top w:val="nil"/>
              <w:left w:val="nil"/>
              <w:bottom w:val="single" w:sz="4" w:space="0" w:color="auto"/>
              <w:right w:val="nil"/>
            </w:tcBorders>
            <w:shd w:val="clear" w:color="auto" w:fill="auto"/>
            <w:noWrap/>
            <w:vAlign w:val="bottom"/>
            <w:hideMark/>
          </w:tcPr>
          <w:p w14:paraId="5DE5691E" w14:textId="77777777" w:rsidR="00C23C73" w:rsidRPr="002D6EC7" w:rsidRDefault="00C23C73" w:rsidP="009B0B39">
            <w:pPr>
              <w:pStyle w:val="Rdgtable"/>
            </w:pPr>
            <w:r w:rsidRPr="002D6EC7">
              <w:t>Wine (Red)</w:t>
            </w:r>
          </w:p>
        </w:tc>
        <w:tc>
          <w:tcPr>
            <w:tcW w:w="3120" w:type="dxa"/>
            <w:tcBorders>
              <w:top w:val="nil"/>
              <w:left w:val="nil"/>
              <w:bottom w:val="single" w:sz="4" w:space="0" w:color="auto"/>
              <w:right w:val="nil"/>
            </w:tcBorders>
            <w:shd w:val="clear" w:color="auto" w:fill="auto"/>
            <w:noWrap/>
            <w:vAlign w:val="bottom"/>
            <w:hideMark/>
          </w:tcPr>
          <w:p w14:paraId="44FE798B" w14:textId="77777777" w:rsidR="00C23C73" w:rsidRPr="002D6EC7" w:rsidRDefault="00C23C73" w:rsidP="009B0B39">
            <w:pPr>
              <w:pStyle w:val="Rdgtable"/>
              <w:jc w:val="center"/>
            </w:pPr>
            <w:r w:rsidRPr="002D6EC7">
              <w:t>3.8 ± 3.2 (0.0 - 16.5)</w:t>
            </w:r>
          </w:p>
        </w:tc>
      </w:tr>
    </w:tbl>
    <w:p w14:paraId="4615A564" w14:textId="77777777" w:rsidR="00C23C73" w:rsidRPr="002D6EC7" w:rsidRDefault="00C23C73" w:rsidP="00C23C73">
      <w:pPr>
        <w:pStyle w:val="Caption"/>
      </w:pPr>
    </w:p>
    <w:p w14:paraId="4776CD03" w14:textId="77777777" w:rsidR="00C23C73" w:rsidRPr="002D6EC7" w:rsidRDefault="00C23C73" w:rsidP="00C23C73">
      <w:pPr>
        <w:rPr>
          <w:rFonts w:eastAsia="MS ??"/>
          <w:bCs/>
          <w:color w:val="000000"/>
          <w:sz w:val="20"/>
          <w:szCs w:val="18"/>
        </w:rPr>
      </w:pPr>
      <w:r w:rsidRPr="002D6EC7">
        <w:br w:type="page"/>
      </w:r>
    </w:p>
    <w:p w14:paraId="33A3C435" w14:textId="77777777" w:rsidR="00C23C73" w:rsidRPr="002D6EC7" w:rsidRDefault="00C23C73" w:rsidP="00C23C73">
      <w:pPr>
        <w:pStyle w:val="Caption"/>
      </w:pPr>
      <w:r w:rsidRPr="002D6EC7">
        <w:lastRenderedPageBreak/>
        <w:t>Table 2:</w:t>
      </w:r>
      <w:r w:rsidRPr="002D6EC7">
        <w:tab/>
        <w:t xml:space="preserve"> LC-MS parameters for analytes and internal standards considered in method including precursor and product ions (m/z) and typical retention times.   </w:t>
      </w:r>
    </w:p>
    <w:tbl>
      <w:tblPr>
        <w:tblStyle w:val="TableGrid"/>
        <w:tblW w:w="8359" w:type="dxa"/>
        <w:tblBorders>
          <w:left w:val="none" w:sz="0" w:space="0" w:color="auto"/>
          <w:right w:val="none" w:sz="0" w:space="0" w:color="auto"/>
          <w:insideV w:val="none" w:sz="0" w:space="0" w:color="auto"/>
        </w:tblBorders>
        <w:tblLook w:val="04A0" w:firstRow="1" w:lastRow="0" w:firstColumn="1" w:lastColumn="0" w:noHBand="0" w:noVBand="1"/>
      </w:tblPr>
      <w:tblGrid>
        <w:gridCol w:w="4446"/>
        <w:gridCol w:w="1182"/>
        <w:gridCol w:w="1313"/>
        <w:gridCol w:w="1418"/>
      </w:tblGrid>
      <w:tr w:rsidR="00C23C73" w:rsidRPr="002D6EC7" w14:paraId="65E8F77E" w14:textId="77777777" w:rsidTr="009B0B39">
        <w:tc>
          <w:tcPr>
            <w:tcW w:w="4446" w:type="dxa"/>
          </w:tcPr>
          <w:p w14:paraId="2CAAF01C" w14:textId="77777777" w:rsidR="00C23C73" w:rsidRPr="002D6EC7" w:rsidRDefault="00C23C73" w:rsidP="009B0B39">
            <w:pPr>
              <w:pStyle w:val="Rdgtable"/>
            </w:pPr>
            <w:r w:rsidRPr="002D6EC7">
              <w:t>Analyte</w:t>
            </w:r>
          </w:p>
        </w:tc>
        <w:tc>
          <w:tcPr>
            <w:tcW w:w="1182" w:type="dxa"/>
          </w:tcPr>
          <w:p w14:paraId="34CA2742" w14:textId="77777777" w:rsidR="00C23C73" w:rsidRPr="002D6EC7" w:rsidRDefault="00C23C73" w:rsidP="009B0B39">
            <w:pPr>
              <w:pStyle w:val="Rdgtable"/>
            </w:pPr>
            <w:r w:rsidRPr="002D6EC7">
              <w:t>Precursor ion (m/z)</w:t>
            </w:r>
          </w:p>
        </w:tc>
        <w:tc>
          <w:tcPr>
            <w:tcW w:w="1313" w:type="dxa"/>
          </w:tcPr>
          <w:p w14:paraId="4A50D496" w14:textId="77777777" w:rsidR="00C23C73" w:rsidRPr="002D6EC7" w:rsidRDefault="00C23C73" w:rsidP="009B0B39">
            <w:pPr>
              <w:pStyle w:val="Rdgtable"/>
            </w:pPr>
            <w:r w:rsidRPr="002D6EC7">
              <w:t>Product ion (m/z)</w:t>
            </w:r>
          </w:p>
        </w:tc>
        <w:tc>
          <w:tcPr>
            <w:tcW w:w="1418" w:type="dxa"/>
          </w:tcPr>
          <w:p w14:paraId="19F84E85" w14:textId="77777777" w:rsidR="00C23C73" w:rsidRPr="002D6EC7" w:rsidRDefault="00C23C73" w:rsidP="009B0B39">
            <w:pPr>
              <w:pStyle w:val="Rdgtable"/>
            </w:pPr>
            <w:r w:rsidRPr="002D6EC7">
              <w:t>Retention time (min)</w:t>
            </w:r>
          </w:p>
        </w:tc>
      </w:tr>
      <w:tr w:rsidR="00C23C73" w:rsidRPr="002D6EC7" w14:paraId="21636451" w14:textId="77777777" w:rsidTr="009B0B39">
        <w:tc>
          <w:tcPr>
            <w:tcW w:w="4446" w:type="dxa"/>
          </w:tcPr>
          <w:p w14:paraId="356B78F0" w14:textId="77777777" w:rsidR="00C23C73" w:rsidRPr="002D6EC7" w:rsidRDefault="00C23C73" w:rsidP="009B0B39">
            <w:pPr>
              <w:pStyle w:val="Rdgtable"/>
            </w:pPr>
            <w:r w:rsidRPr="002D6EC7">
              <w:t>(−)-epicatechin-3′-glucuronide (E3G)</w:t>
            </w:r>
          </w:p>
        </w:tc>
        <w:tc>
          <w:tcPr>
            <w:tcW w:w="1182" w:type="dxa"/>
          </w:tcPr>
          <w:p w14:paraId="770B52B2" w14:textId="77777777" w:rsidR="00C23C73" w:rsidRPr="002D6EC7" w:rsidRDefault="00C23C73" w:rsidP="009B0B39">
            <w:pPr>
              <w:pStyle w:val="Rdgtable"/>
            </w:pPr>
            <w:r w:rsidRPr="002D6EC7">
              <w:t>464.8</w:t>
            </w:r>
          </w:p>
        </w:tc>
        <w:tc>
          <w:tcPr>
            <w:tcW w:w="1313" w:type="dxa"/>
          </w:tcPr>
          <w:p w14:paraId="087069C2" w14:textId="77777777" w:rsidR="00C23C73" w:rsidRPr="002D6EC7" w:rsidRDefault="00C23C73" w:rsidP="009B0B39">
            <w:pPr>
              <w:pStyle w:val="Rdgtable"/>
            </w:pPr>
            <w:r w:rsidRPr="002D6EC7">
              <w:t>289.1</w:t>
            </w:r>
          </w:p>
        </w:tc>
        <w:tc>
          <w:tcPr>
            <w:tcW w:w="1418" w:type="dxa"/>
          </w:tcPr>
          <w:p w14:paraId="5B95EAF3" w14:textId="77777777" w:rsidR="00C23C73" w:rsidRPr="002D6EC7" w:rsidRDefault="00C23C73" w:rsidP="009B0B39">
            <w:pPr>
              <w:pStyle w:val="Rdgtable"/>
            </w:pPr>
            <w:r w:rsidRPr="002D6EC7">
              <w:t>3.84</w:t>
            </w:r>
          </w:p>
        </w:tc>
      </w:tr>
      <w:tr w:rsidR="00C23C73" w:rsidRPr="002D6EC7" w14:paraId="6D213A39" w14:textId="77777777" w:rsidTr="009B0B39">
        <w:tc>
          <w:tcPr>
            <w:tcW w:w="4446" w:type="dxa"/>
          </w:tcPr>
          <w:p w14:paraId="7D0C2A73" w14:textId="77777777" w:rsidR="00C23C73" w:rsidRPr="002D6EC7" w:rsidRDefault="00C23C73" w:rsidP="009B0B39">
            <w:pPr>
              <w:pStyle w:val="Rdgtable"/>
            </w:pPr>
            <w:r w:rsidRPr="002D6EC7">
              <w:t>(−)-epicatechin-3′-sulfate (E3S) </w:t>
            </w:r>
          </w:p>
        </w:tc>
        <w:tc>
          <w:tcPr>
            <w:tcW w:w="1182" w:type="dxa"/>
          </w:tcPr>
          <w:p w14:paraId="56C5725D" w14:textId="77777777" w:rsidR="00C23C73" w:rsidRPr="002D6EC7" w:rsidRDefault="00C23C73" w:rsidP="009B0B39">
            <w:pPr>
              <w:pStyle w:val="Rdgtable"/>
            </w:pPr>
            <w:r w:rsidRPr="002D6EC7">
              <w:t>369.1</w:t>
            </w:r>
          </w:p>
        </w:tc>
        <w:tc>
          <w:tcPr>
            <w:tcW w:w="1313" w:type="dxa"/>
          </w:tcPr>
          <w:p w14:paraId="6FC14BE6" w14:textId="77777777" w:rsidR="00C23C73" w:rsidRPr="002D6EC7" w:rsidRDefault="00C23C73" w:rsidP="009B0B39">
            <w:pPr>
              <w:pStyle w:val="Rdgtable"/>
            </w:pPr>
            <w:r w:rsidRPr="002D6EC7">
              <w:t>289.1</w:t>
            </w:r>
          </w:p>
        </w:tc>
        <w:tc>
          <w:tcPr>
            <w:tcW w:w="1418" w:type="dxa"/>
          </w:tcPr>
          <w:p w14:paraId="6589A8E5" w14:textId="77777777" w:rsidR="00C23C73" w:rsidRPr="002D6EC7" w:rsidRDefault="00C23C73" w:rsidP="009B0B39">
            <w:pPr>
              <w:pStyle w:val="Rdgtable"/>
            </w:pPr>
            <w:r w:rsidRPr="002D6EC7">
              <w:t>4.08</w:t>
            </w:r>
          </w:p>
        </w:tc>
      </w:tr>
      <w:tr w:rsidR="00C23C73" w:rsidRPr="002D6EC7" w14:paraId="2AF3CAD6" w14:textId="77777777" w:rsidTr="009B0B39">
        <w:tc>
          <w:tcPr>
            <w:tcW w:w="4446" w:type="dxa"/>
          </w:tcPr>
          <w:p w14:paraId="2EC37F2A" w14:textId="77777777" w:rsidR="00C23C73" w:rsidRPr="002D6EC7" w:rsidRDefault="00C23C73" w:rsidP="009B0B39">
            <w:pPr>
              <w:pStyle w:val="Rdgtable"/>
            </w:pPr>
            <w:r w:rsidRPr="002D6EC7">
              <w:rPr>
                <w:rStyle w:val="normaltextrun"/>
              </w:rPr>
              <w:t>3′-O-methyl-(−)-epicatechin-5-sulfate</w:t>
            </w:r>
            <w:r w:rsidRPr="002D6EC7">
              <w:rPr>
                <w:rStyle w:val="apple-converted-space"/>
              </w:rPr>
              <w:t> (3Me5S)</w:t>
            </w:r>
          </w:p>
        </w:tc>
        <w:tc>
          <w:tcPr>
            <w:tcW w:w="1182" w:type="dxa"/>
          </w:tcPr>
          <w:p w14:paraId="1CF23BD0" w14:textId="77777777" w:rsidR="00C23C73" w:rsidRPr="002D6EC7" w:rsidRDefault="00C23C73" w:rsidP="009B0B39">
            <w:pPr>
              <w:pStyle w:val="Rdgtable"/>
            </w:pPr>
            <w:r w:rsidRPr="002D6EC7">
              <w:t>382.9</w:t>
            </w:r>
          </w:p>
        </w:tc>
        <w:tc>
          <w:tcPr>
            <w:tcW w:w="1313" w:type="dxa"/>
          </w:tcPr>
          <w:p w14:paraId="13ED4DF7" w14:textId="77777777" w:rsidR="00C23C73" w:rsidRPr="002D6EC7" w:rsidRDefault="00C23C73" w:rsidP="009B0B39">
            <w:pPr>
              <w:pStyle w:val="Rdgtable"/>
            </w:pPr>
            <w:r w:rsidRPr="002D6EC7">
              <w:t>303.1</w:t>
            </w:r>
          </w:p>
        </w:tc>
        <w:tc>
          <w:tcPr>
            <w:tcW w:w="1418" w:type="dxa"/>
          </w:tcPr>
          <w:p w14:paraId="11D4C770" w14:textId="77777777" w:rsidR="00C23C73" w:rsidRPr="002D6EC7" w:rsidRDefault="00C23C73" w:rsidP="009B0B39">
            <w:pPr>
              <w:pStyle w:val="Rdgtable"/>
            </w:pPr>
            <w:r w:rsidRPr="002D6EC7">
              <w:t>4.50</w:t>
            </w:r>
          </w:p>
        </w:tc>
      </w:tr>
      <w:tr w:rsidR="00C23C73" w:rsidRPr="002D6EC7" w14:paraId="0B6CFD4E" w14:textId="77777777" w:rsidTr="009B0B39">
        <w:tc>
          <w:tcPr>
            <w:tcW w:w="4446" w:type="dxa"/>
          </w:tcPr>
          <w:p w14:paraId="65B94197" w14:textId="77777777" w:rsidR="00C23C73" w:rsidRPr="002D6EC7" w:rsidRDefault="00C23C73" w:rsidP="009B0B39">
            <w:pPr>
              <w:pStyle w:val="Rdgtable"/>
            </w:pPr>
            <w:r w:rsidRPr="002D6EC7">
              <w:t>D</w:t>
            </w:r>
            <w:r w:rsidRPr="002D6EC7">
              <w:rPr>
                <w:vertAlign w:val="subscript"/>
              </w:rPr>
              <w:t>2</w:t>
            </w:r>
            <w:r w:rsidRPr="002D6EC7">
              <w:t>-epicatechin-3′-b-D-glucuronide (D2-E3G)</w:t>
            </w:r>
          </w:p>
        </w:tc>
        <w:tc>
          <w:tcPr>
            <w:tcW w:w="1182" w:type="dxa"/>
          </w:tcPr>
          <w:p w14:paraId="0F16337F" w14:textId="77777777" w:rsidR="00C23C73" w:rsidRPr="002D6EC7" w:rsidRDefault="00C23C73" w:rsidP="009B0B39">
            <w:pPr>
              <w:pStyle w:val="Rdgtable"/>
            </w:pPr>
            <w:r w:rsidRPr="002D6EC7">
              <w:t>466.6</w:t>
            </w:r>
          </w:p>
        </w:tc>
        <w:tc>
          <w:tcPr>
            <w:tcW w:w="1313" w:type="dxa"/>
          </w:tcPr>
          <w:p w14:paraId="61C2495B" w14:textId="77777777" w:rsidR="00C23C73" w:rsidRPr="002D6EC7" w:rsidRDefault="00C23C73" w:rsidP="009B0B39">
            <w:pPr>
              <w:pStyle w:val="Rdgtable"/>
            </w:pPr>
            <w:r w:rsidRPr="002D6EC7">
              <w:t>291.1</w:t>
            </w:r>
          </w:p>
        </w:tc>
        <w:tc>
          <w:tcPr>
            <w:tcW w:w="1418" w:type="dxa"/>
          </w:tcPr>
          <w:p w14:paraId="75850711" w14:textId="77777777" w:rsidR="00C23C73" w:rsidRPr="002D6EC7" w:rsidRDefault="00C23C73" w:rsidP="009B0B39">
            <w:pPr>
              <w:pStyle w:val="Rdgtable"/>
            </w:pPr>
            <w:r w:rsidRPr="002D6EC7">
              <w:t>3.84</w:t>
            </w:r>
          </w:p>
        </w:tc>
      </w:tr>
      <w:tr w:rsidR="00C23C73" w:rsidRPr="002D6EC7" w14:paraId="0B9E8D85" w14:textId="77777777" w:rsidTr="009B0B39">
        <w:tc>
          <w:tcPr>
            <w:tcW w:w="4446" w:type="dxa"/>
          </w:tcPr>
          <w:p w14:paraId="6F3E62FD" w14:textId="77777777" w:rsidR="00C23C73" w:rsidRPr="002D6EC7" w:rsidRDefault="00C23C73" w:rsidP="009B0B39">
            <w:pPr>
              <w:pStyle w:val="Rdgtable"/>
            </w:pPr>
            <w:r w:rsidRPr="002D6EC7">
              <w:t>D</w:t>
            </w:r>
            <w:r w:rsidRPr="002D6EC7">
              <w:rPr>
                <w:vertAlign w:val="subscript"/>
              </w:rPr>
              <w:t>3</w:t>
            </w:r>
            <w:r w:rsidRPr="002D6EC7">
              <w:t>-epicatechin-3′-b-D-glucuronide (D3-E3G)</w:t>
            </w:r>
          </w:p>
        </w:tc>
        <w:tc>
          <w:tcPr>
            <w:tcW w:w="1182" w:type="dxa"/>
          </w:tcPr>
          <w:p w14:paraId="476872F4" w14:textId="77777777" w:rsidR="00C23C73" w:rsidRPr="002D6EC7" w:rsidRDefault="00C23C73" w:rsidP="009B0B39">
            <w:pPr>
              <w:pStyle w:val="Rdgtable"/>
            </w:pPr>
            <w:r w:rsidRPr="002D6EC7">
              <w:t>468.3</w:t>
            </w:r>
          </w:p>
        </w:tc>
        <w:tc>
          <w:tcPr>
            <w:tcW w:w="1313" w:type="dxa"/>
          </w:tcPr>
          <w:p w14:paraId="0D0EDBFA" w14:textId="77777777" w:rsidR="00C23C73" w:rsidRPr="002D6EC7" w:rsidRDefault="00C23C73" w:rsidP="009B0B39">
            <w:pPr>
              <w:pStyle w:val="Rdgtable"/>
            </w:pPr>
            <w:r w:rsidRPr="002D6EC7">
              <w:t>292.1</w:t>
            </w:r>
          </w:p>
        </w:tc>
        <w:tc>
          <w:tcPr>
            <w:tcW w:w="1418" w:type="dxa"/>
          </w:tcPr>
          <w:p w14:paraId="0E19B76D" w14:textId="77777777" w:rsidR="00C23C73" w:rsidRPr="002D6EC7" w:rsidRDefault="00C23C73" w:rsidP="009B0B39">
            <w:pPr>
              <w:pStyle w:val="Rdgtable"/>
            </w:pPr>
            <w:r w:rsidRPr="002D6EC7">
              <w:t>3.84</w:t>
            </w:r>
          </w:p>
        </w:tc>
      </w:tr>
    </w:tbl>
    <w:p w14:paraId="5CA7CE47" w14:textId="77777777" w:rsidR="00C23C73" w:rsidRPr="002D6EC7" w:rsidRDefault="00C23C73" w:rsidP="00C23C73">
      <w:pPr>
        <w:pStyle w:val="RdgCaptions"/>
      </w:pPr>
      <w:bookmarkStart w:id="1" w:name="_Ref528324964"/>
    </w:p>
    <w:p w14:paraId="2CA16504" w14:textId="77777777" w:rsidR="00C23C73" w:rsidRPr="002D6EC7" w:rsidRDefault="00C23C73" w:rsidP="00C23C73">
      <w:pPr>
        <w:rPr>
          <w:rFonts w:eastAsia="MS ??"/>
          <w:sz w:val="18"/>
        </w:rPr>
      </w:pPr>
      <w:r w:rsidRPr="002D6EC7">
        <w:br w:type="page"/>
      </w:r>
    </w:p>
    <w:p w14:paraId="46AD2185" w14:textId="77777777" w:rsidR="00C23C73" w:rsidRPr="002D6EC7" w:rsidRDefault="00C23C73" w:rsidP="00C23C73">
      <w:pPr>
        <w:pStyle w:val="RdgCaptions"/>
      </w:pPr>
      <w:r w:rsidRPr="002D6EC7">
        <w:lastRenderedPageBreak/>
        <w:t>Table</w:t>
      </w:r>
      <w:bookmarkEnd w:id="1"/>
      <w:r w:rsidRPr="002D6EC7">
        <w:rPr>
          <w:noProof/>
        </w:rPr>
        <w:t xml:space="preserve"> 3</w:t>
      </w:r>
      <w:r w:rsidRPr="002D6EC7">
        <w:t>:</w:t>
      </w:r>
      <w:r w:rsidRPr="002D6EC7">
        <w:tab/>
        <w:t>Long term precision (%CV) and accuracy (%RE, difference of mean calculated concentration and nominal concentration, standardized by nominal concentration) data for the three SREMs used as biomarker (SREM</w:t>
      </w:r>
      <w:r w:rsidRPr="002D6EC7">
        <w:rPr>
          <w:vertAlign w:val="subscript"/>
        </w:rPr>
        <w:t>B</w:t>
      </w:r>
      <w:r w:rsidRPr="002D6EC7">
        <w:t>), based on 575 samples (except (−)-epicatechin-3</w:t>
      </w:r>
      <w:r w:rsidRPr="002D6EC7">
        <w:rPr>
          <w:rFonts w:hint="eastAsia"/>
        </w:rPr>
        <w:t>′</w:t>
      </w:r>
      <w:r w:rsidRPr="002D6EC7">
        <w:t>-</w:t>
      </w:r>
      <w:proofErr w:type="spellStart"/>
      <w:r w:rsidRPr="002D6EC7">
        <w:t>sulfate</w:t>
      </w:r>
      <w:proofErr w:type="spellEnd"/>
      <w:r w:rsidRPr="002D6EC7">
        <w:t xml:space="preserve"> high QC for which 370 samples only were available)</w:t>
      </w:r>
    </w:p>
    <w:tbl>
      <w:tblPr>
        <w:tblStyle w:val="TableGrid"/>
        <w:tblW w:w="0" w:type="auto"/>
        <w:tblLook w:val="04A0" w:firstRow="1" w:lastRow="0" w:firstColumn="1" w:lastColumn="0" w:noHBand="0" w:noVBand="1"/>
      </w:tblPr>
      <w:tblGrid>
        <w:gridCol w:w="2121"/>
        <w:gridCol w:w="1029"/>
        <w:gridCol w:w="616"/>
        <w:gridCol w:w="596"/>
        <w:gridCol w:w="1092"/>
        <w:gridCol w:w="616"/>
        <w:gridCol w:w="596"/>
        <w:gridCol w:w="1101"/>
        <w:gridCol w:w="702"/>
        <w:gridCol w:w="596"/>
      </w:tblGrid>
      <w:tr w:rsidR="00C23C73" w:rsidRPr="002D6EC7" w14:paraId="2BCC497B" w14:textId="77777777" w:rsidTr="009B0B39">
        <w:tc>
          <w:tcPr>
            <w:tcW w:w="2193" w:type="dxa"/>
            <w:tcBorders>
              <w:left w:val="nil"/>
              <w:right w:val="nil"/>
            </w:tcBorders>
          </w:tcPr>
          <w:p w14:paraId="7AEBC7B3" w14:textId="77777777" w:rsidR="00C23C73" w:rsidRPr="002D6EC7" w:rsidRDefault="00C23C73" w:rsidP="009B0B39">
            <w:pPr>
              <w:pStyle w:val="Rdgtable"/>
            </w:pPr>
          </w:p>
        </w:tc>
        <w:tc>
          <w:tcPr>
            <w:tcW w:w="2197" w:type="dxa"/>
            <w:gridSpan w:val="3"/>
            <w:tcBorders>
              <w:left w:val="nil"/>
              <w:right w:val="nil"/>
            </w:tcBorders>
            <w:vAlign w:val="center"/>
          </w:tcPr>
          <w:p w14:paraId="42591CCE" w14:textId="77777777" w:rsidR="00C23C73" w:rsidRPr="002D6EC7" w:rsidRDefault="00C23C73" w:rsidP="009B0B39">
            <w:pPr>
              <w:pStyle w:val="Rdgtable"/>
              <w:jc w:val="center"/>
            </w:pPr>
            <w:r w:rsidRPr="002D6EC7">
              <w:t>Low QC</w:t>
            </w:r>
          </w:p>
          <w:p w14:paraId="6FB2F18F" w14:textId="77777777" w:rsidR="00C23C73" w:rsidRPr="002D6EC7" w:rsidRDefault="00C23C73" w:rsidP="009B0B39">
            <w:pPr>
              <w:pStyle w:val="Rdgtable"/>
              <w:jc w:val="center"/>
            </w:pPr>
            <w:r w:rsidRPr="002D6EC7">
              <w:t>0.3 µM</w:t>
            </w:r>
          </w:p>
        </w:tc>
        <w:tc>
          <w:tcPr>
            <w:tcW w:w="2268" w:type="dxa"/>
            <w:gridSpan w:val="3"/>
            <w:tcBorders>
              <w:left w:val="nil"/>
              <w:right w:val="nil"/>
            </w:tcBorders>
            <w:vAlign w:val="center"/>
          </w:tcPr>
          <w:p w14:paraId="3EE9FC47" w14:textId="77777777" w:rsidR="00C23C73" w:rsidRPr="002D6EC7" w:rsidRDefault="00C23C73" w:rsidP="009B0B39">
            <w:pPr>
              <w:pStyle w:val="Rdgtable"/>
              <w:jc w:val="center"/>
            </w:pPr>
            <w:r w:rsidRPr="002D6EC7">
              <w:t>Medium QC</w:t>
            </w:r>
          </w:p>
          <w:p w14:paraId="317FF70D" w14:textId="77777777" w:rsidR="00C23C73" w:rsidRPr="002D6EC7" w:rsidRDefault="00C23C73" w:rsidP="009B0B39">
            <w:pPr>
              <w:pStyle w:val="Rdgtable"/>
              <w:jc w:val="center"/>
            </w:pPr>
            <w:r w:rsidRPr="002D6EC7">
              <w:t>2.5 µM</w:t>
            </w:r>
          </w:p>
        </w:tc>
        <w:tc>
          <w:tcPr>
            <w:tcW w:w="2397" w:type="dxa"/>
            <w:gridSpan w:val="3"/>
            <w:tcBorders>
              <w:left w:val="nil"/>
              <w:right w:val="nil"/>
            </w:tcBorders>
            <w:vAlign w:val="center"/>
          </w:tcPr>
          <w:p w14:paraId="15357D99" w14:textId="77777777" w:rsidR="00C23C73" w:rsidRPr="002D6EC7" w:rsidRDefault="00C23C73" w:rsidP="009B0B39">
            <w:pPr>
              <w:pStyle w:val="Rdgtable"/>
              <w:jc w:val="center"/>
            </w:pPr>
            <w:r w:rsidRPr="002D6EC7">
              <w:t>High QC</w:t>
            </w:r>
          </w:p>
          <w:p w14:paraId="4020222F" w14:textId="77777777" w:rsidR="00C23C73" w:rsidRPr="002D6EC7" w:rsidRDefault="00C23C73" w:rsidP="009B0B39">
            <w:pPr>
              <w:pStyle w:val="Rdgtable"/>
              <w:jc w:val="center"/>
            </w:pPr>
            <w:r w:rsidRPr="002D6EC7">
              <w:t>3.8 µM</w:t>
            </w:r>
          </w:p>
        </w:tc>
      </w:tr>
      <w:tr w:rsidR="00C23C73" w:rsidRPr="002D6EC7" w14:paraId="2880CD2F" w14:textId="77777777" w:rsidTr="009B0B39">
        <w:tc>
          <w:tcPr>
            <w:tcW w:w="2193" w:type="dxa"/>
            <w:tcBorders>
              <w:left w:val="nil"/>
              <w:right w:val="nil"/>
            </w:tcBorders>
          </w:tcPr>
          <w:p w14:paraId="572BB672" w14:textId="77777777" w:rsidR="00C23C73" w:rsidRPr="002D6EC7" w:rsidRDefault="00C23C73" w:rsidP="009B0B39">
            <w:pPr>
              <w:pStyle w:val="Rdgtable"/>
            </w:pPr>
          </w:p>
        </w:tc>
        <w:tc>
          <w:tcPr>
            <w:tcW w:w="1056" w:type="dxa"/>
            <w:tcBorders>
              <w:left w:val="nil"/>
              <w:right w:val="nil"/>
            </w:tcBorders>
            <w:vAlign w:val="center"/>
          </w:tcPr>
          <w:p w14:paraId="4303072F" w14:textId="77777777" w:rsidR="00C23C73" w:rsidRPr="002D6EC7" w:rsidRDefault="00C23C73" w:rsidP="009B0B39">
            <w:pPr>
              <w:pStyle w:val="Rdgtable"/>
              <w:jc w:val="center"/>
            </w:pPr>
            <w:r w:rsidRPr="002D6EC7">
              <w:t>Mean (SD)</w:t>
            </w:r>
          </w:p>
        </w:tc>
        <w:tc>
          <w:tcPr>
            <w:tcW w:w="574" w:type="dxa"/>
            <w:tcBorders>
              <w:left w:val="nil"/>
              <w:right w:val="nil"/>
            </w:tcBorders>
            <w:vAlign w:val="center"/>
          </w:tcPr>
          <w:p w14:paraId="663772C2" w14:textId="77777777" w:rsidR="00C23C73" w:rsidRPr="002D6EC7" w:rsidRDefault="00C23C73" w:rsidP="009B0B39">
            <w:pPr>
              <w:pStyle w:val="Rdgtable"/>
              <w:jc w:val="center"/>
            </w:pPr>
            <w:r w:rsidRPr="002D6EC7">
              <w:t>%CV</w:t>
            </w:r>
          </w:p>
        </w:tc>
        <w:tc>
          <w:tcPr>
            <w:tcW w:w="567" w:type="dxa"/>
            <w:tcBorders>
              <w:left w:val="nil"/>
              <w:right w:val="nil"/>
            </w:tcBorders>
            <w:vAlign w:val="center"/>
          </w:tcPr>
          <w:p w14:paraId="783A70C3" w14:textId="77777777" w:rsidR="00C23C73" w:rsidRPr="002D6EC7" w:rsidRDefault="00C23C73" w:rsidP="009B0B39">
            <w:pPr>
              <w:pStyle w:val="Rdgtable"/>
              <w:jc w:val="center"/>
            </w:pPr>
            <w:r w:rsidRPr="002D6EC7">
              <w:t>%RE</w:t>
            </w:r>
          </w:p>
        </w:tc>
        <w:tc>
          <w:tcPr>
            <w:tcW w:w="1125" w:type="dxa"/>
            <w:tcBorders>
              <w:left w:val="nil"/>
              <w:right w:val="nil"/>
            </w:tcBorders>
            <w:vAlign w:val="center"/>
          </w:tcPr>
          <w:p w14:paraId="7504E571" w14:textId="77777777" w:rsidR="00C23C73" w:rsidRPr="002D6EC7" w:rsidRDefault="00C23C73" w:rsidP="009B0B39">
            <w:pPr>
              <w:pStyle w:val="Rdgtable"/>
              <w:jc w:val="center"/>
            </w:pPr>
            <w:r w:rsidRPr="002D6EC7">
              <w:t>Mean (SD)</w:t>
            </w:r>
          </w:p>
        </w:tc>
        <w:tc>
          <w:tcPr>
            <w:tcW w:w="576" w:type="dxa"/>
            <w:tcBorders>
              <w:left w:val="nil"/>
              <w:right w:val="nil"/>
            </w:tcBorders>
            <w:vAlign w:val="center"/>
          </w:tcPr>
          <w:p w14:paraId="57E322F3" w14:textId="77777777" w:rsidR="00C23C73" w:rsidRPr="002D6EC7" w:rsidRDefault="00C23C73" w:rsidP="009B0B39">
            <w:pPr>
              <w:pStyle w:val="Rdgtable"/>
              <w:jc w:val="center"/>
            </w:pPr>
            <w:r w:rsidRPr="002D6EC7">
              <w:t>%CV</w:t>
            </w:r>
          </w:p>
        </w:tc>
        <w:tc>
          <w:tcPr>
            <w:tcW w:w="567" w:type="dxa"/>
            <w:tcBorders>
              <w:left w:val="nil"/>
              <w:right w:val="nil"/>
            </w:tcBorders>
            <w:vAlign w:val="center"/>
          </w:tcPr>
          <w:p w14:paraId="3FC0AAB4" w14:textId="77777777" w:rsidR="00C23C73" w:rsidRPr="002D6EC7" w:rsidRDefault="00C23C73" w:rsidP="009B0B39">
            <w:pPr>
              <w:pStyle w:val="Rdgtable"/>
              <w:jc w:val="center"/>
            </w:pPr>
            <w:r w:rsidRPr="002D6EC7">
              <w:t>%RE</w:t>
            </w:r>
          </w:p>
        </w:tc>
        <w:tc>
          <w:tcPr>
            <w:tcW w:w="1134" w:type="dxa"/>
            <w:tcBorders>
              <w:left w:val="nil"/>
              <w:right w:val="nil"/>
            </w:tcBorders>
            <w:vAlign w:val="center"/>
          </w:tcPr>
          <w:p w14:paraId="5D61A0D8" w14:textId="77777777" w:rsidR="00C23C73" w:rsidRPr="002D6EC7" w:rsidRDefault="00C23C73" w:rsidP="009B0B39">
            <w:pPr>
              <w:pStyle w:val="Rdgtable"/>
              <w:jc w:val="center"/>
            </w:pPr>
            <w:r w:rsidRPr="002D6EC7">
              <w:t>Mean (SD)</w:t>
            </w:r>
          </w:p>
        </w:tc>
        <w:tc>
          <w:tcPr>
            <w:tcW w:w="708" w:type="dxa"/>
            <w:tcBorders>
              <w:left w:val="nil"/>
              <w:right w:val="nil"/>
            </w:tcBorders>
            <w:vAlign w:val="center"/>
          </w:tcPr>
          <w:p w14:paraId="05645610" w14:textId="77777777" w:rsidR="00C23C73" w:rsidRPr="002D6EC7" w:rsidRDefault="00C23C73" w:rsidP="009B0B39">
            <w:pPr>
              <w:pStyle w:val="Rdgtable"/>
              <w:jc w:val="center"/>
            </w:pPr>
            <w:r w:rsidRPr="002D6EC7">
              <w:t>%CV</w:t>
            </w:r>
          </w:p>
        </w:tc>
        <w:tc>
          <w:tcPr>
            <w:tcW w:w="555" w:type="dxa"/>
            <w:tcBorders>
              <w:left w:val="nil"/>
              <w:right w:val="nil"/>
            </w:tcBorders>
            <w:vAlign w:val="center"/>
          </w:tcPr>
          <w:p w14:paraId="7546643F" w14:textId="77777777" w:rsidR="00C23C73" w:rsidRPr="002D6EC7" w:rsidRDefault="00C23C73" w:rsidP="009B0B39">
            <w:pPr>
              <w:pStyle w:val="Rdgtable"/>
              <w:jc w:val="center"/>
            </w:pPr>
            <w:r w:rsidRPr="002D6EC7">
              <w:t>%RE</w:t>
            </w:r>
          </w:p>
        </w:tc>
      </w:tr>
      <w:tr w:rsidR="00C23C73" w:rsidRPr="002D6EC7" w14:paraId="15CDE76B" w14:textId="77777777" w:rsidTr="009B0B39">
        <w:tc>
          <w:tcPr>
            <w:tcW w:w="2193" w:type="dxa"/>
            <w:tcBorders>
              <w:left w:val="nil"/>
              <w:bottom w:val="nil"/>
              <w:right w:val="nil"/>
            </w:tcBorders>
          </w:tcPr>
          <w:p w14:paraId="704C4722" w14:textId="77777777" w:rsidR="00C23C73" w:rsidRPr="002D6EC7" w:rsidRDefault="00C23C73" w:rsidP="009B0B39">
            <w:pPr>
              <w:pStyle w:val="Rdgtable"/>
            </w:pPr>
            <w:r w:rsidRPr="002D6EC7">
              <w:t>(−)-epicatechin-3</w:t>
            </w:r>
            <w:r w:rsidRPr="002D6EC7">
              <w:rPr>
                <w:rFonts w:hint="eastAsia"/>
              </w:rPr>
              <w:t>′</w:t>
            </w:r>
            <w:r w:rsidRPr="002D6EC7">
              <w:t xml:space="preserve">-glucuronide </w:t>
            </w:r>
          </w:p>
        </w:tc>
        <w:tc>
          <w:tcPr>
            <w:tcW w:w="1056" w:type="dxa"/>
            <w:tcBorders>
              <w:left w:val="nil"/>
              <w:bottom w:val="nil"/>
              <w:right w:val="nil"/>
            </w:tcBorders>
            <w:vAlign w:val="center"/>
          </w:tcPr>
          <w:p w14:paraId="3951D2FF" w14:textId="77777777" w:rsidR="00C23C73" w:rsidRPr="002D6EC7" w:rsidRDefault="00C23C73" w:rsidP="009B0B39">
            <w:pPr>
              <w:pStyle w:val="Rdgtable"/>
              <w:jc w:val="center"/>
            </w:pPr>
            <w:r w:rsidRPr="002D6EC7">
              <w:t>0.32 (0.03)</w:t>
            </w:r>
          </w:p>
        </w:tc>
        <w:tc>
          <w:tcPr>
            <w:tcW w:w="574" w:type="dxa"/>
            <w:tcBorders>
              <w:left w:val="nil"/>
              <w:bottom w:val="nil"/>
              <w:right w:val="nil"/>
            </w:tcBorders>
            <w:vAlign w:val="center"/>
          </w:tcPr>
          <w:p w14:paraId="13184CFE" w14:textId="77777777" w:rsidR="00C23C73" w:rsidRPr="002D6EC7" w:rsidRDefault="00C23C73" w:rsidP="009B0B39">
            <w:pPr>
              <w:pStyle w:val="Rdgtable"/>
              <w:jc w:val="center"/>
            </w:pPr>
            <w:r w:rsidRPr="002D6EC7">
              <w:t>10.0</w:t>
            </w:r>
          </w:p>
        </w:tc>
        <w:tc>
          <w:tcPr>
            <w:tcW w:w="567" w:type="dxa"/>
            <w:tcBorders>
              <w:left w:val="nil"/>
              <w:bottom w:val="nil"/>
              <w:right w:val="nil"/>
            </w:tcBorders>
            <w:vAlign w:val="center"/>
          </w:tcPr>
          <w:p w14:paraId="264E6346" w14:textId="77777777" w:rsidR="00C23C73" w:rsidRPr="002D6EC7" w:rsidRDefault="00C23C73" w:rsidP="009B0B39">
            <w:pPr>
              <w:pStyle w:val="Rdgtable"/>
              <w:jc w:val="center"/>
            </w:pPr>
            <w:r w:rsidRPr="002D6EC7">
              <w:t>6.4</w:t>
            </w:r>
          </w:p>
        </w:tc>
        <w:tc>
          <w:tcPr>
            <w:tcW w:w="1125" w:type="dxa"/>
            <w:tcBorders>
              <w:left w:val="nil"/>
              <w:bottom w:val="nil"/>
              <w:right w:val="nil"/>
            </w:tcBorders>
            <w:vAlign w:val="center"/>
          </w:tcPr>
          <w:p w14:paraId="28433458" w14:textId="77777777" w:rsidR="00C23C73" w:rsidRPr="002D6EC7" w:rsidRDefault="00C23C73" w:rsidP="009B0B39">
            <w:pPr>
              <w:pStyle w:val="Rdgtable"/>
              <w:jc w:val="center"/>
            </w:pPr>
            <w:r w:rsidRPr="002D6EC7">
              <w:t>2.6 (0.3)</w:t>
            </w:r>
          </w:p>
        </w:tc>
        <w:tc>
          <w:tcPr>
            <w:tcW w:w="576" w:type="dxa"/>
            <w:tcBorders>
              <w:left w:val="nil"/>
              <w:bottom w:val="nil"/>
              <w:right w:val="nil"/>
            </w:tcBorders>
            <w:vAlign w:val="center"/>
          </w:tcPr>
          <w:p w14:paraId="353BEB7C" w14:textId="77777777" w:rsidR="00C23C73" w:rsidRPr="002D6EC7" w:rsidRDefault="00C23C73" w:rsidP="009B0B39">
            <w:pPr>
              <w:pStyle w:val="Rdgtable"/>
              <w:jc w:val="center"/>
            </w:pPr>
            <w:r w:rsidRPr="002D6EC7">
              <w:t>9.4</w:t>
            </w:r>
          </w:p>
        </w:tc>
        <w:tc>
          <w:tcPr>
            <w:tcW w:w="567" w:type="dxa"/>
            <w:tcBorders>
              <w:left w:val="nil"/>
              <w:bottom w:val="nil"/>
              <w:right w:val="nil"/>
            </w:tcBorders>
            <w:vAlign w:val="center"/>
          </w:tcPr>
          <w:p w14:paraId="56C5D3E1" w14:textId="77777777" w:rsidR="00C23C73" w:rsidRPr="002D6EC7" w:rsidRDefault="00C23C73" w:rsidP="009B0B39">
            <w:pPr>
              <w:pStyle w:val="Rdgtable"/>
              <w:jc w:val="center"/>
            </w:pPr>
            <w:r w:rsidRPr="002D6EC7">
              <w:t>4.5</w:t>
            </w:r>
          </w:p>
        </w:tc>
        <w:tc>
          <w:tcPr>
            <w:tcW w:w="1134" w:type="dxa"/>
            <w:tcBorders>
              <w:left w:val="nil"/>
              <w:bottom w:val="nil"/>
              <w:right w:val="nil"/>
            </w:tcBorders>
            <w:vAlign w:val="center"/>
          </w:tcPr>
          <w:p w14:paraId="7E5E44CA" w14:textId="77777777" w:rsidR="00C23C73" w:rsidRPr="002D6EC7" w:rsidRDefault="00C23C73" w:rsidP="009B0B39">
            <w:pPr>
              <w:pStyle w:val="Rdgtable"/>
              <w:jc w:val="center"/>
            </w:pPr>
            <w:r w:rsidRPr="002D6EC7">
              <w:t>3.9 (0.3)</w:t>
            </w:r>
          </w:p>
        </w:tc>
        <w:tc>
          <w:tcPr>
            <w:tcW w:w="708" w:type="dxa"/>
            <w:tcBorders>
              <w:left w:val="nil"/>
              <w:bottom w:val="nil"/>
              <w:right w:val="nil"/>
            </w:tcBorders>
            <w:vAlign w:val="center"/>
          </w:tcPr>
          <w:p w14:paraId="0181E25D" w14:textId="77777777" w:rsidR="00C23C73" w:rsidRPr="002D6EC7" w:rsidRDefault="00C23C73" w:rsidP="009B0B39">
            <w:pPr>
              <w:pStyle w:val="Rdgtable"/>
              <w:jc w:val="center"/>
            </w:pPr>
            <w:r w:rsidRPr="002D6EC7">
              <w:t>7.5</w:t>
            </w:r>
          </w:p>
        </w:tc>
        <w:tc>
          <w:tcPr>
            <w:tcW w:w="555" w:type="dxa"/>
            <w:tcBorders>
              <w:left w:val="nil"/>
              <w:bottom w:val="nil"/>
              <w:right w:val="nil"/>
            </w:tcBorders>
            <w:vAlign w:val="center"/>
          </w:tcPr>
          <w:p w14:paraId="6ED5A954" w14:textId="77777777" w:rsidR="00C23C73" w:rsidRPr="002D6EC7" w:rsidRDefault="00C23C73" w:rsidP="009B0B39">
            <w:pPr>
              <w:pStyle w:val="Rdgtable"/>
              <w:jc w:val="center"/>
            </w:pPr>
            <w:r w:rsidRPr="002D6EC7">
              <w:t>1.9</w:t>
            </w:r>
          </w:p>
        </w:tc>
      </w:tr>
      <w:tr w:rsidR="00C23C73" w:rsidRPr="002D6EC7" w14:paraId="2C7A12E9" w14:textId="77777777" w:rsidTr="009B0B39">
        <w:tc>
          <w:tcPr>
            <w:tcW w:w="2193" w:type="dxa"/>
            <w:tcBorders>
              <w:top w:val="nil"/>
              <w:left w:val="nil"/>
              <w:bottom w:val="nil"/>
              <w:right w:val="nil"/>
            </w:tcBorders>
          </w:tcPr>
          <w:p w14:paraId="1733A21B" w14:textId="77777777" w:rsidR="00C23C73" w:rsidRPr="002D6EC7" w:rsidRDefault="00C23C73" w:rsidP="009B0B39">
            <w:pPr>
              <w:pStyle w:val="Rdgtable"/>
            </w:pPr>
            <w:r w:rsidRPr="002D6EC7">
              <w:t>(−)-epicatechin-3</w:t>
            </w:r>
            <w:r w:rsidRPr="002D6EC7">
              <w:rPr>
                <w:rFonts w:hint="eastAsia"/>
              </w:rPr>
              <w:t>′</w:t>
            </w:r>
            <w:r w:rsidRPr="002D6EC7">
              <w:t>-</w:t>
            </w:r>
            <w:proofErr w:type="spellStart"/>
            <w:r w:rsidRPr="002D6EC7">
              <w:t>sulfate</w:t>
            </w:r>
            <w:proofErr w:type="spellEnd"/>
          </w:p>
        </w:tc>
        <w:tc>
          <w:tcPr>
            <w:tcW w:w="1056" w:type="dxa"/>
            <w:tcBorders>
              <w:top w:val="nil"/>
              <w:left w:val="nil"/>
              <w:bottom w:val="nil"/>
              <w:right w:val="nil"/>
            </w:tcBorders>
            <w:vAlign w:val="center"/>
          </w:tcPr>
          <w:p w14:paraId="32DE9C0F" w14:textId="77777777" w:rsidR="00C23C73" w:rsidRPr="002D6EC7" w:rsidRDefault="00C23C73" w:rsidP="009B0B39">
            <w:pPr>
              <w:pStyle w:val="Rdgtable"/>
              <w:jc w:val="center"/>
            </w:pPr>
            <w:r w:rsidRPr="002D6EC7">
              <w:t>0.32 (0.03)</w:t>
            </w:r>
          </w:p>
        </w:tc>
        <w:tc>
          <w:tcPr>
            <w:tcW w:w="574" w:type="dxa"/>
            <w:tcBorders>
              <w:top w:val="nil"/>
              <w:left w:val="nil"/>
              <w:bottom w:val="nil"/>
              <w:right w:val="nil"/>
            </w:tcBorders>
            <w:vAlign w:val="center"/>
          </w:tcPr>
          <w:p w14:paraId="2115B269" w14:textId="77777777" w:rsidR="00C23C73" w:rsidRPr="002D6EC7" w:rsidRDefault="00C23C73" w:rsidP="009B0B39">
            <w:pPr>
              <w:pStyle w:val="Rdgtable"/>
              <w:jc w:val="center"/>
            </w:pPr>
            <w:r w:rsidRPr="002D6EC7">
              <w:t>9.3</w:t>
            </w:r>
          </w:p>
        </w:tc>
        <w:tc>
          <w:tcPr>
            <w:tcW w:w="567" w:type="dxa"/>
            <w:tcBorders>
              <w:top w:val="nil"/>
              <w:left w:val="nil"/>
              <w:bottom w:val="nil"/>
              <w:right w:val="nil"/>
            </w:tcBorders>
            <w:vAlign w:val="center"/>
          </w:tcPr>
          <w:p w14:paraId="586A1A25" w14:textId="77777777" w:rsidR="00C23C73" w:rsidRPr="002D6EC7" w:rsidRDefault="00C23C73" w:rsidP="009B0B39">
            <w:pPr>
              <w:pStyle w:val="Rdgtable"/>
              <w:jc w:val="center"/>
            </w:pPr>
            <w:r w:rsidRPr="002D6EC7">
              <w:t>5.4</w:t>
            </w:r>
          </w:p>
        </w:tc>
        <w:tc>
          <w:tcPr>
            <w:tcW w:w="1125" w:type="dxa"/>
            <w:tcBorders>
              <w:top w:val="nil"/>
              <w:left w:val="nil"/>
              <w:bottom w:val="nil"/>
              <w:right w:val="nil"/>
            </w:tcBorders>
            <w:vAlign w:val="center"/>
          </w:tcPr>
          <w:p w14:paraId="7979D986" w14:textId="77777777" w:rsidR="00C23C73" w:rsidRPr="002D6EC7" w:rsidRDefault="00C23C73" w:rsidP="009B0B39">
            <w:pPr>
              <w:pStyle w:val="Rdgtable"/>
              <w:jc w:val="center"/>
            </w:pPr>
            <w:r w:rsidRPr="002D6EC7">
              <w:t>2.6 (0.2)</w:t>
            </w:r>
          </w:p>
        </w:tc>
        <w:tc>
          <w:tcPr>
            <w:tcW w:w="576" w:type="dxa"/>
            <w:tcBorders>
              <w:top w:val="nil"/>
              <w:left w:val="nil"/>
              <w:bottom w:val="nil"/>
              <w:right w:val="nil"/>
            </w:tcBorders>
            <w:vAlign w:val="center"/>
          </w:tcPr>
          <w:p w14:paraId="529AF2F3" w14:textId="77777777" w:rsidR="00C23C73" w:rsidRPr="002D6EC7" w:rsidRDefault="00C23C73" w:rsidP="009B0B39">
            <w:pPr>
              <w:pStyle w:val="Rdgtable"/>
              <w:jc w:val="center"/>
            </w:pPr>
            <w:r w:rsidRPr="002D6EC7">
              <w:t>8.5</w:t>
            </w:r>
          </w:p>
        </w:tc>
        <w:tc>
          <w:tcPr>
            <w:tcW w:w="567" w:type="dxa"/>
            <w:tcBorders>
              <w:top w:val="nil"/>
              <w:left w:val="nil"/>
              <w:bottom w:val="nil"/>
              <w:right w:val="nil"/>
            </w:tcBorders>
            <w:vAlign w:val="center"/>
          </w:tcPr>
          <w:p w14:paraId="1D672521" w14:textId="77777777" w:rsidR="00C23C73" w:rsidRPr="002D6EC7" w:rsidRDefault="00C23C73" w:rsidP="009B0B39">
            <w:pPr>
              <w:pStyle w:val="Rdgtable"/>
              <w:jc w:val="center"/>
            </w:pPr>
            <w:r w:rsidRPr="002D6EC7">
              <w:t>2.7</w:t>
            </w:r>
          </w:p>
        </w:tc>
        <w:tc>
          <w:tcPr>
            <w:tcW w:w="1134" w:type="dxa"/>
            <w:tcBorders>
              <w:top w:val="nil"/>
              <w:left w:val="nil"/>
              <w:bottom w:val="nil"/>
              <w:right w:val="nil"/>
            </w:tcBorders>
            <w:vAlign w:val="center"/>
          </w:tcPr>
          <w:p w14:paraId="19081618" w14:textId="77777777" w:rsidR="00C23C73" w:rsidRPr="002D6EC7" w:rsidRDefault="00C23C73" w:rsidP="009B0B39">
            <w:pPr>
              <w:pStyle w:val="Rdgtable"/>
              <w:jc w:val="center"/>
            </w:pPr>
            <w:r w:rsidRPr="002D6EC7">
              <w:t>3.8 (0.3)</w:t>
            </w:r>
          </w:p>
        </w:tc>
        <w:tc>
          <w:tcPr>
            <w:tcW w:w="708" w:type="dxa"/>
            <w:tcBorders>
              <w:top w:val="nil"/>
              <w:left w:val="nil"/>
              <w:bottom w:val="nil"/>
              <w:right w:val="nil"/>
            </w:tcBorders>
            <w:vAlign w:val="center"/>
          </w:tcPr>
          <w:p w14:paraId="6644458C" w14:textId="77777777" w:rsidR="00C23C73" w:rsidRPr="002D6EC7" w:rsidRDefault="00C23C73" w:rsidP="009B0B39">
            <w:pPr>
              <w:pStyle w:val="Rdgtable"/>
              <w:jc w:val="center"/>
            </w:pPr>
            <w:r w:rsidRPr="002D6EC7">
              <w:t>7.7</w:t>
            </w:r>
          </w:p>
        </w:tc>
        <w:tc>
          <w:tcPr>
            <w:tcW w:w="555" w:type="dxa"/>
            <w:tcBorders>
              <w:top w:val="nil"/>
              <w:left w:val="nil"/>
              <w:bottom w:val="nil"/>
              <w:right w:val="nil"/>
            </w:tcBorders>
            <w:vAlign w:val="center"/>
          </w:tcPr>
          <w:p w14:paraId="642CF9DA" w14:textId="77777777" w:rsidR="00C23C73" w:rsidRPr="002D6EC7" w:rsidRDefault="00C23C73" w:rsidP="009B0B39">
            <w:pPr>
              <w:pStyle w:val="Rdgtable"/>
              <w:jc w:val="center"/>
            </w:pPr>
            <w:r w:rsidRPr="002D6EC7">
              <w:t>1.1</w:t>
            </w:r>
          </w:p>
        </w:tc>
      </w:tr>
      <w:tr w:rsidR="00C23C73" w:rsidRPr="002D6EC7" w14:paraId="28EDD0BF" w14:textId="77777777" w:rsidTr="009B0B39">
        <w:tc>
          <w:tcPr>
            <w:tcW w:w="2193" w:type="dxa"/>
            <w:tcBorders>
              <w:top w:val="nil"/>
              <w:left w:val="nil"/>
              <w:right w:val="nil"/>
            </w:tcBorders>
          </w:tcPr>
          <w:p w14:paraId="62345201" w14:textId="77777777" w:rsidR="00C23C73" w:rsidRPr="002D6EC7" w:rsidRDefault="00C23C73" w:rsidP="009B0B39">
            <w:pPr>
              <w:pStyle w:val="Rdgtable"/>
            </w:pPr>
            <w:r w:rsidRPr="002D6EC7">
              <w:t>3</w:t>
            </w:r>
            <w:r w:rsidRPr="002D6EC7">
              <w:rPr>
                <w:rFonts w:hint="eastAsia"/>
              </w:rPr>
              <w:t>′</w:t>
            </w:r>
            <w:r w:rsidRPr="002D6EC7">
              <w:rPr>
                <w:rFonts w:hint="eastAsia"/>
              </w:rPr>
              <w:t>-</w:t>
            </w:r>
            <w:r w:rsidRPr="002D6EC7">
              <w:t>O-methyl-(-)-epicatechin-5-sulfate</w:t>
            </w:r>
          </w:p>
        </w:tc>
        <w:tc>
          <w:tcPr>
            <w:tcW w:w="1056" w:type="dxa"/>
            <w:tcBorders>
              <w:top w:val="nil"/>
              <w:left w:val="nil"/>
              <w:right w:val="nil"/>
            </w:tcBorders>
            <w:vAlign w:val="center"/>
          </w:tcPr>
          <w:p w14:paraId="0C3AD6A5" w14:textId="77777777" w:rsidR="00C23C73" w:rsidRPr="002D6EC7" w:rsidRDefault="00C23C73" w:rsidP="009B0B39">
            <w:pPr>
              <w:pStyle w:val="Rdgtable"/>
              <w:jc w:val="center"/>
            </w:pPr>
            <w:r w:rsidRPr="002D6EC7">
              <w:t>0.32 (0.03)</w:t>
            </w:r>
          </w:p>
        </w:tc>
        <w:tc>
          <w:tcPr>
            <w:tcW w:w="574" w:type="dxa"/>
            <w:tcBorders>
              <w:top w:val="nil"/>
              <w:left w:val="nil"/>
              <w:right w:val="nil"/>
            </w:tcBorders>
            <w:vAlign w:val="center"/>
          </w:tcPr>
          <w:p w14:paraId="48492918" w14:textId="77777777" w:rsidR="00C23C73" w:rsidRPr="002D6EC7" w:rsidRDefault="00C23C73" w:rsidP="009B0B39">
            <w:pPr>
              <w:pStyle w:val="Rdgtable"/>
              <w:jc w:val="center"/>
            </w:pPr>
            <w:r w:rsidRPr="002D6EC7">
              <w:t>10.4</w:t>
            </w:r>
          </w:p>
        </w:tc>
        <w:tc>
          <w:tcPr>
            <w:tcW w:w="567" w:type="dxa"/>
            <w:tcBorders>
              <w:top w:val="nil"/>
              <w:left w:val="nil"/>
              <w:right w:val="nil"/>
            </w:tcBorders>
            <w:vAlign w:val="center"/>
          </w:tcPr>
          <w:p w14:paraId="39BA5D8E" w14:textId="77777777" w:rsidR="00C23C73" w:rsidRPr="002D6EC7" w:rsidRDefault="00C23C73" w:rsidP="009B0B39">
            <w:pPr>
              <w:pStyle w:val="Rdgtable"/>
              <w:jc w:val="center"/>
            </w:pPr>
            <w:r w:rsidRPr="002D6EC7">
              <w:t>6.4</w:t>
            </w:r>
          </w:p>
        </w:tc>
        <w:tc>
          <w:tcPr>
            <w:tcW w:w="1125" w:type="dxa"/>
            <w:tcBorders>
              <w:top w:val="nil"/>
              <w:left w:val="nil"/>
              <w:right w:val="nil"/>
            </w:tcBorders>
            <w:vAlign w:val="center"/>
          </w:tcPr>
          <w:p w14:paraId="3DA3D047" w14:textId="77777777" w:rsidR="00C23C73" w:rsidRPr="002D6EC7" w:rsidRDefault="00C23C73" w:rsidP="009B0B39">
            <w:pPr>
              <w:pStyle w:val="Rdgtable"/>
              <w:jc w:val="center"/>
            </w:pPr>
            <w:r w:rsidRPr="002D6EC7">
              <w:t>2.6 (0.2)</w:t>
            </w:r>
          </w:p>
        </w:tc>
        <w:tc>
          <w:tcPr>
            <w:tcW w:w="576" w:type="dxa"/>
            <w:tcBorders>
              <w:top w:val="nil"/>
              <w:left w:val="nil"/>
              <w:right w:val="nil"/>
            </w:tcBorders>
            <w:vAlign w:val="center"/>
          </w:tcPr>
          <w:p w14:paraId="5079F667" w14:textId="77777777" w:rsidR="00C23C73" w:rsidRPr="002D6EC7" w:rsidRDefault="00C23C73" w:rsidP="009B0B39">
            <w:pPr>
              <w:pStyle w:val="Rdgtable"/>
              <w:jc w:val="center"/>
            </w:pPr>
            <w:r w:rsidRPr="002D6EC7">
              <w:t>8.8</w:t>
            </w:r>
          </w:p>
        </w:tc>
        <w:tc>
          <w:tcPr>
            <w:tcW w:w="567" w:type="dxa"/>
            <w:tcBorders>
              <w:top w:val="nil"/>
              <w:left w:val="nil"/>
              <w:right w:val="nil"/>
            </w:tcBorders>
            <w:vAlign w:val="center"/>
          </w:tcPr>
          <w:p w14:paraId="71EEB99D" w14:textId="77777777" w:rsidR="00C23C73" w:rsidRPr="002D6EC7" w:rsidRDefault="00C23C73" w:rsidP="009B0B39">
            <w:pPr>
              <w:pStyle w:val="Rdgtable"/>
              <w:jc w:val="center"/>
            </w:pPr>
            <w:r w:rsidRPr="002D6EC7">
              <w:t>4.1</w:t>
            </w:r>
          </w:p>
        </w:tc>
        <w:tc>
          <w:tcPr>
            <w:tcW w:w="1134" w:type="dxa"/>
            <w:tcBorders>
              <w:top w:val="nil"/>
              <w:left w:val="nil"/>
              <w:right w:val="nil"/>
            </w:tcBorders>
            <w:vAlign w:val="center"/>
          </w:tcPr>
          <w:p w14:paraId="6E53A0F6" w14:textId="77777777" w:rsidR="00C23C73" w:rsidRPr="002D6EC7" w:rsidRDefault="00C23C73" w:rsidP="009B0B39">
            <w:pPr>
              <w:pStyle w:val="Rdgtable"/>
              <w:jc w:val="center"/>
            </w:pPr>
            <w:r w:rsidRPr="002D6EC7">
              <w:t>3.9 (0.3)</w:t>
            </w:r>
          </w:p>
        </w:tc>
        <w:tc>
          <w:tcPr>
            <w:tcW w:w="708" w:type="dxa"/>
            <w:tcBorders>
              <w:top w:val="nil"/>
              <w:left w:val="nil"/>
              <w:right w:val="nil"/>
            </w:tcBorders>
            <w:vAlign w:val="center"/>
          </w:tcPr>
          <w:p w14:paraId="1952F0FC" w14:textId="77777777" w:rsidR="00C23C73" w:rsidRPr="002D6EC7" w:rsidRDefault="00C23C73" w:rsidP="009B0B39">
            <w:pPr>
              <w:pStyle w:val="Rdgtable"/>
              <w:jc w:val="center"/>
            </w:pPr>
            <w:r w:rsidRPr="002D6EC7">
              <w:t>8.6</w:t>
            </w:r>
          </w:p>
        </w:tc>
        <w:tc>
          <w:tcPr>
            <w:tcW w:w="555" w:type="dxa"/>
            <w:tcBorders>
              <w:top w:val="nil"/>
              <w:left w:val="nil"/>
              <w:right w:val="nil"/>
            </w:tcBorders>
            <w:vAlign w:val="center"/>
          </w:tcPr>
          <w:p w14:paraId="1DF3B184" w14:textId="77777777" w:rsidR="00C23C73" w:rsidRPr="002D6EC7" w:rsidRDefault="00C23C73" w:rsidP="009B0B39">
            <w:pPr>
              <w:pStyle w:val="Rdgtable"/>
              <w:jc w:val="center"/>
            </w:pPr>
            <w:r w:rsidRPr="002D6EC7">
              <w:t>1.4</w:t>
            </w:r>
          </w:p>
        </w:tc>
      </w:tr>
    </w:tbl>
    <w:p w14:paraId="466E0747" w14:textId="77777777" w:rsidR="00C23C73" w:rsidRPr="002D6EC7" w:rsidRDefault="00C23C73" w:rsidP="00C23C73">
      <w:pPr>
        <w:pStyle w:val="Caption"/>
      </w:pPr>
      <w:r w:rsidRPr="002D6EC7">
        <w:br w:type="page"/>
      </w:r>
      <w:r w:rsidRPr="002D6EC7">
        <w:lastRenderedPageBreak/>
        <w:t>Table</w:t>
      </w:r>
      <w:r w:rsidRPr="002D6EC7">
        <w:rPr>
          <w:noProof/>
        </w:rPr>
        <w:t xml:space="preserve"> 4</w:t>
      </w:r>
      <w:r w:rsidRPr="002D6EC7">
        <w:t>:</w:t>
      </w:r>
      <w:r w:rsidRPr="002D6EC7">
        <w:tab/>
        <w:t xml:space="preserve">Comparison of </w:t>
      </w:r>
      <w:proofErr w:type="spellStart"/>
      <w:r w:rsidRPr="002D6EC7">
        <w:t>gVLM</w:t>
      </w:r>
      <w:proofErr w:type="spellEnd"/>
      <w:r w:rsidRPr="002D6EC7">
        <w:t xml:space="preserve"> and SREM</w:t>
      </w:r>
      <w:r w:rsidRPr="002D6EC7">
        <w:rPr>
          <w:vertAlign w:val="subscript"/>
        </w:rPr>
        <w:t>B</w:t>
      </w:r>
      <w:r w:rsidRPr="002D6EC7">
        <w:t xml:space="preserve"> as biomarkers</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2410"/>
        <w:gridCol w:w="3626"/>
        <w:gridCol w:w="3019"/>
      </w:tblGrid>
      <w:tr w:rsidR="00C23C73" w:rsidRPr="002D6EC7" w14:paraId="6DCA4D74" w14:textId="77777777" w:rsidTr="009B0B39">
        <w:tc>
          <w:tcPr>
            <w:tcW w:w="2410" w:type="dxa"/>
          </w:tcPr>
          <w:p w14:paraId="061A0B1C" w14:textId="77777777" w:rsidR="00C23C73" w:rsidRPr="002D6EC7" w:rsidRDefault="00C23C73" w:rsidP="009B0B39">
            <w:pPr>
              <w:pStyle w:val="Rdgtable"/>
            </w:pPr>
          </w:p>
        </w:tc>
        <w:tc>
          <w:tcPr>
            <w:tcW w:w="3626" w:type="dxa"/>
          </w:tcPr>
          <w:p w14:paraId="3028DC42" w14:textId="77777777" w:rsidR="00C23C73" w:rsidRPr="002D6EC7" w:rsidRDefault="00C23C73" w:rsidP="009B0B39">
            <w:pPr>
              <w:pStyle w:val="Rdgtable"/>
            </w:pPr>
            <w:proofErr w:type="spellStart"/>
            <w:r w:rsidRPr="002D6EC7">
              <w:t>gVLM</w:t>
            </w:r>
            <w:proofErr w:type="spellEnd"/>
          </w:p>
        </w:tc>
        <w:tc>
          <w:tcPr>
            <w:tcW w:w="3019" w:type="dxa"/>
          </w:tcPr>
          <w:p w14:paraId="2A969476" w14:textId="77777777" w:rsidR="00C23C73" w:rsidRPr="002D6EC7" w:rsidRDefault="00C23C73" w:rsidP="009B0B39">
            <w:pPr>
              <w:pStyle w:val="Rdgtable"/>
            </w:pPr>
            <w:r w:rsidRPr="002D6EC7">
              <w:t>SREM</w:t>
            </w:r>
            <w:r w:rsidRPr="002D6EC7">
              <w:rPr>
                <w:vertAlign w:val="subscript"/>
              </w:rPr>
              <w:t>B</w:t>
            </w:r>
          </w:p>
        </w:tc>
      </w:tr>
      <w:tr w:rsidR="00C23C73" w:rsidRPr="002D6EC7" w14:paraId="52C22B4E" w14:textId="77777777" w:rsidTr="009B0B39">
        <w:tc>
          <w:tcPr>
            <w:tcW w:w="2410" w:type="dxa"/>
          </w:tcPr>
          <w:p w14:paraId="050A4C23" w14:textId="77777777" w:rsidR="00C23C73" w:rsidRPr="002D6EC7" w:rsidRDefault="00C23C73" w:rsidP="009B0B39">
            <w:pPr>
              <w:pStyle w:val="Rdgtable"/>
            </w:pPr>
            <w:r w:rsidRPr="002D6EC7">
              <w:t>Sample</w:t>
            </w:r>
          </w:p>
        </w:tc>
        <w:tc>
          <w:tcPr>
            <w:tcW w:w="3626" w:type="dxa"/>
          </w:tcPr>
          <w:p w14:paraId="77178AE4" w14:textId="77777777" w:rsidR="00C23C73" w:rsidRPr="002D6EC7" w:rsidRDefault="00C23C73" w:rsidP="009B0B39">
            <w:pPr>
              <w:pStyle w:val="Rdgtable"/>
            </w:pPr>
            <w:r w:rsidRPr="002D6EC7">
              <w:t>24h urine, spot urine</w:t>
            </w:r>
          </w:p>
        </w:tc>
        <w:tc>
          <w:tcPr>
            <w:tcW w:w="3019" w:type="dxa"/>
          </w:tcPr>
          <w:p w14:paraId="5D384529" w14:textId="77777777" w:rsidR="00C23C73" w:rsidRPr="002D6EC7" w:rsidRDefault="00C23C73" w:rsidP="009B0B39">
            <w:pPr>
              <w:pStyle w:val="Rdgtable"/>
            </w:pPr>
            <w:r w:rsidRPr="002D6EC7">
              <w:t>24h urine</w:t>
            </w:r>
          </w:p>
        </w:tc>
      </w:tr>
      <w:tr w:rsidR="00C23C73" w:rsidRPr="002D6EC7" w14:paraId="41D042D8" w14:textId="77777777" w:rsidTr="009B0B39">
        <w:tc>
          <w:tcPr>
            <w:tcW w:w="2410" w:type="dxa"/>
          </w:tcPr>
          <w:p w14:paraId="7E044160" w14:textId="77777777" w:rsidR="00C23C73" w:rsidRPr="002D6EC7" w:rsidRDefault="00C23C73" w:rsidP="009B0B39">
            <w:pPr>
              <w:pStyle w:val="Rdgtable"/>
            </w:pPr>
            <w:r w:rsidRPr="002D6EC7">
              <w:t>Metabolites included</w:t>
            </w:r>
          </w:p>
        </w:tc>
        <w:tc>
          <w:tcPr>
            <w:tcW w:w="3626" w:type="dxa"/>
          </w:tcPr>
          <w:p w14:paraId="044CEB40" w14:textId="77777777" w:rsidR="00C23C73" w:rsidRPr="002D6EC7" w:rsidRDefault="00C23C73" w:rsidP="009B0B39">
            <w:pPr>
              <w:pStyle w:val="Rdgtable"/>
            </w:pPr>
            <w:r w:rsidRPr="002D6EC7">
              <w:t>gVL3</w:t>
            </w:r>
            <w:r w:rsidRPr="002D6EC7">
              <w:rPr>
                <w:rFonts w:ascii="Arial" w:hAnsi="Arial" w:cs="Arial"/>
              </w:rPr>
              <w:t>′</w:t>
            </w:r>
            <w:r w:rsidRPr="002D6EC7">
              <w:t>S, gVL3</w:t>
            </w:r>
            <w:r w:rsidRPr="002D6EC7">
              <w:rPr>
                <w:rFonts w:ascii="Arial" w:hAnsi="Arial" w:cs="Arial"/>
              </w:rPr>
              <w:t>′</w:t>
            </w:r>
            <w:r w:rsidRPr="002D6EC7">
              <w:t>G, gVL4</w:t>
            </w:r>
            <w:r w:rsidRPr="002D6EC7">
              <w:rPr>
                <w:rFonts w:ascii="Arial" w:hAnsi="Arial" w:cs="Arial"/>
              </w:rPr>
              <w:t>′</w:t>
            </w:r>
            <w:r w:rsidRPr="002D6EC7">
              <w:t>G</w:t>
            </w:r>
          </w:p>
        </w:tc>
        <w:tc>
          <w:tcPr>
            <w:tcW w:w="3019" w:type="dxa"/>
          </w:tcPr>
          <w:p w14:paraId="15E9B4F8" w14:textId="77777777" w:rsidR="00C23C73" w:rsidRPr="002D6EC7" w:rsidRDefault="00C23C73" w:rsidP="009B0B39">
            <w:pPr>
              <w:pStyle w:val="Rdgtable"/>
            </w:pPr>
            <w:r w:rsidRPr="002D6EC7">
              <w:t>E3</w:t>
            </w:r>
            <w:r w:rsidRPr="002D6EC7">
              <w:rPr>
                <w:rFonts w:ascii="Arial" w:hAnsi="Arial" w:cs="Arial"/>
              </w:rPr>
              <w:t>′</w:t>
            </w:r>
            <w:r w:rsidRPr="002D6EC7">
              <w:t>S, E3</w:t>
            </w:r>
            <w:r w:rsidRPr="002D6EC7">
              <w:rPr>
                <w:rFonts w:ascii="Arial" w:hAnsi="Arial" w:cs="Arial"/>
              </w:rPr>
              <w:t>′</w:t>
            </w:r>
            <w:r w:rsidRPr="002D6EC7">
              <w:t>G, 3</w:t>
            </w:r>
            <w:r w:rsidRPr="002D6EC7">
              <w:rPr>
                <w:rFonts w:ascii="Arial" w:hAnsi="Arial" w:cs="Arial"/>
              </w:rPr>
              <w:t>′</w:t>
            </w:r>
            <w:r w:rsidRPr="002D6EC7">
              <w:t>Me5S</w:t>
            </w:r>
          </w:p>
        </w:tc>
      </w:tr>
      <w:tr w:rsidR="00C23C73" w:rsidRPr="002D6EC7" w14:paraId="41AFA1E8" w14:textId="77777777" w:rsidTr="009B0B39">
        <w:tc>
          <w:tcPr>
            <w:tcW w:w="2410" w:type="dxa"/>
          </w:tcPr>
          <w:p w14:paraId="6DA12D83" w14:textId="77777777" w:rsidR="00C23C73" w:rsidRPr="002D6EC7" w:rsidRDefault="00C23C73" w:rsidP="009B0B39">
            <w:pPr>
              <w:pStyle w:val="Rdgtable"/>
            </w:pPr>
            <w:r w:rsidRPr="002D6EC7">
              <w:t xml:space="preserve">Specificity </w:t>
            </w:r>
          </w:p>
        </w:tc>
        <w:tc>
          <w:tcPr>
            <w:tcW w:w="3626" w:type="dxa"/>
          </w:tcPr>
          <w:p w14:paraId="5B5BDAA6" w14:textId="77777777" w:rsidR="00C23C73" w:rsidRPr="002D6EC7" w:rsidRDefault="00C23C73" w:rsidP="009B0B39">
            <w:pPr>
              <w:pStyle w:val="Rdgtable"/>
            </w:pPr>
            <w:r w:rsidRPr="002D6EC7">
              <w:t>Flavan-3-ol monomers, ECG, procyanidins</w:t>
            </w:r>
          </w:p>
        </w:tc>
        <w:tc>
          <w:tcPr>
            <w:tcW w:w="3019" w:type="dxa"/>
          </w:tcPr>
          <w:p w14:paraId="6DDFE70C" w14:textId="77777777" w:rsidR="00C23C73" w:rsidRPr="002D6EC7" w:rsidRDefault="00C23C73" w:rsidP="009B0B39">
            <w:pPr>
              <w:pStyle w:val="Rdgtable"/>
            </w:pPr>
            <w:r w:rsidRPr="002D6EC7">
              <w:t>(</w:t>
            </w:r>
            <w:proofErr w:type="gramStart"/>
            <w:r w:rsidRPr="002D6EC7">
              <w:t>−)</w:t>
            </w:r>
            <w:r w:rsidRPr="002D6EC7">
              <w:noBreakHyphen/>
            </w:r>
            <w:proofErr w:type="gramEnd"/>
            <w:r w:rsidRPr="002D6EC7">
              <w:t>epicatechin</w:t>
            </w:r>
          </w:p>
        </w:tc>
      </w:tr>
      <w:tr w:rsidR="00C23C73" w:rsidRPr="002D6EC7" w14:paraId="38A99A07" w14:textId="77777777" w:rsidTr="009B0B39">
        <w:tc>
          <w:tcPr>
            <w:tcW w:w="2410" w:type="dxa"/>
          </w:tcPr>
          <w:p w14:paraId="09E32683" w14:textId="77777777" w:rsidR="00C23C73" w:rsidRPr="002D6EC7" w:rsidRDefault="00C23C73" w:rsidP="009B0B39">
            <w:pPr>
              <w:pStyle w:val="Rdgtable"/>
            </w:pPr>
            <w:r w:rsidRPr="002D6EC7">
              <w:t>Type of biomarker</w:t>
            </w:r>
          </w:p>
        </w:tc>
        <w:tc>
          <w:tcPr>
            <w:tcW w:w="3626" w:type="dxa"/>
          </w:tcPr>
          <w:p w14:paraId="6A493246" w14:textId="77777777" w:rsidR="00C23C73" w:rsidRPr="002D6EC7" w:rsidRDefault="00C23C73" w:rsidP="009B0B39">
            <w:pPr>
              <w:pStyle w:val="Rdgtable"/>
            </w:pPr>
            <w:r w:rsidRPr="002D6EC7">
              <w:t>Concentration/surrogate</w:t>
            </w:r>
          </w:p>
        </w:tc>
        <w:tc>
          <w:tcPr>
            <w:tcW w:w="3019" w:type="dxa"/>
          </w:tcPr>
          <w:p w14:paraId="151A9A99" w14:textId="77777777" w:rsidR="00C23C73" w:rsidRPr="002D6EC7" w:rsidRDefault="00C23C73" w:rsidP="009B0B39">
            <w:pPr>
              <w:pStyle w:val="Rdgtable"/>
            </w:pPr>
            <w:r w:rsidRPr="002D6EC7">
              <w:t>recovery</w:t>
            </w:r>
          </w:p>
        </w:tc>
      </w:tr>
    </w:tbl>
    <w:p w14:paraId="5D86CC18" w14:textId="77777777" w:rsidR="00C23C73" w:rsidRPr="002D6EC7" w:rsidRDefault="00C23C73" w:rsidP="00C23C73">
      <w:pPr>
        <w:pStyle w:val="RdgNormal"/>
        <w:rPr>
          <w:lang w:val="en-US" w:eastAsia="en-GB"/>
        </w:rPr>
      </w:pPr>
      <w:r w:rsidRPr="002D6EC7">
        <w:rPr>
          <w:lang w:val="en-US" w:eastAsia="en-GB"/>
        </w:rPr>
        <w:t xml:space="preserve"> </w:t>
      </w:r>
    </w:p>
    <w:p w14:paraId="7EB391EE" w14:textId="4EE69367" w:rsidR="00C23C73" w:rsidRPr="002D6EC7" w:rsidRDefault="00C23C73" w:rsidP="00C23C73">
      <w:pPr>
        <w:pStyle w:val="NoNumberHeading"/>
      </w:pPr>
      <w:r w:rsidRPr="002D6EC7">
        <w:rPr>
          <w:rFonts w:eastAsia="MS ??"/>
        </w:rPr>
        <w:br w:type="page"/>
      </w:r>
    </w:p>
    <w:p w14:paraId="0BEB42E1" w14:textId="37CE4180" w:rsidR="00B4474B" w:rsidRPr="002D6EC7" w:rsidRDefault="00C23C73" w:rsidP="00C23C73">
      <w:pPr>
        <w:tabs>
          <w:tab w:val="left" w:pos="640"/>
        </w:tabs>
        <w:autoSpaceDE w:val="0"/>
        <w:autoSpaceDN w:val="0"/>
        <w:adjustRightInd w:val="0"/>
        <w:spacing w:after="240"/>
        <w:ind w:left="640" w:hanging="640"/>
      </w:pPr>
      <w:r w:rsidRPr="002D6EC7">
        <w:lastRenderedPageBreak/>
        <w:t>Figure captions</w:t>
      </w:r>
    </w:p>
    <w:p w14:paraId="32FBB4E2" w14:textId="77777777" w:rsidR="00C23C73" w:rsidRPr="002D6EC7" w:rsidRDefault="00C23C73" w:rsidP="00C23C73">
      <w:pPr>
        <w:pStyle w:val="RdgCaptions"/>
      </w:pPr>
      <w:r w:rsidRPr="002D6EC7">
        <w:t xml:space="preserve">Figure </w:t>
      </w:r>
      <w:r w:rsidRPr="002D6EC7">
        <w:rPr>
          <w:noProof/>
        </w:rPr>
        <w:t>1</w:t>
      </w:r>
      <w:r w:rsidRPr="002D6EC7">
        <w:t>:</w:t>
      </w:r>
      <w:r w:rsidRPr="002D6EC7">
        <w:tab/>
        <w:t>Histogram of urinary SREM</w:t>
      </w:r>
      <w:r w:rsidRPr="002D6EC7">
        <w:rPr>
          <w:vertAlign w:val="subscript"/>
        </w:rPr>
        <w:t>B</w:t>
      </w:r>
      <w:r w:rsidRPr="002D6EC7">
        <w:t xml:space="preserve"> concentration in spot urines of 24,341 participants of EPIC Norfolk. The lower limit of quantification was 0.1 µM.</w:t>
      </w:r>
    </w:p>
    <w:p w14:paraId="1C499A93" w14:textId="52A21E92" w:rsidR="00C23C73" w:rsidRPr="002D6EC7" w:rsidRDefault="00C23C73" w:rsidP="00C23C73">
      <w:pPr>
        <w:pStyle w:val="RdgCaptions"/>
      </w:pPr>
      <w:bookmarkStart w:id="2" w:name="_Ref528585494"/>
      <w:r w:rsidRPr="002D6EC7">
        <w:t xml:space="preserve">Figure </w:t>
      </w:r>
      <w:bookmarkEnd w:id="2"/>
      <w:r w:rsidRPr="002D6EC7">
        <w:rPr>
          <w:noProof/>
        </w:rPr>
        <w:t>2</w:t>
      </w:r>
      <w:r w:rsidRPr="002D6EC7">
        <w:t xml:space="preserve">: </w:t>
      </w:r>
      <w:r w:rsidRPr="002D6EC7">
        <w:tab/>
        <w:t>Urinary excretion of structurally related (−)-epicatechin metabolites (SREM</w:t>
      </w:r>
      <w:r w:rsidRPr="002D6EC7">
        <w:rPr>
          <w:vertAlign w:val="subscript"/>
        </w:rPr>
        <w:t>B</w:t>
      </w:r>
      <w:r w:rsidRPr="002D6EC7">
        <w:t>) following the consumption of different flavan-3-ols in male adults (n=12). ECG, (−)-epicatechin-3-</w:t>
      </w:r>
      <w:r w:rsidRPr="002D6EC7">
        <w:rPr>
          <w:i/>
        </w:rPr>
        <w:t>O</w:t>
      </w:r>
      <w:r w:rsidRPr="002D6EC7">
        <w:t xml:space="preserve">-gallate; DB2, procyanidin dimer B2; TRB: thearubigins; TF: theaflavins; EGCG, (−)-epigallocatechin-3-O-gallate; EC, (−)-epigallocatechin; EGC, (−)-epigallocatechin. Differences in excretion were compared using a one-way ANOVA and a pair-wise comparison with Tukey’s Honest Significant Difference method </w:t>
      </w:r>
      <w:r w:rsidR="00CE24FC" w:rsidRPr="002D6EC7">
        <w:rPr>
          <w:szCs w:val="18"/>
          <w:lang w:val="en-US" w:eastAsia="en-GB"/>
        </w:rPr>
        <w:fldChar w:fldCharType="begin"/>
      </w:r>
      <w:r w:rsidR="002D6EC7" w:rsidRPr="002D6EC7">
        <w:rPr>
          <w:szCs w:val="18"/>
          <w:lang w:val="en-US" w:eastAsia="en-GB"/>
        </w:rPr>
        <w:instrText xml:space="preserve"> ADDIN PAPERS2_CITATIONS &lt;citation&gt;&lt;priority&gt;52&lt;/priority&gt;&lt;uuid&gt;08039A43-BA7E-4F93-BB2A-F477B9ED5230&lt;/uuid&gt;&lt;publications&gt;&lt;publication&gt;&lt;subtype&gt;400&lt;/subtype&gt;&lt;title&gt;Comparing individual means in the analysis of variance.&lt;/title&gt;&lt;url&gt;http://eutils.ncbi.nlm.nih.gov/entrez/eutils/elink.fcgi?dbfrom=pubmed&amp;amp;id=18151955&amp;amp;retmode=ref&amp;amp;cmd=prlinks&lt;/url&gt;&lt;volume&gt;5&lt;/volume&gt;&lt;publication_date&gt;99194906001200000000220000&lt;/publication_date&gt;&lt;uuid&gt;E9335EDE-725E-44BA-94D9-DD773DFC9013&lt;/uuid&gt;&lt;type&gt;400&lt;/type&gt;&lt;number&gt;2&lt;/number&gt;&lt;citekey&gt;Tukey:1949tw&lt;/citekey&gt;&lt;startpage&gt;99&lt;/startpage&gt;&lt;endpage&gt;114&lt;/endpage&gt;&lt;bundle&gt;&lt;publication&gt;&lt;title&gt;Biometrics&lt;/title&gt;&lt;uuid&gt;1AA9E39C-A8AE-42E5-AD66-66A86B91B226&lt;/uuid&gt;&lt;subtype&gt;-100&lt;/subtype&gt;&lt;type&gt;-100&lt;/type&gt;&lt;/publication&gt;&lt;/bundle&gt;&lt;authors&gt;&lt;author&gt;&lt;lastName&gt;Tukey&lt;/lastName&gt;&lt;firstName&gt;John&lt;/firstName&gt;&lt;middleNames&gt;W&lt;/middleNames&gt;&lt;/author&gt;&lt;/authors&gt;&lt;/publication&gt;&lt;/publications&gt;&lt;cites&gt;&lt;/cites&gt;&lt;/citation&gt;</w:instrText>
      </w:r>
      <w:r w:rsidR="00CE24FC" w:rsidRPr="002D6EC7">
        <w:rPr>
          <w:szCs w:val="18"/>
          <w:lang w:val="en-US" w:eastAsia="en-GB"/>
        </w:rPr>
        <w:fldChar w:fldCharType="separate"/>
      </w:r>
      <w:r w:rsidR="002D6EC7" w:rsidRPr="002D6EC7">
        <w:rPr>
          <w:szCs w:val="18"/>
          <w:vertAlign w:val="superscript"/>
          <w:lang w:val="en-US" w:eastAsia="en-GB"/>
        </w:rPr>
        <w:t>17</w:t>
      </w:r>
      <w:r w:rsidR="00CE24FC" w:rsidRPr="002D6EC7">
        <w:rPr>
          <w:szCs w:val="18"/>
          <w:lang w:val="en-US" w:eastAsia="en-GB"/>
        </w:rPr>
        <w:fldChar w:fldCharType="end"/>
      </w:r>
      <w:r w:rsidRPr="002D6EC7">
        <w:t>.</w:t>
      </w:r>
    </w:p>
    <w:p w14:paraId="3B4B282D" w14:textId="77777777" w:rsidR="002D6EC7" w:rsidRDefault="00AC6260" w:rsidP="00200DAA">
      <w:pPr>
        <w:pStyle w:val="RdgCaptions"/>
      </w:pPr>
      <w:bookmarkStart w:id="3" w:name="_Ref528589025"/>
      <w:r w:rsidRPr="002D6EC7">
        <w:t xml:space="preserve">Figure </w:t>
      </w:r>
      <w:bookmarkEnd w:id="3"/>
      <w:r w:rsidRPr="002D6EC7">
        <w:rPr>
          <w:noProof/>
        </w:rPr>
        <w:t>3</w:t>
      </w:r>
      <w:r w:rsidRPr="002D6EC7">
        <w:t>:</w:t>
      </w:r>
      <w:r w:rsidRPr="002D6EC7">
        <w:tab/>
        <w:t>Association between flavan-3-ol intake and biomarker (SREM</w:t>
      </w:r>
      <w:r w:rsidRPr="002D6EC7">
        <w:rPr>
          <w:vertAlign w:val="subscript"/>
        </w:rPr>
        <w:t>B</w:t>
      </w:r>
      <w:r w:rsidRPr="002D6EC7">
        <w:t>) excretion in male adults (n=14). The data show a strong correlation between intake and biomarker (R</w:t>
      </w:r>
      <w:r w:rsidRPr="002D6EC7">
        <w:rPr>
          <w:vertAlign w:val="superscript"/>
        </w:rPr>
        <w:t>2</w:t>
      </w:r>
      <w:r w:rsidRPr="002D6EC7">
        <w:t>: 0.86 (95% CI 0.8l; 0.92)).</w:t>
      </w:r>
    </w:p>
    <w:sectPr w:rsidR="002D6EC7" w:rsidSect="005B2FA6">
      <w:headerReference w:type="default" r:id="rId8"/>
      <w:pgSz w:w="11901" w:h="16840"/>
      <w:pgMar w:top="1134" w:right="1418" w:bottom="1134" w:left="1418" w:header="709" w:footer="709" w:gutter="0"/>
      <w:lnNumType w:countBy="1" w:restart="continuous"/>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873FB50" w14:textId="77777777" w:rsidR="00F516DA" w:rsidRDefault="00F516DA" w:rsidP="00491D39">
      <w:r>
        <w:separator/>
      </w:r>
    </w:p>
  </w:endnote>
  <w:endnote w:type="continuationSeparator" w:id="0">
    <w:p w14:paraId="37E0088D" w14:textId="77777777" w:rsidR="00F516DA" w:rsidRDefault="00F516DA" w:rsidP="00491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
    <w:altName w:val="Arial Unicode MS"/>
    <w:panose1 w:val="020B0604020202020204"/>
    <w:charset w:val="80"/>
    <w:family w:val="auto"/>
    <w:notTrueType/>
    <w:pitch w:val="variable"/>
    <w:sig w:usb0="00000001" w:usb1="08070000" w:usb2="00000010" w:usb3="00000000" w:csb0="0002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MS ????">
    <w:panose1 w:val="020B0604020202020204"/>
    <w:charset w:val="80"/>
    <w:family w:val="auto"/>
    <w:notTrueType/>
    <w:pitch w:val="variable"/>
    <w:sig w:usb0="00000001" w:usb1="08070000" w:usb2="00000010" w:usb3="00000000" w:csb0="00020000" w:csb1="00000000"/>
  </w:font>
  <w:font w:name="Gill Sans Light">
    <w:panose1 w:val="020B0302020104020203"/>
    <w:charset w:val="B1"/>
    <w:family w:val="swiss"/>
    <w:pitch w:val="variable"/>
    <w:sig w:usb0="80000267" w:usb1="00000000" w:usb2="00000000" w:usb3="00000000" w:csb0="000001F7" w:csb1="00000000"/>
  </w:font>
  <w:font w:name="Lucida Grande">
    <w:panose1 w:val="020B0600040502020204"/>
    <w:charset w:val="00"/>
    <w:family w:val="swiss"/>
    <w:pitch w:val="variable"/>
    <w:sig w:usb0="E1000AEF" w:usb1="5000A1FF" w:usb2="00000000" w:usb3="00000000" w:csb0="000001BF" w:csb1="00000000"/>
  </w:font>
  <w:font w:name="Rdg Vesta">
    <w:panose1 w:val="02000503060000020004"/>
    <w:charset w:val="00"/>
    <w:family w:val="auto"/>
    <w:pitch w:val="variable"/>
    <w:sig w:usb0="A00000EF" w:usb1="4000204A" w:usb2="00000000" w:usb3="00000000" w:csb0="0000009B" w:csb1="00000000"/>
  </w:font>
  <w:font w:name="Rdg Swift">
    <w:panose1 w:val="02000503080000020004"/>
    <w:charset w:val="00"/>
    <w:family w:val="auto"/>
    <w:pitch w:val="variable"/>
    <w:sig w:usb0="A00000EF" w:usb1="4000204A" w:usb2="00000000" w:usb3="00000000" w:csb0="0000009B" w:csb1="00000000"/>
  </w:font>
  <w:font w:name="Agency FB">
    <w:panose1 w:val="020B0503020202020204"/>
    <w:charset w:val="00"/>
    <w:family w:val="swiss"/>
    <w:pitch w:val="variable"/>
    <w:sig w:usb0="00000003" w:usb1="00000000" w:usb2="00000000" w:usb3="00000000" w:csb0="00000001" w:csb1="00000000"/>
  </w:font>
  <w:font w:name="Baskerville Old Face">
    <w:panose1 w:val="02020602080505020303"/>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90AD93" w14:textId="77777777" w:rsidR="00F516DA" w:rsidRDefault="00F516DA" w:rsidP="00491D39">
      <w:r>
        <w:separator/>
      </w:r>
    </w:p>
  </w:footnote>
  <w:footnote w:type="continuationSeparator" w:id="0">
    <w:p w14:paraId="6F7D68E0" w14:textId="77777777" w:rsidR="00F516DA" w:rsidRDefault="00F516DA" w:rsidP="00491D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2554AD7" w14:textId="3C76724B" w:rsidR="002B6B41" w:rsidRDefault="00606BF7" w:rsidP="00826323">
    <w:pPr>
      <w:pStyle w:val="Header"/>
      <w:pBdr>
        <w:bottom w:val="single" w:sz="4" w:space="1" w:color="auto"/>
      </w:pBdr>
      <w:tabs>
        <w:tab w:val="clear" w:pos="9356"/>
        <w:tab w:val="right" w:pos="9072"/>
      </w:tabs>
    </w:pPr>
    <w:r>
      <w:rPr>
        <w:rStyle w:val="PageNumber"/>
      </w:rPr>
      <w:t>Evaluation of SREM as nutritional biomarker</w:t>
    </w:r>
    <w:r w:rsidR="002B6B41">
      <w:rPr>
        <w:rStyle w:val="PageNumber"/>
      </w:rPr>
      <w:tab/>
    </w:r>
    <w:r w:rsidR="002B6B41">
      <w:rPr>
        <w:rStyle w:val="PageNumber"/>
      </w:rPr>
      <w:fldChar w:fldCharType="begin"/>
    </w:r>
    <w:r w:rsidR="002B6B41">
      <w:rPr>
        <w:rStyle w:val="PageNumber"/>
      </w:rPr>
      <w:instrText xml:space="preserve"> PAGE </w:instrText>
    </w:r>
    <w:r w:rsidR="002B6B41">
      <w:rPr>
        <w:rStyle w:val="PageNumber"/>
      </w:rPr>
      <w:fldChar w:fldCharType="separate"/>
    </w:r>
    <w:r w:rsidR="006A5A2F">
      <w:rPr>
        <w:rStyle w:val="PageNumber"/>
        <w:noProof/>
      </w:rPr>
      <w:t>22</w:t>
    </w:r>
    <w:r w:rsidR="002B6B41">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D33F0C"/>
    <w:multiLevelType w:val="hybridMultilevel"/>
    <w:tmpl w:val="FE244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6568DD"/>
    <w:multiLevelType w:val="multilevel"/>
    <w:tmpl w:val="48CC292C"/>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2" w15:restartNumberingAfterBreak="0">
    <w:nsid w:val="2F1E5209"/>
    <w:multiLevelType w:val="hybridMultilevel"/>
    <w:tmpl w:val="84A672D2"/>
    <w:lvl w:ilvl="0" w:tplc="C04CC4B2">
      <w:start w:val="1"/>
      <w:numFmt w:val="decimal"/>
      <w:pStyle w:val="RdgList"/>
      <w:lvlText w:val="%1."/>
      <w:lvlJc w:val="left"/>
      <w:pPr>
        <w:ind w:left="1289" w:hanging="360"/>
      </w:pPr>
    </w:lvl>
    <w:lvl w:ilvl="1" w:tplc="08090019" w:tentative="1">
      <w:start w:val="1"/>
      <w:numFmt w:val="lowerLetter"/>
      <w:lvlText w:val="%2."/>
      <w:lvlJc w:val="left"/>
      <w:pPr>
        <w:ind w:left="2009" w:hanging="360"/>
      </w:pPr>
    </w:lvl>
    <w:lvl w:ilvl="2" w:tplc="0809001B" w:tentative="1">
      <w:start w:val="1"/>
      <w:numFmt w:val="lowerRoman"/>
      <w:lvlText w:val="%3."/>
      <w:lvlJc w:val="right"/>
      <w:pPr>
        <w:ind w:left="2729" w:hanging="180"/>
      </w:pPr>
    </w:lvl>
    <w:lvl w:ilvl="3" w:tplc="0809000F" w:tentative="1">
      <w:start w:val="1"/>
      <w:numFmt w:val="decimal"/>
      <w:lvlText w:val="%4."/>
      <w:lvlJc w:val="left"/>
      <w:pPr>
        <w:ind w:left="3449" w:hanging="360"/>
      </w:pPr>
    </w:lvl>
    <w:lvl w:ilvl="4" w:tplc="08090019" w:tentative="1">
      <w:start w:val="1"/>
      <w:numFmt w:val="lowerLetter"/>
      <w:lvlText w:val="%5."/>
      <w:lvlJc w:val="left"/>
      <w:pPr>
        <w:ind w:left="4169" w:hanging="360"/>
      </w:pPr>
    </w:lvl>
    <w:lvl w:ilvl="5" w:tplc="0809001B" w:tentative="1">
      <w:start w:val="1"/>
      <w:numFmt w:val="lowerRoman"/>
      <w:lvlText w:val="%6."/>
      <w:lvlJc w:val="right"/>
      <w:pPr>
        <w:ind w:left="4889" w:hanging="180"/>
      </w:pPr>
    </w:lvl>
    <w:lvl w:ilvl="6" w:tplc="0809000F" w:tentative="1">
      <w:start w:val="1"/>
      <w:numFmt w:val="decimal"/>
      <w:lvlText w:val="%7."/>
      <w:lvlJc w:val="left"/>
      <w:pPr>
        <w:ind w:left="5609" w:hanging="360"/>
      </w:pPr>
    </w:lvl>
    <w:lvl w:ilvl="7" w:tplc="08090019" w:tentative="1">
      <w:start w:val="1"/>
      <w:numFmt w:val="lowerLetter"/>
      <w:lvlText w:val="%8."/>
      <w:lvlJc w:val="left"/>
      <w:pPr>
        <w:ind w:left="6329" w:hanging="360"/>
      </w:pPr>
    </w:lvl>
    <w:lvl w:ilvl="8" w:tplc="0809001B" w:tentative="1">
      <w:start w:val="1"/>
      <w:numFmt w:val="lowerRoman"/>
      <w:lvlText w:val="%9."/>
      <w:lvlJc w:val="right"/>
      <w:pPr>
        <w:ind w:left="7049" w:hanging="180"/>
      </w:pPr>
    </w:lvl>
  </w:abstractNum>
  <w:abstractNum w:abstractNumId="3" w15:restartNumberingAfterBreak="0">
    <w:nsid w:val="32F77B1A"/>
    <w:multiLevelType w:val="multilevel"/>
    <w:tmpl w:val="1B2CB100"/>
    <w:lvl w:ilvl="0">
      <w:start w:val="1"/>
      <w:numFmt w:val="decimal"/>
      <w:lvlText w:val="%1."/>
      <w:lvlJc w:val="left"/>
      <w:pPr>
        <w:ind w:left="1230" w:hanging="360"/>
      </w:pPr>
    </w:lvl>
    <w:lvl w:ilvl="1">
      <w:start w:val="1"/>
      <w:numFmt w:val="lowerLetter"/>
      <w:lvlText w:val="%2."/>
      <w:lvlJc w:val="left"/>
      <w:pPr>
        <w:ind w:left="1950" w:hanging="360"/>
      </w:pPr>
    </w:lvl>
    <w:lvl w:ilvl="2">
      <w:start w:val="1"/>
      <w:numFmt w:val="lowerRoman"/>
      <w:lvlText w:val="%3."/>
      <w:lvlJc w:val="right"/>
      <w:pPr>
        <w:ind w:left="2670" w:hanging="180"/>
      </w:pPr>
    </w:lvl>
    <w:lvl w:ilvl="3">
      <w:start w:val="1"/>
      <w:numFmt w:val="decimal"/>
      <w:lvlText w:val="%4."/>
      <w:lvlJc w:val="left"/>
      <w:pPr>
        <w:ind w:left="3390" w:hanging="360"/>
      </w:pPr>
    </w:lvl>
    <w:lvl w:ilvl="4">
      <w:start w:val="1"/>
      <w:numFmt w:val="lowerLetter"/>
      <w:lvlText w:val="%5."/>
      <w:lvlJc w:val="left"/>
      <w:pPr>
        <w:ind w:left="4110" w:hanging="360"/>
      </w:pPr>
    </w:lvl>
    <w:lvl w:ilvl="5">
      <w:start w:val="1"/>
      <w:numFmt w:val="lowerRoman"/>
      <w:lvlText w:val="%6."/>
      <w:lvlJc w:val="right"/>
      <w:pPr>
        <w:ind w:left="4830" w:hanging="180"/>
      </w:pPr>
    </w:lvl>
    <w:lvl w:ilvl="6">
      <w:start w:val="1"/>
      <w:numFmt w:val="decimal"/>
      <w:lvlText w:val="%7."/>
      <w:lvlJc w:val="left"/>
      <w:pPr>
        <w:ind w:left="5550" w:hanging="360"/>
      </w:pPr>
    </w:lvl>
    <w:lvl w:ilvl="7">
      <w:start w:val="1"/>
      <w:numFmt w:val="lowerLetter"/>
      <w:lvlText w:val="%8."/>
      <w:lvlJc w:val="left"/>
      <w:pPr>
        <w:ind w:left="6270" w:hanging="360"/>
      </w:pPr>
    </w:lvl>
    <w:lvl w:ilvl="8">
      <w:start w:val="1"/>
      <w:numFmt w:val="lowerRoman"/>
      <w:lvlText w:val="%9."/>
      <w:lvlJc w:val="right"/>
      <w:pPr>
        <w:ind w:left="6990" w:hanging="180"/>
      </w:pPr>
    </w:lvl>
  </w:abstractNum>
  <w:abstractNum w:abstractNumId="4" w15:restartNumberingAfterBreak="0">
    <w:nsid w:val="353B5960"/>
    <w:multiLevelType w:val="multilevel"/>
    <w:tmpl w:val="2C807C14"/>
    <w:lvl w:ilvl="0">
      <w:start w:val="1"/>
      <w:numFmt w:val="decimal"/>
      <w:pStyle w:val="Heading1"/>
      <w:lvlText w:val="%1"/>
      <w:lvlJc w:val="left"/>
      <w:pPr>
        <w:ind w:left="432" w:hanging="432"/>
      </w:pPr>
    </w:lvl>
    <w:lvl w:ilvl="1">
      <w:start w:val="1"/>
      <w:numFmt w:val="decimal"/>
      <w:pStyle w:val="Heading2"/>
      <w:lvlText w:val="%1.%2"/>
      <w:lvlJc w:val="left"/>
      <w:pPr>
        <w:ind w:left="93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5" w15:restartNumberingAfterBreak="0">
    <w:nsid w:val="43C17ABC"/>
    <w:multiLevelType w:val="multilevel"/>
    <w:tmpl w:val="B4082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2EC66E3"/>
    <w:multiLevelType w:val="hybridMultilevel"/>
    <w:tmpl w:val="B1DE320E"/>
    <w:lvl w:ilvl="0" w:tplc="3938A9A4">
      <w:start w:val="1"/>
      <w:numFmt w:val="bullet"/>
      <w:pStyle w:val="RdgStructure"/>
      <w:lvlText w:val=""/>
      <w:lvlJc w:val="left"/>
      <w:pPr>
        <w:ind w:left="1060" w:hanging="360"/>
      </w:pPr>
      <w:rPr>
        <w:rFonts w:ascii="Symbol" w:hAnsi="Symbol" w:hint="default"/>
      </w:rPr>
    </w:lvl>
    <w:lvl w:ilvl="1" w:tplc="08090003">
      <w:start w:val="1"/>
      <w:numFmt w:val="bullet"/>
      <w:lvlText w:val="o"/>
      <w:lvlJc w:val="left"/>
      <w:pPr>
        <w:ind w:left="1780" w:hanging="360"/>
      </w:pPr>
      <w:rPr>
        <w:rFonts w:ascii="Courier New" w:hAnsi="Courier New" w:cs="Courier New" w:hint="default"/>
      </w:rPr>
    </w:lvl>
    <w:lvl w:ilvl="2" w:tplc="08090005">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7" w15:restartNumberingAfterBreak="0">
    <w:nsid w:val="6F9B4A90"/>
    <w:multiLevelType w:val="hybridMultilevel"/>
    <w:tmpl w:val="3DB6F17A"/>
    <w:lvl w:ilvl="0" w:tplc="D9B0C78E">
      <w:start w:val="1"/>
      <w:numFmt w:val="decimal"/>
      <w:pStyle w:val="RdgNumbering"/>
      <w:lvlText w:val="%1."/>
      <w:lvlJc w:val="left"/>
      <w:pPr>
        <w:ind w:left="1230" w:hanging="360"/>
      </w:p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8" w15:restartNumberingAfterBreak="0">
    <w:nsid w:val="74E12D9A"/>
    <w:multiLevelType w:val="hybridMultilevel"/>
    <w:tmpl w:val="BF221C5E"/>
    <w:lvl w:ilvl="0" w:tplc="A7A02248">
      <w:start w:val="1"/>
      <w:numFmt w:val="bullet"/>
      <w:pStyle w:val="RdgBulletlevel1"/>
      <w:lvlText w:val=""/>
      <w:lvlJc w:val="left"/>
      <w:pPr>
        <w:tabs>
          <w:tab w:val="num" w:pos="284"/>
        </w:tabs>
        <w:ind w:left="284" w:hanging="284"/>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6"/>
  </w:num>
  <w:num w:numId="3">
    <w:abstractNumId w:val="4"/>
  </w:num>
  <w:num w:numId="4">
    <w:abstractNumId w:val="2"/>
  </w:num>
  <w:num w:numId="5">
    <w:abstractNumId w:val="7"/>
  </w:num>
  <w:num w:numId="6">
    <w:abstractNumId w:val="3"/>
  </w:num>
  <w:num w:numId="7">
    <w:abstractNumId w:val="1"/>
  </w:num>
  <w:num w:numId="8">
    <w:abstractNumId w:val="0"/>
  </w:num>
  <w:num w:numId="9">
    <w:abstractNumId w:val="5"/>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64"/>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Brit J Nutrition&lt;/Style&gt;&lt;LeftDelim&gt;{&lt;/LeftDelim&gt;&lt;RightDelim&gt;}&lt;/RightDelim&gt;&lt;FontName&gt;Gill Sans Light&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et9wrptatdf2s5ewszavf20zt9t09vetr9fd&quot;&gt;gk_new&lt;record-ids&gt;&lt;item&gt;386&lt;/item&gt;&lt;item&gt;1556&lt;/item&gt;&lt;item&gt;2538&lt;/item&gt;&lt;item&gt;3072&lt;/item&gt;&lt;item&gt;3101&lt;/item&gt;&lt;item&gt;3624&lt;/item&gt;&lt;item&gt;3630&lt;/item&gt;&lt;item&gt;3634&lt;/item&gt;&lt;item&gt;3638&lt;/item&gt;&lt;item&gt;3639&lt;/item&gt;&lt;item&gt;3640&lt;/item&gt;&lt;item&gt;3642&lt;/item&gt;&lt;item&gt;3643&lt;/item&gt;&lt;item&gt;3646&lt;/item&gt;&lt;item&gt;3649&lt;/item&gt;&lt;item&gt;3657&lt;/item&gt;&lt;item&gt;3665&lt;/item&gt;&lt;item&gt;3668&lt;/item&gt;&lt;item&gt;3669&lt;/item&gt;&lt;item&gt;3712&lt;/item&gt;&lt;item&gt;3902&lt;/item&gt;&lt;item&gt;4004&lt;/item&gt;&lt;item&gt;4380&lt;/item&gt;&lt;item&gt;4381&lt;/item&gt;&lt;item&gt;4388&lt;/item&gt;&lt;item&gt;4389&lt;/item&gt;&lt;item&gt;4391&lt;/item&gt;&lt;item&gt;4404&lt;/item&gt;&lt;item&gt;4405&lt;/item&gt;&lt;item&gt;4407&lt;/item&gt;&lt;item&gt;4408&lt;/item&gt;&lt;item&gt;4410&lt;/item&gt;&lt;item&gt;4411&lt;/item&gt;&lt;item&gt;4413&lt;/item&gt;&lt;item&gt;4416&lt;/item&gt;&lt;item&gt;4417&lt;/item&gt;&lt;item&gt;4418&lt;/item&gt;&lt;item&gt;4419&lt;/item&gt;&lt;item&gt;4420&lt;/item&gt;&lt;item&gt;4421&lt;/item&gt;&lt;item&gt;4422&lt;/item&gt;&lt;item&gt;4423&lt;/item&gt;&lt;item&gt;4424&lt;/item&gt;&lt;/record-ids&gt;&lt;/item&gt;&lt;/Libraries&gt;"/>
  </w:docVars>
  <w:rsids>
    <w:rsidRoot w:val="00CA3965"/>
    <w:rsid w:val="000001EC"/>
    <w:rsid w:val="00000557"/>
    <w:rsid w:val="00000F56"/>
    <w:rsid w:val="00001B6E"/>
    <w:rsid w:val="0000268E"/>
    <w:rsid w:val="0000281B"/>
    <w:rsid w:val="00003166"/>
    <w:rsid w:val="000031D2"/>
    <w:rsid w:val="00003C24"/>
    <w:rsid w:val="000043F9"/>
    <w:rsid w:val="000045B8"/>
    <w:rsid w:val="00004990"/>
    <w:rsid w:val="00004A0D"/>
    <w:rsid w:val="00004FC1"/>
    <w:rsid w:val="000050D1"/>
    <w:rsid w:val="00007E52"/>
    <w:rsid w:val="00010C67"/>
    <w:rsid w:val="000116A8"/>
    <w:rsid w:val="00011B0C"/>
    <w:rsid w:val="000120C3"/>
    <w:rsid w:val="000122A2"/>
    <w:rsid w:val="00012B94"/>
    <w:rsid w:val="00012D66"/>
    <w:rsid w:val="00012FC0"/>
    <w:rsid w:val="00012FE1"/>
    <w:rsid w:val="00013348"/>
    <w:rsid w:val="00013F7C"/>
    <w:rsid w:val="00014202"/>
    <w:rsid w:val="000143F7"/>
    <w:rsid w:val="000146FA"/>
    <w:rsid w:val="00014934"/>
    <w:rsid w:val="0001500D"/>
    <w:rsid w:val="000153D5"/>
    <w:rsid w:val="00015ECC"/>
    <w:rsid w:val="00016C7B"/>
    <w:rsid w:val="00017761"/>
    <w:rsid w:val="000207A2"/>
    <w:rsid w:val="000209B7"/>
    <w:rsid w:val="00021DB1"/>
    <w:rsid w:val="0002293F"/>
    <w:rsid w:val="00022F4D"/>
    <w:rsid w:val="0002338E"/>
    <w:rsid w:val="000236F0"/>
    <w:rsid w:val="00023D7F"/>
    <w:rsid w:val="00023E43"/>
    <w:rsid w:val="000241EC"/>
    <w:rsid w:val="000246B9"/>
    <w:rsid w:val="0002477A"/>
    <w:rsid w:val="000249BB"/>
    <w:rsid w:val="00024D52"/>
    <w:rsid w:val="000263B0"/>
    <w:rsid w:val="0002702E"/>
    <w:rsid w:val="0002714B"/>
    <w:rsid w:val="000303B1"/>
    <w:rsid w:val="0003047B"/>
    <w:rsid w:val="00030EF8"/>
    <w:rsid w:val="00032878"/>
    <w:rsid w:val="00033120"/>
    <w:rsid w:val="000340DE"/>
    <w:rsid w:val="00034102"/>
    <w:rsid w:val="000341D9"/>
    <w:rsid w:val="00035344"/>
    <w:rsid w:val="000371D5"/>
    <w:rsid w:val="00037BE6"/>
    <w:rsid w:val="00037E94"/>
    <w:rsid w:val="000406FD"/>
    <w:rsid w:val="00040BAA"/>
    <w:rsid w:val="00041618"/>
    <w:rsid w:val="00042776"/>
    <w:rsid w:val="00042D51"/>
    <w:rsid w:val="0004530E"/>
    <w:rsid w:val="00046156"/>
    <w:rsid w:val="0004618C"/>
    <w:rsid w:val="00046612"/>
    <w:rsid w:val="00046AAE"/>
    <w:rsid w:val="00046C7F"/>
    <w:rsid w:val="00046EB8"/>
    <w:rsid w:val="00047DDB"/>
    <w:rsid w:val="00047ECC"/>
    <w:rsid w:val="000507B2"/>
    <w:rsid w:val="00050E23"/>
    <w:rsid w:val="000519E1"/>
    <w:rsid w:val="00051CD3"/>
    <w:rsid w:val="00051E2D"/>
    <w:rsid w:val="00052350"/>
    <w:rsid w:val="000527F0"/>
    <w:rsid w:val="000528C1"/>
    <w:rsid w:val="00053436"/>
    <w:rsid w:val="00053523"/>
    <w:rsid w:val="0005392B"/>
    <w:rsid w:val="00053A36"/>
    <w:rsid w:val="00053EB9"/>
    <w:rsid w:val="0005451B"/>
    <w:rsid w:val="0005462E"/>
    <w:rsid w:val="00055D4C"/>
    <w:rsid w:val="00057C76"/>
    <w:rsid w:val="000606B4"/>
    <w:rsid w:val="0006103B"/>
    <w:rsid w:val="000611D5"/>
    <w:rsid w:val="00061F86"/>
    <w:rsid w:val="00062830"/>
    <w:rsid w:val="000628F6"/>
    <w:rsid w:val="000629AA"/>
    <w:rsid w:val="00063076"/>
    <w:rsid w:val="00063250"/>
    <w:rsid w:val="0006356C"/>
    <w:rsid w:val="00063AB8"/>
    <w:rsid w:val="00063B31"/>
    <w:rsid w:val="00065090"/>
    <w:rsid w:val="00065F02"/>
    <w:rsid w:val="00066A65"/>
    <w:rsid w:val="00067E68"/>
    <w:rsid w:val="00070EB3"/>
    <w:rsid w:val="0007174C"/>
    <w:rsid w:val="00071D28"/>
    <w:rsid w:val="00072F02"/>
    <w:rsid w:val="0007404D"/>
    <w:rsid w:val="000765A6"/>
    <w:rsid w:val="0007799E"/>
    <w:rsid w:val="00080C20"/>
    <w:rsid w:val="00081B98"/>
    <w:rsid w:val="0008362B"/>
    <w:rsid w:val="000848B8"/>
    <w:rsid w:val="00084DAD"/>
    <w:rsid w:val="00084FBA"/>
    <w:rsid w:val="000852D3"/>
    <w:rsid w:val="00085387"/>
    <w:rsid w:val="000865C3"/>
    <w:rsid w:val="0008670C"/>
    <w:rsid w:val="000870E8"/>
    <w:rsid w:val="000875EB"/>
    <w:rsid w:val="00087753"/>
    <w:rsid w:val="00087D5E"/>
    <w:rsid w:val="00090304"/>
    <w:rsid w:val="00090D5E"/>
    <w:rsid w:val="00090F6F"/>
    <w:rsid w:val="000910C7"/>
    <w:rsid w:val="00091365"/>
    <w:rsid w:val="0009161C"/>
    <w:rsid w:val="00091BCA"/>
    <w:rsid w:val="000928DB"/>
    <w:rsid w:val="00092C00"/>
    <w:rsid w:val="00093104"/>
    <w:rsid w:val="00093D82"/>
    <w:rsid w:val="000940E5"/>
    <w:rsid w:val="0009419E"/>
    <w:rsid w:val="000944D4"/>
    <w:rsid w:val="00094BD6"/>
    <w:rsid w:val="00094D5B"/>
    <w:rsid w:val="00095103"/>
    <w:rsid w:val="00095239"/>
    <w:rsid w:val="00095473"/>
    <w:rsid w:val="00096DB7"/>
    <w:rsid w:val="000A0D77"/>
    <w:rsid w:val="000A1972"/>
    <w:rsid w:val="000A2435"/>
    <w:rsid w:val="000A2718"/>
    <w:rsid w:val="000A3107"/>
    <w:rsid w:val="000A3540"/>
    <w:rsid w:val="000A4911"/>
    <w:rsid w:val="000A56D4"/>
    <w:rsid w:val="000A5A05"/>
    <w:rsid w:val="000A6DD4"/>
    <w:rsid w:val="000A7600"/>
    <w:rsid w:val="000B09A8"/>
    <w:rsid w:val="000B0F58"/>
    <w:rsid w:val="000B13BC"/>
    <w:rsid w:val="000B1D2E"/>
    <w:rsid w:val="000B2222"/>
    <w:rsid w:val="000B2635"/>
    <w:rsid w:val="000B2A8D"/>
    <w:rsid w:val="000B2B5D"/>
    <w:rsid w:val="000B2F63"/>
    <w:rsid w:val="000B473A"/>
    <w:rsid w:val="000B4A58"/>
    <w:rsid w:val="000B4AF5"/>
    <w:rsid w:val="000B54B8"/>
    <w:rsid w:val="000B67C2"/>
    <w:rsid w:val="000B75DE"/>
    <w:rsid w:val="000B7625"/>
    <w:rsid w:val="000C129E"/>
    <w:rsid w:val="000C20DE"/>
    <w:rsid w:val="000C2158"/>
    <w:rsid w:val="000C2AAD"/>
    <w:rsid w:val="000C2FFD"/>
    <w:rsid w:val="000C3809"/>
    <w:rsid w:val="000C3A73"/>
    <w:rsid w:val="000C3EBE"/>
    <w:rsid w:val="000C4C4D"/>
    <w:rsid w:val="000C50AD"/>
    <w:rsid w:val="000C5BD9"/>
    <w:rsid w:val="000C6461"/>
    <w:rsid w:val="000C6BA2"/>
    <w:rsid w:val="000C73D8"/>
    <w:rsid w:val="000C749D"/>
    <w:rsid w:val="000C7A94"/>
    <w:rsid w:val="000D10B0"/>
    <w:rsid w:val="000D1A49"/>
    <w:rsid w:val="000D2244"/>
    <w:rsid w:val="000D2886"/>
    <w:rsid w:val="000D2BB3"/>
    <w:rsid w:val="000D350A"/>
    <w:rsid w:val="000D39CE"/>
    <w:rsid w:val="000D3C7D"/>
    <w:rsid w:val="000D3E7D"/>
    <w:rsid w:val="000D5290"/>
    <w:rsid w:val="000D5459"/>
    <w:rsid w:val="000D7998"/>
    <w:rsid w:val="000D7BF0"/>
    <w:rsid w:val="000E0115"/>
    <w:rsid w:val="000E02A4"/>
    <w:rsid w:val="000E1A3E"/>
    <w:rsid w:val="000E26AF"/>
    <w:rsid w:val="000E2AD0"/>
    <w:rsid w:val="000E2C3A"/>
    <w:rsid w:val="000E3EA3"/>
    <w:rsid w:val="000E4311"/>
    <w:rsid w:val="000E43D6"/>
    <w:rsid w:val="000E45BA"/>
    <w:rsid w:val="000E6F30"/>
    <w:rsid w:val="000E7033"/>
    <w:rsid w:val="000E781F"/>
    <w:rsid w:val="000E7C59"/>
    <w:rsid w:val="000F0CF7"/>
    <w:rsid w:val="000F10AD"/>
    <w:rsid w:val="000F1A96"/>
    <w:rsid w:val="000F3EB1"/>
    <w:rsid w:val="000F4294"/>
    <w:rsid w:val="000F47C8"/>
    <w:rsid w:val="000F4DF4"/>
    <w:rsid w:val="000F69DB"/>
    <w:rsid w:val="000F6F7B"/>
    <w:rsid w:val="000F720F"/>
    <w:rsid w:val="000F7575"/>
    <w:rsid w:val="001006C1"/>
    <w:rsid w:val="00100BB0"/>
    <w:rsid w:val="00101CD2"/>
    <w:rsid w:val="00102886"/>
    <w:rsid w:val="00102B9C"/>
    <w:rsid w:val="00102D55"/>
    <w:rsid w:val="00103B0B"/>
    <w:rsid w:val="00104D56"/>
    <w:rsid w:val="0010555B"/>
    <w:rsid w:val="00105D24"/>
    <w:rsid w:val="00106686"/>
    <w:rsid w:val="00106A71"/>
    <w:rsid w:val="001071EA"/>
    <w:rsid w:val="001072CF"/>
    <w:rsid w:val="00107D3C"/>
    <w:rsid w:val="001101BC"/>
    <w:rsid w:val="0011046A"/>
    <w:rsid w:val="001105C2"/>
    <w:rsid w:val="00110717"/>
    <w:rsid w:val="00110792"/>
    <w:rsid w:val="001109AF"/>
    <w:rsid w:val="001110AD"/>
    <w:rsid w:val="001113CD"/>
    <w:rsid w:val="0011157E"/>
    <w:rsid w:val="00112C29"/>
    <w:rsid w:val="00112D81"/>
    <w:rsid w:val="00115330"/>
    <w:rsid w:val="0011587A"/>
    <w:rsid w:val="00115E9D"/>
    <w:rsid w:val="00116ED5"/>
    <w:rsid w:val="00117995"/>
    <w:rsid w:val="00120226"/>
    <w:rsid w:val="0012083D"/>
    <w:rsid w:val="00120E80"/>
    <w:rsid w:val="001221F0"/>
    <w:rsid w:val="00122E60"/>
    <w:rsid w:val="00123152"/>
    <w:rsid w:val="0012385B"/>
    <w:rsid w:val="00123A27"/>
    <w:rsid w:val="00123B5A"/>
    <w:rsid w:val="00123C25"/>
    <w:rsid w:val="00124225"/>
    <w:rsid w:val="00124475"/>
    <w:rsid w:val="00125899"/>
    <w:rsid w:val="00125ADC"/>
    <w:rsid w:val="00125BB0"/>
    <w:rsid w:val="001268A3"/>
    <w:rsid w:val="0012712C"/>
    <w:rsid w:val="001272EF"/>
    <w:rsid w:val="00127C40"/>
    <w:rsid w:val="00127CF0"/>
    <w:rsid w:val="00127D5A"/>
    <w:rsid w:val="0013053F"/>
    <w:rsid w:val="00130A25"/>
    <w:rsid w:val="00130BEA"/>
    <w:rsid w:val="00130EDD"/>
    <w:rsid w:val="00130FAD"/>
    <w:rsid w:val="001313BC"/>
    <w:rsid w:val="00131685"/>
    <w:rsid w:val="001318B3"/>
    <w:rsid w:val="00131ABC"/>
    <w:rsid w:val="001321B2"/>
    <w:rsid w:val="00132926"/>
    <w:rsid w:val="0013731C"/>
    <w:rsid w:val="00137AB1"/>
    <w:rsid w:val="001421ED"/>
    <w:rsid w:val="0014392A"/>
    <w:rsid w:val="00143EF3"/>
    <w:rsid w:val="0014549F"/>
    <w:rsid w:val="00145548"/>
    <w:rsid w:val="00145FC4"/>
    <w:rsid w:val="00146FC9"/>
    <w:rsid w:val="001516EA"/>
    <w:rsid w:val="00151E98"/>
    <w:rsid w:val="00151F21"/>
    <w:rsid w:val="001535B5"/>
    <w:rsid w:val="00153611"/>
    <w:rsid w:val="0015458F"/>
    <w:rsid w:val="00154F58"/>
    <w:rsid w:val="00154F6F"/>
    <w:rsid w:val="001552AE"/>
    <w:rsid w:val="00155598"/>
    <w:rsid w:val="0015602A"/>
    <w:rsid w:val="001563A0"/>
    <w:rsid w:val="00157734"/>
    <w:rsid w:val="00157E47"/>
    <w:rsid w:val="00157E75"/>
    <w:rsid w:val="00160DB1"/>
    <w:rsid w:val="00161714"/>
    <w:rsid w:val="00162C4B"/>
    <w:rsid w:val="00163E8C"/>
    <w:rsid w:val="001643DA"/>
    <w:rsid w:val="001647F3"/>
    <w:rsid w:val="00164A4A"/>
    <w:rsid w:val="0016531C"/>
    <w:rsid w:val="001657CB"/>
    <w:rsid w:val="00165AD9"/>
    <w:rsid w:val="00167841"/>
    <w:rsid w:val="00170753"/>
    <w:rsid w:val="001708F6"/>
    <w:rsid w:val="00171B19"/>
    <w:rsid w:val="00172D34"/>
    <w:rsid w:val="00172E17"/>
    <w:rsid w:val="00172F37"/>
    <w:rsid w:val="00173575"/>
    <w:rsid w:val="001740BE"/>
    <w:rsid w:val="001747B6"/>
    <w:rsid w:val="001749A6"/>
    <w:rsid w:val="0017502B"/>
    <w:rsid w:val="00175528"/>
    <w:rsid w:val="0017584D"/>
    <w:rsid w:val="00175AB7"/>
    <w:rsid w:val="00175C6C"/>
    <w:rsid w:val="00180051"/>
    <w:rsid w:val="00180C10"/>
    <w:rsid w:val="00180D87"/>
    <w:rsid w:val="00180E8C"/>
    <w:rsid w:val="00180F8B"/>
    <w:rsid w:val="00181325"/>
    <w:rsid w:val="00181C97"/>
    <w:rsid w:val="00181FCD"/>
    <w:rsid w:val="00182E99"/>
    <w:rsid w:val="00183654"/>
    <w:rsid w:val="00183757"/>
    <w:rsid w:val="0018494B"/>
    <w:rsid w:val="00185D02"/>
    <w:rsid w:val="0018655A"/>
    <w:rsid w:val="00186B50"/>
    <w:rsid w:val="00186DB9"/>
    <w:rsid w:val="0019042C"/>
    <w:rsid w:val="001906B0"/>
    <w:rsid w:val="00190CE2"/>
    <w:rsid w:val="00191B93"/>
    <w:rsid w:val="0019275C"/>
    <w:rsid w:val="00193268"/>
    <w:rsid w:val="00193A1C"/>
    <w:rsid w:val="001942E0"/>
    <w:rsid w:val="001952FC"/>
    <w:rsid w:val="00195462"/>
    <w:rsid w:val="00195C1C"/>
    <w:rsid w:val="001967C3"/>
    <w:rsid w:val="001969FD"/>
    <w:rsid w:val="00196B33"/>
    <w:rsid w:val="00196DD2"/>
    <w:rsid w:val="001974A8"/>
    <w:rsid w:val="00197923"/>
    <w:rsid w:val="00197AAD"/>
    <w:rsid w:val="00197BCB"/>
    <w:rsid w:val="00197C7C"/>
    <w:rsid w:val="00197F7A"/>
    <w:rsid w:val="001A16E8"/>
    <w:rsid w:val="001A17AD"/>
    <w:rsid w:val="001A2263"/>
    <w:rsid w:val="001A2F92"/>
    <w:rsid w:val="001A3DF5"/>
    <w:rsid w:val="001A5625"/>
    <w:rsid w:val="001A5E4F"/>
    <w:rsid w:val="001A62F2"/>
    <w:rsid w:val="001A68A7"/>
    <w:rsid w:val="001A6F3C"/>
    <w:rsid w:val="001A7030"/>
    <w:rsid w:val="001B0EF7"/>
    <w:rsid w:val="001B0F8D"/>
    <w:rsid w:val="001B40B2"/>
    <w:rsid w:val="001B6D01"/>
    <w:rsid w:val="001B6D24"/>
    <w:rsid w:val="001B71D1"/>
    <w:rsid w:val="001B7BFD"/>
    <w:rsid w:val="001C0729"/>
    <w:rsid w:val="001C094B"/>
    <w:rsid w:val="001C1147"/>
    <w:rsid w:val="001C17B4"/>
    <w:rsid w:val="001C2384"/>
    <w:rsid w:val="001C248E"/>
    <w:rsid w:val="001C2685"/>
    <w:rsid w:val="001C33CE"/>
    <w:rsid w:val="001C5BE6"/>
    <w:rsid w:val="001C61C6"/>
    <w:rsid w:val="001C6677"/>
    <w:rsid w:val="001C79AB"/>
    <w:rsid w:val="001C7C79"/>
    <w:rsid w:val="001C7EDA"/>
    <w:rsid w:val="001D0D81"/>
    <w:rsid w:val="001D0E7E"/>
    <w:rsid w:val="001D0FB6"/>
    <w:rsid w:val="001D109B"/>
    <w:rsid w:val="001D1212"/>
    <w:rsid w:val="001D14A7"/>
    <w:rsid w:val="001D1D0A"/>
    <w:rsid w:val="001D32CB"/>
    <w:rsid w:val="001D35E7"/>
    <w:rsid w:val="001D3B84"/>
    <w:rsid w:val="001D4973"/>
    <w:rsid w:val="001D4E7C"/>
    <w:rsid w:val="001D7521"/>
    <w:rsid w:val="001D7BA5"/>
    <w:rsid w:val="001E202B"/>
    <w:rsid w:val="001E238D"/>
    <w:rsid w:val="001E250F"/>
    <w:rsid w:val="001E27CB"/>
    <w:rsid w:val="001E2AC6"/>
    <w:rsid w:val="001E32D0"/>
    <w:rsid w:val="001E3665"/>
    <w:rsid w:val="001E3B85"/>
    <w:rsid w:val="001E4863"/>
    <w:rsid w:val="001E609B"/>
    <w:rsid w:val="001E6CA9"/>
    <w:rsid w:val="001F0093"/>
    <w:rsid w:val="001F0410"/>
    <w:rsid w:val="001F08DA"/>
    <w:rsid w:val="001F1184"/>
    <w:rsid w:val="001F144B"/>
    <w:rsid w:val="001F1B46"/>
    <w:rsid w:val="001F236F"/>
    <w:rsid w:val="001F251B"/>
    <w:rsid w:val="001F394F"/>
    <w:rsid w:val="001F4ED8"/>
    <w:rsid w:val="001F5260"/>
    <w:rsid w:val="001F567F"/>
    <w:rsid w:val="001F6021"/>
    <w:rsid w:val="001F6DF3"/>
    <w:rsid w:val="001F7D09"/>
    <w:rsid w:val="001F7E03"/>
    <w:rsid w:val="00200BB4"/>
    <w:rsid w:val="00200DAA"/>
    <w:rsid w:val="00200E3B"/>
    <w:rsid w:val="002017C8"/>
    <w:rsid w:val="00201F1A"/>
    <w:rsid w:val="002022D4"/>
    <w:rsid w:val="00202D8E"/>
    <w:rsid w:val="00203719"/>
    <w:rsid w:val="00205A02"/>
    <w:rsid w:val="00205C11"/>
    <w:rsid w:val="0020634B"/>
    <w:rsid w:val="0020715B"/>
    <w:rsid w:val="00207B4D"/>
    <w:rsid w:val="002107BE"/>
    <w:rsid w:val="002109FD"/>
    <w:rsid w:val="00210CDE"/>
    <w:rsid w:val="00211039"/>
    <w:rsid w:val="0021181A"/>
    <w:rsid w:val="002128D6"/>
    <w:rsid w:val="00212B2B"/>
    <w:rsid w:val="002139A0"/>
    <w:rsid w:val="0021499E"/>
    <w:rsid w:val="00214AE5"/>
    <w:rsid w:val="002158AC"/>
    <w:rsid w:val="00216521"/>
    <w:rsid w:val="00216ECB"/>
    <w:rsid w:val="0022050D"/>
    <w:rsid w:val="0022053C"/>
    <w:rsid w:val="00220772"/>
    <w:rsid w:val="00220993"/>
    <w:rsid w:val="00221A1F"/>
    <w:rsid w:val="00221D10"/>
    <w:rsid w:val="00222DD2"/>
    <w:rsid w:val="00223302"/>
    <w:rsid w:val="00223385"/>
    <w:rsid w:val="00223BA2"/>
    <w:rsid w:val="00223BAB"/>
    <w:rsid w:val="0022406C"/>
    <w:rsid w:val="002249FB"/>
    <w:rsid w:val="00224A7C"/>
    <w:rsid w:val="002251B9"/>
    <w:rsid w:val="00225672"/>
    <w:rsid w:val="002258AE"/>
    <w:rsid w:val="00225C8A"/>
    <w:rsid w:val="0022637B"/>
    <w:rsid w:val="00226476"/>
    <w:rsid w:val="00227E26"/>
    <w:rsid w:val="00230511"/>
    <w:rsid w:val="002309C3"/>
    <w:rsid w:val="002310FC"/>
    <w:rsid w:val="00232231"/>
    <w:rsid w:val="00232473"/>
    <w:rsid w:val="00232782"/>
    <w:rsid w:val="00232D69"/>
    <w:rsid w:val="00232F14"/>
    <w:rsid w:val="00233F50"/>
    <w:rsid w:val="00234599"/>
    <w:rsid w:val="00235317"/>
    <w:rsid w:val="00235D97"/>
    <w:rsid w:val="002367CD"/>
    <w:rsid w:val="00236801"/>
    <w:rsid w:val="00236DE2"/>
    <w:rsid w:val="00237C74"/>
    <w:rsid w:val="00237ED3"/>
    <w:rsid w:val="00240989"/>
    <w:rsid w:val="00242226"/>
    <w:rsid w:val="002436A2"/>
    <w:rsid w:val="00243A9A"/>
    <w:rsid w:val="00244173"/>
    <w:rsid w:val="0024499B"/>
    <w:rsid w:val="00244BB5"/>
    <w:rsid w:val="00244D91"/>
    <w:rsid w:val="00244E4B"/>
    <w:rsid w:val="0024547B"/>
    <w:rsid w:val="002457DC"/>
    <w:rsid w:val="00245F55"/>
    <w:rsid w:val="00246C70"/>
    <w:rsid w:val="0024795C"/>
    <w:rsid w:val="0025002F"/>
    <w:rsid w:val="00250261"/>
    <w:rsid w:val="0025033A"/>
    <w:rsid w:val="00250A0D"/>
    <w:rsid w:val="0025108C"/>
    <w:rsid w:val="0025187E"/>
    <w:rsid w:val="00251C47"/>
    <w:rsid w:val="00251F1F"/>
    <w:rsid w:val="00252489"/>
    <w:rsid w:val="00252D55"/>
    <w:rsid w:val="00253227"/>
    <w:rsid w:val="002532C2"/>
    <w:rsid w:val="00253E08"/>
    <w:rsid w:val="00255F29"/>
    <w:rsid w:val="00255F52"/>
    <w:rsid w:val="00256514"/>
    <w:rsid w:val="0025669F"/>
    <w:rsid w:val="0025696D"/>
    <w:rsid w:val="00257FA5"/>
    <w:rsid w:val="00261792"/>
    <w:rsid w:val="002629EC"/>
    <w:rsid w:val="00263528"/>
    <w:rsid w:val="00263B90"/>
    <w:rsid w:val="00264540"/>
    <w:rsid w:val="002651CF"/>
    <w:rsid w:val="00265F40"/>
    <w:rsid w:val="00267A30"/>
    <w:rsid w:val="00267EFE"/>
    <w:rsid w:val="00270C20"/>
    <w:rsid w:val="002711EF"/>
    <w:rsid w:val="00272B04"/>
    <w:rsid w:val="00272DD5"/>
    <w:rsid w:val="00273741"/>
    <w:rsid w:val="00273AFA"/>
    <w:rsid w:val="00273CE0"/>
    <w:rsid w:val="002744E4"/>
    <w:rsid w:val="0027461C"/>
    <w:rsid w:val="0027484A"/>
    <w:rsid w:val="00274F2D"/>
    <w:rsid w:val="0027635E"/>
    <w:rsid w:val="002764B4"/>
    <w:rsid w:val="00276FB0"/>
    <w:rsid w:val="00277B49"/>
    <w:rsid w:val="00280BDB"/>
    <w:rsid w:val="00282443"/>
    <w:rsid w:val="00282A0A"/>
    <w:rsid w:val="002830E8"/>
    <w:rsid w:val="002834CE"/>
    <w:rsid w:val="00283532"/>
    <w:rsid w:val="002838AD"/>
    <w:rsid w:val="00284521"/>
    <w:rsid w:val="00287250"/>
    <w:rsid w:val="002872EC"/>
    <w:rsid w:val="00287625"/>
    <w:rsid w:val="00287EE0"/>
    <w:rsid w:val="0029015C"/>
    <w:rsid w:val="002907C9"/>
    <w:rsid w:val="00291064"/>
    <w:rsid w:val="00291393"/>
    <w:rsid w:val="002915DC"/>
    <w:rsid w:val="002919DD"/>
    <w:rsid w:val="00292814"/>
    <w:rsid w:val="0029297E"/>
    <w:rsid w:val="002932A3"/>
    <w:rsid w:val="00293752"/>
    <w:rsid w:val="0029390D"/>
    <w:rsid w:val="00295674"/>
    <w:rsid w:val="00295CEF"/>
    <w:rsid w:val="00295D16"/>
    <w:rsid w:val="00295D73"/>
    <w:rsid w:val="002964B6"/>
    <w:rsid w:val="00296C9A"/>
    <w:rsid w:val="00296D97"/>
    <w:rsid w:val="002972F1"/>
    <w:rsid w:val="00297C6F"/>
    <w:rsid w:val="00297DF0"/>
    <w:rsid w:val="002A020B"/>
    <w:rsid w:val="002A0B67"/>
    <w:rsid w:val="002A0D2F"/>
    <w:rsid w:val="002A1604"/>
    <w:rsid w:val="002A191F"/>
    <w:rsid w:val="002A1BA8"/>
    <w:rsid w:val="002A1F21"/>
    <w:rsid w:val="002A206B"/>
    <w:rsid w:val="002A3B0E"/>
    <w:rsid w:val="002A3C71"/>
    <w:rsid w:val="002A3D98"/>
    <w:rsid w:val="002A4863"/>
    <w:rsid w:val="002A4BE8"/>
    <w:rsid w:val="002A5523"/>
    <w:rsid w:val="002A64C9"/>
    <w:rsid w:val="002A68A7"/>
    <w:rsid w:val="002A760F"/>
    <w:rsid w:val="002A7629"/>
    <w:rsid w:val="002A79E7"/>
    <w:rsid w:val="002B09FB"/>
    <w:rsid w:val="002B1355"/>
    <w:rsid w:val="002B2964"/>
    <w:rsid w:val="002B29B6"/>
    <w:rsid w:val="002B2DDC"/>
    <w:rsid w:val="002B2F11"/>
    <w:rsid w:val="002B3ABB"/>
    <w:rsid w:val="002B43CF"/>
    <w:rsid w:val="002B46BF"/>
    <w:rsid w:val="002B5353"/>
    <w:rsid w:val="002B6A53"/>
    <w:rsid w:val="002B6B1C"/>
    <w:rsid w:val="002B6B41"/>
    <w:rsid w:val="002B6FC4"/>
    <w:rsid w:val="002B7C39"/>
    <w:rsid w:val="002C0DC6"/>
    <w:rsid w:val="002C10CF"/>
    <w:rsid w:val="002C1D17"/>
    <w:rsid w:val="002C1DD6"/>
    <w:rsid w:val="002C32F5"/>
    <w:rsid w:val="002C3DC4"/>
    <w:rsid w:val="002C4090"/>
    <w:rsid w:val="002C41A4"/>
    <w:rsid w:val="002C525D"/>
    <w:rsid w:val="002C5B38"/>
    <w:rsid w:val="002C62D9"/>
    <w:rsid w:val="002C7195"/>
    <w:rsid w:val="002C740F"/>
    <w:rsid w:val="002C76BC"/>
    <w:rsid w:val="002D0B61"/>
    <w:rsid w:val="002D0CD9"/>
    <w:rsid w:val="002D14D3"/>
    <w:rsid w:val="002D18B6"/>
    <w:rsid w:val="002D1BC7"/>
    <w:rsid w:val="002D22FC"/>
    <w:rsid w:val="002D2644"/>
    <w:rsid w:val="002D2CD1"/>
    <w:rsid w:val="002D3955"/>
    <w:rsid w:val="002D39D0"/>
    <w:rsid w:val="002D43C3"/>
    <w:rsid w:val="002D4FD0"/>
    <w:rsid w:val="002D69A9"/>
    <w:rsid w:val="002D6EC7"/>
    <w:rsid w:val="002D723D"/>
    <w:rsid w:val="002D796B"/>
    <w:rsid w:val="002E01CA"/>
    <w:rsid w:val="002E0674"/>
    <w:rsid w:val="002E0F37"/>
    <w:rsid w:val="002E1394"/>
    <w:rsid w:val="002E17DE"/>
    <w:rsid w:val="002E1D3C"/>
    <w:rsid w:val="002E2404"/>
    <w:rsid w:val="002E3EDE"/>
    <w:rsid w:val="002E40E8"/>
    <w:rsid w:val="002E42AA"/>
    <w:rsid w:val="002E52C5"/>
    <w:rsid w:val="002E6536"/>
    <w:rsid w:val="002E78FB"/>
    <w:rsid w:val="002E7B51"/>
    <w:rsid w:val="002E7E2B"/>
    <w:rsid w:val="002F05FA"/>
    <w:rsid w:val="002F0742"/>
    <w:rsid w:val="002F0CF2"/>
    <w:rsid w:val="002F14A9"/>
    <w:rsid w:val="002F168D"/>
    <w:rsid w:val="002F1B3A"/>
    <w:rsid w:val="002F44ED"/>
    <w:rsid w:val="002F4585"/>
    <w:rsid w:val="002F4D01"/>
    <w:rsid w:val="002F4ED8"/>
    <w:rsid w:val="002F5BC0"/>
    <w:rsid w:val="002F5BE8"/>
    <w:rsid w:val="002F5FFA"/>
    <w:rsid w:val="002F61A4"/>
    <w:rsid w:val="002F6FD2"/>
    <w:rsid w:val="002F7041"/>
    <w:rsid w:val="002F78E8"/>
    <w:rsid w:val="002F7C74"/>
    <w:rsid w:val="00300283"/>
    <w:rsid w:val="00301116"/>
    <w:rsid w:val="00301220"/>
    <w:rsid w:val="00301E18"/>
    <w:rsid w:val="00302413"/>
    <w:rsid w:val="00302CCB"/>
    <w:rsid w:val="0030302D"/>
    <w:rsid w:val="0030359F"/>
    <w:rsid w:val="003038C3"/>
    <w:rsid w:val="00303BC4"/>
    <w:rsid w:val="003043EF"/>
    <w:rsid w:val="0030443E"/>
    <w:rsid w:val="003054B9"/>
    <w:rsid w:val="00306112"/>
    <w:rsid w:val="00306874"/>
    <w:rsid w:val="00306933"/>
    <w:rsid w:val="003071A5"/>
    <w:rsid w:val="003073B0"/>
    <w:rsid w:val="0031158E"/>
    <w:rsid w:val="00312719"/>
    <w:rsid w:val="00313886"/>
    <w:rsid w:val="00314C3B"/>
    <w:rsid w:val="00314C6E"/>
    <w:rsid w:val="00315241"/>
    <w:rsid w:val="0031551D"/>
    <w:rsid w:val="003165D6"/>
    <w:rsid w:val="003165FC"/>
    <w:rsid w:val="00316B21"/>
    <w:rsid w:val="00320802"/>
    <w:rsid w:val="003209A5"/>
    <w:rsid w:val="00320F6E"/>
    <w:rsid w:val="003210B5"/>
    <w:rsid w:val="003219C7"/>
    <w:rsid w:val="00321D73"/>
    <w:rsid w:val="00322241"/>
    <w:rsid w:val="0032278D"/>
    <w:rsid w:val="00322AAE"/>
    <w:rsid w:val="00322BD7"/>
    <w:rsid w:val="0032303F"/>
    <w:rsid w:val="00323092"/>
    <w:rsid w:val="00323478"/>
    <w:rsid w:val="00323CA3"/>
    <w:rsid w:val="003252E3"/>
    <w:rsid w:val="00325892"/>
    <w:rsid w:val="00325A15"/>
    <w:rsid w:val="003260C6"/>
    <w:rsid w:val="003264B3"/>
    <w:rsid w:val="003268F9"/>
    <w:rsid w:val="00330197"/>
    <w:rsid w:val="00330362"/>
    <w:rsid w:val="003307DA"/>
    <w:rsid w:val="00330CE6"/>
    <w:rsid w:val="00331188"/>
    <w:rsid w:val="00331729"/>
    <w:rsid w:val="0033292B"/>
    <w:rsid w:val="0033297D"/>
    <w:rsid w:val="0033440F"/>
    <w:rsid w:val="003354E2"/>
    <w:rsid w:val="00336040"/>
    <w:rsid w:val="003372C7"/>
    <w:rsid w:val="0033763C"/>
    <w:rsid w:val="003376A7"/>
    <w:rsid w:val="00337789"/>
    <w:rsid w:val="0034027A"/>
    <w:rsid w:val="00341AC7"/>
    <w:rsid w:val="0034257D"/>
    <w:rsid w:val="00342874"/>
    <w:rsid w:val="0034307C"/>
    <w:rsid w:val="00343D20"/>
    <w:rsid w:val="003448AD"/>
    <w:rsid w:val="0034554F"/>
    <w:rsid w:val="003456F5"/>
    <w:rsid w:val="00345CC1"/>
    <w:rsid w:val="00347285"/>
    <w:rsid w:val="00347440"/>
    <w:rsid w:val="00350058"/>
    <w:rsid w:val="0035054C"/>
    <w:rsid w:val="00350C7B"/>
    <w:rsid w:val="00350D1D"/>
    <w:rsid w:val="003512D0"/>
    <w:rsid w:val="003525FE"/>
    <w:rsid w:val="00352802"/>
    <w:rsid w:val="00352BF1"/>
    <w:rsid w:val="00352E07"/>
    <w:rsid w:val="00353821"/>
    <w:rsid w:val="00353A20"/>
    <w:rsid w:val="00354310"/>
    <w:rsid w:val="003546BE"/>
    <w:rsid w:val="00355DCA"/>
    <w:rsid w:val="003564C6"/>
    <w:rsid w:val="00356515"/>
    <w:rsid w:val="00356C78"/>
    <w:rsid w:val="00356E9C"/>
    <w:rsid w:val="003572BC"/>
    <w:rsid w:val="00357400"/>
    <w:rsid w:val="00361661"/>
    <w:rsid w:val="003618F9"/>
    <w:rsid w:val="0036233D"/>
    <w:rsid w:val="00362422"/>
    <w:rsid w:val="00362518"/>
    <w:rsid w:val="00362D6B"/>
    <w:rsid w:val="00363696"/>
    <w:rsid w:val="00363862"/>
    <w:rsid w:val="00363B4A"/>
    <w:rsid w:val="0036411C"/>
    <w:rsid w:val="0036411E"/>
    <w:rsid w:val="003648E7"/>
    <w:rsid w:val="00365A49"/>
    <w:rsid w:val="00365C50"/>
    <w:rsid w:val="00365C71"/>
    <w:rsid w:val="00365C82"/>
    <w:rsid w:val="00365C9A"/>
    <w:rsid w:val="00366910"/>
    <w:rsid w:val="00366934"/>
    <w:rsid w:val="00366F88"/>
    <w:rsid w:val="0036746A"/>
    <w:rsid w:val="003676BC"/>
    <w:rsid w:val="00367703"/>
    <w:rsid w:val="00370371"/>
    <w:rsid w:val="00370CD3"/>
    <w:rsid w:val="00370E2E"/>
    <w:rsid w:val="00372D5B"/>
    <w:rsid w:val="0037347D"/>
    <w:rsid w:val="00373734"/>
    <w:rsid w:val="00373BFB"/>
    <w:rsid w:val="0037497E"/>
    <w:rsid w:val="003751C7"/>
    <w:rsid w:val="0037577F"/>
    <w:rsid w:val="003758DE"/>
    <w:rsid w:val="003769F8"/>
    <w:rsid w:val="00376F86"/>
    <w:rsid w:val="003806CF"/>
    <w:rsid w:val="00380D13"/>
    <w:rsid w:val="00381394"/>
    <w:rsid w:val="00381D1A"/>
    <w:rsid w:val="003821D2"/>
    <w:rsid w:val="003823DB"/>
    <w:rsid w:val="00382C98"/>
    <w:rsid w:val="003830A7"/>
    <w:rsid w:val="00383A2A"/>
    <w:rsid w:val="003845EC"/>
    <w:rsid w:val="00384D2C"/>
    <w:rsid w:val="00385245"/>
    <w:rsid w:val="003857B0"/>
    <w:rsid w:val="00386CC2"/>
    <w:rsid w:val="003876E1"/>
    <w:rsid w:val="00390721"/>
    <w:rsid w:val="00390CA0"/>
    <w:rsid w:val="003922E8"/>
    <w:rsid w:val="00392592"/>
    <w:rsid w:val="003928A1"/>
    <w:rsid w:val="00392B07"/>
    <w:rsid w:val="00392E4D"/>
    <w:rsid w:val="00392E5E"/>
    <w:rsid w:val="00393022"/>
    <w:rsid w:val="003930BD"/>
    <w:rsid w:val="0039453A"/>
    <w:rsid w:val="00395A92"/>
    <w:rsid w:val="00397BFE"/>
    <w:rsid w:val="003A0895"/>
    <w:rsid w:val="003A0B6A"/>
    <w:rsid w:val="003A182B"/>
    <w:rsid w:val="003A198F"/>
    <w:rsid w:val="003A21B1"/>
    <w:rsid w:val="003A3FA4"/>
    <w:rsid w:val="003A4BB5"/>
    <w:rsid w:val="003A5132"/>
    <w:rsid w:val="003A532F"/>
    <w:rsid w:val="003A5ACB"/>
    <w:rsid w:val="003A62D1"/>
    <w:rsid w:val="003A7658"/>
    <w:rsid w:val="003A7AC7"/>
    <w:rsid w:val="003B0630"/>
    <w:rsid w:val="003B0AD0"/>
    <w:rsid w:val="003B0B52"/>
    <w:rsid w:val="003B1640"/>
    <w:rsid w:val="003B16B0"/>
    <w:rsid w:val="003B1F90"/>
    <w:rsid w:val="003B2226"/>
    <w:rsid w:val="003B222D"/>
    <w:rsid w:val="003B338B"/>
    <w:rsid w:val="003B3663"/>
    <w:rsid w:val="003B4830"/>
    <w:rsid w:val="003B4B37"/>
    <w:rsid w:val="003B4FAA"/>
    <w:rsid w:val="003B51CD"/>
    <w:rsid w:val="003B5294"/>
    <w:rsid w:val="003B52C2"/>
    <w:rsid w:val="003B5B24"/>
    <w:rsid w:val="003B6626"/>
    <w:rsid w:val="003B6864"/>
    <w:rsid w:val="003B6F02"/>
    <w:rsid w:val="003B714E"/>
    <w:rsid w:val="003B74BF"/>
    <w:rsid w:val="003B7DB6"/>
    <w:rsid w:val="003C094D"/>
    <w:rsid w:val="003C0D64"/>
    <w:rsid w:val="003C140F"/>
    <w:rsid w:val="003C1B9E"/>
    <w:rsid w:val="003C2B59"/>
    <w:rsid w:val="003C395F"/>
    <w:rsid w:val="003C3D36"/>
    <w:rsid w:val="003C49E7"/>
    <w:rsid w:val="003C51C4"/>
    <w:rsid w:val="003C5369"/>
    <w:rsid w:val="003C580C"/>
    <w:rsid w:val="003C7263"/>
    <w:rsid w:val="003C7E7F"/>
    <w:rsid w:val="003D0822"/>
    <w:rsid w:val="003D1551"/>
    <w:rsid w:val="003D22BD"/>
    <w:rsid w:val="003D27DB"/>
    <w:rsid w:val="003D2B52"/>
    <w:rsid w:val="003D372F"/>
    <w:rsid w:val="003D4361"/>
    <w:rsid w:val="003D485B"/>
    <w:rsid w:val="003D5253"/>
    <w:rsid w:val="003D693B"/>
    <w:rsid w:val="003D7286"/>
    <w:rsid w:val="003D7346"/>
    <w:rsid w:val="003D7383"/>
    <w:rsid w:val="003E1009"/>
    <w:rsid w:val="003E11C9"/>
    <w:rsid w:val="003E14C7"/>
    <w:rsid w:val="003E184A"/>
    <w:rsid w:val="003E1BBB"/>
    <w:rsid w:val="003E1D9A"/>
    <w:rsid w:val="003E3720"/>
    <w:rsid w:val="003E417C"/>
    <w:rsid w:val="003E4A9A"/>
    <w:rsid w:val="003E6A5C"/>
    <w:rsid w:val="003E784B"/>
    <w:rsid w:val="003E7944"/>
    <w:rsid w:val="003F0DCA"/>
    <w:rsid w:val="003F0E53"/>
    <w:rsid w:val="003F165F"/>
    <w:rsid w:val="003F1CBD"/>
    <w:rsid w:val="003F1D24"/>
    <w:rsid w:val="003F2CBC"/>
    <w:rsid w:val="003F32D9"/>
    <w:rsid w:val="003F3480"/>
    <w:rsid w:val="003F4A07"/>
    <w:rsid w:val="003F5450"/>
    <w:rsid w:val="003F5524"/>
    <w:rsid w:val="003F58E9"/>
    <w:rsid w:val="003F6963"/>
    <w:rsid w:val="003F71E7"/>
    <w:rsid w:val="003F73C3"/>
    <w:rsid w:val="00400330"/>
    <w:rsid w:val="0040047A"/>
    <w:rsid w:val="00401278"/>
    <w:rsid w:val="004012F8"/>
    <w:rsid w:val="0040194B"/>
    <w:rsid w:val="00401A00"/>
    <w:rsid w:val="00401E18"/>
    <w:rsid w:val="004022B9"/>
    <w:rsid w:val="00404CC9"/>
    <w:rsid w:val="00405145"/>
    <w:rsid w:val="0040573B"/>
    <w:rsid w:val="004060FC"/>
    <w:rsid w:val="004064A4"/>
    <w:rsid w:val="00407055"/>
    <w:rsid w:val="00407220"/>
    <w:rsid w:val="00410982"/>
    <w:rsid w:val="004112DD"/>
    <w:rsid w:val="0041189A"/>
    <w:rsid w:val="00411F3E"/>
    <w:rsid w:val="00412FE2"/>
    <w:rsid w:val="00413C3E"/>
    <w:rsid w:val="00414B2A"/>
    <w:rsid w:val="00415353"/>
    <w:rsid w:val="00415A18"/>
    <w:rsid w:val="00415AAE"/>
    <w:rsid w:val="00416257"/>
    <w:rsid w:val="0041636B"/>
    <w:rsid w:val="0041651B"/>
    <w:rsid w:val="00416F6D"/>
    <w:rsid w:val="004202D4"/>
    <w:rsid w:val="00421449"/>
    <w:rsid w:val="00422068"/>
    <w:rsid w:val="00423248"/>
    <w:rsid w:val="004236A1"/>
    <w:rsid w:val="00423849"/>
    <w:rsid w:val="0042412C"/>
    <w:rsid w:val="00424586"/>
    <w:rsid w:val="004245CA"/>
    <w:rsid w:val="00424D91"/>
    <w:rsid w:val="00425715"/>
    <w:rsid w:val="0042689E"/>
    <w:rsid w:val="00427602"/>
    <w:rsid w:val="00430414"/>
    <w:rsid w:val="00430EE5"/>
    <w:rsid w:val="0043103A"/>
    <w:rsid w:val="004312B2"/>
    <w:rsid w:val="00431511"/>
    <w:rsid w:val="00431971"/>
    <w:rsid w:val="00431BDA"/>
    <w:rsid w:val="00431DD9"/>
    <w:rsid w:val="004327C1"/>
    <w:rsid w:val="00433B33"/>
    <w:rsid w:val="00433C33"/>
    <w:rsid w:val="00433EDF"/>
    <w:rsid w:val="004347C5"/>
    <w:rsid w:val="004349F5"/>
    <w:rsid w:val="00434A6A"/>
    <w:rsid w:val="00434A6F"/>
    <w:rsid w:val="00435031"/>
    <w:rsid w:val="00435976"/>
    <w:rsid w:val="00436D8B"/>
    <w:rsid w:val="0044056C"/>
    <w:rsid w:val="00440BE2"/>
    <w:rsid w:val="004419A2"/>
    <w:rsid w:val="004420A2"/>
    <w:rsid w:val="004424F0"/>
    <w:rsid w:val="004434BE"/>
    <w:rsid w:val="00444749"/>
    <w:rsid w:val="00446653"/>
    <w:rsid w:val="00446971"/>
    <w:rsid w:val="0044720A"/>
    <w:rsid w:val="004476E5"/>
    <w:rsid w:val="00447D3F"/>
    <w:rsid w:val="00447DF0"/>
    <w:rsid w:val="00450E42"/>
    <w:rsid w:val="004512D4"/>
    <w:rsid w:val="00451BDB"/>
    <w:rsid w:val="00451FFE"/>
    <w:rsid w:val="00452331"/>
    <w:rsid w:val="00452527"/>
    <w:rsid w:val="00452B28"/>
    <w:rsid w:val="0045304D"/>
    <w:rsid w:val="00454391"/>
    <w:rsid w:val="00454E87"/>
    <w:rsid w:val="004556B0"/>
    <w:rsid w:val="00455E0E"/>
    <w:rsid w:val="00456020"/>
    <w:rsid w:val="00457070"/>
    <w:rsid w:val="004570D8"/>
    <w:rsid w:val="0045758A"/>
    <w:rsid w:val="00457755"/>
    <w:rsid w:val="004577EF"/>
    <w:rsid w:val="00461816"/>
    <w:rsid w:val="00461FDD"/>
    <w:rsid w:val="004630A8"/>
    <w:rsid w:val="004635D4"/>
    <w:rsid w:val="0046360C"/>
    <w:rsid w:val="004637E4"/>
    <w:rsid w:val="00463988"/>
    <w:rsid w:val="0046418D"/>
    <w:rsid w:val="004642D8"/>
    <w:rsid w:val="004647B0"/>
    <w:rsid w:val="004657E1"/>
    <w:rsid w:val="00465C79"/>
    <w:rsid w:val="00466422"/>
    <w:rsid w:val="0046751F"/>
    <w:rsid w:val="00467975"/>
    <w:rsid w:val="00470CCB"/>
    <w:rsid w:val="00473512"/>
    <w:rsid w:val="00473A0C"/>
    <w:rsid w:val="004740D2"/>
    <w:rsid w:val="00474432"/>
    <w:rsid w:val="004753E0"/>
    <w:rsid w:val="004754B6"/>
    <w:rsid w:val="00475570"/>
    <w:rsid w:val="00475E9E"/>
    <w:rsid w:val="00476BC5"/>
    <w:rsid w:val="0047739D"/>
    <w:rsid w:val="0047750D"/>
    <w:rsid w:val="00477BF2"/>
    <w:rsid w:val="004800EF"/>
    <w:rsid w:val="0048038F"/>
    <w:rsid w:val="004808D4"/>
    <w:rsid w:val="004809D9"/>
    <w:rsid w:val="00480E16"/>
    <w:rsid w:val="00481A98"/>
    <w:rsid w:val="0048253D"/>
    <w:rsid w:val="00482AE7"/>
    <w:rsid w:val="00482B20"/>
    <w:rsid w:val="00483385"/>
    <w:rsid w:val="00483567"/>
    <w:rsid w:val="00483E8C"/>
    <w:rsid w:val="004842CD"/>
    <w:rsid w:val="00484926"/>
    <w:rsid w:val="004849BA"/>
    <w:rsid w:val="00484BFE"/>
    <w:rsid w:val="0048521B"/>
    <w:rsid w:val="004865CC"/>
    <w:rsid w:val="004875AA"/>
    <w:rsid w:val="00487AEF"/>
    <w:rsid w:val="00487F51"/>
    <w:rsid w:val="004908A3"/>
    <w:rsid w:val="00491519"/>
    <w:rsid w:val="00491D39"/>
    <w:rsid w:val="004931A4"/>
    <w:rsid w:val="004931CC"/>
    <w:rsid w:val="00493448"/>
    <w:rsid w:val="00493E53"/>
    <w:rsid w:val="00494589"/>
    <w:rsid w:val="00495455"/>
    <w:rsid w:val="0049546D"/>
    <w:rsid w:val="00495FBD"/>
    <w:rsid w:val="0049687C"/>
    <w:rsid w:val="00496B02"/>
    <w:rsid w:val="004A03EF"/>
    <w:rsid w:val="004A08A0"/>
    <w:rsid w:val="004A0B1E"/>
    <w:rsid w:val="004A0E60"/>
    <w:rsid w:val="004A0FF9"/>
    <w:rsid w:val="004A1305"/>
    <w:rsid w:val="004A15D0"/>
    <w:rsid w:val="004A1A0D"/>
    <w:rsid w:val="004A2B7D"/>
    <w:rsid w:val="004A2E18"/>
    <w:rsid w:val="004A2F75"/>
    <w:rsid w:val="004A3910"/>
    <w:rsid w:val="004A3916"/>
    <w:rsid w:val="004A4031"/>
    <w:rsid w:val="004A41ED"/>
    <w:rsid w:val="004A5B39"/>
    <w:rsid w:val="004A6321"/>
    <w:rsid w:val="004A7C54"/>
    <w:rsid w:val="004B00C3"/>
    <w:rsid w:val="004B036C"/>
    <w:rsid w:val="004B08F7"/>
    <w:rsid w:val="004B0BCA"/>
    <w:rsid w:val="004B147F"/>
    <w:rsid w:val="004B1C42"/>
    <w:rsid w:val="004B289D"/>
    <w:rsid w:val="004B3148"/>
    <w:rsid w:val="004B3B7D"/>
    <w:rsid w:val="004B3F92"/>
    <w:rsid w:val="004B563E"/>
    <w:rsid w:val="004B5AA5"/>
    <w:rsid w:val="004B65A1"/>
    <w:rsid w:val="004B7940"/>
    <w:rsid w:val="004B7E20"/>
    <w:rsid w:val="004C03D7"/>
    <w:rsid w:val="004C0843"/>
    <w:rsid w:val="004C1300"/>
    <w:rsid w:val="004C13CF"/>
    <w:rsid w:val="004C1B35"/>
    <w:rsid w:val="004C1BDF"/>
    <w:rsid w:val="004C24FD"/>
    <w:rsid w:val="004C444C"/>
    <w:rsid w:val="004C46A8"/>
    <w:rsid w:val="004C563B"/>
    <w:rsid w:val="004C708F"/>
    <w:rsid w:val="004D0030"/>
    <w:rsid w:val="004D093C"/>
    <w:rsid w:val="004D0BD2"/>
    <w:rsid w:val="004D170C"/>
    <w:rsid w:val="004D221F"/>
    <w:rsid w:val="004D32DB"/>
    <w:rsid w:val="004D37C6"/>
    <w:rsid w:val="004D4C6A"/>
    <w:rsid w:val="004D5513"/>
    <w:rsid w:val="004D582E"/>
    <w:rsid w:val="004D61FC"/>
    <w:rsid w:val="004D7799"/>
    <w:rsid w:val="004E07C6"/>
    <w:rsid w:val="004E0FBD"/>
    <w:rsid w:val="004E1445"/>
    <w:rsid w:val="004E2E15"/>
    <w:rsid w:val="004E4619"/>
    <w:rsid w:val="004E4E96"/>
    <w:rsid w:val="004E546C"/>
    <w:rsid w:val="004E641E"/>
    <w:rsid w:val="004E711D"/>
    <w:rsid w:val="004E7F18"/>
    <w:rsid w:val="004F0462"/>
    <w:rsid w:val="004F059D"/>
    <w:rsid w:val="004F157D"/>
    <w:rsid w:val="004F16FB"/>
    <w:rsid w:val="004F1CE7"/>
    <w:rsid w:val="004F1E67"/>
    <w:rsid w:val="004F1F0A"/>
    <w:rsid w:val="004F20C1"/>
    <w:rsid w:val="004F226D"/>
    <w:rsid w:val="004F2995"/>
    <w:rsid w:val="004F3A32"/>
    <w:rsid w:val="004F4282"/>
    <w:rsid w:val="004F4592"/>
    <w:rsid w:val="004F4964"/>
    <w:rsid w:val="004F4EE2"/>
    <w:rsid w:val="004F5205"/>
    <w:rsid w:val="004F5344"/>
    <w:rsid w:val="004F56F6"/>
    <w:rsid w:val="004F575A"/>
    <w:rsid w:val="004F5FAB"/>
    <w:rsid w:val="004F62B8"/>
    <w:rsid w:val="004F6EBB"/>
    <w:rsid w:val="00500793"/>
    <w:rsid w:val="00500ED5"/>
    <w:rsid w:val="005010EB"/>
    <w:rsid w:val="00501122"/>
    <w:rsid w:val="005019F0"/>
    <w:rsid w:val="00502A21"/>
    <w:rsid w:val="00503AEE"/>
    <w:rsid w:val="00503C35"/>
    <w:rsid w:val="00503CBE"/>
    <w:rsid w:val="00504BA2"/>
    <w:rsid w:val="00505094"/>
    <w:rsid w:val="00505154"/>
    <w:rsid w:val="00505555"/>
    <w:rsid w:val="00505F92"/>
    <w:rsid w:val="00506000"/>
    <w:rsid w:val="00506249"/>
    <w:rsid w:val="00507756"/>
    <w:rsid w:val="00510670"/>
    <w:rsid w:val="005108F0"/>
    <w:rsid w:val="00510D39"/>
    <w:rsid w:val="00511371"/>
    <w:rsid w:val="00512383"/>
    <w:rsid w:val="00513443"/>
    <w:rsid w:val="0051414B"/>
    <w:rsid w:val="00514A79"/>
    <w:rsid w:val="00514BA2"/>
    <w:rsid w:val="00514E97"/>
    <w:rsid w:val="00514FA4"/>
    <w:rsid w:val="005151CF"/>
    <w:rsid w:val="005156DD"/>
    <w:rsid w:val="00515CCF"/>
    <w:rsid w:val="0051670D"/>
    <w:rsid w:val="00516D02"/>
    <w:rsid w:val="005172C4"/>
    <w:rsid w:val="00517316"/>
    <w:rsid w:val="0052213C"/>
    <w:rsid w:val="005227AB"/>
    <w:rsid w:val="00522DAF"/>
    <w:rsid w:val="005236F5"/>
    <w:rsid w:val="00523723"/>
    <w:rsid w:val="00523CDA"/>
    <w:rsid w:val="005243E2"/>
    <w:rsid w:val="00524E49"/>
    <w:rsid w:val="00526498"/>
    <w:rsid w:val="00526EF3"/>
    <w:rsid w:val="00527C3F"/>
    <w:rsid w:val="00527D61"/>
    <w:rsid w:val="005310AE"/>
    <w:rsid w:val="00531118"/>
    <w:rsid w:val="0053142C"/>
    <w:rsid w:val="005316E6"/>
    <w:rsid w:val="005318F5"/>
    <w:rsid w:val="0053215C"/>
    <w:rsid w:val="005323EC"/>
    <w:rsid w:val="0053280C"/>
    <w:rsid w:val="00532D1A"/>
    <w:rsid w:val="00533820"/>
    <w:rsid w:val="00534D3B"/>
    <w:rsid w:val="00534F47"/>
    <w:rsid w:val="005351EF"/>
    <w:rsid w:val="00535914"/>
    <w:rsid w:val="00536C20"/>
    <w:rsid w:val="00537215"/>
    <w:rsid w:val="005378E8"/>
    <w:rsid w:val="00540576"/>
    <w:rsid w:val="005408AC"/>
    <w:rsid w:val="00540A5B"/>
    <w:rsid w:val="00541C1B"/>
    <w:rsid w:val="0054288A"/>
    <w:rsid w:val="00543184"/>
    <w:rsid w:val="0054703E"/>
    <w:rsid w:val="0054788B"/>
    <w:rsid w:val="005479FD"/>
    <w:rsid w:val="005501EE"/>
    <w:rsid w:val="0055037D"/>
    <w:rsid w:val="005507BA"/>
    <w:rsid w:val="00551E5C"/>
    <w:rsid w:val="0055318C"/>
    <w:rsid w:val="00553FF7"/>
    <w:rsid w:val="00555409"/>
    <w:rsid w:val="00555B69"/>
    <w:rsid w:val="00555C0E"/>
    <w:rsid w:val="00555DFC"/>
    <w:rsid w:val="005561B4"/>
    <w:rsid w:val="0055664F"/>
    <w:rsid w:val="00556851"/>
    <w:rsid w:val="005614CE"/>
    <w:rsid w:val="005618CE"/>
    <w:rsid w:val="005622E8"/>
    <w:rsid w:val="00562763"/>
    <w:rsid w:val="00562C35"/>
    <w:rsid w:val="00563249"/>
    <w:rsid w:val="005633D9"/>
    <w:rsid w:val="00563657"/>
    <w:rsid w:val="00563FBE"/>
    <w:rsid w:val="0056552B"/>
    <w:rsid w:val="00565BC9"/>
    <w:rsid w:val="0056698D"/>
    <w:rsid w:val="00566AD8"/>
    <w:rsid w:val="00566BA4"/>
    <w:rsid w:val="00567104"/>
    <w:rsid w:val="00567263"/>
    <w:rsid w:val="00567900"/>
    <w:rsid w:val="00567F63"/>
    <w:rsid w:val="005701A7"/>
    <w:rsid w:val="00570368"/>
    <w:rsid w:val="00570958"/>
    <w:rsid w:val="00572951"/>
    <w:rsid w:val="00573205"/>
    <w:rsid w:val="00573438"/>
    <w:rsid w:val="0057488B"/>
    <w:rsid w:val="00574A35"/>
    <w:rsid w:val="0057593E"/>
    <w:rsid w:val="00575F76"/>
    <w:rsid w:val="00576A9F"/>
    <w:rsid w:val="00576AF5"/>
    <w:rsid w:val="00577597"/>
    <w:rsid w:val="0057773C"/>
    <w:rsid w:val="005804FD"/>
    <w:rsid w:val="00580C4A"/>
    <w:rsid w:val="00580E3C"/>
    <w:rsid w:val="00581770"/>
    <w:rsid w:val="00582B6A"/>
    <w:rsid w:val="00582C98"/>
    <w:rsid w:val="005836CD"/>
    <w:rsid w:val="00583845"/>
    <w:rsid w:val="0058772D"/>
    <w:rsid w:val="00590014"/>
    <w:rsid w:val="00591B24"/>
    <w:rsid w:val="005922C4"/>
    <w:rsid w:val="00592672"/>
    <w:rsid w:val="00592E1D"/>
    <w:rsid w:val="00593958"/>
    <w:rsid w:val="00594D79"/>
    <w:rsid w:val="005956AA"/>
    <w:rsid w:val="00595AF1"/>
    <w:rsid w:val="0059652D"/>
    <w:rsid w:val="00596B7D"/>
    <w:rsid w:val="005979B8"/>
    <w:rsid w:val="00597ED5"/>
    <w:rsid w:val="005A0CBC"/>
    <w:rsid w:val="005A20CC"/>
    <w:rsid w:val="005A2128"/>
    <w:rsid w:val="005A21B7"/>
    <w:rsid w:val="005A2314"/>
    <w:rsid w:val="005A29DD"/>
    <w:rsid w:val="005A3A89"/>
    <w:rsid w:val="005A3B3B"/>
    <w:rsid w:val="005A425E"/>
    <w:rsid w:val="005A6099"/>
    <w:rsid w:val="005A632D"/>
    <w:rsid w:val="005A64AC"/>
    <w:rsid w:val="005B19DC"/>
    <w:rsid w:val="005B2C28"/>
    <w:rsid w:val="005B2FA6"/>
    <w:rsid w:val="005B2FC9"/>
    <w:rsid w:val="005B3D6B"/>
    <w:rsid w:val="005B452D"/>
    <w:rsid w:val="005B5906"/>
    <w:rsid w:val="005B6127"/>
    <w:rsid w:val="005B6264"/>
    <w:rsid w:val="005B6307"/>
    <w:rsid w:val="005B655C"/>
    <w:rsid w:val="005B6C42"/>
    <w:rsid w:val="005B7243"/>
    <w:rsid w:val="005B7457"/>
    <w:rsid w:val="005B7611"/>
    <w:rsid w:val="005B77C0"/>
    <w:rsid w:val="005B78E1"/>
    <w:rsid w:val="005C00BF"/>
    <w:rsid w:val="005C080E"/>
    <w:rsid w:val="005C1A40"/>
    <w:rsid w:val="005C1BF4"/>
    <w:rsid w:val="005C287A"/>
    <w:rsid w:val="005C2DAC"/>
    <w:rsid w:val="005C3C34"/>
    <w:rsid w:val="005C50A2"/>
    <w:rsid w:val="005C69BE"/>
    <w:rsid w:val="005C78E1"/>
    <w:rsid w:val="005D0075"/>
    <w:rsid w:val="005D0832"/>
    <w:rsid w:val="005D0834"/>
    <w:rsid w:val="005D09B4"/>
    <w:rsid w:val="005D2CED"/>
    <w:rsid w:val="005D2DD2"/>
    <w:rsid w:val="005D3B8A"/>
    <w:rsid w:val="005D403F"/>
    <w:rsid w:val="005D42C9"/>
    <w:rsid w:val="005D5245"/>
    <w:rsid w:val="005D6AEB"/>
    <w:rsid w:val="005D6BE1"/>
    <w:rsid w:val="005D71A3"/>
    <w:rsid w:val="005E0363"/>
    <w:rsid w:val="005E11B2"/>
    <w:rsid w:val="005E23E1"/>
    <w:rsid w:val="005E28F8"/>
    <w:rsid w:val="005E2AF0"/>
    <w:rsid w:val="005E3C24"/>
    <w:rsid w:val="005E4C78"/>
    <w:rsid w:val="005E5449"/>
    <w:rsid w:val="005E5B19"/>
    <w:rsid w:val="005E68B6"/>
    <w:rsid w:val="005E6F20"/>
    <w:rsid w:val="005E7A65"/>
    <w:rsid w:val="005F0143"/>
    <w:rsid w:val="005F031B"/>
    <w:rsid w:val="005F0F30"/>
    <w:rsid w:val="005F0F45"/>
    <w:rsid w:val="005F371F"/>
    <w:rsid w:val="005F3E88"/>
    <w:rsid w:val="005F48E2"/>
    <w:rsid w:val="005F5456"/>
    <w:rsid w:val="005F552F"/>
    <w:rsid w:val="005F56B9"/>
    <w:rsid w:val="005F5993"/>
    <w:rsid w:val="005F5CFC"/>
    <w:rsid w:val="005F688D"/>
    <w:rsid w:val="00600D1E"/>
    <w:rsid w:val="0060132E"/>
    <w:rsid w:val="006026BE"/>
    <w:rsid w:val="00602755"/>
    <w:rsid w:val="00603339"/>
    <w:rsid w:val="00603DE7"/>
    <w:rsid w:val="00604268"/>
    <w:rsid w:val="00604614"/>
    <w:rsid w:val="0060475A"/>
    <w:rsid w:val="00604947"/>
    <w:rsid w:val="00605812"/>
    <w:rsid w:val="006058D6"/>
    <w:rsid w:val="00606BF7"/>
    <w:rsid w:val="006073F3"/>
    <w:rsid w:val="00610C87"/>
    <w:rsid w:val="0061139C"/>
    <w:rsid w:val="006119B2"/>
    <w:rsid w:val="00611ED0"/>
    <w:rsid w:val="006123BF"/>
    <w:rsid w:val="00612C3F"/>
    <w:rsid w:val="00613209"/>
    <w:rsid w:val="006133CC"/>
    <w:rsid w:val="00613AD5"/>
    <w:rsid w:val="0061406E"/>
    <w:rsid w:val="0061451E"/>
    <w:rsid w:val="006173B7"/>
    <w:rsid w:val="006205C8"/>
    <w:rsid w:val="006206DF"/>
    <w:rsid w:val="00620D6C"/>
    <w:rsid w:val="00620EA9"/>
    <w:rsid w:val="00620F0C"/>
    <w:rsid w:val="006210B5"/>
    <w:rsid w:val="006228F6"/>
    <w:rsid w:val="00623205"/>
    <w:rsid w:val="006233D2"/>
    <w:rsid w:val="006235D7"/>
    <w:rsid w:val="00624145"/>
    <w:rsid w:val="0062437C"/>
    <w:rsid w:val="00624E98"/>
    <w:rsid w:val="00624EA0"/>
    <w:rsid w:val="00625448"/>
    <w:rsid w:val="006259DF"/>
    <w:rsid w:val="00626592"/>
    <w:rsid w:val="0062660E"/>
    <w:rsid w:val="0062664B"/>
    <w:rsid w:val="00627430"/>
    <w:rsid w:val="00627ED5"/>
    <w:rsid w:val="006304B4"/>
    <w:rsid w:val="00632227"/>
    <w:rsid w:val="006323F7"/>
    <w:rsid w:val="00633437"/>
    <w:rsid w:val="00633D7C"/>
    <w:rsid w:val="00633EDB"/>
    <w:rsid w:val="00634658"/>
    <w:rsid w:val="00634A79"/>
    <w:rsid w:val="00634CB7"/>
    <w:rsid w:val="0063515F"/>
    <w:rsid w:val="00635C95"/>
    <w:rsid w:val="00635F1E"/>
    <w:rsid w:val="00636328"/>
    <w:rsid w:val="00636B9F"/>
    <w:rsid w:val="00636CD0"/>
    <w:rsid w:val="006375FE"/>
    <w:rsid w:val="0063760D"/>
    <w:rsid w:val="00637980"/>
    <w:rsid w:val="00637C5D"/>
    <w:rsid w:val="0064016E"/>
    <w:rsid w:val="006401CE"/>
    <w:rsid w:val="006401D3"/>
    <w:rsid w:val="006411DB"/>
    <w:rsid w:val="00641D56"/>
    <w:rsid w:val="00643206"/>
    <w:rsid w:val="0064387C"/>
    <w:rsid w:val="00643E4D"/>
    <w:rsid w:val="0064515D"/>
    <w:rsid w:val="006456EE"/>
    <w:rsid w:val="00646541"/>
    <w:rsid w:val="00647015"/>
    <w:rsid w:val="0065011D"/>
    <w:rsid w:val="00652291"/>
    <w:rsid w:val="00652A46"/>
    <w:rsid w:val="00653143"/>
    <w:rsid w:val="006532FB"/>
    <w:rsid w:val="006534AD"/>
    <w:rsid w:val="00653CC3"/>
    <w:rsid w:val="00654328"/>
    <w:rsid w:val="00654959"/>
    <w:rsid w:val="00654A4B"/>
    <w:rsid w:val="00655DDD"/>
    <w:rsid w:val="006560C3"/>
    <w:rsid w:val="006606A6"/>
    <w:rsid w:val="00660D3C"/>
    <w:rsid w:val="0066156F"/>
    <w:rsid w:val="00661C26"/>
    <w:rsid w:val="006621E6"/>
    <w:rsid w:val="00662687"/>
    <w:rsid w:val="00662D67"/>
    <w:rsid w:val="006631AD"/>
    <w:rsid w:val="0066393E"/>
    <w:rsid w:val="00663E20"/>
    <w:rsid w:val="00664A40"/>
    <w:rsid w:val="00665095"/>
    <w:rsid w:val="006654DD"/>
    <w:rsid w:val="006674F6"/>
    <w:rsid w:val="006715B2"/>
    <w:rsid w:val="00671B32"/>
    <w:rsid w:val="00672299"/>
    <w:rsid w:val="00672A31"/>
    <w:rsid w:val="00673296"/>
    <w:rsid w:val="00673328"/>
    <w:rsid w:val="00673FC8"/>
    <w:rsid w:val="00674235"/>
    <w:rsid w:val="006749D6"/>
    <w:rsid w:val="00674C4A"/>
    <w:rsid w:val="00674DD7"/>
    <w:rsid w:val="00675EC0"/>
    <w:rsid w:val="00675F6E"/>
    <w:rsid w:val="0067606C"/>
    <w:rsid w:val="006761C9"/>
    <w:rsid w:val="00676B9F"/>
    <w:rsid w:val="00676EF0"/>
    <w:rsid w:val="00676FF3"/>
    <w:rsid w:val="006773EA"/>
    <w:rsid w:val="006774E9"/>
    <w:rsid w:val="00677779"/>
    <w:rsid w:val="006806E2"/>
    <w:rsid w:val="0068097C"/>
    <w:rsid w:val="0068151D"/>
    <w:rsid w:val="00681ABD"/>
    <w:rsid w:val="00683323"/>
    <w:rsid w:val="0068414F"/>
    <w:rsid w:val="006849E2"/>
    <w:rsid w:val="00684DB0"/>
    <w:rsid w:val="00686A25"/>
    <w:rsid w:val="00686B1E"/>
    <w:rsid w:val="00686B86"/>
    <w:rsid w:val="00687098"/>
    <w:rsid w:val="00687880"/>
    <w:rsid w:val="00687A69"/>
    <w:rsid w:val="00687D69"/>
    <w:rsid w:val="00690034"/>
    <w:rsid w:val="00690317"/>
    <w:rsid w:val="006908DD"/>
    <w:rsid w:val="00691393"/>
    <w:rsid w:val="00693416"/>
    <w:rsid w:val="00693C55"/>
    <w:rsid w:val="006941CA"/>
    <w:rsid w:val="0069544A"/>
    <w:rsid w:val="0069704E"/>
    <w:rsid w:val="00697395"/>
    <w:rsid w:val="006A1375"/>
    <w:rsid w:val="006A15F4"/>
    <w:rsid w:val="006A34AE"/>
    <w:rsid w:val="006A3F46"/>
    <w:rsid w:val="006A4B38"/>
    <w:rsid w:val="006A5A2F"/>
    <w:rsid w:val="006A743A"/>
    <w:rsid w:val="006A7C6B"/>
    <w:rsid w:val="006B2014"/>
    <w:rsid w:val="006B231D"/>
    <w:rsid w:val="006B231E"/>
    <w:rsid w:val="006B2417"/>
    <w:rsid w:val="006B28BA"/>
    <w:rsid w:val="006B2922"/>
    <w:rsid w:val="006B324D"/>
    <w:rsid w:val="006B3348"/>
    <w:rsid w:val="006B34E5"/>
    <w:rsid w:val="006B44E6"/>
    <w:rsid w:val="006B4A8A"/>
    <w:rsid w:val="006B52F7"/>
    <w:rsid w:val="006B5EE0"/>
    <w:rsid w:val="006B6FB9"/>
    <w:rsid w:val="006C041F"/>
    <w:rsid w:val="006C052A"/>
    <w:rsid w:val="006C0DAB"/>
    <w:rsid w:val="006C0F98"/>
    <w:rsid w:val="006C20ED"/>
    <w:rsid w:val="006C29D5"/>
    <w:rsid w:val="006C2AC5"/>
    <w:rsid w:val="006C34C1"/>
    <w:rsid w:val="006C36C9"/>
    <w:rsid w:val="006C3FEC"/>
    <w:rsid w:val="006C56C7"/>
    <w:rsid w:val="006C6799"/>
    <w:rsid w:val="006C776D"/>
    <w:rsid w:val="006D004E"/>
    <w:rsid w:val="006D0E4C"/>
    <w:rsid w:val="006D244C"/>
    <w:rsid w:val="006D2BD8"/>
    <w:rsid w:val="006D391A"/>
    <w:rsid w:val="006D398E"/>
    <w:rsid w:val="006D3C66"/>
    <w:rsid w:val="006D41A7"/>
    <w:rsid w:val="006D46EF"/>
    <w:rsid w:val="006D54BF"/>
    <w:rsid w:val="006D57B0"/>
    <w:rsid w:val="006D62E3"/>
    <w:rsid w:val="006D640A"/>
    <w:rsid w:val="006D6534"/>
    <w:rsid w:val="006D7576"/>
    <w:rsid w:val="006D7633"/>
    <w:rsid w:val="006D767C"/>
    <w:rsid w:val="006D7FDB"/>
    <w:rsid w:val="006E03CE"/>
    <w:rsid w:val="006E0461"/>
    <w:rsid w:val="006E0799"/>
    <w:rsid w:val="006E239A"/>
    <w:rsid w:val="006E30CD"/>
    <w:rsid w:val="006E356D"/>
    <w:rsid w:val="006E413B"/>
    <w:rsid w:val="006E4EAA"/>
    <w:rsid w:val="006E5834"/>
    <w:rsid w:val="006E696F"/>
    <w:rsid w:val="006E73F1"/>
    <w:rsid w:val="006E7AF2"/>
    <w:rsid w:val="006E7D69"/>
    <w:rsid w:val="006F0A0F"/>
    <w:rsid w:val="006F0A5D"/>
    <w:rsid w:val="006F1AED"/>
    <w:rsid w:val="006F1BFD"/>
    <w:rsid w:val="006F1D24"/>
    <w:rsid w:val="006F25F0"/>
    <w:rsid w:val="006F3D25"/>
    <w:rsid w:val="006F4376"/>
    <w:rsid w:val="006F44B2"/>
    <w:rsid w:val="006F5F11"/>
    <w:rsid w:val="006F65D0"/>
    <w:rsid w:val="006F74A8"/>
    <w:rsid w:val="0070115D"/>
    <w:rsid w:val="00701770"/>
    <w:rsid w:val="00701FB5"/>
    <w:rsid w:val="00702A9F"/>
    <w:rsid w:val="00702C9B"/>
    <w:rsid w:val="00702FD3"/>
    <w:rsid w:val="007052D8"/>
    <w:rsid w:val="00705F36"/>
    <w:rsid w:val="00707AED"/>
    <w:rsid w:val="00707B02"/>
    <w:rsid w:val="00710AB7"/>
    <w:rsid w:val="00710C13"/>
    <w:rsid w:val="00710D98"/>
    <w:rsid w:val="0071110B"/>
    <w:rsid w:val="0071171C"/>
    <w:rsid w:val="007117ED"/>
    <w:rsid w:val="00711B1A"/>
    <w:rsid w:val="00711C74"/>
    <w:rsid w:val="00712657"/>
    <w:rsid w:val="00712B94"/>
    <w:rsid w:val="00713229"/>
    <w:rsid w:val="007132EE"/>
    <w:rsid w:val="00713761"/>
    <w:rsid w:val="007139FC"/>
    <w:rsid w:val="00713B55"/>
    <w:rsid w:val="00714A45"/>
    <w:rsid w:val="00714A77"/>
    <w:rsid w:val="00716E6F"/>
    <w:rsid w:val="00717097"/>
    <w:rsid w:val="0072054D"/>
    <w:rsid w:val="007206D0"/>
    <w:rsid w:val="00720CB2"/>
    <w:rsid w:val="00721059"/>
    <w:rsid w:val="00721911"/>
    <w:rsid w:val="0072191E"/>
    <w:rsid w:val="00721D8E"/>
    <w:rsid w:val="00721F2C"/>
    <w:rsid w:val="00722E72"/>
    <w:rsid w:val="00723AD9"/>
    <w:rsid w:val="0072426E"/>
    <w:rsid w:val="007252F5"/>
    <w:rsid w:val="00725690"/>
    <w:rsid w:val="00725A27"/>
    <w:rsid w:val="00725F43"/>
    <w:rsid w:val="007270A5"/>
    <w:rsid w:val="007305A4"/>
    <w:rsid w:val="00730765"/>
    <w:rsid w:val="00731422"/>
    <w:rsid w:val="007316EC"/>
    <w:rsid w:val="0073209F"/>
    <w:rsid w:val="007320E2"/>
    <w:rsid w:val="00732AF7"/>
    <w:rsid w:val="00732B2C"/>
    <w:rsid w:val="00732D61"/>
    <w:rsid w:val="00732EE8"/>
    <w:rsid w:val="00733C69"/>
    <w:rsid w:val="00734605"/>
    <w:rsid w:val="00734B01"/>
    <w:rsid w:val="00734B51"/>
    <w:rsid w:val="00734B9C"/>
    <w:rsid w:val="00734D6B"/>
    <w:rsid w:val="0073633C"/>
    <w:rsid w:val="00736C40"/>
    <w:rsid w:val="00736C54"/>
    <w:rsid w:val="00737500"/>
    <w:rsid w:val="00737564"/>
    <w:rsid w:val="0073799C"/>
    <w:rsid w:val="007379AE"/>
    <w:rsid w:val="0074095E"/>
    <w:rsid w:val="00741324"/>
    <w:rsid w:val="007424C3"/>
    <w:rsid w:val="00742AEC"/>
    <w:rsid w:val="00742D34"/>
    <w:rsid w:val="007446CA"/>
    <w:rsid w:val="007446EC"/>
    <w:rsid w:val="0074483B"/>
    <w:rsid w:val="00745510"/>
    <w:rsid w:val="007457A1"/>
    <w:rsid w:val="0074618E"/>
    <w:rsid w:val="0074620C"/>
    <w:rsid w:val="007501D8"/>
    <w:rsid w:val="00750403"/>
    <w:rsid w:val="00750971"/>
    <w:rsid w:val="00750D27"/>
    <w:rsid w:val="00750E03"/>
    <w:rsid w:val="00750F4B"/>
    <w:rsid w:val="007513DA"/>
    <w:rsid w:val="00753279"/>
    <w:rsid w:val="00753548"/>
    <w:rsid w:val="00753838"/>
    <w:rsid w:val="00753F44"/>
    <w:rsid w:val="00754AF7"/>
    <w:rsid w:val="007569D8"/>
    <w:rsid w:val="007576E0"/>
    <w:rsid w:val="00757D6D"/>
    <w:rsid w:val="007603FD"/>
    <w:rsid w:val="007608EB"/>
    <w:rsid w:val="00760BAD"/>
    <w:rsid w:val="007611F7"/>
    <w:rsid w:val="0076248D"/>
    <w:rsid w:val="0076281F"/>
    <w:rsid w:val="00763FF1"/>
    <w:rsid w:val="00764669"/>
    <w:rsid w:val="007654C0"/>
    <w:rsid w:val="00765CA3"/>
    <w:rsid w:val="00765E87"/>
    <w:rsid w:val="007664BD"/>
    <w:rsid w:val="00766A98"/>
    <w:rsid w:val="007671AA"/>
    <w:rsid w:val="007676F5"/>
    <w:rsid w:val="00770649"/>
    <w:rsid w:val="00770926"/>
    <w:rsid w:val="00770B66"/>
    <w:rsid w:val="00771854"/>
    <w:rsid w:val="00771C1E"/>
    <w:rsid w:val="007737B1"/>
    <w:rsid w:val="00773A9C"/>
    <w:rsid w:val="00773DDD"/>
    <w:rsid w:val="00773F0F"/>
    <w:rsid w:val="007741FE"/>
    <w:rsid w:val="0077427D"/>
    <w:rsid w:val="00775626"/>
    <w:rsid w:val="007761CD"/>
    <w:rsid w:val="007766B7"/>
    <w:rsid w:val="00776AA8"/>
    <w:rsid w:val="00777985"/>
    <w:rsid w:val="00780902"/>
    <w:rsid w:val="0078141B"/>
    <w:rsid w:val="00781B75"/>
    <w:rsid w:val="00782174"/>
    <w:rsid w:val="00782CDD"/>
    <w:rsid w:val="00783044"/>
    <w:rsid w:val="00783F07"/>
    <w:rsid w:val="0078524D"/>
    <w:rsid w:val="00787097"/>
    <w:rsid w:val="00787163"/>
    <w:rsid w:val="007873CC"/>
    <w:rsid w:val="00787B87"/>
    <w:rsid w:val="00787EC5"/>
    <w:rsid w:val="007900AB"/>
    <w:rsid w:val="007909F0"/>
    <w:rsid w:val="00791501"/>
    <w:rsid w:val="007918A9"/>
    <w:rsid w:val="00792432"/>
    <w:rsid w:val="00792548"/>
    <w:rsid w:val="00793CA3"/>
    <w:rsid w:val="00793E76"/>
    <w:rsid w:val="007942E6"/>
    <w:rsid w:val="007945A9"/>
    <w:rsid w:val="00794E96"/>
    <w:rsid w:val="00795615"/>
    <w:rsid w:val="00795A08"/>
    <w:rsid w:val="00796341"/>
    <w:rsid w:val="00796E09"/>
    <w:rsid w:val="007975FD"/>
    <w:rsid w:val="00797684"/>
    <w:rsid w:val="00797A2C"/>
    <w:rsid w:val="007A055D"/>
    <w:rsid w:val="007A0997"/>
    <w:rsid w:val="007A1074"/>
    <w:rsid w:val="007A23DA"/>
    <w:rsid w:val="007A24D3"/>
    <w:rsid w:val="007A2D6C"/>
    <w:rsid w:val="007A2F35"/>
    <w:rsid w:val="007A3028"/>
    <w:rsid w:val="007A355E"/>
    <w:rsid w:val="007A3C09"/>
    <w:rsid w:val="007A41EF"/>
    <w:rsid w:val="007A4F47"/>
    <w:rsid w:val="007A60FD"/>
    <w:rsid w:val="007A6908"/>
    <w:rsid w:val="007A6E98"/>
    <w:rsid w:val="007A7088"/>
    <w:rsid w:val="007A7638"/>
    <w:rsid w:val="007A7B4C"/>
    <w:rsid w:val="007B0D70"/>
    <w:rsid w:val="007B16E0"/>
    <w:rsid w:val="007B193F"/>
    <w:rsid w:val="007B2068"/>
    <w:rsid w:val="007B24B5"/>
    <w:rsid w:val="007B26F1"/>
    <w:rsid w:val="007B2BE4"/>
    <w:rsid w:val="007B34E3"/>
    <w:rsid w:val="007B4ACC"/>
    <w:rsid w:val="007B5A94"/>
    <w:rsid w:val="007B6006"/>
    <w:rsid w:val="007B6981"/>
    <w:rsid w:val="007B69C9"/>
    <w:rsid w:val="007B6E4C"/>
    <w:rsid w:val="007B6F13"/>
    <w:rsid w:val="007B701D"/>
    <w:rsid w:val="007B7606"/>
    <w:rsid w:val="007B7F3A"/>
    <w:rsid w:val="007C0E11"/>
    <w:rsid w:val="007C13A8"/>
    <w:rsid w:val="007C1C17"/>
    <w:rsid w:val="007C206C"/>
    <w:rsid w:val="007C34DC"/>
    <w:rsid w:val="007C35C7"/>
    <w:rsid w:val="007C3FD5"/>
    <w:rsid w:val="007C66AE"/>
    <w:rsid w:val="007C688B"/>
    <w:rsid w:val="007C6E59"/>
    <w:rsid w:val="007C70F6"/>
    <w:rsid w:val="007C72EE"/>
    <w:rsid w:val="007C77F7"/>
    <w:rsid w:val="007D181B"/>
    <w:rsid w:val="007D203F"/>
    <w:rsid w:val="007D22C7"/>
    <w:rsid w:val="007D22D8"/>
    <w:rsid w:val="007D2D4B"/>
    <w:rsid w:val="007D3E47"/>
    <w:rsid w:val="007D4010"/>
    <w:rsid w:val="007D45D6"/>
    <w:rsid w:val="007D5BA4"/>
    <w:rsid w:val="007D70B9"/>
    <w:rsid w:val="007D7306"/>
    <w:rsid w:val="007D7C36"/>
    <w:rsid w:val="007E07D3"/>
    <w:rsid w:val="007E1A7A"/>
    <w:rsid w:val="007E2583"/>
    <w:rsid w:val="007E35C7"/>
    <w:rsid w:val="007E389F"/>
    <w:rsid w:val="007E3C95"/>
    <w:rsid w:val="007E400F"/>
    <w:rsid w:val="007E408D"/>
    <w:rsid w:val="007E434A"/>
    <w:rsid w:val="007E4E38"/>
    <w:rsid w:val="007E5C71"/>
    <w:rsid w:val="007E5CED"/>
    <w:rsid w:val="007E5D73"/>
    <w:rsid w:val="007E641F"/>
    <w:rsid w:val="007E67DB"/>
    <w:rsid w:val="007E76BC"/>
    <w:rsid w:val="007E77BF"/>
    <w:rsid w:val="007E7CB6"/>
    <w:rsid w:val="007F0BBB"/>
    <w:rsid w:val="007F0C25"/>
    <w:rsid w:val="007F1A32"/>
    <w:rsid w:val="007F1F07"/>
    <w:rsid w:val="007F2188"/>
    <w:rsid w:val="007F26A6"/>
    <w:rsid w:val="007F311F"/>
    <w:rsid w:val="007F4105"/>
    <w:rsid w:val="007F46D7"/>
    <w:rsid w:val="007F4B3B"/>
    <w:rsid w:val="007F586E"/>
    <w:rsid w:val="007F58BF"/>
    <w:rsid w:val="007F6AB1"/>
    <w:rsid w:val="007F6BE5"/>
    <w:rsid w:val="008014C4"/>
    <w:rsid w:val="00801B6E"/>
    <w:rsid w:val="00801EFC"/>
    <w:rsid w:val="00802A8F"/>
    <w:rsid w:val="008044FB"/>
    <w:rsid w:val="008047D7"/>
    <w:rsid w:val="0080593D"/>
    <w:rsid w:val="008060D9"/>
    <w:rsid w:val="0080646B"/>
    <w:rsid w:val="00806CDD"/>
    <w:rsid w:val="00807845"/>
    <w:rsid w:val="00807F73"/>
    <w:rsid w:val="008106E2"/>
    <w:rsid w:val="00810980"/>
    <w:rsid w:val="00810ECB"/>
    <w:rsid w:val="00811AAA"/>
    <w:rsid w:val="008120AE"/>
    <w:rsid w:val="00812AC1"/>
    <w:rsid w:val="00812AF5"/>
    <w:rsid w:val="0081357B"/>
    <w:rsid w:val="00814151"/>
    <w:rsid w:val="00814C7D"/>
    <w:rsid w:val="00814DAC"/>
    <w:rsid w:val="008150F7"/>
    <w:rsid w:val="008151A9"/>
    <w:rsid w:val="00815C7F"/>
    <w:rsid w:val="00815DE2"/>
    <w:rsid w:val="0081669E"/>
    <w:rsid w:val="008166C2"/>
    <w:rsid w:val="008169BD"/>
    <w:rsid w:val="00816F9C"/>
    <w:rsid w:val="008172AA"/>
    <w:rsid w:val="0081740E"/>
    <w:rsid w:val="008201A3"/>
    <w:rsid w:val="008201C1"/>
    <w:rsid w:val="00821366"/>
    <w:rsid w:val="00821F4B"/>
    <w:rsid w:val="00822095"/>
    <w:rsid w:val="00822654"/>
    <w:rsid w:val="00822EFE"/>
    <w:rsid w:val="008245EE"/>
    <w:rsid w:val="0082473D"/>
    <w:rsid w:val="00824A22"/>
    <w:rsid w:val="00824C3F"/>
    <w:rsid w:val="008254C0"/>
    <w:rsid w:val="00826323"/>
    <w:rsid w:val="008267E8"/>
    <w:rsid w:val="00827041"/>
    <w:rsid w:val="008278DB"/>
    <w:rsid w:val="00827974"/>
    <w:rsid w:val="00827C30"/>
    <w:rsid w:val="00827DFC"/>
    <w:rsid w:val="0083012F"/>
    <w:rsid w:val="008318C6"/>
    <w:rsid w:val="00833520"/>
    <w:rsid w:val="00833F49"/>
    <w:rsid w:val="0083419E"/>
    <w:rsid w:val="00834FEE"/>
    <w:rsid w:val="00835066"/>
    <w:rsid w:val="0083584D"/>
    <w:rsid w:val="00836096"/>
    <w:rsid w:val="008361FB"/>
    <w:rsid w:val="00836439"/>
    <w:rsid w:val="00836E3E"/>
    <w:rsid w:val="008412FF"/>
    <w:rsid w:val="00841C06"/>
    <w:rsid w:val="008426CA"/>
    <w:rsid w:val="008430E4"/>
    <w:rsid w:val="008450DB"/>
    <w:rsid w:val="008450E9"/>
    <w:rsid w:val="0084512C"/>
    <w:rsid w:val="00845913"/>
    <w:rsid w:val="008466E4"/>
    <w:rsid w:val="00846E73"/>
    <w:rsid w:val="00847085"/>
    <w:rsid w:val="008477AF"/>
    <w:rsid w:val="008477BA"/>
    <w:rsid w:val="00847E14"/>
    <w:rsid w:val="00850A1D"/>
    <w:rsid w:val="00850CB9"/>
    <w:rsid w:val="00851185"/>
    <w:rsid w:val="008519FB"/>
    <w:rsid w:val="00852198"/>
    <w:rsid w:val="0085231D"/>
    <w:rsid w:val="008523F8"/>
    <w:rsid w:val="00852AC0"/>
    <w:rsid w:val="00852AE8"/>
    <w:rsid w:val="00853A0D"/>
    <w:rsid w:val="00853DE2"/>
    <w:rsid w:val="00854195"/>
    <w:rsid w:val="00854B2A"/>
    <w:rsid w:val="00854C25"/>
    <w:rsid w:val="00855581"/>
    <w:rsid w:val="0085558B"/>
    <w:rsid w:val="00855FED"/>
    <w:rsid w:val="00856E2F"/>
    <w:rsid w:val="0085748B"/>
    <w:rsid w:val="00857572"/>
    <w:rsid w:val="008604B2"/>
    <w:rsid w:val="00860522"/>
    <w:rsid w:val="008606BA"/>
    <w:rsid w:val="00861679"/>
    <w:rsid w:val="00862BB0"/>
    <w:rsid w:val="00863C18"/>
    <w:rsid w:val="008649A4"/>
    <w:rsid w:val="00864ACA"/>
    <w:rsid w:val="0086517E"/>
    <w:rsid w:val="00865CEF"/>
    <w:rsid w:val="008660DE"/>
    <w:rsid w:val="00866B54"/>
    <w:rsid w:val="008672F3"/>
    <w:rsid w:val="00867F4F"/>
    <w:rsid w:val="0087031F"/>
    <w:rsid w:val="00870BD2"/>
    <w:rsid w:val="00870E1B"/>
    <w:rsid w:val="00871764"/>
    <w:rsid w:val="00871B2B"/>
    <w:rsid w:val="00871FA5"/>
    <w:rsid w:val="008726D0"/>
    <w:rsid w:val="00872E9B"/>
    <w:rsid w:val="008734CD"/>
    <w:rsid w:val="008738AD"/>
    <w:rsid w:val="0087520C"/>
    <w:rsid w:val="00875671"/>
    <w:rsid w:val="0087669A"/>
    <w:rsid w:val="00876D1F"/>
    <w:rsid w:val="00876DD6"/>
    <w:rsid w:val="0087774E"/>
    <w:rsid w:val="00877C51"/>
    <w:rsid w:val="00877DEB"/>
    <w:rsid w:val="008806F0"/>
    <w:rsid w:val="00880D74"/>
    <w:rsid w:val="008830DD"/>
    <w:rsid w:val="008842F1"/>
    <w:rsid w:val="008851DE"/>
    <w:rsid w:val="00885376"/>
    <w:rsid w:val="0088585F"/>
    <w:rsid w:val="00885D4D"/>
    <w:rsid w:val="00885FE1"/>
    <w:rsid w:val="008860C3"/>
    <w:rsid w:val="008866FB"/>
    <w:rsid w:val="0088725B"/>
    <w:rsid w:val="00890DF8"/>
    <w:rsid w:val="0089116E"/>
    <w:rsid w:val="0089201B"/>
    <w:rsid w:val="00893069"/>
    <w:rsid w:val="00893412"/>
    <w:rsid w:val="008934AE"/>
    <w:rsid w:val="00893574"/>
    <w:rsid w:val="00894477"/>
    <w:rsid w:val="00894553"/>
    <w:rsid w:val="00894876"/>
    <w:rsid w:val="00896C72"/>
    <w:rsid w:val="00896C9D"/>
    <w:rsid w:val="00897D93"/>
    <w:rsid w:val="008A0326"/>
    <w:rsid w:val="008A0CD2"/>
    <w:rsid w:val="008A102E"/>
    <w:rsid w:val="008A235B"/>
    <w:rsid w:val="008A3012"/>
    <w:rsid w:val="008A30AD"/>
    <w:rsid w:val="008A30E6"/>
    <w:rsid w:val="008A311D"/>
    <w:rsid w:val="008A31F6"/>
    <w:rsid w:val="008A37EF"/>
    <w:rsid w:val="008A3938"/>
    <w:rsid w:val="008A3C3A"/>
    <w:rsid w:val="008A3E7F"/>
    <w:rsid w:val="008A6D7F"/>
    <w:rsid w:val="008A7022"/>
    <w:rsid w:val="008A7174"/>
    <w:rsid w:val="008A7929"/>
    <w:rsid w:val="008A7D4F"/>
    <w:rsid w:val="008B0038"/>
    <w:rsid w:val="008B0104"/>
    <w:rsid w:val="008B05AB"/>
    <w:rsid w:val="008B0729"/>
    <w:rsid w:val="008B12A2"/>
    <w:rsid w:val="008B13C8"/>
    <w:rsid w:val="008B1A5A"/>
    <w:rsid w:val="008B1B5E"/>
    <w:rsid w:val="008B2346"/>
    <w:rsid w:val="008B2B26"/>
    <w:rsid w:val="008B42DC"/>
    <w:rsid w:val="008B43D0"/>
    <w:rsid w:val="008B4757"/>
    <w:rsid w:val="008B4C59"/>
    <w:rsid w:val="008B5A41"/>
    <w:rsid w:val="008B6F07"/>
    <w:rsid w:val="008B75A8"/>
    <w:rsid w:val="008B7AA3"/>
    <w:rsid w:val="008B7DE8"/>
    <w:rsid w:val="008C0220"/>
    <w:rsid w:val="008C1238"/>
    <w:rsid w:val="008C19F0"/>
    <w:rsid w:val="008C1B14"/>
    <w:rsid w:val="008C1BFD"/>
    <w:rsid w:val="008C2BF9"/>
    <w:rsid w:val="008C3172"/>
    <w:rsid w:val="008C34A4"/>
    <w:rsid w:val="008C34B0"/>
    <w:rsid w:val="008C3C09"/>
    <w:rsid w:val="008C3DB8"/>
    <w:rsid w:val="008C3F82"/>
    <w:rsid w:val="008C406B"/>
    <w:rsid w:val="008C424C"/>
    <w:rsid w:val="008C460D"/>
    <w:rsid w:val="008C59D3"/>
    <w:rsid w:val="008C635F"/>
    <w:rsid w:val="008C7C2C"/>
    <w:rsid w:val="008D1A79"/>
    <w:rsid w:val="008D1DAD"/>
    <w:rsid w:val="008D21CC"/>
    <w:rsid w:val="008D2C7C"/>
    <w:rsid w:val="008D31A4"/>
    <w:rsid w:val="008D4D20"/>
    <w:rsid w:val="008D4E98"/>
    <w:rsid w:val="008D4F86"/>
    <w:rsid w:val="008D564D"/>
    <w:rsid w:val="008D6972"/>
    <w:rsid w:val="008D7DB5"/>
    <w:rsid w:val="008E0199"/>
    <w:rsid w:val="008E0B2F"/>
    <w:rsid w:val="008E1220"/>
    <w:rsid w:val="008E12ED"/>
    <w:rsid w:val="008E1413"/>
    <w:rsid w:val="008E1ABE"/>
    <w:rsid w:val="008E28E8"/>
    <w:rsid w:val="008E32FC"/>
    <w:rsid w:val="008E39CA"/>
    <w:rsid w:val="008E5AF1"/>
    <w:rsid w:val="008E6881"/>
    <w:rsid w:val="008E6DCB"/>
    <w:rsid w:val="008E75C5"/>
    <w:rsid w:val="008E7E48"/>
    <w:rsid w:val="008F0691"/>
    <w:rsid w:val="008F126A"/>
    <w:rsid w:val="008F1A27"/>
    <w:rsid w:val="008F2271"/>
    <w:rsid w:val="008F34AF"/>
    <w:rsid w:val="008F5212"/>
    <w:rsid w:val="008F6EC0"/>
    <w:rsid w:val="008F7139"/>
    <w:rsid w:val="008F77A4"/>
    <w:rsid w:val="00900928"/>
    <w:rsid w:val="009019F7"/>
    <w:rsid w:val="00901F30"/>
    <w:rsid w:val="00902CE3"/>
    <w:rsid w:val="00902D28"/>
    <w:rsid w:val="00902ED9"/>
    <w:rsid w:val="00903C6F"/>
    <w:rsid w:val="009044BA"/>
    <w:rsid w:val="00904788"/>
    <w:rsid w:val="009049D1"/>
    <w:rsid w:val="009063BC"/>
    <w:rsid w:val="00906522"/>
    <w:rsid w:val="00906774"/>
    <w:rsid w:val="00906A2E"/>
    <w:rsid w:val="00906E08"/>
    <w:rsid w:val="00910080"/>
    <w:rsid w:val="0091031D"/>
    <w:rsid w:val="00911EF4"/>
    <w:rsid w:val="009130F8"/>
    <w:rsid w:val="0091370A"/>
    <w:rsid w:val="00915233"/>
    <w:rsid w:val="0091542A"/>
    <w:rsid w:val="00915524"/>
    <w:rsid w:val="00915552"/>
    <w:rsid w:val="00915553"/>
    <w:rsid w:val="009156C3"/>
    <w:rsid w:val="009166E6"/>
    <w:rsid w:val="009168D6"/>
    <w:rsid w:val="00916B8D"/>
    <w:rsid w:val="00917122"/>
    <w:rsid w:val="00917565"/>
    <w:rsid w:val="0091763B"/>
    <w:rsid w:val="00917C59"/>
    <w:rsid w:val="00920061"/>
    <w:rsid w:val="009213BE"/>
    <w:rsid w:val="0092346D"/>
    <w:rsid w:val="00924992"/>
    <w:rsid w:val="00924C3B"/>
    <w:rsid w:val="00925CC8"/>
    <w:rsid w:val="00926D90"/>
    <w:rsid w:val="009272E4"/>
    <w:rsid w:val="00927950"/>
    <w:rsid w:val="00927C20"/>
    <w:rsid w:val="00930004"/>
    <w:rsid w:val="00930D0E"/>
    <w:rsid w:val="00930E50"/>
    <w:rsid w:val="00930E54"/>
    <w:rsid w:val="009325A1"/>
    <w:rsid w:val="0093369E"/>
    <w:rsid w:val="00934233"/>
    <w:rsid w:val="00934E0D"/>
    <w:rsid w:val="009352B4"/>
    <w:rsid w:val="0093542F"/>
    <w:rsid w:val="00935E82"/>
    <w:rsid w:val="00935EF1"/>
    <w:rsid w:val="0093650B"/>
    <w:rsid w:val="00936B42"/>
    <w:rsid w:val="00936CA7"/>
    <w:rsid w:val="00937AF9"/>
    <w:rsid w:val="00937F03"/>
    <w:rsid w:val="00940FAC"/>
    <w:rsid w:val="00942484"/>
    <w:rsid w:val="009445B8"/>
    <w:rsid w:val="009445FC"/>
    <w:rsid w:val="00944667"/>
    <w:rsid w:val="00944B03"/>
    <w:rsid w:val="00944DFF"/>
    <w:rsid w:val="0094703D"/>
    <w:rsid w:val="009503B2"/>
    <w:rsid w:val="0095081A"/>
    <w:rsid w:val="00950A43"/>
    <w:rsid w:val="00951003"/>
    <w:rsid w:val="009513D9"/>
    <w:rsid w:val="0095197F"/>
    <w:rsid w:val="00951981"/>
    <w:rsid w:val="00952CC6"/>
    <w:rsid w:val="00952FD4"/>
    <w:rsid w:val="00953077"/>
    <w:rsid w:val="009534C0"/>
    <w:rsid w:val="00953AA8"/>
    <w:rsid w:val="00953CDD"/>
    <w:rsid w:val="00956192"/>
    <w:rsid w:val="00956EDB"/>
    <w:rsid w:val="00956F2D"/>
    <w:rsid w:val="00957288"/>
    <w:rsid w:val="009608FB"/>
    <w:rsid w:val="00960960"/>
    <w:rsid w:val="00960A90"/>
    <w:rsid w:val="00961531"/>
    <w:rsid w:val="009619B7"/>
    <w:rsid w:val="00962346"/>
    <w:rsid w:val="00962428"/>
    <w:rsid w:val="009627A0"/>
    <w:rsid w:val="00962C60"/>
    <w:rsid w:val="00962D01"/>
    <w:rsid w:val="009636AC"/>
    <w:rsid w:val="00965BCE"/>
    <w:rsid w:val="009661B6"/>
    <w:rsid w:val="00966354"/>
    <w:rsid w:val="009669FF"/>
    <w:rsid w:val="00967F33"/>
    <w:rsid w:val="009710C7"/>
    <w:rsid w:val="00971235"/>
    <w:rsid w:val="00971A60"/>
    <w:rsid w:val="00972028"/>
    <w:rsid w:val="00972486"/>
    <w:rsid w:val="00972FA7"/>
    <w:rsid w:val="00973D12"/>
    <w:rsid w:val="00974794"/>
    <w:rsid w:val="0097538C"/>
    <w:rsid w:val="0097624F"/>
    <w:rsid w:val="00976EB4"/>
    <w:rsid w:val="00977219"/>
    <w:rsid w:val="009775B3"/>
    <w:rsid w:val="00977970"/>
    <w:rsid w:val="00980075"/>
    <w:rsid w:val="00980E36"/>
    <w:rsid w:val="00981456"/>
    <w:rsid w:val="00982134"/>
    <w:rsid w:val="00982805"/>
    <w:rsid w:val="00983CEC"/>
    <w:rsid w:val="009844C1"/>
    <w:rsid w:val="00984500"/>
    <w:rsid w:val="0098598E"/>
    <w:rsid w:val="0098611B"/>
    <w:rsid w:val="00986805"/>
    <w:rsid w:val="00986C49"/>
    <w:rsid w:val="009875B2"/>
    <w:rsid w:val="009877C2"/>
    <w:rsid w:val="0099024F"/>
    <w:rsid w:val="009908F4"/>
    <w:rsid w:val="00991D17"/>
    <w:rsid w:val="009923E4"/>
    <w:rsid w:val="009931FD"/>
    <w:rsid w:val="0099373F"/>
    <w:rsid w:val="0099397B"/>
    <w:rsid w:val="00994E1B"/>
    <w:rsid w:val="0099502F"/>
    <w:rsid w:val="00995115"/>
    <w:rsid w:val="00995639"/>
    <w:rsid w:val="009963A2"/>
    <w:rsid w:val="00996626"/>
    <w:rsid w:val="0099783D"/>
    <w:rsid w:val="009A0292"/>
    <w:rsid w:val="009A1875"/>
    <w:rsid w:val="009A2621"/>
    <w:rsid w:val="009A399F"/>
    <w:rsid w:val="009A3B1C"/>
    <w:rsid w:val="009A3B8E"/>
    <w:rsid w:val="009A3E90"/>
    <w:rsid w:val="009A476B"/>
    <w:rsid w:val="009A60C3"/>
    <w:rsid w:val="009A616D"/>
    <w:rsid w:val="009A6B12"/>
    <w:rsid w:val="009A7DB4"/>
    <w:rsid w:val="009A7FDB"/>
    <w:rsid w:val="009B000D"/>
    <w:rsid w:val="009B078C"/>
    <w:rsid w:val="009B1D1C"/>
    <w:rsid w:val="009B1D6A"/>
    <w:rsid w:val="009B1E30"/>
    <w:rsid w:val="009B1E95"/>
    <w:rsid w:val="009B286C"/>
    <w:rsid w:val="009B302B"/>
    <w:rsid w:val="009B3C8C"/>
    <w:rsid w:val="009B420F"/>
    <w:rsid w:val="009B4BF5"/>
    <w:rsid w:val="009B58E1"/>
    <w:rsid w:val="009B59A4"/>
    <w:rsid w:val="009B5D1E"/>
    <w:rsid w:val="009B5DD9"/>
    <w:rsid w:val="009B6BC1"/>
    <w:rsid w:val="009B76D9"/>
    <w:rsid w:val="009C03A7"/>
    <w:rsid w:val="009C06DF"/>
    <w:rsid w:val="009C0B39"/>
    <w:rsid w:val="009C0D18"/>
    <w:rsid w:val="009C0EEC"/>
    <w:rsid w:val="009C17B8"/>
    <w:rsid w:val="009C1AA6"/>
    <w:rsid w:val="009C2859"/>
    <w:rsid w:val="009C32D4"/>
    <w:rsid w:val="009C3344"/>
    <w:rsid w:val="009C4462"/>
    <w:rsid w:val="009C49AD"/>
    <w:rsid w:val="009C4C96"/>
    <w:rsid w:val="009C4DD2"/>
    <w:rsid w:val="009C5017"/>
    <w:rsid w:val="009C5302"/>
    <w:rsid w:val="009C551F"/>
    <w:rsid w:val="009C61AB"/>
    <w:rsid w:val="009C6B18"/>
    <w:rsid w:val="009C7B44"/>
    <w:rsid w:val="009C7B79"/>
    <w:rsid w:val="009D0359"/>
    <w:rsid w:val="009D13D7"/>
    <w:rsid w:val="009D29A4"/>
    <w:rsid w:val="009D3F47"/>
    <w:rsid w:val="009D4B51"/>
    <w:rsid w:val="009D4B78"/>
    <w:rsid w:val="009D7893"/>
    <w:rsid w:val="009D7A2B"/>
    <w:rsid w:val="009E005E"/>
    <w:rsid w:val="009E00C1"/>
    <w:rsid w:val="009E0454"/>
    <w:rsid w:val="009E0628"/>
    <w:rsid w:val="009E1333"/>
    <w:rsid w:val="009E1391"/>
    <w:rsid w:val="009E3003"/>
    <w:rsid w:val="009E3160"/>
    <w:rsid w:val="009E317D"/>
    <w:rsid w:val="009E3CB8"/>
    <w:rsid w:val="009E3F53"/>
    <w:rsid w:val="009E52DA"/>
    <w:rsid w:val="009E5B26"/>
    <w:rsid w:val="009E68E4"/>
    <w:rsid w:val="009E7158"/>
    <w:rsid w:val="009E7D56"/>
    <w:rsid w:val="009F0503"/>
    <w:rsid w:val="009F13B3"/>
    <w:rsid w:val="009F1D61"/>
    <w:rsid w:val="009F26AD"/>
    <w:rsid w:val="009F34B7"/>
    <w:rsid w:val="009F3A53"/>
    <w:rsid w:val="009F3C74"/>
    <w:rsid w:val="009F4101"/>
    <w:rsid w:val="009F4435"/>
    <w:rsid w:val="009F553B"/>
    <w:rsid w:val="009F58B5"/>
    <w:rsid w:val="009F5F6D"/>
    <w:rsid w:val="009F6002"/>
    <w:rsid w:val="009F64F5"/>
    <w:rsid w:val="009F6638"/>
    <w:rsid w:val="009F6D40"/>
    <w:rsid w:val="009F6EB1"/>
    <w:rsid w:val="009F7604"/>
    <w:rsid w:val="009F7C50"/>
    <w:rsid w:val="009F7F7A"/>
    <w:rsid w:val="00A00118"/>
    <w:rsid w:val="00A005C3"/>
    <w:rsid w:val="00A009F9"/>
    <w:rsid w:val="00A01561"/>
    <w:rsid w:val="00A01F91"/>
    <w:rsid w:val="00A021C4"/>
    <w:rsid w:val="00A028CA"/>
    <w:rsid w:val="00A02FA2"/>
    <w:rsid w:val="00A038C7"/>
    <w:rsid w:val="00A03A77"/>
    <w:rsid w:val="00A03D3E"/>
    <w:rsid w:val="00A03FC0"/>
    <w:rsid w:val="00A05338"/>
    <w:rsid w:val="00A05E21"/>
    <w:rsid w:val="00A0681A"/>
    <w:rsid w:val="00A06941"/>
    <w:rsid w:val="00A06990"/>
    <w:rsid w:val="00A06DA8"/>
    <w:rsid w:val="00A11200"/>
    <w:rsid w:val="00A11212"/>
    <w:rsid w:val="00A11D99"/>
    <w:rsid w:val="00A121C1"/>
    <w:rsid w:val="00A1253A"/>
    <w:rsid w:val="00A133D8"/>
    <w:rsid w:val="00A13782"/>
    <w:rsid w:val="00A138BA"/>
    <w:rsid w:val="00A13EA5"/>
    <w:rsid w:val="00A145D3"/>
    <w:rsid w:val="00A14718"/>
    <w:rsid w:val="00A14CE2"/>
    <w:rsid w:val="00A15F14"/>
    <w:rsid w:val="00A1637F"/>
    <w:rsid w:val="00A178DB"/>
    <w:rsid w:val="00A20D83"/>
    <w:rsid w:val="00A210AE"/>
    <w:rsid w:val="00A2194F"/>
    <w:rsid w:val="00A224E3"/>
    <w:rsid w:val="00A22793"/>
    <w:rsid w:val="00A228EA"/>
    <w:rsid w:val="00A23DB3"/>
    <w:rsid w:val="00A24113"/>
    <w:rsid w:val="00A247D6"/>
    <w:rsid w:val="00A25B54"/>
    <w:rsid w:val="00A26961"/>
    <w:rsid w:val="00A26E06"/>
    <w:rsid w:val="00A27D90"/>
    <w:rsid w:val="00A306EF"/>
    <w:rsid w:val="00A3125F"/>
    <w:rsid w:val="00A31883"/>
    <w:rsid w:val="00A31C77"/>
    <w:rsid w:val="00A32311"/>
    <w:rsid w:val="00A32526"/>
    <w:rsid w:val="00A32A4A"/>
    <w:rsid w:val="00A33FC7"/>
    <w:rsid w:val="00A34023"/>
    <w:rsid w:val="00A340E3"/>
    <w:rsid w:val="00A34769"/>
    <w:rsid w:val="00A36162"/>
    <w:rsid w:val="00A36C8C"/>
    <w:rsid w:val="00A377E4"/>
    <w:rsid w:val="00A37C56"/>
    <w:rsid w:val="00A40267"/>
    <w:rsid w:val="00A412E4"/>
    <w:rsid w:val="00A417E6"/>
    <w:rsid w:val="00A42441"/>
    <w:rsid w:val="00A42469"/>
    <w:rsid w:val="00A42A7D"/>
    <w:rsid w:val="00A42DFC"/>
    <w:rsid w:val="00A43C2E"/>
    <w:rsid w:val="00A43E8F"/>
    <w:rsid w:val="00A4410E"/>
    <w:rsid w:val="00A45EC0"/>
    <w:rsid w:val="00A47EA9"/>
    <w:rsid w:val="00A50354"/>
    <w:rsid w:val="00A50A97"/>
    <w:rsid w:val="00A50AC3"/>
    <w:rsid w:val="00A5149A"/>
    <w:rsid w:val="00A51A41"/>
    <w:rsid w:val="00A532F8"/>
    <w:rsid w:val="00A533DC"/>
    <w:rsid w:val="00A53A32"/>
    <w:rsid w:val="00A53E4D"/>
    <w:rsid w:val="00A5534F"/>
    <w:rsid w:val="00A5559F"/>
    <w:rsid w:val="00A55D3D"/>
    <w:rsid w:val="00A56600"/>
    <w:rsid w:val="00A5663F"/>
    <w:rsid w:val="00A60268"/>
    <w:rsid w:val="00A60471"/>
    <w:rsid w:val="00A611E5"/>
    <w:rsid w:val="00A6169D"/>
    <w:rsid w:val="00A61F9D"/>
    <w:rsid w:val="00A62538"/>
    <w:rsid w:val="00A626A2"/>
    <w:rsid w:val="00A6294F"/>
    <w:rsid w:val="00A62CA6"/>
    <w:rsid w:val="00A632DE"/>
    <w:rsid w:val="00A63EA2"/>
    <w:rsid w:val="00A6556E"/>
    <w:rsid w:val="00A65E40"/>
    <w:rsid w:val="00A6610A"/>
    <w:rsid w:val="00A676A4"/>
    <w:rsid w:val="00A67866"/>
    <w:rsid w:val="00A70027"/>
    <w:rsid w:val="00A701CB"/>
    <w:rsid w:val="00A701D1"/>
    <w:rsid w:val="00A70B8D"/>
    <w:rsid w:val="00A717AD"/>
    <w:rsid w:val="00A71F66"/>
    <w:rsid w:val="00A7253D"/>
    <w:rsid w:val="00A72C1E"/>
    <w:rsid w:val="00A735BD"/>
    <w:rsid w:val="00A73E9C"/>
    <w:rsid w:val="00A73F0C"/>
    <w:rsid w:val="00A74212"/>
    <w:rsid w:val="00A74CC9"/>
    <w:rsid w:val="00A74FC4"/>
    <w:rsid w:val="00A7541A"/>
    <w:rsid w:val="00A75733"/>
    <w:rsid w:val="00A7585D"/>
    <w:rsid w:val="00A75A1A"/>
    <w:rsid w:val="00A75E22"/>
    <w:rsid w:val="00A763E6"/>
    <w:rsid w:val="00A76623"/>
    <w:rsid w:val="00A76A82"/>
    <w:rsid w:val="00A76CC3"/>
    <w:rsid w:val="00A77C59"/>
    <w:rsid w:val="00A802CC"/>
    <w:rsid w:val="00A8052E"/>
    <w:rsid w:val="00A82DC3"/>
    <w:rsid w:val="00A83B6E"/>
    <w:rsid w:val="00A84355"/>
    <w:rsid w:val="00A84AE4"/>
    <w:rsid w:val="00A84DED"/>
    <w:rsid w:val="00A857CB"/>
    <w:rsid w:val="00A85B81"/>
    <w:rsid w:val="00A867F9"/>
    <w:rsid w:val="00A873BA"/>
    <w:rsid w:val="00A87438"/>
    <w:rsid w:val="00A900C4"/>
    <w:rsid w:val="00A907B7"/>
    <w:rsid w:val="00A90FA1"/>
    <w:rsid w:val="00A91011"/>
    <w:rsid w:val="00A9217F"/>
    <w:rsid w:val="00A92E53"/>
    <w:rsid w:val="00A92EB9"/>
    <w:rsid w:val="00A93B1F"/>
    <w:rsid w:val="00A94049"/>
    <w:rsid w:val="00A94414"/>
    <w:rsid w:val="00A94968"/>
    <w:rsid w:val="00A94D8E"/>
    <w:rsid w:val="00A95E60"/>
    <w:rsid w:val="00A971CD"/>
    <w:rsid w:val="00AA0012"/>
    <w:rsid w:val="00AA00A9"/>
    <w:rsid w:val="00AA2637"/>
    <w:rsid w:val="00AA2DF1"/>
    <w:rsid w:val="00AA3933"/>
    <w:rsid w:val="00AA3F38"/>
    <w:rsid w:val="00AA4456"/>
    <w:rsid w:val="00AA4DC5"/>
    <w:rsid w:val="00AA4F52"/>
    <w:rsid w:val="00AA620E"/>
    <w:rsid w:val="00AA626B"/>
    <w:rsid w:val="00AA65BE"/>
    <w:rsid w:val="00AA6A77"/>
    <w:rsid w:val="00AA779B"/>
    <w:rsid w:val="00AA79C9"/>
    <w:rsid w:val="00AA7CA9"/>
    <w:rsid w:val="00AB0067"/>
    <w:rsid w:val="00AB0334"/>
    <w:rsid w:val="00AB0614"/>
    <w:rsid w:val="00AB07B5"/>
    <w:rsid w:val="00AB0FDC"/>
    <w:rsid w:val="00AB4181"/>
    <w:rsid w:val="00AB4A67"/>
    <w:rsid w:val="00AB4A6D"/>
    <w:rsid w:val="00AB4E89"/>
    <w:rsid w:val="00AB4F1B"/>
    <w:rsid w:val="00AB5144"/>
    <w:rsid w:val="00AB5273"/>
    <w:rsid w:val="00AB5737"/>
    <w:rsid w:val="00AB5F33"/>
    <w:rsid w:val="00AB6203"/>
    <w:rsid w:val="00AB627D"/>
    <w:rsid w:val="00AB7045"/>
    <w:rsid w:val="00AB73F3"/>
    <w:rsid w:val="00AB78B2"/>
    <w:rsid w:val="00AB7ED4"/>
    <w:rsid w:val="00AC04FB"/>
    <w:rsid w:val="00AC068E"/>
    <w:rsid w:val="00AC0B8D"/>
    <w:rsid w:val="00AC1E4A"/>
    <w:rsid w:val="00AC2440"/>
    <w:rsid w:val="00AC2D0A"/>
    <w:rsid w:val="00AC2DDA"/>
    <w:rsid w:val="00AC3244"/>
    <w:rsid w:val="00AC3CC4"/>
    <w:rsid w:val="00AC49EF"/>
    <w:rsid w:val="00AC4E83"/>
    <w:rsid w:val="00AC6260"/>
    <w:rsid w:val="00AC6E61"/>
    <w:rsid w:val="00AC7795"/>
    <w:rsid w:val="00AC7B19"/>
    <w:rsid w:val="00AC7D9B"/>
    <w:rsid w:val="00AD0BE0"/>
    <w:rsid w:val="00AD0D51"/>
    <w:rsid w:val="00AD0F50"/>
    <w:rsid w:val="00AD1496"/>
    <w:rsid w:val="00AD1685"/>
    <w:rsid w:val="00AD1BF1"/>
    <w:rsid w:val="00AD1E29"/>
    <w:rsid w:val="00AD2F10"/>
    <w:rsid w:val="00AD317D"/>
    <w:rsid w:val="00AD3F92"/>
    <w:rsid w:val="00AD445D"/>
    <w:rsid w:val="00AD4CA2"/>
    <w:rsid w:val="00AD51B4"/>
    <w:rsid w:val="00AD5237"/>
    <w:rsid w:val="00AD5470"/>
    <w:rsid w:val="00AD57A5"/>
    <w:rsid w:val="00AD6B5D"/>
    <w:rsid w:val="00AD6B92"/>
    <w:rsid w:val="00AD77E6"/>
    <w:rsid w:val="00AD7B8E"/>
    <w:rsid w:val="00AD7F85"/>
    <w:rsid w:val="00AE03AA"/>
    <w:rsid w:val="00AE0D28"/>
    <w:rsid w:val="00AE1595"/>
    <w:rsid w:val="00AE38A2"/>
    <w:rsid w:val="00AE38B8"/>
    <w:rsid w:val="00AE3AF8"/>
    <w:rsid w:val="00AE481A"/>
    <w:rsid w:val="00AE4E02"/>
    <w:rsid w:val="00AE5540"/>
    <w:rsid w:val="00AE5EF3"/>
    <w:rsid w:val="00AE66C5"/>
    <w:rsid w:val="00AE67B8"/>
    <w:rsid w:val="00AE6859"/>
    <w:rsid w:val="00AE72AA"/>
    <w:rsid w:val="00AF0050"/>
    <w:rsid w:val="00AF0C83"/>
    <w:rsid w:val="00AF17E6"/>
    <w:rsid w:val="00AF1805"/>
    <w:rsid w:val="00AF203B"/>
    <w:rsid w:val="00AF2AB4"/>
    <w:rsid w:val="00AF2C27"/>
    <w:rsid w:val="00AF322B"/>
    <w:rsid w:val="00AF3AD2"/>
    <w:rsid w:val="00AF3B19"/>
    <w:rsid w:val="00AF40BC"/>
    <w:rsid w:val="00AF42C0"/>
    <w:rsid w:val="00AF4646"/>
    <w:rsid w:val="00AF64C2"/>
    <w:rsid w:val="00AF672C"/>
    <w:rsid w:val="00AF7E4A"/>
    <w:rsid w:val="00B00BBA"/>
    <w:rsid w:val="00B0147B"/>
    <w:rsid w:val="00B018F9"/>
    <w:rsid w:val="00B01A21"/>
    <w:rsid w:val="00B01DA3"/>
    <w:rsid w:val="00B02A53"/>
    <w:rsid w:val="00B03D99"/>
    <w:rsid w:val="00B05132"/>
    <w:rsid w:val="00B055C7"/>
    <w:rsid w:val="00B05A98"/>
    <w:rsid w:val="00B05C6E"/>
    <w:rsid w:val="00B05CF5"/>
    <w:rsid w:val="00B101DA"/>
    <w:rsid w:val="00B11146"/>
    <w:rsid w:val="00B11209"/>
    <w:rsid w:val="00B11457"/>
    <w:rsid w:val="00B114B1"/>
    <w:rsid w:val="00B1165E"/>
    <w:rsid w:val="00B126E3"/>
    <w:rsid w:val="00B12E58"/>
    <w:rsid w:val="00B13135"/>
    <w:rsid w:val="00B135BE"/>
    <w:rsid w:val="00B136C7"/>
    <w:rsid w:val="00B1390A"/>
    <w:rsid w:val="00B151A5"/>
    <w:rsid w:val="00B16C72"/>
    <w:rsid w:val="00B17FF9"/>
    <w:rsid w:val="00B20444"/>
    <w:rsid w:val="00B20DC5"/>
    <w:rsid w:val="00B216BE"/>
    <w:rsid w:val="00B21EF8"/>
    <w:rsid w:val="00B22EDB"/>
    <w:rsid w:val="00B23075"/>
    <w:rsid w:val="00B2311C"/>
    <w:rsid w:val="00B24873"/>
    <w:rsid w:val="00B250E5"/>
    <w:rsid w:val="00B2635B"/>
    <w:rsid w:val="00B265CA"/>
    <w:rsid w:val="00B267B6"/>
    <w:rsid w:val="00B27003"/>
    <w:rsid w:val="00B27108"/>
    <w:rsid w:val="00B2781F"/>
    <w:rsid w:val="00B27D53"/>
    <w:rsid w:val="00B3010D"/>
    <w:rsid w:val="00B30855"/>
    <w:rsid w:val="00B3100B"/>
    <w:rsid w:val="00B31240"/>
    <w:rsid w:val="00B32F0E"/>
    <w:rsid w:val="00B33777"/>
    <w:rsid w:val="00B33A65"/>
    <w:rsid w:val="00B34002"/>
    <w:rsid w:val="00B35AE6"/>
    <w:rsid w:val="00B361C5"/>
    <w:rsid w:val="00B376D7"/>
    <w:rsid w:val="00B37EFE"/>
    <w:rsid w:val="00B4119E"/>
    <w:rsid w:val="00B41796"/>
    <w:rsid w:val="00B419F3"/>
    <w:rsid w:val="00B424D9"/>
    <w:rsid w:val="00B42554"/>
    <w:rsid w:val="00B42DF8"/>
    <w:rsid w:val="00B44026"/>
    <w:rsid w:val="00B4472C"/>
    <w:rsid w:val="00B4474B"/>
    <w:rsid w:val="00B44C39"/>
    <w:rsid w:val="00B44C8B"/>
    <w:rsid w:val="00B44D6C"/>
    <w:rsid w:val="00B44E57"/>
    <w:rsid w:val="00B4528B"/>
    <w:rsid w:val="00B47AB0"/>
    <w:rsid w:val="00B47B1A"/>
    <w:rsid w:val="00B47F29"/>
    <w:rsid w:val="00B5014B"/>
    <w:rsid w:val="00B507E4"/>
    <w:rsid w:val="00B5088D"/>
    <w:rsid w:val="00B51DA8"/>
    <w:rsid w:val="00B526B1"/>
    <w:rsid w:val="00B52B47"/>
    <w:rsid w:val="00B52C77"/>
    <w:rsid w:val="00B52E3C"/>
    <w:rsid w:val="00B53F16"/>
    <w:rsid w:val="00B54939"/>
    <w:rsid w:val="00B54B97"/>
    <w:rsid w:val="00B5501A"/>
    <w:rsid w:val="00B55771"/>
    <w:rsid w:val="00B558F6"/>
    <w:rsid w:val="00B559F1"/>
    <w:rsid w:val="00B55C0D"/>
    <w:rsid w:val="00B5692B"/>
    <w:rsid w:val="00B60030"/>
    <w:rsid w:val="00B6018E"/>
    <w:rsid w:val="00B601AC"/>
    <w:rsid w:val="00B60EAB"/>
    <w:rsid w:val="00B61558"/>
    <w:rsid w:val="00B616DD"/>
    <w:rsid w:val="00B61B5F"/>
    <w:rsid w:val="00B61F29"/>
    <w:rsid w:val="00B62180"/>
    <w:rsid w:val="00B6296D"/>
    <w:rsid w:val="00B629D3"/>
    <w:rsid w:val="00B65739"/>
    <w:rsid w:val="00B661AF"/>
    <w:rsid w:val="00B66591"/>
    <w:rsid w:val="00B666CA"/>
    <w:rsid w:val="00B67392"/>
    <w:rsid w:val="00B673E5"/>
    <w:rsid w:val="00B67B85"/>
    <w:rsid w:val="00B70D67"/>
    <w:rsid w:val="00B718E2"/>
    <w:rsid w:val="00B73359"/>
    <w:rsid w:val="00B73365"/>
    <w:rsid w:val="00B73675"/>
    <w:rsid w:val="00B739A8"/>
    <w:rsid w:val="00B74B5E"/>
    <w:rsid w:val="00B7501A"/>
    <w:rsid w:val="00B7504C"/>
    <w:rsid w:val="00B75552"/>
    <w:rsid w:val="00B76B84"/>
    <w:rsid w:val="00B76E72"/>
    <w:rsid w:val="00B80250"/>
    <w:rsid w:val="00B80590"/>
    <w:rsid w:val="00B80F96"/>
    <w:rsid w:val="00B81887"/>
    <w:rsid w:val="00B8199F"/>
    <w:rsid w:val="00B81C74"/>
    <w:rsid w:val="00B81FA8"/>
    <w:rsid w:val="00B8364C"/>
    <w:rsid w:val="00B84655"/>
    <w:rsid w:val="00B851B9"/>
    <w:rsid w:val="00B857E4"/>
    <w:rsid w:val="00B8593D"/>
    <w:rsid w:val="00B85D93"/>
    <w:rsid w:val="00B85E01"/>
    <w:rsid w:val="00B8670E"/>
    <w:rsid w:val="00B8765D"/>
    <w:rsid w:val="00B87794"/>
    <w:rsid w:val="00B9010B"/>
    <w:rsid w:val="00B9034E"/>
    <w:rsid w:val="00B916FE"/>
    <w:rsid w:val="00B91E11"/>
    <w:rsid w:val="00B91F03"/>
    <w:rsid w:val="00B91FBE"/>
    <w:rsid w:val="00B928F7"/>
    <w:rsid w:val="00B9373C"/>
    <w:rsid w:val="00B958B0"/>
    <w:rsid w:val="00B97C16"/>
    <w:rsid w:val="00BA0354"/>
    <w:rsid w:val="00BA091A"/>
    <w:rsid w:val="00BA1884"/>
    <w:rsid w:val="00BA1AEF"/>
    <w:rsid w:val="00BA2053"/>
    <w:rsid w:val="00BA2E18"/>
    <w:rsid w:val="00BA30C1"/>
    <w:rsid w:val="00BA31E9"/>
    <w:rsid w:val="00BA383E"/>
    <w:rsid w:val="00BA461C"/>
    <w:rsid w:val="00BA4A81"/>
    <w:rsid w:val="00BA61D8"/>
    <w:rsid w:val="00BA6F62"/>
    <w:rsid w:val="00BA7184"/>
    <w:rsid w:val="00BB0F1F"/>
    <w:rsid w:val="00BB29E2"/>
    <w:rsid w:val="00BB3798"/>
    <w:rsid w:val="00BB3847"/>
    <w:rsid w:val="00BB38A1"/>
    <w:rsid w:val="00BB4226"/>
    <w:rsid w:val="00BB4DAE"/>
    <w:rsid w:val="00BB5903"/>
    <w:rsid w:val="00BB5C0F"/>
    <w:rsid w:val="00BB5F8E"/>
    <w:rsid w:val="00BB645A"/>
    <w:rsid w:val="00BB6B05"/>
    <w:rsid w:val="00BB6E73"/>
    <w:rsid w:val="00BC02E9"/>
    <w:rsid w:val="00BC152D"/>
    <w:rsid w:val="00BC18CC"/>
    <w:rsid w:val="00BC23DB"/>
    <w:rsid w:val="00BC2A7A"/>
    <w:rsid w:val="00BC343F"/>
    <w:rsid w:val="00BC34D8"/>
    <w:rsid w:val="00BC393E"/>
    <w:rsid w:val="00BC5A25"/>
    <w:rsid w:val="00BC61A7"/>
    <w:rsid w:val="00BC6226"/>
    <w:rsid w:val="00BC6C84"/>
    <w:rsid w:val="00BD01C2"/>
    <w:rsid w:val="00BD0A31"/>
    <w:rsid w:val="00BD1237"/>
    <w:rsid w:val="00BD14FE"/>
    <w:rsid w:val="00BD1743"/>
    <w:rsid w:val="00BD26F4"/>
    <w:rsid w:val="00BD2725"/>
    <w:rsid w:val="00BD2DA6"/>
    <w:rsid w:val="00BD2E99"/>
    <w:rsid w:val="00BD41B8"/>
    <w:rsid w:val="00BD4568"/>
    <w:rsid w:val="00BD4A96"/>
    <w:rsid w:val="00BD5039"/>
    <w:rsid w:val="00BD5835"/>
    <w:rsid w:val="00BD5944"/>
    <w:rsid w:val="00BD5B55"/>
    <w:rsid w:val="00BD5E2D"/>
    <w:rsid w:val="00BD6E8F"/>
    <w:rsid w:val="00BE01F8"/>
    <w:rsid w:val="00BE149C"/>
    <w:rsid w:val="00BE2CBF"/>
    <w:rsid w:val="00BE3017"/>
    <w:rsid w:val="00BE36CC"/>
    <w:rsid w:val="00BE370A"/>
    <w:rsid w:val="00BE42EE"/>
    <w:rsid w:val="00BE5EAB"/>
    <w:rsid w:val="00BE6B1F"/>
    <w:rsid w:val="00BE7030"/>
    <w:rsid w:val="00BE707C"/>
    <w:rsid w:val="00BE71C8"/>
    <w:rsid w:val="00BE7744"/>
    <w:rsid w:val="00BE7F4C"/>
    <w:rsid w:val="00BF0256"/>
    <w:rsid w:val="00BF07F9"/>
    <w:rsid w:val="00BF0E2C"/>
    <w:rsid w:val="00BF13AB"/>
    <w:rsid w:val="00BF1AE1"/>
    <w:rsid w:val="00BF29FD"/>
    <w:rsid w:val="00BF3D1F"/>
    <w:rsid w:val="00BF4510"/>
    <w:rsid w:val="00BF48EB"/>
    <w:rsid w:val="00BF4A9A"/>
    <w:rsid w:val="00BF503D"/>
    <w:rsid w:val="00BF520B"/>
    <w:rsid w:val="00BF6E6D"/>
    <w:rsid w:val="00C001AF"/>
    <w:rsid w:val="00C0036C"/>
    <w:rsid w:val="00C00575"/>
    <w:rsid w:val="00C02E5F"/>
    <w:rsid w:val="00C0396D"/>
    <w:rsid w:val="00C03FCC"/>
    <w:rsid w:val="00C04377"/>
    <w:rsid w:val="00C04EE3"/>
    <w:rsid w:val="00C076C9"/>
    <w:rsid w:val="00C104CF"/>
    <w:rsid w:val="00C10C40"/>
    <w:rsid w:val="00C11CA2"/>
    <w:rsid w:val="00C12008"/>
    <w:rsid w:val="00C120D4"/>
    <w:rsid w:val="00C1224B"/>
    <w:rsid w:val="00C13ED8"/>
    <w:rsid w:val="00C14B6E"/>
    <w:rsid w:val="00C153B2"/>
    <w:rsid w:val="00C15A8C"/>
    <w:rsid w:val="00C1661B"/>
    <w:rsid w:val="00C16885"/>
    <w:rsid w:val="00C2092C"/>
    <w:rsid w:val="00C210A3"/>
    <w:rsid w:val="00C21C05"/>
    <w:rsid w:val="00C22002"/>
    <w:rsid w:val="00C22191"/>
    <w:rsid w:val="00C22318"/>
    <w:rsid w:val="00C22E80"/>
    <w:rsid w:val="00C22EEF"/>
    <w:rsid w:val="00C22FDB"/>
    <w:rsid w:val="00C23C73"/>
    <w:rsid w:val="00C2517A"/>
    <w:rsid w:val="00C254DD"/>
    <w:rsid w:val="00C25B83"/>
    <w:rsid w:val="00C2658F"/>
    <w:rsid w:val="00C26866"/>
    <w:rsid w:val="00C276B8"/>
    <w:rsid w:val="00C32295"/>
    <w:rsid w:val="00C32D78"/>
    <w:rsid w:val="00C32DBE"/>
    <w:rsid w:val="00C33E5F"/>
    <w:rsid w:val="00C34187"/>
    <w:rsid w:val="00C3440A"/>
    <w:rsid w:val="00C34448"/>
    <w:rsid w:val="00C35C2E"/>
    <w:rsid w:val="00C36519"/>
    <w:rsid w:val="00C36A4A"/>
    <w:rsid w:val="00C36BDD"/>
    <w:rsid w:val="00C37F87"/>
    <w:rsid w:val="00C40B1E"/>
    <w:rsid w:val="00C40BD1"/>
    <w:rsid w:val="00C41EF7"/>
    <w:rsid w:val="00C438CA"/>
    <w:rsid w:val="00C43B59"/>
    <w:rsid w:val="00C43C73"/>
    <w:rsid w:val="00C43D33"/>
    <w:rsid w:val="00C44C85"/>
    <w:rsid w:val="00C44CB3"/>
    <w:rsid w:val="00C464CB"/>
    <w:rsid w:val="00C46582"/>
    <w:rsid w:val="00C4662D"/>
    <w:rsid w:val="00C4687D"/>
    <w:rsid w:val="00C47134"/>
    <w:rsid w:val="00C47D8D"/>
    <w:rsid w:val="00C47DD3"/>
    <w:rsid w:val="00C47EF0"/>
    <w:rsid w:val="00C47FD3"/>
    <w:rsid w:val="00C51807"/>
    <w:rsid w:val="00C5332C"/>
    <w:rsid w:val="00C536B3"/>
    <w:rsid w:val="00C54C7F"/>
    <w:rsid w:val="00C55456"/>
    <w:rsid w:val="00C5643B"/>
    <w:rsid w:val="00C576B2"/>
    <w:rsid w:val="00C576CF"/>
    <w:rsid w:val="00C600C5"/>
    <w:rsid w:val="00C60889"/>
    <w:rsid w:val="00C6122C"/>
    <w:rsid w:val="00C61729"/>
    <w:rsid w:val="00C627EC"/>
    <w:rsid w:val="00C62C91"/>
    <w:rsid w:val="00C65248"/>
    <w:rsid w:val="00C65577"/>
    <w:rsid w:val="00C65835"/>
    <w:rsid w:val="00C66035"/>
    <w:rsid w:val="00C66BE5"/>
    <w:rsid w:val="00C67050"/>
    <w:rsid w:val="00C67691"/>
    <w:rsid w:val="00C67C52"/>
    <w:rsid w:val="00C7044A"/>
    <w:rsid w:val="00C708D3"/>
    <w:rsid w:val="00C70D00"/>
    <w:rsid w:val="00C70E81"/>
    <w:rsid w:val="00C7256B"/>
    <w:rsid w:val="00C72821"/>
    <w:rsid w:val="00C72F11"/>
    <w:rsid w:val="00C731B7"/>
    <w:rsid w:val="00C73A14"/>
    <w:rsid w:val="00C75580"/>
    <w:rsid w:val="00C76A63"/>
    <w:rsid w:val="00C76AD7"/>
    <w:rsid w:val="00C770AB"/>
    <w:rsid w:val="00C770F2"/>
    <w:rsid w:val="00C7762E"/>
    <w:rsid w:val="00C80089"/>
    <w:rsid w:val="00C8016E"/>
    <w:rsid w:val="00C80214"/>
    <w:rsid w:val="00C8038C"/>
    <w:rsid w:val="00C808DE"/>
    <w:rsid w:val="00C8156C"/>
    <w:rsid w:val="00C824B7"/>
    <w:rsid w:val="00C8253E"/>
    <w:rsid w:val="00C82686"/>
    <w:rsid w:val="00C82820"/>
    <w:rsid w:val="00C82E82"/>
    <w:rsid w:val="00C82EC1"/>
    <w:rsid w:val="00C83462"/>
    <w:rsid w:val="00C83647"/>
    <w:rsid w:val="00C83F33"/>
    <w:rsid w:val="00C8456E"/>
    <w:rsid w:val="00C8460D"/>
    <w:rsid w:val="00C84AFD"/>
    <w:rsid w:val="00C85DF0"/>
    <w:rsid w:val="00C869B1"/>
    <w:rsid w:val="00C871F4"/>
    <w:rsid w:val="00C87AF8"/>
    <w:rsid w:val="00C87EA1"/>
    <w:rsid w:val="00C9225E"/>
    <w:rsid w:val="00C925E6"/>
    <w:rsid w:val="00C92EB3"/>
    <w:rsid w:val="00C946F6"/>
    <w:rsid w:val="00C947E0"/>
    <w:rsid w:val="00C94ACB"/>
    <w:rsid w:val="00C94DB4"/>
    <w:rsid w:val="00C9507D"/>
    <w:rsid w:val="00C97549"/>
    <w:rsid w:val="00C97ACD"/>
    <w:rsid w:val="00C97E4A"/>
    <w:rsid w:val="00C97F71"/>
    <w:rsid w:val="00CA017D"/>
    <w:rsid w:val="00CA01E8"/>
    <w:rsid w:val="00CA0C38"/>
    <w:rsid w:val="00CA192C"/>
    <w:rsid w:val="00CA1FCB"/>
    <w:rsid w:val="00CA20EA"/>
    <w:rsid w:val="00CA21A3"/>
    <w:rsid w:val="00CA3379"/>
    <w:rsid w:val="00CA3965"/>
    <w:rsid w:val="00CA3AB2"/>
    <w:rsid w:val="00CA3DBB"/>
    <w:rsid w:val="00CA423B"/>
    <w:rsid w:val="00CA45F0"/>
    <w:rsid w:val="00CA493F"/>
    <w:rsid w:val="00CA5152"/>
    <w:rsid w:val="00CA5A1D"/>
    <w:rsid w:val="00CA6C64"/>
    <w:rsid w:val="00CA6CD6"/>
    <w:rsid w:val="00CA6CE4"/>
    <w:rsid w:val="00CA7429"/>
    <w:rsid w:val="00CA7639"/>
    <w:rsid w:val="00CB062E"/>
    <w:rsid w:val="00CB082D"/>
    <w:rsid w:val="00CB160E"/>
    <w:rsid w:val="00CB162A"/>
    <w:rsid w:val="00CB1685"/>
    <w:rsid w:val="00CB2FB1"/>
    <w:rsid w:val="00CB40A2"/>
    <w:rsid w:val="00CB40C3"/>
    <w:rsid w:val="00CB41B7"/>
    <w:rsid w:val="00CB496D"/>
    <w:rsid w:val="00CB4AC6"/>
    <w:rsid w:val="00CB4B7B"/>
    <w:rsid w:val="00CB5B72"/>
    <w:rsid w:val="00CB5E0D"/>
    <w:rsid w:val="00CB6A6E"/>
    <w:rsid w:val="00CB6CD9"/>
    <w:rsid w:val="00CB7754"/>
    <w:rsid w:val="00CB7769"/>
    <w:rsid w:val="00CC02D2"/>
    <w:rsid w:val="00CC06EB"/>
    <w:rsid w:val="00CC1229"/>
    <w:rsid w:val="00CC2A6E"/>
    <w:rsid w:val="00CC4AA0"/>
    <w:rsid w:val="00CC4EA0"/>
    <w:rsid w:val="00CC4F39"/>
    <w:rsid w:val="00CC529C"/>
    <w:rsid w:val="00CC5E17"/>
    <w:rsid w:val="00CC679A"/>
    <w:rsid w:val="00CC68C1"/>
    <w:rsid w:val="00CC6C88"/>
    <w:rsid w:val="00CC6F78"/>
    <w:rsid w:val="00CC721D"/>
    <w:rsid w:val="00CC7354"/>
    <w:rsid w:val="00CC789E"/>
    <w:rsid w:val="00CC7C4A"/>
    <w:rsid w:val="00CD045B"/>
    <w:rsid w:val="00CD0859"/>
    <w:rsid w:val="00CD0FAF"/>
    <w:rsid w:val="00CD217B"/>
    <w:rsid w:val="00CD264B"/>
    <w:rsid w:val="00CD3239"/>
    <w:rsid w:val="00CD3A93"/>
    <w:rsid w:val="00CD4D3A"/>
    <w:rsid w:val="00CD53C9"/>
    <w:rsid w:val="00CD5C69"/>
    <w:rsid w:val="00CD6412"/>
    <w:rsid w:val="00CD6980"/>
    <w:rsid w:val="00CD6F32"/>
    <w:rsid w:val="00CD7169"/>
    <w:rsid w:val="00CD7E13"/>
    <w:rsid w:val="00CE0E0D"/>
    <w:rsid w:val="00CE11CD"/>
    <w:rsid w:val="00CE24FC"/>
    <w:rsid w:val="00CE312F"/>
    <w:rsid w:val="00CE353D"/>
    <w:rsid w:val="00CE3C0D"/>
    <w:rsid w:val="00CE5238"/>
    <w:rsid w:val="00CE56D8"/>
    <w:rsid w:val="00CE61B7"/>
    <w:rsid w:val="00CE64B3"/>
    <w:rsid w:val="00CE6E52"/>
    <w:rsid w:val="00CE796C"/>
    <w:rsid w:val="00CE7B25"/>
    <w:rsid w:val="00CF007B"/>
    <w:rsid w:val="00CF07FF"/>
    <w:rsid w:val="00CF16B3"/>
    <w:rsid w:val="00CF181B"/>
    <w:rsid w:val="00CF1B1F"/>
    <w:rsid w:val="00CF2354"/>
    <w:rsid w:val="00CF2AED"/>
    <w:rsid w:val="00CF31E9"/>
    <w:rsid w:val="00CF43C7"/>
    <w:rsid w:val="00CF4AA2"/>
    <w:rsid w:val="00CF5CB3"/>
    <w:rsid w:val="00CF6583"/>
    <w:rsid w:val="00CF797B"/>
    <w:rsid w:val="00CF7DA5"/>
    <w:rsid w:val="00D006D3"/>
    <w:rsid w:val="00D008E3"/>
    <w:rsid w:val="00D01685"/>
    <w:rsid w:val="00D01A18"/>
    <w:rsid w:val="00D02662"/>
    <w:rsid w:val="00D03530"/>
    <w:rsid w:val="00D037C9"/>
    <w:rsid w:val="00D041DA"/>
    <w:rsid w:val="00D04612"/>
    <w:rsid w:val="00D0596D"/>
    <w:rsid w:val="00D060AF"/>
    <w:rsid w:val="00D06C24"/>
    <w:rsid w:val="00D06DB9"/>
    <w:rsid w:val="00D073EE"/>
    <w:rsid w:val="00D07541"/>
    <w:rsid w:val="00D0769D"/>
    <w:rsid w:val="00D07DC7"/>
    <w:rsid w:val="00D10711"/>
    <w:rsid w:val="00D10B08"/>
    <w:rsid w:val="00D1222A"/>
    <w:rsid w:val="00D129CF"/>
    <w:rsid w:val="00D13ADC"/>
    <w:rsid w:val="00D142C7"/>
    <w:rsid w:val="00D149AB"/>
    <w:rsid w:val="00D14E9C"/>
    <w:rsid w:val="00D16765"/>
    <w:rsid w:val="00D1694E"/>
    <w:rsid w:val="00D174E0"/>
    <w:rsid w:val="00D17EFC"/>
    <w:rsid w:val="00D20008"/>
    <w:rsid w:val="00D2036F"/>
    <w:rsid w:val="00D21ABA"/>
    <w:rsid w:val="00D2208A"/>
    <w:rsid w:val="00D2229A"/>
    <w:rsid w:val="00D2240A"/>
    <w:rsid w:val="00D22A27"/>
    <w:rsid w:val="00D26267"/>
    <w:rsid w:val="00D2651F"/>
    <w:rsid w:val="00D26A59"/>
    <w:rsid w:val="00D26A95"/>
    <w:rsid w:val="00D26D66"/>
    <w:rsid w:val="00D27157"/>
    <w:rsid w:val="00D277CC"/>
    <w:rsid w:val="00D306FD"/>
    <w:rsid w:val="00D30AB0"/>
    <w:rsid w:val="00D31483"/>
    <w:rsid w:val="00D32403"/>
    <w:rsid w:val="00D33E59"/>
    <w:rsid w:val="00D3419C"/>
    <w:rsid w:val="00D343AF"/>
    <w:rsid w:val="00D34A64"/>
    <w:rsid w:val="00D34ACB"/>
    <w:rsid w:val="00D36264"/>
    <w:rsid w:val="00D3722C"/>
    <w:rsid w:val="00D410B4"/>
    <w:rsid w:val="00D4114F"/>
    <w:rsid w:val="00D4182C"/>
    <w:rsid w:val="00D41BE5"/>
    <w:rsid w:val="00D42464"/>
    <w:rsid w:val="00D4276B"/>
    <w:rsid w:val="00D4336B"/>
    <w:rsid w:val="00D44FE9"/>
    <w:rsid w:val="00D45148"/>
    <w:rsid w:val="00D4547F"/>
    <w:rsid w:val="00D4558F"/>
    <w:rsid w:val="00D456AB"/>
    <w:rsid w:val="00D45CD7"/>
    <w:rsid w:val="00D46E90"/>
    <w:rsid w:val="00D46FAF"/>
    <w:rsid w:val="00D4703B"/>
    <w:rsid w:val="00D47344"/>
    <w:rsid w:val="00D477B6"/>
    <w:rsid w:val="00D47871"/>
    <w:rsid w:val="00D5017D"/>
    <w:rsid w:val="00D51C8B"/>
    <w:rsid w:val="00D51D66"/>
    <w:rsid w:val="00D51E97"/>
    <w:rsid w:val="00D52A15"/>
    <w:rsid w:val="00D52ECE"/>
    <w:rsid w:val="00D530D9"/>
    <w:rsid w:val="00D53211"/>
    <w:rsid w:val="00D5374B"/>
    <w:rsid w:val="00D53A2A"/>
    <w:rsid w:val="00D53A94"/>
    <w:rsid w:val="00D5445C"/>
    <w:rsid w:val="00D54499"/>
    <w:rsid w:val="00D55022"/>
    <w:rsid w:val="00D5504E"/>
    <w:rsid w:val="00D55186"/>
    <w:rsid w:val="00D55B2A"/>
    <w:rsid w:val="00D5610E"/>
    <w:rsid w:val="00D566DD"/>
    <w:rsid w:val="00D602CB"/>
    <w:rsid w:val="00D6033E"/>
    <w:rsid w:val="00D63E43"/>
    <w:rsid w:val="00D642BC"/>
    <w:rsid w:val="00D64787"/>
    <w:rsid w:val="00D65DB9"/>
    <w:rsid w:val="00D65DCA"/>
    <w:rsid w:val="00D66A3A"/>
    <w:rsid w:val="00D672EC"/>
    <w:rsid w:val="00D67D38"/>
    <w:rsid w:val="00D70E8E"/>
    <w:rsid w:val="00D70FDD"/>
    <w:rsid w:val="00D717CC"/>
    <w:rsid w:val="00D719E9"/>
    <w:rsid w:val="00D71AB5"/>
    <w:rsid w:val="00D72AA1"/>
    <w:rsid w:val="00D734AB"/>
    <w:rsid w:val="00D7384C"/>
    <w:rsid w:val="00D73D6F"/>
    <w:rsid w:val="00D743B1"/>
    <w:rsid w:val="00D75AC8"/>
    <w:rsid w:val="00D75DFC"/>
    <w:rsid w:val="00D7650D"/>
    <w:rsid w:val="00D7790C"/>
    <w:rsid w:val="00D7791F"/>
    <w:rsid w:val="00D805E0"/>
    <w:rsid w:val="00D81413"/>
    <w:rsid w:val="00D82671"/>
    <w:rsid w:val="00D8298C"/>
    <w:rsid w:val="00D82F95"/>
    <w:rsid w:val="00D82FEC"/>
    <w:rsid w:val="00D834B2"/>
    <w:rsid w:val="00D84889"/>
    <w:rsid w:val="00D850B9"/>
    <w:rsid w:val="00D85A41"/>
    <w:rsid w:val="00D85BE3"/>
    <w:rsid w:val="00D85EBC"/>
    <w:rsid w:val="00D861A6"/>
    <w:rsid w:val="00D86338"/>
    <w:rsid w:val="00D87573"/>
    <w:rsid w:val="00D90580"/>
    <w:rsid w:val="00D90822"/>
    <w:rsid w:val="00D90B2F"/>
    <w:rsid w:val="00D90E16"/>
    <w:rsid w:val="00D90F64"/>
    <w:rsid w:val="00D91D30"/>
    <w:rsid w:val="00D92575"/>
    <w:rsid w:val="00D92850"/>
    <w:rsid w:val="00D9342C"/>
    <w:rsid w:val="00D93E05"/>
    <w:rsid w:val="00D94465"/>
    <w:rsid w:val="00D94844"/>
    <w:rsid w:val="00D949C3"/>
    <w:rsid w:val="00D961ED"/>
    <w:rsid w:val="00D96507"/>
    <w:rsid w:val="00D97999"/>
    <w:rsid w:val="00DA06C4"/>
    <w:rsid w:val="00DA0C13"/>
    <w:rsid w:val="00DA10E2"/>
    <w:rsid w:val="00DA1DE4"/>
    <w:rsid w:val="00DA3089"/>
    <w:rsid w:val="00DA386E"/>
    <w:rsid w:val="00DA43B2"/>
    <w:rsid w:val="00DA5507"/>
    <w:rsid w:val="00DA56D7"/>
    <w:rsid w:val="00DA5BD7"/>
    <w:rsid w:val="00DA62A9"/>
    <w:rsid w:val="00DA64F5"/>
    <w:rsid w:val="00DA759A"/>
    <w:rsid w:val="00DA761A"/>
    <w:rsid w:val="00DA7932"/>
    <w:rsid w:val="00DA7DFC"/>
    <w:rsid w:val="00DA7EC3"/>
    <w:rsid w:val="00DA7FA3"/>
    <w:rsid w:val="00DB0982"/>
    <w:rsid w:val="00DB0DA6"/>
    <w:rsid w:val="00DB1334"/>
    <w:rsid w:val="00DB133F"/>
    <w:rsid w:val="00DB1585"/>
    <w:rsid w:val="00DB3AB3"/>
    <w:rsid w:val="00DB41A2"/>
    <w:rsid w:val="00DB709A"/>
    <w:rsid w:val="00DB7329"/>
    <w:rsid w:val="00DB79DB"/>
    <w:rsid w:val="00DC161E"/>
    <w:rsid w:val="00DC16BB"/>
    <w:rsid w:val="00DC1EA9"/>
    <w:rsid w:val="00DC20E9"/>
    <w:rsid w:val="00DC273C"/>
    <w:rsid w:val="00DC280E"/>
    <w:rsid w:val="00DC2C91"/>
    <w:rsid w:val="00DC2F24"/>
    <w:rsid w:val="00DC35C9"/>
    <w:rsid w:val="00DC38B2"/>
    <w:rsid w:val="00DC5F93"/>
    <w:rsid w:val="00DC6BFF"/>
    <w:rsid w:val="00DC6E38"/>
    <w:rsid w:val="00DC764A"/>
    <w:rsid w:val="00DC7C20"/>
    <w:rsid w:val="00DC7CAA"/>
    <w:rsid w:val="00DC7F9D"/>
    <w:rsid w:val="00DD0163"/>
    <w:rsid w:val="00DD066B"/>
    <w:rsid w:val="00DD1ED6"/>
    <w:rsid w:val="00DD3254"/>
    <w:rsid w:val="00DD3353"/>
    <w:rsid w:val="00DD4405"/>
    <w:rsid w:val="00DD4736"/>
    <w:rsid w:val="00DD58A8"/>
    <w:rsid w:val="00DD5E9E"/>
    <w:rsid w:val="00DD5F6E"/>
    <w:rsid w:val="00DD661D"/>
    <w:rsid w:val="00DD67E1"/>
    <w:rsid w:val="00DD6A20"/>
    <w:rsid w:val="00DD70A7"/>
    <w:rsid w:val="00DD7183"/>
    <w:rsid w:val="00DD72DA"/>
    <w:rsid w:val="00DD7328"/>
    <w:rsid w:val="00DE0501"/>
    <w:rsid w:val="00DE0993"/>
    <w:rsid w:val="00DE09AE"/>
    <w:rsid w:val="00DE0A86"/>
    <w:rsid w:val="00DE0C3B"/>
    <w:rsid w:val="00DE12EF"/>
    <w:rsid w:val="00DE172D"/>
    <w:rsid w:val="00DE29E5"/>
    <w:rsid w:val="00DE2A6F"/>
    <w:rsid w:val="00DE2BF0"/>
    <w:rsid w:val="00DE3E20"/>
    <w:rsid w:val="00DE433D"/>
    <w:rsid w:val="00DE47A0"/>
    <w:rsid w:val="00DE4988"/>
    <w:rsid w:val="00DE4B2D"/>
    <w:rsid w:val="00DE59F2"/>
    <w:rsid w:val="00DE782C"/>
    <w:rsid w:val="00DF03C2"/>
    <w:rsid w:val="00DF0BB6"/>
    <w:rsid w:val="00DF0D6B"/>
    <w:rsid w:val="00DF1D14"/>
    <w:rsid w:val="00DF486B"/>
    <w:rsid w:val="00DF4FAD"/>
    <w:rsid w:val="00DF5027"/>
    <w:rsid w:val="00DF5308"/>
    <w:rsid w:val="00DF58D2"/>
    <w:rsid w:val="00DF5B7F"/>
    <w:rsid w:val="00DF6652"/>
    <w:rsid w:val="00DF70FA"/>
    <w:rsid w:val="00DF7586"/>
    <w:rsid w:val="00DF7F74"/>
    <w:rsid w:val="00E009D9"/>
    <w:rsid w:val="00E00AF8"/>
    <w:rsid w:val="00E00CC8"/>
    <w:rsid w:val="00E0161B"/>
    <w:rsid w:val="00E01B4F"/>
    <w:rsid w:val="00E0229B"/>
    <w:rsid w:val="00E028D9"/>
    <w:rsid w:val="00E049AD"/>
    <w:rsid w:val="00E04DF6"/>
    <w:rsid w:val="00E05856"/>
    <w:rsid w:val="00E05915"/>
    <w:rsid w:val="00E05B09"/>
    <w:rsid w:val="00E05F74"/>
    <w:rsid w:val="00E06181"/>
    <w:rsid w:val="00E06F03"/>
    <w:rsid w:val="00E070D1"/>
    <w:rsid w:val="00E07A28"/>
    <w:rsid w:val="00E07AC7"/>
    <w:rsid w:val="00E07DB2"/>
    <w:rsid w:val="00E10077"/>
    <w:rsid w:val="00E102D6"/>
    <w:rsid w:val="00E10F64"/>
    <w:rsid w:val="00E11666"/>
    <w:rsid w:val="00E12DB2"/>
    <w:rsid w:val="00E13545"/>
    <w:rsid w:val="00E13EC1"/>
    <w:rsid w:val="00E14AE4"/>
    <w:rsid w:val="00E14D47"/>
    <w:rsid w:val="00E15734"/>
    <w:rsid w:val="00E1602E"/>
    <w:rsid w:val="00E164E1"/>
    <w:rsid w:val="00E16963"/>
    <w:rsid w:val="00E16BE9"/>
    <w:rsid w:val="00E16DE3"/>
    <w:rsid w:val="00E1738C"/>
    <w:rsid w:val="00E20680"/>
    <w:rsid w:val="00E22571"/>
    <w:rsid w:val="00E2282E"/>
    <w:rsid w:val="00E2580E"/>
    <w:rsid w:val="00E265F9"/>
    <w:rsid w:val="00E26CA4"/>
    <w:rsid w:val="00E26CFD"/>
    <w:rsid w:val="00E26F35"/>
    <w:rsid w:val="00E26FC6"/>
    <w:rsid w:val="00E30442"/>
    <w:rsid w:val="00E31070"/>
    <w:rsid w:val="00E3115E"/>
    <w:rsid w:val="00E31472"/>
    <w:rsid w:val="00E31E56"/>
    <w:rsid w:val="00E32464"/>
    <w:rsid w:val="00E327CD"/>
    <w:rsid w:val="00E331E4"/>
    <w:rsid w:val="00E338A9"/>
    <w:rsid w:val="00E339D4"/>
    <w:rsid w:val="00E33A4E"/>
    <w:rsid w:val="00E33D43"/>
    <w:rsid w:val="00E33F50"/>
    <w:rsid w:val="00E34AFE"/>
    <w:rsid w:val="00E34B9A"/>
    <w:rsid w:val="00E34D3F"/>
    <w:rsid w:val="00E34D7F"/>
    <w:rsid w:val="00E35B1A"/>
    <w:rsid w:val="00E369A3"/>
    <w:rsid w:val="00E36F0D"/>
    <w:rsid w:val="00E40643"/>
    <w:rsid w:val="00E40C4A"/>
    <w:rsid w:val="00E413D8"/>
    <w:rsid w:val="00E41D19"/>
    <w:rsid w:val="00E4268D"/>
    <w:rsid w:val="00E43F6B"/>
    <w:rsid w:val="00E440FF"/>
    <w:rsid w:val="00E441CD"/>
    <w:rsid w:val="00E444A1"/>
    <w:rsid w:val="00E44649"/>
    <w:rsid w:val="00E45ED2"/>
    <w:rsid w:val="00E50038"/>
    <w:rsid w:val="00E51478"/>
    <w:rsid w:val="00E534DE"/>
    <w:rsid w:val="00E5376D"/>
    <w:rsid w:val="00E54864"/>
    <w:rsid w:val="00E54BE4"/>
    <w:rsid w:val="00E54DC8"/>
    <w:rsid w:val="00E54E0E"/>
    <w:rsid w:val="00E56FAA"/>
    <w:rsid w:val="00E57550"/>
    <w:rsid w:val="00E575E4"/>
    <w:rsid w:val="00E6058A"/>
    <w:rsid w:val="00E60691"/>
    <w:rsid w:val="00E6093B"/>
    <w:rsid w:val="00E61321"/>
    <w:rsid w:val="00E6412B"/>
    <w:rsid w:val="00E641EB"/>
    <w:rsid w:val="00E64203"/>
    <w:rsid w:val="00E64AD7"/>
    <w:rsid w:val="00E64B60"/>
    <w:rsid w:val="00E64C90"/>
    <w:rsid w:val="00E64EDF"/>
    <w:rsid w:val="00E6522B"/>
    <w:rsid w:val="00E65629"/>
    <w:rsid w:val="00E65D16"/>
    <w:rsid w:val="00E65FD9"/>
    <w:rsid w:val="00E663D3"/>
    <w:rsid w:val="00E66CFE"/>
    <w:rsid w:val="00E67118"/>
    <w:rsid w:val="00E67220"/>
    <w:rsid w:val="00E679CC"/>
    <w:rsid w:val="00E67E31"/>
    <w:rsid w:val="00E67EFD"/>
    <w:rsid w:val="00E704F9"/>
    <w:rsid w:val="00E712EA"/>
    <w:rsid w:val="00E71A10"/>
    <w:rsid w:val="00E727CF"/>
    <w:rsid w:val="00E7422B"/>
    <w:rsid w:val="00E74938"/>
    <w:rsid w:val="00E7530C"/>
    <w:rsid w:val="00E75B1C"/>
    <w:rsid w:val="00E75DED"/>
    <w:rsid w:val="00E760F9"/>
    <w:rsid w:val="00E76239"/>
    <w:rsid w:val="00E76F24"/>
    <w:rsid w:val="00E771BB"/>
    <w:rsid w:val="00E80505"/>
    <w:rsid w:val="00E805C5"/>
    <w:rsid w:val="00E80843"/>
    <w:rsid w:val="00E812F8"/>
    <w:rsid w:val="00E8178A"/>
    <w:rsid w:val="00E824B8"/>
    <w:rsid w:val="00E82B74"/>
    <w:rsid w:val="00E83967"/>
    <w:rsid w:val="00E8421E"/>
    <w:rsid w:val="00E8428A"/>
    <w:rsid w:val="00E85E68"/>
    <w:rsid w:val="00E86692"/>
    <w:rsid w:val="00E86A2F"/>
    <w:rsid w:val="00E86F67"/>
    <w:rsid w:val="00E877A7"/>
    <w:rsid w:val="00E87C0D"/>
    <w:rsid w:val="00E909F5"/>
    <w:rsid w:val="00E914F9"/>
    <w:rsid w:val="00E91898"/>
    <w:rsid w:val="00E927DF"/>
    <w:rsid w:val="00E92B77"/>
    <w:rsid w:val="00E94178"/>
    <w:rsid w:val="00E94EBC"/>
    <w:rsid w:val="00E955D7"/>
    <w:rsid w:val="00E95EF2"/>
    <w:rsid w:val="00E9645D"/>
    <w:rsid w:val="00E97A02"/>
    <w:rsid w:val="00EA002E"/>
    <w:rsid w:val="00EA0C20"/>
    <w:rsid w:val="00EA0D17"/>
    <w:rsid w:val="00EA2317"/>
    <w:rsid w:val="00EA26F7"/>
    <w:rsid w:val="00EA2818"/>
    <w:rsid w:val="00EA2940"/>
    <w:rsid w:val="00EA2D9B"/>
    <w:rsid w:val="00EA3E91"/>
    <w:rsid w:val="00EA4FC1"/>
    <w:rsid w:val="00EA6380"/>
    <w:rsid w:val="00EA6D46"/>
    <w:rsid w:val="00EA6DAB"/>
    <w:rsid w:val="00EA7004"/>
    <w:rsid w:val="00EA71B0"/>
    <w:rsid w:val="00EA7E87"/>
    <w:rsid w:val="00EA7EA4"/>
    <w:rsid w:val="00EB0ADF"/>
    <w:rsid w:val="00EB1F47"/>
    <w:rsid w:val="00EB2130"/>
    <w:rsid w:val="00EB2A74"/>
    <w:rsid w:val="00EB4858"/>
    <w:rsid w:val="00EB4E36"/>
    <w:rsid w:val="00EB56CA"/>
    <w:rsid w:val="00EB5D3C"/>
    <w:rsid w:val="00EB65D9"/>
    <w:rsid w:val="00EB7266"/>
    <w:rsid w:val="00EB7C9F"/>
    <w:rsid w:val="00EC20A0"/>
    <w:rsid w:val="00EC2500"/>
    <w:rsid w:val="00EC27B2"/>
    <w:rsid w:val="00EC2C1E"/>
    <w:rsid w:val="00EC3D2C"/>
    <w:rsid w:val="00EC3DE2"/>
    <w:rsid w:val="00EC4470"/>
    <w:rsid w:val="00EC51C8"/>
    <w:rsid w:val="00EC533A"/>
    <w:rsid w:val="00EC5AA6"/>
    <w:rsid w:val="00EC5B47"/>
    <w:rsid w:val="00EC6387"/>
    <w:rsid w:val="00EC64B3"/>
    <w:rsid w:val="00EC6798"/>
    <w:rsid w:val="00EC6AA0"/>
    <w:rsid w:val="00EC73B6"/>
    <w:rsid w:val="00EC7828"/>
    <w:rsid w:val="00EC7A31"/>
    <w:rsid w:val="00ED0BE1"/>
    <w:rsid w:val="00ED173C"/>
    <w:rsid w:val="00ED2BA5"/>
    <w:rsid w:val="00ED3650"/>
    <w:rsid w:val="00ED3BF8"/>
    <w:rsid w:val="00ED4D13"/>
    <w:rsid w:val="00ED5117"/>
    <w:rsid w:val="00ED5B20"/>
    <w:rsid w:val="00ED62E7"/>
    <w:rsid w:val="00ED6B05"/>
    <w:rsid w:val="00ED6DBE"/>
    <w:rsid w:val="00ED6FDF"/>
    <w:rsid w:val="00EE0E81"/>
    <w:rsid w:val="00EE1182"/>
    <w:rsid w:val="00EE19FF"/>
    <w:rsid w:val="00EE200F"/>
    <w:rsid w:val="00EE20A4"/>
    <w:rsid w:val="00EE3531"/>
    <w:rsid w:val="00EE4246"/>
    <w:rsid w:val="00EE47AC"/>
    <w:rsid w:val="00EE6145"/>
    <w:rsid w:val="00EE65D2"/>
    <w:rsid w:val="00EE7B08"/>
    <w:rsid w:val="00EE7E61"/>
    <w:rsid w:val="00EF1812"/>
    <w:rsid w:val="00EF2248"/>
    <w:rsid w:val="00EF241C"/>
    <w:rsid w:val="00EF25DB"/>
    <w:rsid w:val="00EF27FF"/>
    <w:rsid w:val="00EF2D53"/>
    <w:rsid w:val="00EF32E1"/>
    <w:rsid w:val="00EF340D"/>
    <w:rsid w:val="00EF37E1"/>
    <w:rsid w:val="00EF3C63"/>
    <w:rsid w:val="00EF3EA0"/>
    <w:rsid w:val="00EF4081"/>
    <w:rsid w:val="00EF4439"/>
    <w:rsid w:val="00EF4632"/>
    <w:rsid w:val="00EF49A3"/>
    <w:rsid w:val="00EF4ACE"/>
    <w:rsid w:val="00EF4C73"/>
    <w:rsid w:val="00EF5610"/>
    <w:rsid w:val="00EF62EB"/>
    <w:rsid w:val="00EF69B9"/>
    <w:rsid w:val="00EF763C"/>
    <w:rsid w:val="00EF7687"/>
    <w:rsid w:val="00EF792B"/>
    <w:rsid w:val="00F005FD"/>
    <w:rsid w:val="00F01373"/>
    <w:rsid w:val="00F017E6"/>
    <w:rsid w:val="00F01EE4"/>
    <w:rsid w:val="00F01FD4"/>
    <w:rsid w:val="00F022F2"/>
    <w:rsid w:val="00F03079"/>
    <w:rsid w:val="00F04181"/>
    <w:rsid w:val="00F042EC"/>
    <w:rsid w:val="00F05280"/>
    <w:rsid w:val="00F055A0"/>
    <w:rsid w:val="00F07054"/>
    <w:rsid w:val="00F07633"/>
    <w:rsid w:val="00F07818"/>
    <w:rsid w:val="00F078E2"/>
    <w:rsid w:val="00F079CD"/>
    <w:rsid w:val="00F100E4"/>
    <w:rsid w:val="00F10D74"/>
    <w:rsid w:val="00F10E3A"/>
    <w:rsid w:val="00F1208B"/>
    <w:rsid w:val="00F127CC"/>
    <w:rsid w:val="00F13068"/>
    <w:rsid w:val="00F13994"/>
    <w:rsid w:val="00F14972"/>
    <w:rsid w:val="00F1579E"/>
    <w:rsid w:val="00F15CB5"/>
    <w:rsid w:val="00F17722"/>
    <w:rsid w:val="00F21388"/>
    <w:rsid w:val="00F21DEA"/>
    <w:rsid w:val="00F21FAB"/>
    <w:rsid w:val="00F220D2"/>
    <w:rsid w:val="00F22C54"/>
    <w:rsid w:val="00F22EA7"/>
    <w:rsid w:val="00F23C5B"/>
    <w:rsid w:val="00F260FB"/>
    <w:rsid w:val="00F263B7"/>
    <w:rsid w:val="00F26531"/>
    <w:rsid w:val="00F27723"/>
    <w:rsid w:val="00F27A7B"/>
    <w:rsid w:val="00F27BDD"/>
    <w:rsid w:val="00F30ADE"/>
    <w:rsid w:val="00F30E41"/>
    <w:rsid w:val="00F30E78"/>
    <w:rsid w:val="00F31133"/>
    <w:rsid w:val="00F315E6"/>
    <w:rsid w:val="00F31BF3"/>
    <w:rsid w:val="00F320E5"/>
    <w:rsid w:val="00F32149"/>
    <w:rsid w:val="00F3252E"/>
    <w:rsid w:val="00F32B00"/>
    <w:rsid w:val="00F32E36"/>
    <w:rsid w:val="00F34186"/>
    <w:rsid w:val="00F34657"/>
    <w:rsid w:val="00F34CA4"/>
    <w:rsid w:val="00F4148B"/>
    <w:rsid w:val="00F41E22"/>
    <w:rsid w:val="00F420B1"/>
    <w:rsid w:val="00F42C58"/>
    <w:rsid w:val="00F4496E"/>
    <w:rsid w:val="00F45D86"/>
    <w:rsid w:val="00F46051"/>
    <w:rsid w:val="00F4605A"/>
    <w:rsid w:val="00F46F24"/>
    <w:rsid w:val="00F47DE5"/>
    <w:rsid w:val="00F47F31"/>
    <w:rsid w:val="00F50FEB"/>
    <w:rsid w:val="00F516DA"/>
    <w:rsid w:val="00F51710"/>
    <w:rsid w:val="00F51F9D"/>
    <w:rsid w:val="00F52D40"/>
    <w:rsid w:val="00F5321B"/>
    <w:rsid w:val="00F532CD"/>
    <w:rsid w:val="00F5341D"/>
    <w:rsid w:val="00F539E7"/>
    <w:rsid w:val="00F53FAA"/>
    <w:rsid w:val="00F54287"/>
    <w:rsid w:val="00F57AB1"/>
    <w:rsid w:val="00F57CEA"/>
    <w:rsid w:val="00F606C0"/>
    <w:rsid w:val="00F60D63"/>
    <w:rsid w:val="00F60E05"/>
    <w:rsid w:val="00F610ED"/>
    <w:rsid w:val="00F61138"/>
    <w:rsid w:val="00F612C6"/>
    <w:rsid w:val="00F6173A"/>
    <w:rsid w:val="00F61EDC"/>
    <w:rsid w:val="00F624B8"/>
    <w:rsid w:val="00F62565"/>
    <w:rsid w:val="00F6258F"/>
    <w:rsid w:val="00F62B1A"/>
    <w:rsid w:val="00F644EE"/>
    <w:rsid w:val="00F64E51"/>
    <w:rsid w:val="00F6507E"/>
    <w:rsid w:val="00F658AC"/>
    <w:rsid w:val="00F66E26"/>
    <w:rsid w:val="00F700AD"/>
    <w:rsid w:val="00F71534"/>
    <w:rsid w:val="00F71C9B"/>
    <w:rsid w:val="00F71EBA"/>
    <w:rsid w:val="00F73173"/>
    <w:rsid w:val="00F743C5"/>
    <w:rsid w:val="00F7582B"/>
    <w:rsid w:val="00F75D91"/>
    <w:rsid w:val="00F75F4F"/>
    <w:rsid w:val="00F7637E"/>
    <w:rsid w:val="00F76B3D"/>
    <w:rsid w:val="00F771A4"/>
    <w:rsid w:val="00F775BA"/>
    <w:rsid w:val="00F7797C"/>
    <w:rsid w:val="00F801CD"/>
    <w:rsid w:val="00F812A8"/>
    <w:rsid w:val="00F81BD8"/>
    <w:rsid w:val="00F82AFA"/>
    <w:rsid w:val="00F84B65"/>
    <w:rsid w:val="00F85BAB"/>
    <w:rsid w:val="00F86107"/>
    <w:rsid w:val="00F8632A"/>
    <w:rsid w:val="00F86BDE"/>
    <w:rsid w:val="00F873C3"/>
    <w:rsid w:val="00F87BB6"/>
    <w:rsid w:val="00F91338"/>
    <w:rsid w:val="00F91AB4"/>
    <w:rsid w:val="00F91D03"/>
    <w:rsid w:val="00F91D59"/>
    <w:rsid w:val="00F91EB5"/>
    <w:rsid w:val="00F9271D"/>
    <w:rsid w:val="00F92B38"/>
    <w:rsid w:val="00F92B4A"/>
    <w:rsid w:val="00F93016"/>
    <w:rsid w:val="00F93289"/>
    <w:rsid w:val="00F94AB9"/>
    <w:rsid w:val="00F94BD3"/>
    <w:rsid w:val="00F954D9"/>
    <w:rsid w:val="00F95A62"/>
    <w:rsid w:val="00F95F15"/>
    <w:rsid w:val="00F96BB1"/>
    <w:rsid w:val="00F96F18"/>
    <w:rsid w:val="00F97D12"/>
    <w:rsid w:val="00F97EA8"/>
    <w:rsid w:val="00F97F33"/>
    <w:rsid w:val="00FA085C"/>
    <w:rsid w:val="00FA0A54"/>
    <w:rsid w:val="00FA0D4D"/>
    <w:rsid w:val="00FA147E"/>
    <w:rsid w:val="00FA1CEA"/>
    <w:rsid w:val="00FA28D9"/>
    <w:rsid w:val="00FA31E0"/>
    <w:rsid w:val="00FA39B3"/>
    <w:rsid w:val="00FA3A87"/>
    <w:rsid w:val="00FA4C3F"/>
    <w:rsid w:val="00FA4EE1"/>
    <w:rsid w:val="00FB0098"/>
    <w:rsid w:val="00FB0680"/>
    <w:rsid w:val="00FB0778"/>
    <w:rsid w:val="00FB21AA"/>
    <w:rsid w:val="00FB2CAA"/>
    <w:rsid w:val="00FB3CD9"/>
    <w:rsid w:val="00FB49DE"/>
    <w:rsid w:val="00FB4D03"/>
    <w:rsid w:val="00FB6616"/>
    <w:rsid w:val="00FB6766"/>
    <w:rsid w:val="00FB6EF7"/>
    <w:rsid w:val="00FB7DCD"/>
    <w:rsid w:val="00FC00FC"/>
    <w:rsid w:val="00FC0DA2"/>
    <w:rsid w:val="00FC0EDD"/>
    <w:rsid w:val="00FC111E"/>
    <w:rsid w:val="00FC1BA4"/>
    <w:rsid w:val="00FC1C57"/>
    <w:rsid w:val="00FC1CE2"/>
    <w:rsid w:val="00FC1E27"/>
    <w:rsid w:val="00FC24EB"/>
    <w:rsid w:val="00FC2E57"/>
    <w:rsid w:val="00FC39A8"/>
    <w:rsid w:val="00FC3C66"/>
    <w:rsid w:val="00FC4862"/>
    <w:rsid w:val="00FC625A"/>
    <w:rsid w:val="00FC6680"/>
    <w:rsid w:val="00FC6B9F"/>
    <w:rsid w:val="00FC6BF4"/>
    <w:rsid w:val="00FC6DDF"/>
    <w:rsid w:val="00FC705A"/>
    <w:rsid w:val="00FC732F"/>
    <w:rsid w:val="00FD011E"/>
    <w:rsid w:val="00FD03F9"/>
    <w:rsid w:val="00FD1143"/>
    <w:rsid w:val="00FD1379"/>
    <w:rsid w:val="00FD233F"/>
    <w:rsid w:val="00FD267E"/>
    <w:rsid w:val="00FD2B1C"/>
    <w:rsid w:val="00FD3191"/>
    <w:rsid w:val="00FD3AF3"/>
    <w:rsid w:val="00FD3BB5"/>
    <w:rsid w:val="00FD470F"/>
    <w:rsid w:val="00FD4B9F"/>
    <w:rsid w:val="00FD56F0"/>
    <w:rsid w:val="00FD5A0A"/>
    <w:rsid w:val="00FD5DCE"/>
    <w:rsid w:val="00FD6268"/>
    <w:rsid w:val="00FD695B"/>
    <w:rsid w:val="00FD7D2B"/>
    <w:rsid w:val="00FE0384"/>
    <w:rsid w:val="00FE08B6"/>
    <w:rsid w:val="00FE3054"/>
    <w:rsid w:val="00FE3CC9"/>
    <w:rsid w:val="00FE5237"/>
    <w:rsid w:val="00FE55D3"/>
    <w:rsid w:val="00FE5764"/>
    <w:rsid w:val="00FE5A7D"/>
    <w:rsid w:val="00FE5F29"/>
    <w:rsid w:val="00FE7236"/>
    <w:rsid w:val="00FE7592"/>
    <w:rsid w:val="00FE76DD"/>
    <w:rsid w:val="00FE7C15"/>
    <w:rsid w:val="00FE7DA1"/>
    <w:rsid w:val="00FE7DD5"/>
    <w:rsid w:val="00FE7DE2"/>
    <w:rsid w:val="00FF024B"/>
    <w:rsid w:val="00FF1A2B"/>
    <w:rsid w:val="00FF4A01"/>
    <w:rsid w:val="00FF4BB4"/>
    <w:rsid w:val="00FF4CD8"/>
    <w:rsid w:val="00FF4D13"/>
    <w:rsid w:val="00FF4EE2"/>
    <w:rsid w:val="00FF5C74"/>
    <w:rsid w:val="00FF6433"/>
    <w:rsid w:val="00FF773C"/>
    <w:rsid w:val="00FF7F65"/>
  </w:rsids>
  <m:mathPr>
    <m:mathFont m:val="Cambria Math"/>
    <m:brkBin m:val="before"/>
    <m:brkBinSub m:val="--"/>
    <m:smallFrac m:val="0"/>
    <m:dispDef/>
    <m:lMargin m:val="0"/>
    <m:rMargin m:val="0"/>
    <m:defJc m:val="centerGroup"/>
    <m:wrapIndent m:val="1440"/>
    <m:intLim m:val="subSup"/>
    <m:naryLim m:val="undOvr"/>
  </m:mathPr>
  <w:attachedSchema w:val="isiresearchsoft-com/cwyw"/>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50FD520"/>
  <w15:docId w15:val="{CC8A6B4E-172E-5340-BA6A-ADBB333EC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MS ??" w:hAnsi="Cambria"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0"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971"/>
    <w:rPr>
      <w:rFonts w:ascii="Times New Roman" w:eastAsia="Times New Roman" w:hAnsi="Times New Roman"/>
      <w:sz w:val="24"/>
      <w:szCs w:val="24"/>
      <w:lang w:eastAsia="en-US"/>
    </w:rPr>
  </w:style>
  <w:style w:type="paragraph" w:styleId="Heading1">
    <w:name w:val="heading 1"/>
    <w:basedOn w:val="Normal"/>
    <w:next w:val="RdgNormal"/>
    <w:link w:val="Heading1Char"/>
    <w:uiPriority w:val="99"/>
    <w:qFormat/>
    <w:rsid w:val="00636328"/>
    <w:pPr>
      <w:keepNext/>
      <w:keepLines/>
      <w:pageBreakBefore/>
      <w:numPr>
        <w:numId w:val="3"/>
      </w:numPr>
      <w:spacing w:before="360" w:after="120" w:line="480" w:lineRule="auto"/>
      <w:ind w:left="431" w:hanging="431"/>
      <w:outlineLvl w:val="0"/>
    </w:pPr>
    <w:rPr>
      <w:rFonts w:ascii="Helvetica" w:hAnsi="Helvetica" w:cs="Arial"/>
      <w:kern w:val="32"/>
      <w:sz w:val="28"/>
      <w:szCs w:val="32"/>
    </w:rPr>
  </w:style>
  <w:style w:type="paragraph" w:styleId="Heading2">
    <w:name w:val="heading 2"/>
    <w:basedOn w:val="Normal"/>
    <w:next w:val="RdgNormal"/>
    <w:link w:val="Heading2Char"/>
    <w:uiPriority w:val="99"/>
    <w:qFormat/>
    <w:rsid w:val="008B42DC"/>
    <w:pPr>
      <w:keepNext/>
      <w:numPr>
        <w:ilvl w:val="1"/>
        <w:numId w:val="3"/>
      </w:numPr>
      <w:spacing w:before="240" w:after="120" w:line="480" w:lineRule="auto"/>
      <w:ind w:left="578" w:hanging="578"/>
      <w:outlineLvl w:val="1"/>
    </w:pPr>
    <w:rPr>
      <w:rFonts w:ascii="Helvetica" w:hAnsi="Helvetica" w:cs="Arial"/>
      <w:kern w:val="32"/>
      <w:szCs w:val="28"/>
    </w:rPr>
  </w:style>
  <w:style w:type="paragraph" w:styleId="Heading3">
    <w:name w:val="heading 3"/>
    <w:basedOn w:val="Normal"/>
    <w:next w:val="RdgNormal"/>
    <w:link w:val="Heading3Char"/>
    <w:uiPriority w:val="99"/>
    <w:qFormat/>
    <w:rsid w:val="008B42DC"/>
    <w:pPr>
      <w:keepNext/>
      <w:keepLines/>
      <w:numPr>
        <w:ilvl w:val="2"/>
        <w:numId w:val="3"/>
      </w:numPr>
      <w:spacing w:before="240" w:after="120" w:line="480" w:lineRule="auto"/>
      <w:outlineLvl w:val="2"/>
    </w:pPr>
    <w:rPr>
      <w:rFonts w:ascii="Helvetica" w:hAnsi="Helvetica" w:cs="Arial"/>
      <w:szCs w:val="26"/>
    </w:rPr>
  </w:style>
  <w:style w:type="paragraph" w:styleId="Heading4">
    <w:name w:val="heading 4"/>
    <w:basedOn w:val="Normal"/>
    <w:next w:val="Normal"/>
    <w:link w:val="Heading4Char"/>
    <w:uiPriority w:val="99"/>
    <w:qFormat/>
    <w:rsid w:val="0099783D"/>
    <w:pPr>
      <w:keepNext/>
      <w:numPr>
        <w:ilvl w:val="3"/>
        <w:numId w:val="3"/>
      </w:numPr>
      <w:spacing w:before="240" w:after="60"/>
      <w:outlineLvl w:val="3"/>
    </w:pPr>
    <w:rPr>
      <w:rFonts w:ascii="Cambria" w:hAnsi="Cambria"/>
      <w:b/>
      <w:bCs/>
      <w:sz w:val="28"/>
      <w:szCs w:val="28"/>
    </w:rPr>
  </w:style>
  <w:style w:type="paragraph" w:styleId="Heading5">
    <w:name w:val="heading 5"/>
    <w:basedOn w:val="Normal"/>
    <w:next w:val="Normal"/>
    <w:link w:val="Heading5Char"/>
    <w:uiPriority w:val="99"/>
    <w:qFormat/>
    <w:rsid w:val="0099783D"/>
    <w:pPr>
      <w:numPr>
        <w:ilvl w:val="4"/>
        <w:numId w:val="3"/>
      </w:numPr>
      <w:spacing w:before="240" w:after="60"/>
      <w:outlineLvl w:val="4"/>
    </w:pPr>
    <w:rPr>
      <w:rFonts w:ascii="Cambria" w:hAnsi="Cambria"/>
      <w:b/>
      <w:bCs/>
      <w:i/>
      <w:iCs/>
      <w:sz w:val="26"/>
      <w:szCs w:val="26"/>
    </w:rPr>
  </w:style>
  <w:style w:type="paragraph" w:styleId="Heading6">
    <w:name w:val="heading 6"/>
    <w:basedOn w:val="Normal"/>
    <w:next w:val="Normal"/>
    <w:link w:val="Heading6Char"/>
    <w:uiPriority w:val="99"/>
    <w:qFormat/>
    <w:rsid w:val="0099783D"/>
    <w:pPr>
      <w:numPr>
        <w:ilvl w:val="5"/>
        <w:numId w:val="3"/>
      </w:numPr>
      <w:spacing w:before="240" w:after="60"/>
      <w:outlineLvl w:val="5"/>
    </w:pPr>
    <w:rPr>
      <w:rFonts w:ascii="Cambria" w:hAnsi="Cambria"/>
      <w:b/>
      <w:bCs/>
      <w:szCs w:val="22"/>
    </w:rPr>
  </w:style>
  <w:style w:type="paragraph" w:styleId="Heading7">
    <w:name w:val="heading 7"/>
    <w:basedOn w:val="Normal"/>
    <w:next w:val="Normal"/>
    <w:link w:val="Heading7Char"/>
    <w:uiPriority w:val="99"/>
    <w:qFormat/>
    <w:rsid w:val="0099783D"/>
    <w:pPr>
      <w:numPr>
        <w:ilvl w:val="6"/>
        <w:numId w:val="3"/>
      </w:numPr>
      <w:spacing w:before="240" w:after="60"/>
      <w:outlineLvl w:val="6"/>
    </w:pPr>
    <w:rPr>
      <w:rFonts w:ascii="Cambria" w:hAnsi="Cambria"/>
    </w:rPr>
  </w:style>
  <w:style w:type="paragraph" w:styleId="Heading8">
    <w:name w:val="heading 8"/>
    <w:basedOn w:val="Normal"/>
    <w:next w:val="Normal"/>
    <w:link w:val="Heading8Char"/>
    <w:uiPriority w:val="99"/>
    <w:qFormat/>
    <w:rsid w:val="0099783D"/>
    <w:pPr>
      <w:numPr>
        <w:ilvl w:val="7"/>
        <w:numId w:val="3"/>
      </w:numPr>
      <w:spacing w:before="240" w:after="60"/>
      <w:outlineLvl w:val="7"/>
    </w:pPr>
    <w:rPr>
      <w:rFonts w:ascii="Cambria" w:hAnsi="Cambria"/>
      <w:i/>
      <w:iCs/>
    </w:rPr>
  </w:style>
  <w:style w:type="paragraph" w:styleId="Heading9">
    <w:name w:val="heading 9"/>
    <w:basedOn w:val="Normal"/>
    <w:next w:val="Normal"/>
    <w:link w:val="Heading9Char"/>
    <w:uiPriority w:val="99"/>
    <w:qFormat/>
    <w:rsid w:val="0099783D"/>
    <w:pPr>
      <w:numPr>
        <w:ilvl w:val="8"/>
        <w:numId w:val="3"/>
      </w:numPr>
      <w:spacing w:before="240" w:after="60"/>
      <w:outlineLvl w:val="8"/>
    </w:pPr>
    <w:rPr>
      <w:rFonts w:ascii="Calibri" w:eastAsia="MS ????" w:hAnsi="Calibr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636328"/>
    <w:rPr>
      <w:rFonts w:ascii="Helvetica" w:hAnsi="Helvetica" w:cs="Arial"/>
      <w:kern w:val="32"/>
      <w:sz w:val="28"/>
      <w:szCs w:val="32"/>
      <w:lang w:eastAsia="en-US"/>
    </w:rPr>
  </w:style>
  <w:style w:type="character" w:customStyle="1" w:styleId="Heading2Char">
    <w:name w:val="Heading 2 Char"/>
    <w:basedOn w:val="DefaultParagraphFont"/>
    <w:link w:val="Heading2"/>
    <w:uiPriority w:val="99"/>
    <w:locked/>
    <w:rsid w:val="008B42DC"/>
    <w:rPr>
      <w:rFonts w:ascii="Helvetica" w:hAnsi="Helvetica" w:cs="Arial"/>
      <w:kern w:val="32"/>
      <w:sz w:val="24"/>
      <w:szCs w:val="28"/>
      <w:lang w:eastAsia="en-US"/>
    </w:rPr>
  </w:style>
  <w:style w:type="character" w:customStyle="1" w:styleId="Heading3Char">
    <w:name w:val="Heading 3 Char"/>
    <w:basedOn w:val="DefaultParagraphFont"/>
    <w:link w:val="Heading3"/>
    <w:uiPriority w:val="99"/>
    <w:locked/>
    <w:rsid w:val="008B42DC"/>
    <w:rPr>
      <w:rFonts w:ascii="Helvetica" w:hAnsi="Helvetica" w:cs="Arial"/>
      <w:szCs w:val="26"/>
      <w:lang w:eastAsia="en-US"/>
    </w:rPr>
  </w:style>
  <w:style w:type="character" w:customStyle="1" w:styleId="Heading4Char">
    <w:name w:val="Heading 4 Char"/>
    <w:basedOn w:val="DefaultParagraphFont"/>
    <w:link w:val="Heading4"/>
    <w:uiPriority w:val="99"/>
    <w:locked/>
    <w:rsid w:val="0099783D"/>
    <w:rPr>
      <w:b/>
      <w:bCs/>
      <w:sz w:val="28"/>
      <w:szCs w:val="28"/>
      <w:lang w:eastAsia="en-US"/>
    </w:rPr>
  </w:style>
  <w:style w:type="character" w:customStyle="1" w:styleId="Heading5Char">
    <w:name w:val="Heading 5 Char"/>
    <w:basedOn w:val="DefaultParagraphFont"/>
    <w:link w:val="Heading5"/>
    <w:uiPriority w:val="99"/>
    <w:locked/>
    <w:rsid w:val="0099783D"/>
    <w:rPr>
      <w:b/>
      <w:bCs/>
      <w:i/>
      <w:iCs/>
      <w:sz w:val="26"/>
      <w:szCs w:val="26"/>
      <w:lang w:eastAsia="en-US"/>
    </w:rPr>
  </w:style>
  <w:style w:type="character" w:customStyle="1" w:styleId="Heading6Char">
    <w:name w:val="Heading 6 Char"/>
    <w:basedOn w:val="DefaultParagraphFont"/>
    <w:link w:val="Heading6"/>
    <w:uiPriority w:val="99"/>
    <w:locked/>
    <w:rsid w:val="0099783D"/>
    <w:rPr>
      <w:b/>
      <w:bCs/>
      <w:lang w:eastAsia="en-US"/>
    </w:rPr>
  </w:style>
  <w:style w:type="character" w:customStyle="1" w:styleId="Heading7Char">
    <w:name w:val="Heading 7 Char"/>
    <w:basedOn w:val="DefaultParagraphFont"/>
    <w:link w:val="Heading7"/>
    <w:uiPriority w:val="99"/>
    <w:locked/>
    <w:rsid w:val="0099783D"/>
    <w:rPr>
      <w:sz w:val="24"/>
      <w:szCs w:val="24"/>
      <w:lang w:eastAsia="en-US"/>
    </w:rPr>
  </w:style>
  <w:style w:type="character" w:customStyle="1" w:styleId="Heading8Char">
    <w:name w:val="Heading 8 Char"/>
    <w:basedOn w:val="DefaultParagraphFont"/>
    <w:link w:val="Heading8"/>
    <w:uiPriority w:val="99"/>
    <w:locked/>
    <w:rsid w:val="0099783D"/>
    <w:rPr>
      <w:i/>
      <w:iCs/>
      <w:sz w:val="24"/>
      <w:szCs w:val="24"/>
      <w:lang w:eastAsia="en-US"/>
    </w:rPr>
  </w:style>
  <w:style w:type="character" w:customStyle="1" w:styleId="Heading9Char">
    <w:name w:val="Heading 9 Char"/>
    <w:basedOn w:val="DefaultParagraphFont"/>
    <w:link w:val="Heading9"/>
    <w:uiPriority w:val="99"/>
    <w:locked/>
    <w:rsid w:val="0099783D"/>
    <w:rPr>
      <w:rFonts w:ascii="Calibri" w:eastAsia="MS ????" w:hAnsi="Calibri"/>
      <w:lang w:eastAsia="en-US"/>
    </w:rPr>
  </w:style>
  <w:style w:type="paragraph" w:customStyle="1" w:styleId="Affiliation">
    <w:name w:val="Affiliation"/>
    <w:basedOn w:val="Normal"/>
    <w:uiPriority w:val="99"/>
    <w:rsid w:val="004D0030"/>
    <w:pPr>
      <w:tabs>
        <w:tab w:val="left" w:pos="284"/>
      </w:tabs>
      <w:ind w:left="284" w:hanging="284"/>
    </w:pPr>
    <w:rPr>
      <w:sz w:val="20"/>
    </w:rPr>
  </w:style>
  <w:style w:type="paragraph" w:customStyle="1" w:styleId="Authors">
    <w:name w:val="Authors"/>
    <w:basedOn w:val="Title"/>
    <w:uiPriority w:val="99"/>
    <w:rsid w:val="004D0030"/>
    <w:rPr>
      <w:bCs w:val="0"/>
      <w:sz w:val="22"/>
    </w:rPr>
  </w:style>
  <w:style w:type="paragraph" w:styleId="Title">
    <w:name w:val="Title"/>
    <w:basedOn w:val="Normal"/>
    <w:link w:val="TitleChar"/>
    <w:uiPriority w:val="99"/>
    <w:qFormat/>
    <w:rsid w:val="008B42DC"/>
    <w:pPr>
      <w:spacing w:before="240" w:after="60" w:line="480" w:lineRule="auto"/>
      <w:outlineLvl w:val="0"/>
    </w:pPr>
    <w:rPr>
      <w:rFonts w:ascii="Helvetica" w:hAnsi="Helvetica" w:cs="Arial"/>
      <w:bCs/>
      <w:kern w:val="28"/>
      <w:sz w:val="32"/>
      <w:szCs w:val="32"/>
    </w:rPr>
  </w:style>
  <w:style w:type="character" w:customStyle="1" w:styleId="TitleChar">
    <w:name w:val="Title Char"/>
    <w:basedOn w:val="DefaultParagraphFont"/>
    <w:link w:val="Title"/>
    <w:uiPriority w:val="99"/>
    <w:locked/>
    <w:rsid w:val="008B42DC"/>
    <w:rPr>
      <w:rFonts w:ascii="Helvetica" w:hAnsi="Helvetica" w:cs="Arial"/>
      <w:bCs/>
      <w:kern w:val="28"/>
      <w:sz w:val="32"/>
      <w:szCs w:val="32"/>
      <w:lang w:eastAsia="en-US"/>
    </w:rPr>
  </w:style>
  <w:style w:type="paragraph" w:styleId="Caption">
    <w:name w:val="caption"/>
    <w:basedOn w:val="RdgNormal"/>
    <w:next w:val="Normal"/>
    <w:uiPriority w:val="99"/>
    <w:qFormat/>
    <w:rsid w:val="00B857E4"/>
    <w:pPr>
      <w:tabs>
        <w:tab w:val="left" w:pos="1134"/>
      </w:tabs>
      <w:spacing w:before="240" w:after="240"/>
      <w:ind w:left="1134" w:hanging="1134"/>
    </w:pPr>
    <w:rPr>
      <w:bCs/>
      <w:color w:val="000000"/>
      <w:sz w:val="20"/>
      <w:szCs w:val="18"/>
    </w:rPr>
  </w:style>
  <w:style w:type="paragraph" w:styleId="Footer">
    <w:name w:val="footer"/>
    <w:basedOn w:val="Normal"/>
    <w:link w:val="FooterChar"/>
    <w:uiPriority w:val="99"/>
    <w:rsid w:val="0099783D"/>
    <w:pPr>
      <w:tabs>
        <w:tab w:val="center" w:pos="4153"/>
        <w:tab w:val="right" w:pos="8306"/>
      </w:tabs>
    </w:pPr>
  </w:style>
  <w:style w:type="character" w:customStyle="1" w:styleId="FooterChar">
    <w:name w:val="Footer Char"/>
    <w:basedOn w:val="DefaultParagraphFont"/>
    <w:link w:val="Footer"/>
    <w:uiPriority w:val="99"/>
    <w:locked/>
    <w:rsid w:val="004D0030"/>
    <w:rPr>
      <w:rFonts w:ascii="Times New Roman" w:hAnsi="Times New Roman" w:cs="Times New Roman"/>
      <w:sz w:val="22"/>
      <w:lang w:val="en-GB" w:eastAsia="en-US"/>
    </w:rPr>
  </w:style>
  <w:style w:type="paragraph" w:styleId="Header">
    <w:name w:val="header"/>
    <w:aliases w:val="Rdg Header"/>
    <w:basedOn w:val="Normal"/>
    <w:link w:val="HeaderChar"/>
    <w:uiPriority w:val="99"/>
    <w:rsid w:val="00673296"/>
    <w:pPr>
      <w:tabs>
        <w:tab w:val="right" w:pos="9356"/>
      </w:tabs>
      <w:jc w:val="right"/>
    </w:pPr>
    <w:rPr>
      <w:rFonts w:asciiTheme="minorHAnsi" w:hAnsiTheme="minorHAnsi"/>
      <w:sz w:val="20"/>
    </w:rPr>
  </w:style>
  <w:style w:type="character" w:customStyle="1" w:styleId="HeaderChar">
    <w:name w:val="Header Char"/>
    <w:aliases w:val="Rdg Header Char"/>
    <w:basedOn w:val="DefaultParagraphFont"/>
    <w:link w:val="Header"/>
    <w:uiPriority w:val="99"/>
    <w:locked/>
    <w:rsid w:val="00673296"/>
    <w:rPr>
      <w:rFonts w:asciiTheme="minorHAnsi" w:hAnsiTheme="minorHAnsi"/>
      <w:sz w:val="20"/>
      <w:szCs w:val="24"/>
      <w:lang w:eastAsia="en-US"/>
    </w:rPr>
  </w:style>
  <w:style w:type="paragraph" w:customStyle="1" w:styleId="NoNumberHeading">
    <w:name w:val="NoNumber_Heading"/>
    <w:basedOn w:val="Heading1"/>
    <w:next w:val="Normal"/>
    <w:uiPriority w:val="99"/>
    <w:rsid w:val="004A41ED"/>
    <w:pPr>
      <w:pageBreakBefore w:val="0"/>
      <w:numPr>
        <w:numId w:val="0"/>
      </w:numPr>
    </w:pPr>
  </w:style>
  <w:style w:type="paragraph" w:styleId="NormalIndent">
    <w:name w:val="Normal Indent"/>
    <w:basedOn w:val="Normal"/>
    <w:rsid w:val="004D0030"/>
    <w:pPr>
      <w:ind w:firstLine="720"/>
    </w:pPr>
  </w:style>
  <w:style w:type="paragraph" w:customStyle="1" w:styleId="NormalConclusion">
    <w:name w:val="Normal Conclusion"/>
    <w:basedOn w:val="Normal"/>
    <w:uiPriority w:val="99"/>
    <w:rsid w:val="004D0030"/>
    <w:pPr>
      <w:spacing w:before="120"/>
    </w:pPr>
  </w:style>
  <w:style w:type="paragraph" w:customStyle="1" w:styleId="NormalTable">
    <w:name w:val="Normal_Table"/>
    <w:basedOn w:val="Normal"/>
    <w:uiPriority w:val="99"/>
    <w:rsid w:val="004D0030"/>
    <w:rPr>
      <w:sz w:val="20"/>
    </w:rPr>
  </w:style>
  <w:style w:type="paragraph" w:customStyle="1" w:styleId="References">
    <w:name w:val="References"/>
    <w:basedOn w:val="Normal"/>
    <w:uiPriority w:val="99"/>
    <w:rsid w:val="007513DA"/>
    <w:pPr>
      <w:tabs>
        <w:tab w:val="left" w:pos="454"/>
      </w:tabs>
      <w:ind w:left="454" w:hanging="454"/>
    </w:pPr>
    <w:rPr>
      <w:rFonts w:ascii="Gill Sans Light" w:hAnsi="Gill Sans Light"/>
      <w:sz w:val="16"/>
    </w:rPr>
  </w:style>
  <w:style w:type="paragraph" w:styleId="BalloonText">
    <w:name w:val="Balloon Text"/>
    <w:basedOn w:val="Normal"/>
    <w:link w:val="BalloonTextChar"/>
    <w:uiPriority w:val="99"/>
    <w:semiHidden/>
    <w:rsid w:val="00AC0B8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locked/>
    <w:rsid w:val="00AC0B8D"/>
    <w:rPr>
      <w:rFonts w:ascii="Lucida Grande" w:hAnsi="Lucida Grande" w:cs="Lucida Grande"/>
      <w:sz w:val="18"/>
      <w:szCs w:val="18"/>
      <w:lang w:val="en-GB" w:eastAsia="en-GB"/>
    </w:rPr>
  </w:style>
  <w:style w:type="paragraph" w:customStyle="1" w:styleId="RdgNormal">
    <w:name w:val="Rdg Normal"/>
    <w:next w:val="RdgNormalFollow"/>
    <w:uiPriority w:val="99"/>
    <w:rsid w:val="00636328"/>
    <w:pPr>
      <w:spacing w:line="480" w:lineRule="auto"/>
    </w:pPr>
    <w:rPr>
      <w:rFonts w:ascii="Times New Roman" w:hAnsi="Times New Roman"/>
      <w:sz w:val="24"/>
      <w:szCs w:val="24"/>
      <w:lang w:eastAsia="en-US"/>
    </w:rPr>
  </w:style>
  <w:style w:type="paragraph" w:customStyle="1" w:styleId="RdgAbstract">
    <w:name w:val="Rdg Abstract"/>
    <w:basedOn w:val="RdgNormal"/>
    <w:uiPriority w:val="99"/>
    <w:rsid w:val="006C6799"/>
    <w:pPr>
      <w:spacing w:before="360" w:after="360"/>
    </w:pPr>
  </w:style>
  <w:style w:type="paragraph" w:customStyle="1" w:styleId="RdgAffilitaion">
    <w:name w:val="Rdg Affilitaion"/>
    <w:basedOn w:val="RdgNormal"/>
    <w:uiPriority w:val="99"/>
    <w:rsid w:val="006C6799"/>
    <w:pPr>
      <w:tabs>
        <w:tab w:val="right" w:pos="680"/>
        <w:tab w:val="left" w:pos="720"/>
      </w:tabs>
      <w:ind w:left="720" w:hanging="720"/>
    </w:pPr>
    <w:rPr>
      <w:rFonts w:ascii="Rdg Vesta" w:hAnsi="Rdg Vesta"/>
    </w:rPr>
  </w:style>
  <w:style w:type="paragraph" w:customStyle="1" w:styleId="RdgAuthors">
    <w:name w:val="Rdg Authors"/>
    <w:basedOn w:val="RdgNormal"/>
    <w:uiPriority w:val="99"/>
    <w:rsid w:val="00636328"/>
    <w:pPr>
      <w:spacing w:before="120" w:after="240"/>
    </w:pPr>
  </w:style>
  <w:style w:type="character" w:customStyle="1" w:styleId="Rdgbold">
    <w:name w:val="Rdg bold"/>
    <w:uiPriority w:val="99"/>
    <w:rsid w:val="0099783D"/>
    <w:rPr>
      <w:rFonts w:ascii="Rdg Vesta" w:hAnsi="Rdg Vesta"/>
      <w:b/>
    </w:rPr>
  </w:style>
  <w:style w:type="paragraph" w:customStyle="1" w:styleId="RdgBulletlevel1">
    <w:name w:val="Rdg Bullet level 1"/>
    <w:basedOn w:val="Normal"/>
    <w:uiPriority w:val="99"/>
    <w:rsid w:val="0099783D"/>
    <w:pPr>
      <w:numPr>
        <w:numId w:val="1"/>
      </w:numPr>
      <w:spacing w:before="60" w:line="252" w:lineRule="auto"/>
    </w:pPr>
    <w:rPr>
      <w:rFonts w:ascii="Rdg Swift" w:hAnsi="Rdg Swift"/>
    </w:rPr>
  </w:style>
  <w:style w:type="paragraph" w:customStyle="1" w:styleId="RdgBulletlevel2">
    <w:name w:val="Rdg Bullet level 2"/>
    <w:basedOn w:val="RdgBulletlevel1"/>
    <w:uiPriority w:val="99"/>
    <w:rsid w:val="0099783D"/>
    <w:pPr>
      <w:numPr>
        <w:numId w:val="0"/>
      </w:numPr>
    </w:pPr>
  </w:style>
  <w:style w:type="paragraph" w:customStyle="1" w:styleId="RdgCaptions">
    <w:name w:val="Rdg Captions"/>
    <w:basedOn w:val="RdgNormal"/>
    <w:uiPriority w:val="99"/>
    <w:rsid w:val="009C61AB"/>
    <w:pPr>
      <w:tabs>
        <w:tab w:val="left" w:pos="720"/>
      </w:tabs>
      <w:spacing w:after="240" w:line="240" w:lineRule="auto"/>
      <w:ind w:left="720" w:hanging="720"/>
    </w:pPr>
    <w:rPr>
      <w:sz w:val="18"/>
    </w:rPr>
  </w:style>
  <w:style w:type="paragraph" w:customStyle="1" w:styleId="RdgNormalFollow">
    <w:name w:val="Rdg Normal Follow"/>
    <w:basedOn w:val="RdgNormal"/>
    <w:uiPriority w:val="99"/>
    <w:rsid w:val="0099783D"/>
    <w:pPr>
      <w:ind w:firstLine="510"/>
    </w:pPr>
  </w:style>
  <w:style w:type="paragraph" w:customStyle="1" w:styleId="Rdgtable">
    <w:name w:val="Rdg table"/>
    <w:basedOn w:val="Normal"/>
    <w:uiPriority w:val="99"/>
    <w:rsid w:val="00197BCB"/>
    <w:pPr>
      <w:spacing w:before="60" w:after="60"/>
    </w:pPr>
    <w:rPr>
      <w:rFonts w:eastAsia="MS ??"/>
      <w:sz w:val="18"/>
      <w:szCs w:val="22"/>
    </w:rPr>
  </w:style>
  <w:style w:type="table" w:customStyle="1" w:styleId="RdgTables3">
    <w:name w:val="Rdg Tables 3"/>
    <w:uiPriority w:val="99"/>
    <w:semiHidden/>
    <w:rsid w:val="0099783D"/>
    <w:pPr>
      <w:spacing w:line="280" w:lineRule="exact"/>
    </w:pPr>
    <w:rPr>
      <w:rFonts w:ascii="Agency FB" w:hAnsi="Agency FB"/>
      <w:b/>
      <w:sz w:val="20"/>
      <w:szCs w:val="20"/>
      <w:lang w:val="en-US" w:eastAsia="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style>
  <w:style w:type="paragraph" w:customStyle="1" w:styleId="RdgTitle">
    <w:name w:val="Rdg Title"/>
    <w:next w:val="RdgNormal"/>
    <w:uiPriority w:val="99"/>
    <w:rsid w:val="0099783D"/>
    <w:pPr>
      <w:overflowPunct w:val="0"/>
      <w:autoSpaceDE w:val="0"/>
      <w:autoSpaceDN w:val="0"/>
      <w:adjustRightInd w:val="0"/>
      <w:snapToGrid w:val="0"/>
      <w:spacing w:before="120" w:after="360"/>
      <w:textAlignment w:val="baseline"/>
    </w:pPr>
    <w:rPr>
      <w:rFonts w:ascii="Rdg Vesta" w:hAnsi="Rdg Vesta"/>
      <w:sz w:val="36"/>
      <w:szCs w:val="40"/>
      <w:lang w:val="en-US" w:eastAsia="en-US"/>
    </w:rPr>
  </w:style>
  <w:style w:type="paragraph" w:customStyle="1" w:styleId="TableFootnote">
    <w:name w:val="Table_Footnote"/>
    <w:basedOn w:val="Normal"/>
    <w:uiPriority w:val="99"/>
    <w:rsid w:val="008866FB"/>
    <w:pPr>
      <w:spacing w:before="240"/>
    </w:pPr>
    <w:rPr>
      <w:rFonts w:ascii="Rdg Vesta" w:hAnsi="Rdg Vesta"/>
      <w:sz w:val="18"/>
    </w:rPr>
  </w:style>
  <w:style w:type="character" w:styleId="PageNumber">
    <w:name w:val="page number"/>
    <w:basedOn w:val="DefaultParagraphFont"/>
    <w:uiPriority w:val="99"/>
    <w:semiHidden/>
    <w:rsid w:val="00491D39"/>
    <w:rPr>
      <w:rFonts w:cs="Times New Roman"/>
    </w:rPr>
  </w:style>
  <w:style w:type="paragraph" w:customStyle="1" w:styleId="RdgTableLarge">
    <w:name w:val="Rdg_Table_Large"/>
    <w:basedOn w:val="Rdgtable"/>
    <w:uiPriority w:val="99"/>
    <w:rsid w:val="00014202"/>
  </w:style>
  <w:style w:type="table" w:styleId="TableGrid">
    <w:name w:val="Table Grid"/>
    <w:basedOn w:val="TableNormal"/>
    <w:uiPriority w:val="39"/>
    <w:rsid w:val="000E6F30"/>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CA7639"/>
    <w:rPr>
      <w:rFonts w:cs="Times New Roman"/>
      <w:sz w:val="16"/>
      <w:szCs w:val="16"/>
    </w:rPr>
  </w:style>
  <w:style w:type="paragraph" w:styleId="CommentText">
    <w:name w:val="annotation text"/>
    <w:basedOn w:val="Normal"/>
    <w:link w:val="CommentTextChar"/>
    <w:uiPriority w:val="99"/>
    <w:rsid w:val="00CA7639"/>
    <w:pPr>
      <w:spacing w:line="360" w:lineRule="auto"/>
      <w:jc w:val="both"/>
    </w:pPr>
    <w:rPr>
      <w:rFonts w:ascii="Rdg Swift" w:hAnsi="Rdg Swift"/>
      <w:sz w:val="20"/>
      <w:szCs w:val="20"/>
      <w:lang w:eastAsia="en-GB"/>
    </w:rPr>
  </w:style>
  <w:style w:type="character" w:customStyle="1" w:styleId="CommentTextChar">
    <w:name w:val="Comment Text Char"/>
    <w:basedOn w:val="DefaultParagraphFont"/>
    <w:link w:val="CommentText"/>
    <w:uiPriority w:val="99"/>
    <w:locked/>
    <w:rsid w:val="00CA7639"/>
    <w:rPr>
      <w:rFonts w:ascii="Rdg Swift" w:hAnsi="Rdg Swift" w:cs="Times New Roman"/>
      <w:sz w:val="20"/>
      <w:szCs w:val="20"/>
      <w:lang w:val="en-GB" w:eastAsia="en-GB"/>
    </w:rPr>
  </w:style>
  <w:style w:type="character" w:styleId="Hyperlink">
    <w:name w:val="Hyperlink"/>
    <w:basedOn w:val="DefaultParagraphFont"/>
    <w:uiPriority w:val="99"/>
    <w:rsid w:val="00BA2E18"/>
    <w:rPr>
      <w:rFonts w:cs="Times New Roman"/>
      <w:color w:val="0000FF"/>
      <w:u w:val="single"/>
    </w:rPr>
  </w:style>
  <w:style w:type="paragraph" w:customStyle="1" w:styleId="TitlePage">
    <w:name w:val="Title_Page"/>
    <w:basedOn w:val="RdgNormal"/>
    <w:uiPriority w:val="99"/>
    <w:rsid w:val="00904788"/>
    <w:pPr>
      <w:tabs>
        <w:tab w:val="left" w:pos="454"/>
      </w:tabs>
      <w:ind w:left="454" w:hanging="454"/>
    </w:pPr>
  </w:style>
  <w:style w:type="paragraph" w:customStyle="1" w:styleId="Symbol">
    <w:name w:val="Symbol"/>
    <w:basedOn w:val="RdgNormal"/>
    <w:uiPriority w:val="99"/>
    <w:rsid w:val="00965BCE"/>
  </w:style>
  <w:style w:type="paragraph" w:styleId="CommentSubject">
    <w:name w:val="annotation subject"/>
    <w:basedOn w:val="CommentText"/>
    <w:next w:val="CommentText"/>
    <w:link w:val="CommentSubjectChar"/>
    <w:uiPriority w:val="99"/>
    <w:semiHidden/>
    <w:locked/>
    <w:rsid w:val="00037E94"/>
    <w:pPr>
      <w:spacing w:line="280" w:lineRule="exact"/>
      <w:jc w:val="left"/>
    </w:pPr>
    <w:rPr>
      <w:rFonts w:ascii="Times New Roman" w:hAnsi="Times New Roman"/>
      <w:b/>
      <w:bCs/>
      <w:lang w:eastAsia="en-US"/>
    </w:rPr>
  </w:style>
  <w:style w:type="character" w:customStyle="1" w:styleId="CommentSubjectChar">
    <w:name w:val="Comment Subject Char"/>
    <w:basedOn w:val="CommentTextChar"/>
    <w:link w:val="CommentSubject"/>
    <w:uiPriority w:val="99"/>
    <w:semiHidden/>
    <w:rsid w:val="008F6CBE"/>
    <w:rPr>
      <w:rFonts w:ascii="Times New Roman" w:hAnsi="Times New Roman" w:cs="Times New Roman"/>
      <w:b/>
      <w:bCs/>
      <w:sz w:val="20"/>
      <w:szCs w:val="20"/>
      <w:lang w:val="en-GB" w:eastAsia="en-US"/>
    </w:rPr>
  </w:style>
  <w:style w:type="paragraph" w:customStyle="1" w:styleId="TableFootnote0">
    <w:name w:val="TableFootnote"/>
    <w:basedOn w:val="Normal"/>
    <w:qFormat/>
    <w:rsid w:val="00754AF7"/>
    <w:pPr>
      <w:spacing w:before="120"/>
    </w:pPr>
    <w:rPr>
      <w:rFonts w:ascii="Gill Sans Light" w:hAnsi="Gill Sans Light"/>
      <w:sz w:val="18"/>
    </w:rPr>
  </w:style>
  <w:style w:type="paragraph" w:customStyle="1" w:styleId="RdgAffil">
    <w:name w:val="Rdg_Affil"/>
    <w:basedOn w:val="TitlePage"/>
    <w:qFormat/>
    <w:rsid w:val="007513DA"/>
    <w:pPr>
      <w:ind w:left="738"/>
    </w:pPr>
    <w:rPr>
      <w:rFonts w:eastAsia="Times New Roman"/>
    </w:rPr>
  </w:style>
  <w:style w:type="paragraph" w:customStyle="1" w:styleId="NormalFollow">
    <w:name w:val="Normal_Follow"/>
    <w:basedOn w:val="Normal"/>
    <w:qFormat/>
    <w:rsid w:val="00DA64F5"/>
    <w:pPr>
      <w:spacing w:line="480" w:lineRule="auto"/>
      <w:ind w:firstLine="720"/>
    </w:pPr>
    <w:rPr>
      <w:rFonts w:ascii="Gill Sans Light" w:eastAsia="Calibri" w:hAnsi="Gill Sans Light"/>
    </w:rPr>
  </w:style>
  <w:style w:type="paragraph" w:styleId="ListParagraph">
    <w:name w:val="List Paragraph"/>
    <w:basedOn w:val="Normal"/>
    <w:uiPriority w:val="34"/>
    <w:qFormat/>
    <w:rsid w:val="00DA43B2"/>
    <w:pPr>
      <w:ind w:left="720"/>
      <w:contextualSpacing/>
    </w:pPr>
    <w:rPr>
      <w:rFonts w:ascii="Gill Sans Light" w:eastAsiaTheme="minorHAnsi" w:hAnsi="Gill Sans Light" w:cstheme="minorBidi"/>
    </w:rPr>
  </w:style>
  <w:style w:type="paragraph" w:customStyle="1" w:styleId="RdgStructure">
    <w:name w:val="Rdg_Structure"/>
    <w:basedOn w:val="RdgNormal"/>
    <w:qFormat/>
    <w:rsid w:val="000B2635"/>
    <w:pPr>
      <w:numPr>
        <w:numId w:val="2"/>
      </w:numPr>
    </w:pPr>
    <w:rPr>
      <w:rFonts w:ascii="Baskerville Old Face" w:hAnsi="Baskerville Old Face"/>
      <w:color w:val="943634" w:themeColor="accent2" w:themeShade="BF"/>
    </w:rPr>
  </w:style>
  <w:style w:type="paragraph" w:customStyle="1" w:styleId="RdgNormalConclusion">
    <w:name w:val="Rdg Normal Conclusion"/>
    <w:basedOn w:val="RdgNormal"/>
    <w:qFormat/>
    <w:rsid w:val="00EF763C"/>
    <w:pPr>
      <w:spacing w:before="240"/>
    </w:pPr>
  </w:style>
  <w:style w:type="paragraph" w:styleId="Revision">
    <w:name w:val="Revision"/>
    <w:hidden/>
    <w:uiPriority w:val="99"/>
    <w:semiHidden/>
    <w:rsid w:val="00890DF8"/>
    <w:rPr>
      <w:rFonts w:ascii="Times New Roman" w:hAnsi="Times New Roman"/>
      <w:szCs w:val="24"/>
      <w:lang w:eastAsia="en-US"/>
    </w:rPr>
  </w:style>
  <w:style w:type="paragraph" w:customStyle="1" w:styleId="RdgList">
    <w:name w:val="RdgList"/>
    <w:basedOn w:val="RdgNormal"/>
    <w:qFormat/>
    <w:rsid w:val="003C51C4"/>
    <w:pPr>
      <w:numPr>
        <w:numId w:val="4"/>
      </w:numPr>
    </w:pPr>
  </w:style>
  <w:style w:type="paragraph" w:customStyle="1" w:styleId="RdgConclusion">
    <w:name w:val="Rdg Conclusion"/>
    <w:basedOn w:val="RdgNormal"/>
    <w:qFormat/>
    <w:rsid w:val="0053142C"/>
    <w:pPr>
      <w:spacing w:before="240"/>
    </w:pPr>
  </w:style>
  <w:style w:type="character" w:styleId="Emphasis">
    <w:name w:val="Emphasis"/>
    <w:basedOn w:val="DefaultParagraphFont"/>
    <w:uiPriority w:val="20"/>
    <w:qFormat/>
    <w:locked/>
    <w:rsid w:val="008649A4"/>
    <w:rPr>
      <w:i/>
      <w:iCs/>
    </w:rPr>
  </w:style>
  <w:style w:type="character" w:customStyle="1" w:styleId="apple-converted-space">
    <w:name w:val="apple-converted-space"/>
    <w:basedOn w:val="DefaultParagraphFont"/>
    <w:rsid w:val="00C8156C"/>
  </w:style>
  <w:style w:type="character" w:styleId="Strong">
    <w:name w:val="Strong"/>
    <w:basedOn w:val="DefaultParagraphFont"/>
    <w:uiPriority w:val="22"/>
    <w:qFormat/>
    <w:locked/>
    <w:rsid w:val="00B44C39"/>
    <w:rPr>
      <w:b/>
      <w:bCs/>
    </w:rPr>
  </w:style>
  <w:style w:type="paragraph" w:styleId="NormalWeb">
    <w:name w:val="Normal (Web)"/>
    <w:basedOn w:val="Normal"/>
    <w:uiPriority w:val="99"/>
    <w:semiHidden/>
    <w:unhideWhenUsed/>
    <w:locked/>
    <w:rsid w:val="000E7033"/>
    <w:pPr>
      <w:spacing w:before="100" w:beforeAutospacing="1" w:after="100" w:afterAutospacing="1"/>
    </w:pPr>
    <w:rPr>
      <w:lang w:eastAsia="en-GB"/>
    </w:rPr>
  </w:style>
  <w:style w:type="table" w:styleId="LightShading">
    <w:name w:val="Light Shading"/>
    <w:basedOn w:val="TableNormal"/>
    <w:uiPriority w:val="60"/>
    <w:rsid w:val="0056698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noteText">
    <w:name w:val="footnote text"/>
    <w:basedOn w:val="Normal"/>
    <w:link w:val="FootnoteTextChar"/>
    <w:uiPriority w:val="99"/>
    <w:semiHidden/>
    <w:unhideWhenUsed/>
    <w:locked/>
    <w:rsid w:val="002B6A53"/>
    <w:rPr>
      <w:sz w:val="20"/>
      <w:szCs w:val="20"/>
    </w:rPr>
  </w:style>
  <w:style w:type="character" w:customStyle="1" w:styleId="FootnoteTextChar">
    <w:name w:val="Footnote Text Char"/>
    <w:basedOn w:val="DefaultParagraphFont"/>
    <w:link w:val="FootnoteText"/>
    <w:uiPriority w:val="99"/>
    <w:semiHidden/>
    <w:rsid w:val="002B6A53"/>
    <w:rPr>
      <w:rFonts w:ascii="Times New Roman" w:hAnsi="Times New Roman"/>
      <w:sz w:val="20"/>
      <w:szCs w:val="20"/>
      <w:lang w:eastAsia="en-US"/>
    </w:rPr>
  </w:style>
  <w:style w:type="character" w:styleId="FootnoteReference">
    <w:name w:val="footnote reference"/>
    <w:basedOn w:val="DefaultParagraphFont"/>
    <w:uiPriority w:val="99"/>
    <w:semiHidden/>
    <w:unhideWhenUsed/>
    <w:locked/>
    <w:rsid w:val="002B6A53"/>
    <w:rPr>
      <w:vertAlign w:val="superscript"/>
    </w:rPr>
  </w:style>
  <w:style w:type="character" w:customStyle="1" w:styleId="UnresolvedMention1">
    <w:name w:val="Unresolved Mention1"/>
    <w:basedOn w:val="DefaultParagraphFont"/>
    <w:uiPriority w:val="99"/>
    <w:semiHidden/>
    <w:unhideWhenUsed/>
    <w:rsid w:val="00BE36CC"/>
    <w:rPr>
      <w:color w:val="605E5C"/>
      <w:shd w:val="clear" w:color="auto" w:fill="E1DFDD"/>
    </w:rPr>
  </w:style>
  <w:style w:type="character" w:styleId="LineNumber">
    <w:name w:val="line number"/>
    <w:basedOn w:val="DefaultParagraphFont"/>
    <w:uiPriority w:val="99"/>
    <w:semiHidden/>
    <w:unhideWhenUsed/>
    <w:locked/>
    <w:rsid w:val="005B2FA6"/>
  </w:style>
  <w:style w:type="paragraph" w:customStyle="1" w:styleId="RdgNumbering">
    <w:name w:val="Rdg Numbering"/>
    <w:basedOn w:val="RdgNormal"/>
    <w:qFormat/>
    <w:rsid w:val="00D0596D"/>
    <w:pPr>
      <w:numPr>
        <w:numId w:val="5"/>
      </w:numPr>
      <w:ind w:left="357" w:hanging="357"/>
    </w:pPr>
  </w:style>
  <w:style w:type="character" w:customStyle="1" w:styleId="normaltextrun">
    <w:name w:val="normaltextrun"/>
    <w:basedOn w:val="DefaultParagraphFont"/>
    <w:rsid w:val="0047750D"/>
  </w:style>
  <w:style w:type="character" w:styleId="UnresolvedMention">
    <w:name w:val="Unresolved Mention"/>
    <w:basedOn w:val="DefaultParagraphFont"/>
    <w:uiPriority w:val="99"/>
    <w:semiHidden/>
    <w:unhideWhenUsed/>
    <w:rsid w:val="00606BF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39280">
      <w:bodyDiv w:val="1"/>
      <w:marLeft w:val="0"/>
      <w:marRight w:val="0"/>
      <w:marTop w:val="0"/>
      <w:marBottom w:val="0"/>
      <w:divBdr>
        <w:top w:val="none" w:sz="0" w:space="0" w:color="auto"/>
        <w:left w:val="none" w:sz="0" w:space="0" w:color="auto"/>
        <w:bottom w:val="none" w:sz="0" w:space="0" w:color="auto"/>
        <w:right w:val="none" w:sz="0" w:space="0" w:color="auto"/>
      </w:divBdr>
    </w:div>
    <w:div w:id="39518667">
      <w:bodyDiv w:val="1"/>
      <w:marLeft w:val="0"/>
      <w:marRight w:val="0"/>
      <w:marTop w:val="0"/>
      <w:marBottom w:val="0"/>
      <w:divBdr>
        <w:top w:val="none" w:sz="0" w:space="0" w:color="auto"/>
        <w:left w:val="none" w:sz="0" w:space="0" w:color="auto"/>
        <w:bottom w:val="none" w:sz="0" w:space="0" w:color="auto"/>
        <w:right w:val="none" w:sz="0" w:space="0" w:color="auto"/>
      </w:divBdr>
    </w:div>
    <w:div w:id="68313663">
      <w:bodyDiv w:val="1"/>
      <w:marLeft w:val="0"/>
      <w:marRight w:val="0"/>
      <w:marTop w:val="0"/>
      <w:marBottom w:val="0"/>
      <w:divBdr>
        <w:top w:val="none" w:sz="0" w:space="0" w:color="auto"/>
        <w:left w:val="none" w:sz="0" w:space="0" w:color="auto"/>
        <w:bottom w:val="none" w:sz="0" w:space="0" w:color="auto"/>
        <w:right w:val="none" w:sz="0" w:space="0" w:color="auto"/>
      </w:divBdr>
    </w:div>
    <w:div w:id="164324188">
      <w:bodyDiv w:val="1"/>
      <w:marLeft w:val="0"/>
      <w:marRight w:val="0"/>
      <w:marTop w:val="0"/>
      <w:marBottom w:val="0"/>
      <w:divBdr>
        <w:top w:val="none" w:sz="0" w:space="0" w:color="auto"/>
        <w:left w:val="none" w:sz="0" w:space="0" w:color="auto"/>
        <w:bottom w:val="none" w:sz="0" w:space="0" w:color="auto"/>
        <w:right w:val="none" w:sz="0" w:space="0" w:color="auto"/>
      </w:divBdr>
    </w:div>
    <w:div w:id="173495058">
      <w:bodyDiv w:val="1"/>
      <w:marLeft w:val="0"/>
      <w:marRight w:val="0"/>
      <w:marTop w:val="0"/>
      <w:marBottom w:val="0"/>
      <w:divBdr>
        <w:top w:val="none" w:sz="0" w:space="0" w:color="auto"/>
        <w:left w:val="none" w:sz="0" w:space="0" w:color="auto"/>
        <w:bottom w:val="none" w:sz="0" w:space="0" w:color="auto"/>
        <w:right w:val="none" w:sz="0" w:space="0" w:color="auto"/>
      </w:divBdr>
    </w:div>
    <w:div w:id="325285578">
      <w:bodyDiv w:val="1"/>
      <w:marLeft w:val="0"/>
      <w:marRight w:val="0"/>
      <w:marTop w:val="0"/>
      <w:marBottom w:val="0"/>
      <w:divBdr>
        <w:top w:val="none" w:sz="0" w:space="0" w:color="auto"/>
        <w:left w:val="none" w:sz="0" w:space="0" w:color="auto"/>
        <w:bottom w:val="none" w:sz="0" w:space="0" w:color="auto"/>
        <w:right w:val="none" w:sz="0" w:space="0" w:color="auto"/>
      </w:divBdr>
    </w:div>
    <w:div w:id="337078656">
      <w:bodyDiv w:val="1"/>
      <w:marLeft w:val="0"/>
      <w:marRight w:val="0"/>
      <w:marTop w:val="0"/>
      <w:marBottom w:val="0"/>
      <w:divBdr>
        <w:top w:val="none" w:sz="0" w:space="0" w:color="auto"/>
        <w:left w:val="none" w:sz="0" w:space="0" w:color="auto"/>
        <w:bottom w:val="none" w:sz="0" w:space="0" w:color="auto"/>
        <w:right w:val="none" w:sz="0" w:space="0" w:color="auto"/>
      </w:divBdr>
    </w:div>
    <w:div w:id="402341668">
      <w:bodyDiv w:val="1"/>
      <w:marLeft w:val="0"/>
      <w:marRight w:val="0"/>
      <w:marTop w:val="0"/>
      <w:marBottom w:val="0"/>
      <w:divBdr>
        <w:top w:val="none" w:sz="0" w:space="0" w:color="auto"/>
        <w:left w:val="none" w:sz="0" w:space="0" w:color="auto"/>
        <w:bottom w:val="none" w:sz="0" w:space="0" w:color="auto"/>
        <w:right w:val="none" w:sz="0" w:space="0" w:color="auto"/>
      </w:divBdr>
      <w:divsChild>
        <w:div w:id="1981692705">
          <w:marLeft w:val="0"/>
          <w:marRight w:val="0"/>
          <w:marTop w:val="0"/>
          <w:marBottom w:val="0"/>
          <w:divBdr>
            <w:top w:val="none" w:sz="0" w:space="0" w:color="auto"/>
            <w:left w:val="none" w:sz="0" w:space="0" w:color="auto"/>
            <w:bottom w:val="none" w:sz="0" w:space="0" w:color="auto"/>
            <w:right w:val="none" w:sz="0" w:space="0" w:color="auto"/>
          </w:divBdr>
        </w:div>
        <w:div w:id="1862012775">
          <w:marLeft w:val="0"/>
          <w:marRight w:val="0"/>
          <w:marTop w:val="0"/>
          <w:marBottom w:val="0"/>
          <w:divBdr>
            <w:top w:val="none" w:sz="0" w:space="0" w:color="auto"/>
            <w:left w:val="none" w:sz="0" w:space="0" w:color="auto"/>
            <w:bottom w:val="none" w:sz="0" w:space="0" w:color="auto"/>
            <w:right w:val="none" w:sz="0" w:space="0" w:color="auto"/>
          </w:divBdr>
        </w:div>
        <w:div w:id="1939942074">
          <w:marLeft w:val="0"/>
          <w:marRight w:val="0"/>
          <w:marTop w:val="0"/>
          <w:marBottom w:val="0"/>
          <w:divBdr>
            <w:top w:val="none" w:sz="0" w:space="0" w:color="auto"/>
            <w:left w:val="none" w:sz="0" w:space="0" w:color="auto"/>
            <w:bottom w:val="none" w:sz="0" w:space="0" w:color="auto"/>
            <w:right w:val="none" w:sz="0" w:space="0" w:color="auto"/>
          </w:divBdr>
        </w:div>
        <w:div w:id="751242319">
          <w:marLeft w:val="0"/>
          <w:marRight w:val="0"/>
          <w:marTop w:val="0"/>
          <w:marBottom w:val="0"/>
          <w:divBdr>
            <w:top w:val="none" w:sz="0" w:space="0" w:color="auto"/>
            <w:left w:val="none" w:sz="0" w:space="0" w:color="auto"/>
            <w:bottom w:val="none" w:sz="0" w:space="0" w:color="auto"/>
            <w:right w:val="none" w:sz="0" w:space="0" w:color="auto"/>
          </w:divBdr>
        </w:div>
        <w:div w:id="774637247">
          <w:marLeft w:val="0"/>
          <w:marRight w:val="0"/>
          <w:marTop w:val="0"/>
          <w:marBottom w:val="0"/>
          <w:divBdr>
            <w:top w:val="none" w:sz="0" w:space="0" w:color="auto"/>
            <w:left w:val="none" w:sz="0" w:space="0" w:color="auto"/>
            <w:bottom w:val="none" w:sz="0" w:space="0" w:color="auto"/>
            <w:right w:val="none" w:sz="0" w:space="0" w:color="auto"/>
          </w:divBdr>
        </w:div>
        <w:div w:id="1412509583">
          <w:marLeft w:val="0"/>
          <w:marRight w:val="0"/>
          <w:marTop w:val="0"/>
          <w:marBottom w:val="0"/>
          <w:divBdr>
            <w:top w:val="none" w:sz="0" w:space="0" w:color="auto"/>
            <w:left w:val="none" w:sz="0" w:space="0" w:color="auto"/>
            <w:bottom w:val="none" w:sz="0" w:space="0" w:color="auto"/>
            <w:right w:val="none" w:sz="0" w:space="0" w:color="auto"/>
          </w:divBdr>
        </w:div>
      </w:divsChild>
    </w:div>
    <w:div w:id="412043523">
      <w:bodyDiv w:val="1"/>
      <w:marLeft w:val="0"/>
      <w:marRight w:val="0"/>
      <w:marTop w:val="0"/>
      <w:marBottom w:val="0"/>
      <w:divBdr>
        <w:top w:val="none" w:sz="0" w:space="0" w:color="auto"/>
        <w:left w:val="none" w:sz="0" w:space="0" w:color="auto"/>
        <w:bottom w:val="none" w:sz="0" w:space="0" w:color="auto"/>
        <w:right w:val="none" w:sz="0" w:space="0" w:color="auto"/>
      </w:divBdr>
    </w:div>
    <w:div w:id="436298069">
      <w:bodyDiv w:val="1"/>
      <w:marLeft w:val="0"/>
      <w:marRight w:val="0"/>
      <w:marTop w:val="0"/>
      <w:marBottom w:val="0"/>
      <w:divBdr>
        <w:top w:val="none" w:sz="0" w:space="0" w:color="auto"/>
        <w:left w:val="none" w:sz="0" w:space="0" w:color="auto"/>
        <w:bottom w:val="none" w:sz="0" w:space="0" w:color="auto"/>
        <w:right w:val="none" w:sz="0" w:space="0" w:color="auto"/>
      </w:divBdr>
      <w:divsChild>
        <w:div w:id="2124419374">
          <w:marLeft w:val="0"/>
          <w:marRight w:val="0"/>
          <w:marTop w:val="0"/>
          <w:marBottom w:val="0"/>
          <w:divBdr>
            <w:top w:val="none" w:sz="0" w:space="0" w:color="auto"/>
            <w:left w:val="none" w:sz="0" w:space="0" w:color="auto"/>
            <w:bottom w:val="none" w:sz="0" w:space="0" w:color="auto"/>
            <w:right w:val="none" w:sz="0" w:space="0" w:color="auto"/>
          </w:divBdr>
          <w:divsChild>
            <w:div w:id="1968974737">
              <w:marLeft w:val="0"/>
              <w:marRight w:val="0"/>
              <w:marTop w:val="0"/>
              <w:marBottom w:val="0"/>
              <w:divBdr>
                <w:top w:val="none" w:sz="0" w:space="0" w:color="auto"/>
                <w:left w:val="none" w:sz="0" w:space="0" w:color="auto"/>
                <w:bottom w:val="none" w:sz="0" w:space="0" w:color="auto"/>
                <w:right w:val="none" w:sz="0" w:space="0" w:color="auto"/>
              </w:divBdr>
              <w:divsChild>
                <w:div w:id="606305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8888796">
      <w:bodyDiv w:val="1"/>
      <w:marLeft w:val="0"/>
      <w:marRight w:val="0"/>
      <w:marTop w:val="0"/>
      <w:marBottom w:val="0"/>
      <w:divBdr>
        <w:top w:val="none" w:sz="0" w:space="0" w:color="auto"/>
        <w:left w:val="none" w:sz="0" w:space="0" w:color="auto"/>
        <w:bottom w:val="none" w:sz="0" w:space="0" w:color="auto"/>
        <w:right w:val="none" w:sz="0" w:space="0" w:color="auto"/>
      </w:divBdr>
    </w:div>
    <w:div w:id="503784895">
      <w:bodyDiv w:val="1"/>
      <w:marLeft w:val="0"/>
      <w:marRight w:val="0"/>
      <w:marTop w:val="0"/>
      <w:marBottom w:val="0"/>
      <w:divBdr>
        <w:top w:val="none" w:sz="0" w:space="0" w:color="auto"/>
        <w:left w:val="none" w:sz="0" w:space="0" w:color="auto"/>
        <w:bottom w:val="none" w:sz="0" w:space="0" w:color="auto"/>
        <w:right w:val="none" w:sz="0" w:space="0" w:color="auto"/>
      </w:divBdr>
    </w:div>
    <w:div w:id="525485195">
      <w:bodyDiv w:val="1"/>
      <w:marLeft w:val="0"/>
      <w:marRight w:val="0"/>
      <w:marTop w:val="0"/>
      <w:marBottom w:val="0"/>
      <w:divBdr>
        <w:top w:val="none" w:sz="0" w:space="0" w:color="auto"/>
        <w:left w:val="none" w:sz="0" w:space="0" w:color="auto"/>
        <w:bottom w:val="none" w:sz="0" w:space="0" w:color="auto"/>
        <w:right w:val="none" w:sz="0" w:space="0" w:color="auto"/>
      </w:divBdr>
    </w:div>
    <w:div w:id="549730155">
      <w:bodyDiv w:val="1"/>
      <w:marLeft w:val="0"/>
      <w:marRight w:val="0"/>
      <w:marTop w:val="0"/>
      <w:marBottom w:val="0"/>
      <w:divBdr>
        <w:top w:val="none" w:sz="0" w:space="0" w:color="auto"/>
        <w:left w:val="none" w:sz="0" w:space="0" w:color="auto"/>
        <w:bottom w:val="none" w:sz="0" w:space="0" w:color="auto"/>
        <w:right w:val="none" w:sz="0" w:space="0" w:color="auto"/>
      </w:divBdr>
    </w:div>
    <w:div w:id="600334468">
      <w:bodyDiv w:val="1"/>
      <w:marLeft w:val="0"/>
      <w:marRight w:val="0"/>
      <w:marTop w:val="0"/>
      <w:marBottom w:val="0"/>
      <w:divBdr>
        <w:top w:val="none" w:sz="0" w:space="0" w:color="auto"/>
        <w:left w:val="none" w:sz="0" w:space="0" w:color="auto"/>
        <w:bottom w:val="none" w:sz="0" w:space="0" w:color="auto"/>
        <w:right w:val="none" w:sz="0" w:space="0" w:color="auto"/>
      </w:divBdr>
    </w:div>
    <w:div w:id="671682043">
      <w:bodyDiv w:val="1"/>
      <w:marLeft w:val="0"/>
      <w:marRight w:val="0"/>
      <w:marTop w:val="0"/>
      <w:marBottom w:val="0"/>
      <w:divBdr>
        <w:top w:val="none" w:sz="0" w:space="0" w:color="auto"/>
        <w:left w:val="none" w:sz="0" w:space="0" w:color="auto"/>
        <w:bottom w:val="none" w:sz="0" w:space="0" w:color="auto"/>
        <w:right w:val="none" w:sz="0" w:space="0" w:color="auto"/>
      </w:divBdr>
    </w:div>
    <w:div w:id="687367576">
      <w:bodyDiv w:val="1"/>
      <w:marLeft w:val="0"/>
      <w:marRight w:val="0"/>
      <w:marTop w:val="0"/>
      <w:marBottom w:val="0"/>
      <w:divBdr>
        <w:top w:val="none" w:sz="0" w:space="0" w:color="auto"/>
        <w:left w:val="none" w:sz="0" w:space="0" w:color="auto"/>
        <w:bottom w:val="none" w:sz="0" w:space="0" w:color="auto"/>
        <w:right w:val="none" w:sz="0" w:space="0" w:color="auto"/>
      </w:divBdr>
    </w:div>
    <w:div w:id="711464517">
      <w:bodyDiv w:val="1"/>
      <w:marLeft w:val="0"/>
      <w:marRight w:val="0"/>
      <w:marTop w:val="0"/>
      <w:marBottom w:val="0"/>
      <w:divBdr>
        <w:top w:val="none" w:sz="0" w:space="0" w:color="auto"/>
        <w:left w:val="none" w:sz="0" w:space="0" w:color="auto"/>
        <w:bottom w:val="none" w:sz="0" w:space="0" w:color="auto"/>
        <w:right w:val="none" w:sz="0" w:space="0" w:color="auto"/>
      </w:divBdr>
    </w:div>
    <w:div w:id="717362244">
      <w:bodyDiv w:val="1"/>
      <w:marLeft w:val="0"/>
      <w:marRight w:val="0"/>
      <w:marTop w:val="0"/>
      <w:marBottom w:val="0"/>
      <w:divBdr>
        <w:top w:val="none" w:sz="0" w:space="0" w:color="auto"/>
        <w:left w:val="none" w:sz="0" w:space="0" w:color="auto"/>
        <w:bottom w:val="none" w:sz="0" w:space="0" w:color="auto"/>
        <w:right w:val="none" w:sz="0" w:space="0" w:color="auto"/>
      </w:divBdr>
      <w:divsChild>
        <w:div w:id="1079408059">
          <w:marLeft w:val="0"/>
          <w:marRight w:val="0"/>
          <w:marTop w:val="0"/>
          <w:marBottom w:val="0"/>
          <w:divBdr>
            <w:top w:val="none" w:sz="0" w:space="0" w:color="auto"/>
            <w:left w:val="none" w:sz="0" w:space="0" w:color="auto"/>
            <w:bottom w:val="none" w:sz="0" w:space="0" w:color="auto"/>
            <w:right w:val="none" w:sz="0" w:space="0" w:color="auto"/>
          </w:divBdr>
        </w:div>
        <w:div w:id="959384276">
          <w:marLeft w:val="0"/>
          <w:marRight w:val="0"/>
          <w:marTop w:val="0"/>
          <w:marBottom w:val="0"/>
          <w:divBdr>
            <w:top w:val="none" w:sz="0" w:space="0" w:color="auto"/>
            <w:left w:val="none" w:sz="0" w:space="0" w:color="auto"/>
            <w:bottom w:val="none" w:sz="0" w:space="0" w:color="auto"/>
            <w:right w:val="none" w:sz="0" w:space="0" w:color="auto"/>
          </w:divBdr>
        </w:div>
        <w:div w:id="1799910765">
          <w:marLeft w:val="0"/>
          <w:marRight w:val="0"/>
          <w:marTop w:val="0"/>
          <w:marBottom w:val="0"/>
          <w:divBdr>
            <w:top w:val="none" w:sz="0" w:space="0" w:color="auto"/>
            <w:left w:val="none" w:sz="0" w:space="0" w:color="auto"/>
            <w:bottom w:val="none" w:sz="0" w:space="0" w:color="auto"/>
            <w:right w:val="none" w:sz="0" w:space="0" w:color="auto"/>
          </w:divBdr>
        </w:div>
        <w:div w:id="2070154916">
          <w:marLeft w:val="0"/>
          <w:marRight w:val="0"/>
          <w:marTop w:val="0"/>
          <w:marBottom w:val="0"/>
          <w:divBdr>
            <w:top w:val="none" w:sz="0" w:space="0" w:color="auto"/>
            <w:left w:val="none" w:sz="0" w:space="0" w:color="auto"/>
            <w:bottom w:val="none" w:sz="0" w:space="0" w:color="auto"/>
            <w:right w:val="none" w:sz="0" w:space="0" w:color="auto"/>
          </w:divBdr>
        </w:div>
        <w:div w:id="816605066">
          <w:marLeft w:val="0"/>
          <w:marRight w:val="0"/>
          <w:marTop w:val="0"/>
          <w:marBottom w:val="0"/>
          <w:divBdr>
            <w:top w:val="none" w:sz="0" w:space="0" w:color="auto"/>
            <w:left w:val="none" w:sz="0" w:space="0" w:color="auto"/>
            <w:bottom w:val="none" w:sz="0" w:space="0" w:color="auto"/>
            <w:right w:val="none" w:sz="0" w:space="0" w:color="auto"/>
          </w:divBdr>
        </w:div>
        <w:div w:id="1186283698">
          <w:marLeft w:val="0"/>
          <w:marRight w:val="0"/>
          <w:marTop w:val="0"/>
          <w:marBottom w:val="0"/>
          <w:divBdr>
            <w:top w:val="none" w:sz="0" w:space="0" w:color="auto"/>
            <w:left w:val="none" w:sz="0" w:space="0" w:color="auto"/>
            <w:bottom w:val="none" w:sz="0" w:space="0" w:color="auto"/>
            <w:right w:val="none" w:sz="0" w:space="0" w:color="auto"/>
          </w:divBdr>
        </w:div>
        <w:div w:id="366375141">
          <w:marLeft w:val="0"/>
          <w:marRight w:val="0"/>
          <w:marTop w:val="0"/>
          <w:marBottom w:val="0"/>
          <w:divBdr>
            <w:top w:val="none" w:sz="0" w:space="0" w:color="auto"/>
            <w:left w:val="none" w:sz="0" w:space="0" w:color="auto"/>
            <w:bottom w:val="none" w:sz="0" w:space="0" w:color="auto"/>
            <w:right w:val="none" w:sz="0" w:space="0" w:color="auto"/>
          </w:divBdr>
        </w:div>
        <w:div w:id="995381825">
          <w:marLeft w:val="0"/>
          <w:marRight w:val="0"/>
          <w:marTop w:val="0"/>
          <w:marBottom w:val="0"/>
          <w:divBdr>
            <w:top w:val="none" w:sz="0" w:space="0" w:color="auto"/>
            <w:left w:val="none" w:sz="0" w:space="0" w:color="auto"/>
            <w:bottom w:val="none" w:sz="0" w:space="0" w:color="auto"/>
            <w:right w:val="none" w:sz="0" w:space="0" w:color="auto"/>
          </w:divBdr>
        </w:div>
        <w:div w:id="521670218">
          <w:marLeft w:val="0"/>
          <w:marRight w:val="0"/>
          <w:marTop w:val="0"/>
          <w:marBottom w:val="0"/>
          <w:divBdr>
            <w:top w:val="none" w:sz="0" w:space="0" w:color="auto"/>
            <w:left w:val="none" w:sz="0" w:space="0" w:color="auto"/>
            <w:bottom w:val="none" w:sz="0" w:space="0" w:color="auto"/>
            <w:right w:val="none" w:sz="0" w:space="0" w:color="auto"/>
          </w:divBdr>
        </w:div>
      </w:divsChild>
    </w:div>
    <w:div w:id="772556589">
      <w:bodyDiv w:val="1"/>
      <w:marLeft w:val="0"/>
      <w:marRight w:val="0"/>
      <w:marTop w:val="0"/>
      <w:marBottom w:val="0"/>
      <w:divBdr>
        <w:top w:val="none" w:sz="0" w:space="0" w:color="auto"/>
        <w:left w:val="none" w:sz="0" w:space="0" w:color="auto"/>
        <w:bottom w:val="none" w:sz="0" w:space="0" w:color="auto"/>
        <w:right w:val="none" w:sz="0" w:space="0" w:color="auto"/>
      </w:divBdr>
    </w:div>
    <w:div w:id="816804915">
      <w:bodyDiv w:val="1"/>
      <w:marLeft w:val="0"/>
      <w:marRight w:val="0"/>
      <w:marTop w:val="0"/>
      <w:marBottom w:val="0"/>
      <w:divBdr>
        <w:top w:val="none" w:sz="0" w:space="0" w:color="auto"/>
        <w:left w:val="none" w:sz="0" w:space="0" w:color="auto"/>
        <w:bottom w:val="none" w:sz="0" w:space="0" w:color="auto"/>
        <w:right w:val="none" w:sz="0" w:space="0" w:color="auto"/>
      </w:divBdr>
    </w:div>
    <w:div w:id="839853713">
      <w:bodyDiv w:val="1"/>
      <w:marLeft w:val="0"/>
      <w:marRight w:val="0"/>
      <w:marTop w:val="0"/>
      <w:marBottom w:val="0"/>
      <w:divBdr>
        <w:top w:val="none" w:sz="0" w:space="0" w:color="auto"/>
        <w:left w:val="none" w:sz="0" w:space="0" w:color="auto"/>
        <w:bottom w:val="none" w:sz="0" w:space="0" w:color="auto"/>
        <w:right w:val="none" w:sz="0" w:space="0" w:color="auto"/>
      </w:divBdr>
    </w:div>
    <w:div w:id="845092996">
      <w:bodyDiv w:val="1"/>
      <w:marLeft w:val="0"/>
      <w:marRight w:val="0"/>
      <w:marTop w:val="0"/>
      <w:marBottom w:val="0"/>
      <w:divBdr>
        <w:top w:val="none" w:sz="0" w:space="0" w:color="auto"/>
        <w:left w:val="none" w:sz="0" w:space="0" w:color="auto"/>
        <w:bottom w:val="none" w:sz="0" w:space="0" w:color="auto"/>
        <w:right w:val="none" w:sz="0" w:space="0" w:color="auto"/>
      </w:divBdr>
    </w:div>
    <w:div w:id="864058322">
      <w:bodyDiv w:val="1"/>
      <w:marLeft w:val="0"/>
      <w:marRight w:val="0"/>
      <w:marTop w:val="0"/>
      <w:marBottom w:val="0"/>
      <w:divBdr>
        <w:top w:val="none" w:sz="0" w:space="0" w:color="auto"/>
        <w:left w:val="none" w:sz="0" w:space="0" w:color="auto"/>
        <w:bottom w:val="none" w:sz="0" w:space="0" w:color="auto"/>
        <w:right w:val="none" w:sz="0" w:space="0" w:color="auto"/>
      </w:divBdr>
    </w:div>
    <w:div w:id="920527864">
      <w:bodyDiv w:val="1"/>
      <w:marLeft w:val="0"/>
      <w:marRight w:val="0"/>
      <w:marTop w:val="0"/>
      <w:marBottom w:val="0"/>
      <w:divBdr>
        <w:top w:val="none" w:sz="0" w:space="0" w:color="auto"/>
        <w:left w:val="none" w:sz="0" w:space="0" w:color="auto"/>
        <w:bottom w:val="none" w:sz="0" w:space="0" w:color="auto"/>
        <w:right w:val="none" w:sz="0" w:space="0" w:color="auto"/>
      </w:divBdr>
    </w:div>
    <w:div w:id="934483875">
      <w:bodyDiv w:val="1"/>
      <w:marLeft w:val="0"/>
      <w:marRight w:val="0"/>
      <w:marTop w:val="0"/>
      <w:marBottom w:val="0"/>
      <w:divBdr>
        <w:top w:val="none" w:sz="0" w:space="0" w:color="auto"/>
        <w:left w:val="none" w:sz="0" w:space="0" w:color="auto"/>
        <w:bottom w:val="none" w:sz="0" w:space="0" w:color="auto"/>
        <w:right w:val="none" w:sz="0" w:space="0" w:color="auto"/>
      </w:divBdr>
    </w:div>
    <w:div w:id="951588993">
      <w:bodyDiv w:val="1"/>
      <w:marLeft w:val="0"/>
      <w:marRight w:val="0"/>
      <w:marTop w:val="0"/>
      <w:marBottom w:val="0"/>
      <w:divBdr>
        <w:top w:val="none" w:sz="0" w:space="0" w:color="auto"/>
        <w:left w:val="none" w:sz="0" w:space="0" w:color="auto"/>
        <w:bottom w:val="none" w:sz="0" w:space="0" w:color="auto"/>
        <w:right w:val="none" w:sz="0" w:space="0" w:color="auto"/>
      </w:divBdr>
    </w:div>
    <w:div w:id="984503453">
      <w:bodyDiv w:val="1"/>
      <w:marLeft w:val="0"/>
      <w:marRight w:val="0"/>
      <w:marTop w:val="0"/>
      <w:marBottom w:val="0"/>
      <w:divBdr>
        <w:top w:val="none" w:sz="0" w:space="0" w:color="auto"/>
        <w:left w:val="none" w:sz="0" w:space="0" w:color="auto"/>
        <w:bottom w:val="none" w:sz="0" w:space="0" w:color="auto"/>
        <w:right w:val="none" w:sz="0" w:space="0" w:color="auto"/>
      </w:divBdr>
    </w:div>
    <w:div w:id="998076238">
      <w:bodyDiv w:val="1"/>
      <w:marLeft w:val="0"/>
      <w:marRight w:val="0"/>
      <w:marTop w:val="0"/>
      <w:marBottom w:val="0"/>
      <w:divBdr>
        <w:top w:val="none" w:sz="0" w:space="0" w:color="auto"/>
        <w:left w:val="none" w:sz="0" w:space="0" w:color="auto"/>
        <w:bottom w:val="none" w:sz="0" w:space="0" w:color="auto"/>
        <w:right w:val="none" w:sz="0" w:space="0" w:color="auto"/>
      </w:divBdr>
    </w:div>
    <w:div w:id="1029911995">
      <w:bodyDiv w:val="1"/>
      <w:marLeft w:val="0"/>
      <w:marRight w:val="0"/>
      <w:marTop w:val="0"/>
      <w:marBottom w:val="0"/>
      <w:divBdr>
        <w:top w:val="none" w:sz="0" w:space="0" w:color="auto"/>
        <w:left w:val="none" w:sz="0" w:space="0" w:color="auto"/>
        <w:bottom w:val="none" w:sz="0" w:space="0" w:color="auto"/>
        <w:right w:val="none" w:sz="0" w:space="0" w:color="auto"/>
      </w:divBdr>
    </w:div>
    <w:div w:id="1077753637">
      <w:bodyDiv w:val="1"/>
      <w:marLeft w:val="0"/>
      <w:marRight w:val="0"/>
      <w:marTop w:val="0"/>
      <w:marBottom w:val="0"/>
      <w:divBdr>
        <w:top w:val="none" w:sz="0" w:space="0" w:color="auto"/>
        <w:left w:val="none" w:sz="0" w:space="0" w:color="auto"/>
        <w:bottom w:val="none" w:sz="0" w:space="0" w:color="auto"/>
        <w:right w:val="none" w:sz="0" w:space="0" w:color="auto"/>
      </w:divBdr>
    </w:div>
    <w:div w:id="1112358433">
      <w:bodyDiv w:val="1"/>
      <w:marLeft w:val="0"/>
      <w:marRight w:val="0"/>
      <w:marTop w:val="0"/>
      <w:marBottom w:val="0"/>
      <w:divBdr>
        <w:top w:val="none" w:sz="0" w:space="0" w:color="auto"/>
        <w:left w:val="none" w:sz="0" w:space="0" w:color="auto"/>
        <w:bottom w:val="none" w:sz="0" w:space="0" w:color="auto"/>
        <w:right w:val="none" w:sz="0" w:space="0" w:color="auto"/>
      </w:divBdr>
    </w:div>
    <w:div w:id="1114984394">
      <w:bodyDiv w:val="1"/>
      <w:marLeft w:val="0"/>
      <w:marRight w:val="0"/>
      <w:marTop w:val="0"/>
      <w:marBottom w:val="0"/>
      <w:divBdr>
        <w:top w:val="none" w:sz="0" w:space="0" w:color="auto"/>
        <w:left w:val="none" w:sz="0" w:space="0" w:color="auto"/>
        <w:bottom w:val="none" w:sz="0" w:space="0" w:color="auto"/>
        <w:right w:val="none" w:sz="0" w:space="0" w:color="auto"/>
      </w:divBdr>
    </w:div>
    <w:div w:id="1161972471">
      <w:bodyDiv w:val="1"/>
      <w:marLeft w:val="0"/>
      <w:marRight w:val="0"/>
      <w:marTop w:val="0"/>
      <w:marBottom w:val="0"/>
      <w:divBdr>
        <w:top w:val="none" w:sz="0" w:space="0" w:color="auto"/>
        <w:left w:val="none" w:sz="0" w:space="0" w:color="auto"/>
        <w:bottom w:val="none" w:sz="0" w:space="0" w:color="auto"/>
        <w:right w:val="none" w:sz="0" w:space="0" w:color="auto"/>
      </w:divBdr>
    </w:div>
    <w:div w:id="1179655823">
      <w:bodyDiv w:val="1"/>
      <w:marLeft w:val="0"/>
      <w:marRight w:val="0"/>
      <w:marTop w:val="0"/>
      <w:marBottom w:val="0"/>
      <w:divBdr>
        <w:top w:val="none" w:sz="0" w:space="0" w:color="auto"/>
        <w:left w:val="none" w:sz="0" w:space="0" w:color="auto"/>
        <w:bottom w:val="none" w:sz="0" w:space="0" w:color="auto"/>
        <w:right w:val="none" w:sz="0" w:space="0" w:color="auto"/>
      </w:divBdr>
      <w:divsChild>
        <w:div w:id="2075884536">
          <w:marLeft w:val="0"/>
          <w:marRight w:val="0"/>
          <w:marTop w:val="0"/>
          <w:marBottom w:val="0"/>
          <w:divBdr>
            <w:top w:val="none" w:sz="0" w:space="0" w:color="auto"/>
            <w:left w:val="none" w:sz="0" w:space="0" w:color="auto"/>
            <w:bottom w:val="none" w:sz="0" w:space="0" w:color="auto"/>
            <w:right w:val="none" w:sz="0" w:space="0" w:color="auto"/>
          </w:divBdr>
        </w:div>
        <w:div w:id="385026961">
          <w:marLeft w:val="0"/>
          <w:marRight w:val="0"/>
          <w:marTop w:val="0"/>
          <w:marBottom w:val="0"/>
          <w:divBdr>
            <w:top w:val="none" w:sz="0" w:space="0" w:color="auto"/>
            <w:left w:val="none" w:sz="0" w:space="0" w:color="auto"/>
            <w:bottom w:val="none" w:sz="0" w:space="0" w:color="auto"/>
            <w:right w:val="none" w:sz="0" w:space="0" w:color="auto"/>
          </w:divBdr>
        </w:div>
      </w:divsChild>
    </w:div>
    <w:div w:id="1195925352">
      <w:bodyDiv w:val="1"/>
      <w:marLeft w:val="0"/>
      <w:marRight w:val="0"/>
      <w:marTop w:val="0"/>
      <w:marBottom w:val="0"/>
      <w:divBdr>
        <w:top w:val="none" w:sz="0" w:space="0" w:color="auto"/>
        <w:left w:val="none" w:sz="0" w:space="0" w:color="auto"/>
        <w:bottom w:val="none" w:sz="0" w:space="0" w:color="auto"/>
        <w:right w:val="none" w:sz="0" w:space="0" w:color="auto"/>
      </w:divBdr>
    </w:div>
    <w:div w:id="1259022729">
      <w:bodyDiv w:val="1"/>
      <w:marLeft w:val="0"/>
      <w:marRight w:val="0"/>
      <w:marTop w:val="0"/>
      <w:marBottom w:val="0"/>
      <w:divBdr>
        <w:top w:val="none" w:sz="0" w:space="0" w:color="auto"/>
        <w:left w:val="none" w:sz="0" w:space="0" w:color="auto"/>
        <w:bottom w:val="none" w:sz="0" w:space="0" w:color="auto"/>
        <w:right w:val="none" w:sz="0" w:space="0" w:color="auto"/>
      </w:divBdr>
    </w:div>
    <w:div w:id="1288200662">
      <w:bodyDiv w:val="1"/>
      <w:marLeft w:val="0"/>
      <w:marRight w:val="0"/>
      <w:marTop w:val="0"/>
      <w:marBottom w:val="0"/>
      <w:divBdr>
        <w:top w:val="none" w:sz="0" w:space="0" w:color="auto"/>
        <w:left w:val="none" w:sz="0" w:space="0" w:color="auto"/>
        <w:bottom w:val="none" w:sz="0" w:space="0" w:color="auto"/>
        <w:right w:val="none" w:sz="0" w:space="0" w:color="auto"/>
      </w:divBdr>
    </w:div>
    <w:div w:id="1395396046">
      <w:bodyDiv w:val="1"/>
      <w:marLeft w:val="0"/>
      <w:marRight w:val="0"/>
      <w:marTop w:val="0"/>
      <w:marBottom w:val="0"/>
      <w:divBdr>
        <w:top w:val="none" w:sz="0" w:space="0" w:color="auto"/>
        <w:left w:val="none" w:sz="0" w:space="0" w:color="auto"/>
        <w:bottom w:val="none" w:sz="0" w:space="0" w:color="auto"/>
        <w:right w:val="none" w:sz="0" w:space="0" w:color="auto"/>
      </w:divBdr>
    </w:div>
    <w:div w:id="1419863668">
      <w:bodyDiv w:val="1"/>
      <w:marLeft w:val="0"/>
      <w:marRight w:val="0"/>
      <w:marTop w:val="0"/>
      <w:marBottom w:val="0"/>
      <w:divBdr>
        <w:top w:val="none" w:sz="0" w:space="0" w:color="auto"/>
        <w:left w:val="none" w:sz="0" w:space="0" w:color="auto"/>
        <w:bottom w:val="none" w:sz="0" w:space="0" w:color="auto"/>
        <w:right w:val="none" w:sz="0" w:space="0" w:color="auto"/>
      </w:divBdr>
    </w:div>
    <w:div w:id="1439788779">
      <w:bodyDiv w:val="1"/>
      <w:marLeft w:val="0"/>
      <w:marRight w:val="0"/>
      <w:marTop w:val="0"/>
      <w:marBottom w:val="0"/>
      <w:divBdr>
        <w:top w:val="none" w:sz="0" w:space="0" w:color="auto"/>
        <w:left w:val="none" w:sz="0" w:space="0" w:color="auto"/>
        <w:bottom w:val="none" w:sz="0" w:space="0" w:color="auto"/>
        <w:right w:val="none" w:sz="0" w:space="0" w:color="auto"/>
      </w:divBdr>
    </w:div>
    <w:div w:id="1497267099">
      <w:bodyDiv w:val="1"/>
      <w:marLeft w:val="0"/>
      <w:marRight w:val="0"/>
      <w:marTop w:val="0"/>
      <w:marBottom w:val="0"/>
      <w:divBdr>
        <w:top w:val="none" w:sz="0" w:space="0" w:color="auto"/>
        <w:left w:val="none" w:sz="0" w:space="0" w:color="auto"/>
        <w:bottom w:val="none" w:sz="0" w:space="0" w:color="auto"/>
        <w:right w:val="none" w:sz="0" w:space="0" w:color="auto"/>
      </w:divBdr>
      <w:divsChild>
        <w:div w:id="604919192">
          <w:marLeft w:val="0"/>
          <w:marRight w:val="0"/>
          <w:marTop w:val="0"/>
          <w:marBottom w:val="0"/>
          <w:divBdr>
            <w:top w:val="none" w:sz="0" w:space="0" w:color="auto"/>
            <w:left w:val="none" w:sz="0" w:space="0" w:color="auto"/>
            <w:bottom w:val="none" w:sz="0" w:space="0" w:color="auto"/>
            <w:right w:val="none" w:sz="0" w:space="0" w:color="auto"/>
          </w:divBdr>
          <w:divsChild>
            <w:div w:id="1928347560">
              <w:marLeft w:val="0"/>
              <w:marRight w:val="0"/>
              <w:marTop w:val="0"/>
              <w:marBottom w:val="0"/>
              <w:divBdr>
                <w:top w:val="none" w:sz="0" w:space="0" w:color="auto"/>
                <w:left w:val="none" w:sz="0" w:space="0" w:color="auto"/>
                <w:bottom w:val="none" w:sz="0" w:space="0" w:color="auto"/>
                <w:right w:val="none" w:sz="0" w:space="0" w:color="auto"/>
              </w:divBdr>
              <w:divsChild>
                <w:div w:id="139539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8469507">
      <w:bodyDiv w:val="1"/>
      <w:marLeft w:val="0"/>
      <w:marRight w:val="0"/>
      <w:marTop w:val="0"/>
      <w:marBottom w:val="0"/>
      <w:divBdr>
        <w:top w:val="none" w:sz="0" w:space="0" w:color="auto"/>
        <w:left w:val="none" w:sz="0" w:space="0" w:color="auto"/>
        <w:bottom w:val="none" w:sz="0" w:space="0" w:color="auto"/>
        <w:right w:val="none" w:sz="0" w:space="0" w:color="auto"/>
      </w:divBdr>
    </w:div>
    <w:div w:id="1525556161">
      <w:bodyDiv w:val="1"/>
      <w:marLeft w:val="0"/>
      <w:marRight w:val="0"/>
      <w:marTop w:val="0"/>
      <w:marBottom w:val="0"/>
      <w:divBdr>
        <w:top w:val="none" w:sz="0" w:space="0" w:color="auto"/>
        <w:left w:val="none" w:sz="0" w:space="0" w:color="auto"/>
        <w:bottom w:val="none" w:sz="0" w:space="0" w:color="auto"/>
        <w:right w:val="none" w:sz="0" w:space="0" w:color="auto"/>
      </w:divBdr>
    </w:div>
    <w:div w:id="1544635502">
      <w:bodyDiv w:val="1"/>
      <w:marLeft w:val="0"/>
      <w:marRight w:val="0"/>
      <w:marTop w:val="0"/>
      <w:marBottom w:val="0"/>
      <w:divBdr>
        <w:top w:val="none" w:sz="0" w:space="0" w:color="auto"/>
        <w:left w:val="none" w:sz="0" w:space="0" w:color="auto"/>
        <w:bottom w:val="none" w:sz="0" w:space="0" w:color="auto"/>
        <w:right w:val="none" w:sz="0" w:space="0" w:color="auto"/>
      </w:divBdr>
    </w:div>
    <w:div w:id="1589193287">
      <w:bodyDiv w:val="1"/>
      <w:marLeft w:val="0"/>
      <w:marRight w:val="0"/>
      <w:marTop w:val="0"/>
      <w:marBottom w:val="0"/>
      <w:divBdr>
        <w:top w:val="none" w:sz="0" w:space="0" w:color="auto"/>
        <w:left w:val="none" w:sz="0" w:space="0" w:color="auto"/>
        <w:bottom w:val="none" w:sz="0" w:space="0" w:color="auto"/>
        <w:right w:val="none" w:sz="0" w:space="0" w:color="auto"/>
      </w:divBdr>
    </w:div>
    <w:div w:id="1598098260">
      <w:bodyDiv w:val="1"/>
      <w:marLeft w:val="0"/>
      <w:marRight w:val="0"/>
      <w:marTop w:val="0"/>
      <w:marBottom w:val="0"/>
      <w:divBdr>
        <w:top w:val="none" w:sz="0" w:space="0" w:color="auto"/>
        <w:left w:val="none" w:sz="0" w:space="0" w:color="auto"/>
        <w:bottom w:val="none" w:sz="0" w:space="0" w:color="auto"/>
        <w:right w:val="none" w:sz="0" w:space="0" w:color="auto"/>
      </w:divBdr>
    </w:div>
    <w:div w:id="1622491964">
      <w:bodyDiv w:val="1"/>
      <w:marLeft w:val="0"/>
      <w:marRight w:val="0"/>
      <w:marTop w:val="0"/>
      <w:marBottom w:val="0"/>
      <w:divBdr>
        <w:top w:val="none" w:sz="0" w:space="0" w:color="auto"/>
        <w:left w:val="none" w:sz="0" w:space="0" w:color="auto"/>
        <w:bottom w:val="none" w:sz="0" w:space="0" w:color="auto"/>
        <w:right w:val="none" w:sz="0" w:space="0" w:color="auto"/>
      </w:divBdr>
    </w:div>
    <w:div w:id="1636136126">
      <w:bodyDiv w:val="1"/>
      <w:marLeft w:val="0"/>
      <w:marRight w:val="0"/>
      <w:marTop w:val="0"/>
      <w:marBottom w:val="0"/>
      <w:divBdr>
        <w:top w:val="none" w:sz="0" w:space="0" w:color="auto"/>
        <w:left w:val="none" w:sz="0" w:space="0" w:color="auto"/>
        <w:bottom w:val="none" w:sz="0" w:space="0" w:color="auto"/>
        <w:right w:val="none" w:sz="0" w:space="0" w:color="auto"/>
      </w:divBdr>
    </w:div>
    <w:div w:id="1650940102">
      <w:bodyDiv w:val="1"/>
      <w:marLeft w:val="0"/>
      <w:marRight w:val="0"/>
      <w:marTop w:val="0"/>
      <w:marBottom w:val="0"/>
      <w:divBdr>
        <w:top w:val="none" w:sz="0" w:space="0" w:color="auto"/>
        <w:left w:val="none" w:sz="0" w:space="0" w:color="auto"/>
        <w:bottom w:val="none" w:sz="0" w:space="0" w:color="auto"/>
        <w:right w:val="none" w:sz="0" w:space="0" w:color="auto"/>
      </w:divBdr>
      <w:divsChild>
        <w:div w:id="1272082926">
          <w:marLeft w:val="0"/>
          <w:marRight w:val="1"/>
          <w:marTop w:val="0"/>
          <w:marBottom w:val="0"/>
          <w:divBdr>
            <w:top w:val="none" w:sz="0" w:space="0" w:color="auto"/>
            <w:left w:val="none" w:sz="0" w:space="0" w:color="auto"/>
            <w:bottom w:val="none" w:sz="0" w:space="0" w:color="auto"/>
            <w:right w:val="none" w:sz="0" w:space="0" w:color="auto"/>
          </w:divBdr>
          <w:divsChild>
            <w:div w:id="113181294">
              <w:marLeft w:val="0"/>
              <w:marRight w:val="0"/>
              <w:marTop w:val="0"/>
              <w:marBottom w:val="0"/>
              <w:divBdr>
                <w:top w:val="none" w:sz="0" w:space="0" w:color="auto"/>
                <w:left w:val="none" w:sz="0" w:space="0" w:color="auto"/>
                <w:bottom w:val="none" w:sz="0" w:space="0" w:color="auto"/>
                <w:right w:val="none" w:sz="0" w:space="0" w:color="auto"/>
              </w:divBdr>
              <w:divsChild>
                <w:div w:id="1340892187">
                  <w:marLeft w:val="0"/>
                  <w:marRight w:val="1"/>
                  <w:marTop w:val="0"/>
                  <w:marBottom w:val="0"/>
                  <w:divBdr>
                    <w:top w:val="none" w:sz="0" w:space="0" w:color="auto"/>
                    <w:left w:val="none" w:sz="0" w:space="0" w:color="auto"/>
                    <w:bottom w:val="none" w:sz="0" w:space="0" w:color="auto"/>
                    <w:right w:val="none" w:sz="0" w:space="0" w:color="auto"/>
                  </w:divBdr>
                  <w:divsChild>
                    <w:div w:id="1563443063">
                      <w:marLeft w:val="0"/>
                      <w:marRight w:val="0"/>
                      <w:marTop w:val="0"/>
                      <w:marBottom w:val="0"/>
                      <w:divBdr>
                        <w:top w:val="none" w:sz="0" w:space="0" w:color="auto"/>
                        <w:left w:val="none" w:sz="0" w:space="0" w:color="auto"/>
                        <w:bottom w:val="none" w:sz="0" w:space="0" w:color="auto"/>
                        <w:right w:val="none" w:sz="0" w:space="0" w:color="auto"/>
                      </w:divBdr>
                      <w:divsChild>
                        <w:div w:id="1864399366">
                          <w:marLeft w:val="0"/>
                          <w:marRight w:val="0"/>
                          <w:marTop w:val="0"/>
                          <w:marBottom w:val="0"/>
                          <w:divBdr>
                            <w:top w:val="none" w:sz="0" w:space="0" w:color="auto"/>
                            <w:left w:val="none" w:sz="0" w:space="0" w:color="auto"/>
                            <w:bottom w:val="none" w:sz="0" w:space="0" w:color="auto"/>
                            <w:right w:val="none" w:sz="0" w:space="0" w:color="auto"/>
                          </w:divBdr>
                          <w:divsChild>
                            <w:div w:id="1900051014">
                              <w:marLeft w:val="0"/>
                              <w:marRight w:val="0"/>
                              <w:marTop w:val="120"/>
                              <w:marBottom w:val="360"/>
                              <w:divBdr>
                                <w:top w:val="none" w:sz="0" w:space="0" w:color="auto"/>
                                <w:left w:val="none" w:sz="0" w:space="0" w:color="auto"/>
                                <w:bottom w:val="none" w:sz="0" w:space="0" w:color="auto"/>
                                <w:right w:val="none" w:sz="0" w:space="0" w:color="auto"/>
                              </w:divBdr>
                              <w:divsChild>
                                <w:div w:id="2037266138">
                                  <w:marLeft w:val="420"/>
                                  <w:marRight w:val="0"/>
                                  <w:marTop w:val="0"/>
                                  <w:marBottom w:val="0"/>
                                  <w:divBdr>
                                    <w:top w:val="none" w:sz="0" w:space="0" w:color="auto"/>
                                    <w:left w:val="none" w:sz="0" w:space="0" w:color="auto"/>
                                    <w:bottom w:val="none" w:sz="0" w:space="0" w:color="auto"/>
                                    <w:right w:val="none" w:sz="0" w:space="0" w:color="auto"/>
                                  </w:divBdr>
                                  <w:divsChild>
                                    <w:div w:id="392198396">
                                      <w:marLeft w:val="0"/>
                                      <w:marRight w:val="0"/>
                                      <w:marTop w:val="0"/>
                                      <w:marBottom w:val="0"/>
                                      <w:divBdr>
                                        <w:top w:val="none" w:sz="0" w:space="0" w:color="auto"/>
                                        <w:left w:val="none" w:sz="0" w:space="0" w:color="auto"/>
                                        <w:bottom w:val="none" w:sz="0" w:space="0" w:color="auto"/>
                                        <w:right w:val="none" w:sz="0" w:space="0" w:color="auto"/>
                                      </w:divBdr>
                                      <w:divsChild>
                                        <w:div w:id="1697391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81394421">
      <w:bodyDiv w:val="1"/>
      <w:marLeft w:val="0"/>
      <w:marRight w:val="0"/>
      <w:marTop w:val="0"/>
      <w:marBottom w:val="0"/>
      <w:divBdr>
        <w:top w:val="none" w:sz="0" w:space="0" w:color="auto"/>
        <w:left w:val="none" w:sz="0" w:space="0" w:color="auto"/>
        <w:bottom w:val="none" w:sz="0" w:space="0" w:color="auto"/>
        <w:right w:val="none" w:sz="0" w:space="0" w:color="auto"/>
      </w:divBdr>
      <w:divsChild>
        <w:div w:id="613367982">
          <w:marLeft w:val="0"/>
          <w:marRight w:val="0"/>
          <w:marTop w:val="0"/>
          <w:marBottom w:val="0"/>
          <w:divBdr>
            <w:top w:val="none" w:sz="0" w:space="0" w:color="auto"/>
            <w:left w:val="none" w:sz="0" w:space="0" w:color="auto"/>
            <w:bottom w:val="none" w:sz="0" w:space="0" w:color="auto"/>
            <w:right w:val="none" w:sz="0" w:space="0" w:color="auto"/>
          </w:divBdr>
          <w:divsChild>
            <w:div w:id="1177963963">
              <w:marLeft w:val="0"/>
              <w:marRight w:val="0"/>
              <w:marTop w:val="0"/>
              <w:marBottom w:val="0"/>
              <w:divBdr>
                <w:top w:val="none" w:sz="0" w:space="0" w:color="auto"/>
                <w:left w:val="none" w:sz="0" w:space="0" w:color="auto"/>
                <w:bottom w:val="none" w:sz="0" w:space="0" w:color="auto"/>
                <w:right w:val="none" w:sz="0" w:space="0" w:color="auto"/>
              </w:divBdr>
              <w:divsChild>
                <w:div w:id="1981029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4573991">
      <w:bodyDiv w:val="1"/>
      <w:marLeft w:val="0"/>
      <w:marRight w:val="0"/>
      <w:marTop w:val="0"/>
      <w:marBottom w:val="0"/>
      <w:divBdr>
        <w:top w:val="none" w:sz="0" w:space="0" w:color="auto"/>
        <w:left w:val="none" w:sz="0" w:space="0" w:color="auto"/>
        <w:bottom w:val="none" w:sz="0" w:space="0" w:color="auto"/>
        <w:right w:val="none" w:sz="0" w:space="0" w:color="auto"/>
      </w:divBdr>
      <w:divsChild>
        <w:div w:id="1277521528">
          <w:marLeft w:val="0"/>
          <w:marRight w:val="0"/>
          <w:marTop w:val="0"/>
          <w:marBottom w:val="0"/>
          <w:divBdr>
            <w:top w:val="none" w:sz="0" w:space="0" w:color="auto"/>
            <w:left w:val="none" w:sz="0" w:space="0" w:color="auto"/>
            <w:bottom w:val="none" w:sz="0" w:space="0" w:color="auto"/>
            <w:right w:val="none" w:sz="0" w:space="0" w:color="auto"/>
          </w:divBdr>
        </w:div>
        <w:div w:id="629554445">
          <w:marLeft w:val="0"/>
          <w:marRight w:val="0"/>
          <w:marTop w:val="0"/>
          <w:marBottom w:val="0"/>
          <w:divBdr>
            <w:top w:val="none" w:sz="0" w:space="0" w:color="auto"/>
            <w:left w:val="none" w:sz="0" w:space="0" w:color="auto"/>
            <w:bottom w:val="none" w:sz="0" w:space="0" w:color="auto"/>
            <w:right w:val="none" w:sz="0" w:space="0" w:color="auto"/>
          </w:divBdr>
        </w:div>
        <w:div w:id="661588091">
          <w:marLeft w:val="0"/>
          <w:marRight w:val="0"/>
          <w:marTop w:val="0"/>
          <w:marBottom w:val="0"/>
          <w:divBdr>
            <w:top w:val="none" w:sz="0" w:space="0" w:color="auto"/>
            <w:left w:val="none" w:sz="0" w:space="0" w:color="auto"/>
            <w:bottom w:val="none" w:sz="0" w:space="0" w:color="auto"/>
            <w:right w:val="none" w:sz="0" w:space="0" w:color="auto"/>
          </w:divBdr>
        </w:div>
      </w:divsChild>
    </w:div>
    <w:div w:id="1782341792">
      <w:bodyDiv w:val="1"/>
      <w:marLeft w:val="0"/>
      <w:marRight w:val="0"/>
      <w:marTop w:val="0"/>
      <w:marBottom w:val="0"/>
      <w:divBdr>
        <w:top w:val="none" w:sz="0" w:space="0" w:color="auto"/>
        <w:left w:val="none" w:sz="0" w:space="0" w:color="auto"/>
        <w:bottom w:val="none" w:sz="0" w:space="0" w:color="auto"/>
        <w:right w:val="none" w:sz="0" w:space="0" w:color="auto"/>
      </w:divBdr>
    </w:div>
    <w:div w:id="1838643883">
      <w:bodyDiv w:val="1"/>
      <w:marLeft w:val="0"/>
      <w:marRight w:val="0"/>
      <w:marTop w:val="0"/>
      <w:marBottom w:val="0"/>
      <w:divBdr>
        <w:top w:val="none" w:sz="0" w:space="0" w:color="auto"/>
        <w:left w:val="none" w:sz="0" w:space="0" w:color="auto"/>
        <w:bottom w:val="none" w:sz="0" w:space="0" w:color="auto"/>
        <w:right w:val="none" w:sz="0" w:space="0" w:color="auto"/>
      </w:divBdr>
    </w:div>
    <w:div w:id="1857110647">
      <w:bodyDiv w:val="1"/>
      <w:marLeft w:val="0"/>
      <w:marRight w:val="0"/>
      <w:marTop w:val="0"/>
      <w:marBottom w:val="0"/>
      <w:divBdr>
        <w:top w:val="none" w:sz="0" w:space="0" w:color="auto"/>
        <w:left w:val="none" w:sz="0" w:space="0" w:color="auto"/>
        <w:bottom w:val="none" w:sz="0" w:space="0" w:color="auto"/>
        <w:right w:val="none" w:sz="0" w:space="0" w:color="auto"/>
      </w:divBdr>
    </w:div>
    <w:div w:id="1860241141">
      <w:bodyDiv w:val="1"/>
      <w:marLeft w:val="0"/>
      <w:marRight w:val="0"/>
      <w:marTop w:val="0"/>
      <w:marBottom w:val="0"/>
      <w:divBdr>
        <w:top w:val="none" w:sz="0" w:space="0" w:color="auto"/>
        <w:left w:val="none" w:sz="0" w:space="0" w:color="auto"/>
        <w:bottom w:val="none" w:sz="0" w:space="0" w:color="auto"/>
        <w:right w:val="none" w:sz="0" w:space="0" w:color="auto"/>
      </w:divBdr>
      <w:divsChild>
        <w:div w:id="1486973956">
          <w:marLeft w:val="0"/>
          <w:marRight w:val="0"/>
          <w:marTop w:val="0"/>
          <w:marBottom w:val="0"/>
          <w:divBdr>
            <w:top w:val="none" w:sz="0" w:space="0" w:color="auto"/>
            <w:left w:val="none" w:sz="0" w:space="0" w:color="auto"/>
            <w:bottom w:val="none" w:sz="0" w:space="0" w:color="auto"/>
            <w:right w:val="none" w:sz="0" w:space="0" w:color="auto"/>
          </w:divBdr>
          <w:divsChild>
            <w:div w:id="1900549534">
              <w:marLeft w:val="0"/>
              <w:marRight w:val="0"/>
              <w:marTop w:val="0"/>
              <w:marBottom w:val="0"/>
              <w:divBdr>
                <w:top w:val="none" w:sz="0" w:space="0" w:color="auto"/>
                <w:left w:val="none" w:sz="0" w:space="0" w:color="auto"/>
                <w:bottom w:val="none" w:sz="0" w:space="0" w:color="auto"/>
                <w:right w:val="none" w:sz="0" w:space="0" w:color="auto"/>
              </w:divBdr>
              <w:divsChild>
                <w:div w:id="1457870620">
                  <w:marLeft w:val="0"/>
                  <w:marRight w:val="0"/>
                  <w:marTop w:val="0"/>
                  <w:marBottom w:val="0"/>
                  <w:divBdr>
                    <w:top w:val="none" w:sz="0" w:space="0" w:color="auto"/>
                    <w:left w:val="none" w:sz="0" w:space="0" w:color="auto"/>
                    <w:bottom w:val="none" w:sz="0" w:space="0" w:color="auto"/>
                    <w:right w:val="none" w:sz="0" w:space="0" w:color="auto"/>
                  </w:divBdr>
                  <w:divsChild>
                    <w:div w:id="187333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8056319">
      <w:bodyDiv w:val="1"/>
      <w:marLeft w:val="0"/>
      <w:marRight w:val="0"/>
      <w:marTop w:val="0"/>
      <w:marBottom w:val="0"/>
      <w:divBdr>
        <w:top w:val="none" w:sz="0" w:space="0" w:color="auto"/>
        <w:left w:val="none" w:sz="0" w:space="0" w:color="auto"/>
        <w:bottom w:val="none" w:sz="0" w:space="0" w:color="auto"/>
        <w:right w:val="none" w:sz="0" w:space="0" w:color="auto"/>
      </w:divBdr>
    </w:div>
    <w:div w:id="1979341963">
      <w:bodyDiv w:val="1"/>
      <w:marLeft w:val="0"/>
      <w:marRight w:val="0"/>
      <w:marTop w:val="0"/>
      <w:marBottom w:val="0"/>
      <w:divBdr>
        <w:top w:val="none" w:sz="0" w:space="0" w:color="auto"/>
        <w:left w:val="none" w:sz="0" w:space="0" w:color="auto"/>
        <w:bottom w:val="none" w:sz="0" w:space="0" w:color="auto"/>
        <w:right w:val="none" w:sz="0" w:space="0" w:color="auto"/>
      </w:divBdr>
      <w:divsChild>
        <w:div w:id="1233348177">
          <w:marLeft w:val="0"/>
          <w:marRight w:val="0"/>
          <w:marTop w:val="0"/>
          <w:marBottom w:val="0"/>
          <w:divBdr>
            <w:top w:val="none" w:sz="0" w:space="0" w:color="auto"/>
            <w:left w:val="none" w:sz="0" w:space="0" w:color="auto"/>
            <w:bottom w:val="none" w:sz="0" w:space="0" w:color="auto"/>
            <w:right w:val="none" w:sz="0" w:space="0" w:color="auto"/>
          </w:divBdr>
        </w:div>
        <w:div w:id="1543327545">
          <w:marLeft w:val="0"/>
          <w:marRight w:val="0"/>
          <w:marTop w:val="0"/>
          <w:marBottom w:val="0"/>
          <w:divBdr>
            <w:top w:val="none" w:sz="0" w:space="0" w:color="auto"/>
            <w:left w:val="none" w:sz="0" w:space="0" w:color="auto"/>
            <w:bottom w:val="none" w:sz="0" w:space="0" w:color="auto"/>
            <w:right w:val="none" w:sz="0" w:space="0" w:color="auto"/>
          </w:divBdr>
        </w:div>
        <w:div w:id="1260138194">
          <w:marLeft w:val="0"/>
          <w:marRight w:val="0"/>
          <w:marTop w:val="0"/>
          <w:marBottom w:val="0"/>
          <w:divBdr>
            <w:top w:val="none" w:sz="0" w:space="0" w:color="auto"/>
            <w:left w:val="none" w:sz="0" w:space="0" w:color="auto"/>
            <w:bottom w:val="none" w:sz="0" w:space="0" w:color="auto"/>
            <w:right w:val="none" w:sz="0" w:space="0" w:color="auto"/>
          </w:divBdr>
        </w:div>
        <w:div w:id="1268345096">
          <w:marLeft w:val="0"/>
          <w:marRight w:val="0"/>
          <w:marTop w:val="0"/>
          <w:marBottom w:val="0"/>
          <w:divBdr>
            <w:top w:val="none" w:sz="0" w:space="0" w:color="auto"/>
            <w:left w:val="none" w:sz="0" w:space="0" w:color="auto"/>
            <w:bottom w:val="none" w:sz="0" w:space="0" w:color="auto"/>
            <w:right w:val="none" w:sz="0" w:space="0" w:color="auto"/>
          </w:divBdr>
        </w:div>
        <w:div w:id="173690587">
          <w:marLeft w:val="0"/>
          <w:marRight w:val="0"/>
          <w:marTop w:val="0"/>
          <w:marBottom w:val="0"/>
          <w:divBdr>
            <w:top w:val="none" w:sz="0" w:space="0" w:color="auto"/>
            <w:left w:val="none" w:sz="0" w:space="0" w:color="auto"/>
            <w:bottom w:val="none" w:sz="0" w:space="0" w:color="auto"/>
            <w:right w:val="none" w:sz="0" w:space="0" w:color="auto"/>
          </w:divBdr>
        </w:div>
        <w:div w:id="1472793104">
          <w:marLeft w:val="0"/>
          <w:marRight w:val="0"/>
          <w:marTop w:val="0"/>
          <w:marBottom w:val="0"/>
          <w:divBdr>
            <w:top w:val="none" w:sz="0" w:space="0" w:color="auto"/>
            <w:left w:val="none" w:sz="0" w:space="0" w:color="auto"/>
            <w:bottom w:val="none" w:sz="0" w:space="0" w:color="auto"/>
            <w:right w:val="none" w:sz="0" w:space="0" w:color="auto"/>
          </w:divBdr>
        </w:div>
        <w:div w:id="91365748">
          <w:marLeft w:val="0"/>
          <w:marRight w:val="0"/>
          <w:marTop w:val="0"/>
          <w:marBottom w:val="0"/>
          <w:divBdr>
            <w:top w:val="none" w:sz="0" w:space="0" w:color="auto"/>
            <w:left w:val="none" w:sz="0" w:space="0" w:color="auto"/>
            <w:bottom w:val="none" w:sz="0" w:space="0" w:color="auto"/>
            <w:right w:val="none" w:sz="0" w:space="0" w:color="auto"/>
          </w:divBdr>
        </w:div>
        <w:div w:id="2062442635">
          <w:marLeft w:val="0"/>
          <w:marRight w:val="0"/>
          <w:marTop w:val="0"/>
          <w:marBottom w:val="0"/>
          <w:divBdr>
            <w:top w:val="none" w:sz="0" w:space="0" w:color="auto"/>
            <w:left w:val="none" w:sz="0" w:space="0" w:color="auto"/>
            <w:bottom w:val="none" w:sz="0" w:space="0" w:color="auto"/>
            <w:right w:val="none" w:sz="0" w:space="0" w:color="auto"/>
          </w:divBdr>
        </w:div>
        <w:div w:id="1488324819">
          <w:marLeft w:val="0"/>
          <w:marRight w:val="0"/>
          <w:marTop w:val="0"/>
          <w:marBottom w:val="0"/>
          <w:divBdr>
            <w:top w:val="none" w:sz="0" w:space="0" w:color="auto"/>
            <w:left w:val="none" w:sz="0" w:space="0" w:color="auto"/>
            <w:bottom w:val="none" w:sz="0" w:space="0" w:color="auto"/>
            <w:right w:val="none" w:sz="0" w:space="0" w:color="auto"/>
          </w:divBdr>
        </w:div>
        <w:div w:id="587155934">
          <w:marLeft w:val="0"/>
          <w:marRight w:val="0"/>
          <w:marTop w:val="0"/>
          <w:marBottom w:val="0"/>
          <w:divBdr>
            <w:top w:val="none" w:sz="0" w:space="0" w:color="auto"/>
            <w:left w:val="none" w:sz="0" w:space="0" w:color="auto"/>
            <w:bottom w:val="none" w:sz="0" w:space="0" w:color="auto"/>
            <w:right w:val="none" w:sz="0" w:space="0" w:color="auto"/>
          </w:divBdr>
        </w:div>
      </w:divsChild>
    </w:div>
    <w:div w:id="2010402681">
      <w:marLeft w:val="0"/>
      <w:marRight w:val="0"/>
      <w:marTop w:val="0"/>
      <w:marBottom w:val="0"/>
      <w:divBdr>
        <w:top w:val="none" w:sz="0" w:space="0" w:color="auto"/>
        <w:left w:val="none" w:sz="0" w:space="0" w:color="auto"/>
        <w:bottom w:val="none" w:sz="0" w:space="0" w:color="auto"/>
        <w:right w:val="none" w:sz="0" w:space="0" w:color="auto"/>
      </w:divBdr>
    </w:div>
    <w:div w:id="2010402682">
      <w:marLeft w:val="0"/>
      <w:marRight w:val="0"/>
      <w:marTop w:val="0"/>
      <w:marBottom w:val="0"/>
      <w:divBdr>
        <w:top w:val="none" w:sz="0" w:space="0" w:color="auto"/>
        <w:left w:val="none" w:sz="0" w:space="0" w:color="auto"/>
        <w:bottom w:val="none" w:sz="0" w:space="0" w:color="auto"/>
        <w:right w:val="none" w:sz="0" w:space="0" w:color="auto"/>
      </w:divBdr>
    </w:div>
    <w:div w:id="2010402683">
      <w:marLeft w:val="0"/>
      <w:marRight w:val="0"/>
      <w:marTop w:val="0"/>
      <w:marBottom w:val="0"/>
      <w:divBdr>
        <w:top w:val="none" w:sz="0" w:space="0" w:color="auto"/>
        <w:left w:val="none" w:sz="0" w:space="0" w:color="auto"/>
        <w:bottom w:val="none" w:sz="0" w:space="0" w:color="auto"/>
        <w:right w:val="none" w:sz="0" w:space="0" w:color="auto"/>
      </w:divBdr>
    </w:div>
    <w:div w:id="2010402684">
      <w:marLeft w:val="0"/>
      <w:marRight w:val="0"/>
      <w:marTop w:val="0"/>
      <w:marBottom w:val="0"/>
      <w:divBdr>
        <w:top w:val="none" w:sz="0" w:space="0" w:color="auto"/>
        <w:left w:val="none" w:sz="0" w:space="0" w:color="auto"/>
        <w:bottom w:val="none" w:sz="0" w:space="0" w:color="auto"/>
        <w:right w:val="none" w:sz="0" w:space="0" w:color="auto"/>
      </w:divBdr>
    </w:div>
    <w:div w:id="2010402685">
      <w:marLeft w:val="0"/>
      <w:marRight w:val="0"/>
      <w:marTop w:val="0"/>
      <w:marBottom w:val="0"/>
      <w:divBdr>
        <w:top w:val="none" w:sz="0" w:space="0" w:color="auto"/>
        <w:left w:val="none" w:sz="0" w:space="0" w:color="auto"/>
        <w:bottom w:val="none" w:sz="0" w:space="0" w:color="auto"/>
        <w:right w:val="none" w:sz="0" w:space="0" w:color="auto"/>
      </w:divBdr>
    </w:div>
    <w:div w:id="2010402686">
      <w:marLeft w:val="0"/>
      <w:marRight w:val="0"/>
      <w:marTop w:val="0"/>
      <w:marBottom w:val="0"/>
      <w:divBdr>
        <w:top w:val="none" w:sz="0" w:space="0" w:color="auto"/>
        <w:left w:val="none" w:sz="0" w:space="0" w:color="auto"/>
        <w:bottom w:val="none" w:sz="0" w:space="0" w:color="auto"/>
        <w:right w:val="none" w:sz="0" w:space="0" w:color="auto"/>
      </w:divBdr>
    </w:div>
    <w:div w:id="2010402687">
      <w:marLeft w:val="0"/>
      <w:marRight w:val="0"/>
      <w:marTop w:val="0"/>
      <w:marBottom w:val="0"/>
      <w:divBdr>
        <w:top w:val="none" w:sz="0" w:space="0" w:color="auto"/>
        <w:left w:val="none" w:sz="0" w:space="0" w:color="auto"/>
        <w:bottom w:val="none" w:sz="0" w:space="0" w:color="auto"/>
        <w:right w:val="none" w:sz="0" w:space="0" w:color="auto"/>
      </w:divBdr>
    </w:div>
    <w:div w:id="2010402688">
      <w:marLeft w:val="0"/>
      <w:marRight w:val="0"/>
      <w:marTop w:val="0"/>
      <w:marBottom w:val="0"/>
      <w:divBdr>
        <w:top w:val="none" w:sz="0" w:space="0" w:color="auto"/>
        <w:left w:val="none" w:sz="0" w:space="0" w:color="auto"/>
        <w:bottom w:val="none" w:sz="0" w:space="0" w:color="auto"/>
        <w:right w:val="none" w:sz="0" w:space="0" w:color="auto"/>
      </w:divBdr>
    </w:div>
    <w:div w:id="2010402689">
      <w:marLeft w:val="0"/>
      <w:marRight w:val="0"/>
      <w:marTop w:val="0"/>
      <w:marBottom w:val="0"/>
      <w:divBdr>
        <w:top w:val="none" w:sz="0" w:space="0" w:color="auto"/>
        <w:left w:val="none" w:sz="0" w:space="0" w:color="auto"/>
        <w:bottom w:val="none" w:sz="0" w:space="0" w:color="auto"/>
        <w:right w:val="none" w:sz="0" w:space="0" w:color="auto"/>
      </w:divBdr>
    </w:div>
    <w:div w:id="2010402690">
      <w:marLeft w:val="0"/>
      <w:marRight w:val="0"/>
      <w:marTop w:val="0"/>
      <w:marBottom w:val="0"/>
      <w:divBdr>
        <w:top w:val="none" w:sz="0" w:space="0" w:color="auto"/>
        <w:left w:val="none" w:sz="0" w:space="0" w:color="auto"/>
        <w:bottom w:val="none" w:sz="0" w:space="0" w:color="auto"/>
        <w:right w:val="none" w:sz="0" w:space="0" w:color="auto"/>
      </w:divBdr>
    </w:div>
    <w:div w:id="2010402691">
      <w:marLeft w:val="0"/>
      <w:marRight w:val="0"/>
      <w:marTop w:val="0"/>
      <w:marBottom w:val="0"/>
      <w:divBdr>
        <w:top w:val="none" w:sz="0" w:space="0" w:color="auto"/>
        <w:left w:val="none" w:sz="0" w:space="0" w:color="auto"/>
        <w:bottom w:val="none" w:sz="0" w:space="0" w:color="auto"/>
        <w:right w:val="none" w:sz="0" w:space="0" w:color="auto"/>
      </w:divBdr>
    </w:div>
    <w:div w:id="2010402692">
      <w:marLeft w:val="0"/>
      <w:marRight w:val="0"/>
      <w:marTop w:val="0"/>
      <w:marBottom w:val="0"/>
      <w:divBdr>
        <w:top w:val="none" w:sz="0" w:space="0" w:color="auto"/>
        <w:left w:val="none" w:sz="0" w:space="0" w:color="auto"/>
        <w:bottom w:val="none" w:sz="0" w:space="0" w:color="auto"/>
        <w:right w:val="none" w:sz="0" w:space="0" w:color="auto"/>
      </w:divBdr>
    </w:div>
    <w:div w:id="2010402693">
      <w:marLeft w:val="0"/>
      <w:marRight w:val="0"/>
      <w:marTop w:val="0"/>
      <w:marBottom w:val="0"/>
      <w:divBdr>
        <w:top w:val="none" w:sz="0" w:space="0" w:color="auto"/>
        <w:left w:val="none" w:sz="0" w:space="0" w:color="auto"/>
        <w:bottom w:val="none" w:sz="0" w:space="0" w:color="auto"/>
        <w:right w:val="none" w:sz="0" w:space="0" w:color="auto"/>
      </w:divBdr>
    </w:div>
    <w:div w:id="2010402694">
      <w:marLeft w:val="0"/>
      <w:marRight w:val="0"/>
      <w:marTop w:val="0"/>
      <w:marBottom w:val="0"/>
      <w:divBdr>
        <w:top w:val="none" w:sz="0" w:space="0" w:color="auto"/>
        <w:left w:val="none" w:sz="0" w:space="0" w:color="auto"/>
        <w:bottom w:val="none" w:sz="0" w:space="0" w:color="auto"/>
        <w:right w:val="none" w:sz="0" w:space="0" w:color="auto"/>
      </w:divBdr>
    </w:div>
    <w:div w:id="2010402695">
      <w:marLeft w:val="0"/>
      <w:marRight w:val="0"/>
      <w:marTop w:val="0"/>
      <w:marBottom w:val="0"/>
      <w:divBdr>
        <w:top w:val="none" w:sz="0" w:space="0" w:color="auto"/>
        <w:left w:val="none" w:sz="0" w:space="0" w:color="auto"/>
        <w:bottom w:val="none" w:sz="0" w:space="0" w:color="auto"/>
        <w:right w:val="none" w:sz="0" w:space="0" w:color="auto"/>
      </w:divBdr>
    </w:div>
    <w:div w:id="2010402696">
      <w:marLeft w:val="0"/>
      <w:marRight w:val="0"/>
      <w:marTop w:val="0"/>
      <w:marBottom w:val="0"/>
      <w:divBdr>
        <w:top w:val="none" w:sz="0" w:space="0" w:color="auto"/>
        <w:left w:val="none" w:sz="0" w:space="0" w:color="auto"/>
        <w:bottom w:val="none" w:sz="0" w:space="0" w:color="auto"/>
        <w:right w:val="none" w:sz="0" w:space="0" w:color="auto"/>
      </w:divBdr>
    </w:div>
    <w:div w:id="2010402697">
      <w:marLeft w:val="0"/>
      <w:marRight w:val="0"/>
      <w:marTop w:val="0"/>
      <w:marBottom w:val="0"/>
      <w:divBdr>
        <w:top w:val="none" w:sz="0" w:space="0" w:color="auto"/>
        <w:left w:val="none" w:sz="0" w:space="0" w:color="auto"/>
        <w:bottom w:val="none" w:sz="0" w:space="0" w:color="auto"/>
        <w:right w:val="none" w:sz="0" w:space="0" w:color="auto"/>
      </w:divBdr>
    </w:div>
    <w:div w:id="2010402698">
      <w:marLeft w:val="0"/>
      <w:marRight w:val="0"/>
      <w:marTop w:val="0"/>
      <w:marBottom w:val="0"/>
      <w:divBdr>
        <w:top w:val="none" w:sz="0" w:space="0" w:color="auto"/>
        <w:left w:val="none" w:sz="0" w:space="0" w:color="auto"/>
        <w:bottom w:val="none" w:sz="0" w:space="0" w:color="auto"/>
        <w:right w:val="none" w:sz="0" w:space="0" w:color="auto"/>
      </w:divBdr>
    </w:div>
    <w:div w:id="2010402699">
      <w:marLeft w:val="0"/>
      <w:marRight w:val="0"/>
      <w:marTop w:val="0"/>
      <w:marBottom w:val="0"/>
      <w:divBdr>
        <w:top w:val="none" w:sz="0" w:space="0" w:color="auto"/>
        <w:left w:val="none" w:sz="0" w:space="0" w:color="auto"/>
        <w:bottom w:val="none" w:sz="0" w:space="0" w:color="auto"/>
        <w:right w:val="none" w:sz="0" w:space="0" w:color="auto"/>
      </w:divBdr>
    </w:div>
    <w:div w:id="2010402700">
      <w:marLeft w:val="0"/>
      <w:marRight w:val="0"/>
      <w:marTop w:val="0"/>
      <w:marBottom w:val="0"/>
      <w:divBdr>
        <w:top w:val="none" w:sz="0" w:space="0" w:color="auto"/>
        <w:left w:val="none" w:sz="0" w:space="0" w:color="auto"/>
        <w:bottom w:val="none" w:sz="0" w:space="0" w:color="auto"/>
        <w:right w:val="none" w:sz="0" w:space="0" w:color="auto"/>
      </w:divBdr>
    </w:div>
    <w:div w:id="2010402701">
      <w:marLeft w:val="0"/>
      <w:marRight w:val="0"/>
      <w:marTop w:val="0"/>
      <w:marBottom w:val="0"/>
      <w:divBdr>
        <w:top w:val="none" w:sz="0" w:space="0" w:color="auto"/>
        <w:left w:val="none" w:sz="0" w:space="0" w:color="auto"/>
        <w:bottom w:val="none" w:sz="0" w:space="0" w:color="auto"/>
        <w:right w:val="none" w:sz="0" w:space="0" w:color="auto"/>
      </w:divBdr>
    </w:div>
    <w:div w:id="2010402702">
      <w:marLeft w:val="0"/>
      <w:marRight w:val="0"/>
      <w:marTop w:val="0"/>
      <w:marBottom w:val="0"/>
      <w:divBdr>
        <w:top w:val="none" w:sz="0" w:space="0" w:color="auto"/>
        <w:left w:val="none" w:sz="0" w:space="0" w:color="auto"/>
        <w:bottom w:val="none" w:sz="0" w:space="0" w:color="auto"/>
        <w:right w:val="none" w:sz="0" w:space="0" w:color="auto"/>
      </w:divBdr>
    </w:div>
    <w:div w:id="2010402703">
      <w:marLeft w:val="0"/>
      <w:marRight w:val="0"/>
      <w:marTop w:val="0"/>
      <w:marBottom w:val="0"/>
      <w:divBdr>
        <w:top w:val="none" w:sz="0" w:space="0" w:color="auto"/>
        <w:left w:val="none" w:sz="0" w:space="0" w:color="auto"/>
        <w:bottom w:val="none" w:sz="0" w:space="0" w:color="auto"/>
        <w:right w:val="none" w:sz="0" w:space="0" w:color="auto"/>
      </w:divBdr>
    </w:div>
    <w:div w:id="2010402704">
      <w:marLeft w:val="0"/>
      <w:marRight w:val="0"/>
      <w:marTop w:val="0"/>
      <w:marBottom w:val="0"/>
      <w:divBdr>
        <w:top w:val="none" w:sz="0" w:space="0" w:color="auto"/>
        <w:left w:val="none" w:sz="0" w:space="0" w:color="auto"/>
        <w:bottom w:val="none" w:sz="0" w:space="0" w:color="auto"/>
        <w:right w:val="none" w:sz="0" w:space="0" w:color="auto"/>
      </w:divBdr>
    </w:div>
    <w:div w:id="2010402705">
      <w:marLeft w:val="0"/>
      <w:marRight w:val="0"/>
      <w:marTop w:val="0"/>
      <w:marBottom w:val="0"/>
      <w:divBdr>
        <w:top w:val="none" w:sz="0" w:space="0" w:color="auto"/>
        <w:left w:val="none" w:sz="0" w:space="0" w:color="auto"/>
        <w:bottom w:val="none" w:sz="0" w:space="0" w:color="auto"/>
        <w:right w:val="none" w:sz="0" w:space="0" w:color="auto"/>
      </w:divBdr>
    </w:div>
    <w:div w:id="2010402706">
      <w:marLeft w:val="0"/>
      <w:marRight w:val="0"/>
      <w:marTop w:val="0"/>
      <w:marBottom w:val="0"/>
      <w:divBdr>
        <w:top w:val="none" w:sz="0" w:space="0" w:color="auto"/>
        <w:left w:val="none" w:sz="0" w:space="0" w:color="auto"/>
        <w:bottom w:val="none" w:sz="0" w:space="0" w:color="auto"/>
        <w:right w:val="none" w:sz="0" w:space="0" w:color="auto"/>
      </w:divBdr>
    </w:div>
    <w:div w:id="2010402707">
      <w:marLeft w:val="0"/>
      <w:marRight w:val="0"/>
      <w:marTop w:val="0"/>
      <w:marBottom w:val="0"/>
      <w:divBdr>
        <w:top w:val="none" w:sz="0" w:space="0" w:color="auto"/>
        <w:left w:val="none" w:sz="0" w:space="0" w:color="auto"/>
        <w:bottom w:val="none" w:sz="0" w:space="0" w:color="auto"/>
        <w:right w:val="none" w:sz="0" w:space="0" w:color="auto"/>
      </w:divBdr>
    </w:div>
    <w:div w:id="2010402708">
      <w:marLeft w:val="0"/>
      <w:marRight w:val="0"/>
      <w:marTop w:val="0"/>
      <w:marBottom w:val="0"/>
      <w:divBdr>
        <w:top w:val="none" w:sz="0" w:space="0" w:color="auto"/>
        <w:left w:val="none" w:sz="0" w:space="0" w:color="auto"/>
        <w:bottom w:val="none" w:sz="0" w:space="0" w:color="auto"/>
        <w:right w:val="none" w:sz="0" w:space="0" w:color="auto"/>
      </w:divBdr>
    </w:div>
    <w:div w:id="2010402709">
      <w:marLeft w:val="0"/>
      <w:marRight w:val="0"/>
      <w:marTop w:val="0"/>
      <w:marBottom w:val="0"/>
      <w:divBdr>
        <w:top w:val="none" w:sz="0" w:space="0" w:color="auto"/>
        <w:left w:val="none" w:sz="0" w:space="0" w:color="auto"/>
        <w:bottom w:val="none" w:sz="0" w:space="0" w:color="auto"/>
        <w:right w:val="none" w:sz="0" w:space="0" w:color="auto"/>
      </w:divBdr>
    </w:div>
    <w:div w:id="2010402710">
      <w:marLeft w:val="0"/>
      <w:marRight w:val="0"/>
      <w:marTop w:val="0"/>
      <w:marBottom w:val="0"/>
      <w:divBdr>
        <w:top w:val="none" w:sz="0" w:space="0" w:color="auto"/>
        <w:left w:val="none" w:sz="0" w:space="0" w:color="auto"/>
        <w:bottom w:val="none" w:sz="0" w:space="0" w:color="auto"/>
        <w:right w:val="none" w:sz="0" w:space="0" w:color="auto"/>
      </w:divBdr>
    </w:div>
    <w:div w:id="2021227764">
      <w:bodyDiv w:val="1"/>
      <w:marLeft w:val="0"/>
      <w:marRight w:val="0"/>
      <w:marTop w:val="0"/>
      <w:marBottom w:val="0"/>
      <w:divBdr>
        <w:top w:val="none" w:sz="0" w:space="0" w:color="auto"/>
        <w:left w:val="none" w:sz="0" w:space="0" w:color="auto"/>
        <w:bottom w:val="none" w:sz="0" w:space="0" w:color="auto"/>
        <w:right w:val="none" w:sz="0" w:space="0" w:color="auto"/>
      </w:divBdr>
      <w:divsChild>
        <w:div w:id="2047637959">
          <w:marLeft w:val="0"/>
          <w:marRight w:val="0"/>
          <w:marTop w:val="0"/>
          <w:marBottom w:val="0"/>
          <w:divBdr>
            <w:top w:val="none" w:sz="0" w:space="0" w:color="auto"/>
            <w:left w:val="none" w:sz="0" w:space="0" w:color="auto"/>
            <w:bottom w:val="none" w:sz="0" w:space="0" w:color="auto"/>
            <w:right w:val="none" w:sz="0" w:space="0" w:color="auto"/>
          </w:divBdr>
          <w:divsChild>
            <w:div w:id="65811109">
              <w:marLeft w:val="0"/>
              <w:marRight w:val="0"/>
              <w:marTop w:val="0"/>
              <w:marBottom w:val="0"/>
              <w:divBdr>
                <w:top w:val="none" w:sz="0" w:space="0" w:color="auto"/>
                <w:left w:val="none" w:sz="0" w:space="0" w:color="auto"/>
                <w:bottom w:val="none" w:sz="0" w:space="0" w:color="auto"/>
                <w:right w:val="none" w:sz="0" w:space="0" w:color="auto"/>
              </w:divBdr>
              <w:divsChild>
                <w:div w:id="532038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8139097">
      <w:bodyDiv w:val="1"/>
      <w:marLeft w:val="0"/>
      <w:marRight w:val="0"/>
      <w:marTop w:val="0"/>
      <w:marBottom w:val="0"/>
      <w:divBdr>
        <w:top w:val="none" w:sz="0" w:space="0" w:color="auto"/>
        <w:left w:val="none" w:sz="0" w:space="0" w:color="auto"/>
        <w:bottom w:val="none" w:sz="0" w:space="0" w:color="auto"/>
        <w:right w:val="none" w:sz="0" w:space="0" w:color="auto"/>
      </w:divBdr>
    </w:div>
    <w:div w:id="2060930941">
      <w:bodyDiv w:val="1"/>
      <w:marLeft w:val="0"/>
      <w:marRight w:val="0"/>
      <w:marTop w:val="0"/>
      <w:marBottom w:val="0"/>
      <w:divBdr>
        <w:top w:val="none" w:sz="0" w:space="0" w:color="auto"/>
        <w:left w:val="none" w:sz="0" w:space="0" w:color="auto"/>
        <w:bottom w:val="none" w:sz="0" w:space="0" w:color="auto"/>
        <w:right w:val="none" w:sz="0" w:space="0" w:color="auto"/>
      </w:divBdr>
    </w:div>
    <w:div w:id="2066633739">
      <w:bodyDiv w:val="1"/>
      <w:marLeft w:val="0"/>
      <w:marRight w:val="0"/>
      <w:marTop w:val="0"/>
      <w:marBottom w:val="0"/>
      <w:divBdr>
        <w:top w:val="none" w:sz="0" w:space="0" w:color="auto"/>
        <w:left w:val="none" w:sz="0" w:space="0" w:color="auto"/>
        <w:bottom w:val="none" w:sz="0" w:space="0" w:color="auto"/>
        <w:right w:val="none" w:sz="0" w:space="0" w:color="auto"/>
      </w:divBdr>
    </w:div>
    <w:div w:id="2095012737">
      <w:bodyDiv w:val="1"/>
      <w:marLeft w:val="0"/>
      <w:marRight w:val="0"/>
      <w:marTop w:val="0"/>
      <w:marBottom w:val="0"/>
      <w:divBdr>
        <w:top w:val="none" w:sz="0" w:space="0" w:color="auto"/>
        <w:left w:val="none" w:sz="0" w:space="0" w:color="auto"/>
        <w:bottom w:val="none" w:sz="0" w:space="0" w:color="auto"/>
        <w:right w:val="none" w:sz="0" w:space="0" w:color="auto"/>
      </w:divBdr>
    </w:div>
    <w:div w:id="2120025509">
      <w:bodyDiv w:val="1"/>
      <w:marLeft w:val="0"/>
      <w:marRight w:val="0"/>
      <w:marTop w:val="0"/>
      <w:marBottom w:val="0"/>
      <w:divBdr>
        <w:top w:val="none" w:sz="0" w:space="0" w:color="auto"/>
        <w:left w:val="none" w:sz="0" w:space="0" w:color="auto"/>
        <w:bottom w:val="none" w:sz="0" w:space="0" w:color="auto"/>
        <w:right w:val="none" w:sz="0" w:space="0" w:color="auto"/>
      </w:divBdr>
    </w:div>
    <w:div w:id="2137526272">
      <w:bodyDiv w:val="1"/>
      <w:marLeft w:val="0"/>
      <w:marRight w:val="0"/>
      <w:marTop w:val="0"/>
      <w:marBottom w:val="0"/>
      <w:divBdr>
        <w:top w:val="none" w:sz="0" w:space="0" w:color="auto"/>
        <w:left w:val="none" w:sz="0" w:space="0" w:color="auto"/>
        <w:bottom w:val="none" w:sz="0" w:space="0" w:color="auto"/>
        <w:right w:val="none" w:sz="0" w:space="0" w:color="auto"/>
      </w:divBdr>
    </w:div>
    <w:div w:id="214068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7DBC8B-1342-B24B-B71B-41AB4BB259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92</TotalTime>
  <Pages>29</Pages>
  <Words>24425</Words>
  <Characters>139225</Characters>
  <Application>Microsoft Office Word</Application>
  <DocSecurity>0</DocSecurity>
  <Lines>1160</Lines>
  <Paragraphs>326</Paragraphs>
  <ScaleCrop>false</ScaleCrop>
  <HeadingPairs>
    <vt:vector size="2" baseType="variant">
      <vt:variant>
        <vt:lpstr>Title</vt:lpstr>
      </vt:variant>
      <vt:variant>
        <vt:i4>1</vt:i4>
      </vt:variant>
    </vt:vector>
  </HeadingPairs>
  <TitlesOfParts>
    <vt:vector size="1" baseType="lpstr">
      <vt:lpstr>Flavan-3-ol intake and systolic blood pressure: comparison of results from 7-day-diary and FFQ</vt:lpstr>
    </vt:vector>
  </TitlesOfParts>
  <Company>University of Reading</Company>
  <LinksUpToDate>false</LinksUpToDate>
  <CharactersWithSpaces>163324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Flavan-3-ol intake and systolic blood pressure: comparison of results from 7-day-diary and FFQ</dc:title>
  <dc:creator>Gunter G. C. Kuhnle</dc:creator>
  <cp:lastModifiedBy>Gunter Kuhnle</cp:lastModifiedBy>
  <cp:revision>48</cp:revision>
  <cp:lastPrinted>2018-01-09T09:21:00Z</cp:lastPrinted>
  <dcterms:created xsi:type="dcterms:W3CDTF">2019-05-28T14:54:00Z</dcterms:created>
  <dcterms:modified xsi:type="dcterms:W3CDTF">2019-07-26T08:20:00Z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PERS2_INFO_01">
    <vt:lpwstr>&lt;info&gt;&lt;style id="http://www.zotero.org/styles/scientific-reports"/&gt;&lt;format class="21"/&gt;&lt;count citations="53" publications="37"/&gt;&lt;/info&gt;PAPERS2_INFO_END</vt:lpwstr>
  </property>
</Properties>
</file>