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er1.xml" ContentType="application/vnd.openxmlformats-officedocument.wordprocessingml.footer+xml"/>
  <Override PartName="/word/settings.xml" ContentType="application/vnd.openxmlformats-officedocument.wordprocessingml.settings+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bidi w:val="0"/>
        <w:jc w:val="left"/>
        <w:rPr>
          <w:rFonts w:ascii="Arial" w:hAnsi="Arial"/>
          <w:sz w:val="20"/>
          <w:szCs w:val="20"/>
        </w:rPr>
      </w:pPr>
      <w:r>
        <w:rPr>
          <w:rFonts w:ascii="Arial" w:hAnsi="Arial"/>
          <w:sz w:val="20"/>
          <w:szCs w:val="20"/>
        </w:rPr>
        <w:t xml:space="preserve">Dr </w:t>
      </w:r>
      <w:r>
        <w:rPr>
          <w:rFonts w:ascii="Arial" w:hAnsi="Arial"/>
          <w:sz w:val="20"/>
          <w:szCs w:val="20"/>
        </w:rPr>
        <w:t>Timothy Rittman</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sz w:val="20"/>
          <w:szCs w:val="20"/>
        </w:rPr>
      </w:pPr>
      <w:r>
        <w:rPr>
          <w:rFonts w:ascii="Arial" w:hAnsi="Arial"/>
          <w:sz w:val="20"/>
          <w:szCs w:val="20"/>
        </w:rPr>
        <w:t xml:space="preserve">Title: </w:t>
      </w:r>
      <w:r>
        <w:rPr>
          <w:rFonts w:ascii="Arial" w:hAnsi="Arial"/>
          <w:sz w:val="20"/>
          <w:szCs w:val="20"/>
        </w:rPr>
        <w:t xml:space="preserve">Neurological Update: </w:t>
      </w:r>
      <w:r>
        <w:rPr>
          <w:rFonts w:ascii="Arial" w:hAnsi="Arial"/>
          <w:sz w:val="20"/>
          <w:szCs w:val="20"/>
        </w:rPr>
        <w:t xml:space="preserve">Neuroimaging in </w:t>
      </w:r>
      <w:r>
        <w:rPr>
          <w:rFonts w:ascii="Arial" w:hAnsi="Arial"/>
          <w:sz w:val="20"/>
          <w:szCs w:val="20"/>
        </w:rPr>
        <w:t>Dementia</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sz w:val="20"/>
          <w:szCs w:val="20"/>
        </w:rPr>
      </w:pPr>
      <w:r>
        <w:rPr>
          <w:rFonts w:ascii="Arial" w:hAnsi="Arial"/>
          <w:sz w:val="20"/>
          <w:szCs w:val="20"/>
        </w:rPr>
        <w:t>Department of Neurosciences, University of Cambridge, Cambridge, UK</w:t>
      </w:r>
    </w:p>
    <w:p>
      <w:pPr>
        <w:pStyle w:val="Normal"/>
        <w:bidi w:val="0"/>
        <w:jc w:val="left"/>
        <w:rPr>
          <w:rFonts w:ascii="Arial" w:hAnsi="Arial"/>
          <w:sz w:val="20"/>
          <w:szCs w:val="20"/>
        </w:rPr>
      </w:pPr>
      <w:r>
        <w:rPr>
          <w:rFonts w:ascii="Arial" w:hAnsi="Arial"/>
          <w:sz w:val="20"/>
          <w:szCs w:val="20"/>
        </w:rPr>
      </w:r>
    </w:p>
    <w:p>
      <w:pPr>
        <w:pStyle w:val="Normal"/>
        <w:bidi w:val="0"/>
        <w:jc w:val="left"/>
        <w:rPr/>
      </w:pPr>
      <w:r>
        <w:rPr>
          <w:rFonts w:ascii="Arial" w:hAnsi="Arial"/>
          <w:sz w:val="20"/>
          <w:szCs w:val="20"/>
        </w:rPr>
        <w:t xml:space="preserve">Email: </w:t>
      </w:r>
      <w:hyperlink r:id="rId2">
        <w:r>
          <w:rPr>
            <w:rStyle w:val="InternetLink"/>
            <w:rFonts w:ascii="Arial" w:hAnsi="Arial"/>
            <w:sz w:val="20"/>
            <w:szCs w:val="20"/>
          </w:rPr>
          <w:t>tr332@medschl.cam.ac.uk</w:t>
        </w:r>
      </w:hyperlink>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sz w:val="20"/>
          <w:szCs w:val="20"/>
        </w:rPr>
      </w:pPr>
      <w:r>
        <w:rPr>
          <w:rFonts w:ascii="Arial" w:hAnsi="Arial"/>
          <w:sz w:val="20"/>
          <w:szCs w:val="20"/>
        </w:rPr>
        <w:t xml:space="preserve">Orcid: </w:t>
      </w:r>
      <w:bookmarkStart w:id="0" w:name="orcid-id"/>
      <w:bookmarkEnd w:id="0"/>
      <w:r>
        <w:rPr>
          <w:rFonts w:ascii="Arial" w:hAnsi="Arial"/>
          <w:sz w:val="20"/>
          <w:szCs w:val="20"/>
        </w:rPr>
        <w:t>0000-0003-1063-6937</w:t>
      </w:r>
      <w:r>
        <w:br w:type="page"/>
      </w:r>
    </w:p>
    <w:p>
      <w:pPr>
        <w:pStyle w:val="Normal"/>
        <w:bidi w:val="0"/>
        <w:jc w:val="left"/>
        <w:rPr>
          <w:rFonts w:ascii="Arial" w:hAnsi="Arial"/>
          <w:b/>
          <w:b/>
          <w:bCs/>
          <w:sz w:val="20"/>
          <w:szCs w:val="20"/>
        </w:rPr>
      </w:pPr>
      <w:r>
        <w:rPr>
          <w:rFonts w:ascii="Arial" w:hAnsi="Arial"/>
          <w:b/>
          <w:bCs/>
          <w:sz w:val="20"/>
          <w:szCs w:val="20"/>
        </w:rPr>
        <w:t>Abstract</w:t>
      </w:r>
    </w:p>
    <w:p>
      <w:pPr>
        <w:pStyle w:val="Normal"/>
        <w:bidi w:val="0"/>
        <w:jc w:val="left"/>
        <w:rPr>
          <w:rFonts w:ascii="Arial" w:hAnsi="Arial"/>
          <w:b/>
          <w:b/>
          <w:bCs/>
          <w:sz w:val="20"/>
          <w:szCs w:val="20"/>
        </w:rPr>
      </w:pPr>
      <w:r>
        <w:rPr>
          <w:rFonts w:ascii="Arial" w:hAnsi="Arial"/>
          <w:b/>
          <w:bCs/>
          <w:sz w:val="20"/>
          <w:szCs w:val="20"/>
        </w:rPr>
      </w:r>
    </w:p>
    <w:p>
      <w:pPr>
        <w:pStyle w:val="Normal"/>
        <w:bidi w:val="0"/>
        <w:jc w:val="left"/>
        <w:rPr/>
      </w:pPr>
      <w:r>
        <w:rPr>
          <w:rFonts w:ascii="Arial" w:hAnsi="Arial"/>
          <w:b w:val="false"/>
          <w:bCs w:val="false"/>
          <w:sz w:val="20"/>
          <w:szCs w:val="20"/>
        </w:rPr>
        <w:t xml:space="preserve">Neuroimaging </w:t>
      </w:r>
      <w:r>
        <w:rPr>
          <w:rFonts w:ascii="Arial" w:hAnsi="Arial"/>
          <w:b w:val="false"/>
          <w:bCs w:val="false"/>
          <w:sz w:val="20"/>
          <w:szCs w:val="20"/>
        </w:rPr>
        <w:t>for dementia</w:t>
      </w:r>
      <w:r>
        <w:rPr>
          <w:rFonts w:ascii="Arial" w:hAnsi="Arial"/>
          <w:b w:val="false"/>
          <w:bCs w:val="false"/>
          <w:sz w:val="20"/>
          <w:szCs w:val="20"/>
        </w:rPr>
        <w:t xml:space="preserve"> has made remarkable progress in recent years, shedding light on diagnostic subtypes </w:t>
      </w:r>
      <w:r>
        <w:rPr>
          <w:rFonts w:ascii="Arial" w:hAnsi="Arial"/>
          <w:b w:val="false"/>
          <w:bCs w:val="false"/>
          <w:sz w:val="20"/>
          <w:szCs w:val="20"/>
        </w:rPr>
        <w:t>of dementia</w:t>
      </w:r>
      <w:r>
        <w:rPr>
          <w:rFonts w:ascii="Arial" w:hAnsi="Arial"/>
          <w:b w:val="false"/>
          <w:bCs w:val="false"/>
          <w:sz w:val="20"/>
          <w:szCs w:val="20"/>
        </w:rPr>
        <w:t xml:space="preserve">, predicting prognosis and monitoring pathology. This review covers some updates </w:t>
      </w:r>
      <w:r>
        <w:rPr>
          <w:rFonts w:ascii="Arial" w:hAnsi="Arial"/>
          <w:b w:val="false"/>
          <w:bCs w:val="false"/>
          <w:sz w:val="20"/>
          <w:szCs w:val="20"/>
        </w:rPr>
        <w:t>in the understanding of dementia using</w:t>
      </w:r>
      <w:r>
        <w:rPr>
          <w:rFonts w:ascii="Arial" w:hAnsi="Arial"/>
          <w:b w:val="false"/>
          <w:bCs w:val="false"/>
          <w:sz w:val="20"/>
          <w:szCs w:val="20"/>
        </w:rPr>
        <w:t xml:space="preserve"> structural imaging, Positron Emission Tomography (PET), structural and functional connectivity, </w:t>
      </w:r>
      <w:r>
        <w:rPr>
          <w:rFonts w:ascii="Arial" w:hAnsi="Arial"/>
          <w:b w:val="false"/>
          <w:bCs w:val="false"/>
          <w:sz w:val="20"/>
          <w:szCs w:val="20"/>
        </w:rPr>
        <w:t xml:space="preserve">and using </w:t>
      </w:r>
      <w:r>
        <w:rPr>
          <w:rFonts w:ascii="Arial" w:hAnsi="Arial"/>
          <w:b w:val="false"/>
          <w:bCs w:val="false"/>
          <w:sz w:val="20"/>
          <w:szCs w:val="20"/>
        </w:rPr>
        <w:t xml:space="preserve">big data and Artificial Intelligence. </w:t>
      </w:r>
      <w:r>
        <w:rPr>
          <w:rFonts w:ascii="Arial" w:hAnsi="Arial"/>
          <w:b w:val="false"/>
          <w:bCs w:val="false"/>
          <w:sz w:val="20"/>
          <w:szCs w:val="20"/>
        </w:rPr>
        <w:t xml:space="preserve">Progress with neuroimaging methods </w:t>
      </w:r>
      <w:r>
        <w:rPr>
          <w:rFonts w:eastAsia="Noto Serif CJK SC" w:cs="Lohit Devanagari" w:ascii="Arial" w:hAnsi="Arial"/>
          <w:b w:val="false"/>
          <w:bCs w:val="false"/>
          <w:color w:val="auto"/>
          <w:kern w:val="2"/>
          <w:sz w:val="20"/>
          <w:szCs w:val="20"/>
          <w:lang w:val="en-GB" w:eastAsia="zh-CN" w:bidi="hi-IN"/>
        </w:rPr>
        <w:t>allow</w:t>
      </w:r>
      <w:r>
        <w:rPr>
          <w:rFonts w:eastAsia="Noto Serif CJK SC" w:cs="Lohit Devanagari" w:ascii="Arial" w:hAnsi="Arial"/>
          <w:b w:val="false"/>
          <w:bCs w:val="false"/>
          <w:color w:val="auto"/>
          <w:kern w:val="2"/>
          <w:sz w:val="20"/>
          <w:szCs w:val="20"/>
          <w:lang w:val="en-GB" w:eastAsia="zh-CN" w:bidi="hi-IN"/>
        </w:rPr>
        <w:t>s</w:t>
      </w:r>
      <w:r>
        <w:rPr>
          <w:rFonts w:eastAsia="Noto Serif CJK SC" w:cs="Lohit Devanagari" w:ascii="Arial" w:hAnsi="Arial"/>
          <w:b w:val="false"/>
          <w:bCs w:val="false"/>
          <w:color w:val="auto"/>
          <w:kern w:val="2"/>
          <w:sz w:val="20"/>
          <w:szCs w:val="20"/>
          <w:lang w:val="en-GB" w:eastAsia="zh-CN" w:bidi="hi-IN"/>
        </w:rPr>
        <w:t xml:space="preserve"> </w:t>
      </w:r>
      <w:r>
        <w:rPr>
          <w:rFonts w:ascii="Arial" w:hAnsi="Arial"/>
          <w:b w:val="false"/>
          <w:bCs w:val="false"/>
          <w:sz w:val="20"/>
          <w:szCs w:val="20"/>
        </w:rPr>
        <w:t>neuropathology to be examined</w:t>
      </w:r>
      <w:r>
        <w:rPr>
          <w:rFonts w:ascii="Arial" w:hAnsi="Arial"/>
          <w:b w:val="false"/>
          <w:bCs w:val="false"/>
          <w:i/>
          <w:iCs/>
          <w:sz w:val="20"/>
          <w:szCs w:val="20"/>
        </w:rPr>
        <w:t xml:space="preserve"> in vivo</w:t>
      </w:r>
      <w:r>
        <w:rPr>
          <w:rFonts w:ascii="Arial" w:hAnsi="Arial"/>
          <w:b w:val="false"/>
          <w:bCs w:val="false"/>
          <w:i w:val="false"/>
          <w:iCs w:val="false"/>
          <w:sz w:val="20"/>
          <w:szCs w:val="20"/>
        </w:rPr>
        <w:t xml:space="preserve">, providing a suite of biomarkers for understanding neurodegeneration and </w:t>
      </w:r>
      <w:r>
        <w:rPr>
          <w:rFonts w:eastAsia="Noto Serif CJK SC" w:cs="Lohit Devanagari" w:ascii="Arial" w:hAnsi="Arial"/>
          <w:b w:val="false"/>
          <w:bCs w:val="false"/>
          <w:i w:val="false"/>
          <w:iCs w:val="false"/>
          <w:color w:val="auto"/>
          <w:kern w:val="2"/>
          <w:sz w:val="20"/>
          <w:szCs w:val="20"/>
          <w:lang w:val="en-GB" w:eastAsia="zh-CN" w:bidi="hi-IN"/>
        </w:rPr>
        <w:t>for application</w:t>
      </w:r>
      <w:r>
        <w:rPr>
          <w:rFonts w:ascii="Arial" w:hAnsi="Arial"/>
          <w:b w:val="false"/>
          <w:bCs w:val="false"/>
          <w:i w:val="false"/>
          <w:iCs w:val="false"/>
          <w:sz w:val="20"/>
          <w:szCs w:val="20"/>
        </w:rPr>
        <w:t xml:space="preserve"> in clinical trials. In addition, we highlight Quantitative Susceptibility Imaging as an exciting new technique that may prove a sensitive biomarker for a range of neurodegenerative diseases.</w:t>
      </w:r>
      <w:r>
        <w:rPr>
          <w:rFonts w:ascii="Arial" w:hAnsi="Arial"/>
          <w:b w:val="false"/>
          <w:bCs w:val="false"/>
          <w:i/>
          <w:iCs/>
          <w:sz w:val="20"/>
          <w:szCs w:val="20"/>
        </w:rPr>
        <w:t xml:space="preserve"> </w:t>
      </w:r>
      <w:r>
        <w:rPr>
          <w:rFonts w:eastAsia="Noto Serif CJK SC" w:cs="Lohit Devanagari" w:ascii="Arial" w:hAnsi="Arial"/>
          <w:b w:val="false"/>
          <w:bCs w:val="false"/>
          <w:color w:val="auto"/>
          <w:kern w:val="2"/>
          <w:sz w:val="20"/>
          <w:szCs w:val="20"/>
          <w:lang w:val="en-GB" w:eastAsia="zh-CN" w:bidi="hi-IN"/>
        </w:rPr>
        <w:t xml:space="preserve">There are challenges to translating novel imaging techniques to clinical practice, </w:t>
      </w:r>
      <w:r>
        <w:rPr>
          <w:rFonts w:eastAsia="Noto Serif CJK SC" w:cs="Lohit Devanagari" w:ascii="Arial" w:hAnsi="Arial"/>
          <w:b w:val="false"/>
          <w:bCs w:val="false"/>
          <w:color w:val="auto"/>
          <w:kern w:val="2"/>
          <w:sz w:val="20"/>
          <w:szCs w:val="20"/>
          <w:lang w:val="en-GB" w:eastAsia="zh-CN" w:bidi="hi-IN"/>
        </w:rPr>
        <w:t>particularly in developing standard methodologies and overcoming regulatory issues. It is likely that clinicians will need to lead the way if these obstacles are to be overcome. Continued efforts applying n</w:t>
      </w:r>
      <w:r>
        <w:rPr>
          <w:rFonts w:eastAsia="Noto Serif CJK SC" w:cs="Lohit Devanagari" w:ascii="Arial" w:hAnsi="Arial"/>
          <w:b w:val="false"/>
          <w:bCs w:val="false"/>
          <w:color w:val="auto"/>
          <w:kern w:val="2"/>
          <w:sz w:val="20"/>
          <w:szCs w:val="20"/>
          <w:lang w:val="en-GB" w:eastAsia="zh-CN" w:bidi="hi-IN"/>
        </w:rPr>
        <w:t>euroimaging</w:t>
      </w:r>
      <w:r>
        <w:rPr>
          <w:rFonts w:eastAsia="Noto Serif CJK SC" w:cs="Lohit Devanagari" w:ascii="Arial" w:hAnsi="Arial"/>
          <w:b w:val="false"/>
          <w:bCs w:val="false"/>
          <w:color w:val="auto"/>
          <w:kern w:val="2"/>
          <w:sz w:val="20"/>
          <w:szCs w:val="20"/>
          <w:lang w:val="en-GB" w:eastAsia="zh-CN" w:bidi="hi-IN"/>
        </w:rPr>
        <w:t xml:space="preserve"> to understand mechanisms of neurodegeneration and translating them to clinical practice will complete a revolution in neuroimaging.</w:t>
      </w:r>
    </w:p>
    <w:p>
      <w:pPr>
        <w:pStyle w:val="Normal"/>
        <w:bidi w:val="0"/>
        <w:jc w:val="left"/>
        <w:rPr>
          <w:rFonts w:ascii="Arial" w:hAnsi="Arial" w:eastAsia="Noto Serif CJK SC" w:cs="Lohit Devanagari"/>
          <w:b w:val="false"/>
          <w:b w:val="false"/>
          <w:bCs w:val="false"/>
          <w:color w:val="auto"/>
          <w:kern w:val="2"/>
          <w:sz w:val="20"/>
          <w:szCs w:val="20"/>
          <w:lang w:val="en-GB" w:eastAsia="zh-CN" w:bidi="hi-IN"/>
        </w:rPr>
      </w:pPr>
      <w:r>
        <w:rPr>
          <w:rFonts w:eastAsia="Noto Serif CJK SC" w:cs="Lohit Devanagari" w:ascii="Arial" w:hAnsi="Arial"/>
          <w:b w:val="false"/>
          <w:bCs w:val="false"/>
          <w:color w:val="auto"/>
          <w:kern w:val="2"/>
          <w:sz w:val="20"/>
          <w:szCs w:val="20"/>
          <w:lang w:val="en-GB" w:eastAsia="zh-CN" w:bidi="hi-IN"/>
        </w:rPr>
      </w:r>
    </w:p>
    <w:p>
      <w:pPr>
        <w:pStyle w:val="Normal"/>
        <w:bidi w:val="0"/>
        <w:jc w:val="left"/>
        <w:rPr>
          <w:rFonts w:ascii="Arial" w:hAnsi="Arial" w:eastAsia="Noto Serif CJK SC" w:cs="Lohit Devanagari"/>
          <w:b w:val="false"/>
          <w:b w:val="false"/>
          <w:bCs w:val="false"/>
          <w:color w:val="auto"/>
          <w:kern w:val="2"/>
          <w:sz w:val="20"/>
          <w:szCs w:val="20"/>
          <w:lang w:val="en-GB" w:eastAsia="zh-CN" w:bidi="hi-IN"/>
        </w:rPr>
      </w:pPr>
      <w:r>
        <w:rPr>
          <w:rFonts w:eastAsia="Noto Serif CJK SC" w:cs="Lohit Devanagari" w:ascii="Arial" w:hAnsi="Arial"/>
          <w:b w:val="false"/>
          <w:bCs w:val="false"/>
          <w:color w:val="auto"/>
          <w:kern w:val="2"/>
          <w:sz w:val="20"/>
          <w:szCs w:val="20"/>
          <w:lang w:val="en-GB" w:eastAsia="zh-CN" w:bidi="hi-IN"/>
        </w:rPr>
      </w:r>
    </w:p>
    <w:p>
      <w:pPr>
        <w:pStyle w:val="Normal"/>
        <w:bidi w:val="0"/>
        <w:jc w:val="left"/>
        <w:rPr>
          <w:rFonts w:ascii="Arial" w:hAnsi="Arial"/>
          <w:b/>
          <w:b/>
          <w:bCs/>
          <w:sz w:val="20"/>
          <w:szCs w:val="20"/>
        </w:rPr>
      </w:pPr>
      <w:r>
        <w:rPr>
          <w:rFonts w:eastAsia="Noto Serif CJK SC" w:cs="Lohit Devanagari" w:ascii="Arial" w:hAnsi="Arial"/>
          <w:b/>
          <w:bCs/>
          <w:color w:val="auto"/>
          <w:kern w:val="2"/>
          <w:sz w:val="20"/>
          <w:szCs w:val="20"/>
          <w:lang w:val="en-GB" w:eastAsia="zh-CN" w:bidi="hi-IN"/>
        </w:rPr>
        <w:t>K</w:t>
      </w:r>
      <w:r>
        <w:rPr>
          <w:rFonts w:eastAsia="Noto Serif CJK SC" w:cs="Lohit Devanagari" w:ascii="Arial" w:hAnsi="Arial"/>
          <w:b/>
          <w:bCs/>
          <w:color w:val="auto"/>
          <w:kern w:val="2"/>
          <w:sz w:val="20"/>
          <w:szCs w:val="20"/>
          <w:lang w:val="en-GB" w:eastAsia="zh-CN" w:bidi="hi-IN"/>
        </w:rPr>
        <w:t>eywords</w:t>
      </w:r>
    </w:p>
    <w:p>
      <w:pPr>
        <w:pStyle w:val="Normal"/>
        <w:bidi w:val="0"/>
        <w:jc w:val="left"/>
        <w:rPr>
          <w:rFonts w:ascii="Arial" w:hAnsi="Arial" w:eastAsia="Noto Serif CJK SC" w:cs="Lohit Devanagari"/>
          <w:b w:val="false"/>
          <w:b w:val="false"/>
          <w:bCs w:val="false"/>
          <w:color w:val="auto"/>
          <w:kern w:val="2"/>
          <w:sz w:val="20"/>
          <w:szCs w:val="20"/>
          <w:lang w:val="en-GB" w:eastAsia="zh-CN" w:bidi="hi-IN"/>
        </w:rPr>
      </w:pPr>
      <w:r>
        <w:rPr>
          <w:rFonts w:eastAsia="Noto Serif CJK SC" w:cs="Lohit Devanagari" w:ascii="Arial" w:hAnsi="Arial"/>
          <w:b w:val="false"/>
          <w:bCs w:val="false"/>
          <w:color w:val="auto"/>
          <w:kern w:val="2"/>
          <w:sz w:val="20"/>
          <w:szCs w:val="20"/>
          <w:lang w:val="en-GB" w:eastAsia="zh-CN" w:bidi="hi-IN"/>
        </w:rPr>
        <w:t>Neuroimaging, MRI, PET, Connectivity, Translation</w:t>
      </w:r>
      <w:r>
        <w:br w:type="page"/>
      </w:r>
    </w:p>
    <w:p>
      <w:pPr>
        <w:pStyle w:val="Normal"/>
        <w:bidi w:val="0"/>
        <w:jc w:val="left"/>
        <w:rPr>
          <w:rFonts w:ascii="Arial" w:hAnsi="Arial" w:eastAsia="Noto Serif CJK SC" w:cs="Lohit Devanagari"/>
          <w:b/>
          <w:b/>
          <w:bCs/>
          <w:color w:val="auto"/>
          <w:kern w:val="2"/>
          <w:sz w:val="20"/>
          <w:szCs w:val="20"/>
          <w:u w:val="none"/>
          <w:lang w:val="en-GB" w:eastAsia="zh-CN" w:bidi="hi-IN"/>
        </w:rPr>
      </w:pPr>
      <w:r>
        <w:rPr>
          <w:rFonts w:eastAsia="Noto Serif CJK SC" w:cs="Lohit Devanagari" w:ascii="Arial" w:hAnsi="Arial"/>
          <w:b/>
          <w:bCs/>
          <w:color w:val="auto"/>
          <w:kern w:val="2"/>
          <w:sz w:val="20"/>
          <w:szCs w:val="20"/>
          <w:u w:val="none"/>
          <w:lang w:val="en-GB" w:eastAsia="zh-CN" w:bidi="hi-IN"/>
        </w:rPr>
        <w:t>Declarations</w:t>
      </w:r>
    </w:p>
    <w:p>
      <w:pPr>
        <w:pStyle w:val="Normal"/>
        <w:bidi w:val="0"/>
        <w:jc w:val="left"/>
        <w:rPr>
          <w:rFonts w:ascii="Arial" w:hAnsi="Arial" w:eastAsia="Noto Serif CJK SC" w:cs="Lohit Devanagari"/>
          <w:b/>
          <w:b/>
          <w:bCs/>
          <w:color w:val="auto"/>
          <w:kern w:val="2"/>
          <w:sz w:val="20"/>
          <w:szCs w:val="20"/>
          <w:u w:val="none"/>
          <w:lang w:val="en-GB" w:eastAsia="zh-CN" w:bidi="hi-IN"/>
        </w:rPr>
      </w:pPr>
      <w:r>
        <w:rPr>
          <w:rFonts w:eastAsia="Noto Serif CJK SC" w:cs="Lohit Devanagari" w:ascii="Arial" w:hAnsi="Arial"/>
          <w:b/>
          <w:bCs/>
          <w:color w:val="auto"/>
          <w:kern w:val="2"/>
          <w:sz w:val="20"/>
          <w:szCs w:val="20"/>
          <w:u w:val="none"/>
          <w:lang w:val="en-GB" w:eastAsia="zh-CN" w:bidi="hi-IN"/>
        </w:rPr>
      </w:r>
    </w:p>
    <w:p>
      <w:pPr>
        <w:pStyle w:val="Normal"/>
        <w:bidi w:val="0"/>
        <w:spacing w:before="0" w:after="0"/>
        <w:jc w:val="left"/>
        <w:rPr>
          <w:rFonts w:ascii="Arial" w:hAnsi="Arial" w:eastAsia="Noto Serif CJK SC" w:cs="Lohit Devanagari"/>
          <w:b/>
          <w:b/>
          <w:bCs/>
          <w:color w:val="auto"/>
          <w:kern w:val="2"/>
          <w:sz w:val="20"/>
          <w:szCs w:val="20"/>
          <w:u w:val="none"/>
          <w:lang w:val="en-GB" w:eastAsia="zh-CN" w:bidi="hi-IN"/>
        </w:rPr>
      </w:pPr>
      <w:r>
        <w:rPr>
          <w:rFonts w:eastAsia="Noto Serif CJK SC" w:cs="Lohit Devanagari" w:ascii="Arial" w:hAnsi="Arial"/>
          <w:b/>
          <w:bCs/>
          <w:color w:val="auto"/>
          <w:kern w:val="2"/>
          <w:sz w:val="20"/>
          <w:szCs w:val="20"/>
          <w:u w:val="none"/>
          <w:lang w:val="en-GB" w:eastAsia="zh-CN" w:bidi="hi-IN"/>
        </w:rPr>
        <w:t>Funding</w:t>
      </w:r>
    </w:p>
    <w:p>
      <w:pPr>
        <w:pStyle w:val="Normal"/>
        <w:bidi w:val="0"/>
        <w:spacing w:before="0" w:after="0"/>
        <w:jc w:val="left"/>
        <w:rPr>
          <w:rFonts w:ascii="Arial" w:hAnsi="Arial"/>
          <w:sz w:val="20"/>
          <w:szCs w:val="20"/>
        </w:rPr>
      </w:pPr>
      <w:r>
        <w:rPr>
          <w:rFonts w:eastAsia="Noto Serif CJK SC" w:cs="Lohit Devanagari" w:ascii="Arial" w:hAnsi="Arial"/>
          <w:b w:val="false"/>
          <w:bCs w:val="false"/>
          <w:color w:val="auto"/>
          <w:kern w:val="2"/>
          <w:sz w:val="20"/>
          <w:szCs w:val="20"/>
          <w:u w:val="none"/>
          <w:lang w:val="en-GB" w:eastAsia="zh-CN" w:bidi="hi-IN"/>
        </w:rPr>
        <w:t>There i</w:t>
      </w:r>
      <w:r>
        <w:rPr>
          <w:rFonts w:eastAsia="Noto Serif CJK SC" w:cs="Lohit Devanagari" w:ascii="Arial" w:hAnsi="Arial"/>
          <w:b w:val="false"/>
          <w:bCs w:val="false"/>
          <w:color w:val="auto"/>
          <w:kern w:val="2"/>
          <w:sz w:val="20"/>
          <w:szCs w:val="20"/>
          <w:u w:val="none"/>
          <w:lang w:val="en-GB" w:eastAsia="zh-CN" w:bidi="hi-IN"/>
        </w:rPr>
        <w:t>s</w:t>
      </w:r>
      <w:r>
        <w:rPr>
          <w:rFonts w:eastAsia="Noto Serif CJK SC" w:cs="Lohit Devanagari" w:ascii="Arial" w:hAnsi="Arial"/>
          <w:b w:val="false"/>
          <w:bCs w:val="false"/>
          <w:color w:val="auto"/>
          <w:kern w:val="2"/>
          <w:sz w:val="20"/>
          <w:szCs w:val="20"/>
          <w:u w:val="none"/>
          <w:lang w:val="en-GB" w:eastAsia="zh-CN" w:bidi="hi-IN"/>
        </w:rPr>
        <w:t xml:space="preserve"> no funding associated with this article.</w:t>
      </w:r>
      <w:r>
        <w:rPr>
          <w:rFonts w:eastAsia="Noto Serif CJK SC" w:cs="Lohit Devanagari" w:ascii="Arial" w:hAnsi="Arial"/>
          <w:b w:val="false"/>
          <w:bCs w:val="false"/>
          <w:color w:val="auto"/>
          <w:kern w:val="2"/>
          <w:sz w:val="20"/>
          <w:szCs w:val="20"/>
          <w:u w:val="none"/>
          <w:lang w:val="en-GB" w:eastAsia="zh-CN" w:bidi="hi-IN"/>
        </w:rPr>
        <w:t xml:space="preserve"> </w:t>
      </w:r>
    </w:p>
    <w:p>
      <w:pPr>
        <w:pStyle w:val="Normal"/>
        <w:bidi w:val="0"/>
        <w:spacing w:before="0" w:after="0"/>
        <w:jc w:val="left"/>
        <w:rPr>
          <w:rFonts w:ascii="Arial" w:hAnsi="Arial" w:eastAsia="Noto Serif CJK SC" w:cs="Lohit Devanagari"/>
          <w:b/>
          <w:b/>
          <w:bCs/>
          <w:color w:val="auto"/>
          <w:kern w:val="2"/>
          <w:sz w:val="20"/>
          <w:szCs w:val="20"/>
          <w:u w:val="none"/>
          <w:lang w:val="en-GB" w:eastAsia="zh-CN" w:bidi="hi-IN"/>
        </w:rPr>
      </w:pPr>
      <w:r>
        <w:rPr>
          <w:rFonts w:eastAsia="Noto Serif CJK SC" w:cs="Lohit Devanagari" w:ascii="Arial" w:hAnsi="Arial"/>
          <w:b/>
          <w:bCs/>
          <w:color w:val="auto"/>
          <w:kern w:val="2"/>
          <w:sz w:val="20"/>
          <w:szCs w:val="20"/>
          <w:u w:val="none"/>
          <w:lang w:val="en-GB" w:eastAsia="zh-CN" w:bidi="hi-IN"/>
        </w:rPr>
      </w:r>
    </w:p>
    <w:p>
      <w:pPr>
        <w:pStyle w:val="Normal"/>
        <w:bidi w:val="0"/>
        <w:spacing w:before="0" w:after="0"/>
        <w:jc w:val="left"/>
        <w:rPr>
          <w:b/>
          <w:b/>
          <w:bCs/>
        </w:rPr>
      </w:pPr>
      <w:r>
        <w:rPr>
          <w:rStyle w:val="StrongEmphasis"/>
          <w:rFonts w:eastAsia="Noto Serif CJK SC" w:cs="Lohit Devanagari" w:ascii="Arial" w:hAnsi="Arial"/>
          <w:color w:val="auto"/>
          <w:kern w:val="2"/>
          <w:sz w:val="20"/>
          <w:szCs w:val="20"/>
          <w:u w:val="none"/>
          <w:lang w:val="en-GB" w:eastAsia="zh-CN" w:bidi="hi-IN"/>
        </w:rPr>
        <w:t>Conflicts of interest/Competing interests</w:t>
      </w:r>
    </w:p>
    <w:p>
      <w:pPr>
        <w:pStyle w:val="TextBody"/>
        <w:bidi w:val="0"/>
        <w:spacing w:before="0" w:after="0"/>
        <w:jc w:val="left"/>
        <w:rPr/>
      </w:pPr>
      <w:r>
        <w:rPr>
          <w:rStyle w:val="StrongEmphasis"/>
          <w:rFonts w:eastAsia="Noto Serif CJK SC" w:cs="Lohit Devanagari" w:ascii="Arial" w:hAnsi="Arial"/>
          <w:b w:val="false"/>
          <w:bCs w:val="false"/>
          <w:color w:val="auto"/>
          <w:kern w:val="2"/>
          <w:sz w:val="20"/>
          <w:szCs w:val="20"/>
          <w:u w:val="none"/>
          <w:lang w:val="en-GB" w:eastAsia="zh-CN" w:bidi="hi-IN"/>
        </w:rPr>
        <w:t xml:space="preserve">TR has received honoraria from NICE (National Institute for Health and Care Excellence, UK) </w:t>
      </w:r>
      <w:r>
        <w:rPr>
          <w:rStyle w:val="StrongEmphasis"/>
          <w:rFonts w:eastAsia="Noto Serif CJK SC" w:cs="Lohit Devanagari" w:ascii="Arial" w:hAnsi="Arial"/>
          <w:b w:val="false"/>
          <w:bCs w:val="false"/>
          <w:color w:val="auto"/>
          <w:kern w:val="2"/>
          <w:sz w:val="20"/>
          <w:szCs w:val="20"/>
          <w:u w:val="none"/>
          <w:lang w:val="en-GB" w:eastAsia="zh-CN" w:bidi="hi-IN"/>
        </w:rPr>
        <w:t>and</w:t>
      </w:r>
      <w:r>
        <w:rPr>
          <w:rStyle w:val="StrongEmphasis"/>
          <w:rFonts w:eastAsia="Noto Serif CJK SC" w:cs="Lohit Devanagari" w:ascii="Arial" w:hAnsi="Arial"/>
          <w:b w:val="false"/>
          <w:bCs w:val="false"/>
          <w:color w:val="auto"/>
          <w:kern w:val="2"/>
          <w:sz w:val="20"/>
          <w:szCs w:val="20"/>
          <w:u w:val="none"/>
          <w:lang w:val="en-GB" w:eastAsia="zh-CN" w:bidi="hi-IN"/>
        </w:rPr>
        <w:t xml:space="preserve"> Oxford Biomedica (Oxford, UK)</w:t>
      </w:r>
    </w:p>
    <w:p>
      <w:pPr>
        <w:pStyle w:val="TextBody"/>
        <w:bidi w:val="0"/>
        <w:spacing w:before="0" w:after="0"/>
        <w:jc w:val="left"/>
        <w:rPr>
          <w:rStyle w:val="StrongEmphasis"/>
          <w:rFonts w:ascii="Arial" w:hAnsi="Arial" w:eastAsia="Noto Serif CJK SC" w:cs="Lohit Devanagari"/>
          <w:b w:val="false"/>
          <w:b w:val="false"/>
          <w:bCs w:val="false"/>
          <w:color w:val="auto"/>
          <w:kern w:val="2"/>
          <w:sz w:val="20"/>
          <w:szCs w:val="20"/>
          <w:u w:val="none"/>
          <w:lang w:val="en-GB" w:eastAsia="zh-CN" w:bidi="hi-IN"/>
        </w:rPr>
      </w:pPr>
      <w:r>
        <w:rPr/>
      </w:r>
    </w:p>
    <w:p>
      <w:pPr>
        <w:pStyle w:val="Normal"/>
        <w:bidi w:val="0"/>
        <w:spacing w:before="0" w:after="0"/>
        <w:jc w:val="left"/>
        <w:rPr>
          <w:b/>
          <w:b/>
          <w:bCs/>
        </w:rPr>
      </w:pPr>
      <w:r>
        <w:rPr>
          <w:rStyle w:val="StrongEmphasis"/>
          <w:rFonts w:eastAsia="Noto Serif CJK SC" w:cs="Lohit Devanagari" w:ascii="Arial" w:hAnsi="Arial"/>
          <w:color w:val="auto"/>
          <w:kern w:val="2"/>
          <w:sz w:val="20"/>
          <w:szCs w:val="20"/>
          <w:u w:val="none"/>
          <w:lang w:val="en-GB" w:eastAsia="zh-CN" w:bidi="hi-IN"/>
        </w:rPr>
        <w:t>Ethics approval</w:t>
      </w:r>
    </w:p>
    <w:p>
      <w:pPr>
        <w:pStyle w:val="Normal"/>
        <w:bidi w:val="0"/>
        <w:spacing w:before="0" w:after="0"/>
        <w:jc w:val="left"/>
        <w:rPr>
          <w:b/>
          <w:b/>
          <w:bCs/>
        </w:rPr>
      </w:pPr>
      <w:r>
        <w:rPr>
          <w:rStyle w:val="StrongEmphasis"/>
          <w:rFonts w:eastAsia="Noto Serif CJK SC" w:cs="Lohit Devanagari" w:ascii="Arial" w:hAnsi="Arial"/>
          <w:b w:val="false"/>
          <w:bCs w:val="false"/>
          <w:color w:val="auto"/>
          <w:kern w:val="2"/>
          <w:sz w:val="20"/>
          <w:szCs w:val="20"/>
          <w:u w:val="none"/>
          <w:lang w:val="en-GB" w:eastAsia="zh-CN" w:bidi="hi-IN"/>
        </w:rPr>
        <w:t>Not applicable</w:t>
      </w:r>
    </w:p>
    <w:p>
      <w:pPr>
        <w:pStyle w:val="Normal"/>
        <w:bidi w:val="0"/>
        <w:spacing w:before="0" w:after="0"/>
        <w:jc w:val="left"/>
        <w:rPr>
          <w:rStyle w:val="StrongEmphasis"/>
          <w:rFonts w:ascii="Arial" w:hAnsi="Arial" w:eastAsia="Noto Serif CJK SC" w:cs="Lohit Devanagari"/>
          <w:color w:val="auto"/>
          <w:kern w:val="2"/>
          <w:sz w:val="20"/>
          <w:szCs w:val="20"/>
          <w:u w:val="none"/>
          <w:lang w:val="en-GB" w:eastAsia="zh-CN" w:bidi="hi-IN"/>
        </w:rPr>
      </w:pPr>
      <w:r>
        <w:rPr>
          <w:b/>
          <w:bCs/>
        </w:rPr>
      </w:r>
    </w:p>
    <w:p>
      <w:pPr>
        <w:pStyle w:val="TextBody"/>
        <w:bidi w:val="0"/>
        <w:spacing w:before="0" w:after="0"/>
        <w:jc w:val="left"/>
        <w:rPr>
          <w:b/>
          <w:b/>
          <w:bCs/>
        </w:rPr>
      </w:pPr>
      <w:r>
        <w:rPr>
          <w:rStyle w:val="StrongEmphasis"/>
          <w:rFonts w:eastAsia="Noto Serif CJK SC" w:cs="Lohit Devanagari" w:ascii="Arial" w:hAnsi="Arial"/>
          <w:color w:val="auto"/>
          <w:kern w:val="2"/>
          <w:sz w:val="20"/>
          <w:szCs w:val="20"/>
          <w:u w:val="none"/>
          <w:lang w:val="en-GB" w:eastAsia="zh-CN" w:bidi="hi-IN"/>
        </w:rPr>
        <w:t>Consent to participate</w:t>
      </w:r>
    </w:p>
    <w:p>
      <w:pPr>
        <w:pStyle w:val="TextBody"/>
        <w:bidi w:val="0"/>
        <w:spacing w:before="0" w:after="0"/>
        <w:jc w:val="left"/>
        <w:rPr>
          <w:b/>
          <w:b/>
          <w:bCs/>
        </w:rPr>
      </w:pPr>
      <w:r>
        <w:rPr>
          <w:rStyle w:val="StrongEmphasis"/>
          <w:rFonts w:eastAsia="Noto Serif CJK SC" w:cs="Lohit Devanagari" w:ascii="Arial" w:hAnsi="Arial"/>
          <w:b w:val="false"/>
          <w:bCs w:val="false"/>
          <w:color w:val="auto"/>
          <w:kern w:val="2"/>
          <w:sz w:val="20"/>
          <w:szCs w:val="20"/>
          <w:u w:val="none"/>
          <w:lang w:val="en-GB" w:eastAsia="zh-CN" w:bidi="hi-IN"/>
        </w:rPr>
        <w:t>Not applicable</w:t>
      </w:r>
    </w:p>
    <w:p>
      <w:pPr>
        <w:pStyle w:val="TextBody"/>
        <w:bidi w:val="0"/>
        <w:spacing w:before="0" w:after="0"/>
        <w:jc w:val="left"/>
        <w:rPr>
          <w:rStyle w:val="StrongEmphasis"/>
          <w:rFonts w:ascii="Arial" w:hAnsi="Arial" w:eastAsia="Noto Serif CJK SC" w:cs="Lohit Devanagari"/>
          <w:b w:val="false"/>
          <w:b w:val="false"/>
          <w:bCs w:val="false"/>
          <w:color w:val="auto"/>
          <w:kern w:val="2"/>
          <w:sz w:val="20"/>
          <w:szCs w:val="20"/>
          <w:u w:val="none"/>
          <w:lang w:val="en-GB" w:eastAsia="zh-CN" w:bidi="hi-IN"/>
        </w:rPr>
      </w:pPr>
      <w:r>
        <w:rPr>
          <w:b/>
          <w:bCs/>
        </w:rPr>
      </w:r>
    </w:p>
    <w:p>
      <w:pPr>
        <w:pStyle w:val="TextBody"/>
        <w:spacing w:before="0" w:after="0"/>
        <w:rPr/>
      </w:pPr>
      <w:r>
        <w:rPr>
          <w:rStyle w:val="StrongEmphasis"/>
          <w:rFonts w:ascii="Arial" w:hAnsi="Arial"/>
          <w:sz w:val="20"/>
          <w:szCs w:val="20"/>
        </w:rPr>
        <w:t>Consent for publication</w:t>
      </w:r>
      <w:r>
        <w:rPr>
          <w:rFonts w:ascii="Arial" w:hAnsi="Arial"/>
          <w:sz w:val="20"/>
          <w:szCs w:val="20"/>
        </w:rPr>
        <w:t xml:space="preserve"> </w:t>
      </w:r>
    </w:p>
    <w:p>
      <w:pPr>
        <w:pStyle w:val="Normal"/>
        <w:bidi w:val="0"/>
        <w:spacing w:before="0" w:after="0"/>
        <w:jc w:val="left"/>
        <w:rPr>
          <w:b/>
          <w:b/>
          <w:bCs/>
        </w:rPr>
      </w:pPr>
      <w:r>
        <w:rPr>
          <w:rStyle w:val="StrongEmphasis"/>
          <w:rFonts w:eastAsia="Noto Serif CJK SC" w:cs="Lohit Devanagari" w:ascii="Arial" w:hAnsi="Arial"/>
          <w:b w:val="false"/>
          <w:bCs w:val="false"/>
          <w:color w:val="auto"/>
          <w:kern w:val="2"/>
          <w:sz w:val="20"/>
          <w:szCs w:val="20"/>
          <w:u w:val="none"/>
          <w:lang w:val="en-GB" w:eastAsia="zh-CN" w:bidi="hi-IN"/>
        </w:rPr>
        <w:t>Not applicable</w:t>
      </w:r>
    </w:p>
    <w:p>
      <w:pPr>
        <w:pStyle w:val="Normal"/>
        <w:bidi w:val="0"/>
        <w:spacing w:before="0" w:after="0"/>
        <w:jc w:val="left"/>
        <w:rPr>
          <w:rStyle w:val="StrongEmphasis"/>
          <w:rFonts w:ascii="Arial" w:hAnsi="Arial" w:eastAsia="Noto Serif CJK SC" w:cs="Lohit Devanagari"/>
          <w:b w:val="false"/>
          <w:b w:val="false"/>
          <w:bCs w:val="false"/>
          <w:color w:val="auto"/>
          <w:kern w:val="2"/>
          <w:sz w:val="20"/>
          <w:szCs w:val="20"/>
          <w:u w:val="none"/>
          <w:lang w:val="en-GB" w:eastAsia="zh-CN" w:bidi="hi-IN"/>
        </w:rPr>
      </w:pPr>
      <w:r>
        <w:rPr>
          <w:b/>
          <w:bCs/>
        </w:rPr>
      </w:r>
    </w:p>
    <w:p>
      <w:pPr>
        <w:pStyle w:val="TextBody"/>
        <w:spacing w:before="0" w:after="0"/>
        <w:rPr/>
      </w:pPr>
      <w:r>
        <w:rPr>
          <w:rStyle w:val="StrongEmphasis"/>
          <w:rFonts w:ascii="Arial" w:hAnsi="Arial"/>
          <w:sz w:val="20"/>
          <w:szCs w:val="20"/>
        </w:rPr>
        <w:t>Availability of data and material</w:t>
      </w:r>
    </w:p>
    <w:p>
      <w:pPr>
        <w:pStyle w:val="TextBody"/>
        <w:spacing w:before="0" w:after="0"/>
        <w:rPr/>
      </w:pPr>
      <w:r>
        <w:rPr>
          <w:rStyle w:val="StrongEmphasis"/>
          <w:rFonts w:eastAsia="Noto Serif CJK SC" w:cs="Lohit Devanagari" w:ascii="Arial" w:hAnsi="Arial"/>
          <w:b w:val="false"/>
          <w:bCs w:val="false"/>
          <w:color w:val="auto"/>
          <w:kern w:val="2"/>
          <w:sz w:val="20"/>
          <w:szCs w:val="20"/>
          <w:u w:val="none"/>
          <w:lang w:val="en-GB" w:eastAsia="zh-CN" w:bidi="hi-IN"/>
        </w:rPr>
        <w:t>Not applicable</w:t>
      </w:r>
    </w:p>
    <w:p>
      <w:pPr>
        <w:pStyle w:val="Normal"/>
        <w:bidi w:val="0"/>
        <w:spacing w:before="0" w:after="0"/>
        <w:jc w:val="left"/>
        <w:rPr>
          <w:rStyle w:val="StrongEmphasis"/>
          <w:rFonts w:ascii="Arial" w:hAnsi="Arial" w:eastAsia="Noto Serif CJK SC" w:cs="Lohit Devanagari"/>
          <w:b w:val="false"/>
          <w:b w:val="false"/>
          <w:bCs w:val="false"/>
          <w:color w:val="auto"/>
          <w:kern w:val="2"/>
          <w:sz w:val="20"/>
          <w:szCs w:val="20"/>
          <w:u w:val="none"/>
          <w:lang w:val="en-GB" w:eastAsia="zh-CN" w:bidi="hi-IN"/>
        </w:rPr>
      </w:pPr>
      <w:r>
        <w:rPr>
          <w:b/>
          <w:bCs/>
        </w:rPr>
      </w:r>
    </w:p>
    <w:p>
      <w:pPr>
        <w:pStyle w:val="TextBody"/>
        <w:spacing w:before="0" w:after="0"/>
        <w:rPr/>
      </w:pPr>
      <w:r>
        <w:rPr>
          <w:rStyle w:val="StrongEmphasis"/>
          <w:rFonts w:ascii="Arial" w:hAnsi="Arial"/>
          <w:sz w:val="20"/>
          <w:szCs w:val="20"/>
        </w:rPr>
        <w:t>Code availability</w:t>
      </w:r>
    </w:p>
    <w:p>
      <w:pPr>
        <w:pStyle w:val="Normal"/>
        <w:bidi w:val="0"/>
        <w:spacing w:before="0" w:after="0"/>
        <w:jc w:val="left"/>
        <w:rPr>
          <w:b/>
          <w:b/>
          <w:bCs/>
        </w:rPr>
      </w:pPr>
      <w:r>
        <w:rPr>
          <w:rStyle w:val="StrongEmphasis"/>
          <w:rFonts w:eastAsia="Noto Serif CJK SC" w:cs="Lohit Devanagari" w:ascii="Arial" w:hAnsi="Arial"/>
          <w:b w:val="false"/>
          <w:bCs w:val="false"/>
          <w:color w:val="auto"/>
          <w:kern w:val="2"/>
          <w:sz w:val="20"/>
          <w:szCs w:val="20"/>
          <w:u w:val="none"/>
          <w:lang w:val="en-GB" w:eastAsia="zh-CN" w:bidi="hi-IN"/>
        </w:rPr>
        <w:t>Not applicable</w:t>
      </w:r>
    </w:p>
    <w:p>
      <w:pPr>
        <w:pStyle w:val="TextBody"/>
        <w:spacing w:before="0" w:after="0"/>
        <w:rPr>
          <w:rStyle w:val="StrongEmphasis"/>
          <w:rFonts w:ascii="Arial" w:hAnsi="Arial"/>
          <w:sz w:val="20"/>
          <w:szCs w:val="20"/>
        </w:rPr>
      </w:pPr>
      <w:r>
        <w:rPr/>
      </w:r>
    </w:p>
    <w:p>
      <w:pPr>
        <w:pStyle w:val="Normal"/>
        <w:bidi w:val="0"/>
        <w:spacing w:before="0" w:after="0"/>
        <w:jc w:val="left"/>
        <w:rPr>
          <w:rStyle w:val="StrongEmphasis"/>
          <w:rFonts w:ascii="Arial" w:hAnsi="Arial" w:eastAsia="Noto Serif CJK SC" w:cs="Lohit Devanagari"/>
          <w:color w:val="auto"/>
          <w:kern w:val="2"/>
          <w:sz w:val="20"/>
          <w:szCs w:val="20"/>
          <w:u w:val="none"/>
          <w:lang w:val="en-GB" w:eastAsia="zh-CN" w:bidi="hi-IN"/>
        </w:rPr>
      </w:pPr>
      <w:r>
        <w:rPr>
          <w:b/>
          <w:bCs/>
        </w:rPr>
      </w:r>
      <w:r>
        <w:br w:type="page"/>
      </w:r>
    </w:p>
    <w:p>
      <w:pPr>
        <w:pStyle w:val="Normal"/>
        <w:rPr>
          <w:rFonts w:ascii="Arial" w:hAnsi="Arial"/>
          <w:sz w:val="20"/>
          <w:szCs w:val="20"/>
        </w:rPr>
      </w:pPr>
      <w:r>
        <w:rPr>
          <w:rFonts w:ascii="Arial" w:hAnsi="Arial"/>
          <w:sz w:val="20"/>
          <w:szCs w:val="20"/>
        </w:rPr>
        <w:t>Brain i</w:t>
      </w:r>
      <w:r>
        <w:rPr>
          <w:rFonts w:ascii="Arial" w:hAnsi="Arial"/>
          <w:sz w:val="20"/>
          <w:szCs w:val="20"/>
        </w:rPr>
        <w:t xml:space="preserve">maging in dementia is undergoing a revolution that </w:t>
      </w:r>
      <w:r>
        <w:rPr>
          <w:rFonts w:eastAsia="Noto Serif CJK SC" w:cs="Lohit Devanagari" w:ascii="Arial" w:hAnsi="Arial"/>
          <w:color w:val="auto"/>
          <w:kern w:val="2"/>
          <w:sz w:val="20"/>
          <w:szCs w:val="20"/>
          <w:lang w:val="en-GB" w:eastAsia="zh-CN" w:bidi="hi-IN"/>
        </w:rPr>
        <w:t>is</w:t>
      </w:r>
      <w:r>
        <w:rPr>
          <w:rFonts w:ascii="Arial" w:hAnsi="Arial"/>
          <w:sz w:val="20"/>
          <w:szCs w:val="20"/>
        </w:rPr>
        <w:t xml:space="preserve"> transform</w:t>
      </w:r>
      <w:r>
        <w:rPr>
          <w:rFonts w:ascii="Arial" w:hAnsi="Arial"/>
          <w:sz w:val="20"/>
          <w:szCs w:val="20"/>
        </w:rPr>
        <w:t>ing</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 xml:space="preserve">neuroimaging research from </w:t>
      </w:r>
      <w:r>
        <w:rPr>
          <w:rFonts w:eastAsia="Noto Serif CJK SC" w:cs="Lohit Devanagari" w:ascii="Arial" w:hAnsi="Arial"/>
          <w:color w:val="auto"/>
          <w:kern w:val="2"/>
          <w:sz w:val="20"/>
          <w:szCs w:val="20"/>
          <w:lang w:val="en-GB" w:eastAsia="zh-CN" w:bidi="hi-IN"/>
        </w:rPr>
        <w:t xml:space="preserve">merely </w:t>
      </w:r>
      <w:r>
        <w:rPr>
          <w:rFonts w:eastAsia="Noto Serif CJK SC" w:cs="Lohit Devanagari" w:ascii="Arial" w:hAnsi="Arial"/>
          <w:color w:val="auto"/>
          <w:kern w:val="2"/>
          <w:sz w:val="20"/>
          <w:szCs w:val="20"/>
          <w:lang w:val="en-GB" w:eastAsia="zh-CN" w:bidi="hi-IN"/>
        </w:rPr>
        <w:t xml:space="preserve">describing changes in the brain, to understanding what those changes mean. </w:t>
      </w:r>
      <w:r>
        <w:rPr>
          <w:rFonts w:eastAsia="Noto Serif CJK SC" w:cs="Lohit Devanagari" w:ascii="Arial" w:hAnsi="Arial"/>
          <w:color w:val="auto"/>
          <w:kern w:val="2"/>
          <w:sz w:val="20"/>
          <w:szCs w:val="20"/>
          <w:lang w:val="en-GB" w:eastAsia="zh-CN" w:bidi="hi-IN"/>
        </w:rPr>
        <w:t>This</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 xml:space="preserve">revolution </w:t>
      </w:r>
      <w:r>
        <w:rPr>
          <w:rFonts w:ascii="Arial" w:hAnsi="Arial"/>
          <w:sz w:val="20"/>
          <w:szCs w:val="20"/>
        </w:rPr>
        <w:t xml:space="preserve">has been driven primarily by </w:t>
      </w:r>
      <w:r>
        <w:rPr>
          <w:rFonts w:eastAsia="Noto Serif CJK SC" w:cs="Lohit Devanagari" w:ascii="Arial" w:hAnsi="Arial"/>
          <w:color w:val="auto"/>
          <w:kern w:val="2"/>
          <w:sz w:val="20"/>
          <w:szCs w:val="20"/>
          <w:lang w:val="en-GB" w:eastAsia="zh-CN" w:bidi="hi-IN"/>
        </w:rPr>
        <w:t>a</w:t>
      </w:r>
      <w:r>
        <w:rPr>
          <w:rFonts w:ascii="Arial" w:hAnsi="Arial"/>
          <w:sz w:val="20"/>
          <w:szCs w:val="20"/>
        </w:rPr>
        <w:t xml:space="preserve"> need for biomarkers to evaluate potential disease modifying treatments, </w:t>
      </w:r>
      <w:r>
        <w:rPr>
          <w:rFonts w:eastAsia="Noto Serif CJK SC" w:cs="Lohit Devanagari" w:ascii="Arial" w:hAnsi="Arial"/>
          <w:color w:val="auto"/>
          <w:kern w:val="2"/>
          <w:sz w:val="20"/>
          <w:szCs w:val="20"/>
          <w:lang w:val="en-GB" w:eastAsia="zh-CN" w:bidi="hi-IN"/>
        </w:rPr>
        <w:t>l</w:t>
      </w:r>
      <w:r>
        <w:rPr>
          <w:rFonts w:eastAsia="Noto Serif CJK SC" w:cs="Lohit Devanagari" w:ascii="Arial" w:hAnsi="Arial"/>
          <w:color w:val="auto"/>
          <w:kern w:val="2"/>
          <w:sz w:val="20"/>
          <w:szCs w:val="20"/>
          <w:lang w:val="en-GB" w:eastAsia="zh-CN" w:bidi="hi-IN"/>
        </w:rPr>
        <w:t>eading</w:t>
      </w:r>
      <w:r>
        <w:rPr>
          <w:rFonts w:ascii="Arial" w:hAnsi="Arial"/>
          <w:sz w:val="20"/>
          <w:szCs w:val="20"/>
        </w:rPr>
        <w:t xml:space="preserve"> to a </w:t>
      </w:r>
      <w:r>
        <w:rPr>
          <w:rFonts w:eastAsia="Noto Serif CJK SC" w:cs="Lohit Devanagari" w:ascii="Arial" w:hAnsi="Arial"/>
          <w:color w:val="auto"/>
          <w:kern w:val="2"/>
          <w:sz w:val="20"/>
          <w:szCs w:val="20"/>
          <w:lang w:val="en-GB" w:eastAsia="zh-CN" w:bidi="hi-IN"/>
        </w:rPr>
        <w:t>better understanding of the association</w:t>
      </w:r>
      <w:r>
        <w:rPr>
          <w:rFonts w:ascii="Arial" w:hAnsi="Arial"/>
          <w:sz w:val="20"/>
          <w:szCs w:val="20"/>
        </w:rPr>
        <w:t xml:space="preserve"> between neuroimaging changes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nd</w:t>
      </w:r>
      <w:r>
        <w:rPr>
          <w:rFonts w:ascii="Arial" w:hAnsi="Arial"/>
          <w:sz w:val="20"/>
          <w:szCs w:val="20"/>
        </w:rPr>
        <w:t xml:space="preserve"> underlying pathology. </w:t>
      </w:r>
      <w:r>
        <w:rPr>
          <w:rFonts w:eastAsia="Noto Serif CJK SC" w:cs="Lohit Devanagari" w:ascii="Arial" w:hAnsi="Arial"/>
          <w:color w:val="auto"/>
          <w:kern w:val="2"/>
          <w:sz w:val="20"/>
          <w:szCs w:val="20"/>
          <w:lang w:val="en-GB" w:eastAsia="zh-CN" w:bidi="hi-IN"/>
        </w:rPr>
        <w:t>The effect</w:t>
      </w:r>
      <w:r>
        <w:rPr>
          <w:rFonts w:ascii="Arial" w:hAnsi="Arial"/>
          <w:sz w:val="20"/>
          <w:szCs w:val="20"/>
        </w:rPr>
        <w:t xml:space="preserve"> </w:t>
      </w:r>
      <w:r>
        <w:rPr>
          <w:rFonts w:ascii="Arial" w:hAnsi="Arial"/>
          <w:sz w:val="20"/>
          <w:szCs w:val="20"/>
        </w:rPr>
        <w:t xml:space="preserve">has </w:t>
      </w:r>
      <w:r>
        <w:rPr>
          <w:rFonts w:ascii="Arial" w:hAnsi="Arial"/>
          <w:sz w:val="20"/>
          <w:szCs w:val="20"/>
        </w:rPr>
        <w:t xml:space="preserve">been </w:t>
      </w:r>
      <w:r>
        <w:rPr>
          <w:rFonts w:ascii="Arial" w:hAnsi="Arial"/>
          <w:sz w:val="20"/>
          <w:szCs w:val="20"/>
        </w:rPr>
        <w:t xml:space="preserve">a suite of neuroimaging methods </w:t>
      </w:r>
      <w:r>
        <w:rPr>
          <w:rFonts w:ascii="Arial" w:hAnsi="Arial"/>
          <w:sz w:val="20"/>
          <w:szCs w:val="20"/>
        </w:rPr>
        <w:t xml:space="preserve">and analytics </w:t>
      </w:r>
      <w:r>
        <w:rPr>
          <w:rFonts w:ascii="Arial" w:hAnsi="Arial"/>
          <w:sz w:val="20"/>
          <w:szCs w:val="20"/>
        </w:rPr>
        <w:t>that help with:</w:t>
      </w:r>
    </w:p>
    <w:p>
      <w:pPr>
        <w:pStyle w:val="Normal"/>
        <w:numPr>
          <w:ilvl w:val="0"/>
          <w:numId w:val="1"/>
        </w:numPr>
        <w:bidi w:val="0"/>
        <w:jc w:val="left"/>
        <w:rPr>
          <w:rFonts w:ascii="Arial" w:hAnsi="Arial"/>
          <w:sz w:val="20"/>
          <w:szCs w:val="20"/>
        </w:rPr>
      </w:pPr>
      <w:r>
        <w:rPr>
          <w:rFonts w:eastAsia="Noto Serif CJK SC" w:cs="Lohit Devanagari" w:ascii="Arial" w:hAnsi="Arial"/>
          <w:color w:val="auto"/>
          <w:kern w:val="2"/>
          <w:sz w:val="20"/>
          <w:szCs w:val="20"/>
          <w:lang w:val="en-GB" w:eastAsia="zh-CN" w:bidi="hi-IN"/>
        </w:rPr>
        <w:t xml:space="preserve">identifying </w:t>
      </w:r>
      <w:r>
        <w:rPr>
          <w:rFonts w:eastAsia="Noto Serif CJK SC" w:cs="Lohit Devanagari" w:ascii="Arial" w:hAnsi="Arial"/>
          <w:color w:val="auto"/>
          <w:kern w:val="2"/>
          <w:sz w:val="20"/>
          <w:szCs w:val="20"/>
          <w:lang w:val="en-GB" w:eastAsia="zh-CN" w:bidi="hi-IN"/>
        </w:rPr>
        <w:t>diagnostic</w:t>
      </w:r>
      <w:r>
        <w:rPr>
          <w:rFonts w:ascii="Arial" w:hAnsi="Arial"/>
          <w:sz w:val="20"/>
          <w:szCs w:val="20"/>
        </w:rPr>
        <w:t xml:space="preserve"> subtype</w:t>
      </w:r>
      <w:r>
        <w:rPr>
          <w:rFonts w:ascii="Arial" w:hAnsi="Arial"/>
          <w:sz w:val="20"/>
          <w:szCs w:val="20"/>
        </w:rPr>
        <w:t>s</w:t>
      </w:r>
    </w:p>
    <w:p>
      <w:pPr>
        <w:pStyle w:val="Normal"/>
        <w:numPr>
          <w:ilvl w:val="0"/>
          <w:numId w:val="1"/>
        </w:numPr>
        <w:bidi w:val="0"/>
        <w:jc w:val="left"/>
        <w:rPr>
          <w:rFonts w:ascii="Arial" w:hAnsi="Arial"/>
          <w:sz w:val="20"/>
          <w:szCs w:val="20"/>
        </w:rPr>
      </w:pPr>
      <w:r>
        <w:rPr>
          <w:rFonts w:ascii="Arial" w:hAnsi="Arial"/>
          <w:sz w:val="20"/>
          <w:szCs w:val="20"/>
        </w:rPr>
        <w:t xml:space="preserve">predicting </w:t>
      </w:r>
      <w:r>
        <w:rPr>
          <w:rFonts w:ascii="Arial" w:hAnsi="Arial"/>
          <w:sz w:val="20"/>
          <w:szCs w:val="20"/>
        </w:rPr>
        <w:t>prognosis</w:t>
      </w:r>
    </w:p>
    <w:p>
      <w:pPr>
        <w:pStyle w:val="Normal"/>
        <w:numPr>
          <w:ilvl w:val="0"/>
          <w:numId w:val="1"/>
        </w:numPr>
        <w:bidi w:val="0"/>
        <w:jc w:val="left"/>
        <w:rPr>
          <w:rFonts w:ascii="Arial" w:hAnsi="Arial"/>
          <w:sz w:val="20"/>
          <w:szCs w:val="20"/>
        </w:rPr>
      </w:pPr>
      <w:r>
        <w:rPr>
          <w:rFonts w:eastAsia="Noto Serif CJK SC" w:cs="Lohit Devanagari" w:ascii="Arial" w:hAnsi="Arial"/>
          <w:color w:val="auto"/>
          <w:kern w:val="2"/>
          <w:sz w:val="20"/>
          <w:szCs w:val="20"/>
          <w:lang w:val="en-GB" w:eastAsia="zh-CN" w:bidi="hi-IN"/>
        </w:rPr>
        <w:t>monitoring</w:t>
      </w:r>
      <w:r>
        <w:rPr>
          <w:rFonts w:ascii="Arial" w:hAnsi="Arial"/>
          <w:sz w:val="20"/>
          <w:szCs w:val="20"/>
        </w:rPr>
        <w:t xml:space="preserve"> </w:t>
      </w:r>
      <w:r>
        <w:rPr>
          <w:rFonts w:ascii="Arial" w:hAnsi="Arial"/>
          <w:sz w:val="20"/>
          <w:szCs w:val="20"/>
        </w:rPr>
        <w:t xml:space="preserve">pathology </w:t>
      </w:r>
      <w:r>
        <w:rPr>
          <w:rFonts w:ascii="Arial" w:hAnsi="Arial"/>
          <w:i/>
          <w:iCs/>
          <w:sz w:val="20"/>
          <w:szCs w:val="20"/>
        </w:rPr>
        <w:t>in vivo</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sz w:val="20"/>
          <w:szCs w:val="20"/>
        </w:rPr>
      </w:pPr>
      <w:r>
        <w:rPr>
          <w:rFonts w:eastAsia="Noto Serif CJK SC" w:cs="Lohit Devanagari" w:ascii="Arial" w:hAnsi="Arial"/>
          <w:color w:val="auto"/>
          <w:kern w:val="2"/>
          <w:sz w:val="20"/>
          <w:szCs w:val="20"/>
          <w:lang w:val="en-GB" w:eastAsia="zh-CN" w:bidi="hi-IN"/>
        </w:rPr>
        <w:t>T</w:t>
      </w:r>
      <w:r>
        <w:rPr>
          <w:rFonts w:eastAsia="Noto Serif CJK SC" w:cs="Lohit Devanagari" w:ascii="Arial" w:hAnsi="Arial"/>
          <w:color w:val="auto"/>
          <w:kern w:val="2"/>
          <w:sz w:val="20"/>
          <w:szCs w:val="20"/>
          <w:lang w:val="en-GB" w:eastAsia="zh-CN" w:bidi="hi-IN"/>
        </w:rPr>
        <w:t xml:space="preserve">he benefits </w:t>
      </w:r>
      <w:r>
        <w:rPr>
          <w:rFonts w:eastAsia="Noto Serif CJK SC" w:cs="Lohit Devanagari" w:ascii="Arial" w:hAnsi="Arial"/>
          <w:color w:val="auto"/>
          <w:kern w:val="2"/>
          <w:sz w:val="20"/>
          <w:szCs w:val="20"/>
          <w:lang w:val="en-GB" w:eastAsia="zh-CN" w:bidi="hi-IN"/>
        </w:rPr>
        <w:t>of using neuroimaging in this way</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m</w:t>
      </w:r>
      <w:r>
        <w:rPr>
          <w:rFonts w:eastAsia="Noto Serif CJK SC" w:cs="Lohit Devanagari" w:ascii="Arial" w:hAnsi="Arial"/>
          <w:color w:val="auto"/>
          <w:kern w:val="2"/>
          <w:sz w:val="20"/>
          <w:szCs w:val="20"/>
          <w:lang w:val="en-GB" w:eastAsia="zh-CN" w:bidi="hi-IN"/>
        </w:rPr>
        <w:t>ay</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find their way to</w:t>
      </w:r>
      <w:r>
        <w:rPr>
          <w:rFonts w:ascii="Arial" w:hAnsi="Arial"/>
          <w:sz w:val="20"/>
          <w:szCs w:val="20"/>
        </w:rPr>
        <w:t xml:space="preserve"> memory clinics </w:t>
      </w:r>
      <w:r>
        <w:rPr>
          <w:rFonts w:eastAsia="Noto Serif CJK SC" w:cs="Lohit Devanagari" w:ascii="Arial" w:hAnsi="Arial"/>
          <w:color w:val="auto"/>
          <w:kern w:val="2"/>
          <w:sz w:val="20"/>
          <w:szCs w:val="20"/>
          <w:lang w:val="en-GB" w:eastAsia="zh-CN" w:bidi="hi-IN"/>
        </w:rPr>
        <w:t>in the near future</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N</w:t>
      </w:r>
      <w:r>
        <w:rPr>
          <w:rFonts w:ascii="Arial" w:hAnsi="Arial"/>
          <w:sz w:val="20"/>
          <w:szCs w:val="20"/>
        </w:rPr>
        <w:t xml:space="preserve">euroimaging </w:t>
      </w:r>
      <w:r>
        <w:rPr>
          <w:rFonts w:eastAsia="Noto Serif CJK SC" w:cs="Lohit Devanagari" w:ascii="Arial" w:hAnsi="Arial"/>
          <w:color w:val="auto"/>
          <w:kern w:val="2"/>
          <w:sz w:val="20"/>
          <w:szCs w:val="20"/>
          <w:lang w:val="en-GB" w:eastAsia="zh-CN" w:bidi="hi-IN"/>
        </w:rPr>
        <w:t>f</w:t>
      </w:r>
      <w:r>
        <w:rPr>
          <w:rFonts w:eastAsia="Noto Serif CJK SC" w:cs="Lohit Devanagari" w:ascii="Arial" w:hAnsi="Arial"/>
          <w:color w:val="auto"/>
          <w:kern w:val="2"/>
          <w:sz w:val="20"/>
          <w:szCs w:val="20"/>
          <w:lang w:val="en-GB" w:eastAsia="zh-CN" w:bidi="hi-IN"/>
        </w:rPr>
        <w:t>or</w:t>
      </w:r>
      <w:r>
        <w:rPr>
          <w:rFonts w:ascii="Arial" w:hAnsi="Arial"/>
          <w:sz w:val="20"/>
          <w:szCs w:val="20"/>
        </w:rPr>
        <w:t xml:space="preserve"> the clinical diagnosis of dementia has traditionally been used to rule out alternative causes of cognitive impairment. Times are changing, and nearly all the diagnostic criteria for neurodegenerative diseases now </w:t>
      </w:r>
      <w:r>
        <w:rPr>
          <w:rFonts w:eastAsia="Noto Serif CJK SC" w:cs="Lohit Devanagari" w:ascii="Arial" w:hAnsi="Arial"/>
          <w:color w:val="auto"/>
          <w:kern w:val="2"/>
          <w:sz w:val="20"/>
          <w:szCs w:val="20"/>
          <w:lang w:val="en-GB" w:eastAsia="zh-CN" w:bidi="hi-IN"/>
        </w:rPr>
        <w:t>include</w:t>
      </w:r>
      <w:r>
        <w:rPr>
          <w:rFonts w:ascii="Arial" w:hAnsi="Arial"/>
          <w:sz w:val="20"/>
          <w:szCs w:val="20"/>
        </w:rPr>
        <w:t xml:space="preserve"> neuroimaging as a supportive criterion, and in some cases, such as Frontotemporal Dementia</w:t>
      </w:r>
      <w:r>
        <w:rPr>
          <w:rFonts w:ascii="Arial" w:hAnsi="Arial"/>
          <w:sz w:val="20"/>
          <w:szCs w:val="20"/>
        </w:rPr>
        <w:t>[1]</w:t>
      </w:r>
      <w:r>
        <w:rPr>
          <w:rFonts w:ascii="Arial" w:hAnsi="Arial"/>
          <w:sz w:val="20"/>
          <w:szCs w:val="20"/>
        </w:rPr>
        <w:t xml:space="preserve">, imaging changes are part of the </w:t>
      </w:r>
      <w:r>
        <w:rPr>
          <w:rFonts w:eastAsia="Noto Serif CJK SC" w:cs="Lohit Devanagari" w:ascii="Arial" w:hAnsi="Arial"/>
          <w:color w:val="auto"/>
          <w:kern w:val="2"/>
          <w:sz w:val="20"/>
          <w:szCs w:val="20"/>
          <w:lang w:val="en-GB" w:eastAsia="zh-CN" w:bidi="hi-IN"/>
        </w:rPr>
        <w:t>core criteria</w:t>
      </w:r>
      <w:r>
        <w:rPr>
          <w:rFonts w:ascii="Arial" w:hAnsi="Arial"/>
          <w:sz w:val="20"/>
          <w:szCs w:val="20"/>
        </w:rPr>
        <w:t xml:space="preserve">. However, these criteria </w:t>
      </w:r>
      <w:r>
        <w:rPr>
          <w:rFonts w:eastAsia="Noto Serif CJK SC" w:cs="Lohit Devanagari" w:ascii="Arial" w:hAnsi="Arial"/>
          <w:color w:val="auto"/>
          <w:kern w:val="2"/>
          <w:sz w:val="20"/>
          <w:szCs w:val="20"/>
          <w:lang w:val="en-GB" w:eastAsia="zh-CN" w:bidi="hi-IN"/>
        </w:rPr>
        <w:t>r</w:t>
      </w:r>
      <w:r>
        <w:rPr>
          <w:rFonts w:eastAsia="Noto Serif CJK SC" w:cs="Lohit Devanagari" w:ascii="Arial" w:hAnsi="Arial"/>
          <w:color w:val="auto"/>
          <w:kern w:val="2"/>
          <w:sz w:val="20"/>
          <w:szCs w:val="20"/>
          <w:lang w:val="en-GB" w:eastAsia="zh-CN" w:bidi="hi-IN"/>
        </w:rPr>
        <w:t>emain</w:t>
      </w:r>
      <w:r>
        <w:rPr>
          <w:rFonts w:ascii="Arial" w:hAnsi="Arial"/>
          <w:sz w:val="20"/>
          <w:szCs w:val="20"/>
        </w:rPr>
        <w:t xml:space="preserve"> vague on the specific </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equences or measures</w:t>
      </w:r>
      <w:r>
        <w:rPr>
          <w:rFonts w:ascii="Arial" w:hAnsi="Arial"/>
          <w:sz w:val="20"/>
          <w:szCs w:val="20"/>
        </w:rPr>
        <w:t xml:space="preserve"> required to </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upport</w:t>
      </w:r>
      <w:r>
        <w:rPr>
          <w:rFonts w:ascii="Arial" w:hAnsi="Arial"/>
          <w:sz w:val="20"/>
          <w:szCs w:val="20"/>
        </w:rPr>
        <w:t xml:space="preserve"> a diagnosis, usually specifying ‘atrophy’ in a region of interest. As automation and quantification becomes more prevalent to evaluate neuroimaging, it is likely that future criteria will become more specific on the extent of change that suggests a specific </w:t>
      </w:r>
      <w:r>
        <w:rPr>
          <w:rFonts w:eastAsia="Noto Serif CJK SC" w:cs="Lohit Devanagari" w:ascii="Arial" w:hAnsi="Arial"/>
          <w:color w:val="auto"/>
          <w:kern w:val="2"/>
          <w:sz w:val="20"/>
          <w:szCs w:val="20"/>
          <w:lang w:val="en-GB" w:eastAsia="zh-CN" w:bidi="hi-IN"/>
        </w:rPr>
        <w:t>d</w:t>
      </w:r>
      <w:r>
        <w:rPr>
          <w:rFonts w:eastAsia="Noto Serif CJK SC" w:cs="Lohit Devanagari" w:ascii="Arial" w:hAnsi="Arial"/>
          <w:color w:val="auto"/>
          <w:kern w:val="2"/>
          <w:sz w:val="20"/>
          <w:szCs w:val="20"/>
          <w:lang w:val="en-GB" w:eastAsia="zh-CN" w:bidi="hi-IN"/>
        </w:rPr>
        <w:t>iagnosis</w:t>
      </w:r>
      <w:r>
        <w:rPr>
          <w:rFonts w:ascii="Arial" w:hAnsi="Arial"/>
          <w:sz w:val="20"/>
          <w:szCs w:val="20"/>
        </w:rPr>
        <w:t xml:space="preserve"> and the type of neuroimaging required as evidence.</w:t>
      </w:r>
    </w:p>
    <w:p>
      <w:pPr>
        <w:pStyle w:val="Normal"/>
        <w:bidi w:val="0"/>
        <w:jc w:val="left"/>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t xml:space="preserve">In this review, we discuss </w:t>
      </w:r>
      <w:r>
        <w:rPr>
          <w:rFonts w:eastAsia="Noto Serif CJK SC" w:cs="Lohit Devanagari" w:ascii="Arial" w:hAnsi="Arial"/>
          <w:color w:val="auto"/>
          <w:kern w:val="2"/>
          <w:sz w:val="20"/>
          <w:szCs w:val="20"/>
          <w:lang w:val="en-GB" w:eastAsia="zh-CN" w:bidi="hi-IN"/>
        </w:rPr>
        <w:t xml:space="preserve">a </w:t>
      </w:r>
      <w:r>
        <w:rPr>
          <w:rFonts w:eastAsia="Noto Serif CJK SC" w:cs="Lohit Devanagari" w:ascii="Arial" w:hAnsi="Arial"/>
          <w:color w:val="auto"/>
          <w:kern w:val="2"/>
          <w:sz w:val="20"/>
          <w:szCs w:val="20"/>
          <w:lang w:val="en-GB" w:eastAsia="zh-CN" w:bidi="hi-IN"/>
        </w:rPr>
        <w:t>few</w:t>
      </w:r>
      <w:r>
        <w:rPr>
          <w:rFonts w:ascii="Arial" w:hAnsi="Arial"/>
          <w:sz w:val="20"/>
          <w:szCs w:val="20"/>
        </w:rPr>
        <w:t xml:space="preserve"> of the most significant recent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dvances in neuroimaging</w:t>
      </w:r>
      <w:r>
        <w:rPr>
          <w:rFonts w:ascii="Arial" w:hAnsi="Arial"/>
          <w:sz w:val="20"/>
          <w:szCs w:val="20"/>
        </w:rPr>
        <w:t xml:space="preserve"> and what they mean for our understanding of </w:t>
      </w:r>
      <w:r>
        <w:rPr>
          <w:rFonts w:eastAsia="Noto Serif CJK SC" w:cs="Lohit Devanagari" w:ascii="Arial" w:hAnsi="Arial"/>
          <w:color w:val="auto"/>
          <w:kern w:val="2"/>
          <w:sz w:val="20"/>
          <w:szCs w:val="20"/>
          <w:lang w:val="en-GB" w:eastAsia="zh-CN" w:bidi="hi-IN"/>
        </w:rPr>
        <w:t>d</w:t>
      </w:r>
      <w:r>
        <w:rPr>
          <w:rFonts w:eastAsia="Noto Serif CJK SC" w:cs="Lohit Devanagari" w:ascii="Arial" w:hAnsi="Arial"/>
          <w:color w:val="auto"/>
          <w:kern w:val="2"/>
          <w:sz w:val="20"/>
          <w:szCs w:val="20"/>
          <w:lang w:val="en-GB" w:eastAsia="zh-CN" w:bidi="hi-IN"/>
        </w:rPr>
        <w:t>ementia</w:t>
      </w:r>
      <w:r>
        <w:rPr>
          <w:rFonts w:ascii="Arial" w:hAnsi="Arial"/>
          <w:sz w:val="20"/>
          <w:szCs w:val="20"/>
        </w:rPr>
        <w:t xml:space="preserve"> and the potential relevance for clinical </w:t>
      </w:r>
      <w:r>
        <w:rPr>
          <w:rFonts w:eastAsia="Noto Serif CJK SC" w:cs="Lohit Devanagari" w:ascii="Arial" w:hAnsi="Arial"/>
          <w:color w:val="auto"/>
          <w:kern w:val="2"/>
          <w:sz w:val="20"/>
          <w:szCs w:val="20"/>
          <w:lang w:val="en-GB" w:eastAsia="zh-CN" w:bidi="hi-IN"/>
        </w:rPr>
        <w:t>p</w:t>
      </w:r>
      <w:r>
        <w:rPr>
          <w:rFonts w:eastAsia="Noto Serif CJK SC" w:cs="Lohit Devanagari" w:ascii="Arial" w:hAnsi="Arial"/>
          <w:color w:val="auto"/>
          <w:kern w:val="2"/>
          <w:sz w:val="20"/>
          <w:szCs w:val="20"/>
          <w:lang w:val="en-GB" w:eastAsia="zh-CN" w:bidi="hi-IN"/>
        </w:rPr>
        <w:t>ractice</w:t>
      </w:r>
      <w:r>
        <w:rPr>
          <w:rFonts w:ascii="Arial" w:hAnsi="Arial"/>
          <w:sz w:val="20"/>
          <w:szCs w:val="20"/>
        </w:rPr>
        <w:t xml:space="preserve">. Due to space constraints we cannot cover all of this field including the use of neurophysiology </w:t>
      </w:r>
      <w:r>
        <w:rPr>
          <w:rFonts w:eastAsia="Noto Serif CJK SC" w:cs="Lohit Devanagari" w:ascii="Arial" w:hAnsi="Arial"/>
          <w:color w:val="auto"/>
          <w:kern w:val="2"/>
          <w:sz w:val="20"/>
          <w:szCs w:val="20"/>
          <w:lang w:val="en-GB" w:eastAsia="zh-CN" w:bidi="hi-IN"/>
        </w:rPr>
        <w:t>w</w:t>
      </w:r>
      <w:r>
        <w:rPr>
          <w:rFonts w:eastAsia="Noto Serif CJK SC" w:cs="Lohit Devanagari" w:ascii="Arial" w:hAnsi="Arial"/>
          <w:color w:val="auto"/>
          <w:kern w:val="2"/>
          <w:sz w:val="20"/>
          <w:szCs w:val="20"/>
          <w:lang w:val="en-GB" w:eastAsia="zh-CN" w:bidi="hi-IN"/>
        </w:rPr>
        <w:t xml:space="preserve">ith </w:t>
      </w:r>
      <w:r>
        <w:rPr>
          <w:rFonts w:eastAsia="Noto Serif CJK SC" w:cs="Lohit Devanagari" w:ascii="Arial" w:hAnsi="Arial"/>
          <w:color w:val="auto"/>
          <w:kern w:val="2"/>
          <w:sz w:val="20"/>
          <w:szCs w:val="20"/>
          <w:lang w:val="en-GB" w:eastAsia="zh-CN" w:bidi="hi-IN"/>
        </w:rPr>
        <w:t>MEG</w:t>
      </w:r>
      <w:r>
        <w:rPr>
          <w:rFonts w:eastAsia="Noto Serif CJK SC" w:cs="Lohit Devanagari" w:ascii="Arial" w:hAnsi="Arial"/>
          <w:color w:val="auto"/>
          <w:kern w:val="2"/>
          <w:sz w:val="20"/>
          <w:szCs w:val="20"/>
          <w:lang w:val="en-GB" w:eastAsia="zh-CN" w:bidi="hi-IN"/>
        </w:rPr>
        <w:t>[2]</w:t>
      </w:r>
      <w:r>
        <w:rPr>
          <w:rFonts w:ascii="Arial" w:hAnsi="Arial"/>
          <w:sz w:val="20"/>
          <w:szCs w:val="20"/>
        </w:rPr>
        <w:t>, the application of Arterial Spin Labelling as a promising disease measure</w:t>
      </w:r>
      <w:r>
        <w:rPr>
          <w:rFonts w:ascii="Arial" w:hAnsi="Arial"/>
          <w:sz w:val="20"/>
          <w:szCs w:val="20"/>
        </w:rPr>
        <w:t>[3, 4]</w:t>
      </w:r>
      <w:r>
        <w:rPr>
          <w:rFonts w:ascii="Arial" w:hAnsi="Arial"/>
          <w:sz w:val="20"/>
          <w:szCs w:val="20"/>
        </w:rPr>
        <w:t>, and insightful new approaches using combinations of imaging modalities to investigate disease aetiology</w:t>
      </w:r>
      <w:r>
        <w:rPr>
          <w:rFonts w:ascii="Arial" w:hAnsi="Arial"/>
          <w:sz w:val="20"/>
          <w:szCs w:val="20"/>
        </w:rPr>
        <w:t>[5]</w:t>
      </w:r>
      <w:r>
        <w:rPr>
          <w:rFonts w:ascii="Arial" w:hAnsi="Arial"/>
          <w:sz w:val="20"/>
          <w:szCs w:val="20"/>
        </w:rPr>
        <w:t>.</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Structural imaging</w:t>
      </w:r>
    </w:p>
    <w:p>
      <w:pPr>
        <w:pStyle w:val="Normal"/>
        <w:rPr>
          <w:rFonts w:ascii="Arial" w:hAnsi="Arial"/>
          <w:sz w:val="20"/>
          <w:szCs w:val="20"/>
        </w:rPr>
      </w:pPr>
      <w:r>
        <w:rPr>
          <w:rFonts w:ascii="Arial" w:hAnsi="Arial"/>
          <w:sz w:val="20"/>
          <w:szCs w:val="20"/>
        </w:rPr>
        <w:t xml:space="preserve">Since seminal studies of progressive hippocampal atrophy in Alzheimer’s disease </w:t>
      </w:r>
      <w:r>
        <w:rPr>
          <w:rFonts w:ascii="Arial" w:hAnsi="Arial"/>
          <w:sz w:val="20"/>
          <w:szCs w:val="20"/>
        </w:rPr>
        <w:t>in the 1990s</w:t>
      </w:r>
      <w:r>
        <w:rPr>
          <w:rFonts w:ascii="Arial" w:hAnsi="Arial"/>
          <w:sz w:val="20"/>
          <w:szCs w:val="20"/>
        </w:rPr>
        <w:t>[6]</w:t>
      </w:r>
      <w:r>
        <w:rPr>
          <w:rFonts w:ascii="Arial" w:hAnsi="Arial"/>
          <w:sz w:val="20"/>
          <w:szCs w:val="20"/>
        </w:rPr>
        <w:t xml:space="preserve">, structural MRI has </w:t>
      </w:r>
      <w:r>
        <w:rPr>
          <w:rFonts w:eastAsia="Noto Serif CJK SC" w:cs="Lohit Devanagari" w:ascii="Arial" w:hAnsi="Arial"/>
          <w:color w:val="auto"/>
          <w:kern w:val="2"/>
          <w:sz w:val="20"/>
          <w:szCs w:val="20"/>
          <w:lang w:val="en-GB" w:eastAsia="zh-CN" w:bidi="hi-IN"/>
        </w:rPr>
        <w:t>been</w:t>
      </w:r>
      <w:r>
        <w:rPr>
          <w:rFonts w:ascii="Arial" w:hAnsi="Arial"/>
          <w:sz w:val="20"/>
          <w:szCs w:val="20"/>
        </w:rPr>
        <w:t xml:space="preserve"> the workhorse of neuroimaging in dementia. </w:t>
      </w:r>
      <w:r>
        <w:rPr>
          <w:rFonts w:ascii="Arial" w:hAnsi="Arial"/>
          <w:sz w:val="20"/>
          <w:szCs w:val="20"/>
        </w:rPr>
        <w:t xml:space="preserve">Structural imaging has revealed atrophy decades prior to the onset of symptoms in </w:t>
      </w:r>
      <w:r>
        <w:rPr>
          <w:rFonts w:ascii="Arial" w:hAnsi="Arial"/>
          <w:sz w:val="20"/>
          <w:szCs w:val="20"/>
        </w:rPr>
        <w:t xml:space="preserve">cohorts </w:t>
      </w:r>
      <w:r>
        <w:rPr>
          <w:rFonts w:ascii="Arial" w:hAnsi="Arial"/>
          <w:sz w:val="20"/>
          <w:szCs w:val="20"/>
        </w:rPr>
        <w:t xml:space="preserve">of people with mendelian forms of </w:t>
      </w:r>
      <w:r>
        <w:rPr>
          <w:rFonts w:ascii="Arial" w:hAnsi="Arial"/>
          <w:sz w:val="20"/>
          <w:szCs w:val="20"/>
        </w:rPr>
        <w:t>Alzheimer’s Disease</w:t>
      </w:r>
      <w:r>
        <w:rPr>
          <w:rFonts w:ascii="Arial" w:hAnsi="Arial"/>
          <w:sz w:val="20"/>
          <w:szCs w:val="20"/>
        </w:rPr>
        <w:t>[7]</w:t>
      </w:r>
      <w:r>
        <w:rPr>
          <w:rFonts w:ascii="Arial" w:hAnsi="Arial"/>
          <w:sz w:val="20"/>
          <w:szCs w:val="20"/>
        </w:rPr>
        <w:t xml:space="preserve"> and Frontotemporal Dementia</w:t>
      </w:r>
      <w:r>
        <w:rPr>
          <w:rFonts w:ascii="Arial" w:hAnsi="Arial"/>
          <w:sz w:val="20"/>
          <w:szCs w:val="20"/>
        </w:rPr>
        <w:t>[8]</w:t>
      </w:r>
      <w:r>
        <w:rPr>
          <w:rFonts w:ascii="Arial" w:hAnsi="Arial"/>
          <w:sz w:val="20"/>
          <w:szCs w:val="20"/>
        </w:rPr>
        <w:t>.</w:t>
      </w:r>
    </w:p>
    <w:p>
      <w:pPr>
        <w:pStyle w:val="Normal"/>
        <w:rPr>
          <w:rFonts w:ascii="Arial" w:hAnsi="Arial"/>
          <w:sz w:val="20"/>
          <w:szCs w:val="20"/>
        </w:rPr>
      </w:pPr>
      <w:r>
        <w:rPr>
          <w:rFonts w:ascii="Arial" w:hAnsi="Arial"/>
          <w:sz w:val="20"/>
          <w:szCs w:val="20"/>
        </w:rPr>
      </w:r>
    </w:p>
    <w:p>
      <w:pPr>
        <w:pStyle w:val="Normal"/>
        <w:rPr/>
      </w:pPr>
      <w:r>
        <w:rPr>
          <w:rFonts w:ascii="Arial" w:hAnsi="Arial"/>
          <w:sz w:val="20"/>
          <w:szCs w:val="20"/>
        </w:rPr>
        <w:t>Changes in brain structure continue</w:t>
      </w:r>
      <w:r>
        <w:rPr>
          <w:rFonts w:ascii="Arial" w:hAnsi="Arial"/>
          <w:sz w:val="20"/>
          <w:szCs w:val="20"/>
        </w:rPr>
        <w:t xml:space="preserve"> to </w:t>
      </w:r>
      <w:r>
        <w:rPr>
          <w:rFonts w:eastAsia="Noto Serif CJK SC" w:cs="Lohit Devanagari" w:ascii="Arial" w:hAnsi="Arial"/>
          <w:color w:val="auto"/>
          <w:kern w:val="2"/>
          <w:sz w:val="20"/>
          <w:szCs w:val="20"/>
          <w:lang w:val="en-GB" w:eastAsia="zh-CN" w:bidi="hi-IN"/>
        </w:rPr>
        <w:t>provide</w:t>
      </w:r>
      <w:r>
        <w:rPr>
          <w:rFonts w:ascii="Arial" w:hAnsi="Arial"/>
          <w:sz w:val="20"/>
          <w:szCs w:val="20"/>
        </w:rPr>
        <w:t xml:space="preserve"> insight, </w:t>
      </w:r>
      <w:r>
        <w:rPr>
          <w:rFonts w:ascii="Arial" w:hAnsi="Arial"/>
          <w:sz w:val="20"/>
          <w:szCs w:val="20"/>
        </w:rPr>
        <w:t xml:space="preserve">particularly on the subtypes of </w:t>
      </w:r>
      <w:r>
        <w:rPr>
          <w:rFonts w:ascii="Arial" w:hAnsi="Arial"/>
          <w:sz w:val="20"/>
          <w:szCs w:val="20"/>
        </w:rPr>
        <w:t xml:space="preserve">disease. </w:t>
      </w:r>
      <w:r>
        <w:rPr>
          <w:rFonts w:ascii="Arial" w:hAnsi="Arial"/>
          <w:sz w:val="20"/>
          <w:szCs w:val="20"/>
        </w:rPr>
        <w:t xml:space="preserve">For example, </w:t>
      </w:r>
      <w:r>
        <w:rPr>
          <w:rFonts w:ascii="Arial" w:hAnsi="Arial"/>
          <w:sz w:val="20"/>
          <w:szCs w:val="20"/>
        </w:rPr>
        <w:t xml:space="preserve">the identification of distinct atrophy patterns associated with </w:t>
      </w:r>
      <w:r>
        <w:rPr>
          <w:rFonts w:eastAsia="Noto Serif CJK SC" w:cs="Lohit Devanagari" w:ascii="Arial" w:hAnsi="Arial"/>
          <w:color w:val="auto"/>
          <w:kern w:val="2"/>
          <w:sz w:val="20"/>
          <w:szCs w:val="20"/>
          <w:lang w:val="en-GB" w:eastAsia="zh-CN" w:bidi="hi-IN"/>
        </w:rPr>
        <w:t>different</w:t>
      </w:r>
      <w:r>
        <w:rPr>
          <w:rFonts w:ascii="Arial" w:hAnsi="Arial"/>
          <w:sz w:val="20"/>
          <w:szCs w:val="20"/>
        </w:rPr>
        <w:t xml:space="preserve"> rates of disease progression in Alzheimer’s disease </w:t>
      </w:r>
      <w:r>
        <w:rPr>
          <w:rFonts w:ascii="Arial" w:hAnsi="Arial"/>
          <w:sz w:val="20"/>
          <w:szCs w:val="20"/>
        </w:rPr>
        <w:t>and Frontotemporal Dementia</w:t>
      </w:r>
      <w:r>
        <w:rPr>
          <w:rFonts w:ascii="Arial" w:hAnsi="Arial"/>
          <w:sz w:val="20"/>
          <w:szCs w:val="20"/>
        </w:rPr>
        <w:t>[9]</w:t>
      </w:r>
      <w:r>
        <w:rPr>
          <w:rFonts w:ascii="Arial" w:hAnsi="Arial"/>
          <w:sz w:val="20"/>
          <w:szCs w:val="20"/>
        </w:rPr>
        <w:t xml:space="preserve">. </w:t>
      </w:r>
      <w:r>
        <w:rPr>
          <w:rFonts w:ascii="Arial" w:hAnsi="Arial"/>
          <w:sz w:val="20"/>
          <w:szCs w:val="20"/>
        </w:rPr>
        <w:t xml:space="preserve">The SuStaIn model used in this work adds to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n</w:t>
      </w:r>
      <w:r>
        <w:rPr>
          <w:rFonts w:ascii="Arial" w:hAnsi="Arial"/>
          <w:sz w:val="20"/>
          <w:szCs w:val="20"/>
        </w:rPr>
        <w:t xml:space="preserve"> understanding of clinical heterogeneity in disease progression by associating differential rates of changes over time with specific patterns of atrophy.</w:t>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eastAsia="Noto Serif CJK SC" w:cs="Lohit Devanagari" w:ascii="Arial" w:hAnsi="Arial"/>
          <w:color w:val="auto"/>
          <w:kern w:val="2"/>
          <w:sz w:val="20"/>
          <w:szCs w:val="20"/>
          <w:lang w:val="en-GB" w:eastAsia="zh-CN" w:bidi="hi-IN"/>
        </w:rPr>
        <w:t>D</w:t>
      </w:r>
      <w:r>
        <w:rPr>
          <w:rFonts w:eastAsia="Noto Serif CJK SC" w:cs="Lohit Devanagari" w:ascii="Arial" w:hAnsi="Arial"/>
          <w:color w:val="auto"/>
          <w:kern w:val="2"/>
          <w:sz w:val="20"/>
          <w:szCs w:val="20"/>
          <w:lang w:val="en-GB" w:eastAsia="zh-CN" w:bidi="hi-IN"/>
        </w:rPr>
        <w:t>espite its long history</w:t>
      </w:r>
      <w:r>
        <w:rPr>
          <w:rFonts w:ascii="Arial" w:hAnsi="Arial"/>
          <w:sz w:val="20"/>
          <w:szCs w:val="20"/>
        </w:rPr>
        <w:t xml:space="preserve">, relying on structural MRI for the early diagnosis of Alzheimer’s disease in the form of Mild Cognitive Impairment (MCI) is not currently recommended. A recent Cochrane review found a high false </w:t>
      </w:r>
      <w:r>
        <w:rPr>
          <w:rFonts w:eastAsia="Noto Serif CJK SC" w:cs="Lohit Devanagari" w:ascii="Arial" w:hAnsi="Arial"/>
          <w:color w:val="auto"/>
          <w:kern w:val="2"/>
          <w:sz w:val="20"/>
          <w:szCs w:val="20"/>
          <w:lang w:val="en-GB" w:eastAsia="zh-CN" w:bidi="hi-IN"/>
        </w:rPr>
        <w:t>negative</w:t>
      </w:r>
      <w:r>
        <w:rPr>
          <w:rFonts w:ascii="Arial" w:hAnsi="Arial"/>
          <w:sz w:val="20"/>
          <w:szCs w:val="20"/>
        </w:rPr>
        <w:t xml:space="preserve"> rate of 27% and a false positive rate of 29%</w:t>
      </w:r>
      <w:r>
        <w:rPr>
          <w:rFonts w:ascii="Arial" w:hAnsi="Arial"/>
          <w:sz w:val="20"/>
          <w:szCs w:val="20"/>
        </w:rPr>
        <w:t>[10]</w:t>
      </w:r>
      <w:r>
        <w:rPr>
          <w:rFonts w:ascii="Arial" w:hAnsi="Arial"/>
          <w:sz w:val="20"/>
          <w:szCs w:val="20"/>
        </w:rPr>
        <w:t xml:space="preserve"> based on data from 33 studies. Most of the data came from studies looking solely at the hippocampus although overall the data quality was sparse with insufficient data available to establish whether, for example, </w:t>
      </w:r>
      <w:r>
        <w:rPr>
          <w:rFonts w:eastAsia="Noto Serif CJK SC" w:cs="Lohit Devanagari" w:ascii="Arial" w:hAnsi="Arial"/>
          <w:color w:val="auto"/>
          <w:kern w:val="2"/>
          <w:sz w:val="20"/>
          <w:szCs w:val="20"/>
          <w:lang w:val="en-GB" w:eastAsia="zh-CN" w:bidi="hi-IN"/>
        </w:rPr>
        <w:t>t</w:t>
      </w:r>
      <w:r>
        <w:rPr>
          <w:rFonts w:eastAsia="Noto Serif CJK SC" w:cs="Lohit Devanagari" w:ascii="Arial" w:hAnsi="Arial"/>
          <w:color w:val="auto"/>
          <w:kern w:val="2"/>
          <w:sz w:val="20"/>
          <w:szCs w:val="20"/>
          <w:lang w:val="en-GB" w:eastAsia="zh-CN" w:bidi="hi-IN"/>
        </w:rPr>
        <w:t>otal</w:t>
      </w:r>
      <w:r>
        <w:rPr>
          <w:rFonts w:ascii="Arial" w:hAnsi="Arial"/>
          <w:sz w:val="20"/>
          <w:szCs w:val="20"/>
        </w:rPr>
        <w:t xml:space="preserve"> brain volume could better differentiate between MCI and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lzheimer’s disease</w:t>
      </w:r>
      <w:r>
        <w:rPr>
          <w:rFonts w:ascii="Arial" w:hAnsi="Arial"/>
          <w:sz w:val="20"/>
          <w:szCs w:val="20"/>
        </w:rPr>
        <w:t>.</w:t>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t>Although this seems a disappointing finding, there may yet be more sensitive analytical tools or mathematical approaches using machine learning that can pick up patterns of structural change that may prove useful as a diagnostic biomarker</w:t>
      </w:r>
      <w:r>
        <w:rPr>
          <w:rFonts w:ascii="Arial" w:hAnsi="Arial"/>
          <w:sz w:val="20"/>
          <w:szCs w:val="20"/>
        </w:rPr>
        <w:t>[11]</w:t>
      </w:r>
      <w:r>
        <w:rPr>
          <w:rFonts w:ascii="Arial" w:hAnsi="Arial"/>
          <w:sz w:val="20"/>
          <w:szCs w:val="20"/>
        </w:rPr>
        <w:t>.</w:t>
      </w:r>
    </w:p>
    <w:p>
      <w:pPr>
        <w:pStyle w:val="Normal"/>
        <w:rPr>
          <w:rFonts w:ascii="Arial" w:hAnsi="Arial"/>
          <w:b/>
          <w:b/>
          <w:bCs/>
          <w:sz w:val="20"/>
          <w:szCs w:val="20"/>
        </w:rPr>
      </w:pPr>
      <w:r>
        <w:rPr>
          <w:rFonts w:ascii="Arial" w:hAnsi="Arial"/>
          <w:b/>
          <w:bCs/>
          <w:sz w:val="20"/>
          <w:szCs w:val="20"/>
        </w:rPr>
      </w:r>
    </w:p>
    <w:p>
      <w:pPr>
        <w:pStyle w:val="Normal"/>
        <w:rPr/>
      </w:pP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n alternative</w:t>
      </w:r>
      <w:r>
        <w:rPr>
          <w:rFonts w:ascii="Arial" w:hAnsi="Arial"/>
          <w:sz w:val="20"/>
          <w:szCs w:val="20"/>
        </w:rPr>
        <w:t xml:space="preserve"> approach to identifying a more sensitive imaging biomarker is to use a more powerful scanner, such as 7 Tesla MRI. The “Tesla” refers to the strength of the magnetic field of an MRI scanner, with 1.5 Tesla the one </w:t>
      </w:r>
      <w:r>
        <w:rPr>
          <w:rFonts w:eastAsia="Noto Serif CJK SC" w:cs="Lohit Devanagari" w:ascii="Arial" w:hAnsi="Arial"/>
          <w:color w:val="auto"/>
          <w:kern w:val="2"/>
          <w:sz w:val="20"/>
          <w:szCs w:val="20"/>
          <w:lang w:val="en-GB" w:eastAsia="zh-CN" w:bidi="hi-IN"/>
        </w:rPr>
        <w:t>most often</w:t>
      </w:r>
      <w:r>
        <w:rPr>
          <w:rFonts w:ascii="Arial" w:hAnsi="Arial"/>
          <w:sz w:val="20"/>
          <w:szCs w:val="20"/>
        </w:rPr>
        <w:t xml:space="preserve"> used in clinical practice, </w:t>
      </w:r>
      <w:r>
        <w:rPr>
          <w:rFonts w:eastAsia="Noto Serif CJK SC" w:cs="Lohit Devanagari" w:ascii="Arial" w:hAnsi="Arial"/>
          <w:color w:val="auto"/>
          <w:kern w:val="2"/>
          <w:sz w:val="20"/>
          <w:szCs w:val="20"/>
          <w:lang w:val="en-GB" w:eastAsia="zh-CN" w:bidi="hi-IN"/>
        </w:rPr>
        <w:t>and</w:t>
      </w:r>
      <w:r>
        <w:rPr>
          <w:rFonts w:ascii="Arial" w:hAnsi="Arial"/>
          <w:sz w:val="20"/>
          <w:szCs w:val="20"/>
        </w:rPr>
        <w:t xml:space="preserve"> 3 Tesla MRI scanners being used </w:t>
      </w:r>
      <w:r>
        <w:rPr>
          <w:rFonts w:ascii="Arial" w:hAnsi="Arial"/>
          <w:sz w:val="20"/>
          <w:szCs w:val="20"/>
        </w:rPr>
        <w:t>routinely</w:t>
      </w:r>
      <w:r>
        <w:rPr>
          <w:rFonts w:ascii="Arial" w:hAnsi="Arial"/>
          <w:sz w:val="20"/>
          <w:szCs w:val="20"/>
        </w:rPr>
        <w:t xml:space="preserve"> for research at academic centres. Although 7 Tesla scanners are less common, shared protocols are helping to facilitate data-sharing to build larger cohorts between 7T centres, </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uch</w:t>
      </w:r>
      <w:r>
        <w:rPr>
          <w:rFonts w:ascii="Arial" w:hAnsi="Arial"/>
          <w:sz w:val="20"/>
          <w:szCs w:val="20"/>
        </w:rPr>
        <w:t xml:space="preserve"> as those published by the UK7T network</w:t>
      </w:r>
      <w:r>
        <w:rPr>
          <w:rFonts w:ascii="Arial" w:hAnsi="Arial"/>
          <w:sz w:val="20"/>
          <w:szCs w:val="20"/>
        </w:rPr>
        <w:t>[12]</w:t>
      </w:r>
      <w:r>
        <w:rPr>
          <w:rFonts w:ascii="Arial" w:hAnsi="Arial"/>
          <w:sz w:val="20"/>
          <w:szCs w:val="20"/>
        </w:rPr>
        <w:t xml:space="preserve">. The </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tronger</w:t>
      </w:r>
      <w:r>
        <w:rPr>
          <w:rFonts w:ascii="Arial" w:hAnsi="Arial"/>
          <w:sz w:val="20"/>
          <w:szCs w:val="20"/>
        </w:rPr>
        <w:t xml:space="preserve"> magnetic field is particularly useful in </w:t>
      </w:r>
      <w:r>
        <w:rPr>
          <w:rFonts w:eastAsia="Noto Serif CJK SC" w:cs="Lohit Devanagari" w:ascii="Arial" w:hAnsi="Arial"/>
          <w:color w:val="auto"/>
          <w:kern w:val="2"/>
          <w:sz w:val="20"/>
          <w:szCs w:val="20"/>
          <w:lang w:val="en-GB" w:eastAsia="zh-CN" w:bidi="hi-IN"/>
        </w:rPr>
        <w:t>i</w:t>
      </w:r>
      <w:r>
        <w:rPr>
          <w:rFonts w:eastAsia="Noto Serif CJK SC" w:cs="Lohit Devanagari" w:ascii="Arial" w:hAnsi="Arial"/>
          <w:color w:val="auto"/>
          <w:kern w:val="2"/>
          <w:sz w:val="20"/>
          <w:szCs w:val="20"/>
          <w:lang w:val="en-GB" w:eastAsia="zh-CN" w:bidi="hi-IN"/>
        </w:rPr>
        <w:t xml:space="preserve">dentifying vascular abnormalities, including cerebral microbleeds, </w:t>
      </w:r>
      <w:r>
        <w:rPr>
          <w:rFonts w:eastAsia="Noto Serif CJK SC" w:cs="Lohit Devanagari" w:ascii="Arial" w:hAnsi="Arial"/>
          <w:color w:val="auto"/>
          <w:kern w:val="2"/>
          <w:sz w:val="20"/>
          <w:szCs w:val="20"/>
          <w:lang w:val="en-GB" w:eastAsia="zh-CN" w:bidi="hi-IN"/>
        </w:rPr>
        <w:t>which w</w:t>
      </w:r>
      <w:r>
        <w:rPr>
          <w:rFonts w:eastAsia="Noto Serif CJK SC" w:cs="Lohit Devanagari" w:ascii="Arial" w:hAnsi="Arial"/>
          <w:color w:val="auto"/>
          <w:kern w:val="2"/>
          <w:sz w:val="20"/>
          <w:szCs w:val="20"/>
          <w:lang w:val="en-GB" w:eastAsia="zh-CN" w:bidi="hi-IN"/>
        </w:rPr>
        <w:t xml:space="preserve">as the focus of much of the </w:t>
      </w:r>
      <w:r>
        <w:rPr>
          <w:rFonts w:eastAsia="Noto Serif CJK SC" w:cs="Lohit Devanagari" w:ascii="Arial" w:hAnsi="Arial"/>
          <w:color w:val="auto"/>
          <w:kern w:val="2"/>
          <w:sz w:val="20"/>
          <w:szCs w:val="20"/>
          <w:lang w:val="en-GB" w:eastAsia="zh-CN" w:bidi="hi-IN"/>
        </w:rPr>
        <w:t>early work with7T MRI in neurodegeneration</w:t>
      </w:r>
      <w:r>
        <w:rPr>
          <w:rFonts w:eastAsia="Noto Serif CJK SC" w:cs="Lohit Devanagari" w:ascii="Arial" w:hAnsi="Arial"/>
          <w:color w:val="auto"/>
          <w:kern w:val="2"/>
          <w:sz w:val="20"/>
          <w:szCs w:val="20"/>
          <w:lang w:val="en-GB" w:eastAsia="zh-CN" w:bidi="hi-IN"/>
        </w:rPr>
        <w:t>[13, 14]</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O</w:t>
      </w:r>
      <w:r>
        <w:rPr>
          <w:rFonts w:eastAsia="Noto Serif CJK SC" w:cs="Lohit Devanagari" w:ascii="Arial" w:hAnsi="Arial"/>
          <w:color w:val="auto"/>
          <w:kern w:val="2"/>
          <w:sz w:val="20"/>
          <w:szCs w:val="20"/>
          <w:lang w:val="en-GB" w:eastAsia="zh-CN" w:bidi="hi-IN"/>
        </w:rPr>
        <w:t>ne study f</w:t>
      </w:r>
      <w:r>
        <w:rPr>
          <w:rFonts w:eastAsia="Noto Serif CJK SC" w:cs="Lohit Devanagari" w:ascii="Arial" w:hAnsi="Arial"/>
          <w:color w:val="auto"/>
          <w:kern w:val="2"/>
          <w:sz w:val="20"/>
          <w:szCs w:val="20"/>
          <w:lang w:val="en-GB" w:eastAsia="zh-CN" w:bidi="hi-IN"/>
        </w:rPr>
        <w:t>ound</w:t>
      </w:r>
      <w:r>
        <w:rPr>
          <w:rFonts w:eastAsia="Noto Serif CJK SC" w:cs="Lohit Devanagari" w:ascii="Arial" w:hAnsi="Arial"/>
          <w:color w:val="auto"/>
          <w:kern w:val="2"/>
          <w:sz w:val="20"/>
          <w:szCs w:val="20"/>
          <w:lang w:val="en-GB" w:eastAsia="zh-CN" w:bidi="hi-IN"/>
        </w:rPr>
        <w:t xml:space="preserve"> that 78% of people with early Alzheimer’s disease/MCI had cerebral microbleeds</w:t>
      </w:r>
      <w:r>
        <w:rPr>
          <w:rFonts w:eastAsia="Noto Serif CJK SC" w:cs="Lohit Devanagari" w:ascii="Arial" w:hAnsi="Arial"/>
          <w:color w:val="auto"/>
          <w:kern w:val="2"/>
          <w:sz w:val="20"/>
          <w:szCs w:val="20"/>
          <w:lang w:val="en-GB" w:eastAsia="zh-CN" w:bidi="hi-IN"/>
        </w:rPr>
        <w:t>[15]</w:t>
      </w:r>
      <w:r>
        <w:rPr>
          <w:rFonts w:eastAsia="Noto Serif CJK SC" w:cs="Lohit Devanagari" w:ascii="Arial" w:hAnsi="Arial"/>
          <w:color w:val="auto"/>
          <w:kern w:val="2"/>
          <w:sz w:val="20"/>
          <w:szCs w:val="20"/>
          <w:lang w:val="en-GB" w:eastAsia="zh-CN" w:bidi="hi-IN"/>
        </w:rPr>
        <w:t>, presumably relating to some form of amyloid angiopathy</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These findings s</w:t>
      </w:r>
      <w:r>
        <w:rPr>
          <w:rFonts w:eastAsia="Noto Serif CJK SC" w:cs="Lohit Devanagari" w:ascii="Arial" w:hAnsi="Arial"/>
          <w:color w:val="auto"/>
          <w:kern w:val="2"/>
          <w:sz w:val="20"/>
          <w:szCs w:val="20"/>
          <w:lang w:val="en-GB" w:eastAsia="zh-CN" w:bidi="hi-IN"/>
        </w:rPr>
        <w:t>trengthen the argument for</w:t>
      </w:r>
      <w:r>
        <w:rPr>
          <w:rFonts w:eastAsia="Noto Serif CJK SC" w:cs="Lohit Devanagari" w:ascii="Arial" w:hAnsi="Arial"/>
          <w:color w:val="auto"/>
          <w:kern w:val="2"/>
          <w:sz w:val="20"/>
          <w:szCs w:val="20"/>
          <w:lang w:val="en-GB" w:eastAsia="zh-CN" w:bidi="hi-IN"/>
        </w:rPr>
        <w:t xml:space="preserve"> an early and important role for vascular abnormalities in Alzheimer’s disease.</w:t>
      </w:r>
    </w:p>
    <w:p>
      <w:pPr>
        <w:pStyle w:val="Normal"/>
        <w:rPr>
          <w:rFonts w:ascii="Arial" w:hAnsi="Arial" w:eastAsia="Noto Serif CJK SC" w:cs="Lohit Devanagari"/>
          <w:color w:val="auto"/>
          <w:kern w:val="2"/>
          <w:sz w:val="20"/>
          <w:szCs w:val="20"/>
          <w:lang w:val="en-GB" w:eastAsia="zh-CN" w:bidi="hi-IN"/>
        </w:rPr>
      </w:pPr>
      <w:r>
        <w:rPr>
          <w:rFonts w:eastAsia="Noto Serif CJK SC" w:cs="Lohit Devanagari" w:ascii="Arial" w:hAnsi="Arial"/>
          <w:color w:val="auto"/>
          <w:kern w:val="2"/>
          <w:sz w:val="20"/>
          <w:szCs w:val="20"/>
          <w:lang w:val="en-GB" w:eastAsia="zh-CN" w:bidi="hi-IN"/>
        </w:rPr>
      </w:r>
    </w:p>
    <w:p>
      <w:pPr>
        <w:pStyle w:val="Normal"/>
        <w:rPr>
          <w:rFonts w:ascii="Arial" w:hAnsi="Arial"/>
          <w:sz w:val="20"/>
          <w:szCs w:val="20"/>
        </w:rPr>
      </w:pPr>
      <w:r>
        <w:rPr>
          <w:rFonts w:eastAsia="Noto Serif CJK SC" w:cs="Lohit Devanagari" w:ascii="Arial" w:hAnsi="Arial"/>
          <w:color w:val="auto"/>
          <w:kern w:val="2"/>
          <w:sz w:val="20"/>
          <w:szCs w:val="20"/>
          <w:lang w:val="en-GB" w:eastAsia="zh-CN" w:bidi="hi-IN"/>
        </w:rPr>
        <w:t xml:space="preserve">This increased imaging power offered by 7T MRI, also allows for better resolution of small structures in the brain, </w:t>
      </w:r>
      <w:r>
        <w:rPr>
          <w:rFonts w:eastAsia="Noto Serif CJK SC" w:cs="Lohit Devanagari" w:ascii="Arial" w:hAnsi="Arial"/>
          <w:color w:val="auto"/>
          <w:kern w:val="2"/>
          <w:sz w:val="20"/>
          <w:szCs w:val="20"/>
          <w:lang w:val="en-GB" w:eastAsia="zh-CN" w:bidi="hi-IN"/>
        </w:rPr>
        <w:t>including subfields of the hippocampus. Analysis of the hippocampus in this way has suggested that the pre-subiculum is the earliest subfield to be involved in Alzheimer’s disease</w:t>
      </w:r>
      <w:r>
        <w:rPr>
          <w:rFonts w:eastAsia="Noto Serif CJK SC" w:cs="Lohit Devanagari" w:ascii="Arial" w:hAnsi="Arial"/>
          <w:color w:val="auto"/>
          <w:kern w:val="2"/>
          <w:sz w:val="20"/>
          <w:szCs w:val="20"/>
          <w:lang w:val="en-GB" w:eastAsia="zh-CN" w:bidi="hi-IN"/>
        </w:rPr>
        <w:t>[16]</w:t>
      </w:r>
      <w:r>
        <w:rPr>
          <w:rFonts w:ascii="Arial" w:hAnsi="Arial"/>
          <w:sz w:val="20"/>
          <w:szCs w:val="20"/>
        </w:rPr>
        <w:t xml:space="preserve">, </w:t>
      </w:r>
      <w:r>
        <w:rPr>
          <w:rFonts w:ascii="Arial" w:hAnsi="Arial"/>
          <w:sz w:val="20"/>
          <w:szCs w:val="20"/>
        </w:rPr>
        <w:t>and that atrophy is greatest in the presubiculum and subiculum in this condition- a finding that is supported by other imaging approaches as well as pathological studies</w:t>
      </w:r>
      <w:r>
        <w:rPr>
          <w:rFonts w:ascii="Arial" w:hAnsi="Arial"/>
          <w:sz w:val="20"/>
          <w:szCs w:val="20"/>
        </w:rPr>
        <w:t>[17, 18]</w:t>
      </w:r>
      <w:r>
        <w:rPr>
          <w:rFonts w:ascii="Arial" w:hAnsi="Arial"/>
          <w:sz w:val="20"/>
          <w:szCs w:val="20"/>
        </w:rPr>
        <w:t xml:space="preserve">. This level of resolution is now getting to a point where we may be able to image pathology </w:t>
      </w:r>
      <w:r>
        <w:rPr>
          <w:rFonts w:ascii="Arial" w:hAnsi="Arial"/>
          <w:i/>
          <w:iCs/>
          <w:sz w:val="20"/>
          <w:szCs w:val="20"/>
        </w:rPr>
        <w:t>in vivo</w:t>
      </w:r>
      <w:r>
        <w:rPr>
          <w:rFonts w:ascii="Arial" w:hAnsi="Arial"/>
          <w:i w:val="false"/>
          <w:iCs w:val="false"/>
          <w:sz w:val="20"/>
          <w:szCs w:val="20"/>
        </w:rPr>
        <w:t xml:space="preserve">, a claim strengthened by the possibility of </w:t>
      </w:r>
      <w:r>
        <w:rPr>
          <w:rFonts w:eastAsia="Noto Serif CJK SC" w:cs="Lohit Devanagari" w:ascii="Arial" w:hAnsi="Arial"/>
          <w:i w:val="false"/>
          <w:iCs w:val="false"/>
          <w:color w:val="auto"/>
          <w:kern w:val="2"/>
          <w:sz w:val="20"/>
          <w:szCs w:val="20"/>
          <w:lang w:val="en-GB" w:eastAsia="zh-CN" w:bidi="hi-IN"/>
        </w:rPr>
        <w:t>i</w:t>
      </w:r>
      <w:r>
        <w:rPr>
          <w:rFonts w:eastAsia="Noto Serif CJK SC" w:cs="Lohit Devanagari" w:ascii="Arial" w:hAnsi="Arial"/>
          <w:i w:val="false"/>
          <w:iCs w:val="false"/>
          <w:color w:val="auto"/>
          <w:kern w:val="2"/>
          <w:sz w:val="20"/>
          <w:szCs w:val="20"/>
          <w:lang w:val="en-GB" w:eastAsia="zh-CN" w:bidi="hi-IN"/>
        </w:rPr>
        <w:t>dentifying</w:t>
      </w:r>
      <w:r>
        <w:rPr>
          <w:rFonts w:ascii="Arial" w:hAnsi="Arial"/>
          <w:i w:val="false"/>
          <w:iCs w:val="false"/>
          <w:sz w:val="20"/>
          <w:szCs w:val="20"/>
        </w:rPr>
        <w:t xml:space="preserve"> cortical layers </w:t>
      </w:r>
      <w:r>
        <w:rPr>
          <w:rFonts w:ascii="Arial" w:hAnsi="Arial"/>
          <w:i/>
          <w:iCs/>
          <w:sz w:val="20"/>
          <w:szCs w:val="20"/>
        </w:rPr>
        <w:t xml:space="preserve">in vivo </w:t>
      </w:r>
      <w:r>
        <w:rPr>
          <w:rFonts w:ascii="Arial" w:hAnsi="Arial"/>
          <w:i w:val="false"/>
          <w:iCs w:val="false"/>
          <w:sz w:val="20"/>
          <w:szCs w:val="20"/>
        </w:rPr>
        <w:t>using 7T MRI</w:t>
      </w:r>
      <w:r>
        <w:rPr>
          <w:rFonts w:ascii="Arial" w:hAnsi="Arial"/>
          <w:i w:val="false"/>
          <w:iCs w:val="false"/>
          <w:sz w:val="20"/>
          <w:szCs w:val="20"/>
        </w:rPr>
        <w:t>[19]</w:t>
      </w:r>
      <w:r>
        <w:rPr>
          <w:rFonts w:ascii="Arial" w:hAnsi="Arial"/>
          <w:i w:val="false"/>
          <w:iCs w:val="false"/>
          <w:sz w:val="20"/>
          <w:szCs w:val="20"/>
        </w:rPr>
        <w:t>.</w:t>
      </w:r>
    </w:p>
    <w:p>
      <w:pPr>
        <w:pStyle w:val="Normal"/>
        <w:rPr>
          <w:rFonts w:ascii="Arial" w:hAnsi="Arial"/>
          <w:sz w:val="20"/>
          <w:szCs w:val="20"/>
        </w:rPr>
      </w:pPr>
      <w:r>
        <w:rPr>
          <w:rFonts w:ascii="Arial" w:hAnsi="Arial"/>
          <w:sz w:val="20"/>
          <w:szCs w:val="20"/>
        </w:rPr>
      </w:r>
    </w:p>
    <w:p>
      <w:pPr>
        <w:pStyle w:val="Normal"/>
        <w:rPr/>
      </w:pPr>
      <w:r>
        <w:rPr>
          <w:rFonts w:ascii="Arial" w:hAnsi="Arial"/>
          <w:sz w:val="20"/>
          <w:szCs w:val="20"/>
        </w:rPr>
        <w:t xml:space="preserve">Other small structures relevant to less common neurodegenerative diseases are now also amenable to measurement using 7 Tesla MRI, </w:t>
      </w:r>
      <w:r>
        <w:rPr>
          <w:rFonts w:eastAsia="Noto Serif CJK SC" w:cs="Lohit Devanagari" w:ascii="Arial" w:hAnsi="Arial"/>
          <w:color w:val="auto"/>
          <w:kern w:val="2"/>
          <w:sz w:val="20"/>
          <w:szCs w:val="20"/>
          <w:lang w:val="en-GB" w:eastAsia="zh-CN" w:bidi="hi-IN"/>
        </w:rPr>
        <w:t>f</w:t>
      </w:r>
      <w:r>
        <w:rPr>
          <w:rFonts w:eastAsia="Noto Serif CJK SC" w:cs="Lohit Devanagari" w:ascii="Arial" w:hAnsi="Arial"/>
          <w:color w:val="auto"/>
          <w:kern w:val="2"/>
          <w:sz w:val="20"/>
          <w:szCs w:val="20"/>
          <w:lang w:val="en-GB" w:eastAsia="zh-CN" w:bidi="hi-IN"/>
        </w:rPr>
        <w:t>or example</w:t>
      </w:r>
      <w:r>
        <w:rPr>
          <w:rFonts w:ascii="Arial" w:hAnsi="Arial"/>
          <w:sz w:val="20"/>
          <w:szCs w:val="20"/>
        </w:rPr>
        <w:t xml:space="preserve"> the locus coeruleus in Progressive Supranuclear Palsy</w:t>
      </w:r>
      <w:r>
        <w:rPr>
          <w:rFonts w:ascii="Arial" w:hAnsi="Arial"/>
          <w:sz w:val="20"/>
          <w:szCs w:val="20"/>
        </w:rPr>
        <w:t>[20]</w:t>
      </w:r>
      <w:r>
        <w:rPr>
          <w:rFonts w:ascii="Arial" w:hAnsi="Arial"/>
          <w:sz w:val="20"/>
          <w:szCs w:val="20"/>
        </w:rPr>
        <w:t xml:space="preserve">. An atlas of the locus coeruleus </w:t>
      </w:r>
      <w:r>
        <w:rPr>
          <w:rFonts w:eastAsia="Noto Serif CJK SC" w:cs="Lohit Devanagari" w:ascii="Arial" w:hAnsi="Arial"/>
          <w:color w:val="auto"/>
          <w:kern w:val="2"/>
          <w:sz w:val="20"/>
          <w:szCs w:val="20"/>
          <w:lang w:val="en-GB" w:eastAsia="zh-CN" w:bidi="hi-IN"/>
        </w:rPr>
        <w:t>in an older population is</w:t>
      </w:r>
      <w:r>
        <w:rPr>
          <w:rFonts w:ascii="Arial" w:hAnsi="Arial"/>
          <w:sz w:val="20"/>
          <w:szCs w:val="20"/>
        </w:rPr>
        <w:t xml:space="preserve"> freely available for this purpose (</w:t>
      </w:r>
      <w:hyperlink r:id="rId3">
        <w:r>
          <w:rPr>
            <w:rStyle w:val="InternetLink"/>
            <w:rFonts w:ascii="Arial" w:hAnsi="Arial"/>
            <w:sz w:val="20"/>
            <w:szCs w:val="20"/>
          </w:rPr>
          <w:t>https://www.nitrc.org/projects/lc_7t_prob/</w:t>
        </w:r>
      </w:hyperlink>
      <w:r>
        <w:rPr>
          <w:rFonts w:ascii="Arial" w:hAnsi="Arial"/>
          <w:sz w:val="20"/>
          <w:szCs w:val="20"/>
        </w:rPr>
        <w:t>).</w:t>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t>High-field MRI is therefore playing an increasing role in evaluating structural brain changes at ever increasing levels of resolution which is now approaching that of delineating pathology in situ.</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Positron Emission Tomography (</w:t>
      </w:r>
      <w:r>
        <w:rPr>
          <w:rFonts w:ascii="Arial" w:hAnsi="Arial"/>
          <w:b/>
          <w:bCs/>
          <w:sz w:val="20"/>
          <w:szCs w:val="20"/>
        </w:rPr>
        <w:t>PET</w:t>
      </w:r>
      <w:r>
        <w:rPr>
          <w:rFonts w:ascii="Arial" w:hAnsi="Arial"/>
          <w:b/>
          <w:bCs/>
          <w:sz w:val="20"/>
          <w:szCs w:val="20"/>
        </w:rPr>
        <w:t>)</w:t>
      </w:r>
    </w:p>
    <w:p>
      <w:pPr>
        <w:pStyle w:val="Normal"/>
        <w:rPr/>
      </w:pPr>
      <w:r>
        <w:rPr>
          <w:rFonts w:ascii="Arial" w:hAnsi="Arial"/>
          <w:sz w:val="20"/>
          <w:szCs w:val="20"/>
        </w:rPr>
        <w:t xml:space="preserve">The pathology of dementia </w:t>
      </w:r>
      <w:r>
        <w:rPr>
          <w:rFonts w:ascii="Arial" w:hAnsi="Arial"/>
          <w:i/>
          <w:iCs/>
          <w:sz w:val="20"/>
          <w:szCs w:val="20"/>
        </w:rPr>
        <w:t xml:space="preserve">in vivo </w:t>
      </w:r>
      <w:r>
        <w:rPr>
          <w:rFonts w:ascii="Arial" w:hAnsi="Arial"/>
          <w:i w:val="false"/>
          <w:iCs w:val="false"/>
          <w:sz w:val="20"/>
          <w:szCs w:val="20"/>
        </w:rPr>
        <w:t xml:space="preserve">promises to be revealed by the </w:t>
      </w:r>
      <w:r>
        <w:rPr>
          <w:rFonts w:eastAsia="Noto Serif CJK SC" w:cs="Lohit Devanagari" w:ascii="Arial" w:hAnsi="Arial"/>
          <w:color w:val="auto"/>
          <w:kern w:val="2"/>
          <w:sz w:val="20"/>
          <w:szCs w:val="20"/>
          <w:lang w:val="en-GB" w:eastAsia="zh-CN" w:bidi="hi-IN"/>
        </w:rPr>
        <w:t>fastest growing</w:t>
      </w:r>
      <w:r>
        <w:rPr>
          <w:rFonts w:ascii="Arial" w:hAnsi="Arial"/>
          <w:sz w:val="20"/>
          <w:szCs w:val="20"/>
        </w:rPr>
        <w:t xml:space="preserve"> player in dementia imaging: Positron Emission Tomography </w:t>
      </w:r>
      <w:r>
        <w:rPr>
          <w:rFonts w:eastAsia="Noto Serif CJK SC" w:cs="Lohit Devanagari" w:ascii="Arial" w:hAnsi="Arial"/>
          <w:color w:val="auto"/>
          <w:kern w:val="2"/>
          <w:sz w:val="20"/>
          <w:szCs w:val="20"/>
          <w:lang w:val="en-GB" w:eastAsia="zh-CN" w:bidi="hi-IN"/>
        </w:rPr>
        <w:t>(PET)</w:t>
      </w:r>
      <w:r>
        <w:rPr>
          <w:rFonts w:ascii="Arial" w:hAnsi="Arial"/>
          <w:sz w:val="20"/>
          <w:szCs w:val="20"/>
        </w:rPr>
        <w:t xml:space="preserve">. </w:t>
      </w:r>
      <w:r>
        <w:rPr>
          <w:rFonts w:ascii="Arial" w:hAnsi="Arial"/>
          <w:sz w:val="20"/>
          <w:szCs w:val="20"/>
        </w:rPr>
        <w:t>PET l</w:t>
      </w:r>
      <w:r>
        <w:rPr>
          <w:rFonts w:ascii="Arial" w:hAnsi="Arial"/>
          <w:sz w:val="20"/>
          <w:szCs w:val="20"/>
        </w:rPr>
        <w:t>igands for beta-amyloid are now well established</w:t>
      </w:r>
      <w:r>
        <w:rPr>
          <w:rFonts w:ascii="Arial" w:hAnsi="Arial"/>
          <w:sz w:val="20"/>
          <w:szCs w:val="20"/>
        </w:rPr>
        <w:t>[21]</w:t>
      </w:r>
      <w:r>
        <w:rPr>
          <w:rFonts w:ascii="Arial" w:hAnsi="Arial"/>
          <w:sz w:val="20"/>
          <w:szCs w:val="20"/>
        </w:rPr>
        <w:t xml:space="preserve">, though </w:t>
      </w:r>
      <w:r>
        <w:rPr>
          <w:rFonts w:eastAsia="Noto Serif CJK SC" w:cs="Lohit Devanagari" w:ascii="Arial" w:hAnsi="Arial"/>
          <w:color w:val="auto"/>
          <w:kern w:val="2"/>
          <w:sz w:val="20"/>
          <w:szCs w:val="20"/>
          <w:lang w:val="en-GB" w:eastAsia="zh-CN" w:bidi="hi-IN"/>
        </w:rPr>
        <w:t>their</w:t>
      </w:r>
      <w:r>
        <w:rPr>
          <w:rFonts w:ascii="Arial" w:hAnsi="Arial"/>
          <w:sz w:val="20"/>
          <w:szCs w:val="20"/>
        </w:rPr>
        <w:t xml:space="preserve"> use in elderly populations </w:t>
      </w:r>
      <w:r>
        <w:rPr>
          <w:rFonts w:ascii="Arial" w:hAnsi="Arial"/>
          <w:sz w:val="20"/>
          <w:szCs w:val="20"/>
        </w:rPr>
        <w:t xml:space="preserve">is limited given the high rates of false positives; in an Australian cohort of cognitively normal people the number of positive beta-amyloid scans </w:t>
      </w:r>
      <w:r>
        <w:rPr>
          <w:rFonts w:eastAsia="Noto Serif CJK SC" w:cs="Lohit Devanagari" w:ascii="Arial" w:hAnsi="Arial"/>
          <w:color w:val="auto"/>
          <w:kern w:val="2"/>
          <w:sz w:val="20"/>
          <w:szCs w:val="20"/>
          <w:lang w:val="en-GB" w:eastAsia="zh-CN" w:bidi="hi-IN"/>
        </w:rPr>
        <w:t>was</w:t>
      </w:r>
      <w:r>
        <w:rPr>
          <w:rFonts w:ascii="Arial" w:hAnsi="Arial"/>
          <w:sz w:val="20"/>
          <w:szCs w:val="20"/>
        </w:rPr>
        <w:t xml:space="preserve"> 18% at 60-69, rising to 65% over the age of 80</w:t>
      </w:r>
      <w:r>
        <w:rPr>
          <w:rFonts w:ascii="Arial" w:hAnsi="Arial"/>
          <w:sz w:val="20"/>
          <w:szCs w:val="20"/>
        </w:rPr>
        <w:t>[22]</w:t>
      </w:r>
      <w:r>
        <w:rPr>
          <w:rFonts w:ascii="Arial" w:hAnsi="Arial"/>
          <w:sz w:val="20"/>
          <w:szCs w:val="20"/>
        </w:rPr>
        <w:t xml:space="preserve">. To determine the clinical value of beta-amyloid PET, a real world study of 11,409 participants in the US aims to assess </w:t>
      </w:r>
      <w:r>
        <w:rPr>
          <w:rFonts w:eastAsia="Noto Serif CJK SC" w:cs="Lohit Devanagari" w:ascii="Arial" w:hAnsi="Arial"/>
          <w:color w:val="auto"/>
          <w:kern w:val="2"/>
          <w:sz w:val="20"/>
          <w:szCs w:val="20"/>
          <w:lang w:val="en-GB" w:eastAsia="zh-CN" w:bidi="hi-IN"/>
        </w:rPr>
        <w:t>its utility in memory clinics</w:t>
      </w:r>
      <w:r>
        <w:rPr>
          <w:rFonts w:ascii="Arial" w:hAnsi="Arial"/>
          <w:sz w:val="20"/>
          <w:szCs w:val="20"/>
        </w:rPr>
        <w:t xml:space="preserve"> (</w:t>
      </w:r>
      <w:hyperlink r:id="rId4">
        <w:r>
          <w:rPr>
            <w:rStyle w:val="InternetLink"/>
            <w:rFonts w:ascii="Arial" w:hAnsi="Arial"/>
            <w:sz w:val="20"/>
            <w:szCs w:val="20"/>
          </w:rPr>
          <w:t>https://www.ideas-study.org/</w:t>
        </w:r>
      </w:hyperlink>
      <w:r>
        <w:rPr>
          <w:rFonts w:ascii="Arial" w:hAnsi="Arial"/>
          <w:sz w:val="20"/>
          <w:szCs w:val="20"/>
        </w:rPr>
        <w:t xml:space="preserve">). The study is ongoing, but initial results demonstrate that an amyloid PET scan led to a change in patient management in 60.2% of people with MCI and 63.5% of people with dementia, </w:t>
      </w:r>
      <w:r>
        <w:rPr>
          <w:rFonts w:eastAsia="Noto Serif CJK SC" w:cs="Lohit Devanagari" w:ascii="Arial" w:hAnsi="Arial"/>
          <w:color w:val="auto"/>
          <w:kern w:val="2"/>
          <w:sz w:val="20"/>
          <w:szCs w:val="20"/>
          <w:lang w:val="en-GB" w:eastAsia="zh-CN" w:bidi="hi-IN"/>
        </w:rPr>
        <w:t>with approximately three quarters of the change being the commencement of a drug for Alzheimer’s disease</w:t>
      </w:r>
      <w:r>
        <w:rPr>
          <w:rFonts w:eastAsia="Noto Serif CJK SC" w:cs="Lohit Devanagari" w:ascii="Arial" w:hAnsi="Arial"/>
          <w:color w:val="auto"/>
          <w:kern w:val="2"/>
          <w:sz w:val="20"/>
          <w:szCs w:val="20"/>
          <w:lang w:val="en-GB" w:eastAsia="zh-CN" w:bidi="hi-IN"/>
        </w:rPr>
        <w:t>[23]</w:t>
      </w:r>
      <w:r>
        <w:rPr>
          <w:rFonts w:ascii="Arial" w:hAnsi="Arial"/>
          <w:sz w:val="20"/>
          <w:szCs w:val="20"/>
        </w:rPr>
        <w:t xml:space="preserve">. It is hard to know whether this is useful </w:t>
      </w:r>
      <w:r>
        <w:rPr>
          <w:rFonts w:eastAsia="Noto Serif CJK SC" w:cs="Lohit Devanagari;Calibri" w:ascii="Arial" w:hAnsi="Arial"/>
          <w:color w:val="auto"/>
          <w:kern w:val="2"/>
          <w:sz w:val="20"/>
          <w:szCs w:val="20"/>
          <w:lang w:val="en-GB" w:eastAsia="zh-CN" w:bidi="hi-IN"/>
        </w:rPr>
        <w:t>in</w:t>
      </w:r>
      <w:r>
        <w:rPr>
          <w:rFonts w:ascii="Arial" w:hAnsi="Arial"/>
          <w:sz w:val="20"/>
          <w:szCs w:val="20"/>
        </w:rPr>
        <w:t xml:space="preserve"> that a potential biomarker has had such a large impact, or rather that there are concerns given the high false positive rate could lead to over-diagnosis and unnecessary treatment. In this respect, the planned follow-up studies </w:t>
      </w:r>
      <w:r>
        <w:rPr>
          <w:rFonts w:eastAsia="Noto Serif CJK SC" w:cs="Lohit Devanagari" w:ascii="Arial" w:hAnsi="Arial"/>
          <w:color w:val="auto"/>
          <w:kern w:val="2"/>
          <w:sz w:val="20"/>
          <w:szCs w:val="20"/>
          <w:lang w:val="en-GB" w:eastAsia="zh-CN" w:bidi="hi-IN"/>
        </w:rPr>
        <w:t>t</w:t>
      </w:r>
      <w:r>
        <w:rPr>
          <w:rFonts w:eastAsia="Noto Serif CJK SC" w:cs="Lohit Devanagari" w:ascii="Arial" w:hAnsi="Arial"/>
          <w:color w:val="auto"/>
          <w:kern w:val="2"/>
          <w:sz w:val="20"/>
          <w:szCs w:val="20"/>
          <w:lang w:val="en-GB" w:eastAsia="zh-CN" w:bidi="hi-IN"/>
        </w:rPr>
        <w:t>o</w:t>
      </w:r>
      <w:r>
        <w:rPr>
          <w:rFonts w:ascii="Arial" w:hAnsi="Arial"/>
          <w:sz w:val="20"/>
          <w:szCs w:val="20"/>
        </w:rPr>
        <w:t xml:space="preserve"> assess whether there is a beneficial clinical outcome to this widespread use of amyloid PET and the associated change in clinical practice is much </w:t>
      </w:r>
      <w:r>
        <w:rPr>
          <w:rFonts w:eastAsia="Noto Serif CJK SC" w:cs="Lohit Devanagari" w:ascii="Arial" w:hAnsi="Arial"/>
          <w:color w:val="auto"/>
          <w:kern w:val="2"/>
          <w:sz w:val="20"/>
          <w:szCs w:val="20"/>
          <w:lang w:val="en-GB" w:eastAsia="zh-CN" w:bidi="hi-IN"/>
        </w:rPr>
        <w:t>anticipated</w:t>
      </w:r>
      <w:r>
        <w:rPr>
          <w:rFonts w:ascii="Arial" w:hAnsi="Arial"/>
          <w:sz w:val="20"/>
          <w:szCs w:val="20"/>
        </w:rPr>
        <w:t>.</w:t>
      </w:r>
    </w:p>
    <w:p>
      <w:pPr>
        <w:pStyle w:val="Normal"/>
        <w:bidi w:val="0"/>
        <w:jc w:val="left"/>
        <w:rPr>
          <w:rFonts w:ascii="Arial" w:hAnsi="Arial"/>
          <w:sz w:val="20"/>
          <w:szCs w:val="20"/>
        </w:rPr>
      </w:pPr>
      <w:r>
        <w:rPr>
          <w:rFonts w:ascii="Arial" w:hAnsi="Arial"/>
          <w:sz w:val="20"/>
          <w:szCs w:val="20"/>
        </w:rPr>
      </w:r>
    </w:p>
    <w:p>
      <w:pPr>
        <w:pStyle w:val="Normal"/>
        <w:rPr>
          <w:rFonts w:ascii="Arial" w:hAnsi="Arial"/>
          <w:sz w:val="20"/>
          <w:szCs w:val="20"/>
        </w:rPr>
      </w:pPr>
      <w:r>
        <w:rPr>
          <w:rFonts w:eastAsia="Noto Serif CJK SC" w:cs="Lohit Devanagari" w:ascii="Arial" w:hAnsi="Arial"/>
          <w:color w:val="auto"/>
          <w:kern w:val="2"/>
          <w:sz w:val="20"/>
          <w:szCs w:val="20"/>
          <w:lang w:val="en-GB" w:eastAsia="zh-CN" w:bidi="hi-IN"/>
        </w:rPr>
        <w:t xml:space="preserve">Ligands targeting </w:t>
      </w:r>
      <w:r>
        <w:rPr>
          <w:rFonts w:ascii="Arial" w:hAnsi="Arial"/>
          <w:sz w:val="20"/>
          <w:szCs w:val="20"/>
        </w:rPr>
        <w:t xml:space="preserve">proteins </w:t>
      </w:r>
      <w:r>
        <w:rPr>
          <w:rFonts w:ascii="Arial" w:hAnsi="Arial"/>
          <w:sz w:val="20"/>
          <w:szCs w:val="20"/>
        </w:rPr>
        <w:t xml:space="preserve">other than beta-amyloid </w:t>
      </w:r>
      <w:r>
        <w:rPr>
          <w:rFonts w:ascii="Arial" w:hAnsi="Arial"/>
          <w:sz w:val="20"/>
          <w:szCs w:val="20"/>
        </w:rPr>
        <w:t xml:space="preserve">have also </w:t>
      </w:r>
      <w:r>
        <w:rPr>
          <w:rFonts w:ascii="Arial" w:hAnsi="Arial"/>
          <w:sz w:val="20"/>
          <w:szCs w:val="20"/>
        </w:rPr>
        <w:t>been developed</w:t>
      </w:r>
      <w:r>
        <w:rPr>
          <w:rFonts w:ascii="Arial" w:hAnsi="Arial"/>
          <w:sz w:val="20"/>
          <w:szCs w:val="20"/>
        </w:rPr>
        <w:t xml:space="preserve">, with tau being the most advanced. </w:t>
      </w:r>
      <w:r>
        <w:rPr>
          <w:rFonts w:ascii="Arial" w:hAnsi="Arial"/>
          <w:sz w:val="20"/>
          <w:szCs w:val="20"/>
        </w:rPr>
        <w:t>First generation ligands such as AV-1451</w:t>
      </w:r>
      <w:r>
        <w:rPr>
          <w:rFonts w:ascii="Arial" w:hAnsi="Arial"/>
          <w:sz w:val="20"/>
          <w:szCs w:val="20"/>
        </w:rPr>
        <w:t>[24]</w:t>
      </w:r>
      <w:r>
        <w:rPr>
          <w:rFonts w:ascii="Arial" w:hAnsi="Arial"/>
          <w:sz w:val="20"/>
          <w:szCs w:val="20"/>
        </w:rPr>
        <w:t xml:space="preserve"> are particularly useful in Alzheimer’s disease which is associated with abnormally hyperphosphorylated and misfolded tau that contains both 3 and 4 repeats of exon 10 of the MAPT gene, so-called 3R/4R tau.</w:t>
      </w:r>
      <w:r>
        <w:rPr>
          <w:rFonts w:ascii="Arial" w:hAnsi="Arial"/>
          <w:sz w:val="20"/>
          <w:szCs w:val="20"/>
        </w:rPr>
        <w:t xml:space="preserve"> </w:t>
      </w:r>
      <w:r>
        <w:rPr>
          <w:rFonts w:ascii="Arial" w:hAnsi="Arial"/>
          <w:sz w:val="20"/>
          <w:szCs w:val="20"/>
        </w:rPr>
        <w:t xml:space="preserve">Other tauopathies such as Progressive Supranuclear Palsy (4R tau), Corticobasal Degeneration (4R tau), Frontotemporal Dementia (3R tau) and Chronic Traumatic Encephalopathy (3R/4R tau) </w:t>
      </w:r>
      <w:r>
        <w:rPr>
          <w:rFonts w:eastAsia="Noto Serif CJK SC" w:cs="Lohit Devanagari" w:ascii="Arial" w:hAnsi="Arial"/>
          <w:color w:val="auto"/>
          <w:kern w:val="2"/>
          <w:sz w:val="20"/>
          <w:szCs w:val="20"/>
          <w:lang w:val="en-GB" w:eastAsia="zh-CN" w:bidi="hi-IN"/>
        </w:rPr>
        <w:t>are characterised by</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d</w:t>
      </w:r>
      <w:r>
        <w:rPr>
          <w:rFonts w:eastAsia="Noto Serif CJK SC" w:cs="Lohit Devanagari" w:ascii="Arial" w:hAnsi="Arial"/>
          <w:color w:val="auto"/>
          <w:kern w:val="2"/>
          <w:sz w:val="20"/>
          <w:szCs w:val="20"/>
          <w:lang w:val="en-GB" w:eastAsia="zh-CN" w:bidi="hi-IN"/>
        </w:rPr>
        <w:t>ifferent and distinct</w:t>
      </w:r>
      <w:r>
        <w:rPr>
          <w:rFonts w:ascii="Arial" w:hAnsi="Arial"/>
          <w:sz w:val="20"/>
          <w:szCs w:val="20"/>
        </w:rPr>
        <w:t xml:space="preserve"> types and conformations of abnormally folded tau</w:t>
      </w:r>
      <w:r>
        <w:rPr>
          <w:rFonts w:ascii="Arial" w:hAnsi="Arial"/>
          <w:sz w:val="20"/>
          <w:szCs w:val="20"/>
        </w:rPr>
        <w:t>[25, 26]</w:t>
      </w:r>
      <w:r>
        <w:rPr>
          <w:rFonts w:ascii="Arial" w:hAnsi="Arial"/>
          <w:sz w:val="20"/>
          <w:szCs w:val="20"/>
        </w:rPr>
        <w:t xml:space="preserve">. The tau PET ligands </w:t>
      </w:r>
      <w:r>
        <w:rPr>
          <w:rFonts w:eastAsia="Noto Serif CJK SC" w:cs="Lohit Devanagari" w:ascii="Arial" w:hAnsi="Arial"/>
          <w:color w:val="auto"/>
          <w:kern w:val="2"/>
          <w:sz w:val="20"/>
          <w:szCs w:val="20"/>
          <w:lang w:val="en-GB" w:eastAsia="zh-CN" w:bidi="hi-IN"/>
        </w:rPr>
        <w:t>bind</w:t>
      </w:r>
      <w:r>
        <w:rPr>
          <w:rFonts w:ascii="Arial" w:hAnsi="Arial"/>
          <w:sz w:val="20"/>
          <w:szCs w:val="20"/>
        </w:rPr>
        <w:t xml:space="preserve"> less avidly </w:t>
      </w:r>
      <w:r>
        <w:rPr>
          <w:rFonts w:eastAsia="Noto Serif CJK SC" w:cs="Lohit Devanagari" w:ascii="Arial" w:hAnsi="Arial"/>
          <w:color w:val="auto"/>
          <w:kern w:val="2"/>
          <w:sz w:val="20"/>
          <w:szCs w:val="20"/>
          <w:lang w:val="en-GB" w:eastAsia="zh-CN" w:bidi="hi-IN"/>
        </w:rPr>
        <w:t>to</w:t>
      </w:r>
      <w:r>
        <w:rPr>
          <w:rFonts w:ascii="Arial" w:hAnsi="Arial"/>
          <w:sz w:val="20"/>
          <w:szCs w:val="20"/>
        </w:rPr>
        <w:t xml:space="preserve"> these alternative isoforms forms of tau</w:t>
      </w:r>
      <w:r>
        <w:rPr>
          <w:rFonts w:ascii="Arial" w:hAnsi="Arial"/>
          <w:sz w:val="20"/>
          <w:szCs w:val="20"/>
        </w:rPr>
        <w:t>[27]</w:t>
      </w:r>
      <w:r>
        <w:rPr>
          <w:rFonts w:ascii="Arial" w:hAnsi="Arial"/>
          <w:sz w:val="20"/>
          <w:szCs w:val="20"/>
        </w:rPr>
        <w:t xml:space="preserve">. Furthermore, there are issues of off-target binding, </w:t>
      </w:r>
      <w:r>
        <w:rPr>
          <w:rFonts w:eastAsia="Noto Serif CJK SC" w:cs="Lohit Devanagari" w:ascii="Arial" w:hAnsi="Arial"/>
          <w:color w:val="auto"/>
          <w:kern w:val="2"/>
          <w:sz w:val="20"/>
          <w:szCs w:val="20"/>
          <w:lang w:val="en-GB" w:eastAsia="zh-CN" w:bidi="hi-IN"/>
        </w:rPr>
        <w:t>f</w:t>
      </w:r>
      <w:r>
        <w:rPr>
          <w:rFonts w:eastAsia="Noto Serif CJK SC" w:cs="Lohit Devanagari" w:ascii="Arial" w:hAnsi="Arial"/>
          <w:color w:val="auto"/>
          <w:kern w:val="2"/>
          <w:sz w:val="20"/>
          <w:szCs w:val="20"/>
          <w:lang w:val="en-GB" w:eastAsia="zh-CN" w:bidi="hi-IN"/>
        </w:rPr>
        <w:t>or example AV-1451 binds to the</w:t>
      </w:r>
      <w:r>
        <w:rPr>
          <w:rFonts w:ascii="Arial" w:hAnsi="Arial"/>
          <w:sz w:val="20"/>
          <w:szCs w:val="20"/>
        </w:rPr>
        <w:t xml:space="preserve"> TDP-43 protein </w:t>
      </w:r>
      <w:r>
        <w:rPr>
          <w:rFonts w:eastAsia="Noto Serif CJK SC" w:cs="Lohit Devanagari" w:ascii="Arial" w:hAnsi="Arial"/>
          <w:color w:val="auto"/>
          <w:kern w:val="2"/>
          <w:sz w:val="20"/>
          <w:szCs w:val="20"/>
          <w:lang w:val="en-GB" w:eastAsia="zh-CN" w:bidi="hi-IN"/>
        </w:rPr>
        <w:t>found in</w:t>
      </w:r>
      <w:r>
        <w:rPr>
          <w:rFonts w:ascii="Arial" w:hAnsi="Arial"/>
          <w:sz w:val="20"/>
          <w:szCs w:val="20"/>
        </w:rPr>
        <w:t xml:space="preserve"> Semantic Dementia, motor neurone disease and a proportion of people with frontotemporal dementia</w:t>
      </w:r>
      <w:r>
        <w:rPr>
          <w:rFonts w:ascii="Arial" w:hAnsi="Arial"/>
          <w:sz w:val="20"/>
          <w:szCs w:val="20"/>
        </w:rPr>
        <w:t>[28, 29]</w:t>
      </w:r>
      <w:r>
        <w:rPr>
          <w:rFonts w:ascii="Arial" w:hAnsi="Arial"/>
          <w:sz w:val="20"/>
          <w:szCs w:val="20"/>
        </w:rPr>
        <w:t>, and with monoamine oxidase in the basal ganglia</w:t>
      </w:r>
      <w:r>
        <w:rPr>
          <w:rFonts w:ascii="Arial" w:hAnsi="Arial"/>
          <w:sz w:val="20"/>
          <w:szCs w:val="20"/>
        </w:rPr>
        <w:t>[30, 31]</w:t>
      </w:r>
      <w:r>
        <w:rPr>
          <w:rFonts w:ascii="Arial" w:hAnsi="Arial"/>
          <w:sz w:val="20"/>
          <w:szCs w:val="20"/>
        </w:rPr>
        <w:t xml:space="preserve">. Second generation tau ligands are emerging </w:t>
      </w:r>
      <w:r>
        <w:rPr>
          <w:rFonts w:eastAsia="Noto Serif CJK SC" w:cs="Lohit Devanagari" w:ascii="Arial" w:hAnsi="Arial"/>
          <w:color w:val="auto"/>
          <w:kern w:val="2"/>
          <w:sz w:val="20"/>
          <w:szCs w:val="20"/>
          <w:lang w:val="en-GB" w:eastAsia="zh-CN" w:bidi="hi-IN"/>
        </w:rPr>
        <w:t>w</w:t>
      </w:r>
      <w:r>
        <w:rPr>
          <w:rFonts w:eastAsia="Noto Serif CJK SC" w:cs="Lohit Devanagari" w:ascii="Arial" w:hAnsi="Arial"/>
          <w:color w:val="auto"/>
          <w:kern w:val="2"/>
          <w:sz w:val="20"/>
          <w:szCs w:val="20"/>
          <w:lang w:val="en-GB" w:eastAsia="zh-CN" w:bidi="hi-IN"/>
        </w:rPr>
        <w:t>ith</w:t>
      </w:r>
      <w:r>
        <w:rPr>
          <w:rFonts w:ascii="Arial" w:hAnsi="Arial"/>
          <w:sz w:val="20"/>
          <w:szCs w:val="20"/>
        </w:rPr>
        <w:t xml:space="preserve"> less off-target binding, but none have yet demonstrated good affinity for non-Alzheimer tauopathies</w:t>
      </w:r>
      <w:r>
        <w:rPr>
          <w:rFonts w:ascii="Arial" w:hAnsi="Arial"/>
          <w:sz w:val="20"/>
          <w:szCs w:val="20"/>
        </w:rPr>
        <w:t>[32]</w:t>
      </w:r>
      <w:r>
        <w:rPr>
          <w:rFonts w:ascii="Arial" w:hAnsi="Arial"/>
          <w:sz w:val="20"/>
          <w:szCs w:val="20"/>
        </w:rPr>
        <w:t xml:space="preserve">. Despite </w:t>
      </w:r>
      <w:r>
        <w:rPr>
          <w:rFonts w:eastAsia="Noto Serif CJK SC" w:cs="Lohit Devanagari" w:ascii="Arial" w:hAnsi="Arial"/>
          <w:color w:val="auto"/>
          <w:kern w:val="2"/>
          <w:sz w:val="20"/>
          <w:szCs w:val="20"/>
          <w:lang w:val="en-GB" w:eastAsia="zh-CN" w:bidi="hi-IN"/>
        </w:rPr>
        <w:t>t</w:t>
      </w:r>
      <w:r>
        <w:rPr>
          <w:rFonts w:eastAsia="Noto Serif CJK SC" w:cs="Lohit Devanagari" w:ascii="Arial" w:hAnsi="Arial"/>
          <w:color w:val="auto"/>
          <w:kern w:val="2"/>
          <w:sz w:val="20"/>
          <w:szCs w:val="20"/>
          <w:lang w:val="en-GB" w:eastAsia="zh-CN" w:bidi="hi-IN"/>
        </w:rPr>
        <w:t>heir</w:t>
      </w:r>
      <w:r>
        <w:rPr>
          <w:rFonts w:ascii="Arial" w:hAnsi="Arial"/>
          <w:sz w:val="20"/>
          <w:szCs w:val="20"/>
        </w:rPr>
        <w:t xml:space="preserve"> limitations, the first-generation tau ligands </w:t>
      </w:r>
      <w:r>
        <w:rPr>
          <w:rFonts w:eastAsia="Noto Serif CJK SC" w:cs="Lohit Devanagari" w:ascii="Arial" w:hAnsi="Arial"/>
          <w:color w:val="auto"/>
          <w:kern w:val="2"/>
          <w:sz w:val="20"/>
          <w:szCs w:val="20"/>
          <w:lang w:val="en-GB" w:eastAsia="zh-CN" w:bidi="hi-IN"/>
        </w:rPr>
        <w:t>d</w:t>
      </w:r>
      <w:r>
        <w:rPr>
          <w:rFonts w:eastAsia="Noto Serif CJK SC" w:cs="Lohit Devanagari" w:ascii="Arial" w:hAnsi="Arial"/>
          <w:color w:val="auto"/>
          <w:kern w:val="2"/>
          <w:sz w:val="20"/>
          <w:szCs w:val="20"/>
          <w:lang w:val="en-GB" w:eastAsia="zh-CN" w:bidi="hi-IN"/>
        </w:rPr>
        <w:t xml:space="preserve">o show changes in expected brain regions in tauopathies including </w:t>
      </w:r>
      <w:r>
        <w:rPr>
          <w:rFonts w:ascii="Arial" w:hAnsi="Arial"/>
          <w:sz w:val="20"/>
          <w:szCs w:val="20"/>
        </w:rPr>
        <w:t>Progressive Supranuclear Palsy</w:t>
      </w:r>
      <w:r>
        <w:rPr>
          <w:rFonts w:ascii="Arial" w:hAnsi="Arial"/>
          <w:sz w:val="20"/>
          <w:szCs w:val="20"/>
        </w:rPr>
        <w:t>[33]</w:t>
      </w:r>
      <w:r>
        <w:rPr>
          <w:rFonts w:ascii="Arial" w:hAnsi="Arial"/>
          <w:sz w:val="20"/>
          <w:szCs w:val="20"/>
        </w:rPr>
        <w:t xml:space="preserve"> and apraxia of speech (a subtype of non-fluent variant Primary Progressive Aphasia)</w:t>
      </w:r>
      <w:r>
        <w:rPr>
          <w:rFonts w:ascii="Arial" w:hAnsi="Arial"/>
          <w:sz w:val="20"/>
          <w:szCs w:val="20"/>
        </w:rPr>
        <w:t>[34]</w:t>
      </w:r>
      <w:r>
        <w:rPr>
          <w:rFonts w:ascii="Arial" w:hAnsi="Arial"/>
          <w:sz w:val="20"/>
          <w:szCs w:val="20"/>
        </w:rPr>
        <w:t xml:space="preserve">. Therefore, at the present time, </w:t>
      </w:r>
      <w:r>
        <w:rPr>
          <w:rFonts w:eastAsia="Noto Serif CJK SC" w:cs="Lohit Devanagari" w:ascii="Arial" w:hAnsi="Arial"/>
          <w:color w:val="auto"/>
          <w:kern w:val="2"/>
          <w:sz w:val="20"/>
          <w:szCs w:val="20"/>
          <w:lang w:val="en-GB" w:eastAsia="zh-CN" w:bidi="hi-IN"/>
        </w:rPr>
        <w:t>t</w:t>
      </w:r>
      <w:r>
        <w:rPr>
          <w:rFonts w:eastAsia="Noto Serif CJK SC" w:cs="Lohit Devanagari" w:ascii="Arial" w:hAnsi="Arial"/>
          <w:color w:val="auto"/>
          <w:kern w:val="2"/>
          <w:sz w:val="20"/>
          <w:szCs w:val="20"/>
          <w:lang w:val="en-GB" w:eastAsia="zh-CN" w:bidi="hi-IN"/>
        </w:rPr>
        <w:t>au PET is most relevant for Alzheimer’s disease as a potential diagnostic biomarker b</w:t>
      </w:r>
      <w:r>
        <w:rPr>
          <w:rFonts w:eastAsia="Noto Serif CJK SC" w:cs="Lohit Devanagari" w:ascii="Arial" w:hAnsi="Arial"/>
          <w:color w:val="auto"/>
          <w:kern w:val="2"/>
          <w:sz w:val="20"/>
          <w:szCs w:val="20"/>
          <w:lang w:val="en-GB" w:eastAsia="zh-CN" w:bidi="hi-IN"/>
        </w:rPr>
        <w:t>ut</w:t>
      </w:r>
      <w:r>
        <w:rPr>
          <w:rFonts w:eastAsia="Noto Serif CJK SC" w:cs="Lohit Devanagari" w:ascii="Arial" w:hAnsi="Arial"/>
          <w:color w:val="auto"/>
          <w:kern w:val="2"/>
          <w:sz w:val="20"/>
          <w:szCs w:val="20"/>
          <w:lang w:val="en-GB" w:eastAsia="zh-CN" w:bidi="hi-IN"/>
        </w:rPr>
        <w:t xml:space="preserve"> may be useful </w:t>
      </w:r>
      <w:r>
        <w:rPr>
          <w:rFonts w:eastAsia="Noto Serif CJK SC" w:cs="Lohit Devanagari" w:ascii="Arial" w:hAnsi="Arial"/>
          <w:color w:val="auto"/>
          <w:kern w:val="2"/>
          <w:sz w:val="20"/>
          <w:szCs w:val="20"/>
          <w:lang w:val="en-GB" w:eastAsia="zh-CN" w:bidi="hi-IN"/>
        </w:rPr>
        <w:t xml:space="preserve">for tracking </w:t>
      </w:r>
      <w:r>
        <w:rPr>
          <w:rFonts w:eastAsia="Noto Serif CJK SC" w:cs="Lohit Devanagari" w:ascii="Arial" w:hAnsi="Arial"/>
          <w:color w:val="auto"/>
          <w:kern w:val="2"/>
          <w:sz w:val="20"/>
          <w:szCs w:val="20"/>
          <w:lang w:val="en-GB" w:eastAsia="zh-CN" w:bidi="hi-IN"/>
        </w:rPr>
        <w:t xml:space="preserve">changes in </w:t>
      </w:r>
      <w:r>
        <w:rPr>
          <w:rFonts w:eastAsia="Noto Serif CJK SC" w:cs="Lohit Devanagari" w:ascii="Arial" w:hAnsi="Arial"/>
          <w:color w:val="auto"/>
          <w:kern w:val="2"/>
          <w:sz w:val="20"/>
          <w:szCs w:val="20"/>
          <w:lang w:val="en-GB" w:eastAsia="zh-CN" w:bidi="hi-IN"/>
        </w:rPr>
        <w:t>pathology f</w:t>
      </w:r>
      <w:r>
        <w:rPr>
          <w:rFonts w:eastAsia="Noto Serif CJK SC" w:cs="Lohit Devanagari" w:ascii="Arial" w:hAnsi="Arial"/>
          <w:color w:val="auto"/>
          <w:kern w:val="2"/>
          <w:sz w:val="20"/>
          <w:szCs w:val="20"/>
          <w:lang w:val="en-GB" w:eastAsia="zh-CN" w:bidi="hi-IN"/>
        </w:rPr>
        <w:t>or</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 xml:space="preserve">both </w:t>
      </w:r>
      <w:r>
        <w:rPr>
          <w:rFonts w:eastAsia="Noto Serif CJK SC" w:cs="Lohit Devanagari" w:ascii="Arial" w:hAnsi="Arial"/>
          <w:color w:val="auto"/>
          <w:kern w:val="2"/>
          <w:sz w:val="20"/>
          <w:szCs w:val="20"/>
          <w:lang w:val="en-GB" w:eastAsia="zh-CN" w:bidi="hi-IN"/>
        </w:rPr>
        <w:t>Alzheimer’s disease and other tauopathies.</w:t>
      </w:r>
    </w:p>
    <w:p>
      <w:pPr>
        <w:pStyle w:val="Normal"/>
        <w:bidi w:val="0"/>
        <w:jc w:val="left"/>
        <w:rPr>
          <w:rFonts w:ascii="Arial" w:hAnsi="Arial"/>
          <w:sz w:val="20"/>
          <w:szCs w:val="20"/>
        </w:rPr>
      </w:pPr>
      <w:r>
        <w:rPr>
          <w:rFonts w:ascii="Arial" w:hAnsi="Arial"/>
          <w:sz w:val="20"/>
          <w:szCs w:val="20"/>
        </w:rPr>
      </w:r>
    </w:p>
    <w:p>
      <w:pPr>
        <w:pStyle w:val="Normal"/>
        <w:rPr/>
      </w:pPr>
      <w:r>
        <w:rPr>
          <w:rFonts w:ascii="Arial" w:hAnsi="Arial"/>
          <w:sz w:val="20"/>
          <w:szCs w:val="20"/>
        </w:rPr>
        <w:t xml:space="preserve">Other </w:t>
      </w:r>
      <w:r>
        <w:rPr>
          <w:rFonts w:ascii="Arial" w:hAnsi="Arial"/>
          <w:sz w:val="20"/>
          <w:szCs w:val="20"/>
        </w:rPr>
        <w:t>PET</w:t>
      </w:r>
      <w:r>
        <w:rPr>
          <w:rFonts w:ascii="Arial" w:hAnsi="Arial"/>
          <w:sz w:val="20"/>
          <w:szCs w:val="20"/>
        </w:rPr>
        <w:t xml:space="preserve"> ligands </w:t>
      </w:r>
      <w:r>
        <w:rPr>
          <w:rFonts w:eastAsia="Noto Serif CJK SC" w:cs="Lohit Devanagari" w:ascii="Arial" w:hAnsi="Arial"/>
          <w:color w:val="auto"/>
          <w:kern w:val="2"/>
          <w:sz w:val="20"/>
          <w:szCs w:val="20"/>
          <w:lang w:val="en-GB" w:eastAsia="zh-CN" w:bidi="hi-IN"/>
        </w:rPr>
        <w:t>target</w:t>
      </w:r>
      <w:r>
        <w:rPr>
          <w:rFonts w:ascii="Arial" w:hAnsi="Arial"/>
          <w:sz w:val="20"/>
          <w:szCs w:val="20"/>
        </w:rPr>
        <w:t xml:space="preserve"> potential</w:t>
      </w:r>
      <w:r>
        <w:rPr>
          <w:rFonts w:ascii="Arial" w:hAnsi="Arial"/>
          <w:sz w:val="20"/>
          <w:szCs w:val="20"/>
        </w:rPr>
        <w:t>ly</w:t>
      </w:r>
      <w:r>
        <w:rPr>
          <w:rFonts w:ascii="Arial" w:hAnsi="Arial"/>
          <w:sz w:val="20"/>
          <w:szCs w:val="20"/>
        </w:rPr>
        <w:t xml:space="preserve"> important disease mechanisms. Inflammation is a very active research topic in dementia at the present time, in particular the role of microglia and their function in driving the disease state</w:t>
      </w:r>
      <w:r>
        <w:rPr>
          <w:rFonts w:ascii="Arial" w:hAnsi="Arial"/>
          <w:sz w:val="20"/>
          <w:szCs w:val="20"/>
        </w:rPr>
        <w:t>[35]</w:t>
      </w:r>
      <w:r>
        <w:rPr>
          <w:rFonts w:ascii="Arial" w:hAnsi="Arial"/>
          <w:sz w:val="20"/>
          <w:szCs w:val="20"/>
        </w:rPr>
        <w:t xml:space="preserve">. Activated microglia express the protein TSPO that has been </w:t>
      </w:r>
      <w:r>
        <w:rPr>
          <w:rFonts w:eastAsia="Noto Serif CJK SC" w:cs="Lohit Devanagari" w:ascii="Arial" w:hAnsi="Arial"/>
          <w:color w:val="auto"/>
          <w:kern w:val="2"/>
          <w:sz w:val="20"/>
          <w:szCs w:val="20"/>
          <w:lang w:val="en-GB" w:eastAsia="zh-CN" w:bidi="hi-IN"/>
        </w:rPr>
        <w:t>a</w:t>
      </w:r>
      <w:r>
        <w:rPr>
          <w:rFonts w:ascii="Arial" w:hAnsi="Arial"/>
          <w:sz w:val="20"/>
          <w:szCs w:val="20"/>
        </w:rPr>
        <w:t xml:space="preserve"> target for PET ligands</w:t>
      </w:r>
      <w:r>
        <w:rPr>
          <w:rFonts w:ascii="Arial" w:hAnsi="Arial"/>
          <w:sz w:val="20"/>
          <w:szCs w:val="20"/>
        </w:rPr>
        <w:t>[36]</w:t>
      </w:r>
      <w:r>
        <w:rPr>
          <w:rFonts w:ascii="Arial" w:hAnsi="Arial"/>
          <w:sz w:val="20"/>
          <w:szCs w:val="20"/>
        </w:rPr>
        <w:t xml:space="preserve">. </w:t>
      </w:r>
      <w:r>
        <w:rPr>
          <w:rFonts w:ascii="Arial" w:hAnsi="Arial"/>
          <w:sz w:val="20"/>
          <w:szCs w:val="20"/>
        </w:rPr>
        <w:t>Applying t</w:t>
      </w:r>
      <w:r>
        <w:rPr>
          <w:rFonts w:ascii="Arial" w:hAnsi="Arial"/>
          <w:sz w:val="20"/>
          <w:szCs w:val="20"/>
        </w:rPr>
        <w:t xml:space="preserve">he first generation of these ligands has suggested an early role for inflammation in a number of neurodegenerative diseases, </w:t>
      </w:r>
      <w:r>
        <w:rPr>
          <w:rFonts w:ascii="Arial" w:hAnsi="Arial"/>
          <w:sz w:val="20"/>
          <w:szCs w:val="20"/>
        </w:rPr>
        <w:t>including Dementia with Lewy Bodies</w:t>
      </w:r>
      <w:r>
        <w:rPr>
          <w:rFonts w:ascii="Arial" w:hAnsi="Arial"/>
          <w:sz w:val="20"/>
          <w:szCs w:val="20"/>
        </w:rPr>
        <w:t>[37]</w:t>
      </w:r>
      <w:r>
        <w:rPr>
          <w:rFonts w:ascii="Arial" w:hAnsi="Arial"/>
          <w:sz w:val="20"/>
          <w:szCs w:val="20"/>
        </w:rPr>
        <w:t>, Alzheimer’s disease</w:t>
      </w:r>
      <w:r>
        <w:rPr>
          <w:rFonts w:ascii="Arial" w:hAnsi="Arial"/>
          <w:sz w:val="20"/>
          <w:szCs w:val="20"/>
        </w:rPr>
        <w:t>[38, 39]</w:t>
      </w:r>
      <w:r>
        <w:rPr>
          <w:rFonts w:ascii="Arial" w:hAnsi="Arial"/>
          <w:sz w:val="20"/>
          <w:szCs w:val="20"/>
        </w:rPr>
        <w:t xml:space="preserve">, </w:t>
      </w:r>
      <w:r>
        <w:rPr>
          <w:rFonts w:ascii="Arial" w:hAnsi="Arial"/>
          <w:sz w:val="20"/>
          <w:szCs w:val="20"/>
        </w:rPr>
        <w:t>Corticobasal Syndrome</w:t>
      </w:r>
      <w:r>
        <w:rPr>
          <w:rFonts w:ascii="Arial" w:hAnsi="Arial"/>
          <w:sz w:val="20"/>
          <w:szCs w:val="20"/>
        </w:rPr>
        <w:t>[40]</w:t>
      </w:r>
      <w:r>
        <w:rPr>
          <w:rFonts w:ascii="Arial" w:hAnsi="Arial"/>
          <w:sz w:val="20"/>
          <w:szCs w:val="20"/>
        </w:rPr>
        <w:t>, Progressive Supranuclear Palsy</w:t>
      </w:r>
      <w:r>
        <w:rPr>
          <w:rFonts w:ascii="Arial" w:hAnsi="Arial"/>
          <w:sz w:val="20"/>
          <w:szCs w:val="20"/>
        </w:rPr>
        <w:t>[41]</w:t>
      </w:r>
      <w:r>
        <w:rPr>
          <w:rFonts w:ascii="Arial" w:hAnsi="Arial"/>
          <w:sz w:val="20"/>
          <w:szCs w:val="20"/>
        </w:rPr>
        <w:t xml:space="preserve"> and Frontotemporal Dementia</w:t>
      </w:r>
      <w:r>
        <w:rPr>
          <w:rFonts w:ascii="Arial" w:hAnsi="Arial"/>
          <w:sz w:val="20"/>
          <w:szCs w:val="20"/>
        </w:rPr>
        <w:t>[42]</w:t>
      </w:r>
      <w:r>
        <w:rPr>
          <w:rFonts w:ascii="Arial" w:hAnsi="Arial"/>
          <w:sz w:val="20"/>
          <w:szCs w:val="20"/>
        </w:rPr>
        <w:t xml:space="preserve">. The second generation ligands are more specific, but limited by the fact that </w:t>
      </w:r>
      <w:r>
        <w:rPr>
          <w:rFonts w:eastAsia="Noto Serif CJK SC" w:cs="Lohit Devanagari" w:ascii="Arial" w:hAnsi="Arial"/>
          <w:color w:val="auto"/>
          <w:kern w:val="2"/>
          <w:sz w:val="20"/>
          <w:szCs w:val="20"/>
          <w:lang w:val="en-GB" w:eastAsia="zh-CN" w:bidi="hi-IN"/>
        </w:rPr>
        <w:t>approximately 30%</w:t>
      </w:r>
      <w:r>
        <w:rPr>
          <w:rFonts w:ascii="Arial" w:hAnsi="Arial"/>
          <w:sz w:val="20"/>
          <w:szCs w:val="20"/>
        </w:rPr>
        <w:t xml:space="preserve"> of the population has a genetic </w:t>
      </w:r>
      <w:r>
        <w:rPr>
          <w:rFonts w:eastAsia="Noto Serif CJK SC" w:cs="Lohit Devanagari" w:ascii="Arial" w:hAnsi="Arial"/>
          <w:color w:val="auto"/>
          <w:kern w:val="2"/>
          <w:sz w:val="20"/>
          <w:szCs w:val="20"/>
          <w:lang w:val="en-GB" w:eastAsia="zh-CN" w:bidi="hi-IN"/>
        </w:rPr>
        <w:t>variation</w:t>
      </w:r>
      <w:r>
        <w:rPr>
          <w:rFonts w:ascii="Arial" w:hAnsi="Arial"/>
          <w:sz w:val="20"/>
          <w:szCs w:val="20"/>
        </w:rPr>
        <w:t xml:space="preserve"> meaning the ligand will not bind to TSPO</w:t>
      </w:r>
      <w:r>
        <w:rPr>
          <w:rFonts w:ascii="Arial" w:hAnsi="Arial"/>
          <w:sz w:val="20"/>
          <w:szCs w:val="20"/>
        </w:rPr>
        <w:t>[43]</w:t>
      </w:r>
      <w:r>
        <w:rPr>
          <w:rFonts w:ascii="Arial" w:hAnsi="Arial"/>
          <w:sz w:val="20"/>
          <w:szCs w:val="20"/>
        </w:rPr>
        <w:t xml:space="preserve">. </w:t>
      </w:r>
    </w:p>
    <w:p>
      <w:pPr>
        <w:pStyle w:val="Normal"/>
        <w:rPr>
          <w:rFonts w:ascii="Arial" w:hAnsi="Arial"/>
          <w:sz w:val="20"/>
          <w:szCs w:val="20"/>
        </w:rPr>
      </w:pPr>
      <w:r>
        <w:rPr>
          <w:rFonts w:ascii="Arial" w:hAnsi="Arial"/>
          <w:sz w:val="20"/>
          <w:szCs w:val="20"/>
        </w:rPr>
      </w:r>
    </w:p>
    <w:p>
      <w:pPr>
        <w:pStyle w:val="Normal"/>
        <w:bidi w:val="0"/>
        <w:rPr/>
      </w:pPr>
      <w:r>
        <w:rPr>
          <w:rFonts w:ascii="Arial" w:hAnsi="Arial"/>
          <w:sz w:val="20"/>
          <w:szCs w:val="20"/>
        </w:rPr>
        <w:t>Other ligands have emerged as possibly being useful in dementia states, for example UCB-J to measure synaptic density</w:t>
      </w:r>
      <w:r>
        <w:rPr>
          <w:rFonts w:ascii="Arial" w:hAnsi="Arial"/>
          <w:sz w:val="20"/>
          <w:szCs w:val="20"/>
        </w:rPr>
        <w:t>[44]</w:t>
      </w:r>
      <w:r>
        <w:rPr>
          <w:rFonts w:ascii="Arial" w:hAnsi="Arial"/>
          <w:sz w:val="20"/>
          <w:szCs w:val="20"/>
        </w:rPr>
        <w:t>. The UCB-J ligand has been looked at in Alzheimer’s disease</w:t>
      </w:r>
      <w:r>
        <w:rPr>
          <w:rFonts w:ascii="Arial" w:hAnsi="Arial"/>
          <w:sz w:val="20"/>
          <w:szCs w:val="20"/>
        </w:rPr>
        <w:t>[45]</w:t>
      </w:r>
      <w:r>
        <w:rPr>
          <w:rFonts w:ascii="Arial" w:hAnsi="Arial"/>
          <w:sz w:val="20"/>
          <w:szCs w:val="20"/>
        </w:rPr>
        <w:t xml:space="preserve"> and revealed reduced synaptic density in the hippocampus that was correlated with episodic memory, although this study only used a group of 10 people.</w:t>
      </w:r>
    </w:p>
    <w:p>
      <w:pPr>
        <w:pStyle w:val="Normal"/>
        <w:rPr>
          <w:rFonts w:ascii="Arial" w:hAnsi="Arial"/>
          <w:sz w:val="20"/>
          <w:szCs w:val="20"/>
        </w:rPr>
      </w:pPr>
      <w:r>
        <w:rPr>
          <w:rFonts w:ascii="Arial" w:hAnsi="Arial"/>
          <w:sz w:val="20"/>
          <w:szCs w:val="20"/>
        </w:rPr>
      </w:r>
    </w:p>
    <w:p>
      <w:pPr>
        <w:pStyle w:val="Normal"/>
        <w:bidi w:val="0"/>
        <w:rPr/>
      </w:pPr>
      <w:r>
        <w:rPr>
          <w:rFonts w:ascii="Arial" w:hAnsi="Arial"/>
          <w:sz w:val="20"/>
          <w:szCs w:val="20"/>
        </w:rPr>
        <w:t>Perhaps surprisingly in this field, there has not yet been a successful ligand to target alpha-synuclein as found in Parkinson’s Disease, Dementia with Lewy Bodies and Multiple System Atrophy, although efforts are ongoing</w:t>
      </w:r>
      <w:r>
        <w:rPr>
          <w:rFonts w:ascii="Arial" w:hAnsi="Arial"/>
          <w:sz w:val="20"/>
          <w:szCs w:val="20"/>
        </w:rPr>
        <w:t>[46, 47]</w:t>
      </w:r>
      <w:r>
        <w:rPr>
          <w:rFonts w:ascii="Arial" w:hAnsi="Arial"/>
          <w:sz w:val="20"/>
          <w:szCs w:val="20"/>
        </w:rPr>
        <w:t>.</w:t>
      </w:r>
    </w:p>
    <w:p>
      <w:pPr>
        <w:pStyle w:val="Normal"/>
        <w:rPr>
          <w:rFonts w:ascii="Arial" w:hAnsi="Arial"/>
          <w:i w:val="false"/>
          <w:i w:val="false"/>
          <w:iCs w:val="false"/>
          <w:sz w:val="20"/>
          <w:szCs w:val="20"/>
        </w:rPr>
      </w:pPr>
      <w:r>
        <w:rPr>
          <w:rFonts w:ascii="Arial" w:hAnsi="Arial"/>
          <w:i w:val="false"/>
          <w:iCs w:val="false"/>
          <w:sz w:val="20"/>
          <w:szCs w:val="20"/>
        </w:rPr>
      </w:r>
    </w:p>
    <w:p>
      <w:pPr>
        <w:pStyle w:val="Normal"/>
        <w:widowControl/>
        <w:suppressAutoHyphens w:val="true"/>
        <w:bidi w:val="0"/>
        <w:jc w:val="left"/>
        <w:textAlignment w:val="baseline"/>
        <w:rPr>
          <w:rFonts w:ascii="Arial" w:hAnsi="Arial"/>
          <w:sz w:val="20"/>
          <w:szCs w:val="20"/>
        </w:rPr>
      </w:pPr>
      <w:r>
        <w:rPr>
          <w:rFonts w:ascii="Arial" w:hAnsi="Arial"/>
          <w:sz w:val="20"/>
          <w:szCs w:val="20"/>
        </w:rPr>
        <w:t xml:space="preserve">PET will continue to add to our knowledge of human </w:t>
      </w:r>
      <w:r>
        <w:rPr>
          <w:rFonts w:ascii="Arial" w:hAnsi="Arial"/>
          <w:i/>
          <w:iCs/>
          <w:sz w:val="20"/>
          <w:szCs w:val="20"/>
        </w:rPr>
        <w:t>in vivo</w:t>
      </w:r>
      <w:r>
        <w:rPr>
          <w:rFonts w:ascii="Arial" w:hAnsi="Arial"/>
          <w:sz w:val="20"/>
          <w:szCs w:val="20"/>
        </w:rPr>
        <w:t xml:space="preserve"> neurodegeneration as ligands improve and the range of targeted ligands broadens. The relationship of PET to cognition and neuropathology needs to be clarified further, but one imagines this field will mature very quickly. It is likely to provide a source of biomarkers for trials of disease modifying treatments.</w:t>
      </w:r>
    </w:p>
    <w:p>
      <w:pPr>
        <w:pStyle w:val="Normal"/>
        <w:bidi w:val="0"/>
        <w:jc w:val="left"/>
        <w:rPr>
          <w:rFonts w:ascii="Arial" w:hAnsi="Arial"/>
          <w:sz w:val="20"/>
          <w:szCs w:val="20"/>
        </w:rPr>
      </w:pPr>
      <w:r>
        <w:rPr>
          <w:rFonts w:ascii="Arial" w:hAnsi="Arial"/>
          <w:sz w:val="20"/>
          <w:szCs w:val="20"/>
        </w:rPr>
      </w:r>
    </w:p>
    <w:p>
      <w:pPr>
        <w:pStyle w:val="Normal"/>
        <w:widowControl/>
        <w:suppressAutoHyphens w:val="true"/>
        <w:bidi w:val="0"/>
        <w:jc w:val="left"/>
        <w:textAlignment w:val="baseline"/>
        <w:rPr>
          <w:rFonts w:ascii="Arial" w:hAnsi="Arial"/>
          <w:sz w:val="20"/>
          <w:szCs w:val="20"/>
        </w:rPr>
      </w:pPr>
      <w:r>
        <w:rPr>
          <w:rFonts w:ascii="Arial" w:hAnsi="Arial"/>
          <w:sz w:val="20"/>
          <w:szCs w:val="20"/>
        </w:rPr>
        <w:t>Despite revealing pathology, PET does not necessarily explain why specific brain regions are affected or how the brain compensates for the presence of pathology, something which connectivity analysis studies promises to shed light on.</w:t>
      </w:r>
    </w:p>
    <w:p>
      <w:pPr>
        <w:pStyle w:val="Standard"/>
        <w:widowControl/>
        <w:suppressAutoHyphens w:val="true"/>
        <w:bidi w:val="0"/>
        <w:jc w:val="left"/>
        <w:textAlignment w:val="baseline"/>
        <w:rPr>
          <w:rFonts w:ascii="Arial" w:hAnsi="Arial"/>
          <w:sz w:val="20"/>
          <w:szCs w:val="20"/>
        </w:rPr>
      </w:pPr>
      <w:r>
        <w:rPr>
          <w:rFonts w:ascii="Arial" w:hAnsi="Arial"/>
          <w:sz w:val="20"/>
          <w:szCs w:val="20"/>
        </w:rPr>
      </w:r>
    </w:p>
    <w:p>
      <w:pPr>
        <w:pStyle w:val="Normal"/>
        <w:bidi w:val="0"/>
        <w:jc w:val="left"/>
        <w:rPr>
          <w:rFonts w:ascii="Arial" w:hAnsi="Arial"/>
          <w:sz w:val="20"/>
          <w:szCs w:val="20"/>
        </w:rPr>
      </w:pPr>
      <w:r>
        <w:rPr>
          <w:rFonts w:ascii="Arial" w:hAnsi="Arial"/>
          <w:b/>
          <w:bCs/>
          <w:sz w:val="20"/>
          <w:szCs w:val="20"/>
        </w:rPr>
        <w:t>Structural and f</w:t>
      </w:r>
      <w:r>
        <w:rPr>
          <w:rFonts w:ascii="Arial" w:hAnsi="Arial"/>
          <w:b/>
          <w:bCs/>
          <w:sz w:val="20"/>
          <w:szCs w:val="20"/>
        </w:rPr>
        <w:t>unctional c</w:t>
      </w:r>
      <w:r>
        <w:rPr>
          <w:rFonts w:ascii="Arial" w:hAnsi="Arial"/>
          <w:b/>
          <w:bCs/>
          <w:sz w:val="20"/>
          <w:szCs w:val="20"/>
        </w:rPr>
        <w:t>onnectivity</w:t>
      </w:r>
    </w:p>
    <w:p>
      <w:pPr>
        <w:pStyle w:val="Normal"/>
        <w:rPr/>
      </w:pPr>
      <w:r>
        <w:rPr>
          <w:rFonts w:ascii="Arial" w:hAnsi="Arial"/>
          <w:sz w:val="20"/>
          <w:szCs w:val="20"/>
        </w:rPr>
        <w:t>The field of connectivity uses neuroimaging to examine connections between brain regions, either  functional connections</w:t>
      </w:r>
      <w:r>
        <w:rPr>
          <w:rFonts w:ascii="Arial" w:hAnsi="Arial"/>
          <w:sz w:val="20"/>
          <w:szCs w:val="20"/>
        </w:rPr>
        <w:t>[48, 49]</w:t>
      </w:r>
      <w:r>
        <w:rPr>
          <w:rFonts w:ascii="Arial" w:hAnsi="Arial"/>
          <w:sz w:val="20"/>
          <w:szCs w:val="20"/>
        </w:rPr>
        <w:t xml:space="preserve"> by examining timeseries data </w:t>
      </w:r>
      <w:r>
        <w:rPr>
          <w:rFonts w:ascii="Arial" w:hAnsi="Arial"/>
          <w:sz w:val="20"/>
          <w:szCs w:val="20"/>
        </w:rPr>
        <w:t xml:space="preserve">(functional </w:t>
      </w:r>
      <w:r>
        <w:rPr>
          <w:rFonts w:ascii="Arial" w:hAnsi="Arial"/>
          <w:sz w:val="20"/>
          <w:szCs w:val="20"/>
        </w:rPr>
        <w:t xml:space="preserve">MRI, EEG, </w:t>
      </w:r>
      <w:r>
        <w:rPr>
          <w:rFonts w:ascii="Arial" w:hAnsi="Arial"/>
          <w:sz w:val="20"/>
          <w:szCs w:val="20"/>
        </w:rPr>
        <w:t>M</w:t>
      </w:r>
      <w:r>
        <w:rPr>
          <w:rFonts w:ascii="Arial" w:hAnsi="Arial"/>
          <w:sz w:val="20"/>
          <w:szCs w:val="20"/>
        </w:rPr>
        <w:t>EG</w:t>
      </w:r>
      <w:r>
        <w:rPr>
          <w:rFonts w:ascii="Arial" w:hAnsi="Arial"/>
          <w:sz w:val="20"/>
          <w:szCs w:val="20"/>
        </w:rPr>
        <w:t>)</w:t>
      </w:r>
      <w:r>
        <w:rPr>
          <w:rFonts w:ascii="Arial" w:hAnsi="Arial"/>
          <w:sz w:val="20"/>
          <w:szCs w:val="20"/>
        </w:rPr>
        <w:t xml:space="preserve">; or with structural connections (Diffusion Tensor Imaging, </w:t>
      </w:r>
      <w:r>
        <w:rPr>
          <w:rFonts w:ascii="Arial" w:hAnsi="Arial"/>
          <w:sz w:val="20"/>
          <w:szCs w:val="20"/>
        </w:rPr>
        <w:t>cortical thickness</w:t>
      </w:r>
      <w:r>
        <w:rPr>
          <w:rFonts w:ascii="Arial" w:hAnsi="Arial"/>
          <w:sz w:val="20"/>
          <w:szCs w:val="20"/>
        </w:rPr>
        <w:t>). The importance of brain networks was highlighted by pioneering work demonstrat</w:t>
      </w:r>
      <w:r>
        <w:rPr>
          <w:rFonts w:ascii="Arial" w:hAnsi="Arial"/>
          <w:sz w:val="20"/>
          <w:szCs w:val="20"/>
        </w:rPr>
        <w:t>ing</w:t>
      </w:r>
      <w:r>
        <w:rPr>
          <w:rFonts w:ascii="Arial" w:hAnsi="Arial"/>
          <w:sz w:val="20"/>
          <w:szCs w:val="20"/>
        </w:rPr>
        <w:t xml:space="preserve"> that brain networks </w:t>
      </w:r>
      <w:r>
        <w:rPr>
          <w:rFonts w:eastAsia="Noto Serif CJK SC" w:cs="Lohit Devanagari" w:ascii="Arial" w:hAnsi="Arial"/>
          <w:color w:val="auto"/>
          <w:kern w:val="2"/>
          <w:sz w:val="20"/>
          <w:szCs w:val="20"/>
          <w:lang w:val="en-GB" w:eastAsia="zh-CN" w:bidi="hi-IN"/>
        </w:rPr>
        <w:t>are</w:t>
      </w:r>
      <w:r>
        <w:rPr>
          <w:rFonts w:ascii="Arial" w:hAnsi="Arial"/>
          <w:sz w:val="20"/>
          <w:szCs w:val="20"/>
        </w:rPr>
        <w:t xml:space="preserve"> a template for atrophy in </w:t>
      </w:r>
      <w:r>
        <w:rPr>
          <w:rFonts w:ascii="Arial" w:hAnsi="Arial"/>
          <w:sz w:val="20"/>
          <w:szCs w:val="20"/>
        </w:rPr>
        <w:t xml:space="preserve">various </w:t>
      </w:r>
      <w:r>
        <w:rPr>
          <w:rFonts w:eastAsia="Noto Serif CJK SC" w:cs="Lohit Devanagari" w:ascii="Arial" w:hAnsi="Arial"/>
          <w:color w:val="auto"/>
          <w:kern w:val="2"/>
          <w:sz w:val="20"/>
          <w:szCs w:val="20"/>
          <w:lang w:val="en-GB" w:eastAsia="zh-CN" w:bidi="hi-IN"/>
        </w:rPr>
        <w:t>neurodegenerative diseases</w:t>
      </w:r>
      <w:r>
        <w:rPr>
          <w:rFonts w:eastAsia="Noto Serif CJK SC" w:cs="Lohit Devanagari" w:ascii="Arial" w:hAnsi="Arial"/>
          <w:color w:val="auto"/>
          <w:kern w:val="2"/>
          <w:sz w:val="20"/>
          <w:szCs w:val="20"/>
          <w:lang w:val="en-GB" w:eastAsia="zh-CN" w:bidi="hi-IN"/>
        </w:rPr>
        <w:t>[50, 51]</w:t>
      </w:r>
      <w:r>
        <w:rPr>
          <w:rFonts w:ascii="Arial" w:hAnsi="Arial"/>
          <w:sz w:val="20"/>
          <w:szCs w:val="20"/>
        </w:rPr>
        <w:t>, for example the default mode is associated with Alzheimer’s disease</w:t>
      </w:r>
      <w:r>
        <w:rPr>
          <w:rFonts w:ascii="Arial" w:hAnsi="Arial"/>
          <w:sz w:val="20"/>
          <w:szCs w:val="20"/>
        </w:rPr>
        <w:t>[52]</w:t>
      </w:r>
      <w:r>
        <w:rPr>
          <w:rFonts w:ascii="Arial" w:hAnsi="Arial"/>
          <w:sz w:val="20"/>
          <w:szCs w:val="20"/>
        </w:rPr>
        <w:t xml:space="preserve"> and the salience network with frontotemporal dementia</w:t>
      </w:r>
      <w:r>
        <w:rPr>
          <w:rFonts w:ascii="Arial" w:hAnsi="Arial"/>
          <w:sz w:val="20"/>
          <w:szCs w:val="20"/>
        </w:rPr>
        <w:t>[53]</w:t>
      </w:r>
      <w:r>
        <w:rPr>
          <w:rFonts w:ascii="Arial" w:hAnsi="Arial"/>
          <w:sz w:val="20"/>
          <w:szCs w:val="20"/>
        </w:rPr>
        <w:t>.</w:t>
      </w:r>
    </w:p>
    <w:p>
      <w:pPr>
        <w:pStyle w:val="Normal"/>
        <w:bidi w:val="0"/>
        <w:rPr>
          <w:rFonts w:ascii="Arial" w:hAnsi="Arial"/>
          <w:sz w:val="20"/>
          <w:szCs w:val="20"/>
        </w:rPr>
      </w:pPr>
      <w:r>
        <w:rPr>
          <w:rFonts w:ascii="Arial" w:hAnsi="Arial"/>
          <w:sz w:val="20"/>
          <w:szCs w:val="20"/>
        </w:rPr>
      </w:r>
    </w:p>
    <w:p>
      <w:pPr>
        <w:pStyle w:val="Normal"/>
        <w:rPr/>
      </w:pPr>
      <w:r>
        <w:rPr>
          <w:rFonts w:ascii="Arial" w:hAnsi="Arial"/>
          <w:sz w:val="20"/>
          <w:szCs w:val="20"/>
        </w:rPr>
        <w:t>It has been tempting to link these networks to the theory of protein templating and spread of pathological proteins through connected brain region</w:t>
      </w:r>
      <w:r>
        <w:rPr>
          <w:rFonts w:ascii="Arial" w:hAnsi="Arial"/>
          <w:sz w:val="20"/>
          <w:szCs w:val="20"/>
        </w:rPr>
        <w:t>s</w:t>
      </w:r>
      <w:r>
        <w:rPr>
          <w:rFonts w:ascii="Arial" w:hAnsi="Arial"/>
          <w:sz w:val="20"/>
          <w:szCs w:val="20"/>
        </w:rPr>
        <w:t xml:space="preserve"> in a prion like fashion</w:t>
      </w:r>
      <w:r>
        <w:rPr>
          <w:rFonts w:ascii="Arial" w:hAnsi="Arial"/>
          <w:sz w:val="20"/>
          <w:szCs w:val="20"/>
        </w:rPr>
        <w:t>[54]</w:t>
      </w:r>
      <w:r>
        <w:rPr>
          <w:rFonts w:ascii="Arial" w:hAnsi="Arial"/>
          <w:sz w:val="20"/>
          <w:szCs w:val="20"/>
        </w:rPr>
        <w:t xml:space="preserve">, </w:t>
      </w:r>
      <w:r>
        <w:rPr>
          <w:rFonts w:ascii="Arial" w:hAnsi="Arial"/>
          <w:sz w:val="20"/>
          <w:szCs w:val="20"/>
        </w:rPr>
        <w:t>and indeed the distribution of tau has been linked to functional networks</w:t>
      </w:r>
      <w:r>
        <w:rPr>
          <w:rFonts w:ascii="Arial" w:hAnsi="Arial"/>
          <w:sz w:val="20"/>
          <w:szCs w:val="20"/>
        </w:rPr>
        <w:t>[55]</w:t>
      </w:r>
      <w:r>
        <w:rPr>
          <w:rFonts w:ascii="Arial" w:hAnsi="Arial"/>
          <w:sz w:val="20"/>
          <w:szCs w:val="20"/>
        </w:rPr>
        <w:t>.</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This</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con</w:t>
      </w:r>
      <w:r>
        <w:rPr>
          <w:rFonts w:eastAsia="Noto Serif CJK SC" w:cs="Lohit Devanagari" w:ascii="Arial" w:hAnsi="Arial"/>
          <w:color w:val="auto"/>
          <w:kern w:val="2"/>
          <w:sz w:val="20"/>
          <w:szCs w:val="20"/>
          <w:lang w:val="en-GB" w:eastAsia="zh-CN" w:bidi="hi-IN"/>
        </w:rPr>
        <w:t>c</w:t>
      </w:r>
      <w:r>
        <w:rPr>
          <w:rFonts w:eastAsia="Noto Serif CJK SC" w:cs="Lohit Devanagari" w:ascii="Arial" w:hAnsi="Arial"/>
          <w:color w:val="auto"/>
          <w:kern w:val="2"/>
          <w:sz w:val="20"/>
          <w:szCs w:val="20"/>
          <w:lang w:val="en-GB" w:eastAsia="zh-CN" w:bidi="hi-IN"/>
        </w:rPr>
        <w:t xml:space="preserve">ept </w:t>
      </w:r>
      <w:r>
        <w:rPr>
          <w:rFonts w:eastAsia="Noto Serif CJK SC" w:cs="Lohit Devanagari" w:ascii="Arial" w:hAnsi="Arial"/>
          <w:color w:val="auto"/>
          <w:kern w:val="2"/>
          <w:sz w:val="20"/>
          <w:szCs w:val="20"/>
          <w:lang w:val="en-GB" w:eastAsia="zh-CN" w:bidi="hi-IN"/>
        </w:rPr>
        <w:t>of ‘prion-like’ spread</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posits</w:t>
      </w:r>
      <w:r>
        <w:rPr>
          <w:rFonts w:ascii="Arial" w:hAnsi="Arial"/>
          <w:sz w:val="20"/>
          <w:szCs w:val="20"/>
        </w:rPr>
        <w:t xml:space="preserve"> that abnormally conformed proteins</w:t>
      </w:r>
      <w:r>
        <w:rPr>
          <w:rFonts w:eastAsia="Noto Serif CJK SC" w:cs="Lohit Devanagari" w:ascii="Arial" w:hAnsi="Arial"/>
          <w:color w:val="auto"/>
          <w:kern w:val="2"/>
          <w:sz w:val="20"/>
          <w:szCs w:val="20"/>
          <w:lang w:val="en-GB" w:eastAsia="zh-CN" w:bidi="hi-IN"/>
        </w:rPr>
        <w:t xml:space="preserve"> cross</w:t>
      </w:r>
      <w:r>
        <w:rPr>
          <w:rFonts w:ascii="Arial" w:hAnsi="Arial"/>
          <w:sz w:val="20"/>
          <w:szCs w:val="20"/>
        </w:rPr>
        <w:t xml:space="preserve"> synapses between </w:t>
      </w:r>
      <w:r>
        <w:rPr>
          <w:rFonts w:ascii="Arial" w:hAnsi="Arial"/>
          <w:sz w:val="20"/>
          <w:szCs w:val="20"/>
        </w:rPr>
        <w:t xml:space="preserve">connected </w:t>
      </w:r>
      <w:r>
        <w:rPr>
          <w:rFonts w:ascii="Arial" w:hAnsi="Arial"/>
          <w:sz w:val="20"/>
          <w:szCs w:val="20"/>
        </w:rPr>
        <w:t xml:space="preserve">brain regions </w:t>
      </w:r>
      <w:r>
        <w:rPr>
          <w:rFonts w:ascii="Arial" w:hAnsi="Arial"/>
          <w:sz w:val="20"/>
          <w:szCs w:val="20"/>
        </w:rPr>
        <w:t>to cause normal proteins to become abnormal in the “infected” region</w:t>
      </w:r>
      <w:r>
        <w:rPr>
          <w:rFonts w:ascii="Arial" w:hAnsi="Arial"/>
          <w:sz w:val="20"/>
          <w:szCs w:val="20"/>
        </w:rPr>
        <w:t xml:space="preserve">. Alternatively it may be that regions within these brain networks share a common susceptibility to disease linked to neurodevelopmental changes laid down through genetic variance that associates with later disease states </w:t>
      </w:r>
      <w:r>
        <w:rPr>
          <w:rFonts w:ascii="Arial" w:hAnsi="Arial"/>
          <w:sz w:val="20"/>
          <w:szCs w:val="20"/>
        </w:rPr>
        <w:t>[56]</w:t>
      </w:r>
      <w:r>
        <w:rPr>
          <w:rFonts w:ascii="Arial" w:hAnsi="Arial"/>
          <w:sz w:val="20"/>
          <w:szCs w:val="20"/>
        </w:rPr>
        <w:t xml:space="preserve">. </w:t>
      </w:r>
      <w:r>
        <w:rPr>
          <w:rFonts w:ascii="Arial" w:hAnsi="Arial"/>
          <w:sz w:val="20"/>
          <w:szCs w:val="20"/>
        </w:rPr>
        <w:t>Ultimately, it is likely that both spread and susceptibility play a part in neurodegeneration, but have different roles in different disorders; for example we have used functional connectivity and PET to examine the distribution of tau in neurodegeneration, finding that the pattern in Alzheimer’s disease was more in keeping with trans-synaptic spread, and in PSP was more in keeping with susceptibility of metabolically active regions</w:t>
      </w:r>
      <w:r>
        <w:rPr>
          <w:rFonts w:ascii="Arial" w:hAnsi="Arial"/>
          <w:sz w:val="20"/>
          <w:szCs w:val="20"/>
        </w:rPr>
        <w:t>[57]</w:t>
      </w:r>
      <w:r>
        <w:rPr>
          <w:rFonts w:ascii="Arial" w:hAnsi="Arial"/>
          <w:sz w:val="20"/>
          <w:szCs w:val="20"/>
        </w:rPr>
        <w:t>.</w:t>
      </w:r>
    </w:p>
    <w:p>
      <w:pPr>
        <w:pStyle w:val="Normal"/>
        <w:bidi w:val="0"/>
        <w:jc w:val="left"/>
        <w:rPr>
          <w:rFonts w:ascii="Arial" w:hAnsi="Arial"/>
          <w:sz w:val="20"/>
          <w:szCs w:val="20"/>
        </w:rPr>
      </w:pPr>
      <w:r>
        <w:rPr>
          <w:rFonts w:ascii="Arial" w:hAnsi="Arial"/>
          <w:sz w:val="20"/>
          <w:szCs w:val="20"/>
        </w:rPr>
      </w:r>
    </w:p>
    <w:p>
      <w:pPr>
        <w:pStyle w:val="Normal"/>
        <w:rPr/>
      </w:pP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s well as providing susceptibility to disease</w:t>
      </w:r>
      <w:r>
        <w:rPr>
          <w:rFonts w:ascii="Arial" w:hAnsi="Arial"/>
          <w:sz w:val="20"/>
          <w:szCs w:val="20"/>
        </w:rPr>
        <w:t>, t</w:t>
      </w:r>
      <w:r>
        <w:rPr>
          <w:rFonts w:ascii="Arial" w:hAnsi="Arial"/>
          <w:sz w:val="20"/>
          <w:szCs w:val="20"/>
        </w:rPr>
        <w:t xml:space="preserve">here is </w:t>
      </w:r>
      <w:r>
        <w:rPr>
          <w:rFonts w:eastAsia="Noto Serif CJK SC" w:cs="Lohit Devanagari" w:ascii="Arial" w:hAnsi="Arial"/>
          <w:color w:val="auto"/>
          <w:kern w:val="2"/>
          <w:sz w:val="20"/>
          <w:szCs w:val="20"/>
          <w:lang w:val="en-GB" w:eastAsia="zh-CN" w:bidi="hi-IN"/>
        </w:rPr>
        <w:t>some</w:t>
      </w:r>
      <w:r>
        <w:rPr>
          <w:rFonts w:ascii="Arial" w:hAnsi="Arial"/>
          <w:sz w:val="20"/>
          <w:szCs w:val="20"/>
        </w:rPr>
        <w:t xml:space="preserve"> evidence that brain networks can </w:t>
      </w:r>
      <w:r>
        <w:rPr>
          <w:rFonts w:ascii="Arial" w:hAnsi="Arial"/>
          <w:sz w:val="20"/>
          <w:szCs w:val="20"/>
        </w:rPr>
        <w:t xml:space="preserve">be helpful in </w:t>
      </w:r>
      <w:r>
        <w:rPr>
          <w:rFonts w:eastAsia="Noto Serif CJK SC" w:cs="Lohit Devanagari" w:ascii="Arial" w:hAnsi="Arial"/>
          <w:color w:val="auto"/>
          <w:kern w:val="2"/>
          <w:sz w:val="20"/>
          <w:szCs w:val="20"/>
          <w:lang w:val="en-GB" w:eastAsia="zh-CN" w:bidi="hi-IN"/>
        </w:rPr>
        <w:t>compensat</w:t>
      </w:r>
      <w:r>
        <w:rPr>
          <w:rFonts w:eastAsia="Noto Serif CJK SC" w:cs="Lohit Devanagari" w:ascii="Arial" w:hAnsi="Arial"/>
          <w:color w:val="auto"/>
          <w:kern w:val="2"/>
          <w:sz w:val="20"/>
          <w:szCs w:val="20"/>
          <w:lang w:val="en-GB" w:eastAsia="zh-CN" w:bidi="hi-IN"/>
        </w:rPr>
        <w:t>ing</w:t>
      </w:r>
      <w:r>
        <w:rPr>
          <w:rFonts w:eastAsia="Noto Serif CJK SC" w:cs="Lohit Devanagari" w:ascii="Arial" w:hAnsi="Arial"/>
          <w:color w:val="auto"/>
          <w:kern w:val="2"/>
          <w:sz w:val="20"/>
          <w:szCs w:val="20"/>
          <w:lang w:val="en-GB" w:eastAsia="zh-CN" w:bidi="hi-IN"/>
        </w:rPr>
        <w:t xml:space="preserve"> for</w:t>
      </w:r>
      <w:r>
        <w:rPr>
          <w:rFonts w:ascii="Arial" w:hAnsi="Arial"/>
          <w:sz w:val="20"/>
          <w:szCs w:val="20"/>
        </w:rPr>
        <w:t xml:space="preserve"> </w:t>
      </w:r>
      <w:r>
        <w:rPr>
          <w:rFonts w:ascii="Arial" w:hAnsi="Arial"/>
          <w:sz w:val="20"/>
          <w:szCs w:val="20"/>
        </w:rPr>
        <w:t xml:space="preserve">the effects of </w:t>
      </w:r>
      <w:r>
        <w:rPr>
          <w:rFonts w:eastAsia="Noto Serif CJK SC" w:cs="Lohit Devanagari" w:ascii="Arial" w:hAnsi="Arial"/>
          <w:color w:val="auto"/>
          <w:kern w:val="2"/>
          <w:sz w:val="20"/>
          <w:szCs w:val="20"/>
          <w:lang w:val="en-GB" w:eastAsia="zh-CN" w:bidi="hi-IN"/>
        </w:rPr>
        <w:t>early pathology, m</w:t>
      </w:r>
      <w:r>
        <w:rPr>
          <w:rFonts w:eastAsia="Noto Serif CJK SC" w:cs="Lohit Devanagari" w:ascii="Arial" w:hAnsi="Arial"/>
          <w:color w:val="auto"/>
          <w:kern w:val="2"/>
          <w:sz w:val="20"/>
          <w:szCs w:val="20"/>
          <w:lang w:val="en-GB" w:eastAsia="zh-CN" w:bidi="hi-IN"/>
        </w:rPr>
        <w:t>aintain</w:t>
      </w:r>
      <w:r>
        <w:rPr>
          <w:rFonts w:eastAsia="Noto Serif CJK SC" w:cs="Lohit Devanagari" w:ascii="Arial" w:hAnsi="Arial"/>
          <w:color w:val="auto"/>
          <w:kern w:val="2"/>
          <w:sz w:val="20"/>
          <w:szCs w:val="20"/>
          <w:lang w:val="en-GB" w:eastAsia="zh-CN" w:bidi="hi-IN"/>
        </w:rPr>
        <w:t>ing</w:t>
      </w:r>
      <w:r>
        <w:rPr>
          <w:rFonts w:eastAsia="Noto Serif CJK SC" w:cs="Lohit Devanagari" w:ascii="Arial" w:hAnsi="Arial"/>
          <w:color w:val="auto"/>
          <w:kern w:val="2"/>
          <w:sz w:val="20"/>
          <w:szCs w:val="20"/>
          <w:lang w:val="en-GB" w:eastAsia="zh-CN" w:bidi="hi-IN"/>
        </w:rPr>
        <w:t xml:space="preserve"> cognition in</w:t>
      </w:r>
      <w:r>
        <w:rPr>
          <w:rFonts w:eastAsia="Noto Serif CJK SC" w:cs="Lohit Devanagari" w:ascii="Arial" w:hAnsi="Arial"/>
          <w:color w:val="auto"/>
          <w:kern w:val="2"/>
          <w:sz w:val="20"/>
          <w:szCs w:val="20"/>
          <w:lang w:val="en-GB" w:eastAsia="zh-CN" w:bidi="hi-IN"/>
        </w:rPr>
        <w:t xml:space="preserve"> the long presymptomatic phase </w:t>
      </w:r>
      <w:r>
        <w:rPr>
          <w:rFonts w:eastAsia="Noto Serif CJK SC" w:cs="Lohit Devanagari" w:ascii="Arial" w:hAnsi="Arial"/>
          <w:color w:val="auto"/>
          <w:kern w:val="2"/>
          <w:sz w:val="20"/>
          <w:szCs w:val="20"/>
          <w:lang w:val="en-GB" w:eastAsia="zh-CN" w:bidi="hi-IN"/>
        </w:rPr>
        <w:t xml:space="preserve">during </w:t>
      </w:r>
      <w:r>
        <w:rPr>
          <w:rFonts w:eastAsia="Noto Serif CJK SC" w:cs="Lohit Devanagari" w:ascii="Arial" w:hAnsi="Arial"/>
          <w:color w:val="auto"/>
          <w:kern w:val="2"/>
          <w:sz w:val="20"/>
          <w:szCs w:val="20"/>
          <w:lang w:val="en-GB" w:eastAsia="zh-CN" w:bidi="hi-IN"/>
        </w:rPr>
        <w:t>which</w:t>
      </w:r>
      <w:r>
        <w:rPr>
          <w:rFonts w:eastAsia="Noto Serif CJK SC" w:cs="Lohit Devanagari" w:ascii="Arial" w:hAnsi="Arial"/>
          <w:color w:val="auto"/>
          <w:kern w:val="2"/>
          <w:sz w:val="20"/>
          <w:szCs w:val="20"/>
          <w:lang w:val="en-GB" w:eastAsia="zh-CN" w:bidi="hi-IN"/>
        </w:rPr>
        <w:t xml:space="preserve"> atrophy is detectable on scanning but cognition remains normal</w:t>
      </w:r>
      <w:r>
        <w:rPr>
          <w:rFonts w:eastAsia="Noto Serif CJK SC" w:cs="Lohit Devanagari" w:ascii="Arial" w:hAnsi="Arial"/>
          <w:color w:val="auto"/>
          <w:kern w:val="2"/>
          <w:sz w:val="20"/>
          <w:szCs w:val="20"/>
          <w:lang w:val="en-GB" w:eastAsia="zh-CN" w:bidi="hi-IN"/>
        </w:rPr>
        <w:t>[58]</w:t>
      </w:r>
      <w:r>
        <w:rPr>
          <w:rFonts w:ascii="Arial" w:hAnsi="Arial"/>
          <w:sz w:val="20"/>
          <w:szCs w:val="20"/>
        </w:rPr>
        <w:t xml:space="preserve">. </w:t>
      </w:r>
      <w:r>
        <w:rPr>
          <w:rFonts w:eastAsia="Noto Serif CJK SC" w:cs="Lohit Devanagari" w:ascii="Arial" w:hAnsi="Arial"/>
          <w:color w:val="auto"/>
          <w:kern w:val="2"/>
          <w:sz w:val="20"/>
          <w:szCs w:val="20"/>
          <w:lang w:val="en-GB" w:eastAsia="zh-CN" w:bidi="hi-IN"/>
        </w:rPr>
        <w:t xml:space="preserve">This is in line with the idea of cognitive reserve, that </w:t>
      </w:r>
      <w:r>
        <w:rPr>
          <w:rFonts w:eastAsia="Noto Serif CJK SC" w:cs="Lohit Devanagari" w:ascii="Arial" w:hAnsi="Arial"/>
          <w:color w:val="auto"/>
          <w:kern w:val="2"/>
          <w:sz w:val="20"/>
          <w:szCs w:val="20"/>
          <w:lang w:val="en-GB" w:eastAsia="zh-CN" w:bidi="hi-IN"/>
        </w:rPr>
        <w:t>early life education, social interactions and genetic factors protect the brain from the effects of dementia</w:t>
      </w:r>
      <w:r>
        <w:rPr>
          <w:rFonts w:eastAsia="Noto Serif CJK SC" w:cs="Lohit Devanagari" w:ascii="Arial" w:hAnsi="Arial"/>
          <w:color w:val="auto"/>
          <w:kern w:val="2"/>
          <w:sz w:val="20"/>
          <w:szCs w:val="20"/>
          <w:lang w:val="en-GB" w:eastAsia="zh-CN" w:bidi="hi-IN"/>
        </w:rPr>
        <w:t>[59, 60]</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Cognitive reserve appears to be associated with a specific network of brain regions, though the implications for neurodegeneration are not yet fully understood</w:t>
      </w:r>
      <w:r>
        <w:rPr>
          <w:rFonts w:eastAsia="Noto Serif CJK SC" w:cs="Lohit Devanagari" w:ascii="Arial" w:hAnsi="Arial"/>
          <w:color w:val="auto"/>
          <w:kern w:val="2"/>
          <w:sz w:val="20"/>
          <w:szCs w:val="20"/>
          <w:lang w:val="en-GB" w:eastAsia="zh-CN" w:bidi="hi-IN"/>
        </w:rPr>
        <w:t>[61]</w:t>
      </w:r>
      <w:r>
        <w:rPr>
          <w:rFonts w:eastAsia="Noto Serif CJK SC" w:cs="Lohit Devanagari" w:ascii="Arial" w:hAnsi="Arial"/>
          <w:color w:val="auto"/>
          <w:kern w:val="2"/>
          <w:sz w:val="20"/>
          <w:szCs w:val="20"/>
          <w:lang w:val="en-GB" w:eastAsia="zh-CN" w:bidi="hi-IN"/>
        </w:rPr>
        <w:t xml:space="preserve">. </w:t>
      </w:r>
      <w:r>
        <w:rPr>
          <w:rFonts w:eastAsia="Noto Serif CJK SC" w:cs="Lohit Devanagari" w:ascii="Arial" w:hAnsi="Arial"/>
          <w:color w:val="auto"/>
          <w:kern w:val="2"/>
          <w:sz w:val="20"/>
          <w:szCs w:val="20"/>
          <w:lang w:val="en-GB" w:eastAsia="zh-CN" w:bidi="hi-IN"/>
        </w:rPr>
        <w:t>However, FDG-PET studies have demonstrated a role for cognitive reserve in Alzheimer’s disease</w:t>
      </w:r>
      <w:r>
        <w:rPr>
          <w:rFonts w:eastAsia="Noto Serif CJK SC" w:cs="Lohit Devanagari" w:ascii="Arial" w:hAnsi="Arial"/>
          <w:color w:val="auto"/>
          <w:kern w:val="2"/>
          <w:sz w:val="20"/>
          <w:szCs w:val="20"/>
          <w:lang w:val="en-GB" w:eastAsia="zh-CN" w:bidi="hi-IN"/>
        </w:rPr>
        <w:t>[62]</w:t>
      </w:r>
      <w:r>
        <w:rPr>
          <w:rFonts w:eastAsia="Noto Serif CJK SC" w:cs="Lohit Devanagari" w:ascii="Arial" w:hAnsi="Arial"/>
          <w:color w:val="auto"/>
          <w:kern w:val="2"/>
          <w:sz w:val="20"/>
          <w:szCs w:val="20"/>
          <w:lang w:val="en-GB" w:eastAsia="zh-CN" w:bidi="hi-IN"/>
        </w:rPr>
        <w:t>, Dementia with Lewy Bodies</w:t>
      </w:r>
      <w:r>
        <w:rPr>
          <w:rFonts w:eastAsia="Noto Serif CJK SC" w:cs="Lohit Devanagari" w:ascii="Arial" w:hAnsi="Arial"/>
          <w:color w:val="auto"/>
          <w:kern w:val="2"/>
          <w:sz w:val="20"/>
          <w:szCs w:val="20"/>
          <w:lang w:val="en-GB" w:eastAsia="zh-CN" w:bidi="hi-IN"/>
        </w:rPr>
        <w:t>[63]</w:t>
      </w:r>
      <w:r>
        <w:rPr>
          <w:rFonts w:eastAsia="Noto Serif CJK SC" w:cs="Lohit Devanagari" w:ascii="Arial" w:hAnsi="Arial"/>
          <w:color w:val="auto"/>
          <w:kern w:val="2"/>
          <w:sz w:val="20"/>
          <w:szCs w:val="20"/>
          <w:lang w:val="en-GB" w:eastAsia="zh-CN" w:bidi="hi-IN"/>
        </w:rPr>
        <w:t xml:space="preserve"> and Corticobasal Degeneration</w:t>
      </w:r>
      <w:r>
        <w:rPr>
          <w:rFonts w:eastAsia="Noto Serif CJK SC" w:cs="Lohit Devanagari" w:ascii="Arial" w:hAnsi="Arial"/>
          <w:color w:val="auto"/>
          <w:kern w:val="2"/>
          <w:sz w:val="20"/>
          <w:szCs w:val="20"/>
          <w:lang w:val="en-GB" w:eastAsia="zh-CN" w:bidi="hi-IN"/>
        </w:rPr>
        <w:t>[64]</w:t>
      </w:r>
      <w:r>
        <w:rPr>
          <w:rFonts w:ascii="Arial" w:hAnsi="Arial"/>
          <w:sz w:val="20"/>
          <w:szCs w:val="20"/>
        </w:rPr>
        <w:t>, and the TMEM106B genotype has been found to modulate the protective effect of cognitive reserve in genetic forms of frontotemporal dementia</w:t>
      </w:r>
      <w:r>
        <w:rPr>
          <w:rFonts w:ascii="Arial" w:hAnsi="Arial"/>
          <w:sz w:val="20"/>
          <w:szCs w:val="20"/>
        </w:rPr>
        <w:t>[65]</w:t>
      </w:r>
      <w:r>
        <w:rPr>
          <w:rFonts w:ascii="Arial" w:hAnsi="Arial"/>
          <w:sz w:val="20"/>
          <w:szCs w:val="20"/>
        </w:rPr>
        <w:t>.</w:t>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t>It remains to be seen whether connectivity measures are reliable enough to be useful as diagnostic or longitudinal biomarkers, but they are beginning to reveal a complex interaction between brain structure and function in neurodegeneration.</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 xml:space="preserve">Big data and </w:t>
      </w:r>
      <w:r>
        <w:rPr>
          <w:rFonts w:ascii="Arial" w:hAnsi="Arial"/>
          <w:b/>
          <w:bCs/>
          <w:sz w:val="20"/>
          <w:szCs w:val="20"/>
        </w:rPr>
        <w:t>Artificial Intelligence</w:t>
      </w:r>
    </w:p>
    <w:p>
      <w:pPr>
        <w:pStyle w:val="Normal"/>
        <w:rPr/>
      </w:pPr>
      <w:r>
        <w:rPr>
          <w:rFonts w:ascii="Arial" w:hAnsi="Arial"/>
          <w:sz w:val="20"/>
          <w:szCs w:val="20"/>
        </w:rPr>
        <w:t xml:space="preserve">The field of neuroimaging has led the scientific community in open science initiatives, </w:t>
      </w:r>
      <w:r>
        <w:rPr>
          <w:rFonts w:ascii="Arial" w:hAnsi="Arial"/>
          <w:sz w:val="20"/>
          <w:szCs w:val="20"/>
        </w:rPr>
        <w:t xml:space="preserve">particularly in the </w:t>
      </w:r>
      <w:r>
        <w:rPr>
          <w:rFonts w:ascii="Arial" w:hAnsi="Arial"/>
          <w:sz w:val="20"/>
          <w:szCs w:val="20"/>
        </w:rPr>
        <w:t xml:space="preserve">creation of </w:t>
      </w:r>
      <w:r>
        <w:rPr>
          <w:rFonts w:eastAsia="Noto Serif CJK SC" w:cs="Lohit Devanagari" w:ascii="Arial" w:hAnsi="Arial"/>
          <w:color w:val="auto"/>
          <w:kern w:val="2"/>
          <w:sz w:val="20"/>
          <w:szCs w:val="20"/>
          <w:lang w:val="en-GB" w:eastAsia="zh-CN" w:bidi="hi-IN"/>
        </w:rPr>
        <w:t>large</w:t>
      </w:r>
      <w:r>
        <w:rPr>
          <w:rFonts w:ascii="Arial" w:hAnsi="Arial"/>
          <w:sz w:val="20"/>
          <w:szCs w:val="20"/>
        </w:rPr>
        <w:t xml:space="preserve"> repositories of open data</w:t>
      </w:r>
      <w:r>
        <w:rPr>
          <w:rFonts w:ascii="Arial" w:hAnsi="Arial"/>
          <w:sz w:val="20"/>
          <w:szCs w:val="20"/>
        </w:rPr>
        <w:t>[66, 67]</w:t>
      </w:r>
      <w:r>
        <w:rPr>
          <w:rFonts w:ascii="Arial" w:hAnsi="Arial"/>
          <w:sz w:val="20"/>
          <w:szCs w:val="20"/>
        </w:rPr>
        <w:t xml:space="preserve">. The most widely used datasets </w:t>
      </w:r>
      <w:r>
        <w:rPr>
          <w:rFonts w:eastAsia="Noto Serif CJK SC" w:cs="Lohit Devanagari" w:ascii="Arial" w:hAnsi="Arial"/>
          <w:color w:val="auto"/>
          <w:kern w:val="2"/>
          <w:sz w:val="20"/>
          <w:szCs w:val="20"/>
          <w:lang w:val="en-GB" w:eastAsia="zh-CN" w:bidi="hi-IN"/>
        </w:rPr>
        <w:t>in the field of</w:t>
      </w:r>
      <w:r>
        <w:rPr>
          <w:rFonts w:ascii="Arial" w:hAnsi="Arial"/>
          <w:sz w:val="20"/>
          <w:szCs w:val="20"/>
        </w:rPr>
        <w:t xml:space="preserve"> neurodegeneration are the Alzheimer’s Disease Neuroimaging Initiative (ADNI)</w:t>
      </w:r>
      <w:r>
        <w:rPr>
          <w:rFonts w:ascii="Arial" w:hAnsi="Arial"/>
          <w:sz w:val="20"/>
          <w:szCs w:val="20"/>
        </w:rPr>
        <w:t>[68]</w:t>
      </w:r>
      <w:r>
        <w:rPr>
          <w:rFonts w:ascii="Arial" w:hAnsi="Arial"/>
          <w:sz w:val="20"/>
          <w:szCs w:val="20"/>
        </w:rPr>
        <w:t>, the Dominantly Inherited Alzheimer Network (DIAN)</w:t>
      </w:r>
      <w:r>
        <w:rPr>
          <w:rFonts w:ascii="Arial" w:hAnsi="Arial"/>
          <w:sz w:val="20"/>
          <w:szCs w:val="20"/>
        </w:rPr>
        <w:t>[69]</w:t>
      </w:r>
      <w:r>
        <w:rPr>
          <w:rFonts w:ascii="Arial" w:hAnsi="Arial"/>
          <w:sz w:val="20"/>
          <w:szCs w:val="20"/>
        </w:rPr>
        <w:t>, the Parkinson’s Progression Markers Initiative (PPMI)</w:t>
      </w:r>
      <w:r>
        <w:rPr>
          <w:rFonts w:ascii="Arial" w:hAnsi="Arial"/>
          <w:sz w:val="20"/>
          <w:szCs w:val="20"/>
        </w:rPr>
        <w:t>[70]</w:t>
      </w:r>
      <w:r>
        <w:rPr>
          <w:rFonts w:ascii="Arial" w:hAnsi="Arial"/>
          <w:sz w:val="20"/>
          <w:szCs w:val="20"/>
        </w:rPr>
        <w:t>, the Genetic Frontotemporal Initiative (GenFI)</w:t>
      </w:r>
      <w:r>
        <w:rPr>
          <w:rFonts w:ascii="Arial" w:hAnsi="Arial"/>
          <w:sz w:val="20"/>
          <w:szCs w:val="20"/>
        </w:rPr>
        <w:t>[8]</w:t>
      </w:r>
      <w:r>
        <w:rPr>
          <w:rFonts w:ascii="Arial" w:hAnsi="Arial"/>
          <w:sz w:val="20"/>
          <w:szCs w:val="20"/>
        </w:rPr>
        <w:t xml:space="preserve">, </w:t>
      </w:r>
      <w:r>
        <w:rPr>
          <w:rFonts w:ascii="Arial" w:hAnsi="Arial"/>
          <w:sz w:val="20"/>
          <w:szCs w:val="20"/>
        </w:rPr>
        <w:t xml:space="preserve">and the </w:t>
      </w:r>
      <w:r>
        <w:rPr>
          <w:rFonts w:eastAsia="Noto Serif CJK SC" w:cs="Lohit Devanagari" w:ascii="Arial" w:hAnsi="Arial"/>
          <w:color w:val="auto"/>
          <w:kern w:val="2"/>
          <w:sz w:val="20"/>
          <w:szCs w:val="20"/>
          <w:lang w:val="en-GB" w:eastAsia="zh-CN" w:bidi="hi-IN"/>
        </w:rPr>
        <w:t>ARTFL-LEFTDS Longitudinal Frontotemporal Lobar Degeneration (ALLFTD)</w:t>
      </w:r>
      <w:r>
        <w:rPr>
          <w:rFonts w:ascii="Arial" w:hAnsi="Arial"/>
          <w:sz w:val="20"/>
          <w:szCs w:val="20"/>
        </w:rPr>
        <w:t xml:space="preserve"> cohort</w:t>
      </w:r>
      <w:r>
        <w:rPr>
          <w:rFonts w:ascii="Arial" w:hAnsi="Arial"/>
          <w:sz w:val="20"/>
          <w:szCs w:val="20"/>
        </w:rPr>
        <w:t>[71]</w:t>
      </w:r>
      <w:r>
        <w:rPr>
          <w:rFonts w:ascii="Arial" w:hAnsi="Arial"/>
          <w:sz w:val="20"/>
          <w:szCs w:val="20"/>
        </w:rPr>
        <w:t xml:space="preserve">. Given some of these datasets </w:t>
      </w:r>
      <w:r>
        <w:rPr>
          <w:rFonts w:eastAsia="Noto Serif CJK SC" w:cs="Lohit Devanagari" w:ascii="Arial" w:hAnsi="Arial"/>
          <w:color w:val="auto"/>
          <w:kern w:val="2"/>
          <w:sz w:val="20"/>
          <w:szCs w:val="20"/>
          <w:lang w:val="en-GB" w:eastAsia="zh-CN" w:bidi="hi-IN"/>
        </w:rPr>
        <w:t>c</w:t>
      </w:r>
      <w:r>
        <w:rPr>
          <w:rFonts w:eastAsia="Noto Serif CJK SC" w:cs="Lohit Devanagari" w:ascii="Arial" w:hAnsi="Arial"/>
          <w:color w:val="auto"/>
          <w:kern w:val="2"/>
          <w:sz w:val="20"/>
          <w:szCs w:val="20"/>
          <w:lang w:val="en-GB" w:eastAsia="zh-CN" w:bidi="hi-IN"/>
        </w:rPr>
        <w:t xml:space="preserve">onsist of </w:t>
      </w:r>
      <w:r>
        <w:rPr>
          <w:rFonts w:ascii="Arial" w:hAnsi="Arial"/>
          <w:sz w:val="20"/>
          <w:szCs w:val="20"/>
        </w:rPr>
        <w:t>over 1000 participants, they have attracted the attention of groups working with Artificial Intelligence (AI) methods.</w:t>
      </w:r>
    </w:p>
    <w:p>
      <w:pPr>
        <w:pStyle w:val="Normal"/>
        <w:bidi w:val="0"/>
        <w:jc w:val="left"/>
        <w:rPr>
          <w:rFonts w:ascii="Arial" w:hAnsi="Arial"/>
          <w:sz w:val="20"/>
          <w:szCs w:val="20"/>
        </w:rPr>
      </w:pPr>
      <w:r>
        <w:rPr>
          <w:rFonts w:ascii="Arial" w:hAnsi="Arial"/>
          <w:sz w:val="20"/>
          <w:szCs w:val="20"/>
        </w:rPr>
      </w:r>
    </w:p>
    <w:p>
      <w:pPr>
        <w:pStyle w:val="Normal"/>
        <w:rPr/>
      </w:pPr>
      <w:r>
        <w:rPr>
          <w:rFonts w:eastAsia="Noto Serif CJK SC" w:cs="Lohit Devanagari" w:ascii="Arial" w:hAnsi="Arial"/>
          <w:color w:val="auto"/>
          <w:kern w:val="2"/>
          <w:sz w:val="20"/>
          <w:szCs w:val="20"/>
          <w:lang w:val="en-GB" w:eastAsia="zh-CN" w:bidi="hi-IN"/>
        </w:rPr>
        <w:t xml:space="preserve">AI </w:t>
      </w:r>
      <w:r>
        <w:rPr>
          <w:rFonts w:ascii="Arial" w:hAnsi="Arial"/>
          <w:sz w:val="20"/>
          <w:szCs w:val="20"/>
        </w:rPr>
        <w:t xml:space="preserve">describes a set of mathematical </w:t>
      </w:r>
      <w:r>
        <w:rPr>
          <w:rFonts w:eastAsia="Noto Serif CJK SC" w:cs="Lohit Devanagari" w:ascii="Arial" w:hAnsi="Arial"/>
          <w:color w:val="auto"/>
          <w:kern w:val="2"/>
          <w:sz w:val="20"/>
          <w:szCs w:val="20"/>
          <w:lang w:val="en-GB" w:eastAsia="zh-CN" w:bidi="hi-IN"/>
        </w:rPr>
        <w:t>tools</w:t>
      </w:r>
      <w:r>
        <w:rPr>
          <w:rFonts w:ascii="Arial" w:hAnsi="Arial"/>
          <w:sz w:val="20"/>
          <w:szCs w:val="20"/>
        </w:rPr>
        <w:t xml:space="preserve"> for identifying </w:t>
      </w:r>
      <w:r>
        <w:rPr>
          <w:rFonts w:ascii="Arial" w:hAnsi="Arial"/>
          <w:sz w:val="20"/>
          <w:szCs w:val="20"/>
        </w:rPr>
        <w:t xml:space="preserve">relationships and </w:t>
      </w:r>
      <w:r>
        <w:rPr>
          <w:rFonts w:ascii="Arial" w:hAnsi="Arial"/>
          <w:sz w:val="20"/>
          <w:szCs w:val="20"/>
        </w:rPr>
        <w:t>patterns with</w:t>
      </w:r>
      <w:r>
        <w:rPr>
          <w:rFonts w:ascii="Arial" w:hAnsi="Arial"/>
          <w:sz w:val="20"/>
          <w:szCs w:val="20"/>
        </w:rPr>
        <w:t>in</w:t>
      </w:r>
      <w:r>
        <w:rPr>
          <w:rFonts w:ascii="Arial" w:hAnsi="Arial"/>
          <w:sz w:val="20"/>
          <w:szCs w:val="20"/>
        </w:rPr>
        <w:t xml:space="preserve"> data </w:t>
      </w:r>
      <w:r>
        <w:rPr>
          <w:rFonts w:ascii="Arial" w:hAnsi="Arial"/>
          <w:sz w:val="20"/>
          <w:szCs w:val="20"/>
        </w:rPr>
        <w:t xml:space="preserve">and </w:t>
      </w:r>
      <w:r>
        <w:rPr>
          <w:rFonts w:eastAsia="Noto Serif CJK SC" w:cs="Lohit Devanagari" w:ascii="Arial" w:hAnsi="Arial"/>
          <w:color w:val="auto"/>
          <w:kern w:val="2"/>
          <w:sz w:val="20"/>
          <w:szCs w:val="20"/>
          <w:lang w:val="en-GB" w:eastAsia="zh-CN" w:bidi="hi-IN"/>
        </w:rPr>
        <w:t>i</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 xml:space="preserve"> particularly s</w:t>
      </w:r>
      <w:r>
        <w:rPr>
          <w:rFonts w:eastAsia="Noto Serif CJK SC" w:cs="Lohit Devanagari" w:ascii="Arial" w:hAnsi="Arial"/>
          <w:color w:val="auto"/>
          <w:kern w:val="2"/>
          <w:sz w:val="20"/>
          <w:szCs w:val="20"/>
          <w:lang w:val="en-GB" w:eastAsia="zh-CN" w:bidi="hi-IN"/>
        </w:rPr>
        <w:t>uitable</w:t>
      </w:r>
      <w:r>
        <w:rPr>
          <w:rFonts w:eastAsia="Noto Serif CJK SC" w:cs="Lohit Devanagari" w:ascii="Arial" w:hAnsi="Arial"/>
          <w:color w:val="auto"/>
          <w:kern w:val="2"/>
          <w:sz w:val="20"/>
          <w:szCs w:val="20"/>
          <w:lang w:val="en-GB" w:eastAsia="zh-CN" w:bidi="hi-IN"/>
        </w:rPr>
        <w:t xml:space="preserve"> f</w:t>
      </w:r>
      <w:r>
        <w:rPr>
          <w:rFonts w:eastAsia="Noto Serif CJK SC" w:cs="Lohit Devanagari" w:ascii="Arial" w:hAnsi="Arial"/>
          <w:color w:val="auto"/>
          <w:kern w:val="2"/>
          <w:sz w:val="20"/>
          <w:szCs w:val="20"/>
          <w:lang w:val="en-GB" w:eastAsia="zh-CN" w:bidi="hi-IN"/>
        </w:rPr>
        <w:t>or</w:t>
      </w:r>
      <w:r>
        <w:rPr>
          <w:rFonts w:eastAsia="Noto Serif CJK SC" w:cs="Lohit Devanagari" w:ascii="Arial" w:hAnsi="Arial"/>
          <w:color w:val="auto"/>
          <w:kern w:val="2"/>
          <w:sz w:val="20"/>
          <w:szCs w:val="20"/>
          <w:lang w:val="en-GB" w:eastAsia="zh-CN" w:bidi="hi-IN"/>
        </w:rPr>
        <w:t xml:space="preserve"> the complex and non-linear relationships found in</w:t>
      </w:r>
      <w:r>
        <w:rPr>
          <w:rFonts w:ascii="Arial" w:hAnsi="Arial"/>
          <w:sz w:val="20"/>
          <w:szCs w:val="20"/>
        </w:rPr>
        <w:t xml:space="preserve"> neuroimaging data</w:t>
      </w:r>
      <w:r>
        <w:rPr>
          <w:rFonts w:ascii="Arial" w:hAnsi="Arial"/>
          <w:sz w:val="20"/>
          <w:szCs w:val="20"/>
        </w:rPr>
        <w:t>[72]</w:t>
      </w:r>
      <w:r>
        <w:rPr>
          <w:rFonts w:ascii="Arial" w:hAnsi="Arial"/>
          <w:sz w:val="20"/>
          <w:szCs w:val="20"/>
        </w:rPr>
        <w:t xml:space="preserve">. </w:t>
      </w:r>
      <w:r>
        <w:rPr>
          <w:rFonts w:ascii="Arial" w:hAnsi="Arial"/>
          <w:sz w:val="20"/>
          <w:szCs w:val="20"/>
        </w:rPr>
        <w:t xml:space="preserve">These methods need large datasets in order to pick up subtle patterns and to work out what might be ‘signal’ and what might be ‘noise’. Machine learning methods </w:t>
      </w:r>
      <w:r>
        <w:rPr>
          <w:rFonts w:ascii="Arial" w:hAnsi="Arial"/>
          <w:sz w:val="20"/>
          <w:szCs w:val="20"/>
        </w:rPr>
        <w:t>are a subset of AI tools that</w:t>
      </w:r>
      <w:r>
        <w:rPr>
          <w:rFonts w:ascii="Arial" w:hAnsi="Arial"/>
          <w:sz w:val="20"/>
          <w:szCs w:val="20"/>
        </w:rPr>
        <w:t xml:space="preserve"> have been used to predict the path of cognition in people with early signs of cognitive change with reasonable success</w:t>
      </w:r>
      <w:r>
        <w:rPr>
          <w:rFonts w:ascii="Arial" w:hAnsi="Arial"/>
          <w:sz w:val="20"/>
          <w:szCs w:val="20"/>
        </w:rPr>
        <w:t>[73, 74]</w:t>
      </w:r>
      <w:r>
        <w:rPr>
          <w:rFonts w:ascii="Arial" w:hAnsi="Arial"/>
          <w:sz w:val="20"/>
          <w:szCs w:val="20"/>
        </w:rPr>
        <w:t>, and in one study these findings were replicable in a second cohort of patients</w:t>
      </w:r>
      <w:r>
        <w:rPr>
          <w:rFonts w:ascii="Arial" w:hAnsi="Arial"/>
          <w:sz w:val="20"/>
          <w:szCs w:val="20"/>
        </w:rPr>
        <w:t>[75]</w:t>
      </w:r>
      <w:r>
        <w:rPr>
          <w:rFonts w:ascii="Arial" w:hAnsi="Arial"/>
          <w:sz w:val="20"/>
          <w:szCs w:val="20"/>
        </w:rPr>
        <w:t xml:space="preserve">. Hence, machine learning methods are showing </w:t>
      </w:r>
      <w:r>
        <w:rPr>
          <w:rFonts w:eastAsia="Noto Serif CJK SC" w:cs="Lohit Devanagari" w:ascii="Arial" w:hAnsi="Arial"/>
          <w:color w:val="auto"/>
          <w:kern w:val="2"/>
          <w:sz w:val="20"/>
          <w:szCs w:val="20"/>
          <w:lang w:val="en-GB" w:eastAsia="zh-CN" w:bidi="hi-IN"/>
        </w:rPr>
        <w:t>s</w:t>
      </w:r>
      <w:r>
        <w:rPr>
          <w:rFonts w:eastAsia="Noto Serif CJK SC" w:cs="Lohit Devanagari" w:ascii="Arial" w:hAnsi="Arial"/>
          <w:color w:val="auto"/>
          <w:kern w:val="2"/>
          <w:sz w:val="20"/>
          <w:szCs w:val="20"/>
          <w:lang w:val="en-GB" w:eastAsia="zh-CN" w:bidi="hi-IN"/>
        </w:rPr>
        <w:t>ome</w:t>
      </w:r>
      <w:r>
        <w:rPr>
          <w:rFonts w:ascii="Arial" w:hAnsi="Arial"/>
          <w:sz w:val="20"/>
          <w:szCs w:val="20"/>
        </w:rPr>
        <w:t xml:space="preserve"> promise in predicting cognitive change but do need to be translated to the clinical setting, which may require a cultural shift by clinicians who will need to adapt to using new information available from AI algorithms</w:t>
      </w:r>
      <w:r>
        <w:rPr>
          <w:rFonts w:ascii="Arial" w:hAnsi="Arial"/>
          <w:sz w:val="20"/>
          <w:szCs w:val="20"/>
        </w:rPr>
        <w:t>[76]</w:t>
      </w:r>
      <w:r>
        <w:rPr>
          <w:rFonts w:ascii="Arial" w:hAnsi="Arial"/>
          <w:sz w:val="20"/>
          <w:szCs w:val="20"/>
        </w:rPr>
        <w:t>.</w:t>
      </w:r>
    </w:p>
    <w:p>
      <w:pPr>
        <w:pStyle w:val="Normal"/>
        <w:bidi w:val="0"/>
        <w:rPr>
          <w:rFonts w:ascii="Arial" w:hAnsi="Arial"/>
          <w:sz w:val="20"/>
          <w:szCs w:val="20"/>
        </w:rPr>
      </w:pPr>
      <w:r>
        <w:rPr>
          <w:rFonts w:ascii="Arial" w:hAnsi="Arial"/>
          <w:sz w:val="20"/>
          <w:szCs w:val="20"/>
        </w:rPr>
      </w:r>
    </w:p>
    <w:p>
      <w:pPr>
        <w:pStyle w:val="Normal"/>
        <w:bidi w:val="0"/>
        <w:rPr/>
      </w:pPr>
      <w:r>
        <w:rPr>
          <w:rFonts w:ascii="Arial" w:hAnsi="Arial"/>
          <w:sz w:val="20"/>
          <w:szCs w:val="20"/>
        </w:rPr>
        <w:t>More complex models have been applied to the challenge of diagnosis using a subset of machine learning methods called ‘deep learning’ algorithms. Theoretically, these methods can detect a wider variety of features within a dataset, and they do indeed achieve a high accuracy (up to 96.0%) in the diagnosis of people with dementia</w:t>
      </w:r>
      <w:r>
        <w:rPr>
          <w:rFonts w:ascii="Arial" w:hAnsi="Arial"/>
          <w:sz w:val="20"/>
          <w:szCs w:val="20"/>
        </w:rPr>
        <w:t>[11]</w:t>
      </w:r>
      <w:r>
        <w:rPr>
          <w:rFonts w:ascii="Arial" w:hAnsi="Arial"/>
          <w:sz w:val="20"/>
          <w:szCs w:val="20"/>
        </w:rPr>
        <w:t xml:space="preserve">. But this improved accuracy comes at a cost of interpretability, ie it is not clear </w:t>
      </w:r>
      <w:r>
        <w:rPr>
          <w:rFonts w:eastAsia="Noto Serif CJK SC" w:cs="Lohit Devanagari" w:ascii="Arial" w:hAnsi="Arial"/>
          <w:color w:val="auto"/>
          <w:kern w:val="2"/>
          <w:sz w:val="20"/>
          <w:szCs w:val="20"/>
          <w:lang w:val="en-GB" w:eastAsia="zh-CN" w:bidi="hi-IN"/>
        </w:rPr>
        <w:t>w</w:t>
      </w:r>
      <w:r>
        <w:rPr>
          <w:rFonts w:eastAsia="Noto Serif CJK SC" w:cs="Lohit Devanagari" w:ascii="Arial" w:hAnsi="Arial"/>
          <w:color w:val="auto"/>
          <w:kern w:val="2"/>
          <w:sz w:val="20"/>
          <w:szCs w:val="20"/>
          <w:lang w:val="en-GB" w:eastAsia="zh-CN" w:bidi="hi-IN"/>
        </w:rPr>
        <w:t>hat parts of the scan</w:t>
      </w:r>
      <w:r>
        <w:rPr>
          <w:rFonts w:ascii="Arial" w:hAnsi="Arial"/>
          <w:sz w:val="20"/>
          <w:szCs w:val="20"/>
        </w:rPr>
        <w:t xml:space="preserve"> are being used to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ssign</w:t>
      </w:r>
      <w:r>
        <w:rPr>
          <w:rFonts w:ascii="Arial" w:hAnsi="Arial"/>
          <w:sz w:val="20"/>
          <w:szCs w:val="20"/>
        </w:rPr>
        <w:t xml:space="preserve"> people to a diagnostic group. It could be argued that the lack of transparency doesn’t matter, as long as the answer is correct. But, if these methods are going to be transferred into routine clinical practice, the clinician must have an answer as to ‘why’ the algorithm assigns someone to having dementia or not. It may be there are other explanations </w:t>
      </w:r>
      <w:r>
        <w:rPr>
          <w:rFonts w:eastAsia="Noto Serif CJK SC" w:cs="Lohit Devanagari" w:ascii="Arial" w:hAnsi="Arial"/>
          <w:color w:val="auto"/>
          <w:kern w:val="2"/>
          <w:sz w:val="20"/>
          <w:szCs w:val="20"/>
          <w:lang w:val="en-GB" w:eastAsia="zh-CN" w:bidi="hi-IN"/>
        </w:rPr>
        <w:t>f</w:t>
      </w:r>
      <w:r>
        <w:rPr>
          <w:rFonts w:eastAsia="Noto Serif CJK SC" w:cs="Lohit Devanagari" w:ascii="Arial" w:hAnsi="Arial"/>
          <w:color w:val="auto"/>
          <w:kern w:val="2"/>
          <w:sz w:val="20"/>
          <w:szCs w:val="20"/>
          <w:lang w:val="en-GB" w:eastAsia="zh-CN" w:bidi="hi-IN"/>
        </w:rPr>
        <w:t>or</w:t>
      </w:r>
      <w:r>
        <w:rPr>
          <w:rFonts w:ascii="Arial" w:hAnsi="Arial"/>
          <w:sz w:val="20"/>
          <w:szCs w:val="20"/>
        </w:rPr>
        <w:t xml:space="preserve"> the brain changes picked out by the algorithm that could lead to misclassification, for example a person may have hippocampal sclerosis causing hippocampal atrophy and not Alzheimer’s disease. A few emerging methods may address the challenge of interpretation in deep learning, such as the DeepLight method that has successfully been applied to functional MRI data in the human connectome project</w:t>
      </w:r>
      <w:r>
        <w:rPr>
          <w:rFonts w:ascii="Arial" w:hAnsi="Arial"/>
          <w:sz w:val="20"/>
          <w:szCs w:val="20"/>
        </w:rPr>
        <w:t>[77]</w:t>
      </w:r>
      <w:r>
        <w:rPr>
          <w:rFonts w:ascii="Arial" w:hAnsi="Arial"/>
          <w:sz w:val="20"/>
          <w:szCs w:val="20"/>
        </w:rPr>
        <w:t>. Another way to overcome these challenges is by brute force – larger sets of training datasets in the tens or hundreds of thousands of scans, rather than the few hundred to a couple of thousand that we currently have available. These larger datasets will allow the deep learning algorithm to have ‘seen’ a particular abnormality multiple times before, even if it is uncommon, and the error rates will fall as a result. Even so, it may be that doctors are reluctant to trust an algorithm they do not fully understand.</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Translation</w:t>
      </w:r>
    </w:p>
    <w:p>
      <w:pPr>
        <w:pStyle w:val="Normal"/>
        <w:rPr>
          <w:rFonts w:ascii="Arial" w:hAnsi="Arial"/>
          <w:sz w:val="20"/>
          <w:szCs w:val="20"/>
        </w:rPr>
      </w:pPr>
      <w:r>
        <w:rPr>
          <w:rFonts w:ascii="Arial" w:hAnsi="Arial"/>
          <w:sz w:val="20"/>
          <w:szCs w:val="20"/>
        </w:rPr>
        <w:t xml:space="preserve">The advances in </w:t>
      </w:r>
      <w:r>
        <w:rPr>
          <w:rFonts w:ascii="Arial" w:hAnsi="Arial"/>
          <w:sz w:val="20"/>
          <w:szCs w:val="20"/>
        </w:rPr>
        <w:t xml:space="preserve">imaging shedding light on </w:t>
      </w:r>
      <w:r>
        <w:rPr>
          <w:rFonts w:ascii="Arial" w:hAnsi="Arial"/>
          <w:sz w:val="20"/>
          <w:szCs w:val="20"/>
        </w:rPr>
        <w:t>diagnosis, prognosis and patholog</w:t>
      </w:r>
      <w:r>
        <w:rPr>
          <w:rFonts w:ascii="Arial" w:hAnsi="Arial"/>
          <w:sz w:val="20"/>
          <w:szCs w:val="20"/>
        </w:rPr>
        <w:t>y</w:t>
      </w:r>
      <w:r>
        <w:rPr>
          <w:rFonts w:ascii="Arial" w:hAnsi="Arial"/>
          <w:sz w:val="20"/>
          <w:szCs w:val="20"/>
        </w:rPr>
        <w:t xml:space="preserve"> are welcome in the research world, but as yet they have made very little impact on clinical practice. </w:t>
      </w:r>
    </w:p>
    <w:p>
      <w:pPr>
        <w:pStyle w:val="Normal"/>
        <w:rPr>
          <w:rFonts w:ascii="Arial" w:hAnsi="Arial" w:eastAsia="Noto Serif CJK SC" w:cs="Lohit Devanagari"/>
          <w:color w:val="auto"/>
          <w:kern w:val="2"/>
          <w:sz w:val="20"/>
          <w:szCs w:val="20"/>
          <w:lang w:val="en-GB" w:eastAsia="zh-CN" w:bidi="hi-IN"/>
        </w:rPr>
      </w:pPr>
      <w:r>
        <w:rPr>
          <w:rFonts w:eastAsia="Noto Serif CJK SC" w:cs="Lohit Devanagari" w:ascii="Arial" w:hAnsi="Arial"/>
          <w:color w:val="auto"/>
          <w:kern w:val="2"/>
          <w:sz w:val="20"/>
          <w:szCs w:val="20"/>
          <w:lang w:val="en-GB" w:eastAsia="zh-CN" w:bidi="hi-IN"/>
        </w:rPr>
      </w:r>
    </w:p>
    <w:p>
      <w:pPr>
        <w:pStyle w:val="Normal"/>
        <w:rPr/>
      </w:pPr>
      <w:r>
        <w:rPr>
          <w:rFonts w:eastAsia="Noto Serif CJK SC" w:cs="Lohit Devanagari" w:ascii="Arial" w:hAnsi="Arial"/>
          <w:color w:val="auto"/>
          <w:kern w:val="2"/>
          <w:sz w:val="20"/>
          <w:szCs w:val="20"/>
          <w:lang w:val="en-GB" w:eastAsia="zh-CN" w:bidi="hi-IN"/>
        </w:rPr>
        <w:t>One</w:t>
      </w:r>
      <w:r>
        <w:rPr>
          <w:rFonts w:eastAsia="Noto Serif CJK SC" w:cs="Lohit Devanagari" w:ascii="Arial" w:hAnsi="Arial"/>
          <w:color w:val="auto"/>
          <w:kern w:val="2"/>
          <w:sz w:val="20"/>
          <w:szCs w:val="20"/>
          <w:lang w:val="en-GB" w:eastAsia="zh-CN" w:bidi="hi-IN"/>
        </w:rPr>
        <w:t xml:space="preserve"> critical issue in achieving this is the</w:t>
      </w:r>
      <w:r>
        <w:rPr>
          <w:rFonts w:ascii="Arial" w:hAnsi="Arial"/>
          <w:sz w:val="20"/>
          <w:szCs w:val="20"/>
        </w:rPr>
        <w:t xml:space="preserve"> standardisation of methodologies fo</w:t>
      </w:r>
      <w:r>
        <w:rPr>
          <w:rFonts w:ascii="Arial" w:hAnsi="Arial"/>
          <w:sz w:val="20"/>
          <w:szCs w:val="20"/>
        </w:rPr>
        <w:t>r neuroimaging data collection,</w:t>
      </w:r>
      <w:r>
        <w:rPr>
          <w:rFonts w:ascii="Arial" w:hAnsi="Arial"/>
          <w:sz w:val="20"/>
          <w:szCs w:val="20"/>
        </w:rPr>
        <w:t xml:space="preserve"> preprocessing and analysis. </w:t>
      </w:r>
      <w:r>
        <w:rPr>
          <w:rFonts w:ascii="Arial" w:hAnsi="Arial"/>
          <w:sz w:val="20"/>
          <w:szCs w:val="20"/>
        </w:rPr>
        <w:t>S</w:t>
      </w:r>
      <w:r>
        <w:rPr>
          <w:rFonts w:ascii="Arial" w:hAnsi="Arial"/>
          <w:sz w:val="20"/>
          <w:szCs w:val="20"/>
        </w:rPr>
        <w:t>tandard work schemes are beginning to emerge driven by the Organisation for Human Brain Mapping</w:t>
      </w:r>
      <w:r>
        <w:rPr>
          <w:rFonts w:ascii="Arial" w:hAnsi="Arial"/>
          <w:sz w:val="20"/>
          <w:szCs w:val="20"/>
        </w:rPr>
        <w:t>[78]</w:t>
      </w:r>
      <w:r>
        <w:rPr>
          <w:rFonts w:ascii="Arial" w:hAnsi="Arial"/>
          <w:sz w:val="20"/>
          <w:szCs w:val="20"/>
        </w:rPr>
        <w:t xml:space="preserve"> and large datasets such as the UK biobank </w:t>
      </w:r>
      <w:r>
        <w:rPr>
          <w:rFonts w:ascii="Arial" w:hAnsi="Arial"/>
          <w:sz w:val="20"/>
          <w:szCs w:val="20"/>
        </w:rPr>
        <w:t>(</w:t>
      </w:r>
      <w:hyperlink r:id="rId5">
        <w:r>
          <w:rPr>
            <w:rStyle w:val="InternetLink"/>
            <w:rFonts w:ascii="Arial" w:hAnsi="Arial"/>
            <w:sz w:val="20"/>
            <w:szCs w:val="20"/>
          </w:rPr>
          <w:t>https://imaging.ukbiobank.ac.uk/</w:t>
        </w:r>
      </w:hyperlink>
      <w:r>
        <w:rPr>
          <w:rFonts w:ascii="Arial" w:hAnsi="Arial"/>
          <w:sz w:val="20"/>
          <w:szCs w:val="20"/>
        </w:rPr>
        <w:t>)</w:t>
      </w:r>
      <w:r>
        <w:rPr>
          <w:rFonts w:ascii="Arial" w:hAnsi="Arial"/>
          <w:sz w:val="20"/>
          <w:szCs w:val="20"/>
        </w:rPr>
        <w:t xml:space="preserve"> and </w:t>
      </w:r>
      <w:r>
        <w:rPr>
          <w:rFonts w:ascii="Arial" w:hAnsi="Arial"/>
          <w:sz w:val="20"/>
          <w:szCs w:val="20"/>
        </w:rPr>
        <w:t xml:space="preserve">the </w:t>
      </w:r>
      <w:r>
        <w:rPr>
          <w:rFonts w:ascii="Arial" w:hAnsi="Arial"/>
          <w:sz w:val="20"/>
          <w:szCs w:val="20"/>
        </w:rPr>
        <w:t>Human Connectome Project</w:t>
      </w:r>
      <w:r>
        <w:rPr>
          <w:rFonts w:ascii="Arial" w:hAnsi="Arial"/>
          <w:sz w:val="20"/>
          <w:szCs w:val="20"/>
        </w:rPr>
        <w:t>[79]</w:t>
      </w:r>
      <w:r>
        <w:rPr>
          <w:rFonts w:ascii="Arial" w:hAnsi="Arial"/>
          <w:sz w:val="20"/>
          <w:szCs w:val="20"/>
        </w:rPr>
        <w:t xml:space="preserve">. However, even with standard methods there remain significant regulatory hurdles that are required to properly assess and register these methods as medical products. This process takes time and energy, probably beyond the scope of the scientists who develop them for their own </w:t>
      </w:r>
      <w:r>
        <w:rPr>
          <w:rFonts w:eastAsia="Noto Serif CJK SC" w:cs="Lohit Devanagari" w:ascii="Arial" w:hAnsi="Arial"/>
          <w:color w:val="auto"/>
          <w:kern w:val="2"/>
          <w:sz w:val="20"/>
          <w:szCs w:val="20"/>
          <w:lang w:val="en-GB" w:eastAsia="zh-CN" w:bidi="hi-IN"/>
        </w:rPr>
        <w:t>academic</w:t>
      </w:r>
      <w:r>
        <w:rPr>
          <w:rFonts w:ascii="Arial" w:hAnsi="Arial"/>
          <w:sz w:val="20"/>
          <w:szCs w:val="20"/>
        </w:rPr>
        <w:t xml:space="preserve"> work. Companies </w:t>
      </w:r>
      <w:r>
        <w:rPr>
          <w:rFonts w:ascii="Arial" w:hAnsi="Arial"/>
          <w:sz w:val="20"/>
          <w:szCs w:val="20"/>
        </w:rPr>
        <w:t>would usually take on and scale up such products but</w:t>
      </w:r>
      <w:r>
        <w:rPr>
          <w:rFonts w:ascii="Arial" w:hAnsi="Arial"/>
          <w:sz w:val="20"/>
          <w:szCs w:val="20"/>
        </w:rPr>
        <w:t xml:space="preserve"> </w:t>
      </w:r>
      <w:r>
        <w:rPr>
          <w:rFonts w:ascii="Arial" w:hAnsi="Arial"/>
          <w:sz w:val="20"/>
          <w:szCs w:val="20"/>
        </w:rPr>
        <w:t>may be reluctant to</w:t>
      </w:r>
      <w:r>
        <w:rPr>
          <w:rFonts w:ascii="Arial" w:hAnsi="Arial"/>
          <w:sz w:val="20"/>
          <w:szCs w:val="20"/>
        </w:rPr>
        <w:t xml:space="preserve"> tak</w:t>
      </w:r>
      <w:r>
        <w:rPr>
          <w:rFonts w:ascii="Arial" w:hAnsi="Arial"/>
          <w:sz w:val="20"/>
          <w:szCs w:val="20"/>
        </w:rPr>
        <w:t>e</w:t>
      </w:r>
      <w:r>
        <w:rPr>
          <w:rFonts w:ascii="Arial" w:hAnsi="Arial"/>
          <w:sz w:val="20"/>
          <w:szCs w:val="20"/>
        </w:rPr>
        <w:t xml:space="preserve"> on methods that are already in the public domain through </w:t>
      </w:r>
      <w:r>
        <w:rPr>
          <w:rFonts w:ascii="Arial" w:hAnsi="Arial"/>
          <w:sz w:val="20"/>
          <w:szCs w:val="20"/>
        </w:rPr>
        <w:t xml:space="preserve">(hugely valuable) </w:t>
      </w:r>
      <w:r>
        <w:rPr>
          <w:rFonts w:ascii="Arial" w:hAnsi="Arial"/>
          <w:sz w:val="20"/>
          <w:szCs w:val="20"/>
        </w:rPr>
        <w:t xml:space="preserve">open science initiatives. It may, therefore, fall to clinicians to </w:t>
      </w:r>
      <w:r>
        <w:rPr>
          <w:rFonts w:eastAsia="Noto Serif CJK SC" w:cs="Lohit Devanagari" w:ascii="Arial" w:hAnsi="Arial"/>
          <w:color w:val="auto"/>
          <w:kern w:val="2"/>
          <w:sz w:val="20"/>
          <w:szCs w:val="20"/>
          <w:lang w:val="en-GB" w:eastAsia="zh-CN" w:bidi="hi-IN"/>
        </w:rPr>
        <w:t>take the lead to ensure that</w:t>
      </w:r>
      <w:r>
        <w:rPr>
          <w:rFonts w:ascii="Arial" w:hAnsi="Arial"/>
          <w:sz w:val="20"/>
          <w:szCs w:val="20"/>
        </w:rPr>
        <w:t xml:space="preserve"> methods considered standard in academic circles </w:t>
      </w:r>
      <w:r>
        <w:rPr>
          <w:rFonts w:eastAsia="Noto Serif CJK SC" w:cs="Lohit Devanagari" w:ascii="Arial" w:hAnsi="Arial"/>
          <w:color w:val="auto"/>
          <w:kern w:val="2"/>
          <w:sz w:val="20"/>
          <w:szCs w:val="20"/>
          <w:lang w:val="en-GB" w:eastAsia="zh-CN" w:bidi="hi-IN"/>
        </w:rPr>
        <w:t>are</w:t>
      </w:r>
      <w:r>
        <w:rPr>
          <w:rFonts w:ascii="Arial" w:hAnsi="Arial"/>
          <w:sz w:val="20"/>
          <w:szCs w:val="20"/>
        </w:rPr>
        <w:t xml:space="preserve"> translate</w:t>
      </w:r>
      <w:r>
        <w:rPr>
          <w:rFonts w:ascii="Arial" w:hAnsi="Arial"/>
          <w:sz w:val="20"/>
          <w:szCs w:val="20"/>
        </w:rPr>
        <w:t>d</w:t>
      </w:r>
      <w:r>
        <w:rPr>
          <w:rFonts w:ascii="Arial" w:hAnsi="Arial"/>
          <w:sz w:val="20"/>
          <w:szCs w:val="20"/>
        </w:rPr>
        <w:t xml:space="preserve"> to clinical practice.</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The next big thing…?</w:t>
      </w:r>
    </w:p>
    <w:p>
      <w:pPr>
        <w:pStyle w:val="Normal"/>
        <w:rPr/>
      </w:pPr>
      <w:r>
        <w:rPr>
          <w:rFonts w:ascii="Arial" w:hAnsi="Arial"/>
          <w:sz w:val="20"/>
          <w:szCs w:val="20"/>
        </w:rPr>
        <w:t>It is, of course, notoriously difficult to predict future trends in any field. But one modality of MRI that is receiving increasing attention is Quantitative Susceptibility Mapping (QSM). This technique is sensitive to iron, calcium and other magnetic substances</w:t>
      </w:r>
      <w:r>
        <w:rPr>
          <w:rFonts w:ascii="Arial" w:hAnsi="Arial"/>
          <w:sz w:val="20"/>
          <w:szCs w:val="20"/>
        </w:rPr>
        <w:t>[80]</w:t>
      </w:r>
      <w:r>
        <w:rPr>
          <w:rFonts w:ascii="Arial" w:hAnsi="Arial"/>
          <w:sz w:val="20"/>
          <w:szCs w:val="20"/>
        </w:rPr>
        <w:t>. The deposition of iron measured using QSM has been linked with cognition in Alzheimer’s disease</w:t>
      </w:r>
      <w:r>
        <w:rPr>
          <w:rFonts w:ascii="Arial" w:hAnsi="Arial"/>
          <w:sz w:val="20"/>
          <w:szCs w:val="20"/>
        </w:rPr>
        <w:t>[81]</w:t>
      </w:r>
      <w:r>
        <w:rPr>
          <w:rFonts w:ascii="Arial" w:hAnsi="Arial"/>
          <w:sz w:val="20"/>
          <w:szCs w:val="20"/>
        </w:rPr>
        <w:t xml:space="preserve"> and Parkinson’s disease</w:t>
      </w:r>
      <w:r>
        <w:rPr>
          <w:rFonts w:ascii="Arial" w:hAnsi="Arial"/>
          <w:sz w:val="20"/>
          <w:szCs w:val="20"/>
        </w:rPr>
        <w:t>[82]</w:t>
      </w:r>
      <w:r>
        <w:rPr>
          <w:rFonts w:ascii="Arial" w:hAnsi="Arial"/>
          <w:sz w:val="20"/>
          <w:szCs w:val="20"/>
        </w:rPr>
        <w:t xml:space="preserve">. In Alzheimer’s disease, iron is found in the plaques and tangles that characterise the disease, though there is still some work required to establish what exactly is being identified, for example </w:t>
      </w:r>
      <w:r>
        <w:rPr>
          <w:rFonts w:eastAsia="Noto Serif CJK SC" w:cs="Lohit Devanagari" w:ascii="Arial" w:hAnsi="Arial"/>
          <w:color w:val="auto"/>
          <w:kern w:val="2"/>
          <w:sz w:val="20"/>
          <w:szCs w:val="20"/>
          <w:lang w:val="en-GB" w:eastAsia="zh-CN" w:bidi="hi-IN"/>
        </w:rPr>
        <w:t>w</w:t>
      </w:r>
      <w:r>
        <w:rPr>
          <w:rFonts w:eastAsia="Noto Serif CJK SC" w:cs="Lohit Devanagari" w:ascii="Arial" w:hAnsi="Arial"/>
          <w:color w:val="auto"/>
          <w:kern w:val="2"/>
          <w:sz w:val="20"/>
          <w:szCs w:val="20"/>
          <w:lang w:val="en-GB" w:eastAsia="zh-CN" w:bidi="hi-IN"/>
        </w:rPr>
        <w:t xml:space="preserve">hether ferrous or ferric </w:t>
      </w:r>
      <w:r>
        <w:rPr>
          <w:rFonts w:ascii="Arial" w:hAnsi="Arial"/>
          <w:sz w:val="20"/>
          <w:szCs w:val="20"/>
        </w:rPr>
        <w:t>iron is picked up by QSM. Although iron chelation therapy is now being trialled in some of these condition, the drugs can cause life-threatening complications of agranulocytosis and neutropeni</w:t>
      </w:r>
      <w:r>
        <w:rPr>
          <w:rFonts w:ascii="Arial" w:hAnsi="Arial"/>
          <w:sz w:val="20"/>
          <w:szCs w:val="20"/>
        </w:rPr>
        <w:t>a</w:t>
      </w:r>
      <w:r>
        <w:rPr>
          <w:rFonts w:ascii="Arial" w:hAnsi="Arial"/>
          <w:sz w:val="20"/>
          <w:szCs w:val="20"/>
        </w:rPr>
        <w:t xml:space="preserve">  which tempers ones enthusiasm for them </w:t>
      </w:r>
      <w:r>
        <w:rPr>
          <w:rFonts w:ascii="Arial" w:hAnsi="Arial"/>
          <w:sz w:val="20"/>
          <w:szCs w:val="20"/>
        </w:rPr>
        <w:t>[83]</w:t>
      </w:r>
      <w:r>
        <w:rPr>
          <w:rFonts w:ascii="Arial" w:hAnsi="Arial"/>
          <w:sz w:val="20"/>
          <w:szCs w:val="20"/>
        </w:rPr>
        <w:t>, but nevertheless this imaging modality may yet shed light on the role of iron in the aetiology of neurodegeneration, and prove to be a useful non-invasive biomarker.</w:t>
      </w:r>
    </w:p>
    <w:p>
      <w:pPr>
        <w:pStyle w:val="Normal"/>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Conclusions</w:t>
      </w:r>
    </w:p>
    <w:p>
      <w:pPr>
        <w:pStyle w:val="Normal"/>
        <w:bidi w:val="0"/>
        <w:jc w:val="left"/>
        <w:rPr>
          <w:rFonts w:ascii="Arial" w:hAnsi="Arial"/>
          <w:sz w:val="20"/>
          <w:szCs w:val="20"/>
        </w:rPr>
      </w:pPr>
      <w:r>
        <w:rPr>
          <w:rFonts w:ascii="Arial" w:hAnsi="Arial"/>
          <w:sz w:val="20"/>
          <w:szCs w:val="20"/>
        </w:rPr>
        <w:t xml:space="preserve">In conclusion, the field of neuroimaging is maturing from the simple measurement of volume and structure, to a host of methods that can identify better methods for monitoring disease progression and pathology as well as help us to better understand patterns of neurodegeneration, and uncover mechanisms that protect cognitive function in the face of neuropathology. </w:t>
      </w:r>
      <w:r>
        <w:rPr>
          <w:rFonts w:eastAsia="Noto Serif CJK SC" w:cs="Lohit Devanagari" w:ascii="Arial" w:hAnsi="Arial"/>
          <w:color w:val="auto"/>
          <w:kern w:val="2"/>
          <w:sz w:val="20"/>
          <w:szCs w:val="20"/>
          <w:lang w:val="en-GB" w:eastAsia="zh-CN" w:bidi="hi-IN"/>
        </w:rPr>
        <w:t>A</w:t>
      </w:r>
      <w:r>
        <w:rPr>
          <w:rFonts w:eastAsia="Noto Serif CJK SC" w:cs="Lohit Devanagari" w:ascii="Arial" w:hAnsi="Arial"/>
          <w:color w:val="auto"/>
          <w:kern w:val="2"/>
          <w:sz w:val="20"/>
          <w:szCs w:val="20"/>
          <w:lang w:val="en-GB" w:eastAsia="zh-CN" w:bidi="hi-IN"/>
        </w:rPr>
        <w:t>s</w:t>
      </w:r>
      <w:r>
        <w:rPr>
          <w:rFonts w:ascii="Arial" w:hAnsi="Arial"/>
          <w:sz w:val="20"/>
          <w:szCs w:val="20"/>
        </w:rPr>
        <w:t xml:space="preserve"> these methods mature, it </w:t>
      </w:r>
      <w:r>
        <w:rPr>
          <w:rFonts w:eastAsia="Noto Serif CJK SC" w:cs="Lohit Devanagari" w:ascii="Arial" w:hAnsi="Arial"/>
          <w:color w:val="auto"/>
          <w:kern w:val="2"/>
          <w:sz w:val="20"/>
          <w:szCs w:val="20"/>
          <w:lang w:val="en-GB" w:eastAsia="zh-CN" w:bidi="hi-IN"/>
        </w:rPr>
        <w:t>w</w:t>
      </w:r>
      <w:r>
        <w:rPr>
          <w:rFonts w:eastAsia="Noto Serif CJK SC" w:cs="Lohit Devanagari" w:ascii="Arial" w:hAnsi="Arial"/>
          <w:color w:val="auto"/>
          <w:kern w:val="2"/>
          <w:sz w:val="20"/>
          <w:szCs w:val="20"/>
          <w:lang w:val="en-GB" w:eastAsia="zh-CN" w:bidi="hi-IN"/>
        </w:rPr>
        <w:t>ill</w:t>
      </w:r>
      <w:r>
        <w:rPr>
          <w:rFonts w:ascii="Arial" w:hAnsi="Arial"/>
          <w:sz w:val="20"/>
          <w:szCs w:val="20"/>
        </w:rPr>
        <w:t xml:space="preserve"> be up to clinicians to lead their translation to the</w:t>
      </w:r>
      <w:r>
        <w:rPr>
          <w:rFonts w:ascii="Arial" w:hAnsi="Arial"/>
          <w:sz w:val="20"/>
          <w:szCs w:val="20"/>
        </w:rPr>
        <w:t xml:space="preserve"> clinical world. </w:t>
      </w:r>
      <w:r>
        <w:rPr>
          <w:rFonts w:eastAsia="Noto Serif CJK SC" w:cs="Lohit Devanagari" w:ascii="Arial" w:hAnsi="Arial"/>
          <w:color w:val="auto"/>
          <w:kern w:val="2"/>
          <w:sz w:val="20"/>
          <w:szCs w:val="20"/>
          <w:lang w:val="en-GB" w:eastAsia="zh-CN" w:bidi="hi-IN"/>
        </w:rPr>
        <w:t>I</w:t>
      </w:r>
      <w:r>
        <w:rPr>
          <w:rFonts w:eastAsia="Noto Serif CJK SC" w:cs="Lohit Devanagari" w:ascii="Arial" w:hAnsi="Arial"/>
          <w:color w:val="auto"/>
          <w:kern w:val="2"/>
          <w:sz w:val="20"/>
          <w:szCs w:val="20"/>
          <w:lang w:val="en-GB" w:eastAsia="zh-CN" w:bidi="hi-IN"/>
        </w:rPr>
        <w:t>f</w:t>
      </w:r>
      <w:r>
        <w:rPr>
          <w:rFonts w:ascii="Arial" w:hAnsi="Arial"/>
          <w:sz w:val="20"/>
          <w:szCs w:val="20"/>
        </w:rPr>
        <w:t xml:space="preserve"> that can be achieved, the revolution in neuroimaging will be complete.</w:t>
      </w:r>
    </w:p>
    <w:p>
      <w:pPr>
        <w:pStyle w:val="Normal"/>
        <w:bidi w:val="0"/>
        <w:jc w:val="left"/>
        <w:rPr>
          <w:rFonts w:ascii="Arial" w:hAnsi="Arial"/>
          <w:sz w:val="20"/>
          <w:szCs w:val="20"/>
        </w:rPr>
      </w:pPr>
      <w:r>
        <w:rPr>
          <w:rFonts w:ascii="Arial" w:hAnsi="Arial"/>
          <w:sz w:val="20"/>
          <w:szCs w:val="20"/>
        </w:rPr>
      </w:r>
    </w:p>
    <w:p>
      <w:pPr>
        <w:pStyle w:val="Normal"/>
        <w:bidi w:val="0"/>
        <w:jc w:val="left"/>
        <w:rPr>
          <w:rFonts w:ascii="Arial" w:hAnsi="Arial"/>
          <w:b/>
          <w:b/>
          <w:bCs/>
          <w:sz w:val="20"/>
          <w:szCs w:val="20"/>
        </w:rPr>
      </w:pPr>
      <w:r>
        <w:rPr>
          <w:rFonts w:ascii="Arial" w:hAnsi="Arial"/>
          <w:b/>
          <w:bCs/>
          <w:sz w:val="20"/>
          <w:szCs w:val="20"/>
        </w:rPr>
        <w:t>References</w:t>
      </w:r>
    </w:p>
    <w:p>
      <w:pPr>
        <w:sectPr>
          <w:footerReference w:type="default" r:id="rId6"/>
          <w:type w:val="nextPage"/>
          <w:pgSz w:w="11906" w:h="16838"/>
          <w:pgMar w:left="1134" w:right="1134" w:header="0" w:top="1134" w:footer="1134" w:bottom="1693" w:gutter="0"/>
          <w:pgNumType w:fmt="decimal"/>
          <w:formProt w:val="false"/>
          <w:textDirection w:val="lrTb"/>
          <w:docGrid w:type="default" w:linePitch="360" w:charSpace="0"/>
        </w:sectPr>
      </w:pPr>
    </w:p>
    <w:p>
      <w:pPr>
        <w:pStyle w:val="Bibliography1"/>
        <w:rPr>
          <w:rFonts w:ascii="Arial" w:hAnsi="Arial"/>
          <w:sz w:val="20"/>
          <w:szCs w:val="20"/>
        </w:rPr>
      </w:pPr>
      <w:r>
        <w:rPr>
          <w:rFonts w:ascii="Arial" w:hAnsi="Arial"/>
          <w:sz w:val="20"/>
          <w:szCs w:val="20"/>
        </w:rPr>
        <w:t xml:space="preserve">1. </w:t>
        <w:tab/>
        <w:t>Rascovsky K, Hodges JR, Knopman DS, et al (2011) Sensitivity of revised diagnostic criteria for the behavioural variant of frontotemporal dementia. Brain 134:2456–77. https://doi.org/10.1093/brain/awr179</w:t>
      </w:r>
    </w:p>
    <w:p>
      <w:pPr>
        <w:pStyle w:val="Bibliography1"/>
        <w:rPr>
          <w:rFonts w:ascii="Arial" w:hAnsi="Arial"/>
          <w:sz w:val="20"/>
          <w:szCs w:val="20"/>
        </w:rPr>
      </w:pPr>
      <w:r>
        <w:rPr>
          <w:rFonts w:ascii="Arial" w:hAnsi="Arial"/>
          <w:sz w:val="20"/>
          <w:szCs w:val="20"/>
        </w:rPr>
        <w:t xml:space="preserve">2. </w:t>
        <w:tab/>
        <w:t>de Haan W, van der Flier WM, Wang H, et al (2012) Disruption of functional brain networks in Alzheimer’s disease: what can we learn from graph spectral analysis of resting-state magnetoencephalography? Brain Connect 2:45–55. https://doi.org/10.1089/brain.2011.0043</w:t>
      </w:r>
    </w:p>
    <w:p>
      <w:pPr>
        <w:pStyle w:val="Bibliography1"/>
        <w:rPr>
          <w:rFonts w:ascii="Arial" w:hAnsi="Arial"/>
          <w:sz w:val="20"/>
          <w:szCs w:val="20"/>
        </w:rPr>
      </w:pPr>
      <w:r>
        <w:rPr>
          <w:rFonts w:ascii="Arial" w:hAnsi="Arial"/>
          <w:sz w:val="20"/>
          <w:szCs w:val="20"/>
        </w:rPr>
        <w:t xml:space="preserve">3. </w:t>
        <w:tab/>
        <w:t>Yoshiura T, Hiwatashi A, Noguchi T, et al (2009) Arterial spin labelling at 3-T MR imaging for detection of individuals with Alzheimer’s disease. Eur Radiol 19:2819–2825. https://doi.org/10.1007/s00330-009-1511-6</w:t>
      </w:r>
    </w:p>
    <w:p>
      <w:pPr>
        <w:pStyle w:val="Bibliography1"/>
        <w:rPr>
          <w:rFonts w:ascii="Arial" w:hAnsi="Arial"/>
          <w:sz w:val="20"/>
          <w:szCs w:val="20"/>
        </w:rPr>
      </w:pPr>
      <w:r>
        <w:rPr>
          <w:rFonts w:ascii="Arial" w:hAnsi="Arial"/>
          <w:sz w:val="20"/>
          <w:szCs w:val="20"/>
        </w:rPr>
        <w:t xml:space="preserve">4. </w:t>
        <w:tab/>
        <w:t>Bron EE, Steketee RME, Houston GC, et al (2014) Diagnostic classification of arterial spin labeling and structural MRI in presenile early stage dementia. Human Brain Mapping 35:4916–4931. https://doi.org/10.1002/hbm.22522</w:t>
      </w:r>
    </w:p>
    <w:p>
      <w:pPr>
        <w:pStyle w:val="Bibliography1"/>
        <w:rPr>
          <w:rFonts w:ascii="Arial" w:hAnsi="Arial"/>
          <w:sz w:val="20"/>
          <w:szCs w:val="20"/>
        </w:rPr>
      </w:pPr>
      <w:r>
        <w:rPr>
          <w:rFonts w:ascii="Arial" w:hAnsi="Arial"/>
          <w:sz w:val="20"/>
          <w:szCs w:val="20"/>
        </w:rPr>
        <w:t xml:space="preserve">5. </w:t>
        <w:tab/>
        <w:t>Iturria-Medina Y, Carbonell FM, Sotero RC, et al (2017) Multifactorial causal model of brain (dis)organization and therapeutic intervention: Application to Alzheimer’s disease. NeuroImage 152:60–77. https://doi.org/10.1016/j.neuroimage.2017.02.058</w:t>
      </w:r>
    </w:p>
    <w:p>
      <w:pPr>
        <w:pStyle w:val="Bibliography1"/>
        <w:rPr>
          <w:rFonts w:ascii="Arial" w:hAnsi="Arial"/>
          <w:sz w:val="20"/>
          <w:szCs w:val="20"/>
        </w:rPr>
      </w:pPr>
      <w:r>
        <w:rPr>
          <w:rFonts w:ascii="Arial" w:hAnsi="Arial"/>
          <w:sz w:val="20"/>
          <w:szCs w:val="20"/>
        </w:rPr>
        <w:t xml:space="preserve">6. </w:t>
        <w:tab/>
        <w:t>Fox NC, Freeborough PA, Rossor MN (1996) Visualisation and quantification of rates of atrophy in Alzheimer’s disease. The Lancet 348:94–97. https://doi.org/10.1016/S0140-6736(96)05228-2</w:t>
      </w:r>
    </w:p>
    <w:p>
      <w:pPr>
        <w:pStyle w:val="Bibliography1"/>
        <w:rPr>
          <w:rFonts w:ascii="Arial" w:hAnsi="Arial"/>
          <w:sz w:val="20"/>
          <w:szCs w:val="20"/>
        </w:rPr>
      </w:pPr>
      <w:r>
        <w:rPr>
          <w:rFonts w:ascii="Arial" w:hAnsi="Arial"/>
          <w:sz w:val="20"/>
          <w:szCs w:val="20"/>
        </w:rPr>
        <w:t xml:space="preserve">7. </w:t>
        <w:tab/>
        <w:t>Tondelli M, Wilcock GK, Nichelli P, et al (2012) Structural MRI changes detectable up to ten years before clinical Alzheimer’s disease. Neurobiology of Aging 33:825.e25-825.e36. https://doi.org/10.1016/j.neurobiolaging.2011.05.018</w:t>
      </w:r>
    </w:p>
    <w:p>
      <w:pPr>
        <w:pStyle w:val="Bibliography1"/>
        <w:rPr>
          <w:rFonts w:ascii="Arial" w:hAnsi="Arial"/>
          <w:sz w:val="20"/>
          <w:szCs w:val="20"/>
        </w:rPr>
      </w:pPr>
      <w:r>
        <w:rPr>
          <w:rFonts w:ascii="Arial" w:hAnsi="Arial"/>
          <w:sz w:val="20"/>
          <w:szCs w:val="20"/>
        </w:rPr>
        <w:t xml:space="preserve">8. </w:t>
        <w:tab/>
        <w:t>Rohrer JD, Nicholas JM, Cash DM, et al (2015) Presymptomatic cognitive and neuroanatomical changes in genetic frontotemporal dementia in the Genetic Frontotemporal dementia Initiative ( GENFI ) study : a cross-sectional analysis. Lancet neurology 14:253–262. https://doi.org/10.1016/S1474-4422(14)70324-2</w:t>
      </w:r>
    </w:p>
    <w:p>
      <w:pPr>
        <w:pStyle w:val="Bibliography1"/>
        <w:rPr>
          <w:rFonts w:ascii="Arial" w:hAnsi="Arial"/>
          <w:sz w:val="20"/>
          <w:szCs w:val="20"/>
        </w:rPr>
      </w:pPr>
      <w:r>
        <w:rPr>
          <w:rFonts w:ascii="Arial" w:hAnsi="Arial"/>
          <w:sz w:val="20"/>
          <w:szCs w:val="20"/>
        </w:rPr>
        <w:t xml:space="preserve">9. </w:t>
        <w:tab/>
        <w:t>Young AL, Marinescu R-VV, Oxtoby NP, et al (2017) Uncovering the heterogeneity and temporal complexity of neurodegenerative diseases with Subtype and Stage Inference. Nature Communications 9:4273. https://doi.org/10.1101/236604</w:t>
      </w:r>
    </w:p>
    <w:p>
      <w:pPr>
        <w:pStyle w:val="Bibliography1"/>
        <w:rPr>
          <w:rFonts w:ascii="Arial" w:hAnsi="Arial"/>
          <w:sz w:val="20"/>
          <w:szCs w:val="20"/>
        </w:rPr>
      </w:pPr>
      <w:r>
        <w:rPr>
          <w:rFonts w:ascii="Arial" w:hAnsi="Arial"/>
          <w:sz w:val="20"/>
          <w:szCs w:val="20"/>
        </w:rPr>
        <w:t xml:space="preserve">10. </w:t>
        <w:tab/>
        <w:t>Lombardi G, Crescioli G, Cavedo E, et al (2020) Structural magnetic resonance imaging for the early diagnosis of dementia due to Alzheimer’s disease in people with mild cognitive impairment. Cochrane Database of Systematic Reviews. https://doi.org/10.1002/14651858.CD009628.pub2</w:t>
      </w:r>
    </w:p>
    <w:p>
      <w:pPr>
        <w:pStyle w:val="Bibliography1"/>
        <w:rPr>
          <w:rFonts w:ascii="Arial" w:hAnsi="Arial"/>
          <w:sz w:val="20"/>
          <w:szCs w:val="20"/>
        </w:rPr>
      </w:pPr>
      <w:r>
        <w:rPr>
          <w:rFonts w:ascii="Arial" w:hAnsi="Arial"/>
          <w:sz w:val="20"/>
          <w:szCs w:val="20"/>
        </w:rPr>
        <w:t xml:space="preserve">11. </w:t>
        <w:tab/>
        <w:t>Jo T, Nho K, Saykin AJ (2019) Deep Learning in Alzheimer’s Disease: Diagnostic Classification and Prognostic Prediction Using Neuroimaging Data. Front Aging Neurosci 11:220. https://doi.org/10.3389/fnagi.2019.00220</w:t>
      </w:r>
    </w:p>
    <w:p>
      <w:pPr>
        <w:pStyle w:val="Bibliography1"/>
        <w:rPr>
          <w:rFonts w:ascii="Arial" w:hAnsi="Arial"/>
          <w:sz w:val="20"/>
          <w:szCs w:val="20"/>
        </w:rPr>
      </w:pPr>
      <w:r>
        <w:rPr>
          <w:rFonts w:ascii="Arial" w:hAnsi="Arial"/>
          <w:sz w:val="20"/>
          <w:szCs w:val="20"/>
        </w:rPr>
        <w:t xml:space="preserve">12. </w:t>
        <w:tab/>
        <w:t>Clarke WT, Mougin O, Driver ID, et al (2020) Multi-site harmonization of 7 tesla MRI neuroimaging protocols. NeuroImage 206:116335. https://doi.org/10.1016/j.neuroimage.2019.116335</w:t>
      </w:r>
    </w:p>
    <w:p>
      <w:pPr>
        <w:pStyle w:val="Bibliography1"/>
        <w:rPr>
          <w:rFonts w:ascii="Arial" w:hAnsi="Arial"/>
          <w:sz w:val="20"/>
          <w:szCs w:val="20"/>
        </w:rPr>
      </w:pPr>
      <w:r>
        <w:rPr>
          <w:rFonts w:ascii="Arial" w:hAnsi="Arial"/>
          <w:sz w:val="20"/>
          <w:szCs w:val="20"/>
        </w:rPr>
        <w:t xml:space="preserve">13. </w:t>
        <w:tab/>
        <w:t>Theysohn JM, Kraff O, Maderwald S, et al (2011) 7 tesla MRI of microbleeds and white matter lesions as seen in vascular dementia. Journal of Magnetic Resonance Imaging 33:782–791. https://doi.org/10.1002/jmri.22513</w:t>
      </w:r>
    </w:p>
    <w:p>
      <w:pPr>
        <w:pStyle w:val="Bibliography1"/>
        <w:rPr>
          <w:rFonts w:ascii="Arial" w:hAnsi="Arial"/>
          <w:sz w:val="20"/>
          <w:szCs w:val="20"/>
        </w:rPr>
      </w:pPr>
      <w:r>
        <w:rPr>
          <w:rFonts w:ascii="Arial" w:hAnsi="Arial"/>
          <w:sz w:val="20"/>
          <w:szCs w:val="20"/>
        </w:rPr>
        <w:t xml:space="preserve">14. </w:t>
        <w:tab/>
        <w:t>Conijn MMA, Geerlings MI, Luijten PR, et al (2010) Visualization of cerebral microbleeds with dual-echo T2*-weighted magnetic resonance imaging at 7.0 T. Journal of Magnetic Resonance Imaging 32:52–59. https://doi.org/10.1002/jmri.22223</w:t>
      </w:r>
    </w:p>
    <w:p>
      <w:pPr>
        <w:pStyle w:val="Bibliography1"/>
        <w:rPr>
          <w:rFonts w:ascii="Arial" w:hAnsi="Arial"/>
          <w:sz w:val="20"/>
          <w:szCs w:val="20"/>
        </w:rPr>
      </w:pPr>
      <w:r>
        <w:rPr>
          <w:rFonts w:ascii="Arial" w:hAnsi="Arial"/>
          <w:sz w:val="20"/>
          <w:szCs w:val="20"/>
        </w:rPr>
        <w:t xml:space="preserve">15. </w:t>
        <w:tab/>
        <w:t>Brundel M, Heringa SM, de Bresser J, et al (2012) High prevalence of cerebral microbleeds at 7Tesla MRI in patients with early Alzheimer’s disease. J Alzheimers Dis 31:259–263. https://doi.org/10.3233/JAD-2012-120364</w:t>
      </w:r>
    </w:p>
    <w:p>
      <w:pPr>
        <w:pStyle w:val="Bibliography1"/>
        <w:rPr>
          <w:rFonts w:ascii="Arial" w:hAnsi="Arial"/>
          <w:sz w:val="20"/>
          <w:szCs w:val="20"/>
        </w:rPr>
      </w:pPr>
      <w:r>
        <w:rPr>
          <w:rFonts w:ascii="Arial" w:hAnsi="Arial"/>
          <w:sz w:val="20"/>
          <w:szCs w:val="20"/>
        </w:rPr>
        <w:t xml:space="preserve">16. </w:t>
        <w:tab/>
        <w:t>Parker TD, Cash DM, Lane CAS, et al (2019) Hippocampal subfield volumes and pre-clinical Alzheimer’s disease in 408 cognitively normal adults born in 1946. PLOS ONE 14:e0224030. https://doi.org/10.1371/journal.pone.0224030</w:t>
      </w:r>
    </w:p>
    <w:p>
      <w:pPr>
        <w:pStyle w:val="Bibliography1"/>
        <w:rPr>
          <w:rFonts w:ascii="Arial" w:hAnsi="Arial"/>
          <w:sz w:val="20"/>
          <w:szCs w:val="20"/>
        </w:rPr>
      </w:pPr>
      <w:r>
        <w:rPr>
          <w:rFonts w:ascii="Arial" w:hAnsi="Arial"/>
          <w:sz w:val="20"/>
          <w:szCs w:val="20"/>
        </w:rPr>
        <w:t xml:space="preserve">17. </w:t>
        <w:tab/>
        <w:t>Davies DC, Wilmott AC, Mann DMA (1988) Senile plaques are concentrated in the subicular region of the hippocampal formation in Alzheimer’s disease. Neuroscience Letters 94:228–233. https://doi.org/10.1016/0304-3940(88)90300-X</w:t>
      </w:r>
    </w:p>
    <w:p>
      <w:pPr>
        <w:pStyle w:val="Bibliography1"/>
        <w:rPr>
          <w:rFonts w:ascii="Arial" w:hAnsi="Arial"/>
          <w:sz w:val="20"/>
          <w:szCs w:val="20"/>
        </w:rPr>
      </w:pPr>
      <w:r>
        <w:rPr>
          <w:rFonts w:ascii="Arial" w:hAnsi="Arial"/>
          <w:sz w:val="20"/>
          <w:szCs w:val="20"/>
        </w:rPr>
        <w:t xml:space="preserve">18. </w:t>
        <w:tab/>
        <w:t>Carlesimo GA, Piras F, Orfei MD, et al (2015) Atrophy of presubiculum and subiculum is the earliest hippocampal anatomical marker of Alzheimer’s disease. Alzheimer’s &amp; Dementia: Diagnosis, Assessment &amp; Disease Monitoring 1:24–32. https://doi.org/10.1016/j.dadm.2014.12.001</w:t>
      </w:r>
    </w:p>
    <w:p>
      <w:pPr>
        <w:pStyle w:val="Bibliography1"/>
        <w:rPr>
          <w:rFonts w:ascii="Arial" w:hAnsi="Arial"/>
          <w:sz w:val="20"/>
          <w:szCs w:val="20"/>
        </w:rPr>
      </w:pPr>
      <w:r>
        <w:rPr>
          <w:rFonts w:ascii="Arial" w:hAnsi="Arial"/>
          <w:sz w:val="20"/>
          <w:szCs w:val="20"/>
        </w:rPr>
        <w:t xml:space="preserve">19. </w:t>
        <w:tab/>
        <w:t>Trampel R, Bazin P-L, Pine K, Weiskopf N (2019) In-vivo magnetic resonance imaging (MRI) of laminae in the human cortex. NeuroImage 197:707–715. https://doi.org/10.1016/j.neuroimage.2017.09.037</w:t>
      </w:r>
    </w:p>
    <w:p>
      <w:pPr>
        <w:pStyle w:val="Bibliography1"/>
        <w:rPr>
          <w:rFonts w:ascii="Arial" w:hAnsi="Arial"/>
          <w:sz w:val="20"/>
          <w:szCs w:val="20"/>
        </w:rPr>
      </w:pPr>
      <w:r>
        <w:rPr>
          <w:rFonts w:ascii="Arial" w:hAnsi="Arial"/>
          <w:sz w:val="20"/>
          <w:szCs w:val="20"/>
        </w:rPr>
        <w:t xml:space="preserve">20. </w:t>
        <w:tab/>
        <w:t>Kaalund SS, Passamonti L, Allinson KSJ, et al (2020) Locus coeruleus pathology in progressive supranuclear palsy, and its relation to disease severity. Acta Neuropathologica Communications 8:11. https://doi.org/10.1186/s40478-020-0886-0</w:t>
      </w:r>
    </w:p>
    <w:p>
      <w:pPr>
        <w:pStyle w:val="Bibliography1"/>
        <w:rPr>
          <w:rFonts w:ascii="Arial" w:hAnsi="Arial"/>
          <w:sz w:val="20"/>
          <w:szCs w:val="20"/>
        </w:rPr>
      </w:pPr>
      <w:r>
        <w:rPr>
          <w:rFonts w:ascii="Arial" w:hAnsi="Arial"/>
          <w:sz w:val="20"/>
          <w:szCs w:val="20"/>
        </w:rPr>
        <w:t xml:space="preserve">21. </w:t>
        <w:tab/>
        <w:t>Klunk WE, Engler H, Nordberg A, et al (2004) Imaging brain amyloid in Alzheimer’s disease with Pittsburgh Compound-B. Annals of neurology 55:306–319. https://doi.org/10.1002/ana.20009</w:t>
      </w:r>
    </w:p>
    <w:p>
      <w:pPr>
        <w:pStyle w:val="Bibliography1"/>
        <w:rPr>
          <w:rFonts w:ascii="Arial" w:hAnsi="Arial"/>
          <w:sz w:val="20"/>
          <w:szCs w:val="20"/>
        </w:rPr>
      </w:pPr>
      <w:r>
        <w:rPr>
          <w:rFonts w:ascii="Arial" w:hAnsi="Arial"/>
          <w:sz w:val="20"/>
          <w:szCs w:val="20"/>
        </w:rPr>
        <w:t xml:space="preserve">22. </w:t>
        <w:tab/>
        <w:t>Rowe CC, Ellis KA, Rimajova M, et al (2010) Amyloid imaging results from the Australian Imaging, Biomarkers and Lifestyle (AIBL) study of aging. Neurobiology of aging 31:1275–1283. https://doi.org/10.1016/j.neurobiolaging.2010.04.007</w:t>
      </w:r>
    </w:p>
    <w:p>
      <w:pPr>
        <w:pStyle w:val="Bibliography1"/>
        <w:rPr>
          <w:rFonts w:ascii="Arial" w:hAnsi="Arial"/>
          <w:sz w:val="20"/>
          <w:szCs w:val="20"/>
        </w:rPr>
      </w:pPr>
      <w:r>
        <w:rPr>
          <w:rFonts w:ascii="Arial" w:hAnsi="Arial"/>
          <w:sz w:val="20"/>
          <w:szCs w:val="20"/>
        </w:rPr>
        <w:t xml:space="preserve">23. </w:t>
        <w:tab/>
        <w:t>Rabinovici GD, Gatsonis C, Apgar C, et al (2019) Association of Amyloid Positron Emission Tomography With Subsequent Change in Clinical Management Among Medicare Beneficiaries With Mild Cognitive Impairment or Dementia. JAMA 321:1286–1294. https://doi.org/10.1001/jama.2019.2000</w:t>
      </w:r>
    </w:p>
    <w:p>
      <w:pPr>
        <w:pStyle w:val="Bibliography1"/>
        <w:rPr>
          <w:rFonts w:ascii="Arial" w:hAnsi="Arial"/>
          <w:sz w:val="20"/>
          <w:szCs w:val="20"/>
        </w:rPr>
      </w:pPr>
      <w:r>
        <w:rPr>
          <w:rFonts w:ascii="Arial" w:hAnsi="Arial"/>
          <w:sz w:val="20"/>
          <w:szCs w:val="20"/>
        </w:rPr>
        <w:t xml:space="preserve">24. </w:t>
        <w:tab/>
        <w:t>Lowe VJ, Curran G, Fang P, et al (2016) An autoradiographic evaluation of AV-1451 Tau PET in dementia. Acta Neuropathologica Communications 4:58. https://doi.org/10.1186/s40478-016-0315-6</w:t>
      </w:r>
    </w:p>
    <w:p>
      <w:pPr>
        <w:pStyle w:val="Bibliography1"/>
        <w:rPr>
          <w:rFonts w:ascii="Arial" w:hAnsi="Arial"/>
          <w:sz w:val="20"/>
          <w:szCs w:val="20"/>
        </w:rPr>
      </w:pPr>
      <w:r>
        <w:rPr>
          <w:rFonts w:ascii="Arial" w:hAnsi="Arial"/>
          <w:sz w:val="20"/>
          <w:szCs w:val="20"/>
        </w:rPr>
        <w:t xml:space="preserve">25. </w:t>
        <w:tab/>
        <w:t>Falcon B, Zivanov J, Zhang W, et al (2019) Novel tau filament fold in chronic traumatic encephalopathy encloses hydrophobic molecules. Nature 568:420–423. https://doi.org/10.1038/s41586-019-1026-5</w:t>
      </w:r>
    </w:p>
    <w:p>
      <w:pPr>
        <w:pStyle w:val="Bibliography1"/>
        <w:rPr>
          <w:rFonts w:ascii="Arial" w:hAnsi="Arial"/>
          <w:sz w:val="20"/>
          <w:szCs w:val="20"/>
        </w:rPr>
      </w:pPr>
      <w:r>
        <w:rPr>
          <w:rFonts w:ascii="Arial" w:hAnsi="Arial"/>
          <w:sz w:val="20"/>
          <w:szCs w:val="20"/>
        </w:rPr>
        <w:t xml:space="preserve">26. </w:t>
        <w:tab/>
        <w:t>Zhang W, Tarutani A, Newell KL, et al (2020) Novel tau filament fold in corticobasal degeneration. Nature. https://doi.org/10.1038/s41586-020-2043-0</w:t>
      </w:r>
    </w:p>
    <w:p>
      <w:pPr>
        <w:pStyle w:val="Bibliography1"/>
        <w:rPr>
          <w:rFonts w:ascii="Arial" w:hAnsi="Arial"/>
          <w:sz w:val="20"/>
          <w:szCs w:val="20"/>
        </w:rPr>
      </w:pPr>
      <w:r>
        <w:rPr>
          <w:rFonts w:ascii="Arial" w:hAnsi="Arial"/>
          <w:sz w:val="20"/>
          <w:szCs w:val="20"/>
        </w:rPr>
        <w:t xml:space="preserve">27. </w:t>
        <w:tab/>
        <w:t>Passamonti L, Rodríguez PV, Hong YT, et al (2018) PK11195 binding in Alzheimer disease and progressive supranuclear palsy. Neurology 90:e1989–e1996. https://doi.org/10.1212/WNL.0000000000005610</w:t>
      </w:r>
    </w:p>
    <w:p>
      <w:pPr>
        <w:pStyle w:val="Bibliography1"/>
        <w:rPr>
          <w:rFonts w:ascii="Arial" w:hAnsi="Arial"/>
          <w:sz w:val="20"/>
          <w:szCs w:val="20"/>
        </w:rPr>
      </w:pPr>
      <w:r>
        <w:rPr>
          <w:rFonts w:ascii="Arial" w:hAnsi="Arial"/>
          <w:sz w:val="20"/>
          <w:szCs w:val="20"/>
        </w:rPr>
        <w:t xml:space="preserve">28. </w:t>
        <w:tab/>
        <w:t>Bevan-Jones WR, Cope TE, Jones PS, et al (2018) [18F]AV-1451 binding in vivo mirrors the expected distribution of TDP-43 pathology in the semantic variant of primary progressive aphasia. J Neurol Neurosurg Psychiatry 89:1032–1037. https://doi.org/10.1136/jnnp-2017-316402</w:t>
      </w:r>
    </w:p>
    <w:p>
      <w:pPr>
        <w:pStyle w:val="Bibliography1"/>
        <w:rPr>
          <w:rFonts w:ascii="Arial" w:hAnsi="Arial"/>
          <w:sz w:val="20"/>
          <w:szCs w:val="20"/>
        </w:rPr>
      </w:pPr>
      <w:r>
        <w:rPr>
          <w:rFonts w:ascii="Arial" w:hAnsi="Arial"/>
          <w:sz w:val="20"/>
          <w:szCs w:val="20"/>
        </w:rPr>
        <w:t xml:space="preserve">29. </w:t>
        <w:tab/>
        <w:t>Makaretz SJ, Quimby M, Collins J, et al (2018) Flortaucipir tau PET imaging in semantic variant primary progressive aphasia. J Neurol Neurosurg Psychiatry 89:1024–1031. https://doi.org/10.1136/jnnp-2017-316409</w:t>
      </w:r>
    </w:p>
    <w:p>
      <w:pPr>
        <w:pStyle w:val="Bibliography1"/>
        <w:rPr>
          <w:rFonts w:ascii="Arial" w:hAnsi="Arial"/>
          <w:sz w:val="20"/>
          <w:szCs w:val="20"/>
        </w:rPr>
      </w:pPr>
      <w:r>
        <w:rPr>
          <w:rFonts w:ascii="Arial" w:hAnsi="Arial"/>
          <w:sz w:val="20"/>
          <w:szCs w:val="20"/>
        </w:rPr>
        <w:t xml:space="preserve">30. </w:t>
        <w:tab/>
        <w:t>Drake LR, Pham JM, Desmond TJ, et al (2019) Identification of AV-1451 as a Weak, Nonselective Inhibitor of Monoamine Oxidase. ACS Chem Neurosci 10:3839–3846. https://doi.org/10.1021/acschemneuro.9b00326</w:t>
      </w:r>
    </w:p>
    <w:p>
      <w:pPr>
        <w:pStyle w:val="Bibliography1"/>
        <w:rPr>
          <w:rFonts w:ascii="Arial" w:hAnsi="Arial"/>
          <w:sz w:val="20"/>
          <w:szCs w:val="20"/>
        </w:rPr>
      </w:pPr>
      <w:r>
        <w:rPr>
          <w:rFonts w:ascii="Arial" w:hAnsi="Arial"/>
          <w:sz w:val="20"/>
          <w:szCs w:val="20"/>
        </w:rPr>
        <w:t xml:space="preserve">31. </w:t>
        <w:tab/>
        <w:t>Murugan NA, Chiotis K, Rodriguez-Vieitez E, et al (2019) Cross-interaction of tau PET tracers with monoamine oxidase B: evidence from in silico modelling and in vivo imaging. Eur J Nucl Med Mol Imaging 46:1369–1382. https://doi.org/10.1007/s00259-019-04305-8</w:t>
      </w:r>
    </w:p>
    <w:p>
      <w:pPr>
        <w:pStyle w:val="Bibliography1"/>
        <w:rPr>
          <w:rFonts w:ascii="Arial" w:hAnsi="Arial"/>
          <w:sz w:val="20"/>
          <w:szCs w:val="20"/>
        </w:rPr>
      </w:pPr>
      <w:r>
        <w:rPr>
          <w:rFonts w:ascii="Arial" w:hAnsi="Arial"/>
          <w:sz w:val="20"/>
          <w:szCs w:val="20"/>
        </w:rPr>
        <w:t xml:space="preserve">32. </w:t>
        <w:tab/>
        <w:t>Leuzy A, Chiotis K, Lemoine L, et al (2019) Tau PET imaging in neurodegenerative tauopathies—still a challenge. Mol Psychiatry 24:1112–1134. https://doi.org/10.1038/s41380-018-0342-8</w:t>
      </w:r>
    </w:p>
    <w:p>
      <w:pPr>
        <w:pStyle w:val="Bibliography1"/>
        <w:rPr>
          <w:rFonts w:ascii="Arial" w:hAnsi="Arial"/>
          <w:sz w:val="20"/>
          <w:szCs w:val="20"/>
        </w:rPr>
      </w:pPr>
      <w:r>
        <w:rPr>
          <w:rFonts w:ascii="Arial" w:hAnsi="Arial"/>
          <w:sz w:val="20"/>
          <w:szCs w:val="20"/>
        </w:rPr>
        <w:t xml:space="preserve">33. </w:t>
        <w:tab/>
        <w:t>Passamonti L, Vázquez Rodríguez P, Hong YT, et al (2017) 18F-AV-1451 positron emission tomography in Alzheimer’s disease and progressive supranuclear palsy. Brain 140:781–791. https://doi.org/10.1093/brain/aww340</w:t>
      </w:r>
    </w:p>
    <w:p>
      <w:pPr>
        <w:pStyle w:val="Bibliography1"/>
        <w:rPr>
          <w:rFonts w:ascii="Arial" w:hAnsi="Arial"/>
          <w:sz w:val="20"/>
          <w:szCs w:val="20"/>
        </w:rPr>
      </w:pPr>
      <w:r>
        <w:rPr>
          <w:rFonts w:ascii="Arial" w:hAnsi="Arial"/>
          <w:sz w:val="20"/>
          <w:szCs w:val="20"/>
        </w:rPr>
        <w:t xml:space="preserve">34. </w:t>
        <w:tab/>
        <w:t>Utianski RL, Whitwell JL, Schwarz CG, et al (2018) Tau-PET imaging with [18F]AV-1451 in Primary Progressive Apraxia of Speech. Cortex 99:358–374. https://doi.org/10.1016/j.cortex.2017.12.021</w:t>
      </w:r>
    </w:p>
    <w:p>
      <w:pPr>
        <w:pStyle w:val="Bibliography1"/>
        <w:rPr>
          <w:rFonts w:ascii="Arial" w:hAnsi="Arial"/>
          <w:sz w:val="20"/>
          <w:szCs w:val="20"/>
        </w:rPr>
      </w:pPr>
      <w:r>
        <w:rPr>
          <w:rFonts w:ascii="Arial" w:hAnsi="Arial"/>
          <w:sz w:val="20"/>
          <w:szCs w:val="20"/>
        </w:rPr>
        <w:t xml:space="preserve">35. </w:t>
        <w:tab/>
        <w:t>Hickman S, Izzy S, Sen P, et al (2018) Microglia in neurodegeneration. Nat Neurosci 21:1359–1369. https://doi.org/10.1038/s41593-018-0242-x</w:t>
      </w:r>
    </w:p>
    <w:p>
      <w:pPr>
        <w:pStyle w:val="Bibliography1"/>
        <w:rPr>
          <w:rFonts w:ascii="Arial" w:hAnsi="Arial"/>
          <w:sz w:val="20"/>
          <w:szCs w:val="20"/>
        </w:rPr>
      </w:pPr>
      <w:r>
        <w:rPr>
          <w:rFonts w:ascii="Arial" w:hAnsi="Arial"/>
          <w:sz w:val="20"/>
          <w:szCs w:val="20"/>
        </w:rPr>
        <w:t xml:space="preserve">36. </w:t>
        <w:tab/>
        <w:t>Endres CJ, Pomper MG, James M, et al (2009) Initial Evaluation of 11C-DPA-713, a Novel TSPO PET Ligand, in Humans. J Nucl Med 50:1276–1282. https://doi.org/10.2967/jnumed.109.062265</w:t>
      </w:r>
    </w:p>
    <w:p>
      <w:pPr>
        <w:pStyle w:val="Bibliography1"/>
        <w:rPr>
          <w:rFonts w:ascii="Arial" w:hAnsi="Arial"/>
          <w:sz w:val="20"/>
          <w:szCs w:val="20"/>
        </w:rPr>
      </w:pPr>
      <w:r>
        <w:rPr>
          <w:rFonts w:ascii="Arial" w:hAnsi="Arial"/>
          <w:sz w:val="20"/>
          <w:szCs w:val="20"/>
        </w:rPr>
        <w:t xml:space="preserve">37. </w:t>
        <w:tab/>
        <w:t>Nicastro N, Mak E, Williams GB, et al (2020) Correlation of microglial activation with white matter changes in dementia with Lewy bodies. NeuroImage: Clinical 25:102200. https://doi.org/10.1016/j.nicl.2020.102200</w:t>
      </w:r>
    </w:p>
    <w:p>
      <w:pPr>
        <w:pStyle w:val="Bibliography1"/>
        <w:rPr>
          <w:rFonts w:ascii="Arial" w:hAnsi="Arial"/>
          <w:sz w:val="20"/>
          <w:szCs w:val="20"/>
        </w:rPr>
      </w:pPr>
      <w:r>
        <w:rPr>
          <w:rFonts w:ascii="Arial" w:hAnsi="Arial"/>
          <w:sz w:val="20"/>
          <w:szCs w:val="20"/>
        </w:rPr>
        <w:t xml:space="preserve">38. </w:t>
        <w:tab/>
        <w:t>Parbo P, Ismail R, Sommerauer M, et al (2018) Does inflammation precede tau aggregation in early Alzheimer’s disease? A PET study. Neurobiology of Disease 117:211–216. https://doi.org/10.1016/j.nbd.2018.06.004</w:t>
      </w:r>
    </w:p>
    <w:p>
      <w:pPr>
        <w:pStyle w:val="Bibliography1"/>
        <w:rPr>
          <w:rFonts w:ascii="Arial" w:hAnsi="Arial"/>
          <w:sz w:val="20"/>
          <w:szCs w:val="20"/>
        </w:rPr>
      </w:pPr>
      <w:r>
        <w:rPr>
          <w:rFonts w:ascii="Arial" w:hAnsi="Arial"/>
          <w:sz w:val="20"/>
          <w:szCs w:val="20"/>
        </w:rPr>
        <w:t xml:space="preserve">39. </w:t>
        <w:tab/>
        <w:t>Parbo P, Ismail R, Hansen KV, et al (2017) Brain inflammation accompanies amyloid in the majority of mild cognitive impairment cases due to Alzheimer’s disease. Brain 140:2002–2011. https://doi.org/10.1093/brain/awx120</w:t>
      </w:r>
    </w:p>
    <w:p>
      <w:pPr>
        <w:pStyle w:val="Bibliography1"/>
        <w:rPr>
          <w:rFonts w:ascii="Arial" w:hAnsi="Arial"/>
          <w:sz w:val="20"/>
          <w:szCs w:val="20"/>
        </w:rPr>
      </w:pPr>
      <w:r>
        <w:rPr>
          <w:rFonts w:ascii="Arial" w:hAnsi="Arial"/>
          <w:sz w:val="20"/>
          <w:szCs w:val="20"/>
        </w:rPr>
        <w:t xml:space="preserve">40. </w:t>
        <w:tab/>
        <w:t>Gerhard A, Watts J, Trender‐Gerhard I, et al (2004) In vivo imaging of microglial activation with [11C](R)-PK11195 PET in corticobasal degeneration. Movement Disorders 19:1221–1226. https://doi.org/10.1002/mds.20162</w:t>
      </w:r>
    </w:p>
    <w:p>
      <w:pPr>
        <w:pStyle w:val="Bibliography1"/>
        <w:rPr>
          <w:rFonts w:ascii="Arial" w:hAnsi="Arial"/>
          <w:sz w:val="20"/>
          <w:szCs w:val="20"/>
        </w:rPr>
      </w:pPr>
      <w:r>
        <w:rPr>
          <w:rFonts w:ascii="Arial" w:hAnsi="Arial"/>
          <w:sz w:val="20"/>
          <w:szCs w:val="20"/>
        </w:rPr>
        <w:t xml:space="preserve">41. </w:t>
        <w:tab/>
        <w:t>Gerhard A, Trender‐Gerhard I, Turkheimer F, et al (2006) In vivo imaging of microglial activation with [11C](R)-PK11195 PET in progressive supranuclear palsy. Movement Disorders 21:89–93. https://doi.org/10.1002/mds.20668</w:t>
      </w:r>
    </w:p>
    <w:p>
      <w:pPr>
        <w:pStyle w:val="Bibliography1"/>
        <w:rPr>
          <w:rFonts w:ascii="Arial" w:hAnsi="Arial"/>
          <w:sz w:val="20"/>
          <w:szCs w:val="20"/>
        </w:rPr>
      </w:pPr>
      <w:r>
        <w:rPr>
          <w:rFonts w:ascii="Arial" w:hAnsi="Arial"/>
          <w:sz w:val="20"/>
          <w:szCs w:val="20"/>
        </w:rPr>
        <w:t xml:space="preserve">42. </w:t>
        <w:tab/>
        <w:t>Cagnin A, Rossor M, Sampson EL, et al (2004) In vivo detection of microglial activation in frontotemporal dementia. Annals of Neurology 56:894–897. https://doi.org/10.1002/ana.20332</w:t>
      </w:r>
    </w:p>
    <w:p>
      <w:pPr>
        <w:pStyle w:val="Bibliography1"/>
        <w:rPr>
          <w:rFonts w:ascii="Arial" w:hAnsi="Arial"/>
          <w:sz w:val="20"/>
          <w:szCs w:val="20"/>
        </w:rPr>
      </w:pPr>
      <w:r>
        <w:rPr>
          <w:rFonts w:ascii="Arial" w:hAnsi="Arial"/>
          <w:sz w:val="20"/>
          <w:szCs w:val="20"/>
        </w:rPr>
        <w:t xml:space="preserve">43. </w:t>
        <w:tab/>
        <w:t>Kreisl WC, Jenko KJ, Hines CS, et al (2013) A Genetic Polymorphism for Translocator Protein 18 Kda Affects both in Vitro and in Vivo Radioligand Binding in Human Brain to this Putative Biomarker of Neuroinflammation. J Cereb Blood Flow Metab 33:53–58. https://doi.org/10.1038/jcbfm.2012.131</w:t>
      </w:r>
    </w:p>
    <w:p>
      <w:pPr>
        <w:pStyle w:val="Bibliography1"/>
        <w:rPr>
          <w:rFonts w:ascii="Arial" w:hAnsi="Arial"/>
          <w:sz w:val="20"/>
          <w:szCs w:val="20"/>
        </w:rPr>
      </w:pPr>
      <w:r>
        <w:rPr>
          <w:rFonts w:ascii="Arial" w:hAnsi="Arial"/>
          <w:sz w:val="20"/>
          <w:szCs w:val="20"/>
        </w:rPr>
        <w:t xml:space="preserve">44. </w:t>
        <w:tab/>
        <w:t>Nabulsi NB, Mercier J, Holden D, et al (2016) Synthesis and Preclinical Evaluation of 11C-UCB-J as a PET Tracer for Imaging the Synaptic Vesicle Glycoprotein 2A in the Brain. J Nucl Med 57:777–784. https://doi.org/10.2967/jnumed.115.168179</w:t>
      </w:r>
    </w:p>
    <w:p>
      <w:pPr>
        <w:pStyle w:val="Bibliography1"/>
        <w:rPr>
          <w:rFonts w:ascii="Arial" w:hAnsi="Arial"/>
          <w:sz w:val="20"/>
          <w:szCs w:val="20"/>
        </w:rPr>
      </w:pPr>
      <w:r>
        <w:rPr>
          <w:rFonts w:ascii="Arial" w:hAnsi="Arial"/>
          <w:sz w:val="20"/>
          <w:szCs w:val="20"/>
        </w:rPr>
        <w:t xml:space="preserve">45. </w:t>
        <w:tab/>
        <w:t>Chen M-K, Mecca AP, Naganawa M, et al (2018) Assessing Synaptic Density in Alzheimer Disease With Synaptic Vesicle Glycoprotein 2A Positron Emission Tomographic Imaging. JAMA Neurol 75:1215–1224. https://doi.org/10.1001/jamaneurol.2018.1836</w:t>
      </w:r>
    </w:p>
    <w:p>
      <w:pPr>
        <w:pStyle w:val="Bibliography1"/>
        <w:rPr>
          <w:rFonts w:ascii="Arial" w:hAnsi="Arial"/>
          <w:sz w:val="20"/>
          <w:szCs w:val="20"/>
        </w:rPr>
      </w:pPr>
      <w:r>
        <w:rPr>
          <w:rFonts w:ascii="Arial" w:hAnsi="Arial"/>
          <w:sz w:val="20"/>
          <w:szCs w:val="20"/>
        </w:rPr>
        <w:t xml:space="preserve">46. </w:t>
        <w:tab/>
        <w:t>Yousefi BH, Shi K, Arzberger T, et al (2019) Translational study of a novel alpha-synuclein PET tracer designed for first-in-human investigating. In: Nuklearmedizin. Georg Thieme Verlag KG, p L25</w:t>
      </w:r>
    </w:p>
    <w:p>
      <w:pPr>
        <w:pStyle w:val="Bibliography1"/>
        <w:rPr>
          <w:rFonts w:ascii="Arial" w:hAnsi="Arial"/>
          <w:sz w:val="20"/>
          <w:szCs w:val="20"/>
        </w:rPr>
      </w:pPr>
      <w:r>
        <w:rPr>
          <w:rFonts w:ascii="Arial" w:hAnsi="Arial"/>
          <w:sz w:val="20"/>
          <w:szCs w:val="20"/>
        </w:rPr>
        <w:t xml:space="preserve">47. </w:t>
        <w:tab/>
        <w:t>Maurer A, Leonov A, Ryazanov S, et al (2020) 11C Radiolabeling of anle253b: a Putative PET Tracer for Parkinson’s Disease That Binds to α-Synuclein Fibrils in vitro and Crosses the Blood-Brain Barrier. ChemMedChem 15:411–415. https://doi.org/10.1002/cmdc.201900689</w:t>
      </w:r>
    </w:p>
    <w:p>
      <w:pPr>
        <w:pStyle w:val="Bibliography1"/>
        <w:rPr>
          <w:rFonts w:ascii="Arial" w:hAnsi="Arial"/>
          <w:sz w:val="20"/>
          <w:szCs w:val="20"/>
        </w:rPr>
      </w:pPr>
      <w:r>
        <w:rPr>
          <w:rFonts w:ascii="Arial" w:hAnsi="Arial"/>
          <w:sz w:val="20"/>
          <w:szCs w:val="20"/>
        </w:rPr>
        <w:t xml:space="preserve">48. </w:t>
        <w:tab/>
        <w:t>Pievani M, de Haan W, Wu T, et al (2011) Functional network disruption in the degenerative dementias. Lancet neurology 10:829–843. https://doi.org/10.1016/S1474-4422(11)70158-2</w:t>
      </w:r>
    </w:p>
    <w:p>
      <w:pPr>
        <w:pStyle w:val="Bibliography1"/>
        <w:rPr>
          <w:rFonts w:ascii="Arial" w:hAnsi="Arial"/>
          <w:sz w:val="20"/>
          <w:szCs w:val="20"/>
        </w:rPr>
      </w:pPr>
      <w:r>
        <w:rPr>
          <w:rFonts w:ascii="Arial" w:hAnsi="Arial"/>
          <w:sz w:val="20"/>
          <w:szCs w:val="20"/>
        </w:rPr>
        <w:t xml:space="preserve">49. </w:t>
        <w:tab/>
        <w:t>Bullmore ET, Sporns O (2009) Complex brain networks: graph theoretical analysis of structural and functional systems. Nature reviews Neuroscience 10:186–98. https://doi.org/10.1038/nrn2575</w:t>
      </w:r>
    </w:p>
    <w:p>
      <w:pPr>
        <w:pStyle w:val="Bibliography1"/>
        <w:rPr>
          <w:rFonts w:ascii="Arial" w:hAnsi="Arial"/>
          <w:sz w:val="20"/>
          <w:szCs w:val="20"/>
        </w:rPr>
      </w:pPr>
      <w:r>
        <w:rPr>
          <w:rFonts w:ascii="Arial" w:hAnsi="Arial"/>
          <w:sz w:val="20"/>
          <w:szCs w:val="20"/>
        </w:rPr>
        <w:t xml:space="preserve">50. </w:t>
        <w:tab/>
        <w:t>Zhou J, Gennatas ED, Kramer JH, et al (2012) Predicting Regional Neurodegeneration from the Healthy Brain Functional Connectome. Neuron 73:1216–1227. https://doi.org/10.1016/j.neuron.2012.03.004</w:t>
      </w:r>
    </w:p>
    <w:p>
      <w:pPr>
        <w:pStyle w:val="Bibliography1"/>
        <w:rPr>
          <w:rFonts w:ascii="Arial" w:hAnsi="Arial"/>
          <w:sz w:val="20"/>
          <w:szCs w:val="20"/>
        </w:rPr>
      </w:pPr>
      <w:r>
        <w:rPr>
          <w:rFonts w:ascii="Arial" w:hAnsi="Arial"/>
          <w:sz w:val="20"/>
          <w:szCs w:val="20"/>
        </w:rPr>
        <w:t xml:space="preserve">51. </w:t>
        <w:tab/>
        <w:t>Zhou J, Greicius MD, Gennatas ED, et al (2010) Divergent network connectivity changes in behavioural variant frontotemporal dementia and Alzheimer’s disease. Brain 133:1352–1367. https://doi.org/10.1093/brain/awq075</w:t>
      </w:r>
    </w:p>
    <w:p>
      <w:pPr>
        <w:pStyle w:val="Bibliography1"/>
        <w:rPr>
          <w:rFonts w:ascii="Arial" w:hAnsi="Arial"/>
          <w:sz w:val="20"/>
          <w:szCs w:val="20"/>
        </w:rPr>
      </w:pPr>
      <w:r>
        <w:rPr>
          <w:rFonts w:ascii="Arial" w:hAnsi="Arial"/>
          <w:sz w:val="20"/>
          <w:szCs w:val="20"/>
        </w:rPr>
        <w:t xml:space="preserve">52. </w:t>
        <w:tab/>
        <w:t>Greicius MD, Srivastava G, Reiss AL, Menon V (2004) Default-mode network activity distinguishes Alzheimer’s disease from healthy aging: evidence from functional MRI. Proceedings of the National Academy of Sciences of the United States of America 101:4637–4642. https://doi.org/10.1073/pnas.0308627101</w:t>
      </w:r>
    </w:p>
    <w:p>
      <w:pPr>
        <w:pStyle w:val="Bibliography1"/>
        <w:rPr>
          <w:rFonts w:ascii="Arial" w:hAnsi="Arial"/>
          <w:sz w:val="20"/>
          <w:szCs w:val="20"/>
        </w:rPr>
      </w:pPr>
      <w:r>
        <w:rPr>
          <w:rFonts w:ascii="Arial" w:hAnsi="Arial"/>
          <w:sz w:val="20"/>
          <w:szCs w:val="20"/>
        </w:rPr>
        <w:t xml:space="preserve">53. </w:t>
        <w:tab/>
        <w:t>Day GS, Farb NAS, Tang-Wai DF, et al (2013) Salience Network Resting-State Activity: Prediction of Frontotemporal Dementia Progression. JAMA Neurology 70:1249–1253. https://doi.org/10.1001/jamaneurol.2013.3258</w:t>
      </w:r>
    </w:p>
    <w:p>
      <w:pPr>
        <w:pStyle w:val="Bibliography1"/>
        <w:rPr>
          <w:rFonts w:ascii="Arial" w:hAnsi="Arial"/>
          <w:sz w:val="20"/>
          <w:szCs w:val="20"/>
        </w:rPr>
      </w:pPr>
      <w:r>
        <w:rPr>
          <w:rFonts w:ascii="Arial" w:hAnsi="Arial"/>
          <w:sz w:val="20"/>
          <w:szCs w:val="20"/>
        </w:rPr>
        <w:t xml:space="preserve">54. </w:t>
        <w:tab/>
        <w:t>Walsh DM, Selkoe DJ (2016) A critical appraisal of the pathogenic protein spread hypothesis of neurodegeneration. Nature Reviews Neuroscience 17:251–260. https://doi.org/10.1038/nrn.2016.13</w:t>
      </w:r>
    </w:p>
    <w:p>
      <w:pPr>
        <w:pStyle w:val="Bibliography1"/>
        <w:rPr>
          <w:rFonts w:ascii="Arial" w:hAnsi="Arial"/>
          <w:sz w:val="20"/>
          <w:szCs w:val="20"/>
        </w:rPr>
      </w:pPr>
      <w:r>
        <w:rPr>
          <w:rFonts w:ascii="Arial" w:hAnsi="Arial"/>
          <w:sz w:val="20"/>
          <w:szCs w:val="20"/>
        </w:rPr>
        <w:t xml:space="preserve">55. </w:t>
        <w:tab/>
        <w:t>Ossenkoppele R, Iaccarino L, Schonhaut DR, et al (2019) Tau covariance patterns in Alzheimer’s disease patients match intrinsic connectivity networks in the healthy brain. NeuroImage: Clinical 23:101848. https://doi.org/10.1016/j.nicl.2019.101848</w:t>
      </w:r>
    </w:p>
    <w:p>
      <w:pPr>
        <w:pStyle w:val="Bibliography1"/>
        <w:rPr>
          <w:rFonts w:ascii="Arial" w:hAnsi="Arial"/>
          <w:sz w:val="20"/>
          <w:szCs w:val="20"/>
        </w:rPr>
      </w:pPr>
      <w:r>
        <w:rPr>
          <w:rFonts w:ascii="Arial" w:hAnsi="Arial"/>
          <w:sz w:val="20"/>
          <w:szCs w:val="20"/>
        </w:rPr>
        <w:t xml:space="preserve">56. </w:t>
        <w:tab/>
        <w:t>Rittman T, Rubinov M, Vértes PE, et al (2016) Regional expression of the MAPT gene is associated with loss of hubs in brain networks and cognitive impairment in Parkinson’s disease and Progressive Supranuclear Palsy. Neurobiology of Aging 48:153–160. https://doi.org/10.1016/j.neurobiolaging.2016.09.001</w:t>
      </w:r>
    </w:p>
    <w:p>
      <w:pPr>
        <w:pStyle w:val="Bibliography1"/>
        <w:rPr>
          <w:rFonts w:ascii="Arial" w:hAnsi="Arial"/>
          <w:sz w:val="20"/>
          <w:szCs w:val="20"/>
        </w:rPr>
      </w:pPr>
      <w:r>
        <w:rPr>
          <w:rFonts w:ascii="Arial" w:hAnsi="Arial"/>
          <w:sz w:val="20"/>
          <w:szCs w:val="20"/>
        </w:rPr>
        <w:t xml:space="preserve">57. </w:t>
        <w:tab/>
        <w:t>Cope TE, Rittman T, Borchert RJ, et al (2018) Tau burden and the functional connectome in Alzheimer’s disease and progressive supranuclear palsy. Brain 141:550–567. https://doi.org/10.1093/brain/awx347</w:t>
      </w:r>
    </w:p>
    <w:p>
      <w:pPr>
        <w:pStyle w:val="Bibliography1"/>
        <w:rPr>
          <w:rFonts w:ascii="Arial" w:hAnsi="Arial"/>
          <w:sz w:val="20"/>
          <w:szCs w:val="20"/>
        </w:rPr>
      </w:pPr>
      <w:r>
        <w:rPr>
          <w:rFonts w:ascii="Arial" w:hAnsi="Arial"/>
          <w:sz w:val="20"/>
          <w:szCs w:val="20"/>
        </w:rPr>
        <w:t xml:space="preserve">58. </w:t>
        <w:tab/>
        <w:t>Rittman T, Borchert R, Jones MS, et al (2019) Functional network resilience to pathology in presymptomatic genetic frontotemporal dementia. Neurobiology of Aging 77:169–177. https://doi.org/10.1016/j.neurobiolaging.2018.12.009</w:t>
      </w:r>
    </w:p>
    <w:p>
      <w:pPr>
        <w:pStyle w:val="Bibliography1"/>
        <w:rPr>
          <w:rFonts w:ascii="Arial" w:hAnsi="Arial"/>
          <w:sz w:val="20"/>
          <w:szCs w:val="20"/>
        </w:rPr>
      </w:pPr>
      <w:r>
        <w:rPr>
          <w:rFonts w:ascii="Arial" w:hAnsi="Arial"/>
          <w:sz w:val="20"/>
          <w:szCs w:val="20"/>
        </w:rPr>
        <w:t xml:space="preserve">59. </w:t>
        <w:tab/>
        <w:t>Stern Y (2009) Cognitive reserve. Neuropsychologia 47:2015–2028. https://doi.org/10.1016/j.neuropsychologia.2009.03.004</w:t>
      </w:r>
    </w:p>
    <w:p>
      <w:pPr>
        <w:pStyle w:val="Bibliography1"/>
        <w:rPr>
          <w:rFonts w:ascii="Arial" w:hAnsi="Arial"/>
          <w:sz w:val="20"/>
          <w:szCs w:val="20"/>
        </w:rPr>
      </w:pPr>
      <w:r>
        <w:rPr>
          <w:rFonts w:ascii="Arial" w:hAnsi="Arial"/>
          <w:sz w:val="20"/>
          <w:szCs w:val="20"/>
        </w:rPr>
        <w:t xml:space="preserve">60. </w:t>
        <w:tab/>
        <w:t>Stern Y, Arenaza-Urquijo EM, Bartrés-Faz D, et al (2018) Whitepaper: Defining and investigating cognitive reserve, brain reserve, and brain maintenance [in press]. Alzheimer’s and Dementia. https://doi.org/10.1016/j.jalz.2018.07.219</w:t>
      </w:r>
    </w:p>
    <w:p>
      <w:pPr>
        <w:pStyle w:val="Bibliography1"/>
        <w:rPr>
          <w:rFonts w:ascii="Arial" w:hAnsi="Arial"/>
          <w:sz w:val="20"/>
          <w:szCs w:val="20"/>
        </w:rPr>
      </w:pPr>
      <w:r>
        <w:rPr>
          <w:rFonts w:ascii="Arial" w:hAnsi="Arial"/>
          <w:sz w:val="20"/>
          <w:szCs w:val="20"/>
        </w:rPr>
        <w:t xml:space="preserve">61. </w:t>
        <w:tab/>
        <w:t>Stern Y, Gazes Y, Razlighi Q, et al (2018) A task-invariant cognitive reserve network. NeuroImage 178:36–45. https://doi.org/10.1016/j.neuroimage.2018.05.033</w:t>
      </w:r>
    </w:p>
    <w:p>
      <w:pPr>
        <w:pStyle w:val="Bibliography1"/>
        <w:rPr>
          <w:rFonts w:ascii="Arial" w:hAnsi="Arial"/>
          <w:sz w:val="20"/>
          <w:szCs w:val="20"/>
        </w:rPr>
      </w:pPr>
      <w:r>
        <w:rPr>
          <w:rFonts w:ascii="Arial" w:hAnsi="Arial"/>
          <w:sz w:val="20"/>
          <w:szCs w:val="20"/>
        </w:rPr>
        <w:t xml:space="preserve">62. </w:t>
        <w:tab/>
        <w:t>Perneczky R (2006) Schooling mediates brain reserve in Alzheimer’s disease: findings of fluoro-deoxy-glucose-positron emission tomography. Journal of Neurology, Neurosurgery &amp; Psychiatry 77:1060–1063. https://doi.org/10.1136/jnnp.2006.094714</w:t>
      </w:r>
    </w:p>
    <w:p>
      <w:pPr>
        <w:pStyle w:val="Bibliography1"/>
        <w:rPr>
          <w:rFonts w:ascii="Arial" w:hAnsi="Arial"/>
          <w:sz w:val="20"/>
          <w:szCs w:val="20"/>
        </w:rPr>
      </w:pPr>
      <w:r>
        <w:rPr>
          <w:rFonts w:ascii="Arial" w:hAnsi="Arial"/>
          <w:sz w:val="20"/>
          <w:szCs w:val="20"/>
        </w:rPr>
        <w:t xml:space="preserve">63. </w:t>
        <w:tab/>
        <w:t>Perneczky R, Haussermann P, Diehl-Schmid J, et al (2007) Metabolic correlates of brain reserve in dementia with Lewy bodies: an FDG PET study. Dement Geriatr Cogn Disord 23:416–422. https://doi.org/10.1159/000101956</w:t>
      </w:r>
    </w:p>
    <w:p>
      <w:pPr>
        <w:pStyle w:val="Bibliography1"/>
        <w:rPr>
          <w:rFonts w:ascii="Arial" w:hAnsi="Arial"/>
          <w:sz w:val="20"/>
          <w:szCs w:val="20"/>
        </w:rPr>
      </w:pPr>
      <w:r>
        <w:rPr>
          <w:rFonts w:ascii="Arial" w:hAnsi="Arial"/>
          <w:sz w:val="20"/>
          <w:szCs w:val="20"/>
        </w:rPr>
        <w:t xml:space="preserve">64. </w:t>
        <w:tab/>
        <w:t>Isella V, Grisanti SG, Ferri F, et al (2018) Cognitive reserve maps the core loci of neurodegeneration in corticobasal degeneration. European Journal of Neurology 25:1333–1340. https://doi.org/10.1111/ene.13729</w:t>
      </w:r>
    </w:p>
    <w:p>
      <w:pPr>
        <w:pStyle w:val="Bibliography1"/>
        <w:rPr>
          <w:rFonts w:ascii="Arial" w:hAnsi="Arial"/>
          <w:sz w:val="20"/>
          <w:szCs w:val="20"/>
        </w:rPr>
      </w:pPr>
      <w:r>
        <w:rPr>
          <w:rFonts w:ascii="Arial" w:hAnsi="Arial"/>
          <w:sz w:val="20"/>
          <w:szCs w:val="20"/>
        </w:rPr>
        <w:t xml:space="preserve">65. </w:t>
        <w:tab/>
        <w:t>Premi E, Grassi M, van Swieten J, et al (2017) Cognitive reserve and TMEM106B genotype modulate brain damage in presymptomatic frontotemporal dementia: a GENFI study. Brain 140:1784–1791. https://doi.org/10.1093/brain/awx103</w:t>
      </w:r>
    </w:p>
    <w:p>
      <w:pPr>
        <w:pStyle w:val="Bibliography1"/>
        <w:rPr>
          <w:rFonts w:ascii="Arial" w:hAnsi="Arial"/>
          <w:sz w:val="20"/>
          <w:szCs w:val="20"/>
        </w:rPr>
      </w:pPr>
      <w:r>
        <w:rPr>
          <w:rFonts w:ascii="Arial" w:hAnsi="Arial"/>
          <w:sz w:val="20"/>
          <w:szCs w:val="20"/>
        </w:rPr>
        <w:t xml:space="preserve">66. </w:t>
        <w:tab/>
        <w:t>Eickhoff S, Nichols TE, Van Horn JD, Turner JA (2016) Sharing the wealth: Neuroimaging data repositories. Neuroimage 124:1065–1068. https://doi.org/10.1016/j.neuroimage.2015.10.079</w:t>
      </w:r>
    </w:p>
    <w:p>
      <w:pPr>
        <w:pStyle w:val="Bibliography1"/>
        <w:rPr>
          <w:rFonts w:ascii="Arial" w:hAnsi="Arial"/>
          <w:sz w:val="20"/>
          <w:szCs w:val="20"/>
        </w:rPr>
      </w:pPr>
      <w:r>
        <w:rPr>
          <w:rFonts w:ascii="Arial" w:hAnsi="Arial"/>
          <w:sz w:val="20"/>
          <w:szCs w:val="20"/>
        </w:rPr>
        <w:t xml:space="preserve">67. </w:t>
        <w:tab/>
        <w:t>Van Horn JD, Toga AW (2014) Human Neuroimaging as a “Big Data” Science. Brain Imaging Behav 8:323–331. https://doi.org/10.1007/s11682-013-9255-y</w:t>
      </w:r>
    </w:p>
    <w:p>
      <w:pPr>
        <w:pStyle w:val="Bibliography1"/>
        <w:rPr>
          <w:rFonts w:ascii="Arial" w:hAnsi="Arial"/>
          <w:sz w:val="20"/>
          <w:szCs w:val="20"/>
        </w:rPr>
      </w:pPr>
      <w:r>
        <w:rPr>
          <w:rFonts w:ascii="Arial" w:hAnsi="Arial"/>
          <w:sz w:val="20"/>
          <w:szCs w:val="20"/>
        </w:rPr>
        <w:t xml:space="preserve">68. </w:t>
        <w:tab/>
        <w:t>Mueller SG, Weiner MW, Thal LJ, et al (2005) The Alzheimer’s Disease Neuroimaging Initiative. Neuroimaging Clinics of North America 15:869–877. https://doi.org/10.1016/j.nic.2005.09.008</w:t>
      </w:r>
    </w:p>
    <w:p>
      <w:pPr>
        <w:pStyle w:val="Bibliography1"/>
        <w:rPr>
          <w:rFonts w:ascii="Arial" w:hAnsi="Arial"/>
          <w:sz w:val="20"/>
          <w:szCs w:val="20"/>
        </w:rPr>
      </w:pPr>
      <w:r>
        <w:rPr>
          <w:rFonts w:ascii="Arial" w:hAnsi="Arial"/>
          <w:sz w:val="20"/>
          <w:szCs w:val="20"/>
        </w:rPr>
        <w:t xml:space="preserve">69. </w:t>
        <w:tab/>
        <w:t>Bateman RJ, Xiong C, Benzinger TLS, et al (2012) Clinical and biomarker changes in dominantly inherited Alzheimer’s disease. The New England journal of medicine 367:795–804. https://doi.org/10.1056/NEJMoa1202753</w:t>
      </w:r>
    </w:p>
    <w:p>
      <w:pPr>
        <w:pStyle w:val="Bibliography1"/>
        <w:rPr>
          <w:rFonts w:ascii="Arial" w:hAnsi="Arial"/>
          <w:sz w:val="20"/>
          <w:szCs w:val="20"/>
        </w:rPr>
      </w:pPr>
      <w:r>
        <w:rPr>
          <w:rFonts w:ascii="Arial" w:hAnsi="Arial"/>
          <w:sz w:val="20"/>
          <w:szCs w:val="20"/>
        </w:rPr>
        <w:t xml:space="preserve">70. </w:t>
        <w:tab/>
        <w:t>Parkinson Progression Marker Initiative (2011) The Parkinson Progression Marker Initiative (PPMI). Prog Neurobiol 95:629–635. https://doi.org/10.1016/j.pneurobio.2011.09.005</w:t>
      </w:r>
    </w:p>
    <w:p>
      <w:pPr>
        <w:pStyle w:val="Bibliography1"/>
        <w:rPr>
          <w:rFonts w:ascii="Arial" w:hAnsi="Arial"/>
          <w:sz w:val="20"/>
          <w:szCs w:val="20"/>
        </w:rPr>
      </w:pPr>
      <w:r>
        <w:rPr>
          <w:rFonts w:ascii="Arial" w:hAnsi="Arial"/>
          <w:sz w:val="20"/>
          <w:szCs w:val="20"/>
        </w:rPr>
        <w:t xml:space="preserve">71. </w:t>
        <w:tab/>
        <w:t>Boeve B, Bove J, Brannelly P, et al (2019) The longitudinal evaluation of familial frontotemporal dementia subjects protocol: Framework and methodology. Alzheimer’s &amp; Dementia 16:. https://doi.org/10.1016/j.jalz.2019.06.4947</w:t>
      </w:r>
    </w:p>
    <w:p>
      <w:pPr>
        <w:pStyle w:val="Bibliography1"/>
        <w:rPr>
          <w:rFonts w:ascii="Arial" w:hAnsi="Arial"/>
          <w:sz w:val="20"/>
          <w:szCs w:val="20"/>
        </w:rPr>
      </w:pPr>
      <w:r>
        <w:rPr>
          <w:rFonts w:ascii="Arial" w:hAnsi="Arial"/>
          <w:sz w:val="20"/>
          <w:szCs w:val="20"/>
        </w:rPr>
        <w:t xml:space="preserve">72. </w:t>
        <w:tab/>
        <w:t>Hainc N, Federau C, Stieltjes B, et al (2017) The Bright, Artificial Intelligence-Augmented Future of Neuroimaging Reading. Front Neurol 8:. https://doi.org/10.3389/fneur.2017.00489</w:t>
      </w:r>
    </w:p>
    <w:p>
      <w:pPr>
        <w:pStyle w:val="Bibliography1"/>
        <w:rPr>
          <w:rFonts w:ascii="Arial" w:hAnsi="Arial"/>
          <w:sz w:val="20"/>
          <w:szCs w:val="20"/>
        </w:rPr>
      </w:pPr>
      <w:r>
        <w:rPr>
          <w:rFonts w:ascii="Arial" w:hAnsi="Arial"/>
          <w:sz w:val="20"/>
          <w:szCs w:val="20"/>
        </w:rPr>
        <w:t xml:space="preserve">73. </w:t>
        <w:tab/>
        <w:t>Fisher CK, Smith AM, Walsh JR (2019) Machine learning for comprehensive forecasting of Alzheimer’s Disease progression. Sci Rep 9:1–14. https://doi.org/10.1038/s41598-019-49656-2</w:t>
      </w:r>
    </w:p>
    <w:p>
      <w:pPr>
        <w:pStyle w:val="Bibliography1"/>
        <w:rPr>
          <w:rFonts w:ascii="Arial" w:hAnsi="Arial"/>
          <w:sz w:val="20"/>
          <w:szCs w:val="20"/>
        </w:rPr>
      </w:pPr>
      <w:r>
        <w:rPr>
          <w:rFonts w:ascii="Arial" w:hAnsi="Arial"/>
          <w:sz w:val="20"/>
          <w:szCs w:val="20"/>
        </w:rPr>
        <w:t xml:space="preserve">74. </w:t>
        <w:tab/>
        <w:t>Archetti D, Ingala S, Venkatraghavan V, et al (2019) Multi-study validation of data-driven disease progression models to characterize evolution of biomarkers in Alzheimer’s disease | Elsevier Enhanced Reader. NeuroImage: Clinical 24:101954. https://doi.org/10.1016/j.nicl.2019.101954</w:t>
      </w:r>
    </w:p>
    <w:p>
      <w:pPr>
        <w:pStyle w:val="Bibliography1"/>
        <w:rPr>
          <w:rFonts w:ascii="Arial" w:hAnsi="Arial"/>
          <w:sz w:val="20"/>
          <w:szCs w:val="20"/>
        </w:rPr>
      </w:pPr>
      <w:r>
        <w:rPr>
          <w:rFonts w:ascii="Arial" w:hAnsi="Arial"/>
          <w:sz w:val="20"/>
          <w:szCs w:val="20"/>
        </w:rPr>
        <w:t xml:space="preserve">75. </w:t>
        <w:tab/>
        <w:t>Giorgio J, Landau S, Jagust W, et al (2020) Modelling prognostic trajectories of cognitive decline due to Alzheimer’s disease. NeuroImage: Clinical. https://doi.org/10.1016/j.nicl.2020.102199</w:t>
      </w:r>
    </w:p>
    <w:p>
      <w:pPr>
        <w:pStyle w:val="Bibliography1"/>
        <w:rPr>
          <w:rFonts w:ascii="Arial" w:hAnsi="Arial"/>
          <w:sz w:val="20"/>
          <w:szCs w:val="20"/>
        </w:rPr>
      </w:pPr>
      <w:r>
        <w:rPr>
          <w:rFonts w:ascii="Arial" w:hAnsi="Arial"/>
          <w:sz w:val="20"/>
          <w:szCs w:val="20"/>
        </w:rPr>
        <w:t xml:space="preserve">76. </w:t>
        <w:tab/>
        <w:t>Bruffaerts R (2018) Machine learning in neurology: what neurologists can learn from machines and vice versa. J Neurol 265:2745–2748. https://doi.org/10.1007/s00415-018-8990-9</w:t>
      </w:r>
    </w:p>
    <w:p>
      <w:pPr>
        <w:pStyle w:val="Bibliography1"/>
        <w:rPr>
          <w:rFonts w:ascii="Arial" w:hAnsi="Arial"/>
          <w:sz w:val="20"/>
          <w:szCs w:val="20"/>
        </w:rPr>
      </w:pPr>
      <w:r>
        <w:rPr>
          <w:rFonts w:ascii="Arial" w:hAnsi="Arial"/>
          <w:sz w:val="20"/>
          <w:szCs w:val="20"/>
        </w:rPr>
        <w:t xml:space="preserve">77. </w:t>
        <w:tab/>
        <w:t>Thomas AW, Heekeren HR, Müller K-R, Samek W (2019) Analyzing Neuroimaging Data Through Recurrent Deep Learning Models. Front Neurosci 13:1321. https://doi.org/10.3389/fnins.2019.01321</w:t>
      </w:r>
    </w:p>
    <w:p>
      <w:pPr>
        <w:pStyle w:val="Bibliography1"/>
        <w:rPr>
          <w:rFonts w:ascii="Arial" w:hAnsi="Arial"/>
          <w:sz w:val="20"/>
          <w:szCs w:val="20"/>
        </w:rPr>
      </w:pPr>
      <w:r>
        <w:rPr>
          <w:rFonts w:ascii="Arial" w:hAnsi="Arial"/>
          <w:sz w:val="20"/>
          <w:szCs w:val="20"/>
        </w:rPr>
        <w:t xml:space="preserve">78. </w:t>
        <w:tab/>
        <w:t>Nichols TE, Das S, Eickhoff SB, et al (2017) Best practices in data analysis and sharing in neuroimaging using MRI. Nat Neurosci 20:299–303. https://doi.org/10.1038/nn.4500</w:t>
      </w:r>
    </w:p>
    <w:p>
      <w:pPr>
        <w:pStyle w:val="Bibliography1"/>
        <w:rPr>
          <w:rFonts w:ascii="Arial" w:hAnsi="Arial"/>
          <w:sz w:val="20"/>
          <w:szCs w:val="20"/>
        </w:rPr>
      </w:pPr>
      <w:r>
        <w:rPr>
          <w:rFonts w:ascii="Arial" w:hAnsi="Arial"/>
          <w:sz w:val="20"/>
          <w:szCs w:val="20"/>
        </w:rPr>
        <w:t xml:space="preserve">79. </w:t>
        <w:tab/>
        <w:t>Glasser MF, Smith SM, Marcus DS, et al (2016) The Human Connectome Project’s neuroimaging approach. Nat Neurosci 19:1175–1187. https://doi.org/10.1038/nn.4361</w:t>
      </w:r>
    </w:p>
    <w:p>
      <w:pPr>
        <w:pStyle w:val="Bibliography1"/>
        <w:rPr>
          <w:rFonts w:ascii="Arial" w:hAnsi="Arial"/>
          <w:sz w:val="20"/>
          <w:szCs w:val="20"/>
        </w:rPr>
      </w:pPr>
      <w:r>
        <w:rPr>
          <w:rFonts w:ascii="Arial" w:hAnsi="Arial"/>
          <w:sz w:val="20"/>
          <w:szCs w:val="20"/>
        </w:rPr>
        <w:t xml:space="preserve">80. </w:t>
        <w:tab/>
        <w:t>Acosta-Cabronero J, Milovic C, Tejos C, Callaghan MF (2018) A multi-scale approach to quantitative susceptibility mapping (MSDI). Ismrm 183:7–24. https://doi.org/10.1016/J.NEUROIMAGE.2018.07.065</w:t>
      </w:r>
    </w:p>
    <w:p>
      <w:pPr>
        <w:pStyle w:val="Bibliography1"/>
        <w:rPr>
          <w:rFonts w:ascii="Arial" w:hAnsi="Arial"/>
          <w:sz w:val="20"/>
          <w:szCs w:val="20"/>
        </w:rPr>
      </w:pPr>
      <w:r>
        <w:rPr>
          <w:rFonts w:ascii="Arial" w:hAnsi="Arial"/>
          <w:sz w:val="20"/>
          <w:szCs w:val="20"/>
        </w:rPr>
        <w:t xml:space="preserve">81. </w:t>
        <w:tab/>
        <w:t>Ayton S, Fazlollahi A, Bourgeat P, et al (2017) Cerebral quantitative susceptibility mapping predicts amyloid-β-related cognitive decline. Brain 140:2112–2119. https://doi.org/10.1093/brain/awx137</w:t>
      </w:r>
    </w:p>
    <w:p>
      <w:pPr>
        <w:pStyle w:val="Bibliography1"/>
        <w:rPr>
          <w:rFonts w:ascii="Arial" w:hAnsi="Arial"/>
          <w:sz w:val="20"/>
          <w:szCs w:val="20"/>
        </w:rPr>
      </w:pPr>
      <w:r>
        <w:rPr>
          <w:rFonts w:ascii="Arial" w:hAnsi="Arial"/>
          <w:sz w:val="20"/>
          <w:szCs w:val="20"/>
        </w:rPr>
        <w:t xml:space="preserve">82. </w:t>
        <w:tab/>
        <w:t>Thomas GEC, Leyland LA, Schrag A-E, et al (2020) Brain iron deposition is linked with cognitive severity in Parkinson’s disease. J Neurol Neurosurg Psychiatry 91:418–425. https://doi.org/10.1136/jnnp-2019-322042</w:t>
      </w:r>
    </w:p>
    <w:p>
      <w:pPr>
        <w:pStyle w:val="Bibliography1"/>
        <w:rPr>
          <w:rFonts w:ascii="Arial" w:hAnsi="Arial"/>
          <w:sz w:val="20"/>
          <w:szCs w:val="20"/>
        </w:rPr>
      </w:pPr>
      <w:r>
        <w:rPr>
          <w:rFonts w:ascii="Arial" w:hAnsi="Arial"/>
          <w:sz w:val="20"/>
          <w:szCs w:val="20"/>
        </w:rPr>
        <w:t xml:space="preserve">83. </w:t>
        <w:tab/>
        <w:t>Sammaraiee Y, Banerjee G, Farmer S, et al (2020) Risks associated with oral deferiprone in the treatment of infratentorial superficial siderosis. J Neurol 267:239–243. https://doi.org/10.1007/s00415-019-09577-6</w:t>
      </w:r>
    </w:p>
    <w:p>
      <w:pPr>
        <w:sectPr>
          <w:type w:val="continuous"/>
          <w:pgSz w:w="11906" w:h="16838"/>
          <w:pgMar w:left="1134" w:right="1134" w:header="0" w:top="1134" w:footer="1134" w:bottom="1693" w:gutter="0"/>
          <w:formProt w:val="false"/>
          <w:textDirection w:val="lrTb"/>
          <w:docGrid w:type="default" w:linePitch="360" w:charSpace="0"/>
        </w:sectPr>
      </w:pPr>
    </w:p>
    <w:p>
      <w:pPr>
        <w:pStyle w:val="Normal"/>
        <w:rPr>
          <w:rFonts w:ascii="Arial" w:hAnsi="Arial"/>
          <w:sz w:val="20"/>
          <w:szCs w:val="20"/>
        </w:rPr>
      </w:pPr>
      <w:r>
        <w:rPr>
          <w:rFonts w:ascii="Arial" w:hAnsi="Arial"/>
          <w:sz w:val="20"/>
          <w:szCs w:val="20"/>
        </w:rPr>
      </w:r>
    </w:p>
    <w:sectPr>
      <w:footerReference w:type="default" r:id="rId7"/>
      <w:type w:val="continuous"/>
      <w:pgSz w:w="11906" w:h="16838"/>
      <w:pgMar w:left="1134" w:right="1134" w:header="0" w:top="1134" w:footer="1134" w:bottom="1693"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Symbol">
    <w:charset w:val="02"/>
    <w:family w:val="auto"/>
    <w:pitch w:val="default"/>
  </w:font>
  <w:font w:name="OpenSymbol">
    <w:altName w:val="Arial Unicode MS"/>
    <w:charset w:val="01"/>
    <w:family w:val="auto"/>
    <w:pitch w:val="default"/>
  </w:font>
  <w:font w:name="OpenSymbol">
    <w:altName w:val="Arial Unicode MS"/>
    <w:charset w:val="02"/>
    <w:family w:val="auto"/>
    <w:pitch w:val="default"/>
  </w:font>
  <w:font w:name="Liberation Sans">
    <w:altName w:val="Arial"/>
    <w:charset w:val="01"/>
    <w:family w:val="swiss"/>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jc w:val="center"/>
      <w:rPr/>
    </w:pPr>
    <w:r>
      <w:rPr/>
      <w:fldChar w:fldCharType="begin"/>
    </w:r>
    <w:r>
      <w:rPr/>
      <w:instrText> PAGE </w:instrText>
    </w:r>
    <w:r>
      <w:rPr/>
      <w:fldChar w:fldCharType="separate"/>
    </w:r>
    <w:r>
      <w:rPr/>
      <w:t>13</w:t>
    </w:r>
    <w:r>
      <w:rP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jc w:val="center"/>
      <w:rPr/>
    </w:pPr>
    <w:r>
      <w:rPr/>
      <w:fldChar w:fldCharType="begin"/>
    </w:r>
    <w:r>
      <w:rPr/>
      <w:instrText> PAGE </w:instrText>
    </w:r>
    <w:r>
      <w:rPr/>
      <w:fldChar w:fldCharType="separate"/>
    </w:r>
    <w:r>
      <w:rPr/>
      <w:t>13</w:t>
    </w:r>
    <w:r>
      <w:rPr/>
      <w:fldChar w:fldCharType="end"/>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Fonts w:cs="OpenSymbol;Arial Unicode MS"/>
      </w:rPr>
    </w:lvl>
    <w:lvl w:ilvl="1">
      <w:start w:val="1"/>
      <w:numFmt w:val="bullet"/>
      <w:lvlText w:val="◦"/>
      <w:lvlJc w:val="left"/>
      <w:pPr>
        <w:tabs>
          <w:tab w:val="num" w:pos="1080"/>
        </w:tabs>
        <w:ind w:left="1080" w:hanging="360"/>
      </w:pPr>
      <w:rPr>
        <w:rFonts w:ascii="OpenSymbol" w:hAnsi="OpenSymbol" w:cs="OpenSymbol" w:hint="default"/>
        <w:rFonts w:cs="OpenSymbol;Arial Unicode MS"/>
      </w:rPr>
    </w:lvl>
    <w:lvl w:ilvl="2">
      <w:start w:val="1"/>
      <w:numFmt w:val="bullet"/>
      <w:lvlText w:val="▪"/>
      <w:lvlJc w:val="left"/>
      <w:pPr>
        <w:tabs>
          <w:tab w:val="num" w:pos="1440"/>
        </w:tabs>
        <w:ind w:left="1440" w:hanging="360"/>
      </w:pPr>
      <w:rPr>
        <w:rFonts w:ascii="OpenSymbol" w:hAnsi="OpenSymbol" w:cs="OpenSymbol" w:hint="default"/>
        <w:rFonts w:cs="OpenSymbol;Arial Unicode MS"/>
      </w:rPr>
    </w:lvl>
    <w:lvl w:ilvl="3">
      <w:start w:val="1"/>
      <w:numFmt w:val="bullet"/>
      <w:lvlText w:val=""/>
      <w:lvlJc w:val="left"/>
      <w:pPr>
        <w:tabs>
          <w:tab w:val="num" w:pos="1800"/>
        </w:tabs>
        <w:ind w:left="1800" w:hanging="360"/>
      </w:pPr>
      <w:rPr>
        <w:rFonts w:ascii="Symbol" w:hAnsi="Symbol" w:cs="Symbol" w:hint="default"/>
        <w:rFonts w:cs="OpenSymbol;Arial Unicode MS"/>
      </w:rPr>
    </w:lvl>
    <w:lvl w:ilvl="4">
      <w:start w:val="1"/>
      <w:numFmt w:val="bullet"/>
      <w:lvlText w:val="◦"/>
      <w:lvlJc w:val="left"/>
      <w:pPr>
        <w:tabs>
          <w:tab w:val="num" w:pos="2160"/>
        </w:tabs>
        <w:ind w:left="2160" w:hanging="360"/>
      </w:pPr>
      <w:rPr>
        <w:rFonts w:ascii="OpenSymbol" w:hAnsi="OpenSymbol" w:cs="OpenSymbol" w:hint="default"/>
        <w:rFonts w:cs="OpenSymbol;Arial Unicode MS"/>
      </w:rPr>
    </w:lvl>
    <w:lvl w:ilvl="5">
      <w:start w:val="1"/>
      <w:numFmt w:val="bullet"/>
      <w:lvlText w:val="▪"/>
      <w:lvlJc w:val="left"/>
      <w:pPr>
        <w:tabs>
          <w:tab w:val="num" w:pos="2520"/>
        </w:tabs>
        <w:ind w:left="2520" w:hanging="360"/>
      </w:pPr>
      <w:rPr>
        <w:rFonts w:ascii="OpenSymbol" w:hAnsi="OpenSymbol" w:cs="OpenSymbol" w:hint="default"/>
        <w:rFonts w:cs="OpenSymbol;Arial Unicode MS"/>
      </w:rPr>
    </w:lvl>
    <w:lvl w:ilvl="6">
      <w:start w:val="1"/>
      <w:numFmt w:val="bullet"/>
      <w:lvlText w:val=""/>
      <w:lvlJc w:val="left"/>
      <w:pPr>
        <w:tabs>
          <w:tab w:val="num" w:pos="2880"/>
        </w:tabs>
        <w:ind w:left="2880" w:hanging="360"/>
      </w:pPr>
      <w:rPr>
        <w:rFonts w:ascii="Symbol" w:hAnsi="Symbol" w:cs="Symbol" w:hint="default"/>
        <w:rFonts w:cs="OpenSymbol;Arial Unicode MS"/>
      </w:rPr>
    </w:lvl>
    <w:lvl w:ilvl="7">
      <w:start w:val="1"/>
      <w:numFmt w:val="bullet"/>
      <w:lvlText w:val="◦"/>
      <w:lvlJc w:val="left"/>
      <w:pPr>
        <w:tabs>
          <w:tab w:val="num" w:pos="3240"/>
        </w:tabs>
        <w:ind w:left="3240" w:hanging="360"/>
      </w:pPr>
      <w:rPr>
        <w:rFonts w:ascii="OpenSymbol" w:hAnsi="OpenSymbol" w:cs="OpenSymbol" w:hint="default"/>
        <w:rFonts w:cs="OpenSymbol;Arial Unicode MS"/>
      </w:rPr>
    </w:lvl>
    <w:lvl w:ilvl="8">
      <w:start w:val="1"/>
      <w:numFmt w:val="bullet"/>
      <w:lvlText w:val="▪"/>
      <w:lvlJc w:val="left"/>
      <w:pPr>
        <w:tabs>
          <w:tab w:val="num" w:pos="3600"/>
        </w:tabs>
        <w:ind w:left="3600" w:hanging="360"/>
      </w:pPr>
      <w:rPr>
        <w:rFonts w:ascii="OpenSymbol" w:hAnsi="OpenSymbol" w:cs="OpenSymbol" w:hint="default"/>
        <w:rFonts w:cs="OpenSymbol;Arial Unicode MS"/>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200"/>
  <w:defaultTabStop w:val="720"/>
  <w:autoHyphenation w:val="tru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Lohit Devanagari"/>
        <w:szCs w:val="24"/>
        <w:lang w:val="en-GB" w:eastAsia="zh-CN" w:bidi="hi-IN"/>
      </w:rPr>
    </w:rPrDefault>
    <w:pPrDefault>
      <w:pPr>
        <w:suppressAutoHyphens w:val="true"/>
      </w:pPr>
    </w:pPrDefault>
  </w:docDefaults>
  <w:style w:type="paragraph" w:styleId="Normal">
    <w:name w:val="Normal"/>
    <w:qFormat/>
    <w:pPr>
      <w:widowControl/>
      <w:suppressAutoHyphens w:val="true"/>
      <w:kinsoku w:val="true"/>
      <w:overflowPunct w:val="true"/>
      <w:autoSpaceDE w:val="true"/>
      <w:bidi w:val="0"/>
    </w:pPr>
    <w:rPr>
      <w:rFonts w:ascii="Liberation Serif;Times New Roman" w:hAnsi="Liberation Serif;Times New Roman" w:eastAsia="Noto Serif CJK SC" w:cs="Lohit Devanagari"/>
      <w:color w:val="auto"/>
      <w:kern w:val="2"/>
      <w:sz w:val="24"/>
      <w:szCs w:val="24"/>
      <w:lang w:val="en-GB" w:eastAsia="zh-CN" w:bidi="hi-IN"/>
    </w:rPr>
  </w:style>
  <w:style w:type="character" w:styleId="WW8Num1z0">
    <w:name w:val="WW8Num1z0"/>
    <w:qFormat/>
    <w:rPr>
      <w:rFonts w:ascii="Symbol" w:hAnsi="Symbol" w:cs="OpenSymbol;Arial Unicode MS"/>
    </w:rPr>
  </w:style>
  <w:style w:type="character" w:styleId="WW8Num1z1">
    <w:name w:val="WW8Num1z1"/>
    <w:qFormat/>
    <w:rPr>
      <w:rFonts w:ascii="OpenSymbol;Arial Unicode MS" w:hAnsi="OpenSymbol;Arial Unicode MS" w:cs="OpenSymbol;Arial Unicode MS"/>
    </w:rPr>
  </w:style>
  <w:style w:type="character" w:styleId="WW8Num2z0">
    <w:name w:val="WW8Num2z0"/>
    <w:qFormat/>
    <w:rPr/>
  </w:style>
  <w:style w:type="character" w:styleId="WW8Num2z1">
    <w:name w:val="WW8Num2z1"/>
    <w:qFormat/>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Bullets">
    <w:name w:val="Bullets"/>
    <w:qFormat/>
    <w:rPr>
      <w:rFonts w:ascii="OpenSymbol;Arial Unicode MS" w:hAnsi="OpenSymbol;Arial Unicode MS" w:eastAsia="OpenSymbol;Arial Unicode MS" w:cs="OpenSymbol;Arial Unicode MS"/>
    </w:rPr>
  </w:style>
  <w:style w:type="character" w:styleId="NumberingSymbols">
    <w:name w:val="Numbering Symbols"/>
    <w:qFormat/>
    <w:rPr/>
  </w:style>
  <w:style w:type="character" w:styleId="InternetLink">
    <w:name w:val="Hyperlink"/>
    <w:rPr>
      <w:color w:val="000080"/>
      <w:u w:val="single"/>
      <w:lang w:val="zxx" w:eastAsia="zxx" w:bidi="zxx"/>
    </w:rPr>
  </w:style>
  <w:style w:type="character" w:styleId="StrongEmphasis">
    <w:name w:val="Strong Emphasis"/>
    <w:qFormat/>
    <w:rPr>
      <w:b/>
      <w:bCs/>
    </w:rPr>
  </w:style>
  <w:style w:type="paragraph" w:styleId="Heading">
    <w:name w:val="Heading"/>
    <w:basedOn w:val="Normal"/>
    <w:next w:val="TextBody"/>
    <w:qFormat/>
    <w:pPr>
      <w:keepNext w:val="true"/>
      <w:spacing w:before="240" w:after="120"/>
    </w:pPr>
    <w:rPr>
      <w:rFonts w:ascii="Liberation Sans;Arial" w:hAnsi="Liberation Sans;Arial" w:eastAsia="Noto Sans CJK SC" w:cs="Lohit Devanagari"/>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styleId="Index">
    <w:name w:val="Index"/>
    <w:basedOn w:val="Normal"/>
    <w:qFormat/>
    <w:pPr>
      <w:suppressLineNumbers/>
    </w:pPr>
    <w:rPr>
      <w:rFonts w:cs="Lohit Devanagari"/>
    </w:rPr>
  </w:style>
  <w:style w:type="paragraph" w:styleId="Bibliography1">
    <w:name w:val="Bibliography 1"/>
    <w:basedOn w:val="Index"/>
    <w:qFormat/>
    <w:pPr>
      <w:tabs>
        <w:tab w:val="clear" w:pos="720"/>
        <w:tab w:val="left" w:pos="504" w:leader="none"/>
      </w:tabs>
      <w:spacing w:lineRule="atLeast" w:line="240" w:before="0" w:after="240"/>
      <w:ind w:left="504" w:right="0" w:hanging="504"/>
    </w:pPr>
    <w:rPr/>
  </w:style>
  <w:style w:type="paragraph" w:styleId="Standard">
    <w:name w:val="Standard"/>
    <w:qFormat/>
    <w:pPr>
      <w:widowControl/>
      <w:suppressAutoHyphens w:val="true"/>
      <w:kinsoku w:val="true"/>
      <w:overflowPunct w:val="true"/>
      <w:autoSpaceDE w:val="true"/>
      <w:bidi w:val="0"/>
      <w:textAlignment w:val="baseline"/>
    </w:pPr>
    <w:rPr>
      <w:rFonts w:ascii="Liberation Serif;Times New Roman" w:hAnsi="Liberation Serif;Times New Roman" w:eastAsia="Noto Serif CJK SC" w:cs="Lohit Devanagari;Calibri"/>
      <w:color w:val="auto"/>
      <w:kern w:val="2"/>
      <w:sz w:val="24"/>
      <w:szCs w:val="24"/>
      <w:lang w:val="en-GB" w:eastAsia="zh-CN" w:bidi="hi-IN"/>
    </w:rPr>
  </w:style>
  <w:style w:type="paragraph" w:styleId="HeaderandFooter">
    <w:name w:val="Header and Footer"/>
    <w:basedOn w:val="Normal"/>
    <w:qFormat/>
    <w:pPr>
      <w:suppressLineNumbers/>
      <w:tabs>
        <w:tab w:val="clear" w:pos="720"/>
        <w:tab w:val="center" w:pos="4819" w:leader="none"/>
        <w:tab w:val="right" w:pos="9638" w:leader="none"/>
      </w:tabs>
    </w:pPr>
    <w:rPr/>
  </w:style>
  <w:style w:type="paragraph" w:styleId="Footer">
    <w:name w:val="Footer"/>
    <w:basedOn w:val="HeaderandFooter"/>
    <w:pPr>
      <w:suppressLineNumbers/>
    </w:pPr>
    <w:rPr/>
  </w:style>
  <w:style w:type="numbering" w:styleId="WW8Num1">
    <w:name w:val="WW8Num1"/>
    <w:qFormat/>
  </w:style>
  <w:style w:type="numbering" w:styleId="WW8Num2">
    <w:name w:val="WW8Num2"/>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tr332@medschl.cam.ac.uk" TargetMode="External"/><Relationship Id="rId3" Type="http://schemas.openxmlformats.org/officeDocument/2006/relationships/hyperlink" Target="https://www.nitrc.org/projects/lc_7t_prob/" TargetMode="External"/><Relationship Id="rId4" Type="http://schemas.openxmlformats.org/officeDocument/2006/relationships/hyperlink" Target="https://www.ideas-study.org/" TargetMode="External"/><Relationship Id="rId5" Type="http://schemas.openxmlformats.org/officeDocument/2006/relationships/hyperlink" Target="https://imaging.ukbiobank.ac.uk/" TargetMode="Externa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565</TotalTime>
  <Application>LibreOffice/6.4.3.2$Linux_X86_64 LibreOffice_project/40$Build-2</Application>
  <Pages>13</Pages>
  <Words>5482</Words>
  <Characters>34406</Characters>
  <CharactersWithSpaces>39761</CharactersWithSpaces>
  <Paragraphs>148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2020-03-07T20:44:09Z</dcterms:created>
  <dc:creator>Timothy Rittman</dc:creator>
  <dc:description/>
  <dc:language>en-GB</dc:language>
  <cp:lastModifiedBy>Timothy Rittman</cp:lastModifiedBy>
  <cp:lastPrinted>1995-11-21T17:41:00Z</cp:lastPrinted>
  <dcterms:modified xsi:type="dcterms:W3CDTF">2020-06-24T16:03:29Z</dcterms:modified>
  <cp:revision>101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zotero-version="5.0.88"&gt;&lt;session id="rvoLmlue"/&gt;&lt;style id="http://www.zotero.org/styles/journal-of-neurology" hasBibliography="1" bibliographyStyleHasBeenSet="1"/&gt;&lt;prefs&gt;&lt;pref name="fieldType" value="ReferenceMark"/&gt;&lt;/prefs&gt;&lt;/data&gt;</vt:lpwstr>
  </property>
</Properties>
</file>