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3308" w:rsidRPr="006A6D89" w:rsidRDefault="00F43308" w:rsidP="0040350D">
      <w:pPr>
        <w:spacing w:line="360" w:lineRule="auto"/>
        <w:rPr>
          <w:rFonts w:ascii="Arial" w:hAnsi="Arial" w:cs="Arial"/>
          <w:b/>
          <w:color w:val="000000" w:themeColor="text1"/>
          <w:sz w:val="28"/>
          <w:szCs w:val="28"/>
          <w:lang w:val="en-GB"/>
        </w:rPr>
      </w:pPr>
      <w:r w:rsidRPr="006A6D89">
        <w:rPr>
          <w:rFonts w:ascii="Arial" w:hAnsi="Arial" w:cs="Arial"/>
          <w:b/>
          <w:color w:val="000000" w:themeColor="text1"/>
          <w:sz w:val="28"/>
          <w:szCs w:val="28"/>
          <w:lang w:val="en-GB"/>
        </w:rPr>
        <w:t>Metabolic synthetic lethality in cancer therapy</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Vincent Zecchini and Christian Frezza*</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rPr>
          <w:rFonts w:ascii="Arial" w:hAnsi="Arial" w:cs="Arial"/>
          <w:i/>
          <w:color w:val="000000" w:themeColor="text1"/>
          <w:sz w:val="20"/>
          <w:szCs w:val="22"/>
          <w:lang w:val="en-GB"/>
        </w:rPr>
      </w:pPr>
      <w:r w:rsidRPr="006A6D89">
        <w:rPr>
          <w:rFonts w:ascii="Arial" w:hAnsi="Arial" w:cs="Arial"/>
          <w:i/>
          <w:color w:val="000000" w:themeColor="text1"/>
          <w:sz w:val="20"/>
          <w:szCs w:val="22"/>
          <w:lang w:val="en-GB"/>
        </w:rPr>
        <w:t>Medical Research Council Cancer Unit, University of Cambridge, Hutchison/MRC Research Centre, Cambridge, United Kingdom, CB2 0XZ</w:t>
      </w:r>
    </w:p>
    <w:p w:rsidR="00F43308" w:rsidRPr="006A6D89" w:rsidRDefault="00F43308" w:rsidP="0040350D">
      <w:pPr>
        <w:spacing w:line="360" w:lineRule="auto"/>
        <w:jc w:val="both"/>
        <w:rPr>
          <w:rFonts w:ascii="Arial" w:hAnsi="Arial" w:cs="Arial"/>
          <w:i/>
          <w:color w:val="000000" w:themeColor="text1"/>
          <w:sz w:val="20"/>
          <w:szCs w:val="22"/>
          <w:lang w:val="en-GB"/>
        </w:rPr>
      </w:pPr>
    </w:p>
    <w:p w:rsidR="00F43308" w:rsidRPr="006A6D89" w:rsidRDefault="00F43308" w:rsidP="0040350D">
      <w:pPr>
        <w:spacing w:line="360" w:lineRule="auto"/>
        <w:jc w:val="both"/>
        <w:rPr>
          <w:rFonts w:ascii="Arial" w:hAnsi="Arial" w:cs="Arial"/>
          <w:b/>
          <w:color w:val="000000" w:themeColor="text1"/>
          <w:lang w:val="en-GB"/>
        </w:rPr>
      </w:pPr>
      <w:r w:rsidRPr="006A6D89">
        <w:rPr>
          <w:rFonts w:ascii="Arial" w:hAnsi="Arial" w:cs="Arial"/>
          <w:b/>
          <w:color w:val="000000" w:themeColor="text1"/>
          <w:lang w:val="en-GB"/>
        </w:rPr>
        <w:t>Abstract</w:t>
      </w: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 xml:space="preserve">Our understanding of cancer has recently seen a major paradigm shift resulting in it being viewed as a metabolic disorder, and altered cellular metabolism being recognised as a hallmark of cancer. This concept was spurred by the findings that the oncogenic mutations driving tumorigenesis induce a reprogramming of cancer cell metabolism that is required for unrestrained growth and proliferation. The recent discovery that mutations in key mitochondrial enzymes play a causal role in tumorigenesis suggested that dysregulation of metabolism could also be a driver of tumorigenesis. These mutations induce profound adaptive metabolic alterations that are a prerequisite for the survival of the mutated cells. Because these metabolic events are specific to cancer cells, they offer an opportunity to develop new therapies that specifically target tumour cells without affecting healthy tissue. Here, we will describe recent developments in metabolism-based cancer therapy, in particular focusing on the concept of metabolic synthetic lethality.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b/>
          <w:color w:val="000000" w:themeColor="text1"/>
          <w:lang w:val="en-GB"/>
        </w:rPr>
      </w:pPr>
      <w:r w:rsidRPr="006A6D89">
        <w:rPr>
          <w:rFonts w:ascii="Arial" w:hAnsi="Arial" w:cs="Arial"/>
          <w:b/>
          <w:color w:val="000000" w:themeColor="text1"/>
          <w:lang w:val="en-GB"/>
        </w:rPr>
        <w:t>1. Introduction</w:t>
      </w: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 xml:space="preserve">Cancer is thought to arise through sequential genetic changes that ultimately convert a normal cell to a fully transformed one. However, research over the past decade revealed that the process of transformation is accompanied by profound metabolic changes, adding deregulation of cellular energetics to the list of emerging hallmarks of cancer </w:t>
      </w:r>
      <w:r>
        <w:rPr>
          <w:rFonts w:ascii="Arial" w:hAnsi="Arial" w:cs="Arial"/>
          <w:noProof/>
          <w:color w:val="000000" w:themeColor="text1"/>
          <w:sz w:val="22"/>
          <w:szCs w:val="22"/>
          <w:lang w:val="en-GB"/>
        </w:rPr>
        <w:t>[1]</w:t>
      </w:r>
      <w:r w:rsidRPr="006A6D89">
        <w:rPr>
          <w:rFonts w:ascii="Arial" w:hAnsi="Arial" w:cs="Arial"/>
          <w:color w:val="000000" w:themeColor="text1"/>
          <w:sz w:val="22"/>
          <w:szCs w:val="22"/>
          <w:lang w:val="en-GB"/>
        </w:rPr>
        <w:t xml:space="preserve">. The discovery that tumour cells undergo metabolic re-programming was first reported by Otto Warburg almost a century ago </w:t>
      </w:r>
      <w:r>
        <w:rPr>
          <w:rFonts w:ascii="Arial" w:hAnsi="Arial" w:cs="Arial"/>
          <w:noProof/>
          <w:color w:val="000000" w:themeColor="text1"/>
          <w:sz w:val="22"/>
          <w:szCs w:val="22"/>
          <w:lang w:val="en-GB"/>
        </w:rPr>
        <w:t>[2]</w:t>
      </w:r>
      <w:r>
        <w:rPr>
          <w:rFonts w:ascii="Arial" w:hAnsi="Arial" w:cs="Arial"/>
          <w:color w:val="000000" w:themeColor="text1"/>
          <w:sz w:val="22"/>
          <w:szCs w:val="22"/>
          <w:lang w:val="en-GB"/>
        </w:rPr>
        <w:t xml:space="preserve"> but t</w:t>
      </w:r>
      <w:r w:rsidRPr="006A6D89">
        <w:rPr>
          <w:rFonts w:ascii="Arial" w:hAnsi="Arial" w:cs="Arial"/>
          <w:color w:val="000000" w:themeColor="text1"/>
          <w:sz w:val="22"/>
          <w:szCs w:val="22"/>
          <w:lang w:val="en-GB"/>
        </w:rPr>
        <w:t xml:space="preserve">he connection between cancer and metabolism was temporarily eclipsed by the discovery of the role of oncogenes and tumour suppressors in cancer. However, recent findings demonstrating a link between the oncogenic mutations that drive tumorigenesis and the mechanistic basis of cancer metabolism have led to renewed interest in the field </w:t>
      </w:r>
      <w:r>
        <w:rPr>
          <w:rFonts w:ascii="Arial" w:hAnsi="Arial" w:cs="Arial"/>
          <w:noProof/>
          <w:color w:val="000000" w:themeColor="text1"/>
          <w:sz w:val="22"/>
          <w:szCs w:val="22"/>
          <w:lang w:val="en-GB"/>
        </w:rPr>
        <w:t>[3]</w:t>
      </w:r>
      <w:r w:rsidRPr="006A6D89">
        <w:rPr>
          <w:rFonts w:ascii="Arial" w:hAnsi="Arial" w:cs="Arial"/>
          <w:color w:val="000000" w:themeColor="text1"/>
          <w:sz w:val="22"/>
          <w:szCs w:val="22"/>
          <w:lang w:val="en-GB"/>
        </w:rPr>
        <w:t xml:space="preserve">. It is now established that oncogenic pathways such as those supported by RAS or MYC promote glycolysis </w:t>
      </w:r>
      <w:r>
        <w:rPr>
          <w:rFonts w:ascii="Arial" w:hAnsi="Arial" w:cs="Arial"/>
          <w:noProof/>
          <w:color w:val="000000" w:themeColor="text1"/>
          <w:sz w:val="22"/>
          <w:szCs w:val="22"/>
          <w:lang w:val="en-GB"/>
        </w:rPr>
        <w:t>[4]</w:t>
      </w:r>
      <w:r w:rsidRPr="006A6D89">
        <w:rPr>
          <w:rFonts w:ascii="Arial" w:hAnsi="Arial" w:cs="Arial"/>
          <w:color w:val="000000" w:themeColor="text1"/>
          <w:sz w:val="22"/>
          <w:szCs w:val="22"/>
          <w:lang w:val="en-GB"/>
        </w:rPr>
        <w:t xml:space="preserve">, while tumour suppressors like p53 inhibit it </w:t>
      </w:r>
      <w:r>
        <w:rPr>
          <w:rFonts w:ascii="Arial" w:hAnsi="Arial" w:cs="Arial"/>
          <w:noProof/>
          <w:color w:val="000000" w:themeColor="text1"/>
          <w:sz w:val="22"/>
          <w:szCs w:val="22"/>
          <w:lang w:val="en-GB"/>
        </w:rPr>
        <w:t>[5]</w:t>
      </w:r>
      <w:r w:rsidRPr="006A6D89">
        <w:rPr>
          <w:rFonts w:ascii="Arial" w:hAnsi="Arial" w:cs="Arial"/>
          <w:color w:val="000000" w:themeColor="text1"/>
          <w:sz w:val="22"/>
          <w:szCs w:val="22"/>
          <w:lang w:val="en-GB"/>
        </w:rPr>
        <w:t xml:space="preserve">. Beside these major pathways, a number of metabolic enzymes has been found to be mutated in cancer </w:t>
      </w:r>
      <w:r>
        <w:rPr>
          <w:rFonts w:ascii="Arial" w:hAnsi="Arial" w:cs="Arial"/>
          <w:noProof/>
          <w:color w:val="000000" w:themeColor="text1"/>
          <w:sz w:val="22"/>
          <w:szCs w:val="22"/>
          <w:lang w:val="en-GB"/>
        </w:rPr>
        <w:t>[6]</w:t>
      </w:r>
      <w:r w:rsidRPr="006A6D89">
        <w:rPr>
          <w:rFonts w:ascii="Arial" w:hAnsi="Arial" w:cs="Arial"/>
          <w:color w:val="000000" w:themeColor="text1"/>
          <w:sz w:val="22"/>
          <w:szCs w:val="22"/>
          <w:lang w:val="en-GB"/>
        </w:rPr>
        <w:t xml:space="preserve">. These findings suggest that dysregulation of metabolism is not only a consequence, but also a cause of tumorigenesis </w:t>
      </w:r>
      <w:r>
        <w:rPr>
          <w:rFonts w:ascii="Arial" w:hAnsi="Arial" w:cs="Arial"/>
          <w:noProof/>
          <w:color w:val="000000" w:themeColor="text1"/>
          <w:sz w:val="22"/>
          <w:szCs w:val="22"/>
          <w:lang w:val="en-GB"/>
        </w:rPr>
        <w:t>[7]</w:t>
      </w:r>
      <w:r w:rsidRPr="006A6D89">
        <w:rPr>
          <w:rFonts w:ascii="Arial" w:hAnsi="Arial" w:cs="Arial"/>
          <w:color w:val="000000" w:themeColor="text1"/>
          <w:sz w:val="22"/>
          <w:szCs w:val="22"/>
          <w:lang w:val="en-GB"/>
        </w:rPr>
        <w:t xml:space="preserve">. If on one </w:t>
      </w:r>
      <w:r>
        <w:rPr>
          <w:rFonts w:ascii="Arial" w:hAnsi="Arial" w:cs="Arial"/>
          <w:color w:val="000000" w:themeColor="text1"/>
          <w:sz w:val="22"/>
          <w:szCs w:val="22"/>
          <w:lang w:val="en-GB"/>
        </w:rPr>
        <w:t>hand</w:t>
      </w:r>
      <w:r w:rsidRPr="006A6D89">
        <w:rPr>
          <w:rFonts w:ascii="Arial" w:hAnsi="Arial" w:cs="Arial"/>
          <w:color w:val="000000" w:themeColor="text1"/>
          <w:sz w:val="22"/>
          <w:szCs w:val="22"/>
          <w:lang w:val="en-GB"/>
        </w:rPr>
        <w:t xml:space="preserve"> the metabolic reprogramming </w:t>
      </w:r>
      <w:r>
        <w:rPr>
          <w:rFonts w:ascii="Arial" w:hAnsi="Arial" w:cs="Arial"/>
          <w:color w:val="000000" w:themeColor="text1"/>
          <w:sz w:val="22"/>
          <w:szCs w:val="22"/>
          <w:lang w:val="en-GB"/>
        </w:rPr>
        <w:t xml:space="preserve">is required to </w:t>
      </w:r>
      <w:r>
        <w:rPr>
          <w:rFonts w:ascii="Arial" w:hAnsi="Arial" w:cs="Arial"/>
          <w:color w:val="000000" w:themeColor="text1"/>
          <w:sz w:val="22"/>
          <w:szCs w:val="22"/>
          <w:lang w:val="en-GB"/>
        </w:rPr>
        <w:lastRenderedPageBreak/>
        <w:t>support growth and proliferation of</w:t>
      </w:r>
      <w:r w:rsidRPr="006A6D89">
        <w:rPr>
          <w:rFonts w:ascii="Arial" w:hAnsi="Arial" w:cs="Arial"/>
          <w:color w:val="000000" w:themeColor="text1"/>
          <w:sz w:val="22"/>
          <w:szCs w:val="22"/>
          <w:lang w:val="en-GB"/>
        </w:rPr>
        <w:t xml:space="preserve"> cancer cells, on the other</w:t>
      </w:r>
      <w:r w:rsidRPr="00CF79AE">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hand</w:t>
      </w:r>
      <w:r w:rsidRPr="006A6D89">
        <w:rPr>
          <w:rFonts w:ascii="Arial" w:hAnsi="Arial" w:cs="Arial"/>
          <w:color w:val="000000" w:themeColor="text1"/>
          <w:sz w:val="22"/>
          <w:szCs w:val="22"/>
          <w:lang w:val="en-GB"/>
        </w:rPr>
        <w:t xml:space="preserve"> it exposes their Achilles’ heel. Indeed, since these metabolic events are specific to cancer cells, they offer an opportunity to develop new selective therapies that would target tumour cells without affecting healthy tissue. In this review we will describe recent developments in metabolism-based cancer therapy, focusing on the concept of metabolic synthetic lethality. </w:t>
      </w:r>
    </w:p>
    <w:p w:rsidR="0040350D" w:rsidRDefault="0040350D" w:rsidP="0040350D">
      <w:pPr>
        <w:spacing w:line="360" w:lineRule="auto"/>
        <w:jc w:val="both"/>
        <w:rPr>
          <w:rFonts w:ascii="Arial" w:hAnsi="Arial" w:cs="Arial"/>
          <w:b/>
          <w:color w:val="000000" w:themeColor="text1"/>
          <w:lang w:val="en-GB"/>
        </w:rPr>
      </w:pPr>
    </w:p>
    <w:p w:rsidR="00F43308" w:rsidRPr="0040350D" w:rsidRDefault="0040350D" w:rsidP="0040350D">
      <w:pPr>
        <w:spacing w:line="360" w:lineRule="auto"/>
        <w:jc w:val="both"/>
        <w:rPr>
          <w:rFonts w:ascii="Arial" w:hAnsi="Arial" w:cs="Arial"/>
          <w:b/>
          <w:color w:val="000000" w:themeColor="text1"/>
          <w:lang w:val="en-GB"/>
        </w:rPr>
      </w:pPr>
      <w:r w:rsidRPr="0040350D">
        <w:rPr>
          <w:rFonts w:ascii="Arial" w:hAnsi="Arial" w:cs="Arial"/>
          <w:b/>
          <w:color w:val="000000" w:themeColor="text1"/>
          <w:lang w:val="en-GB"/>
        </w:rPr>
        <w:t>2</w:t>
      </w:r>
      <w:r>
        <w:rPr>
          <w:rFonts w:ascii="Arial" w:hAnsi="Arial" w:cs="Arial"/>
          <w:b/>
          <w:color w:val="000000" w:themeColor="text1"/>
          <w:lang w:val="en-GB"/>
        </w:rPr>
        <w:t>.</w:t>
      </w:r>
      <w:r w:rsidRPr="0040350D">
        <w:rPr>
          <w:rFonts w:ascii="Arial" w:hAnsi="Arial" w:cs="Arial"/>
          <w:b/>
          <w:color w:val="000000" w:themeColor="text1"/>
          <w:lang w:val="en-GB"/>
        </w:rPr>
        <w:t xml:space="preserve"> Targeting cancer metabolism</w:t>
      </w:r>
    </w:p>
    <w:p w:rsidR="0040350D" w:rsidRDefault="0040350D" w:rsidP="0040350D">
      <w:pPr>
        <w:spacing w:line="360" w:lineRule="auto"/>
        <w:jc w:val="both"/>
        <w:rPr>
          <w:rFonts w:ascii="Arial" w:hAnsi="Arial" w:cs="Arial"/>
          <w:b/>
          <w:color w:val="000000" w:themeColor="text1"/>
          <w:lang w:val="en-GB"/>
        </w:rPr>
      </w:pPr>
    </w:p>
    <w:p w:rsidR="00F43308" w:rsidRPr="006A6D89" w:rsidRDefault="00F43308" w:rsidP="0040350D">
      <w:pPr>
        <w:spacing w:line="360" w:lineRule="auto"/>
        <w:jc w:val="both"/>
        <w:rPr>
          <w:rFonts w:ascii="Arial" w:hAnsi="Arial" w:cs="Arial"/>
          <w:b/>
          <w:color w:val="000000" w:themeColor="text1"/>
          <w:lang w:val="en-GB"/>
        </w:rPr>
      </w:pPr>
      <w:r>
        <w:rPr>
          <w:rFonts w:ascii="Arial" w:hAnsi="Arial" w:cs="Arial"/>
          <w:b/>
          <w:color w:val="000000" w:themeColor="text1"/>
          <w:lang w:val="en-GB"/>
        </w:rPr>
        <w:t>2</w:t>
      </w:r>
      <w:r w:rsidR="005320F2">
        <w:rPr>
          <w:rFonts w:ascii="Arial" w:hAnsi="Arial" w:cs="Arial"/>
          <w:b/>
          <w:color w:val="000000" w:themeColor="text1"/>
          <w:lang w:val="en-GB"/>
        </w:rPr>
        <w:t>.1</w:t>
      </w:r>
      <w:r w:rsidRPr="006A6D89">
        <w:rPr>
          <w:rFonts w:ascii="Arial" w:hAnsi="Arial" w:cs="Arial"/>
          <w:b/>
          <w:color w:val="000000" w:themeColor="text1"/>
          <w:lang w:val="en-GB"/>
        </w:rPr>
        <w:t xml:space="preserve"> Anti-metabolic therapy </w:t>
      </w: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 xml:space="preserve">The idea of targeting cancer metabolism traces back to the original work of Sydney Farber, who, after some failed attempts, for the first time successfully used inhibitors of folate synthesis to kill leukaemia cells </w:t>
      </w:r>
      <w:r>
        <w:rPr>
          <w:rFonts w:ascii="Arial" w:hAnsi="Arial" w:cs="Arial"/>
          <w:noProof/>
          <w:color w:val="000000" w:themeColor="text1"/>
          <w:sz w:val="22"/>
          <w:szCs w:val="22"/>
          <w:lang w:val="en-GB"/>
        </w:rPr>
        <w:t>[8]</w:t>
      </w:r>
      <w:r w:rsidRPr="006A6D89">
        <w:rPr>
          <w:rFonts w:ascii="Arial" w:hAnsi="Arial" w:cs="Arial"/>
          <w:color w:val="000000" w:themeColor="text1"/>
          <w:sz w:val="22"/>
          <w:szCs w:val="22"/>
          <w:lang w:val="en-GB"/>
        </w:rPr>
        <w:t xml:space="preserve">. </w:t>
      </w:r>
      <w:r w:rsidRPr="009E7D98">
        <w:rPr>
          <w:rFonts w:ascii="Arial" w:hAnsi="Arial" w:cs="Arial"/>
          <w:color w:val="000000" w:themeColor="text1"/>
          <w:sz w:val="22"/>
          <w:szCs w:val="22"/>
          <w:lang w:val="en-GB"/>
        </w:rPr>
        <w:t xml:space="preserve">Despite having some toxicity in normal proliferative tissues such as the intestinal epithelium and bone marrow, </w:t>
      </w:r>
      <w:proofErr w:type="spellStart"/>
      <w:r w:rsidRPr="009E7D98">
        <w:rPr>
          <w:rFonts w:ascii="Arial" w:hAnsi="Arial" w:cs="Arial"/>
          <w:color w:val="000000" w:themeColor="text1"/>
          <w:sz w:val="22"/>
          <w:szCs w:val="22"/>
          <w:lang w:val="en-GB"/>
        </w:rPr>
        <w:t>antifolates</w:t>
      </w:r>
      <w:proofErr w:type="spellEnd"/>
      <w:r w:rsidRPr="009E7D98">
        <w:rPr>
          <w:rFonts w:ascii="Arial" w:hAnsi="Arial" w:cs="Arial"/>
          <w:color w:val="000000" w:themeColor="text1"/>
          <w:sz w:val="22"/>
          <w:szCs w:val="22"/>
          <w:lang w:val="en-GB"/>
        </w:rPr>
        <w:t xml:space="preserve"> are still effectively used in combined therapies to target increased nucleotide and DNA synthesis in tumour cells </w:t>
      </w:r>
      <w:r>
        <w:rPr>
          <w:rFonts w:ascii="Arial" w:hAnsi="Arial" w:cs="Arial"/>
          <w:noProof/>
          <w:color w:val="000000" w:themeColor="text1"/>
          <w:sz w:val="22"/>
          <w:szCs w:val="22"/>
          <w:lang w:val="en-GB"/>
        </w:rPr>
        <w:t>[9]</w:t>
      </w:r>
      <w:r w:rsidRPr="006A6D89">
        <w:rPr>
          <w:rFonts w:ascii="Arial" w:hAnsi="Arial" w:cs="Arial"/>
          <w:color w:val="000000" w:themeColor="text1"/>
          <w:sz w:val="22"/>
          <w:szCs w:val="22"/>
          <w:lang w:val="en-GB"/>
        </w:rPr>
        <w:t xml:space="preserve">. Since then, the so-called antimetabolites, </w:t>
      </w:r>
      <w:r w:rsidRPr="00CF79AE">
        <w:rPr>
          <w:rFonts w:ascii="Arial" w:hAnsi="Arial" w:cs="Arial"/>
          <w:i/>
          <w:color w:val="000000" w:themeColor="text1"/>
          <w:sz w:val="22"/>
          <w:szCs w:val="22"/>
          <w:lang w:val="en-GB"/>
        </w:rPr>
        <w:t>i.e.</w:t>
      </w:r>
      <w:r w:rsidRPr="006A6D89">
        <w:rPr>
          <w:rFonts w:ascii="Arial" w:hAnsi="Arial" w:cs="Arial"/>
          <w:color w:val="000000" w:themeColor="text1"/>
          <w:sz w:val="22"/>
          <w:szCs w:val="22"/>
          <w:lang w:val="en-GB"/>
        </w:rPr>
        <w:t xml:space="preserve"> anticancer drugs that affect nucleotide biosynthesis, have been amongst the most successful drugs for cancer therapy </w:t>
      </w:r>
      <w:r>
        <w:rPr>
          <w:rFonts w:ascii="Arial" w:hAnsi="Arial" w:cs="Arial"/>
          <w:noProof/>
          <w:color w:val="000000" w:themeColor="text1"/>
          <w:sz w:val="22"/>
          <w:szCs w:val="22"/>
          <w:lang w:val="en-GB"/>
        </w:rPr>
        <w:t>[10]</w:t>
      </w:r>
      <w:r w:rsidRPr="006A6D89">
        <w:rPr>
          <w:rFonts w:ascii="Arial" w:hAnsi="Arial" w:cs="Arial"/>
          <w:color w:val="000000" w:themeColor="text1"/>
          <w:sz w:val="22"/>
          <w:szCs w:val="22"/>
          <w:lang w:val="en-GB"/>
        </w:rPr>
        <w:t xml:space="preserve">. However, the metabolic reprogramming of cancer goes beyond altered nucleotide biosynthesis.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sidRPr="009E7D98">
        <w:rPr>
          <w:rFonts w:ascii="Arial" w:hAnsi="Arial" w:cs="Arial"/>
          <w:color w:val="000000" w:themeColor="text1"/>
          <w:sz w:val="22"/>
          <w:szCs w:val="22"/>
          <w:lang w:val="en-GB"/>
        </w:rPr>
        <w:t xml:space="preserve">The first of the metabolic features to be identified in </w:t>
      </w:r>
      <w:proofErr w:type="spellStart"/>
      <w:r w:rsidRPr="009E7D98">
        <w:rPr>
          <w:rFonts w:ascii="Arial" w:hAnsi="Arial" w:cs="Arial"/>
          <w:color w:val="000000" w:themeColor="text1"/>
          <w:sz w:val="22"/>
          <w:szCs w:val="22"/>
          <w:lang w:val="en-GB"/>
        </w:rPr>
        <w:t>tumor</w:t>
      </w:r>
      <w:proofErr w:type="spellEnd"/>
      <w:r w:rsidRPr="009E7D98">
        <w:rPr>
          <w:rFonts w:ascii="Arial" w:hAnsi="Arial" w:cs="Arial"/>
          <w:color w:val="000000" w:themeColor="text1"/>
          <w:sz w:val="22"/>
          <w:szCs w:val="22"/>
          <w:lang w:val="en-GB"/>
        </w:rPr>
        <w:t xml:space="preserve"> cells was an increase in glucose uptake and glycolysis leading to an increase in lactate production </w:t>
      </w:r>
      <w:r>
        <w:rPr>
          <w:rFonts w:ascii="Arial" w:hAnsi="Arial" w:cs="Arial"/>
          <w:noProof/>
          <w:color w:val="000000" w:themeColor="text1"/>
          <w:sz w:val="22"/>
          <w:szCs w:val="22"/>
          <w:lang w:val="en-GB"/>
        </w:rPr>
        <w:t>[11]</w:t>
      </w:r>
      <w:r w:rsidRPr="009E7D98">
        <w:rPr>
          <w:rFonts w:ascii="Arial" w:hAnsi="Arial" w:cs="Arial"/>
          <w:color w:val="000000" w:themeColor="text1"/>
          <w:sz w:val="22"/>
          <w:szCs w:val="22"/>
          <w:lang w:val="en-GB"/>
        </w:rPr>
        <w:t>.</w:t>
      </w:r>
      <w:r w:rsidRPr="009E7D98">
        <w:rPr>
          <w:rFonts w:ascii="Verdana" w:hAnsi="Verdana" w:cs="Verdana"/>
          <w:color w:val="000000" w:themeColor="text1"/>
          <w:sz w:val="26"/>
          <w:szCs w:val="26"/>
          <w:lang w:val="en-GB"/>
        </w:rPr>
        <w:t xml:space="preserve"> </w:t>
      </w:r>
      <w:r w:rsidRPr="006A6D89">
        <w:rPr>
          <w:rFonts w:ascii="Arial" w:hAnsi="Arial" w:cs="Arial"/>
          <w:color w:val="000000" w:themeColor="text1"/>
          <w:sz w:val="22"/>
          <w:szCs w:val="22"/>
          <w:lang w:val="en-GB"/>
        </w:rPr>
        <w:t xml:space="preserve">Although, this feature is specific to cancer cells it still </w:t>
      </w:r>
      <w:r>
        <w:rPr>
          <w:rFonts w:ascii="Arial" w:hAnsi="Arial" w:cs="Arial"/>
          <w:color w:val="000000" w:themeColor="text1"/>
          <w:sz w:val="22"/>
          <w:szCs w:val="22"/>
          <w:lang w:val="en-GB"/>
        </w:rPr>
        <w:t>involves</w:t>
      </w:r>
      <w:r w:rsidRPr="006A6D89">
        <w:rPr>
          <w:rFonts w:ascii="Arial" w:hAnsi="Arial" w:cs="Arial"/>
          <w:color w:val="000000" w:themeColor="text1"/>
          <w:sz w:val="22"/>
          <w:szCs w:val="22"/>
          <w:lang w:val="en-GB"/>
        </w:rPr>
        <w:t xml:space="preserve"> many of the same glycolytic enzymes used by normal cells</w:t>
      </w:r>
      <w:r>
        <w:rPr>
          <w:rFonts w:ascii="Arial" w:hAnsi="Arial" w:cs="Arial"/>
          <w:color w:val="000000" w:themeColor="text1"/>
          <w:sz w:val="22"/>
          <w:szCs w:val="22"/>
          <w:lang w:val="en-GB"/>
        </w:rPr>
        <w:t xml:space="preserve">; making it a difficult cancer-specific target. </w:t>
      </w:r>
      <w:r w:rsidRPr="006A6D89">
        <w:rPr>
          <w:rFonts w:ascii="Arial" w:hAnsi="Arial" w:cs="Arial"/>
          <w:color w:val="000000" w:themeColor="text1"/>
          <w:sz w:val="22"/>
          <w:szCs w:val="22"/>
          <w:lang w:val="en-GB"/>
        </w:rPr>
        <w:t>Nonetheless, some enzymes are preferentially used by cancer cells and their targeting has yielded positive results. These include glucose transporters (such as GLUT1), hexokinases (such as HK2), phosphofructokinases (such as PFK1), pyruvate kinase (PKM2) and intracellular lactate transporters (</w:t>
      </w:r>
      <w:proofErr w:type="spellStart"/>
      <w:r w:rsidRPr="006A6D89">
        <w:rPr>
          <w:rFonts w:ascii="Arial" w:hAnsi="Arial" w:cs="Arial"/>
          <w:color w:val="000000" w:themeColor="text1"/>
          <w:sz w:val="22"/>
          <w:szCs w:val="22"/>
          <w:lang w:val="en-GB"/>
        </w:rPr>
        <w:t>monocarboxylate</w:t>
      </w:r>
      <w:proofErr w:type="spellEnd"/>
      <w:r w:rsidRPr="006A6D89">
        <w:rPr>
          <w:rFonts w:ascii="Arial" w:hAnsi="Arial" w:cs="Arial"/>
          <w:color w:val="000000" w:themeColor="text1"/>
          <w:sz w:val="22"/>
          <w:szCs w:val="22"/>
          <w:lang w:val="en-GB"/>
        </w:rPr>
        <w:t xml:space="preserve"> transporters MCT1 and MCT4)</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[6, 9]</w:t>
      </w:r>
      <w:r w:rsidRPr="006A6D89">
        <w:rPr>
          <w:rFonts w:ascii="Arial" w:hAnsi="Arial" w:cs="Arial"/>
          <w:color w:val="000000" w:themeColor="text1"/>
          <w:sz w:val="22"/>
          <w:szCs w:val="22"/>
          <w:lang w:val="en-GB"/>
        </w:rPr>
        <w:t>.</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 xml:space="preserve">Glycogen is a multi-branched polysaccharide of glucose that is used by the cell as energy storage. Its metabolism was showed to be up-regulated in many tumour types and to play a role in metabolic reprogramming of tumour cells under stress conditions such as glucose deprivation or hypoxia </w:t>
      </w:r>
      <w:r>
        <w:rPr>
          <w:rFonts w:ascii="Arial" w:hAnsi="Arial" w:cs="Arial"/>
          <w:noProof/>
          <w:color w:val="000000" w:themeColor="text1"/>
          <w:sz w:val="22"/>
          <w:szCs w:val="22"/>
          <w:lang w:val="en-GB"/>
        </w:rPr>
        <w:t>[12]</w:t>
      </w:r>
      <w:r w:rsidRPr="006A6D89">
        <w:rPr>
          <w:rFonts w:ascii="Arial" w:hAnsi="Arial" w:cs="Arial"/>
          <w:color w:val="000000" w:themeColor="text1"/>
          <w:sz w:val="22"/>
          <w:szCs w:val="22"/>
          <w:lang w:val="en-GB"/>
        </w:rPr>
        <w:t>.</w:t>
      </w:r>
      <w:r w:rsidRPr="006A6D89">
        <w:rPr>
          <w:rFonts w:ascii="Times New Roman" w:hAnsi="Times New Roman" w:cs="Times New Roman"/>
          <w:color w:val="000000" w:themeColor="text1"/>
          <w:sz w:val="32"/>
          <w:szCs w:val="32"/>
          <w:lang w:val="en-GB"/>
        </w:rPr>
        <w:t xml:space="preserve"> </w:t>
      </w:r>
      <w:r w:rsidRPr="006A6D89">
        <w:rPr>
          <w:rFonts w:ascii="Arial" w:hAnsi="Arial" w:cs="Arial"/>
          <w:color w:val="000000" w:themeColor="text1"/>
          <w:sz w:val="22"/>
          <w:szCs w:val="22"/>
          <w:lang w:val="en-GB"/>
        </w:rPr>
        <w:t xml:space="preserve">Depletion of glycogen phosphorylase (PYGL), an enzyme that </w:t>
      </w:r>
      <w:proofErr w:type="spellStart"/>
      <w:r w:rsidRPr="006A6D89">
        <w:rPr>
          <w:rFonts w:ascii="Arial" w:hAnsi="Arial" w:cs="Arial"/>
          <w:color w:val="000000" w:themeColor="text1"/>
          <w:sz w:val="22"/>
          <w:szCs w:val="22"/>
          <w:lang w:val="en-GB"/>
        </w:rPr>
        <w:t>catalyzes</w:t>
      </w:r>
      <w:proofErr w:type="spellEnd"/>
      <w:r w:rsidRPr="006A6D89">
        <w:rPr>
          <w:rFonts w:ascii="Arial" w:hAnsi="Arial" w:cs="Arial"/>
          <w:color w:val="000000" w:themeColor="text1"/>
          <w:sz w:val="22"/>
          <w:szCs w:val="22"/>
          <w:lang w:val="en-GB"/>
        </w:rPr>
        <w:t xml:space="preserve"> glycogen degradation, has been shown to impair tumorigenesis </w:t>
      </w:r>
      <w:r w:rsidRPr="006A6D89">
        <w:rPr>
          <w:rFonts w:ascii="Arial" w:hAnsi="Arial" w:cs="Arial"/>
          <w:i/>
          <w:color w:val="000000" w:themeColor="text1"/>
          <w:sz w:val="22"/>
          <w:szCs w:val="22"/>
          <w:lang w:val="en-GB"/>
        </w:rPr>
        <w:t>in vivo</w:t>
      </w:r>
      <w:r w:rsidRPr="006A6D89">
        <w:rPr>
          <w:rFonts w:ascii="Arial" w:hAnsi="Arial" w:cs="Arial"/>
          <w:color w:val="000000" w:themeColor="text1"/>
          <w:sz w:val="22"/>
          <w:szCs w:val="22"/>
          <w:lang w:val="en-GB"/>
        </w:rPr>
        <w:t xml:space="preserve">. Its expression is increased </w:t>
      </w:r>
      <w:r w:rsidRPr="009E7D98">
        <w:rPr>
          <w:rFonts w:ascii="Arial" w:hAnsi="Arial" w:cs="Arial"/>
          <w:i/>
          <w:color w:val="000000" w:themeColor="text1"/>
          <w:sz w:val="22"/>
          <w:szCs w:val="22"/>
          <w:lang w:val="en-GB"/>
        </w:rPr>
        <w:t>in vivo</w:t>
      </w:r>
      <w:r w:rsidRPr="006A6D89">
        <w:rPr>
          <w:rFonts w:ascii="Arial" w:hAnsi="Arial" w:cs="Arial"/>
          <w:color w:val="000000" w:themeColor="text1"/>
          <w:sz w:val="22"/>
          <w:szCs w:val="22"/>
          <w:lang w:val="en-GB"/>
        </w:rPr>
        <w:t xml:space="preserve"> following treatment with bevacizumab, an angiogenesis inhibitor </w:t>
      </w:r>
      <w:r>
        <w:rPr>
          <w:rFonts w:ascii="Arial" w:hAnsi="Arial" w:cs="Arial"/>
          <w:noProof/>
          <w:color w:val="000000" w:themeColor="text1"/>
          <w:sz w:val="22"/>
          <w:szCs w:val="22"/>
          <w:lang w:val="en-GB"/>
        </w:rPr>
        <w:t>[13]</w:t>
      </w:r>
      <w:r w:rsidRPr="006A6D89">
        <w:rPr>
          <w:rFonts w:ascii="Arial" w:hAnsi="Arial" w:cs="Arial"/>
          <w:color w:val="000000" w:themeColor="text1"/>
          <w:sz w:val="22"/>
          <w:szCs w:val="22"/>
          <w:lang w:val="en-GB"/>
        </w:rPr>
        <w:t xml:space="preserve">, suggesting that targeting this pathway in hypoxic tumours might be effective.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lastRenderedPageBreak/>
        <w:t xml:space="preserve">In addition to the widely studied dysregulated glucose metabolism, it has become apparent that many other metabolites are also used by cancer cells to fuel tumorigenesis including a wide array of amino acids such as glutamine, serine, glycine, proline, and arginine </w:t>
      </w:r>
      <w:r>
        <w:rPr>
          <w:rFonts w:ascii="Arial" w:hAnsi="Arial" w:cs="Arial"/>
          <w:noProof/>
          <w:color w:val="000000" w:themeColor="text1"/>
          <w:sz w:val="22"/>
          <w:szCs w:val="22"/>
          <w:lang w:val="en-GB"/>
        </w:rPr>
        <w:t>[14]</w:t>
      </w:r>
      <w:r w:rsidRPr="006A6D89">
        <w:rPr>
          <w:rFonts w:ascii="Arial" w:hAnsi="Arial" w:cs="Arial"/>
          <w:color w:val="000000" w:themeColor="text1"/>
          <w:sz w:val="22"/>
          <w:szCs w:val="22"/>
          <w:lang w:val="en-GB"/>
        </w:rPr>
        <w:t xml:space="preserve">. High levels of </w:t>
      </w:r>
      <w:r w:rsidRPr="006A6D89">
        <w:rPr>
          <w:rFonts w:ascii="Arial" w:hAnsi="Arial" w:cs="Arial"/>
          <w:i/>
          <w:color w:val="000000" w:themeColor="text1"/>
          <w:sz w:val="22"/>
          <w:szCs w:val="22"/>
          <w:lang w:val="en-GB"/>
        </w:rPr>
        <w:t>de novo</w:t>
      </w:r>
      <w:r w:rsidRPr="006A6D89">
        <w:rPr>
          <w:rFonts w:ascii="Arial" w:hAnsi="Arial" w:cs="Arial"/>
          <w:color w:val="000000" w:themeColor="text1"/>
          <w:sz w:val="22"/>
          <w:szCs w:val="22"/>
          <w:lang w:val="en-GB"/>
        </w:rPr>
        <w:t xml:space="preserve"> serine biosynthesis has been observed in some cancer cells and suppression of </w:t>
      </w:r>
      <w:r w:rsidRPr="009E7D98">
        <w:rPr>
          <w:rFonts w:ascii="Arial" w:hAnsi="Arial" w:cs="Arial"/>
          <w:color w:val="000000" w:themeColor="text1"/>
          <w:sz w:val="22"/>
          <w:szCs w:val="22"/>
          <w:lang w:val="en-GB"/>
        </w:rPr>
        <w:t>phosphoglycerate dehydrogenase</w:t>
      </w:r>
      <w:r w:rsidRPr="006A6D89">
        <w:rPr>
          <w:rFonts w:ascii="Arial" w:hAnsi="Arial" w:cs="Arial"/>
          <w:color w:val="000000" w:themeColor="text1"/>
          <w:sz w:val="22"/>
          <w:szCs w:val="22"/>
          <w:lang w:val="en-GB"/>
        </w:rPr>
        <w:t xml:space="preserve"> (PHGDH) activity, an enzyme involved</w:t>
      </w:r>
      <w:r w:rsidRPr="009E7D98">
        <w:rPr>
          <w:rFonts w:ascii="Arial" w:hAnsi="Arial" w:cs="Arial"/>
          <w:color w:val="000000" w:themeColor="text1"/>
          <w:sz w:val="22"/>
          <w:szCs w:val="22"/>
          <w:lang w:val="en-GB"/>
        </w:rPr>
        <w:t xml:space="preserve"> in </w:t>
      </w:r>
      <w:hyperlink r:id="rId7" w:history="1">
        <w:r w:rsidRPr="009E7D98">
          <w:rPr>
            <w:rFonts w:ascii="Arial" w:hAnsi="Arial" w:cs="Arial"/>
            <w:color w:val="000000" w:themeColor="text1"/>
            <w:sz w:val="22"/>
            <w:szCs w:val="22"/>
            <w:lang w:val="en-GB"/>
          </w:rPr>
          <w:t>serine</w:t>
        </w:r>
      </w:hyperlink>
      <w:r w:rsidRPr="009E7D98">
        <w:rPr>
          <w:rFonts w:ascii="Arial" w:hAnsi="Arial" w:cs="Arial"/>
          <w:color w:val="000000" w:themeColor="text1"/>
          <w:sz w:val="22"/>
          <w:szCs w:val="22"/>
          <w:lang w:val="en-GB"/>
        </w:rPr>
        <w:t xml:space="preserve"> biosynthesis, preferentially inhibits the proliferation of </w:t>
      </w:r>
      <w:r w:rsidRPr="006A6D89">
        <w:rPr>
          <w:rFonts w:ascii="Arial" w:hAnsi="Arial" w:cs="Arial"/>
          <w:color w:val="000000" w:themeColor="text1"/>
          <w:sz w:val="22"/>
          <w:szCs w:val="22"/>
          <w:lang w:val="en-GB"/>
        </w:rPr>
        <w:t xml:space="preserve">these serine-dependent cells </w:t>
      </w:r>
      <w:r>
        <w:rPr>
          <w:rFonts w:ascii="Arial" w:hAnsi="Arial" w:cs="Arial"/>
          <w:noProof/>
          <w:color w:val="000000" w:themeColor="text1"/>
          <w:sz w:val="22"/>
          <w:szCs w:val="22"/>
          <w:lang w:val="en-GB"/>
        </w:rPr>
        <w:t>[14]</w:t>
      </w:r>
      <w:r w:rsidRPr="006A6D89">
        <w:rPr>
          <w:rFonts w:ascii="Arial" w:hAnsi="Arial" w:cs="Arial"/>
          <w:color w:val="000000" w:themeColor="text1"/>
          <w:sz w:val="22"/>
          <w:szCs w:val="22"/>
          <w:lang w:val="en-GB"/>
        </w:rPr>
        <w:t>.</w:t>
      </w:r>
      <w:r w:rsidRPr="009E7D98" w:rsidDel="000927BF">
        <w:rPr>
          <w:rFonts w:ascii="Arial" w:hAnsi="Arial" w:cs="Arial"/>
          <w:color w:val="000000" w:themeColor="text1"/>
          <w:sz w:val="22"/>
          <w:szCs w:val="22"/>
          <w:lang w:val="en-GB"/>
        </w:rPr>
        <w:t xml:space="preserve"> </w:t>
      </w:r>
      <w:r w:rsidRPr="006A6D89">
        <w:rPr>
          <w:rFonts w:ascii="Arial" w:hAnsi="Arial" w:cs="Arial"/>
          <w:color w:val="000000" w:themeColor="text1"/>
          <w:sz w:val="22"/>
          <w:szCs w:val="22"/>
          <w:lang w:val="en-GB"/>
        </w:rPr>
        <w:t>Of note, novel PHGDH inhibitors have b</w:t>
      </w:r>
      <w:r>
        <w:rPr>
          <w:rFonts w:ascii="Arial" w:hAnsi="Arial" w:cs="Arial"/>
          <w:color w:val="000000" w:themeColor="text1"/>
          <w:sz w:val="22"/>
          <w:szCs w:val="22"/>
          <w:lang w:val="en-GB"/>
        </w:rPr>
        <w:t xml:space="preserve">een recently developed </w:t>
      </w:r>
      <w:r>
        <w:rPr>
          <w:rFonts w:ascii="Arial" w:hAnsi="Arial" w:cs="Arial"/>
          <w:noProof/>
          <w:color w:val="000000" w:themeColor="text1"/>
          <w:sz w:val="22"/>
          <w:szCs w:val="22"/>
          <w:lang w:val="en-GB"/>
        </w:rPr>
        <w:t>[15, 16]</w:t>
      </w:r>
      <w:r w:rsidRPr="006A6D89">
        <w:rPr>
          <w:rFonts w:ascii="Arial" w:hAnsi="Arial" w:cs="Arial"/>
          <w:color w:val="000000" w:themeColor="text1"/>
          <w:sz w:val="22"/>
          <w:szCs w:val="22"/>
          <w:lang w:val="en-GB"/>
        </w:rPr>
        <w:t xml:space="preserve"> and they exhibit excellent </w:t>
      </w:r>
      <w:proofErr w:type="spellStart"/>
      <w:r w:rsidRPr="006A6D89">
        <w:rPr>
          <w:rFonts w:ascii="Arial" w:hAnsi="Arial" w:cs="Arial"/>
          <w:color w:val="000000" w:themeColor="text1"/>
          <w:sz w:val="22"/>
          <w:szCs w:val="22"/>
          <w:lang w:val="en-GB"/>
        </w:rPr>
        <w:t>antiproliferative</w:t>
      </w:r>
      <w:proofErr w:type="spellEnd"/>
      <w:r w:rsidRPr="006A6D89">
        <w:rPr>
          <w:rFonts w:ascii="Arial" w:hAnsi="Arial" w:cs="Arial"/>
          <w:color w:val="000000" w:themeColor="text1"/>
          <w:sz w:val="22"/>
          <w:szCs w:val="22"/>
          <w:lang w:val="en-GB"/>
        </w:rPr>
        <w:t xml:space="preserve"> properties in PHGDH-amplified cancer cells.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 xml:space="preserve">In many cancers, glutamine is used as a major source of carbon and nitrogen, and approaches that target glutamine metabolism have been investigated as a potential way to reduce cancer cell survival </w:t>
      </w:r>
      <w:r>
        <w:rPr>
          <w:rFonts w:ascii="Arial" w:hAnsi="Arial" w:cs="Arial"/>
          <w:noProof/>
          <w:color w:val="000000" w:themeColor="text1"/>
          <w:sz w:val="22"/>
          <w:szCs w:val="22"/>
          <w:lang w:val="en-GB"/>
        </w:rPr>
        <w:t>[17]</w:t>
      </w:r>
      <w:r w:rsidRPr="006A6D89">
        <w:rPr>
          <w:rFonts w:ascii="Arial" w:hAnsi="Arial" w:cs="Arial"/>
          <w:color w:val="000000" w:themeColor="text1"/>
          <w:sz w:val="22"/>
          <w:szCs w:val="22"/>
          <w:lang w:val="en-GB"/>
        </w:rPr>
        <w:t xml:space="preserve">. For example, inhibition of the </w:t>
      </w:r>
      <w:proofErr w:type="spellStart"/>
      <w:r w:rsidRPr="006A6D89">
        <w:rPr>
          <w:rFonts w:ascii="Arial" w:hAnsi="Arial" w:cs="Arial"/>
          <w:color w:val="000000" w:themeColor="text1"/>
          <w:sz w:val="22"/>
          <w:szCs w:val="22"/>
          <w:lang w:val="en-GB"/>
        </w:rPr>
        <w:t>glutaminase</w:t>
      </w:r>
      <w:proofErr w:type="spellEnd"/>
      <w:r w:rsidRPr="006A6D89">
        <w:rPr>
          <w:rFonts w:ascii="Arial" w:hAnsi="Arial" w:cs="Arial"/>
          <w:color w:val="000000" w:themeColor="text1"/>
          <w:sz w:val="22"/>
          <w:szCs w:val="22"/>
          <w:lang w:val="en-GB"/>
        </w:rPr>
        <w:t xml:space="preserve"> 2 (GLS2) with small-molecule inhibitor such as </w:t>
      </w:r>
      <w:r w:rsidRPr="009E7D98">
        <w:rPr>
          <w:rFonts w:ascii="Arial" w:hAnsi="Arial" w:cs="Arial"/>
          <w:color w:val="000000" w:themeColor="text1"/>
          <w:sz w:val="22"/>
          <w:szCs w:val="22"/>
          <w:lang w:val="en-GB"/>
        </w:rPr>
        <w:t>alkyl benzoquinone AV-1</w:t>
      </w:r>
      <w:r w:rsidRPr="009E7D98">
        <w:rPr>
          <w:rFonts w:ascii="Arial" w:hAnsi="Arial" w:cs="Times New Roman"/>
          <w:color w:val="000000" w:themeColor="text1"/>
          <w:sz w:val="22"/>
          <w:szCs w:val="22"/>
          <w:lang w:val="en-GB"/>
        </w:rPr>
        <w:t>,</w:t>
      </w:r>
      <w:r w:rsidRPr="006A6D89">
        <w:rPr>
          <w:rFonts w:ascii="Arial" w:hAnsi="Arial" w:cs="Arial"/>
          <w:color w:val="000000" w:themeColor="text1"/>
          <w:sz w:val="22"/>
          <w:szCs w:val="22"/>
          <w:lang w:val="en-GB"/>
        </w:rPr>
        <w:t xml:space="preserve"> suppresses oncogenic transformation of cancer cell lines without affecting the growth of normal cells </w:t>
      </w:r>
      <w:r>
        <w:rPr>
          <w:rFonts w:ascii="Arial" w:hAnsi="Arial" w:cs="Arial"/>
          <w:noProof/>
          <w:color w:val="000000" w:themeColor="text1"/>
          <w:sz w:val="22"/>
          <w:szCs w:val="22"/>
          <w:lang w:val="en-GB"/>
        </w:rPr>
        <w:t>[18]</w:t>
      </w:r>
      <w:r w:rsidRPr="006A6D89">
        <w:rPr>
          <w:rFonts w:ascii="Arial" w:hAnsi="Arial" w:cs="Arial"/>
          <w:color w:val="000000" w:themeColor="text1"/>
          <w:sz w:val="22"/>
          <w:szCs w:val="22"/>
          <w:lang w:val="en-GB"/>
        </w:rPr>
        <w:t xml:space="preserve">. Furthermore, a combination of glutamine-analogue </w:t>
      </w:r>
      <w:proofErr w:type="spellStart"/>
      <w:r w:rsidRPr="006A6D89">
        <w:rPr>
          <w:rFonts w:ascii="Arial" w:hAnsi="Arial" w:cs="Arial"/>
          <w:color w:val="000000" w:themeColor="text1"/>
          <w:sz w:val="22"/>
          <w:szCs w:val="22"/>
          <w:lang w:val="en-GB"/>
        </w:rPr>
        <w:t>acivicin</w:t>
      </w:r>
      <w:proofErr w:type="spellEnd"/>
      <w:r w:rsidRPr="006A6D89">
        <w:rPr>
          <w:rFonts w:ascii="Arial" w:hAnsi="Arial" w:cs="Arial"/>
          <w:color w:val="000000" w:themeColor="text1"/>
          <w:sz w:val="22"/>
          <w:szCs w:val="22"/>
          <w:lang w:val="en-GB"/>
        </w:rPr>
        <w:t xml:space="preserve"> and GLS2 </w:t>
      </w:r>
      <w:r>
        <w:rPr>
          <w:rFonts w:ascii="Arial" w:hAnsi="Arial" w:cs="Arial"/>
          <w:color w:val="000000" w:themeColor="text1"/>
          <w:sz w:val="22"/>
          <w:szCs w:val="22"/>
          <w:lang w:val="en-GB"/>
        </w:rPr>
        <w:t xml:space="preserve">inhibitor </w:t>
      </w:r>
      <w:r w:rsidRPr="006A6D89">
        <w:rPr>
          <w:rFonts w:ascii="Arial" w:hAnsi="Arial" w:cs="Arial"/>
          <w:color w:val="000000" w:themeColor="text1"/>
          <w:sz w:val="22"/>
          <w:szCs w:val="22"/>
          <w:lang w:val="en-GB"/>
        </w:rPr>
        <w:t xml:space="preserve">synergistically reduces the proliferation and invasion of some cancer cell types </w:t>
      </w:r>
      <w:r>
        <w:rPr>
          <w:rFonts w:ascii="Arial" w:hAnsi="Arial" w:cs="Arial"/>
          <w:noProof/>
          <w:color w:val="000000" w:themeColor="text1"/>
          <w:sz w:val="22"/>
          <w:szCs w:val="22"/>
          <w:lang w:val="en-GB"/>
        </w:rPr>
        <w:t>[19]</w:t>
      </w:r>
      <w:r w:rsidRPr="006A6D89">
        <w:rPr>
          <w:rFonts w:ascii="Arial" w:hAnsi="Arial" w:cs="Arial"/>
          <w:color w:val="000000" w:themeColor="text1"/>
          <w:sz w:val="22"/>
          <w:szCs w:val="22"/>
          <w:lang w:val="en-GB"/>
        </w:rPr>
        <w:t xml:space="preserve">. </w:t>
      </w:r>
    </w:p>
    <w:p w:rsidR="00F43308" w:rsidRPr="009E7D98" w:rsidRDefault="00F43308" w:rsidP="0040350D">
      <w:pPr>
        <w:spacing w:line="360" w:lineRule="auto"/>
        <w:jc w:val="both"/>
        <w:rPr>
          <w:rFonts w:ascii="Arial" w:hAnsi="Arial" w:cs="Arial"/>
          <w:color w:val="000000" w:themeColor="text1"/>
          <w:sz w:val="22"/>
          <w:szCs w:val="22"/>
          <w:lang w:val="en-GB"/>
        </w:rPr>
      </w:pPr>
    </w:p>
    <w:p w:rsidR="00F43308" w:rsidRPr="009E7D98" w:rsidRDefault="00F43308" w:rsidP="0040350D">
      <w:pPr>
        <w:spacing w:line="360" w:lineRule="auto"/>
        <w:jc w:val="both"/>
        <w:rPr>
          <w:rFonts w:ascii="Arial" w:hAnsi="Arial" w:cs="Arial"/>
          <w:color w:val="000000" w:themeColor="text1"/>
          <w:sz w:val="22"/>
          <w:szCs w:val="22"/>
          <w:lang w:val="en-GB"/>
        </w:rPr>
      </w:pPr>
      <w:r w:rsidRPr="009E7D98">
        <w:rPr>
          <w:rFonts w:ascii="Arial" w:hAnsi="Arial" w:cs="Arial"/>
          <w:color w:val="000000" w:themeColor="text1"/>
          <w:sz w:val="22"/>
          <w:szCs w:val="22"/>
          <w:lang w:val="en-GB"/>
        </w:rPr>
        <w:t xml:space="preserve">Glutamine and proline metabolism are interlinked and recent studies show that the regulation of proline metabolism plays a role in carcinogenesis </w:t>
      </w:r>
      <w:r>
        <w:rPr>
          <w:rFonts w:ascii="Arial" w:hAnsi="Arial" w:cs="Arial"/>
          <w:noProof/>
          <w:color w:val="000000" w:themeColor="text1"/>
          <w:sz w:val="22"/>
          <w:szCs w:val="22"/>
          <w:lang w:val="en-GB"/>
        </w:rPr>
        <w:t>[20, 21]</w:t>
      </w:r>
      <w:r w:rsidRPr="009E7D98">
        <w:rPr>
          <w:rFonts w:ascii="Arial" w:hAnsi="Arial" w:cs="Arial"/>
          <w:color w:val="000000" w:themeColor="text1"/>
          <w:sz w:val="22"/>
          <w:szCs w:val="22"/>
          <w:lang w:val="en-GB"/>
        </w:rPr>
        <w:t xml:space="preserve">. Proline biosynthesis from glutamine is increased by MYC </w:t>
      </w:r>
      <w:r>
        <w:rPr>
          <w:rFonts w:ascii="Arial" w:hAnsi="Arial" w:cs="Arial"/>
          <w:noProof/>
          <w:color w:val="000000" w:themeColor="text1"/>
          <w:sz w:val="22"/>
          <w:szCs w:val="22"/>
          <w:lang w:val="en-GB"/>
        </w:rPr>
        <w:t>[22]</w:t>
      </w:r>
      <w:r w:rsidRPr="009E7D98">
        <w:rPr>
          <w:rFonts w:ascii="Arial" w:hAnsi="Arial" w:cs="Arial"/>
          <w:color w:val="000000" w:themeColor="text1"/>
          <w:sz w:val="22"/>
          <w:szCs w:val="22"/>
          <w:lang w:val="en-GB"/>
        </w:rPr>
        <w:t xml:space="preserve"> through up-regulation of the expression of the enzymes involved in its biosynthesis pathway </w:t>
      </w:r>
      <w:r>
        <w:rPr>
          <w:rFonts w:ascii="Arial" w:hAnsi="Arial" w:cs="Arial"/>
          <w:noProof/>
          <w:color w:val="000000" w:themeColor="text1"/>
          <w:sz w:val="22"/>
          <w:szCs w:val="22"/>
          <w:lang w:val="en-GB"/>
        </w:rPr>
        <w:t>[23]</w:t>
      </w:r>
      <w:r w:rsidRPr="009E7D98">
        <w:rPr>
          <w:rFonts w:ascii="Arial" w:hAnsi="Arial" w:cs="Arial"/>
          <w:color w:val="000000" w:themeColor="text1"/>
          <w:sz w:val="22"/>
          <w:szCs w:val="22"/>
          <w:lang w:val="en-GB"/>
        </w:rPr>
        <w:t xml:space="preserve">. Blockade of proline biosynthesis decreases </w:t>
      </w:r>
      <w:proofErr w:type="spellStart"/>
      <w:r w:rsidRPr="009E7D98">
        <w:rPr>
          <w:rFonts w:ascii="Arial" w:hAnsi="Arial" w:cs="Arial"/>
          <w:color w:val="000000" w:themeColor="text1"/>
          <w:sz w:val="22"/>
          <w:szCs w:val="22"/>
          <w:lang w:val="en-GB"/>
        </w:rPr>
        <w:t>tumor</w:t>
      </w:r>
      <w:proofErr w:type="spellEnd"/>
      <w:r w:rsidRPr="009E7D98">
        <w:rPr>
          <w:rFonts w:ascii="Arial" w:hAnsi="Arial" w:cs="Arial"/>
          <w:color w:val="000000" w:themeColor="text1"/>
          <w:sz w:val="22"/>
          <w:szCs w:val="22"/>
          <w:lang w:val="en-GB"/>
        </w:rPr>
        <w:t xml:space="preserve"> cell growth and energy production, and recent evidence shows that proline oxidase (POX), an enzyme </w:t>
      </w:r>
      <w:proofErr w:type="spellStart"/>
      <w:r w:rsidRPr="009E7D98">
        <w:rPr>
          <w:rFonts w:ascii="Arial" w:hAnsi="Arial" w:cs="Arial"/>
          <w:color w:val="000000" w:themeColor="text1"/>
          <w:sz w:val="22"/>
          <w:szCs w:val="22"/>
          <w:lang w:val="en-GB"/>
        </w:rPr>
        <w:t>catalyzing</w:t>
      </w:r>
      <w:proofErr w:type="spellEnd"/>
      <w:r w:rsidRPr="009E7D98">
        <w:rPr>
          <w:rFonts w:ascii="Arial" w:hAnsi="Arial" w:cs="Arial"/>
          <w:color w:val="000000" w:themeColor="text1"/>
          <w:sz w:val="22"/>
          <w:szCs w:val="22"/>
          <w:lang w:val="en-GB"/>
        </w:rPr>
        <w:t xml:space="preserve"> the first step of proline degradation, plays an important role in tumorigenesis and </w:t>
      </w:r>
      <w:proofErr w:type="spellStart"/>
      <w:r w:rsidRPr="009E7D98">
        <w:rPr>
          <w:rFonts w:ascii="Arial" w:hAnsi="Arial" w:cs="Arial"/>
          <w:color w:val="000000" w:themeColor="text1"/>
          <w:sz w:val="22"/>
          <w:szCs w:val="22"/>
          <w:lang w:val="en-GB"/>
        </w:rPr>
        <w:t>tumor</w:t>
      </w:r>
      <w:proofErr w:type="spellEnd"/>
      <w:r w:rsidRPr="009E7D98">
        <w:rPr>
          <w:rFonts w:ascii="Arial" w:hAnsi="Arial" w:cs="Arial"/>
          <w:color w:val="000000" w:themeColor="text1"/>
          <w:sz w:val="22"/>
          <w:szCs w:val="22"/>
          <w:lang w:val="en-GB"/>
        </w:rPr>
        <w:t xml:space="preserve"> growth by maintaining pyridine nucleotide levels </w:t>
      </w:r>
      <w:r>
        <w:rPr>
          <w:rFonts w:ascii="Arial" w:hAnsi="Arial" w:cs="Arial"/>
          <w:noProof/>
          <w:color w:val="000000" w:themeColor="text1"/>
          <w:sz w:val="22"/>
          <w:szCs w:val="22"/>
          <w:lang w:val="en-GB"/>
        </w:rPr>
        <w:t>[23, 24]</w:t>
      </w:r>
      <w:r w:rsidRPr="009E7D98">
        <w:rPr>
          <w:rFonts w:ascii="Arial" w:hAnsi="Arial" w:cs="Arial"/>
          <w:color w:val="000000" w:themeColor="text1"/>
          <w:sz w:val="22"/>
          <w:szCs w:val="22"/>
          <w:lang w:val="en-GB"/>
        </w:rPr>
        <w:t>.</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kern w:val="1"/>
          <w:sz w:val="22"/>
          <w:szCs w:val="22"/>
          <w:lang w:val="en-GB"/>
        </w:rPr>
      </w:pPr>
      <w:r w:rsidRPr="006A6D89">
        <w:rPr>
          <w:rFonts w:ascii="Arial" w:hAnsi="Arial" w:cs="Arial"/>
          <w:color w:val="000000" w:themeColor="text1"/>
          <w:sz w:val="22"/>
          <w:szCs w:val="22"/>
          <w:lang w:val="en-GB"/>
        </w:rPr>
        <w:t>Asparagine is another key metabolite for cancer cells</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[6]</w:t>
      </w:r>
      <w:r w:rsidRPr="006A6D89">
        <w:rPr>
          <w:rFonts w:ascii="Arial" w:hAnsi="Arial" w:cs="Arial"/>
          <w:color w:val="000000" w:themeColor="text1"/>
          <w:sz w:val="22"/>
          <w:szCs w:val="22"/>
          <w:lang w:val="en-GB"/>
        </w:rPr>
        <w:t xml:space="preserve">. Consistently, another example of amino acid-based anti-metabolic therapy for cancer is asparaginase, an enzyme that converts asparagine to aspartic acid. Asparaginase is used in the treatment of acute lymphocytic leukaemia (ALL), where cancer cells are characterised by poor ability to synthesize asparagine </w:t>
      </w:r>
      <w:r w:rsidRPr="006A6D89">
        <w:rPr>
          <w:rFonts w:ascii="Arial" w:hAnsi="Arial" w:cs="Arial"/>
          <w:i/>
          <w:color w:val="000000" w:themeColor="text1"/>
          <w:sz w:val="22"/>
          <w:szCs w:val="22"/>
          <w:lang w:val="en-GB"/>
        </w:rPr>
        <w:t>de novo</w:t>
      </w:r>
      <w:r w:rsidRPr="006A6D89">
        <w:rPr>
          <w:rFonts w:ascii="Arial" w:hAnsi="Arial" w:cs="Arial"/>
          <w:color w:val="000000" w:themeColor="text1"/>
          <w:sz w:val="22"/>
          <w:szCs w:val="22"/>
          <w:lang w:val="en-GB"/>
        </w:rPr>
        <w:t xml:space="preserve"> due to suppression of asparagine </w:t>
      </w:r>
      <w:proofErr w:type="spellStart"/>
      <w:r w:rsidRPr="006A6D89">
        <w:rPr>
          <w:rFonts w:ascii="Arial" w:hAnsi="Arial" w:cs="Arial"/>
          <w:color w:val="000000" w:themeColor="text1"/>
          <w:sz w:val="22"/>
          <w:szCs w:val="22"/>
          <w:lang w:val="en-GB"/>
        </w:rPr>
        <w:t>synthetase</w:t>
      </w:r>
      <w:proofErr w:type="spellEnd"/>
      <w:r w:rsidRPr="006A6D89">
        <w:rPr>
          <w:rFonts w:ascii="Arial" w:hAnsi="Arial" w:cs="Arial"/>
          <w:color w:val="000000" w:themeColor="text1"/>
          <w:sz w:val="22"/>
          <w:szCs w:val="22"/>
          <w:lang w:val="en-GB"/>
        </w:rPr>
        <w:t xml:space="preserve"> (ASNS). The systemic administration of asparaginase eliminates the exogenous supply of asparagine and selectively affects ALL cells </w:t>
      </w:r>
      <w:r>
        <w:rPr>
          <w:rFonts w:ascii="Arial" w:hAnsi="Arial" w:cs="Arial"/>
          <w:noProof/>
          <w:color w:val="000000" w:themeColor="text1"/>
          <w:sz w:val="22"/>
          <w:szCs w:val="22"/>
          <w:lang w:val="en-GB"/>
        </w:rPr>
        <w:t>[25]</w:t>
      </w:r>
      <w:r w:rsidRPr="006A6D89">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Interestingly, asparagine deprivation and the silencing of ASNS have been identified as key liabilities for sarcoma in a functional genomic screening </w:t>
      </w:r>
      <w:r>
        <w:rPr>
          <w:rFonts w:ascii="Arial" w:hAnsi="Arial" w:cs="Arial"/>
          <w:noProof/>
          <w:color w:val="000000" w:themeColor="text1"/>
          <w:sz w:val="22"/>
          <w:szCs w:val="22"/>
          <w:lang w:val="en-GB"/>
        </w:rPr>
        <w:t>[26]</w:t>
      </w:r>
      <w:r>
        <w:rPr>
          <w:rFonts w:ascii="Arial" w:hAnsi="Arial" w:cs="Arial"/>
          <w:color w:val="000000" w:themeColor="text1"/>
          <w:sz w:val="22"/>
          <w:szCs w:val="22"/>
          <w:lang w:val="en-GB"/>
        </w:rPr>
        <w:t>.</w:t>
      </w:r>
      <w:r w:rsidRPr="006A6D89">
        <w:rPr>
          <w:rFonts w:ascii="Arial" w:hAnsi="Arial" w:cs="Arial"/>
          <w:color w:val="000000" w:themeColor="text1"/>
          <w:kern w:val="1"/>
          <w:sz w:val="22"/>
          <w:szCs w:val="22"/>
          <w:lang w:val="en-GB"/>
        </w:rPr>
        <w:t xml:space="preserve"> Similarly, argin</w:t>
      </w:r>
      <w:r>
        <w:rPr>
          <w:rFonts w:ascii="Arial" w:hAnsi="Arial" w:cs="Arial"/>
          <w:color w:val="000000" w:themeColor="text1"/>
          <w:kern w:val="1"/>
          <w:sz w:val="22"/>
          <w:szCs w:val="22"/>
          <w:lang w:val="en-GB"/>
        </w:rPr>
        <w:t>ine-depleting strategies are</w:t>
      </w:r>
      <w:r w:rsidRPr="006A6D89">
        <w:rPr>
          <w:rFonts w:ascii="Arial" w:hAnsi="Arial" w:cs="Arial"/>
          <w:color w:val="000000" w:themeColor="text1"/>
          <w:kern w:val="1"/>
          <w:sz w:val="22"/>
          <w:szCs w:val="22"/>
          <w:lang w:val="en-GB"/>
        </w:rPr>
        <w:t xml:space="preserve"> used for cancer cells that cannot synthesise arginine due to suppression of the urea cycle enzyme argininosuccinate </w:t>
      </w:r>
      <w:proofErr w:type="spellStart"/>
      <w:r w:rsidRPr="006A6D89">
        <w:rPr>
          <w:rFonts w:ascii="Arial" w:hAnsi="Arial" w:cs="Arial"/>
          <w:color w:val="000000" w:themeColor="text1"/>
          <w:kern w:val="1"/>
          <w:sz w:val="22"/>
          <w:szCs w:val="22"/>
          <w:lang w:val="en-GB"/>
        </w:rPr>
        <w:t>synthetase</w:t>
      </w:r>
      <w:proofErr w:type="spellEnd"/>
      <w:r w:rsidRPr="006A6D89">
        <w:rPr>
          <w:rFonts w:ascii="Arial" w:hAnsi="Arial" w:cs="Arial"/>
          <w:color w:val="000000" w:themeColor="text1"/>
          <w:kern w:val="1"/>
          <w:sz w:val="22"/>
          <w:szCs w:val="22"/>
          <w:lang w:val="en-GB"/>
        </w:rPr>
        <w:t xml:space="preserve"> </w:t>
      </w:r>
      <w:r>
        <w:rPr>
          <w:rFonts w:ascii="Arial" w:hAnsi="Arial" w:cs="Arial"/>
          <w:color w:val="000000" w:themeColor="text1"/>
          <w:kern w:val="1"/>
          <w:sz w:val="22"/>
          <w:szCs w:val="22"/>
          <w:lang w:val="en-GB"/>
        </w:rPr>
        <w:t xml:space="preserve">1 </w:t>
      </w:r>
      <w:r w:rsidRPr="006A6D89">
        <w:rPr>
          <w:rFonts w:ascii="Arial" w:hAnsi="Arial" w:cs="Arial"/>
          <w:color w:val="000000" w:themeColor="text1"/>
          <w:kern w:val="1"/>
          <w:sz w:val="22"/>
          <w:szCs w:val="22"/>
          <w:lang w:val="en-GB"/>
        </w:rPr>
        <w:t>(ASS</w:t>
      </w:r>
      <w:r>
        <w:rPr>
          <w:rFonts w:ascii="Arial" w:hAnsi="Arial" w:cs="Arial"/>
          <w:color w:val="000000" w:themeColor="text1"/>
          <w:kern w:val="1"/>
          <w:sz w:val="22"/>
          <w:szCs w:val="22"/>
          <w:lang w:val="en-GB"/>
        </w:rPr>
        <w:t>1</w:t>
      </w:r>
      <w:r w:rsidRPr="006A6D89">
        <w:rPr>
          <w:rFonts w:ascii="Arial" w:hAnsi="Arial" w:cs="Arial"/>
          <w:color w:val="000000" w:themeColor="text1"/>
          <w:kern w:val="1"/>
          <w:sz w:val="22"/>
          <w:szCs w:val="22"/>
          <w:lang w:val="en-GB"/>
        </w:rPr>
        <w:t>)</w:t>
      </w:r>
      <w:r>
        <w:rPr>
          <w:rFonts w:ascii="Arial" w:hAnsi="Arial" w:cs="Arial"/>
          <w:color w:val="000000" w:themeColor="text1"/>
          <w:kern w:val="1"/>
          <w:sz w:val="22"/>
          <w:szCs w:val="22"/>
          <w:lang w:val="en-GB"/>
        </w:rPr>
        <w:t>. Among the commonest</w:t>
      </w:r>
      <w:r w:rsidRPr="002C5377">
        <w:rPr>
          <w:rFonts w:ascii="Arial" w:hAnsi="Arial" w:cs="Arial"/>
          <w:color w:val="000000" w:themeColor="text1"/>
          <w:kern w:val="1"/>
          <w:sz w:val="22"/>
          <w:szCs w:val="22"/>
          <w:lang w:val="en-GB"/>
        </w:rPr>
        <w:t xml:space="preserve"> treatment </w:t>
      </w:r>
      <w:r>
        <w:rPr>
          <w:rFonts w:ascii="Arial" w:hAnsi="Arial" w:cs="Arial"/>
          <w:color w:val="000000" w:themeColor="text1"/>
          <w:kern w:val="1"/>
          <w:sz w:val="22"/>
          <w:szCs w:val="22"/>
          <w:lang w:val="en-GB"/>
        </w:rPr>
        <w:t>strategies</w:t>
      </w:r>
      <w:r w:rsidRPr="002C5377">
        <w:rPr>
          <w:rFonts w:ascii="Arial" w:hAnsi="Arial" w:cs="Arial"/>
          <w:color w:val="000000" w:themeColor="text1"/>
          <w:kern w:val="1"/>
          <w:sz w:val="22"/>
          <w:szCs w:val="22"/>
          <w:lang w:val="en-GB"/>
        </w:rPr>
        <w:t xml:space="preserve"> for arginine depletion</w:t>
      </w:r>
      <w:r>
        <w:rPr>
          <w:rFonts w:ascii="Arial" w:hAnsi="Arial" w:cs="Arial"/>
          <w:color w:val="000000" w:themeColor="text1"/>
          <w:kern w:val="1"/>
          <w:sz w:val="22"/>
          <w:szCs w:val="22"/>
          <w:lang w:val="en-GB"/>
        </w:rPr>
        <w:t xml:space="preserve"> are </w:t>
      </w:r>
      <w:proofErr w:type="spellStart"/>
      <w:r>
        <w:rPr>
          <w:rFonts w:ascii="Arial" w:hAnsi="Arial" w:cs="Arial"/>
          <w:color w:val="000000" w:themeColor="text1"/>
          <w:kern w:val="1"/>
          <w:sz w:val="22"/>
          <w:szCs w:val="22"/>
          <w:lang w:val="en-GB"/>
        </w:rPr>
        <w:t>pegylated</w:t>
      </w:r>
      <w:proofErr w:type="spellEnd"/>
      <w:r>
        <w:rPr>
          <w:rFonts w:ascii="Arial" w:hAnsi="Arial" w:cs="Arial"/>
          <w:color w:val="000000" w:themeColor="text1"/>
          <w:kern w:val="1"/>
          <w:sz w:val="22"/>
          <w:szCs w:val="22"/>
          <w:lang w:val="en-GB"/>
        </w:rPr>
        <w:t xml:space="preserve"> arginine deiminase (ADI-PEG20), an </w:t>
      </w:r>
      <w:r w:rsidRPr="005320F2">
        <w:rPr>
          <w:rFonts w:ascii="Arial" w:hAnsi="Arial" w:cs="Arial"/>
          <w:color w:val="000000" w:themeColor="text1"/>
          <w:kern w:val="1"/>
          <w:sz w:val="22"/>
          <w:szCs w:val="22"/>
          <w:lang w:val="en-GB"/>
        </w:rPr>
        <w:t xml:space="preserve">FDA approved drug in advanced clinical trials for hepatocellular carcinoma, </w:t>
      </w:r>
      <w:r w:rsidRPr="005320F2">
        <w:rPr>
          <w:rFonts w:ascii="Arial" w:hAnsi="Arial" w:cs="Arial"/>
          <w:color w:val="000000" w:themeColor="text1"/>
          <w:kern w:val="1"/>
          <w:sz w:val="22"/>
          <w:szCs w:val="22"/>
          <w:lang w:val="en-GB"/>
        </w:rPr>
        <w:lastRenderedPageBreak/>
        <w:t>melanoma and prostate cancer and mesothelioma cells, and recombinant human arginase, a drug in early phase I clinical trials for</w:t>
      </w:r>
      <w:r w:rsidRPr="005320F2">
        <w:rPr>
          <w:rFonts w:ascii="Arial" w:hAnsi="Arial" w:cs="Arial"/>
          <w:color w:val="000000"/>
          <w:sz w:val="22"/>
          <w:szCs w:val="22"/>
          <w:shd w:val="clear" w:color="auto" w:fill="FFFFFF"/>
        </w:rPr>
        <w:t xml:space="preserve"> melanoma, renal cell carcinoma, prostate cancer and hepatocellular </w:t>
      </w:r>
      <w:proofErr w:type="gramStart"/>
      <w:r w:rsidRPr="005320F2">
        <w:rPr>
          <w:rFonts w:ascii="Arial" w:hAnsi="Arial" w:cs="Arial"/>
          <w:color w:val="000000"/>
          <w:sz w:val="22"/>
          <w:szCs w:val="22"/>
          <w:shd w:val="clear" w:color="auto" w:fill="FFFFFF"/>
        </w:rPr>
        <w:t>carcinoma</w:t>
      </w:r>
      <w:r>
        <w:rPr>
          <w:rFonts w:ascii="Arial" w:hAnsi="Arial" w:cs="Arial"/>
          <w:color w:val="000000" w:themeColor="text1"/>
          <w:kern w:val="1"/>
          <w:sz w:val="22"/>
          <w:szCs w:val="22"/>
          <w:lang w:val="en-GB"/>
        </w:rPr>
        <w:t xml:space="preserve"> </w:t>
      </w:r>
      <w:r w:rsidRPr="006A6D89">
        <w:rPr>
          <w:rFonts w:ascii="Arial" w:hAnsi="Arial" w:cs="Arial"/>
          <w:color w:val="000000" w:themeColor="text1"/>
          <w:kern w:val="1"/>
          <w:sz w:val="22"/>
          <w:szCs w:val="22"/>
          <w:lang w:val="en-GB"/>
        </w:rPr>
        <w:t xml:space="preserve"> </w:t>
      </w:r>
      <w:r>
        <w:rPr>
          <w:rFonts w:ascii="Arial" w:hAnsi="Arial" w:cs="Arial"/>
          <w:noProof/>
          <w:color w:val="000000" w:themeColor="text1"/>
          <w:kern w:val="1"/>
          <w:sz w:val="22"/>
          <w:szCs w:val="22"/>
          <w:lang w:val="en-GB"/>
        </w:rPr>
        <w:t>[</w:t>
      </w:r>
      <w:proofErr w:type="gramEnd"/>
      <w:r>
        <w:rPr>
          <w:rFonts w:ascii="Arial" w:hAnsi="Arial" w:cs="Arial"/>
          <w:noProof/>
          <w:color w:val="000000" w:themeColor="text1"/>
          <w:kern w:val="1"/>
          <w:sz w:val="22"/>
          <w:szCs w:val="22"/>
          <w:lang w:val="en-GB"/>
        </w:rPr>
        <w:t>27]</w:t>
      </w:r>
      <w:r w:rsidRPr="006A6D89">
        <w:rPr>
          <w:rFonts w:ascii="Arial" w:hAnsi="Arial" w:cs="Arial"/>
          <w:color w:val="000000" w:themeColor="text1"/>
          <w:kern w:val="1"/>
          <w:sz w:val="22"/>
          <w:szCs w:val="22"/>
          <w:lang w:val="en-GB"/>
        </w:rPr>
        <w:t>.</w:t>
      </w:r>
    </w:p>
    <w:p w:rsidR="00F43308" w:rsidRPr="009E7D98"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sidRPr="009E7D98">
        <w:rPr>
          <w:rFonts w:ascii="Arial" w:hAnsi="Arial" w:cs="Arial"/>
          <w:color w:val="000000" w:themeColor="text1"/>
          <w:sz w:val="22"/>
          <w:szCs w:val="22"/>
          <w:lang w:val="en-GB"/>
        </w:rPr>
        <w:t>Lipid metabolism has also been show</w:t>
      </w:r>
      <w:r>
        <w:rPr>
          <w:rFonts w:ascii="Arial" w:hAnsi="Arial" w:cs="Arial"/>
          <w:color w:val="000000" w:themeColor="text1"/>
          <w:sz w:val="22"/>
          <w:szCs w:val="22"/>
          <w:lang w:val="en-GB"/>
        </w:rPr>
        <w:t>n</w:t>
      </w:r>
      <w:r w:rsidRPr="009E7D98">
        <w:rPr>
          <w:rFonts w:ascii="Arial" w:hAnsi="Arial" w:cs="Arial"/>
          <w:color w:val="000000" w:themeColor="text1"/>
          <w:sz w:val="22"/>
          <w:szCs w:val="22"/>
          <w:lang w:val="en-GB"/>
        </w:rPr>
        <w:t xml:space="preserve"> to play a central role in tumorigenesis </w:t>
      </w:r>
      <w:r>
        <w:rPr>
          <w:rFonts w:ascii="Arial" w:hAnsi="Arial" w:cs="Arial"/>
          <w:noProof/>
          <w:color w:val="000000" w:themeColor="text1"/>
          <w:sz w:val="22"/>
          <w:szCs w:val="22"/>
          <w:lang w:val="en-GB"/>
        </w:rPr>
        <w:t>[28]</w:t>
      </w:r>
      <w:r w:rsidRPr="009E7D98">
        <w:rPr>
          <w:rFonts w:ascii="Arial" w:hAnsi="Arial" w:cs="Arial"/>
          <w:iCs/>
          <w:color w:val="000000" w:themeColor="text1"/>
          <w:sz w:val="22"/>
          <w:szCs w:val="22"/>
          <w:lang w:val="en-GB"/>
        </w:rPr>
        <w:t xml:space="preserve"> and studies have demonstrated the efficacy of</w:t>
      </w:r>
      <w:r w:rsidRPr="009E7D98">
        <w:rPr>
          <w:rFonts w:ascii="Arial" w:hAnsi="Arial" w:cs="Arial"/>
          <w:color w:val="000000" w:themeColor="text1"/>
          <w:sz w:val="22"/>
          <w:szCs w:val="22"/>
          <w:lang w:val="en-GB"/>
        </w:rPr>
        <w:t xml:space="preserve"> inhibition of </w:t>
      </w:r>
      <w:proofErr w:type="spellStart"/>
      <w:r w:rsidRPr="009E7D98">
        <w:rPr>
          <w:rFonts w:ascii="Arial" w:hAnsi="Arial" w:cs="Arial"/>
          <w:color w:val="000000" w:themeColor="text1"/>
          <w:sz w:val="22"/>
          <w:szCs w:val="22"/>
          <w:lang w:val="en-GB"/>
        </w:rPr>
        <w:t>lipogenic</w:t>
      </w:r>
      <w:proofErr w:type="spellEnd"/>
      <w:r w:rsidRPr="009E7D98">
        <w:rPr>
          <w:rFonts w:ascii="Arial" w:hAnsi="Arial" w:cs="Arial"/>
          <w:color w:val="000000" w:themeColor="text1"/>
          <w:sz w:val="22"/>
          <w:szCs w:val="22"/>
          <w:lang w:val="en-GB"/>
        </w:rPr>
        <w:t xml:space="preserve"> enzymes such as fatty acid synthase (FASN), ATP citrate lyase (ACLY) and Acetyl-CoA carboxylase (ACC) using </w:t>
      </w:r>
      <w:proofErr w:type="spellStart"/>
      <w:r w:rsidRPr="009E7D98">
        <w:rPr>
          <w:rFonts w:ascii="Arial" w:hAnsi="Arial" w:cs="Arial"/>
          <w:color w:val="000000" w:themeColor="text1"/>
          <w:sz w:val="22"/>
          <w:szCs w:val="22"/>
          <w:lang w:val="en-GB"/>
        </w:rPr>
        <w:t>Orlistat</w:t>
      </w:r>
      <w:proofErr w:type="spellEnd"/>
      <w:r w:rsidRPr="009E7D98">
        <w:rPr>
          <w:rFonts w:ascii="Arial" w:hAnsi="Arial" w:cs="Arial"/>
          <w:color w:val="000000" w:themeColor="text1"/>
          <w:sz w:val="22"/>
          <w:szCs w:val="22"/>
          <w:lang w:val="en-GB"/>
        </w:rPr>
        <w:t xml:space="preserve">, SB-204990 and TOFA, respectively, as anticancer therapies in various preclinical models of carcinogenesis </w:t>
      </w:r>
      <w:r>
        <w:rPr>
          <w:rFonts w:ascii="Arial" w:hAnsi="Arial" w:cs="Arial"/>
          <w:noProof/>
          <w:color w:val="000000" w:themeColor="text1"/>
          <w:sz w:val="22"/>
          <w:szCs w:val="22"/>
          <w:lang w:val="en-GB"/>
        </w:rPr>
        <w:t>[29, 30]</w:t>
      </w:r>
      <w:r w:rsidRPr="009E7D98">
        <w:rPr>
          <w:rFonts w:ascii="Arial" w:hAnsi="Arial" w:cs="Arial"/>
          <w:color w:val="000000" w:themeColor="text1"/>
          <w:sz w:val="22"/>
          <w:szCs w:val="22"/>
          <w:lang w:val="en-GB"/>
        </w:rPr>
        <w:t>.</w:t>
      </w:r>
    </w:p>
    <w:p w:rsidR="00F43308" w:rsidRPr="006A6D89" w:rsidRDefault="00F43308" w:rsidP="0040350D">
      <w:pPr>
        <w:spacing w:line="360" w:lineRule="auto"/>
        <w:jc w:val="both"/>
        <w:rPr>
          <w:rFonts w:ascii="Arial" w:hAnsi="Arial" w:cs="Arial"/>
          <w:color w:val="000000" w:themeColor="text1"/>
          <w:kern w:val="1"/>
          <w:sz w:val="22"/>
          <w:szCs w:val="22"/>
          <w:lang w:val="en-GB"/>
        </w:rPr>
      </w:pPr>
    </w:p>
    <w:p w:rsidR="00F43308" w:rsidRPr="006A6D89" w:rsidRDefault="00F43308" w:rsidP="0040350D">
      <w:pPr>
        <w:spacing w:line="360" w:lineRule="auto"/>
        <w:jc w:val="both"/>
        <w:rPr>
          <w:rFonts w:ascii="Times New Roman" w:hAnsi="Times New Roman" w:cs="Times New Roman"/>
          <w:color w:val="000000" w:themeColor="text1"/>
          <w:sz w:val="32"/>
          <w:szCs w:val="32"/>
          <w:lang w:val="en-GB"/>
        </w:rPr>
      </w:pPr>
      <w:r>
        <w:rPr>
          <w:rFonts w:ascii="Arial" w:hAnsi="Arial" w:cs="Arial"/>
          <w:color w:val="000000" w:themeColor="text1"/>
          <w:kern w:val="1"/>
          <w:sz w:val="22"/>
          <w:szCs w:val="22"/>
          <w:lang w:val="en-GB"/>
        </w:rPr>
        <w:t>T</w:t>
      </w:r>
      <w:r w:rsidRPr="006A6D89">
        <w:rPr>
          <w:rFonts w:ascii="Arial" w:hAnsi="Arial" w:cs="Arial"/>
          <w:color w:val="000000" w:themeColor="text1"/>
          <w:kern w:val="1"/>
          <w:sz w:val="22"/>
          <w:szCs w:val="22"/>
          <w:lang w:val="en-GB"/>
        </w:rPr>
        <w:t>argeting metabolic pathways seems a promising cancer-specific therapy</w:t>
      </w:r>
      <w:r>
        <w:rPr>
          <w:rFonts w:ascii="Arial" w:hAnsi="Arial" w:cs="Arial"/>
          <w:color w:val="000000" w:themeColor="text1"/>
          <w:kern w:val="1"/>
          <w:sz w:val="22"/>
          <w:szCs w:val="22"/>
          <w:lang w:val="en-GB"/>
        </w:rPr>
        <w:t>. However,</w:t>
      </w:r>
      <w:r w:rsidRPr="006A6D89">
        <w:rPr>
          <w:rFonts w:ascii="Arial" w:hAnsi="Arial" w:cs="Arial"/>
          <w:color w:val="000000" w:themeColor="text1"/>
          <w:sz w:val="22"/>
          <w:szCs w:val="22"/>
          <w:lang w:val="en-GB"/>
        </w:rPr>
        <w:t xml:space="preserve"> this strategy has </w:t>
      </w:r>
      <w:r>
        <w:rPr>
          <w:rFonts w:ascii="Arial" w:hAnsi="Arial" w:cs="Arial"/>
          <w:color w:val="000000" w:themeColor="text1"/>
          <w:sz w:val="22"/>
          <w:szCs w:val="22"/>
          <w:lang w:val="en-GB"/>
        </w:rPr>
        <w:t>not</w:t>
      </w:r>
      <w:r w:rsidRPr="006A6D89">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 xml:space="preserve">fully translated into compelling </w:t>
      </w:r>
      <w:r w:rsidRPr="006A6D89">
        <w:rPr>
          <w:rFonts w:ascii="Arial" w:hAnsi="Arial" w:cs="Arial"/>
          <w:color w:val="000000" w:themeColor="text1"/>
          <w:sz w:val="22"/>
          <w:szCs w:val="22"/>
          <w:lang w:val="en-GB"/>
        </w:rPr>
        <w:t>clinical results</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[31]</w:t>
      </w:r>
      <w:r w:rsidRPr="006A6D89">
        <w:rPr>
          <w:rFonts w:ascii="Arial" w:hAnsi="Arial" w:cs="Arial"/>
          <w:color w:val="000000" w:themeColor="text1"/>
          <w:sz w:val="22"/>
          <w:szCs w:val="22"/>
          <w:lang w:val="en-GB"/>
        </w:rPr>
        <w:t xml:space="preserve">. It is possible that, given the ubiquitous nature of metabolic reactions and the flexibility of the metabolic network, metabolism is more difficult to target than originally anticipated. Hence, alternative strategies have been recently proposed. This is where the concept of synthetic lethality has gained traction.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b/>
          <w:color w:val="000000" w:themeColor="text1"/>
          <w:lang w:val="en-GB"/>
        </w:rPr>
      </w:pPr>
      <w:r>
        <w:rPr>
          <w:rFonts w:ascii="Arial" w:hAnsi="Arial" w:cs="Arial"/>
          <w:b/>
          <w:color w:val="000000" w:themeColor="text1"/>
          <w:lang w:val="en-GB"/>
        </w:rPr>
        <w:t>2.</w:t>
      </w:r>
      <w:r w:rsidR="005320F2">
        <w:rPr>
          <w:rFonts w:ascii="Arial" w:hAnsi="Arial" w:cs="Arial"/>
          <w:b/>
          <w:color w:val="000000" w:themeColor="text1"/>
          <w:lang w:val="en-GB"/>
        </w:rPr>
        <w:t>2</w:t>
      </w:r>
      <w:r w:rsidRPr="006A6D89">
        <w:rPr>
          <w:rFonts w:ascii="Arial" w:hAnsi="Arial" w:cs="Arial"/>
          <w:b/>
          <w:color w:val="000000" w:themeColor="text1"/>
          <w:lang w:val="en-GB"/>
        </w:rPr>
        <w:t xml:space="preserve"> Metabolic synthetic lethality, a novel approach for cancer therapy</w:t>
      </w: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First reported in the early 20</w:t>
      </w:r>
      <w:r w:rsidRPr="006A6D89">
        <w:rPr>
          <w:rFonts w:ascii="Arial" w:hAnsi="Arial" w:cs="Arial"/>
          <w:color w:val="000000" w:themeColor="text1"/>
          <w:sz w:val="22"/>
          <w:szCs w:val="22"/>
          <w:vertAlign w:val="superscript"/>
          <w:lang w:val="en-GB"/>
        </w:rPr>
        <w:t>th</w:t>
      </w:r>
      <w:r w:rsidRPr="006A6D89">
        <w:rPr>
          <w:rFonts w:ascii="Arial" w:hAnsi="Arial" w:cs="Arial"/>
          <w:color w:val="000000" w:themeColor="text1"/>
          <w:sz w:val="22"/>
          <w:szCs w:val="22"/>
          <w:lang w:val="en-GB"/>
        </w:rPr>
        <w:t xml:space="preserve"> century by the American geneticist Calvin Bridges, synthetic lethality (SL) describes a genetic interaction whereby the combination of mutations in two or more separate genes results in a lethal phenotype, whereas mutation of each gene individually does not affect cellular or organismal viability </w:t>
      </w:r>
      <w:r>
        <w:rPr>
          <w:rFonts w:ascii="Arial" w:hAnsi="Arial" w:cs="Arial"/>
          <w:noProof/>
          <w:color w:val="000000" w:themeColor="text1"/>
          <w:sz w:val="22"/>
          <w:szCs w:val="22"/>
          <w:lang w:val="en-GB"/>
        </w:rPr>
        <w:t>[32-34]</w:t>
      </w:r>
      <w:r w:rsidRPr="006A6D89">
        <w:rPr>
          <w:rFonts w:ascii="Arial" w:hAnsi="Arial" w:cs="Arial"/>
          <w:color w:val="000000" w:themeColor="text1"/>
          <w:sz w:val="22"/>
          <w:szCs w:val="22"/>
          <w:lang w:val="en-GB"/>
        </w:rPr>
        <w:t xml:space="preserve">. SL interactions are more commonly associated with loss of function alleles but can also apply to gain off function alleles; the process is then known as synthetic dosage lethality (SDL). </w:t>
      </w:r>
      <w:r w:rsidRPr="009E7D98">
        <w:rPr>
          <w:rFonts w:ascii="Arial" w:hAnsi="Arial" w:cs="Arial"/>
          <w:color w:val="000000" w:themeColor="text1"/>
          <w:sz w:val="22"/>
          <w:szCs w:val="22"/>
          <w:lang w:val="en-GB"/>
        </w:rPr>
        <w:t xml:space="preserve">SDL denotes a genetic interaction whereby silencing of a gene combined with the overexpression of another gene is lethal to the cell. </w:t>
      </w:r>
      <w:r w:rsidRPr="006A6D89">
        <w:rPr>
          <w:rFonts w:ascii="Arial" w:hAnsi="Arial" w:cs="Arial"/>
          <w:color w:val="000000" w:themeColor="text1"/>
          <w:sz w:val="22"/>
          <w:szCs w:val="22"/>
          <w:lang w:val="en-GB"/>
        </w:rPr>
        <w:t>As cancer cells often overexpress specific tumour-driving oncogenes that are difficult to target directly, silencing their</w:t>
      </w:r>
      <w:r w:rsidRPr="009E7D98">
        <w:rPr>
          <w:rFonts w:ascii="Arial" w:hAnsi="Arial" w:cs="Arial"/>
          <w:color w:val="000000" w:themeColor="text1"/>
          <w:sz w:val="22"/>
          <w:szCs w:val="22"/>
          <w:lang w:val="en-GB"/>
        </w:rPr>
        <w:t xml:space="preserve"> SDL partners may result in specific elimination of these cells. </w:t>
      </w:r>
      <w:r w:rsidRPr="006A6D89">
        <w:rPr>
          <w:rFonts w:ascii="Arial" w:hAnsi="Arial" w:cs="Arial"/>
          <w:color w:val="000000" w:themeColor="text1"/>
          <w:sz w:val="22"/>
          <w:szCs w:val="22"/>
          <w:lang w:val="en-GB"/>
        </w:rPr>
        <w:t xml:space="preserve">By exploiting the intrinsic differences between cancer and healthy cells, SL-based therapeutic approaches can specifically target tumour cells in a way that is often not achievable using conventional therapeutic drugs. Recent technological developments in genome-wide profiling made possible the systematic screening for SL interactions in human cells using small molecule inhibitors or high-throughput RNAi-based screens. These screens have been successfully used to identify SL pathways associated with known tumour suppressors and oncogenes </w:t>
      </w:r>
      <w:r>
        <w:rPr>
          <w:rFonts w:ascii="Arial" w:hAnsi="Arial" w:cs="Arial"/>
          <w:noProof/>
          <w:color w:val="000000" w:themeColor="text1"/>
          <w:sz w:val="22"/>
          <w:szCs w:val="22"/>
          <w:lang w:val="en-GB"/>
        </w:rPr>
        <w:t>[35]</w:t>
      </w:r>
      <w:r w:rsidRPr="006A6D89">
        <w:rPr>
          <w:rFonts w:ascii="Arial" w:hAnsi="Arial" w:cs="Arial"/>
          <w:color w:val="000000" w:themeColor="text1"/>
          <w:sz w:val="22"/>
          <w:szCs w:val="22"/>
          <w:lang w:val="en-GB"/>
        </w:rPr>
        <w:t xml:space="preserve">. </w:t>
      </w:r>
      <w:r w:rsidRPr="009E7D98">
        <w:rPr>
          <w:rFonts w:ascii="Arial" w:hAnsi="Arial" w:cs="Arial"/>
          <w:color w:val="000000" w:themeColor="text1"/>
          <w:sz w:val="22"/>
          <w:szCs w:val="22"/>
          <w:lang w:val="en-GB"/>
        </w:rPr>
        <w:t xml:space="preserve">One classic example is the inhibition of poly (ADP-ribose) polymerase (PARP) in cancer cells that harbour breast-cancer genes </w:t>
      </w:r>
      <w:r w:rsidRPr="009E7D98">
        <w:rPr>
          <w:rFonts w:ascii="Arial" w:hAnsi="Arial" w:cs="Arial"/>
          <w:i/>
          <w:iCs/>
          <w:color w:val="000000" w:themeColor="text1"/>
          <w:sz w:val="22"/>
          <w:szCs w:val="22"/>
          <w:lang w:val="en-GB"/>
        </w:rPr>
        <w:t xml:space="preserve">BRCA1 </w:t>
      </w:r>
      <w:r w:rsidRPr="009E7D98">
        <w:rPr>
          <w:rFonts w:ascii="Arial" w:hAnsi="Arial" w:cs="Arial"/>
          <w:color w:val="000000" w:themeColor="text1"/>
          <w:sz w:val="22"/>
          <w:szCs w:val="22"/>
          <w:lang w:val="en-GB"/>
        </w:rPr>
        <w:t xml:space="preserve">and </w:t>
      </w:r>
      <w:r w:rsidRPr="009E7D98">
        <w:rPr>
          <w:rFonts w:ascii="Arial" w:hAnsi="Arial" w:cs="Arial"/>
          <w:i/>
          <w:iCs/>
          <w:color w:val="000000" w:themeColor="text1"/>
          <w:sz w:val="22"/>
          <w:szCs w:val="22"/>
          <w:lang w:val="en-GB"/>
        </w:rPr>
        <w:t xml:space="preserve">BRCA2 </w:t>
      </w:r>
      <w:r w:rsidRPr="009E7D98">
        <w:rPr>
          <w:rFonts w:ascii="Arial" w:hAnsi="Arial" w:cs="Arial"/>
          <w:color w:val="000000" w:themeColor="text1"/>
          <w:sz w:val="22"/>
          <w:szCs w:val="22"/>
          <w:lang w:val="en-GB"/>
        </w:rPr>
        <w:t xml:space="preserve">loss-of-function mutations resulting in specific lethality to these cells </w:t>
      </w:r>
      <w:r>
        <w:rPr>
          <w:rFonts w:ascii="Arial" w:hAnsi="Arial" w:cs="Arial"/>
          <w:noProof/>
          <w:color w:val="000000" w:themeColor="text1"/>
          <w:sz w:val="22"/>
          <w:szCs w:val="22"/>
          <w:lang w:val="en-GB"/>
        </w:rPr>
        <w:t>[36]</w:t>
      </w:r>
      <w:r w:rsidRPr="009E7D98">
        <w:rPr>
          <w:rFonts w:ascii="Arial" w:hAnsi="Arial" w:cs="Arial"/>
          <w:color w:val="000000" w:themeColor="text1"/>
          <w:sz w:val="22"/>
          <w:szCs w:val="22"/>
          <w:lang w:val="en-GB"/>
        </w:rPr>
        <w:t xml:space="preserve">. The </w:t>
      </w:r>
      <w:r w:rsidRPr="009E7D98">
        <w:rPr>
          <w:rFonts w:ascii="Arial" w:hAnsi="Arial" w:cs="Arial"/>
          <w:i/>
          <w:iCs/>
          <w:color w:val="000000" w:themeColor="text1"/>
          <w:sz w:val="22"/>
          <w:szCs w:val="22"/>
          <w:lang w:val="en-GB"/>
        </w:rPr>
        <w:t>BCR-ABL</w:t>
      </w:r>
      <w:r w:rsidRPr="009E7D98">
        <w:rPr>
          <w:rFonts w:ascii="Arial" w:hAnsi="Arial" w:cs="Arial"/>
          <w:color w:val="000000" w:themeColor="text1"/>
          <w:sz w:val="22"/>
          <w:szCs w:val="22"/>
          <w:lang w:val="en-GB"/>
        </w:rPr>
        <w:t xml:space="preserve"> fusion oncogene is a major driver of tumorigenesis in chronic </w:t>
      </w:r>
      <w:proofErr w:type="spellStart"/>
      <w:r w:rsidRPr="009E7D98">
        <w:rPr>
          <w:rFonts w:ascii="Arial" w:hAnsi="Arial" w:cs="Arial"/>
          <w:color w:val="000000" w:themeColor="text1"/>
          <w:sz w:val="22"/>
          <w:szCs w:val="22"/>
          <w:lang w:val="en-GB"/>
        </w:rPr>
        <w:t>myelogenous</w:t>
      </w:r>
      <w:proofErr w:type="spellEnd"/>
      <w:r w:rsidRPr="009E7D98">
        <w:rPr>
          <w:rFonts w:ascii="Arial" w:hAnsi="Arial" w:cs="Arial"/>
          <w:color w:val="000000" w:themeColor="text1"/>
          <w:sz w:val="22"/>
          <w:szCs w:val="22"/>
          <w:lang w:val="en-GB"/>
        </w:rPr>
        <w:t xml:space="preserve"> </w:t>
      </w:r>
      <w:r w:rsidRPr="006A6D89">
        <w:rPr>
          <w:rFonts w:ascii="Arial" w:hAnsi="Arial" w:cs="Arial"/>
          <w:color w:val="000000" w:themeColor="text1"/>
          <w:sz w:val="22"/>
          <w:szCs w:val="22"/>
          <w:lang w:val="en-GB"/>
        </w:rPr>
        <w:t>leukaemia</w:t>
      </w:r>
      <w:r w:rsidRPr="009E7D98">
        <w:rPr>
          <w:rFonts w:ascii="Arial" w:hAnsi="Arial" w:cs="Arial"/>
          <w:color w:val="000000" w:themeColor="text1"/>
          <w:sz w:val="22"/>
          <w:szCs w:val="22"/>
          <w:lang w:val="en-GB"/>
        </w:rPr>
        <w:t xml:space="preserve">. Addiction of the tumour cells </w:t>
      </w:r>
      <w:r w:rsidRPr="009E7D98">
        <w:rPr>
          <w:rFonts w:ascii="Arial" w:hAnsi="Arial" w:cs="Arial"/>
          <w:color w:val="000000" w:themeColor="text1"/>
          <w:sz w:val="22"/>
          <w:szCs w:val="22"/>
          <w:lang w:val="en-GB"/>
        </w:rPr>
        <w:lastRenderedPageBreak/>
        <w:t xml:space="preserve">to the constitutively active BCR-ABL protein kinase results in sensitization to </w:t>
      </w:r>
      <w:proofErr w:type="spellStart"/>
      <w:r w:rsidRPr="009E7D98">
        <w:rPr>
          <w:rFonts w:ascii="Arial" w:hAnsi="Arial" w:cs="Arial"/>
          <w:color w:val="000000" w:themeColor="text1"/>
          <w:sz w:val="22"/>
          <w:szCs w:val="22"/>
          <w:lang w:val="en-GB"/>
        </w:rPr>
        <w:t>imatinib</w:t>
      </w:r>
      <w:proofErr w:type="spellEnd"/>
      <w:r w:rsidRPr="009E7D98">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[37]</w:t>
      </w:r>
      <w:r w:rsidRPr="009E7D98">
        <w:rPr>
          <w:rFonts w:ascii="Arial" w:hAnsi="Arial" w:cs="Arial"/>
          <w:color w:val="000000" w:themeColor="text1"/>
          <w:sz w:val="22"/>
          <w:szCs w:val="22"/>
          <w:lang w:val="en-GB"/>
        </w:rPr>
        <w:t xml:space="preserve"> and a recent screen identified a </w:t>
      </w:r>
      <w:r>
        <w:rPr>
          <w:rFonts w:ascii="Arial" w:hAnsi="Arial" w:cs="Arial"/>
          <w:color w:val="000000" w:themeColor="text1"/>
          <w:sz w:val="22"/>
          <w:szCs w:val="22"/>
          <w:lang w:val="en-GB"/>
        </w:rPr>
        <w:t>SL</w:t>
      </w:r>
      <w:r w:rsidRPr="009E7D98">
        <w:rPr>
          <w:rFonts w:ascii="Arial" w:hAnsi="Arial" w:cs="Arial"/>
          <w:color w:val="000000" w:themeColor="text1"/>
          <w:sz w:val="22"/>
          <w:szCs w:val="22"/>
          <w:lang w:val="en-GB"/>
        </w:rPr>
        <w:t xml:space="preserve"> interaction between STAT3 and BCR-ABL </w:t>
      </w:r>
      <w:r>
        <w:rPr>
          <w:rFonts w:ascii="Arial" w:hAnsi="Arial" w:cs="Arial"/>
          <w:noProof/>
          <w:color w:val="000000" w:themeColor="text1"/>
          <w:sz w:val="22"/>
          <w:szCs w:val="22"/>
          <w:lang w:val="en-GB"/>
        </w:rPr>
        <w:t>[38]</w:t>
      </w:r>
      <w:r w:rsidRPr="009E7D98">
        <w:rPr>
          <w:rFonts w:ascii="Arial" w:hAnsi="Arial" w:cs="Arial"/>
          <w:color w:val="000000" w:themeColor="text1"/>
          <w:sz w:val="22"/>
          <w:szCs w:val="22"/>
          <w:lang w:val="en-GB"/>
        </w:rPr>
        <w:t xml:space="preserve">. The MYC oncogene contributes to the formation of a large number of cancers. A recent study aimed at identifying </w:t>
      </w:r>
      <w:r>
        <w:rPr>
          <w:rFonts w:ascii="Arial" w:hAnsi="Arial" w:cs="Arial"/>
          <w:color w:val="000000" w:themeColor="text1"/>
          <w:sz w:val="22"/>
          <w:szCs w:val="22"/>
          <w:lang w:val="en-GB"/>
        </w:rPr>
        <w:t>SL</w:t>
      </w:r>
      <w:r w:rsidRPr="009E7D98">
        <w:rPr>
          <w:rFonts w:ascii="Arial" w:hAnsi="Arial" w:cs="Arial"/>
          <w:color w:val="000000" w:themeColor="text1"/>
          <w:sz w:val="22"/>
          <w:szCs w:val="22"/>
          <w:lang w:val="en-GB"/>
        </w:rPr>
        <w:t xml:space="preserve"> partners of oncogenic MYC has revealed that the most overrepresented functional categories among </w:t>
      </w:r>
      <w:r w:rsidRPr="009E7D98">
        <w:rPr>
          <w:rFonts w:ascii="Arial" w:hAnsi="Arial" w:cs="Arial"/>
          <w:i/>
          <w:iCs/>
          <w:color w:val="000000" w:themeColor="text1"/>
          <w:sz w:val="22"/>
          <w:szCs w:val="22"/>
          <w:lang w:val="en-GB"/>
        </w:rPr>
        <w:t>MYC</w:t>
      </w:r>
      <w:r w:rsidRPr="009E7D98">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SL</w:t>
      </w:r>
      <w:r w:rsidRPr="009E7D98">
        <w:rPr>
          <w:rFonts w:ascii="Arial" w:hAnsi="Arial" w:cs="Arial"/>
          <w:color w:val="000000" w:themeColor="text1"/>
          <w:sz w:val="22"/>
          <w:szCs w:val="22"/>
          <w:lang w:val="en-GB"/>
        </w:rPr>
        <w:t xml:space="preserve"> genes are DNA-repair and cell cycle </w:t>
      </w:r>
      <w:r>
        <w:rPr>
          <w:rFonts w:ascii="Arial" w:hAnsi="Arial" w:cs="Arial"/>
          <w:noProof/>
          <w:color w:val="000000" w:themeColor="text1"/>
          <w:sz w:val="22"/>
          <w:szCs w:val="22"/>
          <w:lang w:val="en-GB"/>
        </w:rPr>
        <w:t>[39]</w:t>
      </w:r>
      <w:r w:rsidRPr="009E7D98">
        <w:rPr>
          <w:rFonts w:ascii="Arial" w:hAnsi="Arial" w:cs="Arial"/>
          <w:color w:val="000000" w:themeColor="text1"/>
          <w:sz w:val="22"/>
          <w:szCs w:val="22"/>
          <w:lang w:val="en-GB"/>
        </w:rPr>
        <w:t xml:space="preserve">. In that context, </w:t>
      </w:r>
      <w:proofErr w:type="spellStart"/>
      <w:r w:rsidRPr="009E7D98">
        <w:rPr>
          <w:rFonts w:ascii="Arial" w:hAnsi="Arial" w:cs="Arial"/>
          <w:color w:val="000000" w:themeColor="text1"/>
          <w:sz w:val="22"/>
          <w:szCs w:val="22"/>
          <w:lang w:val="en-GB"/>
        </w:rPr>
        <w:t>bromodomain</w:t>
      </w:r>
      <w:proofErr w:type="spellEnd"/>
      <w:r w:rsidRPr="009E7D98">
        <w:rPr>
          <w:rFonts w:ascii="Arial" w:hAnsi="Arial" w:cs="Arial"/>
          <w:color w:val="000000" w:themeColor="text1"/>
          <w:sz w:val="22"/>
          <w:szCs w:val="22"/>
          <w:lang w:val="en-GB"/>
        </w:rPr>
        <w:t xml:space="preserve">-containing proteins cat eye syndrome chromosome region candidate 2 (CECR2), BRCA1-associated RING domain protein 1 (BARD1) and ATPase Family, AAA Domain Containing 2 (ATAD2) as well as cyclin-dependent kinase 12 (CDK12) recently emerged as synthetic lethal interactors of MYC </w:t>
      </w:r>
      <w:r>
        <w:rPr>
          <w:rFonts w:ascii="Arial" w:hAnsi="Arial" w:cs="Arial"/>
          <w:noProof/>
          <w:color w:val="000000" w:themeColor="text1"/>
          <w:sz w:val="22"/>
          <w:szCs w:val="22"/>
          <w:lang w:val="en-GB"/>
        </w:rPr>
        <w:t>[40-42]</w:t>
      </w:r>
      <w:r w:rsidRPr="009E7D98">
        <w:rPr>
          <w:rFonts w:ascii="Arial" w:hAnsi="Arial" w:cs="Arial"/>
          <w:color w:val="000000" w:themeColor="text1"/>
          <w:sz w:val="22"/>
          <w:szCs w:val="22"/>
          <w:lang w:val="en-GB"/>
        </w:rPr>
        <w:t>.</w:t>
      </w:r>
      <w:r w:rsidRPr="006A6D89">
        <w:rPr>
          <w:rFonts w:ascii="Arial" w:hAnsi="Arial" w:cs="Arial"/>
          <w:color w:val="000000" w:themeColor="text1"/>
          <w:sz w:val="22"/>
          <w:szCs w:val="22"/>
          <w:lang w:val="en-GB"/>
        </w:rPr>
        <w:t xml:space="preserve"> </w:t>
      </w:r>
      <w:r w:rsidRPr="009E7D98">
        <w:rPr>
          <w:rFonts w:ascii="Arial" w:hAnsi="Arial" w:cs="Arial"/>
          <w:color w:val="000000" w:themeColor="text1"/>
          <w:sz w:val="22"/>
          <w:szCs w:val="22"/>
          <w:lang w:val="en-GB"/>
        </w:rPr>
        <w:t xml:space="preserve">In addition, </w:t>
      </w:r>
      <w:r>
        <w:rPr>
          <w:rFonts w:ascii="Arial" w:hAnsi="Arial" w:cs="Arial"/>
          <w:color w:val="000000" w:themeColor="text1"/>
          <w:sz w:val="22"/>
          <w:szCs w:val="22"/>
          <w:lang w:val="en-GB"/>
        </w:rPr>
        <w:t>a SL</w:t>
      </w:r>
      <w:r w:rsidRPr="009E7D98">
        <w:rPr>
          <w:rFonts w:ascii="Arial" w:hAnsi="Arial" w:cs="Arial"/>
          <w:color w:val="000000" w:themeColor="text1"/>
          <w:sz w:val="22"/>
          <w:szCs w:val="22"/>
          <w:lang w:val="en-GB"/>
        </w:rPr>
        <w:t xml:space="preserve"> RNAi screens using MYC overexpression also highlighted synthetic dosage lethal MYC partners, such as the ubiquitin ligase FBXW7 </w:t>
      </w:r>
      <w:r>
        <w:rPr>
          <w:rFonts w:ascii="Arial" w:hAnsi="Arial" w:cs="Arial"/>
          <w:noProof/>
          <w:color w:val="000000" w:themeColor="text1"/>
          <w:sz w:val="22"/>
          <w:szCs w:val="22"/>
          <w:lang w:val="en-GB"/>
        </w:rPr>
        <w:t>[40]</w:t>
      </w:r>
      <w:r w:rsidRPr="009E7D98">
        <w:rPr>
          <w:rFonts w:ascii="Arial" w:hAnsi="Arial" w:cs="Arial"/>
          <w:color w:val="000000" w:themeColor="text1"/>
          <w:sz w:val="22"/>
          <w:szCs w:val="22"/>
          <w:lang w:val="en-GB"/>
        </w:rPr>
        <w:t>.</w:t>
      </w:r>
      <w:r w:rsidRPr="006A6D89">
        <w:rPr>
          <w:rFonts w:ascii="Arial" w:hAnsi="Arial" w:cs="Arial"/>
          <w:color w:val="000000" w:themeColor="text1"/>
          <w:sz w:val="22"/>
          <w:szCs w:val="22"/>
          <w:lang w:val="en-GB"/>
        </w:rPr>
        <w:t xml:space="preserve">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9E7D98" w:rsidRDefault="00F43308" w:rsidP="0040350D">
      <w:pPr>
        <w:spacing w:line="360" w:lineRule="auto"/>
        <w:jc w:val="both"/>
        <w:rPr>
          <w:rFonts w:ascii="Arial" w:hAnsi="Arial" w:cs="Arial"/>
          <w:b/>
          <w:bCs/>
          <w:color w:val="000000" w:themeColor="text1"/>
          <w:sz w:val="28"/>
          <w:szCs w:val="28"/>
          <w:lang w:val="en-GB"/>
        </w:rPr>
      </w:pPr>
      <w:r w:rsidRPr="006A6D89">
        <w:rPr>
          <w:rFonts w:ascii="Arial" w:hAnsi="Arial" w:cs="Arial"/>
          <w:color w:val="000000" w:themeColor="text1"/>
          <w:sz w:val="22"/>
          <w:szCs w:val="22"/>
          <w:lang w:val="en-GB"/>
        </w:rPr>
        <w:t xml:space="preserve">Recently, the concept of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has been applied</w:t>
      </w:r>
      <w:r>
        <w:rPr>
          <w:rFonts w:ascii="Arial" w:hAnsi="Arial" w:cs="Arial"/>
          <w:color w:val="000000" w:themeColor="text1"/>
          <w:sz w:val="22"/>
          <w:szCs w:val="22"/>
          <w:lang w:val="en-GB"/>
        </w:rPr>
        <w:t xml:space="preserve"> to</w:t>
      </w:r>
      <w:r w:rsidRPr="006A6D89">
        <w:rPr>
          <w:rFonts w:ascii="Arial" w:hAnsi="Arial" w:cs="Arial"/>
          <w:color w:val="000000" w:themeColor="text1"/>
          <w:sz w:val="22"/>
          <w:szCs w:val="22"/>
          <w:lang w:val="en-GB"/>
        </w:rPr>
        <w:t xml:space="preserve"> cellular metabolism. For example, </w:t>
      </w:r>
      <w:r w:rsidRPr="009E7D98">
        <w:rPr>
          <w:rFonts w:ascii="Arial" w:hAnsi="Arial" w:cs="Arial"/>
          <w:bCs/>
          <w:color w:val="000000" w:themeColor="text1"/>
          <w:sz w:val="22"/>
          <w:szCs w:val="22"/>
          <w:lang w:val="en-GB"/>
        </w:rPr>
        <w:t xml:space="preserve">AMPK-related kinase 5 (ARK5) was shown to be </w:t>
      </w:r>
      <w:r>
        <w:rPr>
          <w:rFonts w:ascii="Arial" w:hAnsi="Arial" w:cs="Arial"/>
          <w:bCs/>
          <w:color w:val="000000" w:themeColor="text1"/>
          <w:sz w:val="22"/>
          <w:szCs w:val="22"/>
          <w:lang w:val="en-GB"/>
        </w:rPr>
        <w:t>SL</w:t>
      </w:r>
      <w:r w:rsidRPr="009E7D98">
        <w:rPr>
          <w:rFonts w:ascii="Arial" w:hAnsi="Arial" w:cs="Arial"/>
          <w:bCs/>
          <w:color w:val="000000" w:themeColor="text1"/>
          <w:sz w:val="22"/>
          <w:szCs w:val="22"/>
          <w:lang w:val="en-GB"/>
        </w:rPr>
        <w:t xml:space="preserve"> with oncogenic MYC </w:t>
      </w:r>
      <w:r w:rsidRPr="009E7D98">
        <w:rPr>
          <w:rFonts w:ascii="Arial" w:hAnsi="Arial" w:cs="Arial"/>
          <w:bCs/>
          <w:i/>
          <w:color w:val="000000" w:themeColor="text1"/>
          <w:sz w:val="22"/>
          <w:szCs w:val="22"/>
          <w:lang w:val="en-GB"/>
        </w:rPr>
        <w:t>via</w:t>
      </w:r>
      <w:r w:rsidRPr="009E7D98">
        <w:rPr>
          <w:rFonts w:ascii="Arial" w:hAnsi="Arial" w:cs="Arial"/>
          <w:bCs/>
          <w:color w:val="000000" w:themeColor="text1"/>
          <w:sz w:val="22"/>
          <w:szCs w:val="22"/>
          <w:lang w:val="en-GB"/>
        </w:rPr>
        <w:t xml:space="preserve"> activation of the mammalian target of rapamycin (mTOR) pathway </w:t>
      </w:r>
      <w:r>
        <w:rPr>
          <w:rFonts w:ascii="Arial" w:hAnsi="Arial" w:cs="Arial"/>
          <w:bCs/>
          <w:noProof/>
          <w:color w:val="000000" w:themeColor="text1"/>
          <w:sz w:val="22"/>
          <w:szCs w:val="22"/>
          <w:lang w:val="en-GB"/>
        </w:rPr>
        <w:t>[43]</w:t>
      </w:r>
      <w:r w:rsidRPr="009E7D98">
        <w:rPr>
          <w:rFonts w:ascii="Arial" w:hAnsi="Arial" w:cs="Arial"/>
          <w:bCs/>
          <w:color w:val="000000" w:themeColor="text1"/>
          <w:sz w:val="22"/>
          <w:szCs w:val="22"/>
          <w:lang w:val="en-GB"/>
        </w:rPr>
        <w:t>. In oncogenic MYC cells, inhibition of ARK5 results in a drop in ATP levels and leads to subsequent induction of pro-apoptotic responses. In addition, depletion of ARK5 in MYC-driven mouse models of hepatocellular carcinoma extends survival and demonstrates the therapeutic value of this synthetic lethal interaction. A</w:t>
      </w:r>
      <w:r>
        <w:rPr>
          <w:rFonts w:ascii="Arial" w:hAnsi="Arial" w:cs="Arial"/>
          <w:bCs/>
          <w:color w:val="000000" w:themeColor="text1"/>
          <w:sz w:val="22"/>
          <w:szCs w:val="22"/>
          <w:lang w:val="en-GB"/>
        </w:rPr>
        <w:t>s discussed above,</w:t>
      </w:r>
      <w:r w:rsidRPr="009E7D98">
        <w:rPr>
          <w:rFonts w:ascii="Arial" w:hAnsi="Arial" w:cs="Arial"/>
          <w:bCs/>
          <w:color w:val="000000" w:themeColor="text1"/>
          <w:sz w:val="22"/>
          <w:szCs w:val="22"/>
          <w:lang w:val="en-GB"/>
        </w:rPr>
        <w:t xml:space="preserve"> recurrent metabolic feature of cancer cells is an increase in glycolysis. Activation of this pathway generates high levels of lactate from pyruvate through </w:t>
      </w:r>
      <w:r w:rsidRPr="009E7D98">
        <w:rPr>
          <w:rFonts w:ascii="Arial" w:hAnsi="Arial" w:cs="Arial"/>
          <w:color w:val="000000" w:themeColor="text1"/>
          <w:sz w:val="22"/>
          <w:szCs w:val="22"/>
          <w:lang w:val="en-GB"/>
        </w:rPr>
        <w:t xml:space="preserve">lactate dehydrogenase A (LDH-A). This reaction reduces </w:t>
      </w:r>
      <w:r w:rsidRPr="009E7D98">
        <w:rPr>
          <w:rFonts w:ascii="Arial" w:hAnsi="Arial" w:cs="Arial"/>
          <w:color w:val="000000" w:themeColor="text1"/>
          <w:kern w:val="1"/>
          <w:sz w:val="22"/>
          <w:szCs w:val="22"/>
          <w:lang w:val="en-GB"/>
        </w:rPr>
        <w:t>nicotinamide adenine dinucleotide (NAD+) into NADH, which is used to transport electrons to the electron transport chain (ETC).</w:t>
      </w:r>
      <w:r w:rsidRPr="009E7D98">
        <w:rPr>
          <w:rFonts w:ascii="Arial" w:hAnsi="Arial" w:cs="Arial"/>
          <w:color w:val="000000" w:themeColor="text1"/>
          <w:sz w:val="22"/>
          <w:szCs w:val="22"/>
          <w:lang w:val="en-GB"/>
        </w:rPr>
        <w:t xml:space="preserve"> The Combination of </w:t>
      </w:r>
      <w:r w:rsidRPr="009E7D98">
        <w:rPr>
          <w:rFonts w:ascii="Arial" w:hAnsi="Arial" w:cs="Arial"/>
          <w:color w:val="000000" w:themeColor="text1"/>
          <w:kern w:val="1"/>
          <w:sz w:val="22"/>
          <w:szCs w:val="22"/>
          <w:lang w:val="en-GB"/>
        </w:rPr>
        <w:t xml:space="preserve">LDH-A inhibition with small inhibitor FX11 and FK866, a NAD+ synthesis inhibitor, reduces the NAD+ cellular pool in lymphoma resulting in tumour regression </w:t>
      </w:r>
      <w:r>
        <w:rPr>
          <w:rFonts w:ascii="Arial" w:hAnsi="Arial" w:cs="Arial"/>
          <w:noProof/>
          <w:color w:val="000000" w:themeColor="text1"/>
          <w:kern w:val="1"/>
          <w:sz w:val="22"/>
          <w:szCs w:val="22"/>
          <w:lang w:val="en-GB"/>
        </w:rPr>
        <w:t>[44]</w:t>
      </w:r>
      <w:r w:rsidRPr="009E7D98">
        <w:rPr>
          <w:rFonts w:ascii="Arial" w:hAnsi="Arial" w:cs="Arial"/>
          <w:color w:val="000000" w:themeColor="text1"/>
          <w:kern w:val="1"/>
          <w:sz w:val="22"/>
          <w:szCs w:val="22"/>
          <w:lang w:val="en-GB"/>
        </w:rPr>
        <w:t xml:space="preserve">.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 xml:space="preserve">Because of the intricacy of metabolic networks and the complexity with which these are reprogrammed in cancer cells, </w:t>
      </w:r>
      <w:r w:rsidRPr="006A6D89">
        <w:rPr>
          <w:rFonts w:ascii="Arial" w:hAnsi="Arial" w:cs="Arial"/>
          <w:i/>
          <w:color w:val="000000" w:themeColor="text1"/>
          <w:sz w:val="22"/>
          <w:szCs w:val="22"/>
          <w:lang w:val="en-GB"/>
        </w:rPr>
        <w:t xml:space="preserve">in </w:t>
      </w:r>
      <w:proofErr w:type="spellStart"/>
      <w:r w:rsidRPr="006A6D89">
        <w:rPr>
          <w:rFonts w:ascii="Arial" w:hAnsi="Arial" w:cs="Arial"/>
          <w:i/>
          <w:color w:val="000000" w:themeColor="text1"/>
          <w:sz w:val="22"/>
          <w:szCs w:val="22"/>
          <w:lang w:val="en-GB"/>
        </w:rPr>
        <w:t>silico</w:t>
      </w:r>
      <w:proofErr w:type="spellEnd"/>
      <w:r w:rsidRPr="006A6D89">
        <w:rPr>
          <w:rFonts w:ascii="Arial" w:hAnsi="Arial" w:cs="Arial"/>
          <w:color w:val="000000" w:themeColor="text1"/>
          <w:sz w:val="22"/>
          <w:szCs w:val="22"/>
          <w:lang w:val="en-GB"/>
        </w:rPr>
        <w:t xml:space="preserve"> modelling approaches to investigate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interactions have also been proposed </w:t>
      </w:r>
      <w:r>
        <w:rPr>
          <w:rFonts w:ascii="Arial" w:hAnsi="Arial" w:cs="Arial"/>
          <w:noProof/>
          <w:color w:val="000000" w:themeColor="text1"/>
          <w:sz w:val="22"/>
          <w:szCs w:val="22"/>
          <w:lang w:val="en-GB"/>
        </w:rPr>
        <w:t>[45]</w:t>
      </w:r>
      <w:r w:rsidRPr="006A6D89">
        <w:rPr>
          <w:rFonts w:ascii="Arial" w:hAnsi="Arial" w:cs="Arial"/>
          <w:color w:val="000000" w:themeColor="text1"/>
          <w:sz w:val="22"/>
          <w:szCs w:val="22"/>
          <w:lang w:val="en-GB"/>
        </w:rPr>
        <w:t xml:space="preserve">. For instance, in a recent study a genome-wide network model of cancer metabolism was generated to identify genes that are essential for the proliferation of cancer cells, revealing unexpected metabolic liabilities of cancer </w:t>
      </w:r>
      <w:r>
        <w:rPr>
          <w:rFonts w:ascii="Arial" w:hAnsi="Arial" w:cs="Arial"/>
          <w:noProof/>
          <w:color w:val="000000" w:themeColor="text1"/>
          <w:sz w:val="22"/>
          <w:szCs w:val="22"/>
          <w:lang w:val="en-GB"/>
        </w:rPr>
        <w:t>[46]</w:t>
      </w:r>
      <w:r w:rsidRPr="006A6D89">
        <w:rPr>
          <w:rFonts w:ascii="Arial" w:hAnsi="Arial" w:cs="Arial"/>
          <w:color w:val="000000" w:themeColor="text1"/>
          <w:sz w:val="22"/>
          <w:szCs w:val="22"/>
          <w:lang w:val="en-GB"/>
        </w:rPr>
        <w:t xml:space="preserve">. Extending this approach, </w:t>
      </w:r>
      <w:proofErr w:type="spellStart"/>
      <w:r w:rsidRPr="006A6D89">
        <w:rPr>
          <w:rFonts w:ascii="Arial" w:hAnsi="Arial" w:cs="Arial"/>
          <w:color w:val="000000" w:themeColor="text1"/>
          <w:sz w:val="22"/>
          <w:szCs w:val="22"/>
          <w:lang w:val="en-GB"/>
        </w:rPr>
        <w:t>Yizhak</w:t>
      </w:r>
      <w:proofErr w:type="spellEnd"/>
      <w:r w:rsidRPr="006A6D89">
        <w:rPr>
          <w:rFonts w:ascii="Arial" w:hAnsi="Arial" w:cs="Arial"/>
          <w:color w:val="000000" w:themeColor="text1"/>
          <w:sz w:val="22"/>
          <w:szCs w:val="22"/>
          <w:lang w:val="en-GB"/>
        </w:rPr>
        <w:t xml:space="preserve"> and colleagues investigated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genes that operate in cancer cells but not in normal lymphoblast cells, thus further increasing the therapeutic window of the eventual targets </w:t>
      </w:r>
      <w:r>
        <w:rPr>
          <w:rFonts w:ascii="Arial" w:hAnsi="Arial" w:cs="Arial"/>
          <w:noProof/>
          <w:color w:val="000000" w:themeColor="text1"/>
          <w:sz w:val="22"/>
          <w:szCs w:val="22"/>
          <w:lang w:val="en-GB"/>
        </w:rPr>
        <w:t>[47]</w:t>
      </w:r>
      <w:r w:rsidRPr="006A6D89">
        <w:rPr>
          <w:rFonts w:ascii="Arial" w:hAnsi="Arial" w:cs="Arial"/>
          <w:color w:val="000000" w:themeColor="text1"/>
          <w:sz w:val="22"/>
          <w:szCs w:val="22"/>
          <w:lang w:val="en-GB"/>
        </w:rPr>
        <w:t>. Their model was also able to build personalised metabolic profiles of lung and breast cancer patients and successfully infer their prognos</w:t>
      </w:r>
      <w:r>
        <w:rPr>
          <w:rFonts w:ascii="Arial" w:hAnsi="Arial" w:cs="Arial"/>
          <w:color w:val="000000" w:themeColor="text1"/>
          <w:sz w:val="22"/>
          <w:szCs w:val="22"/>
          <w:lang w:val="en-GB"/>
        </w:rPr>
        <w:t>is</w:t>
      </w:r>
      <w:r w:rsidRPr="006A6D89">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[47]</w:t>
      </w:r>
      <w:r w:rsidRPr="006A6D89">
        <w:rPr>
          <w:rFonts w:ascii="Arial" w:hAnsi="Arial" w:cs="Arial"/>
          <w:color w:val="000000" w:themeColor="text1"/>
          <w:sz w:val="22"/>
          <w:szCs w:val="22"/>
          <w:lang w:val="en-GB"/>
        </w:rPr>
        <w:t xml:space="preserve">. Finally, using genome scale modelling, </w:t>
      </w:r>
      <w:proofErr w:type="spellStart"/>
      <w:r w:rsidRPr="006A6D89">
        <w:rPr>
          <w:rFonts w:ascii="Arial" w:hAnsi="Arial" w:cs="Arial"/>
          <w:color w:val="000000" w:themeColor="text1"/>
          <w:sz w:val="22"/>
          <w:szCs w:val="22"/>
          <w:lang w:val="en-GB"/>
        </w:rPr>
        <w:t>Megchelenbrink</w:t>
      </w:r>
      <w:proofErr w:type="spellEnd"/>
      <w:r w:rsidRPr="006A6D89">
        <w:rPr>
          <w:rFonts w:ascii="Arial" w:hAnsi="Arial" w:cs="Arial"/>
          <w:color w:val="000000" w:themeColor="text1"/>
          <w:sz w:val="22"/>
          <w:szCs w:val="22"/>
          <w:lang w:val="en-GB"/>
        </w:rPr>
        <w:t xml:space="preserve"> and colleagues identified </w:t>
      </w:r>
      <w:r>
        <w:rPr>
          <w:rFonts w:ascii="Arial" w:hAnsi="Arial" w:cs="Arial"/>
          <w:color w:val="000000" w:themeColor="text1"/>
          <w:sz w:val="22"/>
          <w:szCs w:val="22"/>
          <w:lang w:val="en-GB"/>
        </w:rPr>
        <w:t>SDL</w:t>
      </w:r>
      <w:r w:rsidRPr="006A6D89">
        <w:rPr>
          <w:rFonts w:ascii="Arial" w:hAnsi="Arial" w:cs="Arial"/>
          <w:color w:val="000000" w:themeColor="text1"/>
          <w:sz w:val="22"/>
          <w:szCs w:val="22"/>
          <w:lang w:val="en-GB"/>
        </w:rPr>
        <w:t xml:space="preserve"> pairs in cancer, opening the way for targeting metabolic genes in cancers where specific oncogenes are expressed </w:t>
      </w:r>
      <w:r>
        <w:rPr>
          <w:rFonts w:ascii="Arial" w:hAnsi="Arial" w:cs="Arial"/>
          <w:noProof/>
          <w:color w:val="000000" w:themeColor="text1"/>
          <w:sz w:val="22"/>
          <w:szCs w:val="22"/>
          <w:lang w:val="en-GB"/>
        </w:rPr>
        <w:t>[48]</w:t>
      </w:r>
      <w:r w:rsidRPr="006A6D89">
        <w:rPr>
          <w:rFonts w:ascii="Arial" w:hAnsi="Arial" w:cs="Arial"/>
          <w:color w:val="000000" w:themeColor="text1"/>
          <w:sz w:val="22"/>
          <w:szCs w:val="22"/>
          <w:lang w:val="en-GB"/>
        </w:rPr>
        <w:t xml:space="preserve">. In the </w:t>
      </w:r>
      <w:r w:rsidRPr="006A6D89">
        <w:rPr>
          <w:rFonts w:ascii="Arial" w:hAnsi="Arial" w:cs="Arial"/>
          <w:color w:val="000000" w:themeColor="text1"/>
          <w:sz w:val="22"/>
          <w:szCs w:val="22"/>
          <w:lang w:val="en-GB"/>
        </w:rPr>
        <w:lastRenderedPageBreak/>
        <w:t xml:space="preserve">next chapter we will describe specific examples of metabolic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applied to tumours caused by mutations of mitochondrial enzymes. </w:t>
      </w:r>
    </w:p>
    <w:p w:rsidR="00F43308" w:rsidRPr="006A6D89" w:rsidRDefault="00F43308" w:rsidP="0040350D">
      <w:pPr>
        <w:spacing w:line="360" w:lineRule="auto"/>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b/>
          <w:color w:val="000000" w:themeColor="text1"/>
          <w:lang w:val="en-GB"/>
        </w:rPr>
      </w:pPr>
      <w:r>
        <w:rPr>
          <w:rFonts w:ascii="Arial" w:hAnsi="Arial" w:cs="Arial"/>
          <w:b/>
          <w:color w:val="000000" w:themeColor="text1"/>
          <w:lang w:val="en-GB"/>
        </w:rPr>
        <w:t>2.</w:t>
      </w:r>
      <w:r w:rsidR="005320F2">
        <w:rPr>
          <w:rFonts w:ascii="Arial" w:hAnsi="Arial" w:cs="Arial"/>
          <w:b/>
          <w:color w:val="000000" w:themeColor="text1"/>
          <w:lang w:val="en-GB"/>
        </w:rPr>
        <w:t>3</w:t>
      </w:r>
      <w:r w:rsidRPr="006A6D89">
        <w:rPr>
          <w:rFonts w:ascii="Arial" w:hAnsi="Arial" w:cs="Arial"/>
          <w:b/>
          <w:color w:val="000000" w:themeColor="text1"/>
          <w:lang w:val="en-GB"/>
        </w:rPr>
        <w:t xml:space="preserve"> Mitochondrial defects and cancer: tackling the weak spot.</w:t>
      </w: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 xml:space="preserve">The identification of inherited and acquired mutations in enzymes of the TCA cycle that play a causal role in carcinogenesis, namely succinate dehydrogenase (SDH), fumarate hydratase (FH), and isocitrate dehydrogenase (IDH), has represented an ideal scenario to exploit the concept of </w:t>
      </w:r>
      <w:r>
        <w:rPr>
          <w:rFonts w:ascii="Arial" w:hAnsi="Arial" w:cs="Arial"/>
          <w:color w:val="000000" w:themeColor="text1"/>
          <w:sz w:val="22"/>
          <w:szCs w:val="22"/>
          <w:lang w:val="en-GB"/>
        </w:rPr>
        <w:t>metabolic SL</w:t>
      </w:r>
      <w:r w:rsidRPr="006A6D89">
        <w:rPr>
          <w:rFonts w:ascii="Arial" w:hAnsi="Arial" w:cs="Arial"/>
          <w:color w:val="000000" w:themeColor="text1"/>
          <w:sz w:val="22"/>
          <w:szCs w:val="22"/>
          <w:lang w:val="en-GB"/>
        </w:rPr>
        <w:t xml:space="preserve">. Before their discovery as tumour suppressors, FH and SDH were considered housekeeping genes, whose mutations would not be compatible with life </w:t>
      </w:r>
      <w:r>
        <w:rPr>
          <w:rFonts w:ascii="Arial" w:hAnsi="Arial" w:cs="Arial"/>
          <w:noProof/>
          <w:color w:val="000000" w:themeColor="text1"/>
          <w:sz w:val="22"/>
          <w:szCs w:val="22"/>
          <w:lang w:val="en-GB"/>
        </w:rPr>
        <w:t>[49]</w:t>
      </w:r>
      <w:r w:rsidRPr="006A6D89">
        <w:rPr>
          <w:rFonts w:ascii="Arial" w:hAnsi="Arial" w:cs="Arial"/>
          <w:color w:val="000000" w:themeColor="text1"/>
          <w:sz w:val="22"/>
          <w:szCs w:val="22"/>
          <w:lang w:val="en-GB"/>
        </w:rPr>
        <w:t xml:space="preserve">. The observation that these mutations were viable and, more importantly, </w:t>
      </w:r>
      <w:r>
        <w:rPr>
          <w:rFonts w:ascii="Arial" w:hAnsi="Arial" w:cs="Arial"/>
          <w:color w:val="000000" w:themeColor="text1"/>
          <w:sz w:val="22"/>
          <w:szCs w:val="22"/>
          <w:lang w:val="en-GB"/>
        </w:rPr>
        <w:t>can</w:t>
      </w:r>
      <w:r w:rsidRPr="006A6D89">
        <w:rPr>
          <w:rFonts w:ascii="Arial" w:hAnsi="Arial" w:cs="Arial"/>
          <w:color w:val="000000" w:themeColor="text1"/>
          <w:sz w:val="22"/>
          <w:szCs w:val="22"/>
          <w:lang w:val="en-GB"/>
        </w:rPr>
        <w:t xml:space="preserve"> lead to cancer suggested that their loss would be compensated by specific metabolic adaptations. The identification of the components of this metabolic re-routing would be crucial to discover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partners with these enzymes (illustrated in Fig. 1). We will summarise the various approaches used to uncover metabolic liabilities in FH and SDH-deficient cancers.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Default="00F43308" w:rsidP="0040350D">
      <w:pPr>
        <w:spacing w:line="360" w:lineRule="auto"/>
        <w:jc w:val="both"/>
        <w:rPr>
          <w:rFonts w:ascii="Arial" w:hAnsi="Arial" w:cs="Arial"/>
          <w:color w:val="000000" w:themeColor="text1"/>
          <w:sz w:val="22"/>
          <w:szCs w:val="22"/>
          <w:lang w:val="en-GB"/>
        </w:rPr>
      </w:pPr>
      <w:r>
        <w:rPr>
          <w:rFonts w:ascii="Arial" w:hAnsi="Arial" w:cs="Arial"/>
          <w:b/>
          <w:color w:val="000000" w:themeColor="text1"/>
          <w:sz w:val="22"/>
          <w:szCs w:val="22"/>
          <w:lang w:val="en-GB"/>
        </w:rPr>
        <w:t>2.</w:t>
      </w:r>
      <w:r w:rsidR="005320F2">
        <w:rPr>
          <w:rFonts w:ascii="Arial" w:hAnsi="Arial" w:cs="Arial"/>
          <w:b/>
          <w:color w:val="000000" w:themeColor="text1"/>
          <w:sz w:val="22"/>
          <w:szCs w:val="22"/>
          <w:lang w:val="en-GB"/>
        </w:rPr>
        <w:t>3</w:t>
      </w:r>
      <w:r>
        <w:rPr>
          <w:rFonts w:ascii="Arial" w:hAnsi="Arial" w:cs="Arial"/>
          <w:b/>
          <w:color w:val="000000" w:themeColor="text1"/>
          <w:sz w:val="22"/>
          <w:szCs w:val="22"/>
          <w:lang w:val="en-GB"/>
        </w:rPr>
        <w:t>.</w:t>
      </w:r>
      <w:r w:rsidRPr="006A6D89">
        <w:rPr>
          <w:rFonts w:ascii="Arial" w:hAnsi="Arial" w:cs="Arial"/>
          <w:b/>
          <w:color w:val="000000" w:themeColor="text1"/>
          <w:sz w:val="22"/>
          <w:szCs w:val="22"/>
          <w:lang w:val="en-GB"/>
        </w:rPr>
        <w:t>1. Succinate dehydrogenase</w:t>
      </w:r>
      <w:r w:rsidRPr="006A6D89">
        <w:rPr>
          <w:rFonts w:ascii="Arial" w:hAnsi="Arial" w:cs="Arial"/>
          <w:color w:val="000000" w:themeColor="text1"/>
          <w:sz w:val="22"/>
          <w:szCs w:val="22"/>
          <w:lang w:val="en-GB"/>
        </w:rPr>
        <w:t xml:space="preserve"> SDH, also known as mitochondrial respiratory complex II, is the only mitochondrial enzyme involved in both the TCA cycle and electron transport chain. </w:t>
      </w:r>
      <w:r>
        <w:rPr>
          <w:rFonts w:ascii="Arial" w:hAnsi="Arial" w:cs="Arial"/>
          <w:color w:val="000000" w:themeColor="text1"/>
          <w:sz w:val="22"/>
          <w:szCs w:val="22"/>
          <w:lang w:val="en-GB"/>
        </w:rPr>
        <w:t xml:space="preserve">SDH complex is composed of four subunits, all encoded by nuclear DNA. Two subunits, SDHA and SDHB, are hydrophilic and protrude towards the mitochondrial matrix. They catalyse the oxidation of succinate to fumarate and are part of the TCA cycle. The other two subunits, SDHC and SDHD, are hydrophobic and membrane-bound, and transport the electrons from succinate two </w:t>
      </w:r>
      <w:proofErr w:type="spellStart"/>
      <w:r>
        <w:rPr>
          <w:rFonts w:ascii="Arial" w:hAnsi="Arial" w:cs="Arial"/>
          <w:color w:val="000000" w:themeColor="text1"/>
          <w:sz w:val="22"/>
          <w:szCs w:val="22"/>
          <w:lang w:val="en-GB"/>
        </w:rPr>
        <w:t>ubiquinol</w:t>
      </w:r>
      <w:proofErr w:type="spellEnd"/>
      <w:r>
        <w:rPr>
          <w:rFonts w:ascii="Arial" w:hAnsi="Arial" w:cs="Arial"/>
          <w:color w:val="000000" w:themeColor="text1"/>
          <w:sz w:val="22"/>
          <w:szCs w:val="22"/>
          <w:lang w:val="en-GB"/>
        </w:rPr>
        <w:t xml:space="preserve"> through the electron transport chain </w:t>
      </w:r>
      <w:r>
        <w:rPr>
          <w:rFonts w:ascii="Arial" w:hAnsi="Arial" w:cs="Arial"/>
          <w:noProof/>
          <w:color w:val="000000" w:themeColor="text1"/>
          <w:sz w:val="22"/>
          <w:szCs w:val="22"/>
          <w:lang w:val="en-GB"/>
        </w:rPr>
        <w:t>[50]</w:t>
      </w:r>
      <w:r>
        <w:rPr>
          <w:rFonts w:ascii="Arial" w:hAnsi="Arial" w:cs="Arial"/>
          <w:color w:val="000000" w:themeColor="text1"/>
          <w:sz w:val="22"/>
          <w:szCs w:val="22"/>
          <w:lang w:val="en-GB"/>
        </w:rPr>
        <w:t xml:space="preserve">. The report of </w:t>
      </w:r>
      <w:r w:rsidRPr="00C12045">
        <w:rPr>
          <w:rFonts w:ascii="Arial" w:hAnsi="Arial" w:cs="Arial"/>
          <w:color w:val="000000" w:themeColor="text1"/>
          <w:sz w:val="22"/>
          <w:szCs w:val="22"/>
          <w:lang w:val="en-GB"/>
        </w:rPr>
        <w:t xml:space="preserve">SDHD </w:t>
      </w:r>
      <w:r>
        <w:rPr>
          <w:rFonts w:ascii="Arial" w:hAnsi="Arial" w:cs="Arial"/>
          <w:color w:val="000000" w:themeColor="text1"/>
          <w:sz w:val="22"/>
          <w:szCs w:val="22"/>
          <w:lang w:val="en-GB"/>
        </w:rPr>
        <w:t>mutations in</w:t>
      </w:r>
      <w:r w:rsidRPr="00C12045">
        <w:rPr>
          <w:rFonts w:ascii="Arial" w:hAnsi="Arial" w:cs="Arial"/>
          <w:color w:val="000000" w:themeColor="text1"/>
          <w:sz w:val="22"/>
          <w:szCs w:val="22"/>
          <w:lang w:val="en-GB"/>
        </w:rPr>
        <w:t xml:space="preserve"> familial head and neck </w:t>
      </w:r>
      <w:r>
        <w:rPr>
          <w:rFonts w:ascii="Arial" w:hAnsi="Arial" w:cs="Arial"/>
          <w:color w:val="000000" w:themeColor="text1"/>
          <w:sz w:val="22"/>
          <w:szCs w:val="22"/>
          <w:lang w:val="en-GB"/>
        </w:rPr>
        <w:t xml:space="preserve">paraganglioma in 2000 </w:t>
      </w:r>
      <w:r>
        <w:rPr>
          <w:rFonts w:ascii="Arial" w:hAnsi="Arial" w:cs="Arial"/>
          <w:noProof/>
          <w:color w:val="000000" w:themeColor="text1"/>
          <w:sz w:val="22"/>
          <w:szCs w:val="22"/>
          <w:lang w:val="en-GB"/>
        </w:rPr>
        <w:t>[51]</w:t>
      </w:r>
      <w:r>
        <w:rPr>
          <w:rFonts w:ascii="Arial" w:hAnsi="Arial" w:cs="Arial"/>
          <w:color w:val="000000" w:themeColor="text1"/>
          <w:sz w:val="22"/>
          <w:szCs w:val="22"/>
          <w:lang w:val="en-GB"/>
        </w:rPr>
        <w:t xml:space="preserve"> provided the first link between TCA cycle enzymes dysfunction and tumour predisposition. Since then, all SDH subunits and assembly factors have been implicated in various forms of cancer. For instance, </w:t>
      </w:r>
      <w:r w:rsidRPr="00C12045">
        <w:rPr>
          <w:rFonts w:ascii="Arial" w:hAnsi="Arial" w:cs="Arial"/>
          <w:color w:val="000000" w:themeColor="text1"/>
          <w:sz w:val="22"/>
          <w:szCs w:val="22"/>
          <w:lang w:val="en-GB"/>
        </w:rPr>
        <w:t>SDH</w:t>
      </w:r>
      <w:r>
        <w:rPr>
          <w:rFonts w:ascii="Arial" w:hAnsi="Arial" w:cs="Arial"/>
          <w:color w:val="000000" w:themeColor="text1"/>
          <w:sz w:val="22"/>
          <w:szCs w:val="22"/>
          <w:lang w:val="en-GB"/>
        </w:rPr>
        <w:t xml:space="preserve">A </w:t>
      </w:r>
      <w:r>
        <w:rPr>
          <w:rFonts w:ascii="Arial" w:hAnsi="Arial" w:cs="Arial"/>
          <w:noProof/>
          <w:color w:val="000000" w:themeColor="text1"/>
          <w:sz w:val="22"/>
          <w:szCs w:val="22"/>
          <w:lang w:val="en-GB"/>
        </w:rPr>
        <w:t>[52]</w:t>
      </w:r>
      <w:r>
        <w:rPr>
          <w:rFonts w:ascii="Arial" w:hAnsi="Arial" w:cs="Arial"/>
          <w:color w:val="000000" w:themeColor="text1"/>
          <w:sz w:val="22"/>
          <w:szCs w:val="22"/>
          <w:lang w:val="en-GB"/>
        </w:rPr>
        <w:t>,</w:t>
      </w:r>
      <w:r w:rsidRPr="00C12045">
        <w:rPr>
          <w:rFonts w:ascii="Arial" w:hAnsi="Arial" w:cs="Arial"/>
          <w:color w:val="000000" w:themeColor="text1"/>
          <w:sz w:val="22"/>
          <w:szCs w:val="22"/>
          <w:lang w:val="en-GB"/>
        </w:rPr>
        <w:t xml:space="preserve"> SDHB</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[53]</w:t>
      </w:r>
      <w:r>
        <w:rPr>
          <w:rFonts w:ascii="Arial" w:hAnsi="Arial" w:cs="Arial"/>
          <w:color w:val="000000" w:themeColor="text1"/>
          <w:sz w:val="22"/>
          <w:szCs w:val="22"/>
          <w:lang w:val="en-GB"/>
        </w:rPr>
        <w:t xml:space="preserve">, SDHC </w:t>
      </w:r>
      <w:r>
        <w:rPr>
          <w:rFonts w:ascii="Arial" w:hAnsi="Arial" w:cs="Arial"/>
          <w:noProof/>
          <w:color w:val="000000" w:themeColor="text1"/>
          <w:sz w:val="22"/>
          <w:szCs w:val="22"/>
          <w:lang w:val="en-GB"/>
        </w:rPr>
        <w:t>[54]</w:t>
      </w:r>
      <w:r>
        <w:rPr>
          <w:rFonts w:ascii="Arial" w:hAnsi="Arial" w:cs="Arial"/>
          <w:color w:val="000000" w:themeColor="text1"/>
          <w:sz w:val="22"/>
          <w:szCs w:val="22"/>
          <w:lang w:val="en-GB"/>
        </w:rPr>
        <w:t>, and SDHAF</w:t>
      </w:r>
      <w:proofErr w:type="gramStart"/>
      <w:r>
        <w:rPr>
          <w:rFonts w:ascii="Arial" w:hAnsi="Arial" w:cs="Arial"/>
          <w:color w:val="000000" w:themeColor="text1"/>
          <w:sz w:val="22"/>
          <w:szCs w:val="22"/>
          <w:lang w:val="en-GB"/>
        </w:rPr>
        <w:t>2</w:t>
      </w:r>
      <w:r w:rsidRPr="00CF79AE">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w:t>
      </w:r>
      <w:proofErr w:type="gramEnd"/>
      <w:r>
        <w:rPr>
          <w:rFonts w:ascii="Arial" w:hAnsi="Arial" w:cs="Arial"/>
          <w:color w:val="000000" w:themeColor="text1"/>
          <w:sz w:val="22"/>
          <w:szCs w:val="22"/>
          <w:lang w:val="en-GB"/>
        </w:rPr>
        <w:t xml:space="preserve"> a mitochondrial protein that plays an important role in the assembly of the SDH complex, </w:t>
      </w:r>
      <w:r>
        <w:rPr>
          <w:rFonts w:ascii="Arial" w:hAnsi="Arial" w:cs="Arial"/>
          <w:noProof/>
          <w:color w:val="000000" w:themeColor="text1"/>
          <w:sz w:val="22"/>
          <w:szCs w:val="22"/>
          <w:lang w:val="en-GB"/>
        </w:rPr>
        <w:t>[55]</w:t>
      </w:r>
      <w:r w:rsidRPr="00C12045">
        <w:rPr>
          <w:rFonts w:ascii="Arial" w:hAnsi="Arial" w:cs="Arial"/>
          <w:color w:val="000000" w:themeColor="text1"/>
          <w:sz w:val="22"/>
          <w:szCs w:val="22"/>
          <w:lang w:val="en-GB"/>
        </w:rPr>
        <w:t xml:space="preserve"> were </w:t>
      </w:r>
      <w:r>
        <w:rPr>
          <w:rFonts w:ascii="Arial" w:hAnsi="Arial" w:cs="Arial"/>
          <w:color w:val="000000" w:themeColor="text1"/>
          <w:sz w:val="22"/>
          <w:szCs w:val="22"/>
          <w:lang w:val="en-GB"/>
        </w:rPr>
        <w:t xml:space="preserve">found mutated in </w:t>
      </w:r>
      <w:r w:rsidRPr="006A6D89">
        <w:rPr>
          <w:rFonts w:ascii="Arial" w:hAnsi="Arial" w:cs="Arial"/>
          <w:color w:val="000000" w:themeColor="text1"/>
          <w:sz w:val="22"/>
          <w:szCs w:val="22"/>
          <w:lang w:val="en-GB"/>
        </w:rPr>
        <w:t xml:space="preserve">hereditary paraganglioma and pheochromocytoma </w:t>
      </w:r>
      <w:r>
        <w:rPr>
          <w:rFonts w:ascii="Arial" w:hAnsi="Arial" w:cs="Arial"/>
          <w:color w:val="000000" w:themeColor="text1"/>
          <w:sz w:val="22"/>
          <w:szCs w:val="22"/>
          <w:lang w:val="en-GB"/>
        </w:rPr>
        <w:t xml:space="preserve">(See review </w:t>
      </w:r>
      <w:r>
        <w:rPr>
          <w:rFonts w:ascii="Arial" w:hAnsi="Arial" w:cs="Arial"/>
          <w:noProof/>
          <w:color w:val="000000" w:themeColor="text1"/>
          <w:sz w:val="22"/>
          <w:szCs w:val="22"/>
          <w:lang w:val="en-GB"/>
        </w:rPr>
        <w:t>[56]</w:t>
      </w:r>
      <w:r>
        <w:rPr>
          <w:rFonts w:ascii="Arial" w:hAnsi="Arial" w:cs="Arial"/>
          <w:color w:val="000000" w:themeColor="text1"/>
          <w:sz w:val="22"/>
          <w:szCs w:val="22"/>
          <w:lang w:val="en-GB"/>
        </w:rPr>
        <w:t xml:space="preserve"> for more details)</w:t>
      </w:r>
      <w:r w:rsidRPr="006A6D89">
        <w:rPr>
          <w:rFonts w:ascii="Arial" w:hAnsi="Arial" w:cs="Arial"/>
          <w:color w:val="000000" w:themeColor="text1"/>
          <w:sz w:val="22"/>
          <w:szCs w:val="22"/>
          <w:lang w:val="en-GB"/>
        </w:rPr>
        <w:t>. SDH</w:t>
      </w:r>
      <w:r>
        <w:rPr>
          <w:rFonts w:ascii="Arial" w:hAnsi="Arial" w:cs="Arial"/>
          <w:color w:val="000000" w:themeColor="text1"/>
          <w:sz w:val="22"/>
          <w:szCs w:val="22"/>
          <w:lang w:val="en-GB"/>
        </w:rPr>
        <w:t>B and SDHC</w:t>
      </w:r>
      <w:r w:rsidRPr="006A6D89">
        <w:rPr>
          <w:rFonts w:ascii="Arial" w:hAnsi="Arial" w:cs="Arial"/>
          <w:color w:val="000000" w:themeColor="text1"/>
          <w:sz w:val="22"/>
          <w:szCs w:val="22"/>
          <w:lang w:val="en-GB"/>
        </w:rPr>
        <w:t xml:space="preserve"> mutations </w:t>
      </w:r>
      <w:r>
        <w:rPr>
          <w:rFonts w:ascii="Arial" w:hAnsi="Arial" w:cs="Arial"/>
          <w:color w:val="000000" w:themeColor="text1"/>
          <w:sz w:val="22"/>
          <w:szCs w:val="22"/>
          <w:lang w:val="en-GB"/>
        </w:rPr>
        <w:t>were</w:t>
      </w:r>
      <w:r w:rsidRPr="006A6D89">
        <w:rPr>
          <w:rFonts w:ascii="Arial" w:hAnsi="Arial" w:cs="Arial"/>
          <w:color w:val="000000" w:themeColor="text1"/>
          <w:sz w:val="22"/>
          <w:szCs w:val="22"/>
          <w:lang w:val="en-GB"/>
        </w:rPr>
        <w:t xml:space="preserve"> found in gastrointestinal stromal tumours (GISTs)</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[57]</w:t>
      </w:r>
      <w:r w:rsidRPr="006A6D89">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 xml:space="preserve">whereas SDHB was reported mutated in </w:t>
      </w:r>
      <w:r w:rsidRPr="006A6D89">
        <w:rPr>
          <w:rFonts w:ascii="Arial" w:hAnsi="Arial" w:cs="Arial"/>
          <w:color w:val="000000" w:themeColor="text1"/>
          <w:sz w:val="22"/>
          <w:szCs w:val="22"/>
          <w:lang w:val="en-GB"/>
        </w:rPr>
        <w:t>renal cell carcinoma</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[58]</w:t>
      </w:r>
      <w:r w:rsidRPr="006A6D89">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 xml:space="preserve">SDHB and SDHD mutations were detected in </w:t>
      </w:r>
      <w:r w:rsidRPr="00D12517">
        <w:rPr>
          <w:rFonts w:ascii="Arial" w:hAnsi="Arial" w:cs="Arial"/>
          <w:color w:val="000000" w:themeColor="text1"/>
          <w:sz w:val="22"/>
          <w:szCs w:val="22"/>
          <w:lang w:val="en-GB"/>
        </w:rPr>
        <w:t xml:space="preserve">both papillary and medullary thyroid carcinoma </w:t>
      </w:r>
      <w:r>
        <w:rPr>
          <w:rFonts w:ascii="Arial" w:hAnsi="Arial" w:cs="Arial"/>
          <w:noProof/>
          <w:color w:val="000000" w:themeColor="text1"/>
          <w:sz w:val="22"/>
          <w:szCs w:val="22"/>
          <w:lang w:val="en-GB"/>
        </w:rPr>
        <w:t>[59]</w:t>
      </w:r>
      <w:r>
        <w:rPr>
          <w:rFonts w:ascii="Arial" w:hAnsi="Arial" w:cs="Arial"/>
          <w:color w:val="000000" w:themeColor="text1"/>
          <w:sz w:val="22"/>
          <w:szCs w:val="22"/>
          <w:lang w:val="en-GB"/>
        </w:rPr>
        <w:t xml:space="preserve"> whereas </w:t>
      </w:r>
      <w:r w:rsidRPr="00D12517">
        <w:rPr>
          <w:rFonts w:ascii="Arial" w:hAnsi="Arial" w:cs="Arial"/>
          <w:color w:val="000000" w:themeColor="text1"/>
          <w:sz w:val="22"/>
          <w:szCs w:val="22"/>
          <w:lang w:val="en-GB"/>
        </w:rPr>
        <w:t>SDHD mutations</w:t>
      </w:r>
      <w:r>
        <w:rPr>
          <w:rFonts w:ascii="Arial" w:hAnsi="Arial" w:cs="Arial"/>
          <w:color w:val="000000" w:themeColor="text1"/>
          <w:sz w:val="22"/>
          <w:szCs w:val="22"/>
          <w:lang w:val="en-GB"/>
        </w:rPr>
        <w:t xml:space="preserve"> have been reported in testicular seminomas </w:t>
      </w:r>
      <w:r>
        <w:rPr>
          <w:rFonts w:ascii="Arial" w:hAnsi="Arial" w:cs="Arial"/>
          <w:noProof/>
          <w:color w:val="000000" w:themeColor="text1"/>
          <w:sz w:val="22"/>
          <w:szCs w:val="22"/>
          <w:lang w:val="en-GB"/>
        </w:rPr>
        <w:t>[60]</w:t>
      </w:r>
      <w:r>
        <w:rPr>
          <w:rFonts w:ascii="Arial" w:hAnsi="Arial" w:cs="Arial"/>
          <w:color w:val="000000" w:themeColor="text1"/>
          <w:sz w:val="22"/>
          <w:szCs w:val="22"/>
          <w:lang w:val="en-GB"/>
        </w:rPr>
        <w:t xml:space="preserve">. Finally, SDHB deletions were identified in neuroblastoma patients </w:t>
      </w:r>
      <w:r>
        <w:rPr>
          <w:rFonts w:ascii="Arial" w:hAnsi="Arial" w:cs="Arial"/>
          <w:noProof/>
          <w:color w:val="000000" w:themeColor="text1"/>
          <w:sz w:val="22"/>
          <w:szCs w:val="22"/>
          <w:lang w:val="en-GB"/>
        </w:rPr>
        <w:t>[61]</w:t>
      </w:r>
      <w:r>
        <w:rPr>
          <w:rFonts w:ascii="Arial" w:hAnsi="Arial" w:cs="Arial"/>
          <w:color w:val="000000" w:themeColor="text1"/>
          <w:sz w:val="22"/>
          <w:szCs w:val="22"/>
          <w:lang w:val="en-GB"/>
        </w:rPr>
        <w:t>. Therefore, SDH is emerging as a key player in tumorigenesis.</w:t>
      </w:r>
    </w:p>
    <w:p w:rsidR="00F43308"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 xml:space="preserve">Neoplastic transformation occurs upon loss of heterozygosity of the wild type SDH allele, resulting in the complete loss of enzyme function </w:t>
      </w:r>
      <w:r>
        <w:rPr>
          <w:rFonts w:ascii="Arial" w:hAnsi="Arial" w:cs="Arial"/>
          <w:noProof/>
          <w:color w:val="000000" w:themeColor="text1"/>
          <w:sz w:val="22"/>
          <w:szCs w:val="22"/>
          <w:lang w:val="en-GB"/>
        </w:rPr>
        <w:t>[62]</w:t>
      </w:r>
      <w:r w:rsidRPr="006A6D89">
        <w:rPr>
          <w:rFonts w:ascii="Arial" w:hAnsi="Arial" w:cs="Arial"/>
          <w:color w:val="000000" w:themeColor="text1"/>
          <w:sz w:val="22"/>
          <w:szCs w:val="22"/>
          <w:lang w:val="en-GB"/>
        </w:rPr>
        <w:t xml:space="preserve">, making </w:t>
      </w:r>
      <w:r w:rsidRPr="006A6D89">
        <w:rPr>
          <w:rFonts w:ascii="Arial" w:hAnsi="Arial" w:cs="Arial"/>
          <w:iCs/>
          <w:color w:val="000000" w:themeColor="text1"/>
          <w:sz w:val="22"/>
          <w:szCs w:val="22"/>
          <w:lang w:val="en-GB"/>
        </w:rPr>
        <w:t>SDH</w:t>
      </w:r>
      <w:r w:rsidRPr="006A6D89">
        <w:rPr>
          <w:rFonts w:ascii="Arial" w:hAnsi="Arial" w:cs="Arial"/>
          <w:color w:val="000000" w:themeColor="text1"/>
          <w:sz w:val="22"/>
          <w:szCs w:val="22"/>
          <w:lang w:val="en-GB"/>
        </w:rPr>
        <w:t xml:space="preserve"> a </w:t>
      </w:r>
      <w:r w:rsidRPr="006A6D89">
        <w:rPr>
          <w:rFonts w:ascii="Arial" w:hAnsi="Arial" w:cs="Arial"/>
          <w:i/>
          <w:color w:val="000000" w:themeColor="text1"/>
          <w:sz w:val="22"/>
          <w:szCs w:val="22"/>
          <w:lang w:val="en-GB"/>
        </w:rPr>
        <w:t>bona fide</w:t>
      </w:r>
      <w:r w:rsidRPr="006A6D89">
        <w:rPr>
          <w:rFonts w:ascii="Arial" w:hAnsi="Arial" w:cs="Arial"/>
          <w:color w:val="000000" w:themeColor="text1"/>
          <w:sz w:val="22"/>
          <w:szCs w:val="22"/>
          <w:lang w:val="en-GB"/>
        </w:rPr>
        <w:t xml:space="preserve"> tumour suppressor gene. Initial studies showed that SDH inactivation results in impaired respiration </w:t>
      </w:r>
      <w:r w:rsidRPr="006A6D89">
        <w:rPr>
          <w:rFonts w:ascii="Arial" w:hAnsi="Arial" w:cs="Arial"/>
          <w:color w:val="000000" w:themeColor="text1"/>
          <w:sz w:val="22"/>
          <w:szCs w:val="22"/>
          <w:lang w:val="en-GB"/>
        </w:rPr>
        <w:lastRenderedPageBreak/>
        <w:t xml:space="preserve">due to a truncated TCA cycle, and abnormal accumulation of succinate </w:t>
      </w:r>
      <w:r>
        <w:rPr>
          <w:rFonts w:ascii="Arial" w:hAnsi="Arial" w:cs="Arial"/>
          <w:noProof/>
          <w:color w:val="000000" w:themeColor="text1"/>
          <w:sz w:val="22"/>
          <w:szCs w:val="22"/>
          <w:lang w:val="en-GB"/>
        </w:rPr>
        <w:t>[63]</w:t>
      </w:r>
      <w:r w:rsidRPr="006A6D89">
        <w:rPr>
          <w:rFonts w:ascii="Arial" w:hAnsi="Arial" w:cs="Arial"/>
          <w:color w:val="000000" w:themeColor="text1"/>
          <w:sz w:val="22"/>
          <w:szCs w:val="22"/>
          <w:lang w:val="en-GB"/>
        </w:rPr>
        <w:t xml:space="preserve">. This metabolite has been considered an important driver of SDH-deficient tumours. It was shown to activate hypoxia-inducible factors (HIFs) and to inhibit </w:t>
      </w:r>
      <w:r w:rsidRPr="006A6D89">
        <w:rPr>
          <w:rFonts w:ascii="Arial" w:eastAsia="Arial Unicode MS" w:hAnsi="Arial" w:cs="Arial"/>
          <w:color w:val="000000" w:themeColor="text1"/>
          <w:sz w:val="22"/>
          <w:szCs w:val="22"/>
          <w:lang w:val="en-GB"/>
        </w:rPr>
        <w:t xml:space="preserve">2-oxoglutarate (2OG)-dependent histone and DNA demethylases, </w:t>
      </w:r>
      <w:r w:rsidRPr="006A6D89">
        <w:rPr>
          <w:rFonts w:ascii="Arial" w:hAnsi="Arial" w:cs="Arial"/>
          <w:color w:val="000000" w:themeColor="text1"/>
          <w:sz w:val="22"/>
          <w:szCs w:val="22"/>
          <w:lang w:val="en-GB"/>
        </w:rPr>
        <w:t xml:space="preserve">resulting in the development of a </w:t>
      </w:r>
      <w:proofErr w:type="spellStart"/>
      <w:r w:rsidRPr="006A6D89">
        <w:rPr>
          <w:rFonts w:ascii="Arial" w:eastAsia="Arial Unicode MS" w:hAnsi="Arial" w:cs="Arial"/>
          <w:color w:val="000000" w:themeColor="text1"/>
          <w:sz w:val="22"/>
          <w:szCs w:val="22"/>
          <w:lang w:val="en-GB"/>
        </w:rPr>
        <w:t>pseudohypoxic</w:t>
      </w:r>
      <w:proofErr w:type="spellEnd"/>
      <w:r>
        <w:rPr>
          <w:rFonts w:ascii="Arial" w:eastAsia="Arial Unicode MS" w:hAnsi="Arial" w:cs="Arial"/>
          <w:color w:val="000000" w:themeColor="text1"/>
          <w:sz w:val="22"/>
          <w:szCs w:val="22"/>
          <w:lang w:val="en-GB"/>
        </w:rPr>
        <w:t xml:space="preserve"> </w:t>
      </w:r>
      <w:r>
        <w:rPr>
          <w:rFonts w:ascii="Arial" w:hAnsi="Arial" w:cs="Arial"/>
          <w:noProof/>
          <w:color w:val="000000" w:themeColor="text1"/>
          <w:sz w:val="22"/>
          <w:szCs w:val="22"/>
          <w:lang w:val="en-GB"/>
        </w:rPr>
        <w:t>[63]</w:t>
      </w:r>
      <w:r w:rsidRPr="006A6D89">
        <w:rPr>
          <w:rFonts w:ascii="Arial" w:eastAsia="Arial Unicode MS" w:hAnsi="Arial" w:cs="Arial"/>
          <w:color w:val="000000" w:themeColor="text1"/>
          <w:sz w:val="22"/>
          <w:szCs w:val="22"/>
          <w:lang w:val="en-GB"/>
        </w:rPr>
        <w:t xml:space="preserve"> and </w:t>
      </w:r>
      <w:proofErr w:type="spellStart"/>
      <w:r w:rsidRPr="006A6D89">
        <w:rPr>
          <w:rFonts w:ascii="Arial" w:eastAsia="Arial Unicode MS" w:hAnsi="Arial" w:cs="Arial"/>
          <w:color w:val="000000" w:themeColor="text1"/>
          <w:sz w:val="22"/>
          <w:szCs w:val="22"/>
          <w:lang w:val="en-GB"/>
        </w:rPr>
        <w:t>hypermethylator</w:t>
      </w:r>
      <w:proofErr w:type="spellEnd"/>
      <w:r w:rsidRPr="006A6D89">
        <w:rPr>
          <w:rFonts w:ascii="Arial" w:eastAsia="Arial Unicode MS" w:hAnsi="Arial" w:cs="Arial"/>
          <w:color w:val="000000" w:themeColor="text1"/>
          <w:sz w:val="22"/>
          <w:szCs w:val="22"/>
          <w:lang w:val="en-GB"/>
        </w:rPr>
        <w:t xml:space="preserve"> phenotype in tumours </w:t>
      </w:r>
      <w:r>
        <w:rPr>
          <w:rFonts w:ascii="Arial" w:eastAsia="Arial Unicode MS" w:hAnsi="Arial" w:cs="Arial"/>
          <w:noProof/>
          <w:color w:val="000000" w:themeColor="text1"/>
          <w:sz w:val="22"/>
          <w:szCs w:val="22"/>
          <w:lang w:val="en-GB"/>
        </w:rPr>
        <w:t>[64]</w:t>
      </w:r>
      <w:r w:rsidRPr="006A6D89">
        <w:rPr>
          <w:rFonts w:ascii="Arial" w:hAnsi="Arial" w:cs="Arial"/>
          <w:color w:val="000000" w:themeColor="text1"/>
          <w:sz w:val="22"/>
          <w:szCs w:val="22"/>
          <w:lang w:val="en-GB"/>
        </w:rPr>
        <w:t>. The metabolic adaptations that allow tumour cells to grow and divide without this important enzyme are not completely understood. Recent experiments elucidated important features of SDH-deficient cells. Liquid chromatography-mass spectroscopy (LC-MS) profiling to identify the metabolic alterations associated with SDHB loss indicated that, while SDHB-competent cells showed a net secretion of pyruvate</w:t>
      </w:r>
      <w:r w:rsidRPr="006A6D89">
        <w:rPr>
          <w:rFonts w:ascii="Arial" w:eastAsia="Arial Unicode MS" w:hAnsi="Arial" w:cs="Arial"/>
          <w:color w:val="000000" w:themeColor="text1"/>
          <w:sz w:val="22"/>
          <w:szCs w:val="22"/>
          <w:lang w:val="en-GB"/>
        </w:rPr>
        <w:t xml:space="preserve">, this metabolite ranked as the third most consumed in the SDHB-deficient lines. Pyruvate deprivation selectively impaired the proliferation of </w:t>
      </w:r>
      <w:r w:rsidRPr="006A6D89">
        <w:rPr>
          <w:rFonts w:ascii="Arial" w:eastAsia="Arial Unicode MS" w:hAnsi="Arial" w:cs="Arial"/>
          <w:iCs/>
          <w:color w:val="000000" w:themeColor="text1"/>
          <w:sz w:val="22"/>
          <w:szCs w:val="22"/>
          <w:lang w:val="en-GB"/>
        </w:rPr>
        <w:t>SDHB-deficient</w:t>
      </w:r>
      <w:r w:rsidRPr="006A6D89">
        <w:rPr>
          <w:rFonts w:ascii="Arial" w:eastAsia="Arial Unicode MS" w:hAnsi="Arial" w:cs="Arial"/>
          <w:color w:val="000000" w:themeColor="text1"/>
          <w:sz w:val="22"/>
          <w:szCs w:val="22"/>
          <w:lang w:val="en-GB"/>
        </w:rPr>
        <w:t xml:space="preserve"> cells and, surprisingly, intracellular steady-state pyruvate levels decreased in SDHB-depleted cells incubated with pyruvate-depleted medium. Further investigations revealed that exogenous pyruvate is required for the generation of aspartate, a critical metabolite for cell growth. This suggests that the cells need to increase their pyruvate uptake because their biosynthetic capacity is not sufficient to fulfil their demand for this amino acid. </w:t>
      </w:r>
      <w:r w:rsidRPr="006A6D89">
        <w:rPr>
          <w:rFonts w:ascii="Arial" w:hAnsi="Arial" w:cs="Arial"/>
          <w:color w:val="000000" w:themeColor="text1"/>
          <w:sz w:val="22"/>
          <w:szCs w:val="22"/>
          <w:lang w:val="en-GB"/>
        </w:rPr>
        <w:t xml:space="preserve">Interestingly, SDHB-deficient cells preferentially use pyruvate carboxylase (PC) to generate oxaloacetate, required to maintain the aspartate pool </w:t>
      </w:r>
      <w:r>
        <w:rPr>
          <w:rFonts w:ascii="Arial" w:hAnsi="Arial" w:cs="Arial"/>
          <w:noProof/>
          <w:color w:val="000000" w:themeColor="text1"/>
          <w:sz w:val="22"/>
          <w:szCs w:val="22"/>
          <w:lang w:val="en-GB"/>
        </w:rPr>
        <w:t>[65, 66]</w:t>
      </w:r>
      <w:r w:rsidRPr="006A6D89">
        <w:rPr>
          <w:rFonts w:ascii="Arial" w:hAnsi="Arial" w:cs="Arial"/>
          <w:color w:val="000000" w:themeColor="text1"/>
          <w:sz w:val="22"/>
          <w:szCs w:val="22"/>
          <w:lang w:val="en-GB"/>
        </w:rPr>
        <w:t xml:space="preserve">. Consequently, PC down-regulation specifically reduced the proliferation of these cells </w:t>
      </w:r>
      <w:r w:rsidRPr="006A6D89">
        <w:rPr>
          <w:rFonts w:ascii="Arial" w:hAnsi="Arial" w:cs="Arial"/>
          <w:i/>
          <w:iCs/>
          <w:color w:val="000000" w:themeColor="text1"/>
          <w:sz w:val="22"/>
          <w:szCs w:val="22"/>
          <w:lang w:val="en-GB"/>
        </w:rPr>
        <w:t>in vitro</w:t>
      </w:r>
      <w:r w:rsidRPr="006A6D89">
        <w:rPr>
          <w:rFonts w:ascii="Arial" w:hAnsi="Arial" w:cs="Arial"/>
          <w:color w:val="000000" w:themeColor="text1"/>
          <w:sz w:val="22"/>
          <w:szCs w:val="22"/>
          <w:lang w:val="en-GB"/>
        </w:rPr>
        <w:t xml:space="preserve">, and reduced the capacity of RAS-transformed </w:t>
      </w:r>
      <w:r w:rsidRPr="006A6D89">
        <w:rPr>
          <w:rFonts w:ascii="Arial" w:eastAsia="Arial Unicode MS" w:hAnsi="Arial" w:cs="Arial"/>
          <w:iCs/>
          <w:color w:val="000000" w:themeColor="text1"/>
          <w:sz w:val="22"/>
          <w:szCs w:val="22"/>
          <w:lang w:val="en-GB"/>
        </w:rPr>
        <w:t xml:space="preserve">SDHB-deficient </w:t>
      </w:r>
      <w:r w:rsidRPr="006A6D89">
        <w:rPr>
          <w:rFonts w:ascii="Arial" w:eastAsia="Arial Unicode MS" w:hAnsi="Arial" w:cs="Arial"/>
          <w:color w:val="000000" w:themeColor="text1"/>
          <w:sz w:val="22"/>
          <w:szCs w:val="22"/>
          <w:lang w:val="en-GB"/>
        </w:rPr>
        <w:t>cells to form tumours in immuno-deficient mice</w:t>
      </w:r>
      <w:r w:rsidRPr="006A6D89">
        <w:rPr>
          <w:rFonts w:ascii="Arial" w:hAnsi="Arial" w:cs="Arial"/>
          <w:color w:val="000000" w:themeColor="text1"/>
          <w:sz w:val="22"/>
          <w:szCs w:val="22"/>
          <w:lang w:val="en-GB"/>
        </w:rPr>
        <w:t xml:space="preserve">. </w:t>
      </w:r>
      <w:r w:rsidRPr="006A6D89">
        <w:rPr>
          <w:rFonts w:ascii="Arial" w:hAnsi="Arial" w:cs="Arial"/>
          <w:iCs/>
          <w:color w:val="000000" w:themeColor="text1"/>
          <w:sz w:val="22"/>
          <w:szCs w:val="22"/>
          <w:lang w:val="en-GB"/>
        </w:rPr>
        <w:t>PC</w:t>
      </w:r>
      <w:r w:rsidRPr="006A6D89">
        <w:rPr>
          <w:rFonts w:ascii="Arial" w:hAnsi="Arial" w:cs="Arial"/>
          <w:color w:val="000000" w:themeColor="text1"/>
          <w:sz w:val="22"/>
          <w:szCs w:val="22"/>
          <w:lang w:val="en-GB"/>
        </w:rPr>
        <w:t xml:space="preserve"> expression was showed to be induced in </w:t>
      </w:r>
      <w:r w:rsidRPr="006A6D89">
        <w:rPr>
          <w:rFonts w:ascii="Arial" w:hAnsi="Arial" w:cs="Arial"/>
          <w:iCs/>
          <w:color w:val="000000" w:themeColor="text1"/>
          <w:sz w:val="22"/>
          <w:szCs w:val="22"/>
          <w:lang w:val="en-GB"/>
        </w:rPr>
        <w:t>SDH</w:t>
      </w:r>
      <w:r w:rsidRPr="006A6D89">
        <w:rPr>
          <w:rFonts w:ascii="Arial" w:hAnsi="Arial" w:cs="Arial"/>
          <w:color w:val="000000" w:themeColor="text1"/>
          <w:sz w:val="22"/>
          <w:szCs w:val="22"/>
          <w:lang w:val="en-GB"/>
        </w:rPr>
        <w:t xml:space="preserve">-mutated PGLs and PCCs compared with non-mutated </w:t>
      </w:r>
      <w:r w:rsidRPr="006A6D89">
        <w:rPr>
          <w:rFonts w:ascii="Arial" w:hAnsi="Arial" w:cs="Arial"/>
          <w:iCs/>
          <w:color w:val="000000" w:themeColor="text1"/>
          <w:sz w:val="22"/>
          <w:szCs w:val="22"/>
          <w:lang w:val="en-GB"/>
        </w:rPr>
        <w:t>SDH</w:t>
      </w:r>
      <w:r w:rsidRPr="006A6D89">
        <w:rPr>
          <w:rFonts w:ascii="Arial" w:hAnsi="Arial" w:cs="Arial"/>
          <w:color w:val="000000" w:themeColor="text1"/>
          <w:sz w:val="22"/>
          <w:szCs w:val="22"/>
          <w:lang w:val="en-GB"/>
        </w:rPr>
        <w:t xml:space="preserve"> tumours </w:t>
      </w:r>
      <w:r>
        <w:rPr>
          <w:rFonts w:ascii="Arial" w:hAnsi="Arial" w:cs="Arial"/>
          <w:noProof/>
          <w:color w:val="000000" w:themeColor="text1"/>
          <w:sz w:val="22"/>
          <w:szCs w:val="22"/>
          <w:lang w:val="en-GB"/>
        </w:rPr>
        <w:t>[65]</w:t>
      </w:r>
      <w:r w:rsidRPr="006A6D89">
        <w:rPr>
          <w:rFonts w:ascii="Arial" w:hAnsi="Arial" w:cs="Arial"/>
          <w:color w:val="000000" w:themeColor="text1"/>
          <w:sz w:val="22"/>
          <w:szCs w:val="22"/>
          <w:lang w:val="en-GB"/>
        </w:rPr>
        <w:t xml:space="preserve">. Stronger cytoplasmic immunostaining of PC was also observed in tumour epithelial cells of </w:t>
      </w:r>
      <w:r w:rsidRPr="006A6D89">
        <w:rPr>
          <w:rFonts w:ascii="Arial" w:hAnsi="Arial" w:cs="Arial"/>
          <w:iCs/>
          <w:color w:val="000000" w:themeColor="text1"/>
          <w:sz w:val="22"/>
          <w:szCs w:val="22"/>
          <w:lang w:val="en-GB"/>
        </w:rPr>
        <w:t>SDH</w:t>
      </w:r>
      <w:r w:rsidRPr="006A6D89">
        <w:rPr>
          <w:rFonts w:ascii="Arial" w:hAnsi="Arial" w:cs="Arial"/>
          <w:color w:val="000000" w:themeColor="text1"/>
          <w:sz w:val="22"/>
          <w:szCs w:val="22"/>
          <w:lang w:val="en-GB"/>
        </w:rPr>
        <w:t xml:space="preserve">-mutated renal cell carcinomas (RCC) compared to normal adjacent renal tissue </w:t>
      </w:r>
      <w:r>
        <w:rPr>
          <w:rFonts w:ascii="Arial" w:hAnsi="Arial" w:cs="Arial"/>
          <w:noProof/>
          <w:color w:val="000000" w:themeColor="text1"/>
          <w:sz w:val="22"/>
          <w:szCs w:val="22"/>
          <w:lang w:val="en-GB"/>
        </w:rPr>
        <w:t>[65]</w:t>
      </w:r>
      <w:r w:rsidRPr="006A6D89">
        <w:rPr>
          <w:rFonts w:ascii="Arial" w:hAnsi="Arial" w:cs="Arial"/>
          <w:color w:val="000000" w:themeColor="text1"/>
          <w:sz w:val="22"/>
          <w:szCs w:val="22"/>
          <w:lang w:val="en-GB"/>
        </w:rPr>
        <w:t xml:space="preserve">. Thus, PC appears to be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with SDH and its silencing selectively affects the proliferation and tumorigenic capacity of SDH-deficient cells. </w:t>
      </w:r>
      <w:r w:rsidRPr="006A6D89">
        <w:rPr>
          <w:rFonts w:ascii="Arial" w:hAnsi="Arial" w:cs="Arial"/>
          <w:i/>
          <w:color w:val="000000" w:themeColor="text1"/>
          <w:sz w:val="22"/>
          <w:szCs w:val="22"/>
          <w:lang w:val="en-GB"/>
        </w:rPr>
        <w:t>In vivo</w:t>
      </w:r>
      <w:r w:rsidRPr="006A6D89">
        <w:rPr>
          <w:rFonts w:ascii="Arial" w:hAnsi="Arial" w:cs="Arial"/>
          <w:color w:val="000000" w:themeColor="text1"/>
          <w:sz w:val="22"/>
          <w:szCs w:val="22"/>
          <w:lang w:val="en-GB"/>
        </w:rPr>
        <w:t xml:space="preserve"> validation of this interaction would prove to be an important step towards developing therapies to target pathologies driven by SDH deficiency.</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Pr>
          <w:rFonts w:ascii="Arial" w:hAnsi="Arial" w:cs="Arial"/>
          <w:b/>
          <w:color w:val="000000" w:themeColor="text1"/>
          <w:sz w:val="22"/>
          <w:szCs w:val="22"/>
          <w:lang w:val="en-GB"/>
        </w:rPr>
        <w:t>2.</w:t>
      </w:r>
      <w:r w:rsidR="005320F2">
        <w:rPr>
          <w:rFonts w:ascii="Arial" w:hAnsi="Arial" w:cs="Arial"/>
          <w:b/>
          <w:color w:val="000000" w:themeColor="text1"/>
          <w:sz w:val="22"/>
          <w:szCs w:val="22"/>
          <w:lang w:val="en-GB"/>
        </w:rPr>
        <w:t>3</w:t>
      </w:r>
      <w:r>
        <w:rPr>
          <w:rFonts w:ascii="Arial" w:hAnsi="Arial" w:cs="Arial"/>
          <w:b/>
          <w:color w:val="000000" w:themeColor="text1"/>
          <w:sz w:val="22"/>
          <w:szCs w:val="22"/>
          <w:lang w:val="en-GB"/>
        </w:rPr>
        <w:t>.</w:t>
      </w:r>
      <w:r w:rsidRPr="006A6D89">
        <w:rPr>
          <w:rFonts w:ascii="Arial" w:hAnsi="Arial" w:cs="Arial"/>
          <w:b/>
          <w:color w:val="000000" w:themeColor="text1"/>
          <w:sz w:val="22"/>
          <w:szCs w:val="22"/>
          <w:lang w:val="en-GB"/>
        </w:rPr>
        <w:t>2. Fumarate Hydratase</w:t>
      </w:r>
      <w:r w:rsidRPr="006A6D89">
        <w:rPr>
          <w:rFonts w:ascii="Arial" w:hAnsi="Arial" w:cs="Arial"/>
          <w:color w:val="000000" w:themeColor="text1"/>
          <w:sz w:val="22"/>
          <w:szCs w:val="22"/>
          <w:lang w:val="en-GB"/>
        </w:rPr>
        <w:t xml:space="preserve"> FH is a </w:t>
      </w:r>
      <w:proofErr w:type="spellStart"/>
      <w:r w:rsidRPr="006A6D89">
        <w:rPr>
          <w:rFonts w:ascii="Arial" w:hAnsi="Arial" w:cs="Arial"/>
          <w:color w:val="000000" w:themeColor="text1"/>
          <w:sz w:val="22"/>
          <w:szCs w:val="22"/>
          <w:lang w:val="en-GB"/>
        </w:rPr>
        <w:t>homotetrameric</w:t>
      </w:r>
      <w:proofErr w:type="spellEnd"/>
      <w:r w:rsidRPr="006A6D89">
        <w:rPr>
          <w:rFonts w:ascii="Arial" w:hAnsi="Arial" w:cs="Arial"/>
          <w:color w:val="000000" w:themeColor="text1"/>
          <w:sz w:val="22"/>
          <w:szCs w:val="22"/>
          <w:lang w:val="en-GB"/>
        </w:rPr>
        <w:t xml:space="preserve"> enzyme that catalyses the hydration of fumarate to malate. Loss-of-function mutations in FH have been associated with Hereditary Leiomyomatosis and Renal Cell Carcinoma (HLRCC), a cancer syndrome characterized by a malignant form of renal cancer </w:t>
      </w:r>
      <w:r>
        <w:rPr>
          <w:rFonts w:ascii="Arial" w:hAnsi="Arial" w:cs="Arial"/>
          <w:noProof/>
          <w:color w:val="000000" w:themeColor="text1"/>
          <w:sz w:val="22"/>
          <w:szCs w:val="22"/>
          <w:lang w:val="en-GB"/>
        </w:rPr>
        <w:t>[67]</w:t>
      </w:r>
      <w:r w:rsidRPr="006A6D89">
        <w:rPr>
          <w:rFonts w:ascii="Arial" w:hAnsi="Arial" w:cs="Arial"/>
          <w:color w:val="000000" w:themeColor="text1"/>
          <w:sz w:val="22"/>
          <w:szCs w:val="22"/>
          <w:lang w:val="en-GB"/>
        </w:rPr>
        <w:t xml:space="preserve">. FH mutations were also identified in cerebral </w:t>
      </w:r>
      <w:proofErr w:type="spellStart"/>
      <w:r w:rsidRPr="006A6D89">
        <w:rPr>
          <w:rFonts w:ascii="Arial" w:hAnsi="Arial" w:cs="Arial"/>
          <w:color w:val="000000" w:themeColor="text1"/>
          <w:sz w:val="22"/>
          <w:szCs w:val="22"/>
          <w:lang w:val="en-GB"/>
        </w:rPr>
        <w:t>cavernomas</w:t>
      </w:r>
      <w:proofErr w:type="spellEnd"/>
      <w:r w:rsidRPr="006A6D89">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[68]</w:t>
      </w:r>
      <w:r w:rsidRPr="006A6D89">
        <w:rPr>
          <w:rFonts w:ascii="Arial" w:hAnsi="Arial" w:cs="Arial"/>
          <w:color w:val="000000" w:themeColor="text1"/>
          <w:sz w:val="22"/>
          <w:szCs w:val="22"/>
          <w:lang w:val="en-GB"/>
        </w:rPr>
        <w:t xml:space="preserve">, </w:t>
      </w:r>
      <w:proofErr w:type="spellStart"/>
      <w:r w:rsidRPr="006A6D89">
        <w:rPr>
          <w:rFonts w:ascii="Arial" w:hAnsi="Arial" w:cs="Arial"/>
          <w:color w:val="000000" w:themeColor="text1"/>
          <w:sz w:val="22"/>
          <w:szCs w:val="22"/>
          <w:lang w:val="en-GB"/>
        </w:rPr>
        <w:t>neuroblastomas</w:t>
      </w:r>
      <w:proofErr w:type="spellEnd"/>
      <w:r w:rsidRPr="006A6D89">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[61]</w:t>
      </w:r>
      <w:r w:rsidRPr="006A6D89">
        <w:rPr>
          <w:rFonts w:ascii="Arial" w:hAnsi="Arial" w:cs="Arial"/>
          <w:color w:val="000000" w:themeColor="text1"/>
          <w:sz w:val="22"/>
          <w:szCs w:val="22"/>
          <w:lang w:val="en-GB"/>
        </w:rPr>
        <w:t xml:space="preserve">, </w:t>
      </w:r>
      <w:proofErr w:type="spellStart"/>
      <w:r w:rsidRPr="006A6D89">
        <w:rPr>
          <w:rFonts w:ascii="Arial" w:hAnsi="Arial" w:cs="Arial"/>
          <w:color w:val="000000" w:themeColor="text1"/>
          <w:sz w:val="22"/>
          <w:szCs w:val="22"/>
          <w:lang w:val="en-GB"/>
        </w:rPr>
        <w:t>Leydig</w:t>
      </w:r>
      <w:proofErr w:type="spellEnd"/>
      <w:r w:rsidRPr="006A6D89">
        <w:rPr>
          <w:rFonts w:ascii="Arial" w:hAnsi="Arial" w:cs="Arial"/>
          <w:color w:val="000000" w:themeColor="text1"/>
          <w:sz w:val="22"/>
          <w:szCs w:val="22"/>
          <w:lang w:val="en-GB"/>
        </w:rPr>
        <w:t xml:space="preserve"> cell tumours </w:t>
      </w:r>
      <w:r>
        <w:rPr>
          <w:rFonts w:ascii="Arial" w:hAnsi="Arial" w:cs="Arial"/>
          <w:noProof/>
          <w:color w:val="000000" w:themeColor="text1"/>
          <w:sz w:val="22"/>
          <w:szCs w:val="22"/>
          <w:lang w:val="en-GB"/>
        </w:rPr>
        <w:t>[69]</w:t>
      </w:r>
      <w:r w:rsidRPr="006A6D89">
        <w:rPr>
          <w:rFonts w:ascii="Arial" w:hAnsi="Arial" w:cs="Arial"/>
          <w:color w:val="000000" w:themeColor="text1"/>
          <w:sz w:val="22"/>
          <w:szCs w:val="22"/>
          <w:lang w:val="en-GB"/>
        </w:rPr>
        <w:t xml:space="preserve">, and ovarian mucinous cystadenomas </w:t>
      </w:r>
      <w:r>
        <w:rPr>
          <w:rFonts w:ascii="Arial" w:hAnsi="Arial" w:cs="Arial"/>
          <w:noProof/>
          <w:color w:val="000000" w:themeColor="text1"/>
          <w:sz w:val="22"/>
          <w:szCs w:val="22"/>
          <w:lang w:val="en-GB"/>
        </w:rPr>
        <w:t>[70]</w:t>
      </w:r>
      <w:r w:rsidRPr="006A6D89">
        <w:rPr>
          <w:rFonts w:ascii="Arial" w:hAnsi="Arial" w:cs="Arial"/>
          <w:color w:val="000000" w:themeColor="text1"/>
          <w:sz w:val="22"/>
          <w:szCs w:val="22"/>
          <w:lang w:val="en-GB"/>
        </w:rPr>
        <w:t xml:space="preserve">. Very recently, germline FH mutations have also been found in patients with PCC/PGL </w:t>
      </w:r>
      <w:r>
        <w:rPr>
          <w:rFonts w:ascii="Arial" w:hAnsi="Arial" w:cs="Arial"/>
          <w:noProof/>
          <w:color w:val="000000" w:themeColor="text1"/>
          <w:sz w:val="22"/>
          <w:szCs w:val="22"/>
          <w:lang w:val="en-GB"/>
        </w:rPr>
        <w:t>[71, 72]</w:t>
      </w:r>
      <w:r w:rsidRPr="006A6D89">
        <w:rPr>
          <w:rFonts w:ascii="Arial" w:hAnsi="Arial" w:cs="Arial"/>
          <w:color w:val="000000" w:themeColor="text1"/>
          <w:sz w:val="22"/>
          <w:szCs w:val="22"/>
          <w:lang w:val="en-GB"/>
        </w:rPr>
        <w:t xml:space="preserve">.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lastRenderedPageBreak/>
        <w:t>Similar to mutations in</w:t>
      </w:r>
      <w:r w:rsidRPr="006A6D89">
        <w:rPr>
          <w:rFonts w:ascii="Arial" w:hAnsi="Arial" w:cs="Arial"/>
          <w:iCs/>
          <w:color w:val="000000" w:themeColor="text1"/>
          <w:sz w:val="22"/>
          <w:szCs w:val="22"/>
          <w:lang w:val="en-GB"/>
        </w:rPr>
        <w:t xml:space="preserve"> SDH</w:t>
      </w:r>
      <w:r w:rsidRPr="006A6D89">
        <w:rPr>
          <w:rFonts w:ascii="Arial" w:hAnsi="Arial" w:cs="Arial"/>
          <w:color w:val="000000" w:themeColor="text1"/>
          <w:sz w:val="22"/>
          <w:szCs w:val="22"/>
          <w:lang w:val="en-GB"/>
        </w:rPr>
        <w:t xml:space="preserve">, </w:t>
      </w:r>
      <w:r w:rsidRPr="006A6D89">
        <w:rPr>
          <w:rFonts w:ascii="Arial" w:hAnsi="Arial" w:cs="Arial"/>
          <w:iCs/>
          <w:color w:val="000000" w:themeColor="text1"/>
          <w:sz w:val="22"/>
          <w:szCs w:val="22"/>
          <w:lang w:val="en-GB"/>
        </w:rPr>
        <w:t>FH</w:t>
      </w:r>
      <w:r w:rsidRPr="006A6D89">
        <w:rPr>
          <w:rFonts w:ascii="Arial" w:hAnsi="Arial" w:cs="Arial"/>
          <w:color w:val="000000" w:themeColor="text1"/>
          <w:sz w:val="22"/>
          <w:szCs w:val="22"/>
          <w:lang w:val="en-GB"/>
        </w:rPr>
        <w:t xml:space="preserve"> mutations lead to loss of enzymatic function, and neoplastic transformation also occurs upon loss of heterozygosity of the wild type allele </w:t>
      </w:r>
      <w:r>
        <w:rPr>
          <w:rFonts w:ascii="Arial" w:hAnsi="Arial" w:cs="Arial"/>
          <w:noProof/>
          <w:color w:val="000000" w:themeColor="text1"/>
          <w:sz w:val="22"/>
          <w:szCs w:val="22"/>
          <w:lang w:val="en-GB"/>
        </w:rPr>
        <w:t>[67, 73]</w:t>
      </w:r>
      <w:r w:rsidRPr="006A6D89">
        <w:rPr>
          <w:rFonts w:ascii="Arial" w:hAnsi="Arial" w:cs="Arial"/>
          <w:color w:val="000000" w:themeColor="text1"/>
          <w:sz w:val="22"/>
          <w:szCs w:val="22"/>
          <w:lang w:val="en-GB"/>
        </w:rPr>
        <w:t xml:space="preserve">. One of the major consequences of FH inactivation is the aberrant accumulation of fumarate, recently defined as an oncometabolite due to its role in tumorigenesis </w:t>
      </w:r>
      <w:r>
        <w:rPr>
          <w:rFonts w:ascii="Arial" w:hAnsi="Arial" w:cs="Arial"/>
          <w:noProof/>
          <w:color w:val="000000" w:themeColor="text1"/>
          <w:sz w:val="22"/>
          <w:szCs w:val="22"/>
          <w:lang w:val="en-GB"/>
        </w:rPr>
        <w:t>[74]</w:t>
      </w:r>
      <w:r w:rsidRPr="006A6D89">
        <w:rPr>
          <w:rFonts w:ascii="Arial" w:hAnsi="Arial" w:cs="Arial"/>
          <w:color w:val="000000" w:themeColor="text1"/>
          <w:sz w:val="22"/>
          <w:szCs w:val="22"/>
          <w:lang w:val="en-GB"/>
        </w:rPr>
        <w:t>. Several mechanisms have been proposed to explain the oncogenic activity of fumarate. For instance, in a mechanism similar to that of succinate, fumarate was shown to act as a competitive inhibitor of multiple 2-OG-dependent dioxygenases, including histone and DNA demethylases, and HIF inhibitors prolyl hydroxylases. By affecting these pathways, fumarate causes genome-wide epigenetic changes and HIF stabilisation</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[75, 76]</w:t>
      </w:r>
      <w:r w:rsidRPr="006A6D89">
        <w:rPr>
          <w:rFonts w:ascii="Arial" w:hAnsi="Arial" w:cs="Arial"/>
          <w:noProof/>
          <w:color w:val="000000" w:themeColor="text1"/>
          <w:sz w:val="22"/>
          <w:szCs w:val="22"/>
          <w:lang w:val="en-GB"/>
        </w:rPr>
        <w:t>; b</w:t>
      </w:r>
      <w:r w:rsidRPr="006A6D89">
        <w:rPr>
          <w:rFonts w:ascii="Arial" w:hAnsi="Arial" w:cs="Arial"/>
          <w:color w:val="000000" w:themeColor="text1"/>
          <w:sz w:val="22"/>
          <w:szCs w:val="22"/>
          <w:lang w:val="en-GB"/>
        </w:rPr>
        <w:t xml:space="preserve">oth of which are thought to contribute to tumour initiation and progression of HLRCC. However, although HIFs are strongly expressed in kidney tumours from HLRCC patients </w:t>
      </w:r>
      <w:r>
        <w:rPr>
          <w:rFonts w:ascii="Arial" w:hAnsi="Arial" w:cs="Arial"/>
          <w:noProof/>
          <w:color w:val="000000" w:themeColor="text1"/>
          <w:sz w:val="22"/>
          <w:szCs w:val="22"/>
          <w:lang w:val="en-GB"/>
        </w:rPr>
        <w:t>[75, 77]</w:t>
      </w:r>
      <w:r w:rsidRPr="006A6D89">
        <w:rPr>
          <w:rFonts w:ascii="Arial" w:hAnsi="Arial" w:cs="Arial"/>
          <w:noProof/>
          <w:color w:val="000000" w:themeColor="text1"/>
          <w:sz w:val="22"/>
          <w:szCs w:val="22"/>
          <w:lang w:val="en-GB"/>
        </w:rPr>
        <w:t xml:space="preserve">, </w:t>
      </w:r>
      <w:r w:rsidRPr="006A6D89">
        <w:rPr>
          <w:rFonts w:ascii="Arial" w:hAnsi="Arial" w:cs="Arial"/>
          <w:color w:val="000000" w:themeColor="text1"/>
          <w:sz w:val="22"/>
          <w:szCs w:val="22"/>
          <w:lang w:val="en-GB"/>
        </w:rPr>
        <w:t xml:space="preserve">the genetic ablation of HIFs in kidneys of Fh1-deficient animals does not abolish cyst formation but, on the contrary, exacerbates it </w:t>
      </w:r>
      <w:r>
        <w:rPr>
          <w:rFonts w:ascii="Arial" w:hAnsi="Arial" w:cs="Arial"/>
          <w:noProof/>
          <w:color w:val="000000" w:themeColor="text1"/>
          <w:sz w:val="22"/>
          <w:szCs w:val="22"/>
          <w:lang w:val="en-GB"/>
        </w:rPr>
        <w:t>[78]</w:t>
      </w:r>
      <w:r w:rsidRPr="006A6D89">
        <w:rPr>
          <w:rFonts w:ascii="Arial" w:hAnsi="Arial" w:cs="Arial"/>
          <w:color w:val="000000" w:themeColor="text1"/>
          <w:sz w:val="22"/>
          <w:szCs w:val="22"/>
          <w:lang w:val="en-GB"/>
        </w:rPr>
        <w:t xml:space="preserve">, arguing against an oncogenic role of HIF in these tumours. An alternative link between fumarate accumulation and tumorigenesis was recently proposed. It was found that fumarate binds and inactivates functional thiol residues of </w:t>
      </w:r>
      <w:r w:rsidRPr="009E7D98">
        <w:rPr>
          <w:rFonts w:ascii="Arial" w:hAnsi="Arial" w:cs="Arial"/>
          <w:color w:val="000000" w:themeColor="text1"/>
          <w:sz w:val="22"/>
          <w:szCs w:val="22"/>
          <w:lang w:val="en-GB"/>
        </w:rPr>
        <w:t>Kelch-like ECH-associated protein 1</w:t>
      </w:r>
      <w:r w:rsidRPr="006A6D89">
        <w:rPr>
          <w:rFonts w:ascii="Arial" w:hAnsi="Arial" w:cs="Arial"/>
          <w:color w:val="000000" w:themeColor="text1"/>
          <w:sz w:val="22"/>
          <w:szCs w:val="22"/>
          <w:lang w:val="en-GB"/>
        </w:rPr>
        <w:t xml:space="preserve"> (KEAP1), the negative regulator of the antioxidant master gene </w:t>
      </w:r>
      <w:r w:rsidRPr="009E7D98">
        <w:rPr>
          <w:rFonts w:ascii="Arial" w:hAnsi="Arial" w:cs="Arial"/>
          <w:color w:val="000000" w:themeColor="text1"/>
          <w:sz w:val="22"/>
          <w:szCs w:val="22"/>
          <w:lang w:val="en-GB"/>
        </w:rPr>
        <w:t>nuclear factor erythroid 2-related factor</w:t>
      </w:r>
      <w:r w:rsidRPr="006A6D89">
        <w:rPr>
          <w:rFonts w:ascii="Arial" w:hAnsi="Arial" w:cs="Arial"/>
          <w:color w:val="000000" w:themeColor="text1"/>
          <w:sz w:val="22"/>
          <w:szCs w:val="22"/>
          <w:lang w:val="en-GB"/>
        </w:rPr>
        <w:t xml:space="preserve"> (NRF2), leading to the activation of a strong antioxidant response</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[78, 79]</w:t>
      </w:r>
      <w:r w:rsidRPr="006A6D89">
        <w:rPr>
          <w:rFonts w:ascii="Arial" w:hAnsi="Arial" w:cs="Arial"/>
          <w:color w:val="000000" w:themeColor="text1"/>
          <w:sz w:val="22"/>
          <w:szCs w:val="22"/>
          <w:lang w:val="en-GB"/>
        </w:rPr>
        <w:t xml:space="preserve">. However, despite having long being implicated in several cancers, it is still unclear whether NRF2 inactivation is sufficient to induce tumour formation in HLRCC or if its inactivation is simply a secondary effect of fumarate accumulation </w:t>
      </w:r>
      <w:r>
        <w:rPr>
          <w:rFonts w:ascii="Arial" w:hAnsi="Arial" w:cs="Arial"/>
          <w:noProof/>
          <w:color w:val="000000" w:themeColor="text1"/>
          <w:sz w:val="22"/>
          <w:szCs w:val="22"/>
          <w:lang w:val="en-GB"/>
        </w:rPr>
        <w:t>[80, 81]</w:t>
      </w:r>
      <w:r w:rsidRPr="006A6D89">
        <w:rPr>
          <w:rFonts w:ascii="Arial" w:hAnsi="Arial" w:cs="Arial"/>
          <w:noProof/>
          <w:color w:val="000000" w:themeColor="text1"/>
          <w:sz w:val="22"/>
          <w:szCs w:val="22"/>
          <w:lang w:val="en-GB"/>
        </w:rPr>
        <w:t xml:space="preserve">. </w:t>
      </w:r>
      <w:r w:rsidRPr="006A6D89">
        <w:rPr>
          <w:rFonts w:ascii="Arial" w:hAnsi="Arial" w:cs="Arial"/>
          <w:color w:val="000000" w:themeColor="text1"/>
          <w:sz w:val="22"/>
          <w:szCs w:val="22"/>
          <w:lang w:val="en-GB"/>
        </w:rPr>
        <w:t xml:space="preserve">Recently, our group investigated the link between fumarate accumulation and tumorigenesis. We </w:t>
      </w:r>
      <w:r>
        <w:rPr>
          <w:rFonts w:ascii="Arial" w:hAnsi="Arial" w:cs="Arial"/>
          <w:color w:val="000000" w:themeColor="text1"/>
          <w:sz w:val="22"/>
          <w:szCs w:val="22"/>
          <w:lang w:val="en-GB"/>
        </w:rPr>
        <w:t>found</w:t>
      </w:r>
      <w:r w:rsidRPr="006A6D89">
        <w:rPr>
          <w:rFonts w:ascii="Arial" w:hAnsi="Arial" w:cs="Arial"/>
          <w:color w:val="000000" w:themeColor="text1"/>
          <w:sz w:val="22"/>
          <w:szCs w:val="22"/>
          <w:lang w:val="en-GB"/>
        </w:rPr>
        <w:t xml:space="preserve"> that FH loss and the subsequent accumulation of fumarate leads to an epithelial-to-mesenchymal-transition (EMT)</w:t>
      </w:r>
      <w:r w:rsidRPr="00CE0E6E">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[82]</w:t>
      </w:r>
      <w:r w:rsidRPr="006A6D89">
        <w:rPr>
          <w:rFonts w:ascii="Arial" w:hAnsi="Arial" w:cs="Arial"/>
          <w:color w:val="000000" w:themeColor="text1"/>
          <w:sz w:val="22"/>
          <w:szCs w:val="22"/>
          <w:lang w:val="en-GB"/>
        </w:rPr>
        <w:t>, a phenotype that is associated with cancer invasion and metastasis</w:t>
      </w:r>
      <w:hyperlink r:id="rId8" w:anchor="ref6" w:history="1">
        <w:r w:rsidRPr="006A6D89">
          <w:rPr>
            <w:rFonts w:ascii="Arial" w:hAnsi="Arial" w:cs="Arial"/>
            <w:color w:val="000000" w:themeColor="text1"/>
            <w:sz w:val="22"/>
            <w:szCs w:val="22"/>
            <w:lang w:val="en-GB"/>
          </w:rPr>
          <w:t>.</w:t>
        </w:r>
      </w:hyperlink>
      <w:r w:rsidRPr="006A6D89">
        <w:rPr>
          <w:rFonts w:ascii="Arial" w:hAnsi="Arial" w:cs="Arial"/>
          <w:color w:val="000000" w:themeColor="text1"/>
          <w:sz w:val="22"/>
          <w:szCs w:val="22"/>
          <w:lang w:val="en-GB"/>
        </w:rPr>
        <w:t xml:space="preserve"> Of note, we found that fumarate can induce EMT </w:t>
      </w:r>
      <w:r w:rsidRPr="006A6D89">
        <w:rPr>
          <w:rFonts w:ascii="Arial" w:hAnsi="Arial" w:cs="Arial"/>
          <w:i/>
          <w:color w:val="000000" w:themeColor="text1"/>
          <w:sz w:val="22"/>
          <w:szCs w:val="22"/>
          <w:lang w:val="en-GB"/>
        </w:rPr>
        <w:t>via</w:t>
      </w:r>
      <w:r w:rsidRPr="006A6D89">
        <w:rPr>
          <w:rFonts w:ascii="Arial" w:hAnsi="Arial" w:cs="Arial"/>
          <w:color w:val="000000" w:themeColor="text1"/>
          <w:sz w:val="22"/>
          <w:szCs w:val="22"/>
          <w:lang w:val="en-GB"/>
        </w:rPr>
        <w:t xml:space="preserve"> the epigenetic suppression of a family of anti-metastatic miRNAs, miR-200 </w:t>
      </w:r>
      <w:r>
        <w:rPr>
          <w:rFonts w:ascii="Arial" w:hAnsi="Arial" w:cs="Arial"/>
          <w:noProof/>
          <w:color w:val="000000" w:themeColor="text1"/>
          <w:sz w:val="22"/>
          <w:szCs w:val="22"/>
          <w:lang w:val="en-GB"/>
        </w:rPr>
        <w:t>[82]</w:t>
      </w:r>
      <w:r w:rsidRPr="006A6D89">
        <w:rPr>
          <w:rFonts w:ascii="Arial" w:hAnsi="Arial" w:cs="Arial"/>
          <w:color w:val="000000" w:themeColor="text1"/>
          <w:sz w:val="22"/>
          <w:szCs w:val="22"/>
          <w:lang w:val="en-GB"/>
        </w:rPr>
        <w:t xml:space="preserve">. Therefore, the epigenetic function of fumarate seems to be critical for the emergence of a key molecular signature of FH-deficiency.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 xml:space="preserve">Some of the metabolic liabilities in FH-deficient cells have been recently described using a mouse model of FH-deficiency </w:t>
      </w:r>
      <w:r>
        <w:rPr>
          <w:rFonts w:ascii="Arial" w:hAnsi="Arial" w:cs="Arial"/>
          <w:noProof/>
          <w:color w:val="000000" w:themeColor="text1"/>
          <w:sz w:val="22"/>
          <w:szCs w:val="22"/>
          <w:lang w:val="en-GB"/>
        </w:rPr>
        <w:t>[83]</w:t>
      </w:r>
      <w:r w:rsidRPr="006A6D89">
        <w:rPr>
          <w:rFonts w:ascii="Arial" w:hAnsi="Arial" w:cs="Arial"/>
          <w:color w:val="000000" w:themeColor="text1"/>
          <w:sz w:val="22"/>
          <w:szCs w:val="22"/>
          <w:lang w:val="en-GB"/>
        </w:rPr>
        <w:t xml:space="preserve">. </w:t>
      </w:r>
      <w:r w:rsidRPr="006A6D89">
        <w:rPr>
          <w:rFonts w:ascii="Arial" w:hAnsi="Arial" w:cs="Arial"/>
          <w:i/>
          <w:color w:val="000000" w:themeColor="text1"/>
          <w:sz w:val="22"/>
          <w:szCs w:val="22"/>
          <w:lang w:val="en-GB"/>
        </w:rPr>
        <w:t xml:space="preserve">In </w:t>
      </w:r>
      <w:proofErr w:type="spellStart"/>
      <w:r w:rsidRPr="006A6D89">
        <w:rPr>
          <w:rFonts w:ascii="Arial" w:hAnsi="Arial" w:cs="Arial"/>
          <w:i/>
          <w:color w:val="000000" w:themeColor="text1"/>
          <w:sz w:val="22"/>
          <w:szCs w:val="22"/>
          <w:lang w:val="en-GB"/>
        </w:rPr>
        <w:t>silico</w:t>
      </w:r>
      <w:proofErr w:type="spellEnd"/>
      <w:r w:rsidRPr="006A6D89">
        <w:rPr>
          <w:rFonts w:ascii="Arial" w:hAnsi="Arial" w:cs="Arial"/>
          <w:color w:val="000000" w:themeColor="text1"/>
          <w:sz w:val="22"/>
          <w:szCs w:val="22"/>
          <w:lang w:val="en-GB"/>
        </w:rPr>
        <w:t xml:space="preserve"> modelling reconstruction of metabolic networks aiming at predicting genes that are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with loss of Fh1 activity identified 24 genes, with 18 of these belonging to the haem metabolism pathway, suggesting this pathway is crucial to the survival of Fh1-deficient cells </w:t>
      </w:r>
      <w:r>
        <w:rPr>
          <w:rFonts w:ascii="Arial" w:hAnsi="Arial" w:cs="Arial"/>
          <w:noProof/>
          <w:color w:val="000000" w:themeColor="text1"/>
          <w:sz w:val="22"/>
          <w:szCs w:val="22"/>
          <w:lang w:val="en-GB"/>
        </w:rPr>
        <w:t>[83]</w:t>
      </w:r>
      <w:r w:rsidRPr="006A6D89">
        <w:rPr>
          <w:rFonts w:ascii="Arial" w:hAnsi="Arial" w:cs="Arial"/>
          <w:color w:val="000000" w:themeColor="text1"/>
          <w:sz w:val="22"/>
          <w:szCs w:val="22"/>
          <w:lang w:val="en-GB"/>
        </w:rPr>
        <w:t xml:space="preserve">. In line with the model’s predictions, Fh1-deficient cells secreted higher levels of bilirubin and the silencing of </w:t>
      </w:r>
      <w:r w:rsidRPr="006A6D89">
        <w:rPr>
          <w:rFonts w:ascii="Arial" w:hAnsi="Arial" w:cs="Arial"/>
          <w:iCs/>
          <w:color w:val="000000" w:themeColor="text1"/>
          <w:sz w:val="22"/>
          <w:szCs w:val="22"/>
          <w:lang w:val="en-GB"/>
        </w:rPr>
        <w:t>Hmox1, the rate limiting enzyme of the pathway,</w:t>
      </w:r>
      <w:r w:rsidRPr="006A6D89">
        <w:rPr>
          <w:rFonts w:ascii="Arial" w:hAnsi="Arial" w:cs="Arial"/>
          <w:color w:val="000000" w:themeColor="text1"/>
          <w:sz w:val="22"/>
          <w:szCs w:val="22"/>
          <w:lang w:val="en-GB"/>
        </w:rPr>
        <w:t xml:space="preserve"> resulted in a significant reduction in growth of Fh1-deficient cells, with little effect on the control cells </w:t>
      </w:r>
      <w:r>
        <w:rPr>
          <w:rFonts w:ascii="Arial" w:hAnsi="Arial" w:cs="Arial"/>
          <w:noProof/>
          <w:color w:val="000000" w:themeColor="text1"/>
          <w:sz w:val="22"/>
          <w:szCs w:val="22"/>
          <w:lang w:val="en-GB"/>
        </w:rPr>
        <w:t>[83]</w:t>
      </w:r>
      <w:r w:rsidRPr="006A6D89">
        <w:rPr>
          <w:rFonts w:ascii="Arial" w:hAnsi="Arial" w:cs="Arial"/>
          <w:color w:val="000000" w:themeColor="text1"/>
          <w:sz w:val="22"/>
          <w:szCs w:val="22"/>
          <w:lang w:val="en-GB"/>
        </w:rPr>
        <w:t xml:space="preserve">. This interaction was extended to a human model of </w:t>
      </w:r>
      <w:r w:rsidRPr="006A6D89">
        <w:rPr>
          <w:rFonts w:ascii="Arial" w:hAnsi="Arial" w:cs="Arial"/>
          <w:iCs/>
          <w:color w:val="000000" w:themeColor="text1"/>
          <w:sz w:val="22"/>
          <w:szCs w:val="22"/>
          <w:lang w:val="en-GB"/>
        </w:rPr>
        <w:t>FH</w:t>
      </w:r>
      <w:r w:rsidRPr="006A6D89">
        <w:rPr>
          <w:rFonts w:ascii="Arial" w:hAnsi="Arial" w:cs="Arial"/>
          <w:color w:val="000000" w:themeColor="text1"/>
          <w:sz w:val="22"/>
          <w:szCs w:val="22"/>
          <w:lang w:val="en-GB"/>
        </w:rPr>
        <w:t xml:space="preserve"> deficiency, using the HLRCC-derived renal cancer cell line UOK262. Restoring TCA function to the </w:t>
      </w:r>
      <w:r w:rsidRPr="006A6D89">
        <w:rPr>
          <w:rFonts w:ascii="Arial" w:hAnsi="Arial" w:cs="Arial"/>
          <w:iCs/>
          <w:color w:val="000000" w:themeColor="text1"/>
          <w:sz w:val="22"/>
          <w:szCs w:val="22"/>
          <w:lang w:val="en-GB"/>
        </w:rPr>
        <w:t>FH</w:t>
      </w:r>
      <w:r w:rsidRPr="006A6D89">
        <w:rPr>
          <w:rFonts w:ascii="Arial" w:hAnsi="Arial" w:cs="Arial"/>
          <w:color w:val="000000" w:themeColor="text1"/>
          <w:sz w:val="22"/>
          <w:szCs w:val="22"/>
          <w:lang w:val="en-GB"/>
        </w:rPr>
        <w:t xml:space="preserve">-deficient UOK262 cells by re-expressing ectopic FH restored fumarate levels and mitochondrial </w:t>
      </w:r>
      <w:r w:rsidRPr="006A6D89">
        <w:rPr>
          <w:rFonts w:ascii="Arial" w:hAnsi="Arial" w:cs="Arial"/>
          <w:color w:val="000000" w:themeColor="text1"/>
          <w:sz w:val="22"/>
          <w:szCs w:val="22"/>
          <w:lang w:val="en-GB"/>
        </w:rPr>
        <w:lastRenderedPageBreak/>
        <w:t xml:space="preserve">respiration, reduced bilirubin secretion and rendered the cells less sensitive to HMOX1 inhibitor Zinc </w:t>
      </w:r>
      <w:proofErr w:type="spellStart"/>
      <w:r w:rsidRPr="006A6D89">
        <w:rPr>
          <w:rFonts w:ascii="Arial" w:hAnsi="Arial" w:cs="Arial"/>
          <w:color w:val="000000" w:themeColor="text1"/>
          <w:sz w:val="22"/>
          <w:szCs w:val="22"/>
          <w:lang w:val="en-GB"/>
        </w:rPr>
        <w:t>protoporphyrin</w:t>
      </w:r>
      <w:proofErr w:type="spellEnd"/>
      <w:r w:rsidRPr="006A6D89">
        <w:rPr>
          <w:rFonts w:ascii="Arial" w:hAnsi="Arial" w:cs="Arial"/>
          <w:color w:val="000000" w:themeColor="text1"/>
          <w:sz w:val="22"/>
          <w:szCs w:val="22"/>
          <w:lang w:val="en-GB"/>
        </w:rPr>
        <w:t xml:space="preserve"> (</w:t>
      </w:r>
      <w:proofErr w:type="spellStart"/>
      <w:r w:rsidRPr="006A6D89">
        <w:rPr>
          <w:rFonts w:ascii="Arial" w:hAnsi="Arial" w:cs="Arial"/>
          <w:color w:val="000000" w:themeColor="text1"/>
          <w:sz w:val="22"/>
          <w:szCs w:val="22"/>
          <w:lang w:val="en-GB"/>
        </w:rPr>
        <w:t>ZnPP</w:t>
      </w:r>
      <w:proofErr w:type="spellEnd"/>
      <w:r w:rsidRPr="006A6D89">
        <w:rPr>
          <w:rFonts w:ascii="Arial" w:hAnsi="Arial" w:cs="Arial"/>
          <w:color w:val="000000" w:themeColor="text1"/>
          <w:sz w:val="22"/>
          <w:szCs w:val="22"/>
          <w:lang w:val="en-GB"/>
        </w:rPr>
        <w:t xml:space="preserve">) treatment </w:t>
      </w:r>
      <w:r>
        <w:rPr>
          <w:rFonts w:ascii="Arial" w:hAnsi="Arial" w:cs="Arial"/>
          <w:noProof/>
          <w:color w:val="000000" w:themeColor="text1"/>
          <w:sz w:val="22"/>
          <w:szCs w:val="22"/>
          <w:lang w:val="en-GB"/>
        </w:rPr>
        <w:t>[83]</w:t>
      </w:r>
      <w:r w:rsidRPr="006A6D89">
        <w:rPr>
          <w:rFonts w:ascii="Arial" w:hAnsi="Arial" w:cs="Arial"/>
          <w:color w:val="000000" w:themeColor="text1"/>
          <w:sz w:val="22"/>
          <w:szCs w:val="22"/>
          <w:lang w:val="en-GB"/>
        </w:rPr>
        <w:t xml:space="preserve">. The relevance of this metabolic re-routing was also investigated. It was found that the haem biosynthesis/degradation pathway acts as carbon escape-valve for the TCA cycle, thus allowing the cell to produce NADH in the first arm of glutamine oxidation. Of note, NADH generated by this linearized TCA cycle was utilised by respiratory chain to maintain mitochondrial potential and mitochondrial ATP generation by oxidative phosphorylation. Interestingly, </w:t>
      </w:r>
      <w:r w:rsidRPr="006A6D89">
        <w:rPr>
          <w:rFonts w:ascii="Arial" w:hAnsi="Arial" w:cs="Arial"/>
          <w:i/>
          <w:color w:val="000000" w:themeColor="text1"/>
          <w:sz w:val="22"/>
          <w:szCs w:val="22"/>
          <w:lang w:val="en-GB"/>
        </w:rPr>
        <w:t>HMOX1</w:t>
      </w:r>
      <w:r w:rsidRPr="006A6D89">
        <w:rPr>
          <w:rFonts w:ascii="Arial" w:hAnsi="Arial" w:cs="Arial"/>
          <w:color w:val="000000" w:themeColor="text1"/>
          <w:sz w:val="22"/>
          <w:szCs w:val="22"/>
          <w:lang w:val="en-GB"/>
        </w:rPr>
        <w:t xml:space="preserve">, a well-established target gene of NRF2, is activated in FH-deficient cells </w:t>
      </w:r>
      <w:r w:rsidRPr="00CF79AE">
        <w:rPr>
          <w:rFonts w:ascii="Arial" w:hAnsi="Arial" w:cs="Arial"/>
          <w:i/>
          <w:color w:val="000000" w:themeColor="text1"/>
          <w:sz w:val="22"/>
          <w:szCs w:val="22"/>
          <w:lang w:val="en-GB"/>
        </w:rPr>
        <w:t>via</w:t>
      </w:r>
      <w:r w:rsidRPr="006A6D89">
        <w:rPr>
          <w:rFonts w:ascii="Arial" w:hAnsi="Arial" w:cs="Arial"/>
          <w:color w:val="000000" w:themeColor="text1"/>
          <w:sz w:val="22"/>
          <w:szCs w:val="22"/>
          <w:lang w:val="en-GB"/>
        </w:rPr>
        <w:t xml:space="preserve"> succination of KEAP1</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[78, 81]</w:t>
      </w:r>
      <w:r w:rsidRPr="006A6D89">
        <w:rPr>
          <w:rFonts w:ascii="Arial" w:hAnsi="Arial" w:cs="Arial"/>
          <w:color w:val="000000" w:themeColor="text1"/>
          <w:sz w:val="22"/>
          <w:szCs w:val="22"/>
          <w:lang w:val="en-GB"/>
        </w:rPr>
        <w:t xml:space="preserve">. Therefore, it is possible that the activation of NRF2 is required for </w:t>
      </w:r>
      <w:r w:rsidRPr="006A6D89">
        <w:rPr>
          <w:rFonts w:ascii="Arial" w:hAnsi="Arial" w:cs="Arial"/>
          <w:i/>
          <w:color w:val="000000" w:themeColor="text1"/>
          <w:sz w:val="22"/>
          <w:szCs w:val="22"/>
          <w:lang w:val="en-GB"/>
        </w:rPr>
        <w:t>HMOX1</w:t>
      </w:r>
      <w:r w:rsidRPr="006A6D89">
        <w:rPr>
          <w:rFonts w:ascii="Arial" w:hAnsi="Arial" w:cs="Arial"/>
          <w:color w:val="000000" w:themeColor="text1"/>
          <w:sz w:val="22"/>
          <w:szCs w:val="22"/>
          <w:lang w:val="en-GB"/>
        </w:rPr>
        <w:t xml:space="preserve"> expression, thus enabling this key metabolic adaptation. Overall, this study provided the first insight as to how FH-deficient cells adapt their cellular metabolism in order to survive the deleterious effects of a disrupted TCA cycle and maintain mitochondrial function.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3206BC"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 xml:space="preserve">By using LC-MS-based metabolomics, additional metabolic adaptations of FH-deficient cells were identified. Besides an abundant accumulation of fumarate, it was shown that Fh1-deficient cells also accumulate and secrete argininosuccinate. This metabolite is a urea cycle intermediate synthesized from aspartate and </w:t>
      </w:r>
      <w:proofErr w:type="spellStart"/>
      <w:r w:rsidRPr="006A6D89">
        <w:rPr>
          <w:rFonts w:ascii="Arial" w:hAnsi="Arial" w:cs="Arial"/>
          <w:color w:val="000000" w:themeColor="text1"/>
          <w:sz w:val="22"/>
          <w:szCs w:val="22"/>
          <w:lang w:val="en-GB"/>
        </w:rPr>
        <w:t>citrulline</w:t>
      </w:r>
      <w:proofErr w:type="spellEnd"/>
      <w:r w:rsidRPr="006A6D89">
        <w:rPr>
          <w:rFonts w:ascii="Arial" w:hAnsi="Arial" w:cs="Arial"/>
          <w:color w:val="000000" w:themeColor="text1"/>
          <w:sz w:val="22"/>
          <w:szCs w:val="22"/>
          <w:lang w:val="en-GB"/>
        </w:rPr>
        <w:t xml:space="preserve"> by ASS</w:t>
      </w:r>
      <w:r>
        <w:rPr>
          <w:rFonts w:ascii="Arial" w:hAnsi="Arial" w:cs="Arial"/>
          <w:color w:val="000000" w:themeColor="text1"/>
          <w:sz w:val="22"/>
          <w:szCs w:val="22"/>
          <w:lang w:val="en-GB"/>
        </w:rPr>
        <w:t>1</w:t>
      </w:r>
      <w:r w:rsidRPr="006A6D89">
        <w:rPr>
          <w:rFonts w:ascii="Arial" w:hAnsi="Arial" w:cs="Arial"/>
          <w:color w:val="000000" w:themeColor="text1"/>
          <w:sz w:val="22"/>
          <w:szCs w:val="22"/>
          <w:lang w:val="en-GB"/>
        </w:rPr>
        <w:t xml:space="preserve">, and subsequently converted to fumarate and arginine by argininosuccinate lyase (ASL). </w:t>
      </w:r>
      <w:r w:rsidRPr="006A6D89">
        <w:rPr>
          <w:rFonts w:ascii="Arial" w:hAnsi="Arial" w:cs="Arial"/>
          <w:color w:val="000000" w:themeColor="text1"/>
          <w:sz w:val="22"/>
          <w:szCs w:val="22"/>
          <w:vertAlign w:val="superscript"/>
          <w:lang w:val="en-GB"/>
        </w:rPr>
        <w:t>13</w:t>
      </w:r>
      <w:r w:rsidRPr="006A6D89">
        <w:rPr>
          <w:rFonts w:ascii="Arial" w:hAnsi="Arial" w:cs="Arial"/>
          <w:color w:val="000000" w:themeColor="text1"/>
          <w:sz w:val="22"/>
          <w:szCs w:val="22"/>
          <w:lang w:val="en-GB"/>
        </w:rPr>
        <w:t>C-glutamine and U-</w:t>
      </w:r>
      <w:r w:rsidRPr="006A6D89">
        <w:rPr>
          <w:rFonts w:ascii="Arial" w:hAnsi="Arial" w:cs="Arial"/>
          <w:color w:val="000000" w:themeColor="text1"/>
          <w:sz w:val="22"/>
          <w:szCs w:val="22"/>
          <w:vertAlign w:val="superscript"/>
          <w:lang w:val="en-GB"/>
        </w:rPr>
        <w:t>13</w:t>
      </w:r>
      <w:r w:rsidRPr="006A6D89">
        <w:rPr>
          <w:rFonts w:ascii="Arial" w:hAnsi="Arial" w:cs="Arial"/>
          <w:color w:val="000000" w:themeColor="text1"/>
          <w:sz w:val="22"/>
          <w:szCs w:val="22"/>
          <w:lang w:val="en-GB"/>
        </w:rPr>
        <w:t xml:space="preserve">C-arginine labelling experiments demonstrated that, in Fh1-deficient cells, argininosuccinate is produced by the reversed activity of ASL from arginine and fumarate rather than from </w:t>
      </w:r>
      <w:proofErr w:type="spellStart"/>
      <w:r w:rsidRPr="006A6D89">
        <w:rPr>
          <w:rFonts w:ascii="Arial" w:hAnsi="Arial" w:cs="Arial"/>
          <w:color w:val="000000" w:themeColor="text1"/>
          <w:sz w:val="22"/>
          <w:szCs w:val="22"/>
          <w:lang w:val="en-GB"/>
        </w:rPr>
        <w:t>citrulline</w:t>
      </w:r>
      <w:proofErr w:type="spellEnd"/>
      <w:r w:rsidRPr="006A6D89">
        <w:rPr>
          <w:rFonts w:ascii="Arial" w:hAnsi="Arial" w:cs="Arial"/>
          <w:color w:val="000000" w:themeColor="text1"/>
          <w:sz w:val="22"/>
          <w:szCs w:val="22"/>
          <w:lang w:val="en-GB"/>
        </w:rPr>
        <w:t xml:space="preserve"> and aspartate </w:t>
      </w:r>
      <w:r>
        <w:rPr>
          <w:rFonts w:ascii="Arial" w:hAnsi="Arial" w:cs="Arial"/>
          <w:noProof/>
          <w:color w:val="000000" w:themeColor="text1"/>
          <w:sz w:val="22"/>
          <w:szCs w:val="22"/>
          <w:lang w:val="en-GB"/>
        </w:rPr>
        <w:t>[84]</w:t>
      </w:r>
      <w:r w:rsidRPr="006A6D89">
        <w:rPr>
          <w:rFonts w:ascii="Arial" w:hAnsi="Arial" w:cs="Arial"/>
          <w:color w:val="000000" w:themeColor="text1"/>
          <w:sz w:val="22"/>
          <w:szCs w:val="22"/>
          <w:lang w:val="en-GB"/>
        </w:rPr>
        <w:t xml:space="preserve">. Thus, FH-deficient cells use exogenous arginine to buffer intracellular fumarate resulting in arginine </w:t>
      </w:r>
      <w:proofErr w:type="spellStart"/>
      <w:r w:rsidRPr="006A6D89">
        <w:rPr>
          <w:rFonts w:ascii="Arial" w:hAnsi="Arial" w:cs="Arial"/>
          <w:color w:val="000000" w:themeColor="text1"/>
          <w:sz w:val="22"/>
          <w:szCs w:val="22"/>
          <w:lang w:val="en-GB"/>
        </w:rPr>
        <w:t>auxotrophy</w:t>
      </w:r>
      <w:proofErr w:type="spellEnd"/>
      <w:r w:rsidRPr="006A6D89">
        <w:rPr>
          <w:rFonts w:ascii="Arial" w:hAnsi="Arial" w:cs="Arial"/>
          <w:b/>
          <w:color w:val="000000" w:themeColor="text1"/>
          <w:sz w:val="22"/>
          <w:szCs w:val="22"/>
          <w:lang w:val="en-GB"/>
        </w:rPr>
        <w:t xml:space="preserve">. </w:t>
      </w:r>
      <w:r w:rsidRPr="006A6D89">
        <w:rPr>
          <w:rFonts w:ascii="Arial" w:hAnsi="Arial" w:cs="Arial"/>
          <w:color w:val="000000" w:themeColor="text1"/>
          <w:sz w:val="22"/>
          <w:szCs w:val="22"/>
          <w:lang w:val="en-GB"/>
        </w:rPr>
        <w:t xml:space="preserve">Consistent with this result, incubation with </w:t>
      </w:r>
      <w:proofErr w:type="spellStart"/>
      <w:r>
        <w:rPr>
          <w:rFonts w:ascii="Arial" w:hAnsi="Arial" w:cs="Arial"/>
          <w:color w:val="000000" w:themeColor="text1"/>
          <w:sz w:val="22"/>
          <w:szCs w:val="22"/>
          <w:lang w:val="en-GB"/>
        </w:rPr>
        <w:t>pegylated</w:t>
      </w:r>
      <w:proofErr w:type="spellEnd"/>
      <w:r>
        <w:rPr>
          <w:rFonts w:ascii="Arial" w:hAnsi="Arial" w:cs="Arial"/>
          <w:color w:val="000000" w:themeColor="text1"/>
          <w:sz w:val="22"/>
          <w:szCs w:val="22"/>
          <w:lang w:val="en-GB"/>
        </w:rPr>
        <w:t xml:space="preserve"> </w:t>
      </w:r>
      <w:r w:rsidRPr="006A6D89">
        <w:rPr>
          <w:rFonts w:ascii="Arial" w:hAnsi="Arial" w:cs="Arial"/>
          <w:color w:val="000000" w:themeColor="text1"/>
          <w:sz w:val="22"/>
          <w:szCs w:val="22"/>
          <w:lang w:val="en-GB"/>
        </w:rPr>
        <w:t xml:space="preserve">arginine deaminase, an enzyme that catalyses arginine degradation, lowered the intracellular levels of argininosuccinate and affected both cell survival and proliferation of FH-deficient cells </w:t>
      </w:r>
      <w:r>
        <w:rPr>
          <w:rFonts w:ascii="Arial" w:hAnsi="Arial" w:cs="Arial"/>
          <w:noProof/>
          <w:color w:val="000000" w:themeColor="text1"/>
          <w:sz w:val="22"/>
          <w:szCs w:val="22"/>
          <w:lang w:val="en-GB"/>
        </w:rPr>
        <w:t>[84]</w:t>
      </w:r>
      <w:r w:rsidRPr="006A6D89">
        <w:rPr>
          <w:rFonts w:ascii="Arial" w:hAnsi="Arial" w:cs="Arial"/>
          <w:color w:val="000000" w:themeColor="text1"/>
          <w:sz w:val="22"/>
          <w:szCs w:val="22"/>
          <w:lang w:val="en-GB"/>
        </w:rPr>
        <w:t xml:space="preserve">. </w:t>
      </w:r>
      <w:r w:rsidRPr="003206BC">
        <w:rPr>
          <w:rFonts w:ascii="Arial" w:hAnsi="Arial" w:cs="Arial"/>
          <w:color w:val="000000" w:themeColor="text1"/>
          <w:sz w:val="22"/>
          <w:szCs w:val="22"/>
          <w:u w:color="243778"/>
          <w:lang w:val="en-GB"/>
        </w:rPr>
        <w:t>It will be interesting to determine if other metabolic pathways regulate fumarate accumulation in a similar way or, indeed, if other metabolic pathways would be able to compensate for the loss of ASL activity.</w:t>
      </w:r>
      <w:r w:rsidRPr="003206BC">
        <w:rPr>
          <w:rFonts w:ascii="Arial" w:hAnsi="Arial" w:cs="Arial"/>
          <w:color w:val="FF00FF"/>
          <w:sz w:val="22"/>
          <w:szCs w:val="22"/>
          <w:u w:color="243778"/>
          <w:lang w:val="en-GB"/>
        </w:rPr>
        <w:t xml:space="preserve"> </w:t>
      </w:r>
      <w:r w:rsidRPr="006A6D89">
        <w:rPr>
          <w:rFonts w:ascii="Arial" w:hAnsi="Arial" w:cs="Arial"/>
          <w:color w:val="000000" w:themeColor="text1"/>
          <w:sz w:val="22"/>
          <w:szCs w:val="22"/>
          <w:lang w:val="en-GB"/>
        </w:rPr>
        <w:t xml:space="preserve">Genetic ablation of </w:t>
      </w:r>
      <w:r w:rsidRPr="006A6D89">
        <w:rPr>
          <w:rFonts w:ascii="Arial" w:hAnsi="Arial" w:cs="Arial"/>
          <w:i/>
          <w:color w:val="000000" w:themeColor="text1"/>
          <w:sz w:val="22"/>
          <w:szCs w:val="22"/>
          <w:lang w:val="en-GB"/>
        </w:rPr>
        <w:t>ASL</w:t>
      </w:r>
      <w:r w:rsidRPr="006A6D89">
        <w:rPr>
          <w:rFonts w:ascii="Arial" w:hAnsi="Arial" w:cs="Arial"/>
          <w:color w:val="000000" w:themeColor="text1"/>
          <w:sz w:val="22"/>
          <w:szCs w:val="22"/>
          <w:lang w:val="en-GB"/>
        </w:rPr>
        <w:t xml:space="preserve"> would shed some light on these questions and potentially reveal further therapeutic targets that exploit this adaptive mechanism. Furthermore, analytical studies using LC-MS</w:t>
      </w:r>
      <w:r w:rsidRPr="003206BC">
        <w:rPr>
          <w:rFonts w:ascii="Arial" w:hAnsi="Arial" w:cs="Arial"/>
          <w:color w:val="000000" w:themeColor="text1"/>
          <w:sz w:val="22"/>
          <w:szCs w:val="22"/>
          <w:lang w:val="en-GB"/>
        </w:rPr>
        <w:t xml:space="preserve"> showed that fumarate accumulation caused by FH inactivation leads to the formation of succinicGSH, a covalent adduct between fumarate and glutathione (GSH) </w:t>
      </w:r>
      <w:r>
        <w:rPr>
          <w:rFonts w:ascii="Arial" w:hAnsi="Arial" w:cs="Arial"/>
          <w:noProof/>
          <w:color w:val="000000" w:themeColor="text1"/>
          <w:sz w:val="22"/>
          <w:szCs w:val="22"/>
          <w:lang w:val="en-GB"/>
        </w:rPr>
        <w:t>[85, 86]</w:t>
      </w:r>
      <w:r w:rsidRPr="003206BC">
        <w:rPr>
          <w:rFonts w:ascii="Arial" w:hAnsi="Arial" w:cs="Arial"/>
          <w:color w:val="000000" w:themeColor="text1"/>
          <w:sz w:val="22"/>
          <w:szCs w:val="22"/>
          <w:lang w:val="en-GB"/>
        </w:rPr>
        <w:t xml:space="preserve">. The production of succinicGSH may reflect additional ways FH-deficient cells put in place to overcome fumarate accumulation. Of note, chronic exposure to succinated GSH also leads to persistent oxidative stress and cellular senescence </w:t>
      </w:r>
      <w:r>
        <w:rPr>
          <w:rFonts w:ascii="Arial" w:hAnsi="Arial" w:cs="Arial"/>
          <w:noProof/>
          <w:color w:val="000000" w:themeColor="text1"/>
          <w:sz w:val="22"/>
          <w:szCs w:val="22"/>
          <w:lang w:val="en-GB"/>
        </w:rPr>
        <w:t>[86]</w:t>
      </w:r>
      <w:r w:rsidRPr="003206BC">
        <w:rPr>
          <w:rFonts w:ascii="Arial" w:hAnsi="Arial" w:cs="Arial"/>
          <w:color w:val="000000" w:themeColor="text1"/>
          <w:sz w:val="22"/>
          <w:szCs w:val="22"/>
          <w:lang w:val="en-GB"/>
        </w:rPr>
        <w:t xml:space="preserve">. </w:t>
      </w:r>
      <w:r w:rsidRPr="006A6D89">
        <w:rPr>
          <w:rFonts w:ascii="Arial" w:hAnsi="Arial" w:cs="Arial"/>
          <w:color w:val="000000" w:themeColor="text1"/>
          <w:sz w:val="22"/>
          <w:szCs w:val="22"/>
          <w:lang w:val="en-GB"/>
        </w:rPr>
        <w:t xml:space="preserve">These results suggest that FH-deficient cells have evolved adaptive mechanisms to maintain NADH generation within the mitochondria and to compensate for the persistent intracellular accumulation of fumarate, which would be otherwise toxic and would impair cell survival.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lastRenderedPageBreak/>
        <w:t xml:space="preserve">While the studies presented here offer promising applications of the metabolic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principle, other approaches have also been tested. For instance, an RNAi-based high-throughput screen for genes that are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with FH, was recently performed </w:t>
      </w:r>
      <w:r>
        <w:rPr>
          <w:rFonts w:ascii="Arial" w:hAnsi="Arial" w:cs="Arial"/>
          <w:noProof/>
          <w:color w:val="000000" w:themeColor="text1"/>
          <w:sz w:val="22"/>
          <w:szCs w:val="22"/>
          <w:lang w:val="en-GB"/>
        </w:rPr>
        <w:t>[87]</w:t>
      </w:r>
      <w:r w:rsidRPr="006A6D89">
        <w:rPr>
          <w:rFonts w:ascii="Arial" w:hAnsi="Arial" w:cs="Arial"/>
          <w:color w:val="000000" w:themeColor="text1"/>
          <w:sz w:val="22"/>
          <w:szCs w:val="22"/>
          <w:lang w:val="en-GB"/>
        </w:rPr>
        <w:t xml:space="preserve">. In line with previous work </w:t>
      </w:r>
      <w:r>
        <w:rPr>
          <w:rFonts w:ascii="Arial" w:hAnsi="Arial" w:cs="Arial"/>
          <w:noProof/>
          <w:color w:val="000000" w:themeColor="text1"/>
          <w:sz w:val="22"/>
          <w:szCs w:val="22"/>
          <w:lang w:val="en-GB"/>
        </w:rPr>
        <w:t>[83]</w:t>
      </w:r>
      <w:r w:rsidRPr="006A6D89">
        <w:rPr>
          <w:rFonts w:ascii="Arial" w:hAnsi="Arial" w:cs="Arial"/>
          <w:color w:val="000000" w:themeColor="text1"/>
          <w:sz w:val="22"/>
          <w:szCs w:val="22"/>
          <w:lang w:val="en-GB"/>
        </w:rPr>
        <w:t xml:space="preserve">, pathway enrichment analysis identified haem metabolism and in particular HMOX2, FECH, UGT1A3, UGT2A3 to be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with FH </w:t>
      </w:r>
      <w:r>
        <w:rPr>
          <w:rFonts w:ascii="Arial" w:hAnsi="Arial" w:cs="Arial"/>
          <w:noProof/>
          <w:color w:val="000000" w:themeColor="text1"/>
          <w:sz w:val="22"/>
          <w:szCs w:val="22"/>
          <w:lang w:val="en-GB"/>
        </w:rPr>
        <w:t>[87]</w:t>
      </w:r>
      <w:r w:rsidRPr="006A6D89">
        <w:rPr>
          <w:rFonts w:ascii="Arial" w:hAnsi="Arial" w:cs="Arial"/>
          <w:color w:val="000000" w:themeColor="text1"/>
          <w:sz w:val="22"/>
          <w:szCs w:val="22"/>
          <w:lang w:val="en-GB"/>
        </w:rPr>
        <w:t xml:space="preserve">. Yet, the hits that returned the highest pathway enrichment were ADCY3, ADCY6, ADCY7 and ADCY9, four adenylate cyclase genes involved in </w:t>
      </w:r>
      <w:proofErr w:type="spellStart"/>
      <w:r w:rsidRPr="006A6D89">
        <w:rPr>
          <w:rFonts w:ascii="Arial" w:hAnsi="Arial" w:cs="Arial"/>
          <w:color w:val="000000" w:themeColor="text1"/>
          <w:sz w:val="22"/>
          <w:szCs w:val="22"/>
          <w:lang w:val="en-GB"/>
        </w:rPr>
        <w:t>cAMP</w:t>
      </w:r>
      <w:proofErr w:type="spellEnd"/>
      <w:r w:rsidRPr="006A6D89">
        <w:rPr>
          <w:rFonts w:ascii="Arial" w:hAnsi="Arial" w:cs="Arial"/>
          <w:color w:val="000000" w:themeColor="text1"/>
          <w:sz w:val="22"/>
          <w:szCs w:val="22"/>
          <w:lang w:val="en-GB"/>
        </w:rPr>
        <w:t xml:space="preserve"> generation. Adenylate </w:t>
      </w:r>
      <w:proofErr w:type="spellStart"/>
      <w:r w:rsidRPr="006A6D89">
        <w:rPr>
          <w:rFonts w:ascii="Arial" w:hAnsi="Arial" w:cs="Arial"/>
          <w:color w:val="000000" w:themeColor="text1"/>
          <w:sz w:val="22"/>
          <w:szCs w:val="22"/>
          <w:lang w:val="en-GB"/>
        </w:rPr>
        <w:t>cyclases</w:t>
      </w:r>
      <w:proofErr w:type="spellEnd"/>
      <w:r w:rsidRPr="006A6D89">
        <w:rPr>
          <w:rFonts w:ascii="Arial" w:hAnsi="Arial" w:cs="Arial"/>
          <w:color w:val="000000" w:themeColor="text1"/>
          <w:sz w:val="22"/>
          <w:szCs w:val="22"/>
          <w:lang w:val="en-GB"/>
        </w:rPr>
        <w:t xml:space="preserve"> </w:t>
      </w:r>
      <w:hyperlink r:id="rId9" w:history="1">
        <w:r w:rsidRPr="006A6D89">
          <w:rPr>
            <w:rFonts w:ascii="Arial" w:hAnsi="Arial" w:cs="Arial"/>
            <w:color w:val="000000" w:themeColor="text1"/>
            <w:sz w:val="22"/>
            <w:szCs w:val="22"/>
            <w:lang w:val="en-GB"/>
          </w:rPr>
          <w:t>catalyse</w:t>
        </w:r>
      </w:hyperlink>
      <w:r w:rsidRPr="006A6D89">
        <w:rPr>
          <w:rFonts w:ascii="Arial" w:hAnsi="Arial" w:cs="Arial"/>
          <w:color w:val="000000" w:themeColor="text1"/>
          <w:sz w:val="22"/>
          <w:szCs w:val="22"/>
          <w:lang w:val="en-GB"/>
        </w:rPr>
        <w:t xml:space="preserve"> the conversion of ATP to </w:t>
      </w:r>
      <w:proofErr w:type="spellStart"/>
      <w:r w:rsidRPr="006A6D89">
        <w:rPr>
          <w:rFonts w:ascii="Arial" w:hAnsi="Arial" w:cs="Arial"/>
          <w:color w:val="000000" w:themeColor="text1"/>
          <w:sz w:val="22"/>
          <w:szCs w:val="22"/>
          <w:lang w:val="en-GB"/>
        </w:rPr>
        <w:t>cAMP</w:t>
      </w:r>
      <w:proofErr w:type="spellEnd"/>
      <w:r w:rsidRPr="006A6D89">
        <w:rPr>
          <w:rFonts w:ascii="Arial" w:hAnsi="Arial" w:cs="Arial"/>
          <w:color w:val="000000" w:themeColor="text1"/>
          <w:sz w:val="22"/>
          <w:szCs w:val="22"/>
          <w:lang w:val="en-GB"/>
        </w:rPr>
        <w:t xml:space="preserve"> that serves as a regulatory signal </w:t>
      </w:r>
      <w:r w:rsidRPr="00CF79AE">
        <w:rPr>
          <w:rFonts w:ascii="Arial" w:hAnsi="Arial" w:cs="Arial"/>
          <w:i/>
          <w:color w:val="000000" w:themeColor="text1"/>
          <w:sz w:val="22"/>
          <w:szCs w:val="22"/>
          <w:lang w:val="en-GB"/>
        </w:rPr>
        <w:t>via</w:t>
      </w:r>
      <w:r w:rsidRPr="006A6D89">
        <w:rPr>
          <w:rFonts w:ascii="Arial" w:hAnsi="Arial" w:cs="Arial"/>
          <w:color w:val="000000" w:themeColor="text1"/>
          <w:sz w:val="22"/>
          <w:szCs w:val="22"/>
          <w:lang w:val="en-GB"/>
        </w:rPr>
        <w:t xml:space="preserve"> specific </w:t>
      </w:r>
      <w:proofErr w:type="spellStart"/>
      <w:r w:rsidRPr="006A6D89">
        <w:rPr>
          <w:rFonts w:ascii="Arial" w:hAnsi="Arial" w:cs="Arial"/>
          <w:color w:val="000000" w:themeColor="text1"/>
          <w:sz w:val="22"/>
          <w:szCs w:val="22"/>
          <w:lang w:val="en-GB"/>
        </w:rPr>
        <w:t>cAMP</w:t>
      </w:r>
      <w:proofErr w:type="spellEnd"/>
      <w:r w:rsidRPr="006A6D89">
        <w:rPr>
          <w:rFonts w:ascii="Arial" w:hAnsi="Arial" w:cs="Arial"/>
          <w:color w:val="000000" w:themeColor="text1"/>
          <w:sz w:val="22"/>
          <w:szCs w:val="22"/>
          <w:lang w:val="en-GB"/>
        </w:rPr>
        <w:t xml:space="preserve">-binding </w:t>
      </w:r>
      <w:hyperlink r:id="rId10" w:history="1">
        <w:r w:rsidRPr="006A6D89">
          <w:rPr>
            <w:rFonts w:ascii="Arial" w:hAnsi="Arial" w:cs="Arial"/>
            <w:color w:val="000000" w:themeColor="text1"/>
            <w:sz w:val="22"/>
            <w:szCs w:val="22"/>
            <w:lang w:val="en-GB"/>
          </w:rPr>
          <w:t>proteins</w:t>
        </w:r>
      </w:hyperlink>
      <w:r w:rsidRPr="006A6D89">
        <w:rPr>
          <w:rFonts w:ascii="Arial" w:hAnsi="Arial" w:cs="Arial"/>
          <w:color w:val="000000" w:themeColor="text1"/>
          <w:sz w:val="22"/>
          <w:szCs w:val="22"/>
          <w:lang w:val="en-GB"/>
        </w:rPr>
        <w:t xml:space="preserve">. The effect of adenylate cyclase inhibition on FH-deficient cells suggests that </w:t>
      </w:r>
      <w:proofErr w:type="spellStart"/>
      <w:r w:rsidRPr="006A6D89">
        <w:rPr>
          <w:rFonts w:ascii="Arial" w:hAnsi="Arial" w:cs="Arial"/>
          <w:color w:val="000000" w:themeColor="text1"/>
          <w:sz w:val="22"/>
          <w:szCs w:val="22"/>
          <w:lang w:val="en-GB"/>
        </w:rPr>
        <w:t>cAMP</w:t>
      </w:r>
      <w:proofErr w:type="spellEnd"/>
      <w:r w:rsidRPr="006A6D89">
        <w:rPr>
          <w:rFonts w:ascii="Arial" w:hAnsi="Arial" w:cs="Arial"/>
          <w:color w:val="000000" w:themeColor="text1"/>
          <w:sz w:val="22"/>
          <w:szCs w:val="22"/>
          <w:lang w:val="en-GB"/>
        </w:rPr>
        <w:t xml:space="preserve">-mediated signalling pathways may play an important role in the survival of these cells. Interestingly, </w:t>
      </w:r>
      <w:proofErr w:type="spellStart"/>
      <w:r w:rsidRPr="006A6D89">
        <w:rPr>
          <w:rFonts w:ascii="Arial" w:hAnsi="Arial" w:cs="Arial"/>
          <w:color w:val="000000" w:themeColor="text1"/>
          <w:sz w:val="22"/>
          <w:szCs w:val="22"/>
          <w:lang w:val="en-GB"/>
        </w:rPr>
        <w:t>cAMP</w:t>
      </w:r>
      <w:proofErr w:type="spellEnd"/>
      <w:r w:rsidRPr="006A6D89">
        <w:rPr>
          <w:rFonts w:ascii="Arial" w:hAnsi="Arial" w:cs="Arial"/>
          <w:color w:val="000000" w:themeColor="text1"/>
          <w:sz w:val="22"/>
          <w:szCs w:val="22"/>
          <w:lang w:val="en-GB"/>
        </w:rPr>
        <w:t xml:space="preserve"> has previously been shown to induce </w:t>
      </w:r>
      <w:r w:rsidRPr="006A6D89">
        <w:rPr>
          <w:rFonts w:ascii="Arial" w:hAnsi="Arial" w:cs="Arial"/>
          <w:i/>
          <w:color w:val="000000" w:themeColor="text1"/>
          <w:sz w:val="22"/>
          <w:szCs w:val="22"/>
          <w:lang w:val="en-GB"/>
        </w:rPr>
        <w:t>HMOX1</w:t>
      </w:r>
      <w:r w:rsidRPr="006A6D89">
        <w:rPr>
          <w:rFonts w:ascii="Arial" w:hAnsi="Arial" w:cs="Arial"/>
          <w:color w:val="000000" w:themeColor="text1"/>
          <w:sz w:val="22"/>
          <w:szCs w:val="22"/>
          <w:lang w:val="en-GB"/>
        </w:rPr>
        <w:t xml:space="preserve"> expression </w:t>
      </w:r>
      <w:r>
        <w:rPr>
          <w:rFonts w:ascii="Arial" w:hAnsi="Arial" w:cs="Arial"/>
          <w:noProof/>
          <w:color w:val="000000" w:themeColor="text1"/>
          <w:sz w:val="22"/>
          <w:szCs w:val="22"/>
          <w:lang w:val="en-GB"/>
        </w:rPr>
        <w:t>[88]</w:t>
      </w:r>
      <w:r w:rsidRPr="006A6D89">
        <w:rPr>
          <w:rFonts w:ascii="Arial" w:hAnsi="Arial" w:cs="Arial"/>
          <w:color w:val="000000" w:themeColor="text1"/>
          <w:sz w:val="22"/>
          <w:szCs w:val="22"/>
          <w:lang w:val="en-GB"/>
        </w:rPr>
        <w:t xml:space="preserve">. Therefore, it is possible that increased </w:t>
      </w:r>
      <w:proofErr w:type="spellStart"/>
      <w:r w:rsidRPr="006A6D89">
        <w:rPr>
          <w:rFonts w:ascii="Arial" w:hAnsi="Arial" w:cs="Arial"/>
          <w:color w:val="000000" w:themeColor="text1"/>
          <w:sz w:val="22"/>
          <w:szCs w:val="22"/>
          <w:lang w:val="en-GB"/>
        </w:rPr>
        <w:t>cAMP</w:t>
      </w:r>
      <w:proofErr w:type="spellEnd"/>
      <w:r w:rsidRPr="006A6D89">
        <w:rPr>
          <w:rFonts w:ascii="Arial" w:hAnsi="Arial" w:cs="Arial"/>
          <w:color w:val="000000" w:themeColor="text1"/>
          <w:sz w:val="22"/>
          <w:szCs w:val="22"/>
          <w:lang w:val="en-GB"/>
        </w:rPr>
        <w:t xml:space="preserve"> may promote </w:t>
      </w:r>
      <w:r w:rsidRPr="006A6D89">
        <w:rPr>
          <w:rFonts w:ascii="Arial" w:hAnsi="Arial" w:cs="Arial"/>
          <w:i/>
          <w:color w:val="000000" w:themeColor="text1"/>
          <w:sz w:val="22"/>
          <w:szCs w:val="22"/>
          <w:lang w:val="en-GB"/>
        </w:rPr>
        <w:t>HMOX1</w:t>
      </w:r>
      <w:r w:rsidRPr="006A6D89">
        <w:rPr>
          <w:rFonts w:ascii="Arial" w:hAnsi="Arial" w:cs="Arial"/>
          <w:color w:val="000000" w:themeColor="text1"/>
          <w:sz w:val="22"/>
          <w:szCs w:val="22"/>
          <w:lang w:val="en-GB"/>
        </w:rPr>
        <w:t xml:space="preserve"> expression and help to support the removal of excess fumarate </w:t>
      </w:r>
      <w:r w:rsidRPr="00CF79AE">
        <w:rPr>
          <w:rFonts w:ascii="Arial" w:hAnsi="Arial" w:cs="Arial"/>
          <w:i/>
          <w:color w:val="000000" w:themeColor="text1"/>
          <w:sz w:val="22"/>
          <w:szCs w:val="22"/>
          <w:lang w:val="en-GB"/>
        </w:rPr>
        <w:t>via</w:t>
      </w:r>
      <w:r w:rsidRPr="006A6D89">
        <w:rPr>
          <w:rFonts w:ascii="Arial" w:hAnsi="Arial" w:cs="Arial"/>
          <w:color w:val="000000" w:themeColor="text1"/>
          <w:sz w:val="22"/>
          <w:szCs w:val="22"/>
          <w:lang w:val="en-GB"/>
        </w:rPr>
        <w:t xml:space="preserve"> the haem degradation pathway </w:t>
      </w:r>
      <w:r>
        <w:rPr>
          <w:rFonts w:ascii="Arial" w:hAnsi="Arial" w:cs="Arial"/>
          <w:noProof/>
          <w:color w:val="000000" w:themeColor="text1"/>
          <w:sz w:val="22"/>
          <w:szCs w:val="22"/>
          <w:lang w:val="en-GB"/>
        </w:rPr>
        <w:t>[89]</w:t>
      </w:r>
      <w:r w:rsidRPr="006A6D89">
        <w:rPr>
          <w:rFonts w:ascii="Arial" w:hAnsi="Arial" w:cs="Arial"/>
          <w:color w:val="000000" w:themeColor="text1"/>
          <w:sz w:val="22"/>
          <w:szCs w:val="22"/>
          <w:lang w:val="en-GB"/>
        </w:rPr>
        <w:t xml:space="preserve">. Hence, the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associated with adenylate cyclase and </w:t>
      </w:r>
      <w:proofErr w:type="spellStart"/>
      <w:r w:rsidRPr="006A6D89">
        <w:rPr>
          <w:rFonts w:ascii="Arial" w:hAnsi="Arial" w:cs="Arial"/>
          <w:color w:val="000000" w:themeColor="text1"/>
          <w:sz w:val="22"/>
          <w:szCs w:val="22"/>
          <w:lang w:val="en-GB"/>
        </w:rPr>
        <w:t>cAMP</w:t>
      </w:r>
      <w:proofErr w:type="spellEnd"/>
      <w:r w:rsidRPr="006A6D89">
        <w:rPr>
          <w:rFonts w:ascii="Arial" w:hAnsi="Arial" w:cs="Arial"/>
          <w:color w:val="000000" w:themeColor="text1"/>
          <w:sz w:val="22"/>
          <w:szCs w:val="22"/>
          <w:lang w:val="en-GB"/>
        </w:rPr>
        <w:t xml:space="preserve"> addiction in FH-deficient cells may reveal itself through inhibition of the haem pathway. </w:t>
      </w:r>
    </w:p>
    <w:p w:rsidR="00F43308" w:rsidRDefault="00F43308" w:rsidP="0040350D">
      <w:pPr>
        <w:spacing w:line="360" w:lineRule="auto"/>
        <w:jc w:val="both"/>
        <w:rPr>
          <w:rFonts w:ascii="Arial" w:hAnsi="Arial" w:cs="Arial"/>
          <w:color w:val="000000" w:themeColor="text1"/>
          <w:sz w:val="22"/>
          <w:szCs w:val="22"/>
          <w:lang w:val="en-GB"/>
        </w:rPr>
      </w:pPr>
    </w:p>
    <w:p w:rsidR="00F43308" w:rsidRPr="003206BC" w:rsidRDefault="00F43308" w:rsidP="0040350D">
      <w:pPr>
        <w:spacing w:line="36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T</w:t>
      </w:r>
      <w:r w:rsidRPr="006A6D89">
        <w:rPr>
          <w:rFonts w:ascii="Arial" w:hAnsi="Arial" w:cs="Arial"/>
          <w:color w:val="000000" w:themeColor="text1"/>
          <w:sz w:val="22"/>
          <w:szCs w:val="22"/>
          <w:lang w:val="en-GB"/>
        </w:rPr>
        <w:t xml:space="preserve">he </w:t>
      </w:r>
      <w:r>
        <w:rPr>
          <w:rFonts w:ascii="Arial" w:hAnsi="Arial" w:cs="Arial"/>
          <w:color w:val="000000" w:themeColor="text1"/>
          <w:sz w:val="22"/>
          <w:szCs w:val="22"/>
          <w:lang w:val="en-GB"/>
        </w:rPr>
        <w:t>observation</w:t>
      </w:r>
      <w:r w:rsidRPr="006A6D89">
        <w:rPr>
          <w:rFonts w:ascii="Arial" w:hAnsi="Arial" w:cs="Arial"/>
          <w:color w:val="000000" w:themeColor="text1"/>
          <w:sz w:val="22"/>
          <w:szCs w:val="22"/>
          <w:lang w:val="en-GB"/>
        </w:rPr>
        <w:t xml:space="preserve"> that the haem pathway has been identified from independent studies using different models of FH loss of activity may reflect its robustness as a metabolic adaptation in FH-deficient cells and, consequently, as a promising therapeutic target.</w:t>
      </w:r>
      <w:r>
        <w:rPr>
          <w:rFonts w:ascii="Arial" w:hAnsi="Arial" w:cs="Arial"/>
          <w:color w:val="000000" w:themeColor="text1"/>
          <w:sz w:val="22"/>
          <w:szCs w:val="22"/>
          <w:lang w:val="en-GB"/>
        </w:rPr>
        <w:t xml:space="preserve"> The mechanisms that lead to the activation of this pathway are still under investigation. HMOX1 is one of the most sensitive target genes of NRF2. Therefore, it is possible that fumarate-driven s</w:t>
      </w:r>
      <w:r w:rsidRPr="003206BC">
        <w:rPr>
          <w:rFonts w:ascii="Arial" w:hAnsi="Arial" w:cs="Arial"/>
          <w:color w:val="000000" w:themeColor="text1"/>
          <w:sz w:val="22"/>
          <w:szCs w:val="22"/>
          <w:lang w:val="en-GB"/>
        </w:rPr>
        <w:t xml:space="preserve">uccination of KEAP1 </w:t>
      </w:r>
      <w:r>
        <w:rPr>
          <w:rFonts w:ascii="Arial" w:hAnsi="Arial" w:cs="Arial"/>
          <w:color w:val="000000" w:themeColor="text1"/>
          <w:sz w:val="22"/>
          <w:szCs w:val="22"/>
          <w:lang w:val="en-GB"/>
        </w:rPr>
        <w:t xml:space="preserve">and the subsequent activation of NRF2 are involved in the </w:t>
      </w:r>
      <w:r w:rsidRPr="003206BC">
        <w:rPr>
          <w:rFonts w:ascii="Arial" w:hAnsi="Arial" w:cs="Arial"/>
          <w:color w:val="000000" w:themeColor="text1"/>
          <w:sz w:val="22"/>
          <w:szCs w:val="22"/>
          <w:lang w:val="en-GB"/>
        </w:rPr>
        <w:t xml:space="preserve">activation of </w:t>
      </w:r>
      <w:r w:rsidRPr="003206BC">
        <w:rPr>
          <w:rFonts w:ascii="Arial" w:hAnsi="Arial" w:cs="Arial"/>
          <w:i/>
          <w:color w:val="000000" w:themeColor="text1"/>
          <w:sz w:val="22"/>
          <w:szCs w:val="22"/>
          <w:lang w:val="en-GB"/>
        </w:rPr>
        <w:t>HMOX1</w:t>
      </w:r>
      <w:r w:rsidRPr="003206BC">
        <w:rPr>
          <w:rFonts w:ascii="Arial" w:hAnsi="Arial" w:cs="Arial"/>
          <w:color w:val="000000" w:themeColor="text1"/>
          <w:sz w:val="22"/>
          <w:szCs w:val="22"/>
          <w:lang w:val="en-GB"/>
        </w:rPr>
        <w:t xml:space="preserve">, thus opening the metabolic gate that controls </w:t>
      </w:r>
      <w:r w:rsidRPr="006A6D89">
        <w:rPr>
          <w:rFonts w:ascii="Arial" w:hAnsi="Arial" w:cs="Arial"/>
          <w:color w:val="000000" w:themeColor="text1"/>
          <w:sz w:val="22"/>
          <w:szCs w:val="22"/>
          <w:lang w:val="en-GB"/>
        </w:rPr>
        <w:t>haem</w:t>
      </w:r>
      <w:r w:rsidRPr="003206BC">
        <w:rPr>
          <w:rFonts w:ascii="Arial" w:hAnsi="Arial" w:cs="Arial"/>
          <w:color w:val="000000" w:themeColor="text1"/>
          <w:sz w:val="22"/>
          <w:szCs w:val="22"/>
          <w:lang w:val="en-GB"/>
        </w:rPr>
        <w:t xml:space="preserve"> degradation</w:t>
      </w:r>
      <w:r>
        <w:rPr>
          <w:rFonts w:ascii="Arial" w:hAnsi="Arial" w:cs="Arial"/>
          <w:color w:val="000000" w:themeColor="text1"/>
          <w:sz w:val="22"/>
          <w:szCs w:val="22"/>
          <w:lang w:val="en-GB"/>
        </w:rPr>
        <w:t>.</w:t>
      </w:r>
      <w:r w:rsidRPr="003206BC">
        <w:rPr>
          <w:rFonts w:ascii="Arial" w:hAnsi="Arial" w:cs="Arial"/>
          <w:color w:val="000000" w:themeColor="text1"/>
          <w:sz w:val="22"/>
          <w:szCs w:val="22"/>
          <w:lang w:val="en-GB"/>
        </w:rPr>
        <w:t xml:space="preserve"> As supported by different studies, the shunting of fumarate precursors into the </w:t>
      </w:r>
      <w:r w:rsidRPr="006A6D89">
        <w:rPr>
          <w:rFonts w:ascii="Arial" w:hAnsi="Arial" w:cs="Arial"/>
          <w:color w:val="000000" w:themeColor="text1"/>
          <w:sz w:val="22"/>
          <w:szCs w:val="22"/>
          <w:lang w:val="en-GB"/>
        </w:rPr>
        <w:t>haem</w:t>
      </w:r>
      <w:r w:rsidRPr="003206BC">
        <w:rPr>
          <w:rFonts w:ascii="Arial" w:hAnsi="Arial" w:cs="Arial"/>
          <w:color w:val="000000" w:themeColor="text1"/>
          <w:sz w:val="22"/>
          <w:szCs w:val="22"/>
          <w:lang w:val="en-GB"/>
        </w:rPr>
        <w:t xml:space="preserve"> biosynthesis pathway may </w:t>
      </w:r>
      <w:r>
        <w:rPr>
          <w:rFonts w:ascii="Arial" w:hAnsi="Arial" w:cs="Arial"/>
          <w:color w:val="000000" w:themeColor="text1"/>
          <w:sz w:val="22"/>
          <w:szCs w:val="22"/>
          <w:lang w:val="en-GB"/>
        </w:rPr>
        <w:t>enable unrestrained glutamine oxidation despite the truncation of the TCA cycle</w:t>
      </w:r>
      <w:r w:rsidRPr="003206BC">
        <w:rPr>
          <w:rFonts w:ascii="Arial" w:hAnsi="Arial" w:cs="Arial"/>
          <w:color w:val="000000" w:themeColor="text1"/>
          <w:sz w:val="22"/>
          <w:szCs w:val="22"/>
          <w:lang w:val="en-GB"/>
        </w:rPr>
        <w:t xml:space="preserve">. The activation of these early specific metabolic adaptations is likely to be a prerequisite for surviving an otherwise lethal mutation and subsequently allowing the cell to initiate an oncogenic program and progress to transformation. Interestingly, one would expect SDH mutations to affect cellular metabolism in a similar manner. However, to this day, there are no reports that SDH mutant cells activate the </w:t>
      </w:r>
      <w:r w:rsidRPr="006A6D89">
        <w:rPr>
          <w:rFonts w:ascii="Arial" w:hAnsi="Arial" w:cs="Arial"/>
          <w:color w:val="000000" w:themeColor="text1"/>
          <w:sz w:val="22"/>
          <w:szCs w:val="22"/>
          <w:lang w:val="en-GB"/>
        </w:rPr>
        <w:t>haem</w:t>
      </w:r>
      <w:r w:rsidRPr="003206BC">
        <w:rPr>
          <w:rFonts w:ascii="Arial" w:hAnsi="Arial" w:cs="Arial"/>
          <w:color w:val="000000" w:themeColor="text1"/>
          <w:sz w:val="22"/>
          <w:szCs w:val="22"/>
          <w:lang w:val="en-GB"/>
        </w:rPr>
        <w:t xml:space="preserve"> pathway. Because protein succination does not take place in SDH mutants, and HMOX1 transcription does not appear to be activated, these cells are likely to be dependent on different detoxification pathways. This difference may also partly explain why SDH and FH mutations affect different tissues. While the kidney provides a permissive environment for the </w:t>
      </w:r>
      <w:r w:rsidRPr="006A6D89">
        <w:rPr>
          <w:rFonts w:ascii="Arial" w:hAnsi="Arial" w:cs="Arial"/>
          <w:color w:val="000000" w:themeColor="text1"/>
          <w:sz w:val="22"/>
          <w:szCs w:val="22"/>
          <w:lang w:val="en-GB"/>
        </w:rPr>
        <w:t>haem</w:t>
      </w:r>
      <w:r w:rsidRPr="003206BC">
        <w:rPr>
          <w:rFonts w:ascii="Arial" w:hAnsi="Arial" w:cs="Arial"/>
          <w:color w:val="000000" w:themeColor="text1"/>
          <w:sz w:val="22"/>
          <w:szCs w:val="22"/>
          <w:lang w:val="en-GB"/>
        </w:rPr>
        <w:t xml:space="preserve"> pathway to be activated upon FH mutation, SDH mutant cells are unable to do so and the SDH mutation </w:t>
      </w:r>
      <w:r>
        <w:rPr>
          <w:rFonts w:ascii="Arial" w:hAnsi="Arial" w:cs="Arial"/>
          <w:color w:val="000000" w:themeColor="text1"/>
          <w:sz w:val="22"/>
          <w:szCs w:val="22"/>
          <w:lang w:val="en-GB"/>
        </w:rPr>
        <w:t>may be</w:t>
      </w:r>
      <w:r w:rsidRPr="003206BC">
        <w:rPr>
          <w:rFonts w:ascii="Arial" w:hAnsi="Arial" w:cs="Arial"/>
          <w:color w:val="000000" w:themeColor="text1"/>
          <w:sz w:val="22"/>
          <w:szCs w:val="22"/>
          <w:lang w:val="en-GB"/>
        </w:rPr>
        <w:t xml:space="preserve"> thus lethal in this particular tissue</w:t>
      </w:r>
      <w:r>
        <w:rPr>
          <w:rFonts w:ascii="Arial" w:hAnsi="Arial" w:cs="Arial"/>
          <w:color w:val="000000" w:themeColor="text1"/>
          <w:sz w:val="22"/>
          <w:szCs w:val="22"/>
          <w:lang w:val="en-GB"/>
        </w:rPr>
        <w:t>.</w:t>
      </w:r>
      <w:r w:rsidRPr="003206BC">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C</w:t>
      </w:r>
      <w:r w:rsidRPr="003206BC">
        <w:rPr>
          <w:rFonts w:ascii="Arial" w:hAnsi="Arial" w:cs="Arial"/>
          <w:color w:val="000000" w:themeColor="text1"/>
          <w:sz w:val="22"/>
          <w:szCs w:val="22"/>
          <w:lang w:val="en-GB"/>
        </w:rPr>
        <w:t xml:space="preserve">onversely, because tissues affected by SDH mutations might not be permissive for FH mutants, FH-deficient cells would be unable to survive a different environment to that of the kidney because </w:t>
      </w:r>
      <w:r w:rsidRPr="003206BC">
        <w:rPr>
          <w:rFonts w:ascii="Arial" w:hAnsi="Arial" w:cs="Arial"/>
          <w:color w:val="000000" w:themeColor="text1"/>
          <w:sz w:val="22"/>
          <w:szCs w:val="22"/>
          <w:lang w:val="en-GB"/>
        </w:rPr>
        <w:lastRenderedPageBreak/>
        <w:t xml:space="preserve">their metabolic flexibility is limited and does not allow them to activate alternative pathways. Of note, the involvement of different adaptive metabolic pathways between these two mutations might also reflect the different clinical outcome they generate. </w:t>
      </w:r>
      <w:r w:rsidRPr="006A6D89">
        <w:rPr>
          <w:rFonts w:ascii="Arial" w:hAnsi="Arial" w:cs="Arial"/>
          <w:color w:val="000000" w:themeColor="text1"/>
          <w:sz w:val="22"/>
          <w:szCs w:val="22"/>
          <w:lang w:val="en-GB"/>
        </w:rPr>
        <w:t xml:space="preserve"> </w:t>
      </w:r>
    </w:p>
    <w:p w:rsidR="00F43308" w:rsidRPr="006A6D89" w:rsidRDefault="00F43308" w:rsidP="0040350D">
      <w:pPr>
        <w:spacing w:line="360" w:lineRule="auto"/>
        <w:rPr>
          <w:rFonts w:ascii="Arial" w:hAnsi="Arial" w:cs="Arial"/>
          <w:b/>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Pr>
          <w:rFonts w:ascii="Arial" w:hAnsi="Arial" w:cs="Arial"/>
          <w:b/>
          <w:color w:val="000000" w:themeColor="text1"/>
          <w:sz w:val="22"/>
          <w:szCs w:val="22"/>
          <w:lang w:val="en-GB"/>
        </w:rPr>
        <w:t>2.</w:t>
      </w:r>
      <w:r w:rsidR="005320F2">
        <w:rPr>
          <w:rFonts w:ascii="Arial" w:hAnsi="Arial" w:cs="Arial"/>
          <w:b/>
          <w:color w:val="000000" w:themeColor="text1"/>
          <w:sz w:val="22"/>
          <w:szCs w:val="22"/>
          <w:lang w:val="en-GB"/>
        </w:rPr>
        <w:t>3</w:t>
      </w:r>
      <w:r w:rsidRPr="006A6D89">
        <w:rPr>
          <w:rFonts w:ascii="Arial" w:hAnsi="Arial" w:cs="Arial"/>
          <w:b/>
          <w:color w:val="000000" w:themeColor="text1"/>
          <w:sz w:val="22"/>
          <w:szCs w:val="22"/>
          <w:lang w:val="en-GB"/>
        </w:rPr>
        <w:t>.3. Isocitrate Dehydrogenases</w:t>
      </w:r>
      <w:r w:rsidRPr="006A6D89">
        <w:rPr>
          <w:rFonts w:ascii="Arial" w:hAnsi="Arial" w:cs="Arial"/>
          <w:color w:val="000000" w:themeColor="text1"/>
          <w:sz w:val="22"/>
          <w:szCs w:val="22"/>
          <w:lang w:val="en-GB"/>
        </w:rPr>
        <w:t xml:space="preserve"> IDHs are localised in the cytosol (IDH1) or the mitochondria (IDH2 and 3) where they catalyse the oxidative decarboxylation of isocitrate into 2-OG. Less than a decade ago, a mutation in IDH1 was identified in human glioblastoma </w:t>
      </w:r>
      <w:proofErr w:type="spellStart"/>
      <w:r w:rsidRPr="006A6D89">
        <w:rPr>
          <w:rFonts w:ascii="Arial" w:hAnsi="Arial" w:cs="Arial"/>
          <w:color w:val="000000" w:themeColor="text1"/>
          <w:sz w:val="22"/>
          <w:szCs w:val="22"/>
          <w:lang w:val="en-GB"/>
        </w:rPr>
        <w:t>multiforme</w:t>
      </w:r>
      <w:proofErr w:type="spellEnd"/>
      <w:r w:rsidRPr="006A6D89">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[90]</w:t>
      </w:r>
      <w:r w:rsidRPr="006A6D89">
        <w:rPr>
          <w:rFonts w:ascii="Arial" w:hAnsi="Arial" w:cs="Arial"/>
          <w:color w:val="000000" w:themeColor="text1"/>
          <w:sz w:val="22"/>
          <w:szCs w:val="22"/>
          <w:lang w:val="en-GB"/>
        </w:rPr>
        <w:t xml:space="preserve">. Subsequently, mutations in IDH1 and IDH2 were found in leukemic cells of acute myeloid </w:t>
      </w:r>
      <w:proofErr w:type="spellStart"/>
      <w:r w:rsidRPr="006A6D89">
        <w:rPr>
          <w:rFonts w:ascii="Arial" w:hAnsi="Arial" w:cs="Arial"/>
          <w:color w:val="000000" w:themeColor="text1"/>
          <w:sz w:val="22"/>
          <w:szCs w:val="22"/>
          <w:lang w:val="en-GB"/>
        </w:rPr>
        <w:t>leukemia</w:t>
      </w:r>
      <w:proofErr w:type="spellEnd"/>
      <w:r w:rsidRPr="006A6D89">
        <w:rPr>
          <w:rFonts w:ascii="Arial" w:hAnsi="Arial" w:cs="Arial"/>
          <w:color w:val="000000" w:themeColor="text1"/>
          <w:sz w:val="22"/>
          <w:szCs w:val="22"/>
          <w:lang w:val="en-GB"/>
        </w:rPr>
        <w:t xml:space="preserve"> (AML) patients </w:t>
      </w:r>
      <w:r>
        <w:rPr>
          <w:rFonts w:ascii="Arial" w:hAnsi="Arial" w:cs="Arial"/>
          <w:noProof/>
          <w:color w:val="000000" w:themeColor="text1"/>
          <w:sz w:val="22"/>
          <w:szCs w:val="22"/>
          <w:lang w:val="en-GB"/>
        </w:rPr>
        <w:t>[91, 92]</w:t>
      </w:r>
      <w:r w:rsidRPr="006A6D89">
        <w:rPr>
          <w:rFonts w:ascii="Arial" w:hAnsi="Arial" w:cs="Arial"/>
          <w:color w:val="000000" w:themeColor="text1"/>
          <w:sz w:val="22"/>
          <w:szCs w:val="22"/>
          <w:lang w:val="en-GB"/>
        </w:rPr>
        <w:t xml:space="preserve">. These findings were followed by the identification of IDH1/2 mutations in several other human tumours, including cartilaginous tumours, intrahepatic </w:t>
      </w:r>
      <w:proofErr w:type="spellStart"/>
      <w:r w:rsidRPr="006A6D89">
        <w:rPr>
          <w:rFonts w:ascii="Arial" w:hAnsi="Arial" w:cs="Arial"/>
          <w:color w:val="000000" w:themeColor="text1"/>
          <w:sz w:val="22"/>
          <w:szCs w:val="22"/>
          <w:lang w:val="en-GB"/>
        </w:rPr>
        <w:t>cholangiocarcinoma</w:t>
      </w:r>
      <w:proofErr w:type="spellEnd"/>
      <w:r w:rsidRPr="006A6D89">
        <w:rPr>
          <w:rFonts w:ascii="Arial" w:hAnsi="Arial" w:cs="Arial"/>
          <w:color w:val="000000" w:themeColor="text1"/>
          <w:sz w:val="22"/>
          <w:szCs w:val="22"/>
          <w:lang w:val="en-GB"/>
        </w:rPr>
        <w:t xml:space="preserve">, and thyroid carcinomas </w:t>
      </w:r>
      <w:r>
        <w:rPr>
          <w:rFonts w:ascii="Arial" w:hAnsi="Arial" w:cs="Arial"/>
          <w:noProof/>
          <w:color w:val="000000" w:themeColor="text1"/>
          <w:sz w:val="22"/>
          <w:szCs w:val="22"/>
          <w:lang w:val="en-GB"/>
        </w:rPr>
        <w:t>[93, 94]</w:t>
      </w:r>
      <w:r w:rsidRPr="006A6D89">
        <w:rPr>
          <w:rFonts w:ascii="Arial" w:hAnsi="Arial" w:cs="Arial"/>
          <w:color w:val="000000" w:themeColor="text1"/>
          <w:sz w:val="22"/>
          <w:szCs w:val="22"/>
          <w:lang w:val="en-GB"/>
        </w:rPr>
        <w:t xml:space="preserve">. Mutations in </w:t>
      </w:r>
      <w:r w:rsidRPr="006A6D89">
        <w:rPr>
          <w:rFonts w:ascii="Arial" w:hAnsi="Arial" w:cs="Arial"/>
          <w:iCs/>
          <w:color w:val="000000" w:themeColor="text1"/>
          <w:sz w:val="22"/>
          <w:szCs w:val="22"/>
          <w:lang w:val="en-GB"/>
        </w:rPr>
        <w:t>IDH1</w:t>
      </w:r>
      <w:r w:rsidRPr="006A6D89">
        <w:rPr>
          <w:rFonts w:ascii="Arial" w:hAnsi="Arial" w:cs="Arial"/>
          <w:color w:val="000000" w:themeColor="text1"/>
          <w:sz w:val="22"/>
          <w:szCs w:val="22"/>
          <w:lang w:val="en-GB"/>
        </w:rPr>
        <w:t xml:space="preserve"> are often the first hit in the development of diffuse gliomas, suggesting that they play a key role in tumorigenesis </w:t>
      </w:r>
      <w:r>
        <w:rPr>
          <w:rFonts w:ascii="Arial" w:hAnsi="Arial" w:cs="Arial"/>
          <w:noProof/>
          <w:color w:val="000000" w:themeColor="text1"/>
          <w:sz w:val="22"/>
          <w:szCs w:val="22"/>
          <w:lang w:val="en-GB"/>
        </w:rPr>
        <w:t>[95-97]</w:t>
      </w:r>
      <w:r w:rsidRPr="006A6D89">
        <w:rPr>
          <w:rFonts w:ascii="Arial" w:hAnsi="Arial" w:cs="Arial"/>
          <w:color w:val="000000" w:themeColor="text1"/>
          <w:sz w:val="22"/>
          <w:szCs w:val="22"/>
          <w:lang w:val="en-GB"/>
        </w:rPr>
        <w:t xml:space="preserve">. </w:t>
      </w:r>
      <w:r w:rsidRPr="00402D53">
        <w:rPr>
          <w:rFonts w:ascii="Arial" w:hAnsi="Arial" w:cs="Arial"/>
          <w:color w:val="000000" w:themeColor="text1"/>
          <w:sz w:val="22"/>
          <w:szCs w:val="22"/>
          <w:lang w:val="en-GB"/>
        </w:rPr>
        <w:t xml:space="preserve">Unlike the </w:t>
      </w:r>
      <w:proofErr w:type="spellStart"/>
      <w:r>
        <w:rPr>
          <w:rFonts w:ascii="Arial" w:hAnsi="Arial" w:cs="Arial"/>
          <w:color w:val="000000" w:themeColor="text1"/>
          <w:sz w:val="22"/>
          <w:szCs w:val="22"/>
          <w:lang w:val="en-GB"/>
        </w:rPr>
        <w:t>biallelic</w:t>
      </w:r>
      <w:proofErr w:type="spellEnd"/>
      <w:r w:rsidRPr="00402D53">
        <w:rPr>
          <w:rFonts w:ascii="Arial" w:hAnsi="Arial" w:cs="Arial"/>
          <w:color w:val="000000" w:themeColor="text1"/>
          <w:sz w:val="22"/>
          <w:szCs w:val="22"/>
          <w:lang w:val="en-GB"/>
        </w:rPr>
        <w:t xml:space="preserve"> loss-of-function mutations in FH and SDH</w:t>
      </w:r>
      <w:r>
        <w:rPr>
          <w:rFonts w:ascii="Arial" w:hAnsi="Arial" w:cs="Arial"/>
          <w:color w:val="000000" w:themeColor="text1"/>
          <w:sz w:val="22"/>
          <w:szCs w:val="22"/>
          <w:lang w:val="en-GB"/>
        </w:rPr>
        <w:t>-deficient tumours</w:t>
      </w:r>
      <w:r w:rsidRPr="00402D53">
        <w:rPr>
          <w:rFonts w:ascii="Arial" w:hAnsi="Arial" w:cs="Arial"/>
          <w:color w:val="000000" w:themeColor="text1"/>
          <w:sz w:val="22"/>
          <w:szCs w:val="22"/>
          <w:lang w:val="en-GB"/>
        </w:rPr>
        <w:t xml:space="preserve">, IDH </w:t>
      </w:r>
      <w:r>
        <w:rPr>
          <w:rFonts w:ascii="Arial" w:hAnsi="Arial" w:cs="Arial"/>
          <w:color w:val="000000" w:themeColor="text1"/>
          <w:sz w:val="22"/>
          <w:szCs w:val="22"/>
          <w:lang w:val="en-GB"/>
        </w:rPr>
        <w:t xml:space="preserve">mutations in cancer are heterozygous and </w:t>
      </w:r>
      <w:r w:rsidRPr="00402D53">
        <w:rPr>
          <w:rFonts w:ascii="Arial" w:hAnsi="Arial" w:cs="Arial"/>
          <w:color w:val="000000" w:themeColor="text1"/>
          <w:sz w:val="22"/>
          <w:szCs w:val="22"/>
          <w:lang w:val="en-GB"/>
        </w:rPr>
        <w:t>affect a single amino acid residue, suggesting a gain-of-function as a possible mechanism</w:t>
      </w:r>
      <w:r>
        <w:rPr>
          <w:rFonts w:ascii="Arial" w:hAnsi="Arial" w:cs="Arial"/>
          <w:color w:val="000000" w:themeColor="text1"/>
          <w:sz w:val="22"/>
          <w:szCs w:val="22"/>
          <w:lang w:val="en-GB"/>
        </w:rPr>
        <w:t xml:space="preserve"> of tumorigenesis</w:t>
      </w:r>
      <w:r w:rsidRPr="006A6D89">
        <w:rPr>
          <w:rFonts w:ascii="Arial" w:hAnsi="Arial" w:cs="Arial"/>
          <w:color w:val="000000" w:themeColor="text1"/>
          <w:sz w:val="22"/>
          <w:szCs w:val="22"/>
          <w:lang w:val="en-GB"/>
        </w:rPr>
        <w:t xml:space="preserve">. The most common cancer-related mutations associated with IDH map to single arginine residues in the catalytic pockets (R132 for IDH1 and R172 or R140 for IDH2) </w:t>
      </w:r>
      <w:r>
        <w:rPr>
          <w:rFonts w:ascii="Arial" w:hAnsi="Arial" w:cs="Arial"/>
          <w:noProof/>
          <w:color w:val="000000" w:themeColor="text1"/>
          <w:sz w:val="22"/>
          <w:szCs w:val="22"/>
          <w:lang w:val="en-GB"/>
        </w:rPr>
        <w:t>[90, 91, 94]</w:t>
      </w:r>
      <w:r w:rsidRPr="006A6D89">
        <w:rPr>
          <w:rFonts w:ascii="Arial" w:hAnsi="Arial" w:cs="Arial"/>
          <w:color w:val="000000" w:themeColor="text1"/>
          <w:sz w:val="22"/>
          <w:szCs w:val="22"/>
          <w:lang w:val="en-GB"/>
        </w:rPr>
        <w:t xml:space="preserve">. Recent work showed that mutant IDHs display a neomorphic activity and catalyse the reduction of 2-OG to D-2-hydroxyglutarate (2-HG) </w:t>
      </w:r>
      <w:r>
        <w:rPr>
          <w:rFonts w:ascii="Arial" w:hAnsi="Arial" w:cs="Arial"/>
          <w:noProof/>
          <w:color w:val="000000" w:themeColor="text1"/>
          <w:sz w:val="22"/>
          <w:szCs w:val="22"/>
          <w:lang w:val="en-GB"/>
        </w:rPr>
        <w:t>[98]</w:t>
      </w:r>
      <w:r w:rsidRPr="006A6D89">
        <w:rPr>
          <w:rFonts w:ascii="Arial" w:hAnsi="Arial" w:cs="Arial"/>
          <w:color w:val="000000" w:themeColor="text1"/>
          <w:sz w:val="22"/>
          <w:szCs w:val="22"/>
          <w:lang w:val="en-GB"/>
        </w:rPr>
        <w:t xml:space="preserve">. In a mechanism similar to that of FH and SDH loss of function, the subsequent accumulation of 2-HG contributes to tumorigenesis by a process involving epigenetic dysregulation </w:t>
      </w:r>
      <w:r w:rsidRPr="006A6D89">
        <w:rPr>
          <w:rFonts w:ascii="Arial" w:hAnsi="Arial" w:cs="Arial"/>
          <w:i/>
          <w:color w:val="000000" w:themeColor="text1"/>
          <w:sz w:val="22"/>
          <w:szCs w:val="22"/>
          <w:lang w:val="en-GB"/>
        </w:rPr>
        <w:t>via</w:t>
      </w:r>
      <w:r w:rsidRPr="006A6D89">
        <w:rPr>
          <w:rFonts w:ascii="Arial" w:hAnsi="Arial" w:cs="Arial"/>
          <w:color w:val="000000" w:themeColor="text1"/>
          <w:sz w:val="22"/>
          <w:szCs w:val="22"/>
          <w:lang w:val="en-GB"/>
        </w:rPr>
        <w:t xml:space="preserve"> inhibition of 2-OG-dependent histone and DNA demethylases.</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t>IDH mutations provide an excellent example of metabolic addiction that can be exploited for cancer therapy. Indeed, it was shown that inhibitors of mutant IDH lead to decrease intracellular 2-HG levels, reverse epigenetic dysregulation, and exhibit anticancer properties in both pre-clinical and clinical trials</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[31, 99]</w:t>
      </w:r>
      <w:r>
        <w:rPr>
          <w:rFonts w:ascii="Arial" w:hAnsi="Arial" w:cs="Arial"/>
          <w:color w:val="000000" w:themeColor="text1"/>
          <w:sz w:val="22"/>
          <w:szCs w:val="22"/>
          <w:lang w:val="en-GB"/>
        </w:rPr>
        <w:t>.</w:t>
      </w:r>
      <w:r w:rsidRPr="006A6D89">
        <w:rPr>
          <w:rFonts w:ascii="Arial" w:hAnsi="Arial" w:cs="Arial"/>
          <w:color w:val="000000" w:themeColor="text1"/>
          <w:sz w:val="22"/>
          <w:szCs w:val="22"/>
          <w:lang w:val="en-GB"/>
        </w:rPr>
        <w:t xml:space="preserve"> Besides the targeting of mutant IDH, IDH-mutant cells exhibit other clinically-relevant metabolic liabilities. Indeed, since 2-HG is generated from glutamine-derived 2-OG </w:t>
      </w:r>
      <w:r>
        <w:rPr>
          <w:rFonts w:ascii="Arial" w:hAnsi="Arial" w:cs="Arial"/>
          <w:noProof/>
          <w:color w:val="000000" w:themeColor="text1"/>
          <w:sz w:val="22"/>
          <w:szCs w:val="22"/>
          <w:lang w:val="en-GB"/>
        </w:rPr>
        <w:t>[4]</w:t>
      </w:r>
      <w:r w:rsidRPr="006A6D89">
        <w:rPr>
          <w:rFonts w:ascii="Arial" w:hAnsi="Arial" w:cs="Arial"/>
          <w:color w:val="000000" w:themeColor="text1"/>
          <w:sz w:val="22"/>
          <w:szCs w:val="22"/>
          <w:lang w:val="en-GB"/>
        </w:rPr>
        <w:t>, GLS inhibition has been proposed as potential strategy to reduce 2HG accumulation. Consistently, it was shown that BPTES, an established GLS inhibitor, specifically slowed the growth of IDH1</w:t>
      </w:r>
      <w:r>
        <w:rPr>
          <w:rFonts w:ascii="Arial" w:hAnsi="Arial" w:cs="Arial"/>
          <w:color w:val="000000" w:themeColor="text1"/>
          <w:sz w:val="22"/>
          <w:szCs w:val="22"/>
          <w:lang w:val="en-GB"/>
        </w:rPr>
        <w:t>-mutant</w:t>
      </w:r>
      <w:r w:rsidRPr="006A6D89">
        <w:rPr>
          <w:rFonts w:ascii="Arial" w:hAnsi="Arial" w:cs="Arial"/>
          <w:color w:val="000000" w:themeColor="text1"/>
          <w:sz w:val="22"/>
          <w:szCs w:val="22"/>
          <w:vertAlign w:val="superscript"/>
          <w:lang w:val="en-GB"/>
        </w:rPr>
        <w:t xml:space="preserve"> </w:t>
      </w:r>
      <w:r w:rsidRPr="003206BC">
        <w:rPr>
          <w:rFonts w:ascii="Arial" w:hAnsi="Arial" w:cs="Arial"/>
          <w:color w:val="000000" w:themeColor="text1"/>
          <w:sz w:val="22"/>
          <w:szCs w:val="22"/>
          <w:lang w:val="en-GB"/>
        </w:rPr>
        <w:t>T</w:t>
      </w:r>
      <w:r w:rsidRPr="006A6D89">
        <w:rPr>
          <w:rFonts w:ascii="Arial" w:hAnsi="Arial" w:cs="Arial"/>
          <w:color w:val="000000" w:themeColor="text1"/>
          <w:sz w:val="22"/>
          <w:szCs w:val="22"/>
          <w:lang w:val="en-GB"/>
        </w:rPr>
        <w:t xml:space="preserve"> cells </w:t>
      </w:r>
      <w:r>
        <w:rPr>
          <w:rFonts w:ascii="Arial" w:hAnsi="Arial" w:cs="Arial"/>
          <w:noProof/>
          <w:color w:val="000000" w:themeColor="text1"/>
          <w:sz w:val="22"/>
          <w:szCs w:val="22"/>
          <w:lang w:val="en-GB"/>
        </w:rPr>
        <w:t>[100]</w:t>
      </w:r>
      <w:r w:rsidRPr="006A6D89">
        <w:rPr>
          <w:rFonts w:ascii="Arial" w:hAnsi="Arial" w:cs="Arial"/>
          <w:color w:val="000000" w:themeColor="text1"/>
          <w:sz w:val="22"/>
          <w:szCs w:val="22"/>
          <w:lang w:val="en-GB"/>
        </w:rPr>
        <w:t xml:space="preserve">. However, metabolic profiling revealed that BPTES did not decrease 2-HG levels in IDH1-mutant cells, suggesting that secondary effects of glutamine deprivation, such as depletion of TCA cycle metabolites, could affect proliferation of these cells. In fact, glutamine depletion will eventually slow the growth of any cell that requires glutamine as an essential nutrient, including healthy cells.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B34DF1" w:rsidRDefault="00F43308" w:rsidP="0040350D">
      <w:pPr>
        <w:spacing w:line="360" w:lineRule="auto"/>
        <w:jc w:val="both"/>
        <w:rPr>
          <w:rFonts w:ascii="Arial" w:hAnsi="Arial" w:cs="Arial"/>
          <w:color w:val="000000" w:themeColor="text1"/>
          <w:sz w:val="22"/>
          <w:szCs w:val="22"/>
          <w:lang w:val="en-GB"/>
        </w:rPr>
      </w:pPr>
      <w:r w:rsidRPr="006A6D89">
        <w:rPr>
          <w:rFonts w:ascii="Arial" w:hAnsi="Arial" w:cs="Arial"/>
          <w:color w:val="000000" w:themeColor="text1"/>
          <w:sz w:val="22"/>
          <w:szCs w:val="22"/>
          <w:lang w:val="en-GB"/>
        </w:rPr>
        <w:lastRenderedPageBreak/>
        <w:t xml:space="preserve">A </w:t>
      </w:r>
      <w:r>
        <w:rPr>
          <w:rFonts w:ascii="Arial" w:hAnsi="Arial" w:cs="Arial"/>
          <w:color w:val="000000" w:themeColor="text1"/>
          <w:sz w:val="22"/>
          <w:szCs w:val="22"/>
          <w:lang w:val="en-GB"/>
        </w:rPr>
        <w:t>recent study</w:t>
      </w:r>
      <w:r w:rsidRPr="006A6D89">
        <w:rPr>
          <w:rFonts w:ascii="Arial" w:hAnsi="Arial" w:cs="Arial"/>
          <w:color w:val="000000" w:themeColor="text1"/>
          <w:sz w:val="22"/>
          <w:szCs w:val="22"/>
          <w:lang w:val="en-GB"/>
        </w:rPr>
        <w:t xml:space="preserve"> used an alternative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approach to target IDH mutant cells based on the concept of non-oncogene addiction. </w:t>
      </w:r>
      <w:r>
        <w:rPr>
          <w:rFonts w:ascii="Arial" w:hAnsi="Arial" w:cs="Arial"/>
          <w:bCs/>
          <w:color w:val="000000" w:themeColor="text1"/>
          <w:sz w:val="22"/>
          <w:szCs w:val="22"/>
          <w:lang w:val="en-GB"/>
        </w:rPr>
        <w:t>A</w:t>
      </w:r>
      <w:r w:rsidRPr="006A6D89">
        <w:rPr>
          <w:rFonts w:ascii="Arial" w:hAnsi="Arial" w:cs="Arial"/>
          <w:bCs/>
          <w:color w:val="000000" w:themeColor="text1"/>
          <w:sz w:val="22"/>
          <w:szCs w:val="22"/>
          <w:lang w:val="en-GB"/>
        </w:rPr>
        <w:t xml:space="preserve"> large-scale RNAi screen </w:t>
      </w:r>
      <w:r>
        <w:rPr>
          <w:rFonts w:ascii="Arial" w:hAnsi="Arial" w:cs="Arial"/>
          <w:bCs/>
          <w:color w:val="000000" w:themeColor="text1"/>
          <w:sz w:val="22"/>
          <w:szCs w:val="22"/>
          <w:lang w:val="en-GB"/>
        </w:rPr>
        <w:t xml:space="preserve">revealed that </w:t>
      </w:r>
      <w:r w:rsidRPr="006A6D89">
        <w:rPr>
          <w:rFonts w:ascii="Arial" w:hAnsi="Arial" w:cs="Arial"/>
          <w:bCs/>
          <w:color w:val="000000" w:themeColor="text1"/>
          <w:sz w:val="22"/>
          <w:szCs w:val="22"/>
          <w:lang w:val="en-GB"/>
        </w:rPr>
        <w:t xml:space="preserve">the anti-apoptotic gene </w:t>
      </w:r>
      <w:r w:rsidRPr="006A6D89">
        <w:rPr>
          <w:rFonts w:ascii="Arial" w:hAnsi="Arial" w:cs="Arial"/>
          <w:bCs/>
          <w:i/>
          <w:color w:val="000000" w:themeColor="text1"/>
          <w:sz w:val="22"/>
          <w:szCs w:val="22"/>
          <w:lang w:val="en-GB"/>
        </w:rPr>
        <w:t>B-cell lymphoma 2</w:t>
      </w:r>
      <w:r w:rsidRPr="006A6D89">
        <w:rPr>
          <w:rFonts w:ascii="Arial" w:hAnsi="Arial" w:cs="Arial"/>
          <w:bCs/>
          <w:color w:val="000000" w:themeColor="text1"/>
          <w:sz w:val="22"/>
          <w:szCs w:val="22"/>
          <w:lang w:val="en-GB"/>
        </w:rPr>
        <w:t xml:space="preserve"> (</w:t>
      </w:r>
      <w:r w:rsidRPr="006A6D89">
        <w:rPr>
          <w:rFonts w:ascii="Arial" w:hAnsi="Arial" w:cs="Arial"/>
          <w:bCs/>
          <w:i/>
          <w:iCs/>
          <w:color w:val="000000" w:themeColor="text1"/>
          <w:sz w:val="22"/>
          <w:szCs w:val="22"/>
          <w:lang w:val="en-GB"/>
        </w:rPr>
        <w:t>BCL</w:t>
      </w:r>
      <w:r w:rsidRPr="006A6D89">
        <w:rPr>
          <w:rFonts w:ascii="Arial" w:hAnsi="Arial" w:cs="Arial"/>
          <w:bCs/>
          <w:iCs/>
          <w:color w:val="000000" w:themeColor="text1"/>
          <w:sz w:val="22"/>
          <w:szCs w:val="22"/>
          <w:lang w:val="en-GB"/>
        </w:rPr>
        <w:t>-2)</w:t>
      </w:r>
      <w:r w:rsidRPr="006A6D89">
        <w:rPr>
          <w:rFonts w:ascii="Arial" w:hAnsi="Arial" w:cs="Arial"/>
          <w:bCs/>
          <w:color w:val="000000" w:themeColor="text1"/>
          <w:sz w:val="22"/>
          <w:szCs w:val="22"/>
          <w:lang w:val="en-GB"/>
        </w:rPr>
        <w:t xml:space="preserve"> </w:t>
      </w:r>
      <w:r>
        <w:rPr>
          <w:rFonts w:ascii="Arial" w:hAnsi="Arial" w:cs="Arial"/>
          <w:bCs/>
          <w:color w:val="000000" w:themeColor="text1"/>
          <w:sz w:val="22"/>
          <w:szCs w:val="22"/>
          <w:lang w:val="en-GB"/>
        </w:rPr>
        <w:t>is</w:t>
      </w:r>
      <w:r w:rsidRPr="006A6D89">
        <w:rPr>
          <w:rFonts w:ascii="Arial" w:hAnsi="Arial" w:cs="Arial"/>
          <w:bCs/>
          <w:color w:val="000000" w:themeColor="text1"/>
          <w:sz w:val="22"/>
          <w:szCs w:val="22"/>
          <w:lang w:val="en-GB"/>
        </w:rPr>
        <w:t xml:space="preserve"> </w:t>
      </w:r>
      <w:r>
        <w:rPr>
          <w:rFonts w:ascii="Arial" w:hAnsi="Arial" w:cs="Arial"/>
          <w:bCs/>
          <w:color w:val="000000" w:themeColor="text1"/>
          <w:sz w:val="22"/>
          <w:szCs w:val="22"/>
          <w:lang w:val="en-GB"/>
        </w:rPr>
        <w:t>SL</w:t>
      </w:r>
      <w:r w:rsidRPr="006A6D89">
        <w:rPr>
          <w:rFonts w:ascii="Arial" w:hAnsi="Arial" w:cs="Arial"/>
          <w:bCs/>
          <w:color w:val="000000" w:themeColor="text1"/>
          <w:sz w:val="22"/>
          <w:szCs w:val="22"/>
          <w:lang w:val="en-GB"/>
        </w:rPr>
        <w:t xml:space="preserve"> </w:t>
      </w:r>
      <w:r>
        <w:rPr>
          <w:rFonts w:ascii="Arial" w:hAnsi="Arial" w:cs="Arial"/>
          <w:bCs/>
          <w:color w:val="000000" w:themeColor="text1"/>
          <w:sz w:val="22"/>
          <w:szCs w:val="22"/>
          <w:lang w:val="en-GB"/>
        </w:rPr>
        <w:t>with</w:t>
      </w:r>
      <w:r w:rsidRPr="006A6D89">
        <w:rPr>
          <w:rFonts w:ascii="Arial" w:hAnsi="Arial" w:cs="Arial"/>
          <w:bCs/>
          <w:color w:val="000000" w:themeColor="text1"/>
          <w:sz w:val="22"/>
          <w:szCs w:val="22"/>
          <w:lang w:val="en-GB"/>
        </w:rPr>
        <w:t xml:space="preserve"> </w:t>
      </w:r>
      <w:proofErr w:type="spellStart"/>
      <w:r>
        <w:rPr>
          <w:rFonts w:ascii="Arial" w:hAnsi="Arial" w:cs="Arial"/>
          <w:bCs/>
          <w:color w:val="000000" w:themeColor="text1"/>
          <w:sz w:val="22"/>
          <w:szCs w:val="22"/>
          <w:lang w:val="en-GB"/>
        </w:rPr>
        <w:t>IDH</w:t>
      </w:r>
      <w:r w:rsidRPr="003206BC">
        <w:rPr>
          <w:rFonts w:ascii="Arial" w:hAnsi="Arial" w:cs="Arial"/>
          <w:bCs/>
          <w:color w:val="000000" w:themeColor="text1"/>
          <w:sz w:val="22"/>
          <w:szCs w:val="22"/>
          <w:vertAlign w:val="superscript"/>
          <w:lang w:val="en-GB"/>
        </w:rPr>
        <w:t>mut</w:t>
      </w:r>
      <w:proofErr w:type="spellEnd"/>
      <w:r w:rsidRPr="006A6D89">
        <w:rPr>
          <w:rFonts w:ascii="Arial" w:hAnsi="Arial" w:cs="Arial"/>
          <w:bCs/>
          <w:color w:val="000000" w:themeColor="text1"/>
          <w:sz w:val="22"/>
          <w:szCs w:val="22"/>
          <w:lang w:val="en-GB"/>
        </w:rPr>
        <w:t xml:space="preserve"> in AML</w:t>
      </w:r>
      <w:r>
        <w:rPr>
          <w:rFonts w:ascii="Arial" w:hAnsi="Arial" w:cs="Arial"/>
          <w:bCs/>
          <w:color w:val="000000" w:themeColor="text1"/>
          <w:sz w:val="22"/>
          <w:szCs w:val="22"/>
          <w:lang w:val="en-GB"/>
        </w:rPr>
        <w:t xml:space="preserve"> cells</w:t>
      </w:r>
      <w:r w:rsidRPr="006A6D89">
        <w:rPr>
          <w:rFonts w:ascii="Arial" w:hAnsi="Arial" w:cs="Arial"/>
          <w:bCs/>
          <w:color w:val="000000" w:themeColor="text1"/>
          <w:sz w:val="22"/>
          <w:szCs w:val="22"/>
          <w:lang w:val="en-GB"/>
        </w:rPr>
        <w:t xml:space="preserve"> </w:t>
      </w:r>
      <w:r>
        <w:rPr>
          <w:rFonts w:ascii="Arial" w:hAnsi="Arial" w:cs="Arial"/>
          <w:bCs/>
          <w:noProof/>
          <w:color w:val="000000" w:themeColor="text1"/>
          <w:sz w:val="22"/>
          <w:szCs w:val="22"/>
          <w:lang w:val="en-GB"/>
        </w:rPr>
        <w:t>[101]</w:t>
      </w:r>
      <w:r w:rsidRPr="006A6D89">
        <w:rPr>
          <w:rFonts w:ascii="Arial" w:hAnsi="Arial" w:cs="Arial"/>
          <w:bCs/>
          <w:color w:val="000000" w:themeColor="text1"/>
          <w:sz w:val="22"/>
          <w:szCs w:val="22"/>
          <w:lang w:val="en-GB"/>
        </w:rPr>
        <w:t xml:space="preserve">. </w:t>
      </w:r>
      <w:r>
        <w:rPr>
          <w:rFonts w:ascii="Arial" w:hAnsi="Arial" w:cs="Arial"/>
          <w:color w:val="000000" w:themeColor="text1"/>
          <w:sz w:val="22"/>
          <w:szCs w:val="22"/>
          <w:lang w:val="en-GB"/>
        </w:rPr>
        <w:t>Interestingly, e</w:t>
      </w:r>
      <w:r w:rsidRPr="006A6D89">
        <w:rPr>
          <w:rFonts w:ascii="Arial" w:hAnsi="Arial" w:cs="Arial"/>
          <w:color w:val="000000" w:themeColor="text1"/>
          <w:sz w:val="22"/>
          <w:szCs w:val="22"/>
          <w:lang w:val="en-GB"/>
        </w:rPr>
        <w:t xml:space="preserve">xposure to increasing concentrations of a cell-permeable precursor of 2-HG, up to concentrations previously shown to inhibit intracellular </w:t>
      </w:r>
      <w:r w:rsidRPr="006A6D89">
        <w:rPr>
          <w:rFonts w:ascii="Arial" w:eastAsia="Arial Unicode MS" w:hAnsi="Arial" w:cs="Arial"/>
          <w:color w:val="000000" w:themeColor="text1"/>
          <w:sz w:val="22"/>
          <w:szCs w:val="22"/>
          <w:lang w:val="en-GB"/>
        </w:rPr>
        <w:t xml:space="preserve">2-OG-dependent dioxygenases and block differentiation </w:t>
      </w:r>
      <w:r>
        <w:rPr>
          <w:rFonts w:ascii="Arial" w:eastAsia="Arial Unicode MS" w:hAnsi="Arial" w:cs="Arial"/>
          <w:noProof/>
          <w:color w:val="000000" w:themeColor="text1"/>
          <w:sz w:val="22"/>
          <w:szCs w:val="22"/>
          <w:lang w:val="en-GB"/>
        </w:rPr>
        <w:t>[102, 103]</w:t>
      </w:r>
      <w:r w:rsidRPr="006A6D89">
        <w:rPr>
          <w:rFonts w:ascii="Arial" w:eastAsia="Arial Unicode MS" w:hAnsi="Arial" w:cs="Arial"/>
          <w:color w:val="000000" w:themeColor="text1"/>
          <w:sz w:val="22"/>
          <w:szCs w:val="22"/>
          <w:lang w:val="en-GB"/>
        </w:rPr>
        <w:t xml:space="preserve">, sensitized the </w:t>
      </w:r>
      <w:r>
        <w:rPr>
          <w:rFonts w:ascii="Arial" w:eastAsia="Arial Unicode MS" w:hAnsi="Arial" w:cs="Arial"/>
          <w:color w:val="000000" w:themeColor="text1"/>
          <w:sz w:val="22"/>
          <w:szCs w:val="22"/>
          <w:lang w:val="en-GB"/>
        </w:rPr>
        <w:t>AML</w:t>
      </w:r>
      <w:r w:rsidRPr="006A6D89">
        <w:rPr>
          <w:rFonts w:ascii="Arial" w:eastAsia="Arial Unicode MS" w:hAnsi="Arial" w:cs="Arial"/>
          <w:color w:val="000000" w:themeColor="text1"/>
          <w:sz w:val="22"/>
          <w:szCs w:val="22"/>
          <w:lang w:val="en-GB"/>
        </w:rPr>
        <w:t xml:space="preserve"> cells to </w:t>
      </w:r>
      <w:r w:rsidRPr="006A6D89">
        <w:rPr>
          <w:rFonts w:ascii="Arial" w:eastAsia="Arial Unicode MS" w:hAnsi="Arial" w:cs="Arial"/>
          <w:i/>
          <w:color w:val="000000" w:themeColor="text1"/>
          <w:sz w:val="22"/>
          <w:szCs w:val="22"/>
          <w:lang w:val="en-GB"/>
        </w:rPr>
        <w:t>BCL</w:t>
      </w:r>
      <w:r w:rsidRPr="006A6D89">
        <w:rPr>
          <w:rFonts w:ascii="Arial" w:eastAsia="Arial Unicode MS" w:hAnsi="Arial" w:cs="Arial"/>
          <w:color w:val="000000" w:themeColor="text1"/>
          <w:sz w:val="22"/>
          <w:szCs w:val="22"/>
          <w:lang w:val="en-GB"/>
        </w:rPr>
        <w:t>-2 knockdown in a dose-dependent manner, confirming the dependency on BCL-2 of cells with elevated levels of 2-HG.</w:t>
      </w:r>
      <w:r w:rsidRPr="006A6D89">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 xml:space="preserve">Consistently, </w:t>
      </w:r>
      <w:r w:rsidRPr="003712CB">
        <w:rPr>
          <w:rFonts w:ascii="Arial" w:hAnsi="Arial" w:cs="Arial"/>
          <w:color w:val="000000" w:themeColor="text1"/>
          <w:sz w:val="22"/>
          <w:szCs w:val="22"/>
          <w:lang w:val="en-GB"/>
        </w:rPr>
        <w:t>IDH1</w:t>
      </w:r>
      <w:r w:rsidRPr="003712CB">
        <w:rPr>
          <w:rFonts w:ascii="Arial" w:hAnsi="Arial" w:cs="Arial"/>
          <w:color w:val="000000" w:themeColor="text1"/>
          <w:sz w:val="22"/>
          <w:szCs w:val="22"/>
          <w:vertAlign w:val="superscript"/>
          <w:lang w:val="en-GB"/>
        </w:rPr>
        <w:t>mut</w:t>
      </w:r>
      <w:r w:rsidRPr="003712CB">
        <w:rPr>
          <w:rFonts w:ascii="Arial" w:hAnsi="Arial" w:cs="Arial"/>
          <w:color w:val="000000" w:themeColor="text1"/>
          <w:sz w:val="22"/>
          <w:szCs w:val="22"/>
          <w:lang w:val="en-GB"/>
        </w:rPr>
        <w:t xml:space="preserve"> cells were more sensitive than wild-type </w:t>
      </w:r>
      <w:r>
        <w:rPr>
          <w:rFonts w:ascii="Arial" w:hAnsi="Arial" w:cs="Arial"/>
          <w:color w:val="000000" w:themeColor="text1"/>
          <w:sz w:val="22"/>
          <w:szCs w:val="22"/>
          <w:lang w:val="en-GB"/>
        </w:rPr>
        <w:t>counterpart to the</w:t>
      </w:r>
      <w:r w:rsidRPr="003712CB">
        <w:rPr>
          <w:rFonts w:ascii="Arial" w:hAnsi="Arial" w:cs="Arial"/>
          <w:color w:val="000000" w:themeColor="text1"/>
          <w:sz w:val="22"/>
          <w:szCs w:val="22"/>
          <w:lang w:val="en-GB"/>
        </w:rPr>
        <w:t xml:space="preserve"> BCL-2 inhibitor </w:t>
      </w:r>
      <w:r w:rsidRPr="006A6D89">
        <w:rPr>
          <w:rFonts w:ascii="Arial" w:hAnsi="Arial" w:cs="Arial"/>
          <w:color w:val="000000" w:themeColor="text1"/>
          <w:sz w:val="22"/>
          <w:szCs w:val="22"/>
          <w:lang w:val="en-GB"/>
        </w:rPr>
        <w:t>ABT-199</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[104]</w:t>
      </w:r>
      <w:r>
        <w:rPr>
          <w:rFonts w:ascii="Arial" w:hAnsi="Arial" w:cs="Arial"/>
          <w:color w:val="000000" w:themeColor="text1"/>
          <w:sz w:val="22"/>
          <w:szCs w:val="22"/>
          <w:lang w:val="en-GB"/>
        </w:rPr>
        <w:t>,</w:t>
      </w:r>
      <w:r w:rsidRPr="006A6D89">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and</w:t>
      </w:r>
      <w:r w:rsidRPr="006A6D89">
        <w:rPr>
          <w:rFonts w:ascii="Arial" w:hAnsi="Arial" w:cs="Arial"/>
          <w:color w:val="000000" w:themeColor="text1"/>
          <w:sz w:val="22"/>
          <w:szCs w:val="22"/>
          <w:lang w:val="en-GB"/>
        </w:rPr>
        <w:t xml:space="preserve"> the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phenotype was rescue</w:t>
      </w:r>
      <w:r>
        <w:rPr>
          <w:rFonts w:ascii="Arial" w:hAnsi="Arial" w:cs="Arial"/>
          <w:color w:val="000000" w:themeColor="text1"/>
          <w:sz w:val="22"/>
          <w:szCs w:val="22"/>
          <w:lang w:val="en-GB"/>
        </w:rPr>
        <w:t>d</w:t>
      </w:r>
      <w:r w:rsidRPr="006A6D89">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by treating</w:t>
      </w:r>
      <w:r w:rsidRPr="006A6D89">
        <w:rPr>
          <w:rFonts w:ascii="Arial" w:hAnsi="Arial" w:cs="Arial"/>
          <w:color w:val="000000" w:themeColor="text1"/>
          <w:sz w:val="22"/>
          <w:szCs w:val="22"/>
          <w:lang w:val="en-GB"/>
        </w:rPr>
        <w:t xml:space="preserve"> cells with AGI-5198, a potent selective IDH1</w:t>
      </w:r>
      <w:r w:rsidRPr="006A6D89">
        <w:rPr>
          <w:rFonts w:ascii="Arial" w:hAnsi="Arial" w:cs="Arial"/>
          <w:color w:val="000000" w:themeColor="text1"/>
          <w:sz w:val="22"/>
          <w:szCs w:val="22"/>
          <w:vertAlign w:val="superscript"/>
          <w:lang w:val="en-GB"/>
        </w:rPr>
        <w:t>mut</w:t>
      </w:r>
      <w:r w:rsidRPr="006A6D89">
        <w:rPr>
          <w:rFonts w:ascii="Arial" w:hAnsi="Arial" w:cs="Arial"/>
          <w:color w:val="000000" w:themeColor="text1"/>
          <w:sz w:val="22"/>
          <w:szCs w:val="22"/>
          <w:lang w:val="en-GB"/>
        </w:rPr>
        <w:t xml:space="preserve"> inhibitor. </w:t>
      </w:r>
      <w:r>
        <w:rPr>
          <w:rFonts w:ascii="Arial" w:hAnsi="Arial" w:cs="Arial"/>
          <w:color w:val="000000" w:themeColor="text1"/>
          <w:sz w:val="22"/>
          <w:szCs w:val="22"/>
          <w:lang w:val="en-GB"/>
        </w:rPr>
        <w:t xml:space="preserve">Mechanistically, the authors proposed that </w:t>
      </w:r>
      <w:r w:rsidRPr="00B34DF1">
        <w:rPr>
          <w:rFonts w:ascii="Arial" w:eastAsia="Arial Unicode MS" w:hAnsi="Arial" w:cs="Arial"/>
          <w:color w:val="000000" w:themeColor="text1"/>
          <w:sz w:val="22"/>
          <w:szCs w:val="22"/>
          <w:lang w:val="en-GB"/>
        </w:rPr>
        <w:t xml:space="preserve">BCL-2 </w:t>
      </w:r>
      <w:r>
        <w:rPr>
          <w:rFonts w:ascii="Arial" w:eastAsia="Arial Unicode MS" w:hAnsi="Arial" w:cs="Arial"/>
          <w:color w:val="000000" w:themeColor="text1"/>
          <w:sz w:val="22"/>
          <w:szCs w:val="22"/>
          <w:lang w:val="en-GB"/>
        </w:rPr>
        <w:t>prevents</w:t>
      </w:r>
      <w:r w:rsidRPr="006A6D89" w:rsidDel="00B34DF1">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apoptosis elicited by the 2HG-dependent i</w:t>
      </w:r>
      <w:r w:rsidRPr="00B34DF1">
        <w:rPr>
          <w:rFonts w:ascii="Arial" w:hAnsi="Arial" w:cs="Arial"/>
          <w:color w:val="000000" w:themeColor="text1"/>
          <w:sz w:val="22"/>
          <w:szCs w:val="22"/>
          <w:lang w:val="en-GB"/>
        </w:rPr>
        <w:t xml:space="preserve">nhibition of </w:t>
      </w:r>
      <w:r>
        <w:rPr>
          <w:rFonts w:ascii="Arial" w:hAnsi="Arial" w:cs="Arial"/>
          <w:color w:val="000000" w:themeColor="text1"/>
          <w:sz w:val="22"/>
          <w:szCs w:val="22"/>
          <w:lang w:val="en-GB"/>
        </w:rPr>
        <w:t xml:space="preserve">cytochrome oxidase, revealing a previously unanticipated effect of this metabolite in mitochondrial function.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color w:val="000000" w:themeColor="text1"/>
          <w:sz w:val="22"/>
          <w:szCs w:val="22"/>
          <w:lang w:val="en-GB"/>
        </w:rPr>
      </w:pPr>
      <w:r>
        <w:rPr>
          <w:rFonts w:ascii="Arial" w:hAnsi="Arial" w:cs="Arial"/>
          <w:b/>
          <w:color w:val="000000" w:themeColor="text1"/>
          <w:sz w:val="22"/>
          <w:szCs w:val="22"/>
          <w:lang w:val="en-GB"/>
        </w:rPr>
        <w:t>2.</w:t>
      </w:r>
      <w:r w:rsidR="005320F2">
        <w:rPr>
          <w:rFonts w:ascii="Arial" w:hAnsi="Arial" w:cs="Arial"/>
          <w:b/>
          <w:color w:val="000000" w:themeColor="text1"/>
          <w:sz w:val="22"/>
          <w:szCs w:val="22"/>
          <w:lang w:val="en-GB"/>
        </w:rPr>
        <w:t>3</w:t>
      </w:r>
      <w:r w:rsidRPr="006A6D89">
        <w:rPr>
          <w:rFonts w:ascii="Arial" w:hAnsi="Arial" w:cs="Arial"/>
          <w:b/>
          <w:color w:val="000000" w:themeColor="text1"/>
          <w:sz w:val="22"/>
          <w:szCs w:val="22"/>
          <w:lang w:val="en-GB"/>
        </w:rPr>
        <w:t>.4. Respiratory chain defects and synthetic lethality</w:t>
      </w:r>
      <w:r w:rsidRPr="006A6D89">
        <w:rPr>
          <w:rFonts w:ascii="Arial" w:hAnsi="Arial" w:cs="Arial"/>
          <w:color w:val="000000" w:themeColor="text1"/>
          <w:sz w:val="22"/>
          <w:szCs w:val="22"/>
          <w:lang w:val="en-GB"/>
        </w:rPr>
        <w:t xml:space="preserve"> Besides these clear genetic alterations in TCA cycle enzymes, various types of cancers display defects in </w:t>
      </w:r>
      <w:r>
        <w:rPr>
          <w:rFonts w:ascii="Arial" w:hAnsi="Arial" w:cs="Arial"/>
          <w:color w:val="000000" w:themeColor="text1"/>
          <w:sz w:val="22"/>
          <w:szCs w:val="22"/>
          <w:lang w:val="en-GB"/>
        </w:rPr>
        <w:t xml:space="preserve">the </w:t>
      </w:r>
      <w:r w:rsidRPr="006A6D89">
        <w:rPr>
          <w:rFonts w:ascii="Arial" w:hAnsi="Arial" w:cs="Arial"/>
          <w:color w:val="000000" w:themeColor="text1"/>
          <w:sz w:val="22"/>
          <w:szCs w:val="22"/>
          <w:lang w:val="en-GB"/>
        </w:rPr>
        <w:t xml:space="preserve">respiratory </w:t>
      </w:r>
      <w:proofErr w:type="gramStart"/>
      <w:r w:rsidRPr="006A6D89">
        <w:rPr>
          <w:rFonts w:ascii="Arial" w:hAnsi="Arial" w:cs="Arial"/>
          <w:color w:val="000000" w:themeColor="text1"/>
          <w:sz w:val="22"/>
          <w:szCs w:val="22"/>
          <w:lang w:val="en-GB"/>
        </w:rPr>
        <w:t>chain</w:t>
      </w:r>
      <w:r>
        <w:rPr>
          <w:rFonts w:ascii="Arial" w:hAnsi="Arial" w:cs="Arial"/>
          <w:color w:val="000000" w:themeColor="text1"/>
          <w:sz w:val="22"/>
          <w:szCs w:val="22"/>
          <w:lang w:val="en-GB"/>
        </w:rPr>
        <w:t xml:space="preserve">  </w:t>
      </w:r>
      <w:r>
        <w:rPr>
          <w:rFonts w:ascii="Arial" w:hAnsi="Arial" w:cs="Arial"/>
          <w:noProof/>
          <w:color w:val="000000" w:themeColor="text1"/>
          <w:sz w:val="22"/>
          <w:szCs w:val="22"/>
          <w:lang w:val="en-GB"/>
        </w:rPr>
        <w:t>[</w:t>
      </w:r>
      <w:proofErr w:type="gramEnd"/>
      <w:r>
        <w:rPr>
          <w:rFonts w:ascii="Arial" w:hAnsi="Arial" w:cs="Arial"/>
          <w:noProof/>
          <w:color w:val="000000" w:themeColor="text1"/>
          <w:sz w:val="22"/>
          <w:szCs w:val="22"/>
          <w:lang w:val="en-GB"/>
        </w:rPr>
        <w:t>7]</w:t>
      </w:r>
      <w:r w:rsidRPr="006A6D89">
        <w:rPr>
          <w:rFonts w:ascii="Arial" w:hAnsi="Arial" w:cs="Arial"/>
          <w:color w:val="000000" w:themeColor="text1"/>
          <w:sz w:val="22"/>
          <w:szCs w:val="22"/>
          <w:lang w:val="en-GB"/>
        </w:rPr>
        <w:t xml:space="preserve">. Therefore,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strategies based on the metabolic reprogramming triggered by these defects have been proposed. For instance, it was found that cancer cells that exhibit defects in </w:t>
      </w:r>
      <w:r>
        <w:rPr>
          <w:rFonts w:ascii="Arial" w:hAnsi="Arial" w:cs="Arial"/>
          <w:color w:val="000000" w:themeColor="text1"/>
          <w:sz w:val="22"/>
          <w:szCs w:val="22"/>
          <w:lang w:val="en-GB"/>
        </w:rPr>
        <w:t xml:space="preserve">the </w:t>
      </w:r>
      <w:r w:rsidRPr="006A6D89">
        <w:rPr>
          <w:rFonts w:ascii="Arial" w:hAnsi="Arial" w:cs="Arial"/>
          <w:color w:val="000000" w:themeColor="text1"/>
          <w:sz w:val="22"/>
          <w:szCs w:val="22"/>
          <w:lang w:val="en-GB"/>
        </w:rPr>
        <w:t xml:space="preserve">respiratory chain are sensitive to glucose deprivation, which normally would lead to activation of respiration. Accordingly, it was shown that inhibiting </w:t>
      </w:r>
      <w:r>
        <w:rPr>
          <w:rFonts w:ascii="Arial" w:hAnsi="Arial" w:cs="Arial"/>
          <w:color w:val="000000" w:themeColor="text1"/>
          <w:sz w:val="22"/>
          <w:szCs w:val="22"/>
          <w:lang w:val="en-GB"/>
        </w:rPr>
        <w:t xml:space="preserve">the </w:t>
      </w:r>
      <w:r w:rsidRPr="006A6D89">
        <w:rPr>
          <w:rFonts w:ascii="Arial" w:hAnsi="Arial" w:cs="Arial"/>
          <w:color w:val="000000" w:themeColor="text1"/>
          <w:sz w:val="22"/>
          <w:szCs w:val="22"/>
          <w:lang w:val="en-GB"/>
        </w:rPr>
        <w:t xml:space="preserve">respiratory chain using the </w:t>
      </w:r>
      <w:proofErr w:type="spellStart"/>
      <w:r w:rsidRPr="006A6D89">
        <w:rPr>
          <w:rFonts w:ascii="Arial" w:hAnsi="Arial" w:cs="Arial"/>
          <w:color w:val="000000" w:themeColor="text1"/>
          <w:sz w:val="22"/>
          <w:szCs w:val="22"/>
          <w:lang w:val="en-GB"/>
        </w:rPr>
        <w:t>biguanide</w:t>
      </w:r>
      <w:proofErr w:type="spellEnd"/>
      <w:r w:rsidRPr="006A6D89">
        <w:rPr>
          <w:rFonts w:ascii="Arial" w:hAnsi="Arial" w:cs="Arial"/>
          <w:color w:val="000000" w:themeColor="text1"/>
          <w:sz w:val="22"/>
          <w:szCs w:val="22"/>
          <w:lang w:val="en-GB"/>
        </w:rPr>
        <w:t xml:space="preserve"> metformin, sensitizes these cells to glucose deprivation and prevents their growth in subcutaneous tumours </w:t>
      </w:r>
      <w:r>
        <w:rPr>
          <w:rFonts w:ascii="Arial" w:hAnsi="Arial" w:cs="Arial"/>
          <w:noProof/>
          <w:color w:val="000000" w:themeColor="text1"/>
          <w:sz w:val="22"/>
          <w:szCs w:val="22"/>
          <w:lang w:val="en-GB"/>
        </w:rPr>
        <w:t>[105]</w:t>
      </w:r>
      <w:r w:rsidRPr="006A6D89">
        <w:rPr>
          <w:rFonts w:ascii="Arial" w:hAnsi="Arial" w:cs="Arial"/>
          <w:color w:val="000000" w:themeColor="text1"/>
          <w:sz w:val="22"/>
          <w:szCs w:val="22"/>
          <w:lang w:val="en-GB"/>
        </w:rPr>
        <w:t xml:space="preserve">. The concept of exploiting mitochondria-based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interactions to target cancer was strengthened by the recent observation that, through its ETC complex I inhibition activity, the anti-diabetic drug metformin acts as an anticancer agent but also improves the survival rate of patients that have already developed cancer </w:t>
      </w:r>
      <w:r>
        <w:rPr>
          <w:rFonts w:ascii="Arial" w:hAnsi="Arial" w:cs="Arial"/>
          <w:noProof/>
          <w:color w:val="000000" w:themeColor="text1"/>
          <w:sz w:val="22"/>
          <w:szCs w:val="22"/>
          <w:lang w:val="en-GB"/>
        </w:rPr>
        <w:t>[106-109]</w:t>
      </w:r>
      <w:r w:rsidRPr="006A6D89">
        <w:rPr>
          <w:rFonts w:ascii="Arial" w:hAnsi="Arial" w:cs="Arial"/>
          <w:color w:val="000000" w:themeColor="text1"/>
          <w:sz w:val="22"/>
          <w:szCs w:val="22"/>
          <w:lang w:val="en-GB"/>
        </w:rPr>
        <w:t xml:space="preserve">. Metformin, on its own or in combination with 2-deoxyglucose, a specific glycolysis inhibitor, has shown promising results in impairing the growth of tumour cells </w:t>
      </w:r>
      <w:r>
        <w:rPr>
          <w:rFonts w:ascii="Arial" w:hAnsi="Arial" w:cs="Arial"/>
          <w:noProof/>
          <w:color w:val="000000" w:themeColor="text1"/>
          <w:sz w:val="22"/>
          <w:szCs w:val="22"/>
          <w:lang w:val="en-GB"/>
        </w:rPr>
        <w:t>[110-114]</w:t>
      </w:r>
      <w:r w:rsidRPr="006A6D89">
        <w:rPr>
          <w:rFonts w:ascii="Arial" w:hAnsi="Arial" w:cs="Arial"/>
          <w:color w:val="000000" w:themeColor="text1"/>
          <w:sz w:val="22"/>
          <w:szCs w:val="22"/>
          <w:lang w:val="en-GB"/>
        </w:rPr>
        <w:t xml:space="preserve">. </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6A6D89" w:rsidRDefault="00F43308" w:rsidP="0040350D">
      <w:pPr>
        <w:spacing w:line="360" w:lineRule="auto"/>
        <w:jc w:val="both"/>
        <w:rPr>
          <w:rFonts w:ascii="Arial" w:hAnsi="Arial" w:cs="Arial"/>
          <w:b/>
          <w:color w:val="000000" w:themeColor="text1"/>
          <w:lang w:val="en-GB"/>
        </w:rPr>
      </w:pPr>
      <w:r>
        <w:rPr>
          <w:rFonts w:ascii="Arial" w:hAnsi="Arial" w:cs="Arial"/>
          <w:b/>
          <w:color w:val="000000" w:themeColor="text1"/>
          <w:lang w:val="en-GB"/>
        </w:rPr>
        <w:t>3</w:t>
      </w:r>
      <w:r w:rsidRPr="006A6D89">
        <w:rPr>
          <w:rFonts w:ascii="Arial" w:hAnsi="Arial" w:cs="Arial"/>
          <w:b/>
          <w:color w:val="000000" w:themeColor="text1"/>
          <w:lang w:val="en-GB"/>
        </w:rPr>
        <w:t>. Conclusions and future perspectives</w:t>
      </w:r>
    </w:p>
    <w:p w:rsidR="00F43308" w:rsidRPr="006A6D89" w:rsidRDefault="00F43308" w:rsidP="0040350D">
      <w:pPr>
        <w:spacing w:line="360" w:lineRule="auto"/>
        <w:jc w:val="both"/>
        <w:rPr>
          <w:rFonts w:ascii="Times" w:hAnsi="Times" w:cs="Times"/>
          <w:color w:val="000000" w:themeColor="text1"/>
          <w:sz w:val="34"/>
          <w:szCs w:val="34"/>
          <w:lang w:val="en-GB"/>
        </w:rPr>
      </w:pPr>
      <w:r w:rsidRPr="006A6D89">
        <w:rPr>
          <w:rFonts w:ascii="Arial" w:hAnsi="Arial" w:cs="Arial"/>
          <w:color w:val="000000" w:themeColor="text1"/>
          <w:sz w:val="22"/>
          <w:szCs w:val="22"/>
          <w:lang w:val="en-GB"/>
        </w:rPr>
        <w:t xml:space="preserve">Cellular homeostasis is maintained by a complex network of interconnected and dynamic metabolic pathways. Within their complex cell reprogramming, oncogenes </w:t>
      </w:r>
      <w:r>
        <w:rPr>
          <w:rFonts w:ascii="Arial" w:hAnsi="Arial" w:cs="Arial"/>
          <w:color w:val="000000" w:themeColor="text1"/>
          <w:sz w:val="22"/>
          <w:szCs w:val="22"/>
          <w:lang w:val="en-GB"/>
        </w:rPr>
        <w:t>hijack</w:t>
      </w:r>
      <w:r w:rsidRPr="006A6D89">
        <w:rPr>
          <w:rFonts w:ascii="Arial" w:hAnsi="Arial" w:cs="Arial"/>
          <w:color w:val="000000" w:themeColor="text1"/>
          <w:sz w:val="22"/>
          <w:szCs w:val="22"/>
          <w:lang w:val="en-GB"/>
        </w:rPr>
        <w:t xml:space="preserve"> specific metabolic pathways to support cancer growth leading to metabolic addiction. Because these events are specific to cancer cells, they provide an attractive approach to specifically target tumour cells while leaving healthy cells unaffected (Fig. 2). </w:t>
      </w:r>
      <w:r>
        <w:rPr>
          <w:rFonts w:ascii="Arial" w:hAnsi="Arial" w:cs="Arial"/>
          <w:color w:val="000000" w:themeColor="text1"/>
          <w:sz w:val="22"/>
          <w:szCs w:val="22"/>
          <w:lang w:val="en-GB"/>
        </w:rPr>
        <w:t>In this context</w:t>
      </w:r>
      <w:r w:rsidRPr="006A6D89">
        <w:rPr>
          <w:rFonts w:ascii="Arial" w:hAnsi="Arial" w:cs="Arial"/>
          <w:color w:val="000000" w:themeColor="text1"/>
          <w:sz w:val="22"/>
          <w:szCs w:val="22"/>
          <w:lang w:val="en-GB"/>
        </w:rPr>
        <w:t xml:space="preserve">, mitochondrial metabolism has emerged as a valid key target for cancer therapy and several recent studies are currently assessing the potential of mitochondria-linked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as a major player in the arsenal against cancer.</w:t>
      </w:r>
      <w:r>
        <w:rPr>
          <w:rFonts w:ascii="Arial" w:hAnsi="Arial" w:cs="Arial"/>
          <w:color w:val="000000" w:themeColor="text1"/>
          <w:sz w:val="22"/>
          <w:szCs w:val="22"/>
          <w:lang w:val="en-GB"/>
        </w:rPr>
        <w:t xml:space="preserve"> There are few caveats that could limit the translational potential of this potentially powerful anticancer strategy. First</w:t>
      </w:r>
      <w:r w:rsidRPr="006A6D89">
        <w:rPr>
          <w:rFonts w:ascii="Arial" w:hAnsi="Arial" w:cs="Arial"/>
          <w:color w:val="000000" w:themeColor="text1"/>
          <w:sz w:val="22"/>
          <w:szCs w:val="22"/>
          <w:lang w:val="en-GB"/>
        </w:rPr>
        <w:t xml:space="preserve">, just as inhibiting canonical oncogenic signalling </w:t>
      </w:r>
      <w:r w:rsidRPr="006A6D89">
        <w:rPr>
          <w:rFonts w:ascii="Arial" w:hAnsi="Arial" w:cs="Arial"/>
          <w:color w:val="000000" w:themeColor="text1"/>
          <w:sz w:val="22"/>
          <w:szCs w:val="22"/>
          <w:lang w:val="en-GB"/>
        </w:rPr>
        <w:lastRenderedPageBreak/>
        <w:t>cascades is bypassed by resistance mechanisms, it is likely that inhibiting metabolic pathways will lead to the activation of further metabolic rewiring.</w:t>
      </w:r>
      <w:r w:rsidRPr="006A6D89">
        <w:rPr>
          <w:rFonts w:ascii="Times New Roman" w:hAnsi="Times New Roman" w:cs="Times New Roman"/>
          <w:color w:val="000000" w:themeColor="text1"/>
          <w:sz w:val="20"/>
          <w:szCs w:val="20"/>
          <w:lang w:val="en-GB"/>
        </w:rPr>
        <w:t xml:space="preserve"> </w:t>
      </w:r>
      <w:r w:rsidRPr="006A6D89">
        <w:rPr>
          <w:rFonts w:ascii="Arial" w:hAnsi="Arial" w:cs="Arial"/>
          <w:color w:val="000000" w:themeColor="text1"/>
          <w:sz w:val="22"/>
          <w:szCs w:val="22"/>
          <w:lang w:val="en-GB"/>
        </w:rPr>
        <w:t xml:space="preserve">Decoding the map of metabolic pathways that initiate and support neoplastic transformations is therefore crucial to identify genuine </w:t>
      </w:r>
      <w:r>
        <w:rPr>
          <w:rFonts w:ascii="Arial" w:hAnsi="Arial" w:cs="Arial"/>
          <w:color w:val="000000" w:themeColor="text1"/>
          <w:sz w:val="22"/>
          <w:szCs w:val="22"/>
          <w:lang w:val="en-GB"/>
        </w:rPr>
        <w:t>SL</w:t>
      </w:r>
      <w:r w:rsidRPr="006A6D89">
        <w:rPr>
          <w:rFonts w:ascii="Arial" w:hAnsi="Arial" w:cs="Arial"/>
          <w:color w:val="000000" w:themeColor="text1"/>
          <w:sz w:val="22"/>
          <w:szCs w:val="22"/>
          <w:lang w:val="en-GB"/>
        </w:rPr>
        <w:t xml:space="preserve"> interactions that </w:t>
      </w:r>
      <w:r>
        <w:rPr>
          <w:rFonts w:ascii="Arial" w:hAnsi="Arial" w:cs="Arial"/>
          <w:color w:val="000000" w:themeColor="text1"/>
          <w:sz w:val="22"/>
          <w:szCs w:val="22"/>
          <w:lang w:val="en-GB"/>
        </w:rPr>
        <w:t>might not</w:t>
      </w:r>
      <w:r w:rsidRPr="006A6D89">
        <w:rPr>
          <w:rFonts w:ascii="Arial" w:hAnsi="Arial" w:cs="Arial"/>
          <w:color w:val="000000" w:themeColor="text1"/>
          <w:sz w:val="22"/>
          <w:szCs w:val="22"/>
          <w:lang w:val="en-GB"/>
        </w:rPr>
        <w:t xml:space="preserve"> be evaded by alternative adaptations. </w:t>
      </w:r>
      <w:r>
        <w:rPr>
          <w:rFonts w:ascii="Arial" w:hAnsi="Arial" w:cs="Arial"/>
          <w:color w:val="000000" w:themeColor="text1"/>
          <w:sz w:val="22"/>
          <w:szCs w:val="22"/>
          <w:lang w:val="en-GB"/>
        </w:rPr>
        <w:t xml:space="preserve">Another level of complexity that could undermine this effort is the metabolic heterogeneity of cancer cells. Indeed, it is possible that within a solid tumour, cancer cells affected by similar genetic and metabolic aberrations exhibit phenotypes that depend on the metabolic niche in which it resides. Understanding how cancer cell metabolism is affected by nutrients </w:t>
      </w:r>
      <w:proofErr w:type="spellStart"/>
      <w:r>
        <w:rPr>
          <w:rFonts w:ascii="Arial" w:hAnsi="Arial" w:cs="Arial"/>
          <w:color w:val="000000" w:themeColor="text1"/>
          <w:sz w:val="22"/>
          <w:szCs w:val="22"/>
          <w:lang w:val="en-GB"/>
        </w:rPr>
        <w:t>availablity</w:t>
      </w:r>
      <w:proofErr w:type="spellEnd"/>
      <w:r>
        <w:rPr>
          <w:rFonts w:ascii="Arial" w:hAnsi="Arial" w:cs="Arial"/>
          <w:color w:val="000000" w:themeColor="text1"/>
          <w:sz w:val="22"/>
          <w:szCs w:val="22"/>
          <w:lang w:val="en-GB"/>
        </w:rPr>
        <w:t xml:space="preserve"> in the tumour microenvironment will be a crucial step for the field. Even if the task of e</w:t>
      </w:r>
      <w:r w:rsidRPr="006A6D89">
        <w:rPr>
          <w:rFonts w:ascii="Arial" w:hAnsi="Arial" w:cs="Arial"/>
          <w:color w:val="000000" w:themeColor="text1"/>
          <w:sz w:val="22"/>
          <w:szCs w:val="22"/>
          <w:lang w:val="en-GB"/>
        </w:rPr>
        <w:t xml:space="preserve">lucidating these </w:t>
      </w:r>
      <w:r>
        <w:rPr>
          <w:rFonts w:ascii="Arial" w:hAnsi="Arial" w:cs="Arial"/>
          <w:color w:val="000000" w:themeColor="text1"/>
          <w:sz w:val="22"/>
          <w:szCs w:val="22"/>
          <w:lang w:val="en-GB"/>
        </w:rPr>
        <w:t xml:space="preserve">cancer-specific metabolic </w:t>
      </w:r>
      <w:r w:rsidRPr="006A6D89">
        <w:rPr>
          <w:rFonts w:ascii="Arial" w:hAnsi="Arial" w:cs="Arial"/>
          <w:color w:val="000000" w:themeColor="text1"/>
          <w:sz w:val="22"/>
          <w:szCs w:val="22"/>
          <w:lang w:val="en-GB"/>
        </w:rPr>
        <w:t xml:space="preserve">pathways </w:t>
      </w:r>
      <w:r>
        <w:rPr>
          <w:rFonts w:ascii="Arial" w:hAnsi="Arial" w:cs="Arial"/>
          <w:color w:val="000000" w:themeColor="text1"/>
          <w:sz w:val="22"/>
          <w:szCs w:val="22"/>
          <w:lang w:val="en-GB"/>
        </w:rPr>
        <w:t xml:space="preserve">is still a challenge, it </w:t>
      </w:r>
      <w:r w:rsidRPr="006A6D89">
        <w:rPr>
          <w:rFonts w:ascii="Arial" w:hAnsi="Arial" w:cs="Arial"/>
          <w:color w:val="000000" w:themeColor="text1"/>
          <w:sz w:val="22"/>
          <w:szCs w:val="22"/>
          <w:lang w:val="en-GB"/>
        </w:rPr>
        <w:t xml:space="preserve">will enable us to understand how cancer cells survive metabolic </w:t>
      </w:r>
      <w:proofErr w:type="spellStart"/>
      <w:proofErr w:type="gramStart"/>
      <w:r w:rsidRPr="006A6D89">
        <w:rPr>
          <w:rFonts w:ascii="Arial" w:hAnsi="Arial" w:cs="Arial"/>
          <w:color w:val="000000" w:themeColor="text1"/>
          <w:sz w:val="22"/>
          <w:szCs w:val="22"/>
          <w:lang w:val="en-GB"/>
        </w:rPr>
        <w:t>insults</w:t>
      </w:r>
      <w:r>
        <w:rPr>
          <w:rFonts w:ascii="Arial" w:hAnsi="Arial" w:cs="Arial"/>
          <w:color w:val="000000" w:themeColor="text1"/>
          <w:sz w:val="22"/>
          <w:szCs w:val="22"/>
          <w:lang w:val="en-GB"/>
        </w:rPr>
        <w:t>.</w:t>
      </w:r>
      <w:r w:rsidRPr="006A6D89">
        <w:rPr>
          <w:rFonts w:ascii="Arial" w:hAnsi="Arial" w:cs="Arial"/>
          <w:color w:val="000000" w:themeColor="text1"/>
          <w:sz w:val="22"/>
          <w:szCs w:val="22"/>
          <w:lang w:val="en-GB"/>
        </w:rPr>
        <w:t>The</w:t>
      </w:r>
      <w:proofErr w:type="spellEnd"/>
      <w:proofErr w:type="gramEnd"/>
      <w:r w:rsidRPr="006A6D89">
        <w:rPr>
          <w:rFonts w:ascii="Arial" w:hAnsi="Arial" w:cs="Arial"/>
          <w:color w:val="000000" w:themeColor="text1"/>
          <w:sz w:val="22"/>
          <w:szCs w:val="22"/>
          <w:lang w:val="en-GB"/>
        </w:rPr>
        <w:t xml:space="preserve"> activation of metabolic adaptations in the early phases of tumorigenesis is likely to be a prerequisite for the cell to survive an otherwise lethal mutation (Fig. 2). This idea has important implications. In fact, the manipulation of early metabolic adaptations by either pharmacological or dietary intervention </w:t>
      </w:r>
      <w:r>
        <w:rPr>
          <w:rFonts w:ascii="Arial" w:hAnsi="Arial" w:cs="Arial"/>
          <w:color w:val="000000" w:themeColor="text1"/>
          <w:sz w:val="22"/>
          <w:szCs w:val="22"/>
          <w:lang w:val="en-GB"/>
        </w:rPr>
        <w:t>may</w:t>
      </w:r>
      <w:r w:rsidRPr="006A6D89">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 xml:space="preserve">potentially </w:t>
      </w:r>
      <w:r w:rsidRPr="006A6D89">
        <w:rPr>
          <w:rFonts w:ascii="Arial" w:hAnsi="Arial" w:cs="Arial"/>
          <w:color w:val="000000" w:themeColor="text1"/>
          <w:sz w:val="22"/>
          <w:szCs w:val="22"/>
          <w:lang w:val="en-GB"/>
        </w:rPr>
        <w:t xml:space="preserve">lead to tumour prevention by rendering the initial mutation lethal. This hypothesis has not been formally investigated and it would be important to validate it in appropriate </w:t>
      </w:r>
      <w:r w:rsidRPr="006A6D89">
        <w:rPr>
          <w:rFonts w:ascii="Arial" w:hAnsi="Arial" w:cs="Arial"/>
          <w:i/>
          <w:color w:val="000000" w:themeColor="text1"/>
          <w:sz w:val="22"/>
          <w:szCs w:val="22"/>
          <w:lang w:val="en-GB"/>
        </w:rPr>
        <w:t>in vivo</w:t>
      </w:r>
      <w:r w:rsidRPr="006A6D89">
        <w:rPr>
          <w:rFonts w:ascii="Arial" w:hAnsi="Arial" w:cs="Arial"/>
          <w:color w:val="000000" w:themeColor="text1"/>
          <w:sz w:val="22"/>
          <w:szCs w:val="22"/>
          <w:lang w:val="en-GB"/>
        </w:rPr>
        <w:t xml:space="preserve"> models. Such an approach may be achieved through the development of personalized treatments assisted by individual modelling of genomic and metabolic profiles in order to identify patient- and tissue-specific metabolic vulnerabilities that can be modulated through dietary intervention to efficiently target the tumours or even prevent their emergence.</w:t>
      </w:r>
      <w:r w:rsidRPr="006A6D89">
        <w:rPr>
          <w:rFonts w:ascii="Times" w:hAnsi="Times" w:cs="Times"/>
          <w:color w:val="000000" w:themeColor="text1"/>
          <w:sz w:val="34"/>
          <w:szCs w:val="34"/>
          <w:lang w:val="en-GB"/>
        </w:rPr>
        <w:t xml:space="preserve"> </w:t>
      </w:r>
    </w:p>
    <w:p w:rsidR="00F43308" w:rsidRPr="006A6D89" w:rsidRDefault="00F43308" w:rsidP="0040350D">
      <w:pPr>
        <w:widowControl w:val="0"/>
        <w:autoSpaceDE w:val="0"/>
        <w:autoSpaceDN w:val="0"/>
        <w:adjustRightInd w:val="0"/>
        <w:rPr>
          <w:rFonts w:ascii="Times" w:hAnsi="Times" w:cs="Times"/>
          <w:color w:val="000000" w:themeColor="text1"/>
          <w:sz w:val="34"/>
          <w:szCs w:val="34"/>
          <w:lang w:val="en-GB"/>
        </w:rPr>
      </w:pPr>
    </w:p>
    <w:p w:rsidR="00F43308" w:rsidRPr="003206BC" w:rsidRDefault="00F43308" w:rsidP="0040350D">
      <w:pPr>
        <w:widowControl w:val="0"/>
        <w:autoSpaceDE w:val="0"/>
        <w:autoSpaceDN w:val="0"/>
        <w:adjustRightInd w:val="0"/>
        <w:rPr>
          <w:rFonts w:ascii="Arial" w:hAnsi="Arial" w:cs="Arial"/>
          <w:b/>
          <w:bCs/>
          <w:color w:val="000000" w:themeColor="text1"/>
          <w:lang w:val="en-GB"/>
        </w:rPr>
      </w:pPr>
      <w:r w:rsidRPr="003206BC">
        <w:rPr>
          <w:rFonts w:ascii="Arial" w:hAnsi="Arial" w:cs="Arial"/>
          <w:b/>
          <w:bCs/>
          <w:color w:val="000000" w:themeColor="text1"/>
          <w:lang w:val="en-GB"/>
        </w:rPr>
        <w:t>Conflict of interest statement</w:t>
      </w:r>
    </w:p>
    <w:p w:rsidR="00F43308" w:rsidRPr="003206BC" w:rsidRDefault="00F43308" w:rsidP="0040350D">
      <w:pPr>
        <w:widowControl w:val="0"/>
        <w:autoSpaceDE w:val="0"/>
        <w:autoSpaceDN w:val="0"/>
        <w:adjustRightInd w:val="0"/>
        <w:spacing w:after="221"/>
        <w:rPr>
          <w:rFonts w:ascii="Arial" w:hAnsi="Arial" w:cs="Arial"/>
          <w:color w:val="000000" w:themeColor="text1"/>
          <w:sz w:val="22"/>
          <w:szCs w:val="22"/>
          <w:lang w:val="en-GB"/>
        </w:rPr>
      </w:pPr>
      <w:r w:rsidRPr="003206BC">
        <w:rPr>
          <w:rFonts w:ascii="Arial" w:hAnsi="Arial" w:cs="Arial"/>
          <w:color w:val="000000" w:themeColor="text1"/>
          <w:sz w:val="22"/>
          <w:szCs w:val="22"/>
          <w:lang w:val="en-GB"/>
        </w:rPr>
        <w:t>We confirm that both authors have no relevant conflicts of interest to declare.</w:t>
      </w:r>
    </w:p>
    <w:p w:rsidR="00F43308" w:rsidRPr="003206BC" w:rsidRDefault="00F43308" w:rsidP="0040350D">
      <w:pPr>
        <w:widowControl w:val="0"/>
        <w:autoSpaceDE w:val="0"/>
        <w:autoSpaceDN w:val="0"/>
        <w:adjustRightInd w:val="0"/>
        <w:spacing w:after="221"/>
        <w:rPr>
          <w:rFonts w:ascii="Arial" w:hAnsi="Arial" w:cs="Arial"/>
          <w:color w:val="000000" w:themeColor="text1"/>
          <w:sz w:val="22"/>
          <w:szCs w:val="22"/>
          <w:lang w:val="en-GB"/>
        </w:rPr>
      </w:pPr>
    </w:p>
    <w:p w:rsidR="00F43308" w:rsidRPr="003206BC" w:rsidRDefault="00F43308" w:rsidP="0040350D">
      <w:pPr>
        <w:widowControl w:val="0"/>
        <w:autoSpaceDE w:val="0"/>
        <w:autoSpaceDN w:val="0"/>
        <w:adjustRightInd w:val="0"/>
        <w:rPr>
          <w:rFonts w:ascii="Arial" w:hAnsi="Arial" w:cs="Arial"/>
          <w:b/>
          <w:bCs/>
          <w:color w:val="000000" w:themeColor="text1"/>
          <w:lang w:val="en-GB"/>
        </w:rPr>
      </w:pPr>
      <w:r w:rsidRPr="003206BC">
        <w:rPr>
          <w:rFonts w:ascii="Arial" w:hAnsi="Arial" w:cs="Arial"/>
          <w:b/>
          <w:bCs/>
          <w:color w:val="000000" w:themeColor="text1"/>
          <w:lang w:val="en-GB"/>
        </w:rPr>
        <w:t>Acknowledgements</w:t>
      </w:r>
    </w:p>
    <w:p w:rsidR="00F43308" w:rsidRPr="003206BC" w:rsidRDefault="00F43308" w:rsidP="0040350D">
      <w:pPr>
        <w:spacing w:line="360" w:lineRule="auto"/>
        <w:jc w:val="both"/>
        <w:rPr>
          <w:rFonts w:ascii="Arial" w:hAnsi="Arial" w:cs="Arial"/>
          <w:color w:val="000000" w:themeColor="text1"/>
          <w:sz w:val="22"/>
          <w:szCs w:val="22"/>
          <w:lang w:val="en-GB"/>
        </w:rPr>
      </w:pPr>
      <w:r w:rsidRPr="003206BC">
        <w:rPr>
          <w:rFonts w:ascii="Arial" w:hAnsi="Arial" w:cs="Arial"/>
          <w:color w:val="000000" w:themeColor="text1"/>
          <w:sz w:val="22"/>
          <w:szCs w:val="22"/>
          <w:lang w:val="en-GB"/>
        </w:rPr>
        <w:t>VZ is supported by the Worldwide Cancer Research (WCR, formerly known as AICR). CF receives support from</w:t>
      </w:r>
      <w:r>
        <w:rPr>
          <w:rFonts w:ascii="Arial" w:hAnsi="Arial" w:cs="Arial"/>
          <w:color w:val="000000" w:themeColor="text1"/>
          <w:sz w:val="22"/>
          <w:szCs w:val="22"/>
          <w:lang w:val="en-GB"/>
        </w:rPr>
        <w:t xml:space="preserve"> the Medical Research Council, core fund to the MRC Cancer Unit.</w:t>
      </w:r>
    </w:p>
    <w:p w:rsidR="00F43308" w:rsidRPr="006A6D89" w:rsidRDefault="00F43308" w:rsidP="0040350D">
      <w:pPr>
        <w:spacing w:line="360" w:lineRule="auto"/>
        <w:jc w:val="both"/>
        <w:rPr>
          <w:rFonts w:ascii="Arial" w:hAnsi="Arial" w:cs="Arial"/>
          <w:color w:val="000000" w:themeColor="text1"/>
          <w:sz w:val="22"/>
          <w:szCs w:val="22"/>
          <w:lang w:val="en-GB"/>
        </w:rPr>
      </w:pPr>
    </w:p>
    <w:p w:rsidR="00F43308" w:rsidRPr="00F43308" w:rsidRDefault="00F43308" w:rsidP="0040350D">
      <w:pPr>
        <w:spacing w:line="360" w:lineRule="auto"/>
        <w:jc w:val="both"/>
        <w:rPr>
          <w:rFonts w:ascii="Arial" w:hAnsi="Arial" w:cs="Arial"/>
          <w:b/>
          <w:color w:val="000000" w:themeColor="text1"/>
          <w:szCs w:val="22"/>
          <w:lang w:val="en-GB"/>
        </w:rPr>
      </w:pPr>
      <w:r w:rsidRPr="00F43308">
        <w:rPr>
          <w:rFonts w:ascii="Arial" w:hAnsi="Arial" w:cs="Arial"/>
          <w:b/>
          <w:color w:val="000000" w:themeColor="text1"/>
          <w:szCs w:val="22"/>
          <w:lang w:val="en-GB"/>
        </w:rPr>
        <w:t>Figure legends</w:t>
      </w:r>
    </w:p>
    <w:p w:rsidR="00F43308" w:rsidRPr="005909A8" w:rsidRDefault="00F43308" w:rsidP="0040350D">
      <w:pPr>
        <w:spacing w:line="360" w:lineRule="auto"/>
        <w:jc w:val="both"/>
        <w:rPr>
          <w:rFonts w:ascii="Arial" w:hAnsi="Arial" w:cs="Arial"/>
          <w:b/>
          <w:color w:val="000000" w:themeColor="text1"/>
          <w:sz w:val="22"/>
          <w:szCs w:val="22"/>
          <w:lang w:val="en-GB"/>
        </w:rPr>
      </w:pPr>
    </w:p>
    <w:p w:rsidR="00F43308" w:rsidRPr="005909A8" w:rsidRDefault="00F43308" w:rsidP="0040350D">
      <w:pPr>
        <w:spacing w:line="360" w:lineRule="auto"/>
        <w:jc w:val="both"/>
        <w:rPr>
          <w:rFonts w:ascii="Arial" w:hAnsi="Arial" w:cs="Arial"/>
          <w:color w:val="000000" w:themeColor="text1"/>
          <w:sz w:val="22"/>
          <w:szCs w:val="22"/>
          <w:lang w:val="en-GB"/>
        </w:rPr>
      </w:pPr>
      <w:r w:rsidRPr="005909A8">
        <w:rPr>
          <w:rFonts w:ascii="Arial" w:hAnsi="Arial" w:cs="Arial"/>
          <w:b/>
          <w:color w:val="000000" w:themeColor="text1"/>
          <w:sz w:val="22"/>
          <w:szCs w:val="22"/>
          <w:lang w:val="en-GB"/>
        </w:rPr>
        <w:t xml:space="preserve">Fig. 1: </w:t>
      </w:r>
      <w:r>
        <w:rPr>
          <w:rFonts w:ascii="Arial" w:hAnsi="Arial" w:cs="Arial"/>
          <w:b/>
          <w:color w:val="000000" w:themeColor="text1"/>
          <w:sz w:val="22"/>
          <w:szCs w:val="22"/>
          <w:lang w:val="en-GB"/>
        </w:rPr>
        <w:t>M</w:t>
      </w:r>
      <w:r w:rsidRPr="005909A8">
        <w:rPr>
          <w:rFonts w:ascii="Arial" w:hAnsi="Arial" w:cs="Arial"/>
          <w:b/>
          <w:color w:val="000000" w:themeColor="text1"/>
          <w:sz w:val="22"/>
          <w:szCs w:val="22"/>
          <w:lang w:val="en-GB"/>
        </w:rPr>
        <w:t xml:space="preserve">etabolic </w:t>
      </w:r>
      <w:r>
        <w:rPr>
          <w:rFonts w:ascii="Arial" w:hAnsi="Arial" w:cs="Arial"/>
          <w:b/>
          <w:color w:val="000000" w:themeColor="text1"/>
          <w:sz w:val="22"/>
          <w:szCs w:val="22"/>
          <w:lang w:val="en-GB"/>
        </w:rPr>
        <w:t xml:space="preserve">rewiring and </w:t>
      </w:r>
      <w:r w:rsidRPr="005909A8">
        <w:rPr>
          <w:rFonts w:ascii="Arial" w:hAnsi="Arial" w:cs="Arial"/>
          <w:b/>
          <w:color w:val="000000" w:themeColor="text1"/>
          <w:sz w:val="22"/>
          <w:szCs w:val="22"/>
          <w:lang w:val="en-GB"/>
        </w:rPr>
        <w:t>synthetic lethality</w:t>
      </w:r>
      <w:r>
        <w:rPr>
          <w:rFonts w:ascii="Arial" w:hAnsi="Arial" w:cs="Arial"/>
          <w:b/>
          <w:color w:val="000000" w:themeColor="text1"/>
          <w:sz w:val="22"/>
          <w:szCs w:val="22"/>
          <w:lang w:val="en-GB"/>
        </w:rPr>
        <w:t xml:space="preserve"> in SDH, FH, and IDH mutant cancers</w:t>
      </w:r>
      <w:r w:rsidRPr="005909A8">
        <w:rPr>
          <w:rFonts w:ascii="Arial" w:hAnsi="Arial" w:cs="Arial"/>
          <w:b/>
          <w:color w:val="000000" w:themeColor="text1"/>
          <w:sz w:val="22"/>
          <w:szCs w:val="22"/>
          <w:lang w:val="en-GB"/>
        </w:rPr>
        <w:t xml:space="preserve">. </w:t>
      </w:r>
    </w:p>
    <w:p w:rsidR="00F43308" w:rsidRPr="005909A8" w:rsidRDefault="00F43308" w:rsidP="0040350D">
      <w:pPr>
        <w:spacing w:line="360" w:lineRule="auto"/>
        <w:jc w:val="both"/>
        <w:rPr>
          <w:rFonts w:ascii="Arial" w:hAnsi="Arial" w:cs="Arial"/>
          <w:color w:val="000000" w:themeColor="text1"/>
          <w:sz w:val="22"/>
          <w:szCs w:val="22"/>
          <w:lang w:val="en-GB"/>
        </w:rPr>
      </w:pPr>
      <w:r>
        <w:rPr>
          <w:rFonts w:ascii="Arial" w:hAnsi="Arial" w:cs="Arial"/>
          <w:color w:val="000000" w:themeColor="text1"/>
          <w:sz w:val="22"/>
          <w:szCs w:val="22"/>
          <w:lang w:val="en-GB"/>
        </w:rPr>
        <w:t xml:space="preserve">The main metabolic and signalling pathways involved in the metabolic reprogramming of FH, SDH, and IDH mutant cells are indicated. Mutation-specific </w:t>
      </w:r>
      <w:bookmarkStart w:id="0" w:name="_GoBack"/>
      <w:bookmarkEnd w:id="0"/>
      <w:r>
        <w:rPr>
          <w:rFonts w:ascii="Arial" w:hAnsi="Arial" w:cs="Arial"/>
          <w:color w:val="000000" w:themeColor="text1"/>
          <w:sz w:val="22"/>
          <w:szCs w:val="22"/>
          <w:lang w:val="en-GB"/>
        </w:rPr>
        <w:t xml:space="preserve">pathways are colour coded: FH = grey rectangles, SDH = orange rectangles; mutant IDH = green rectangles. SL enzymes are indicated in bold. Drugs that affect these specific pathways/targets are indicated in red. Solid black arrows indicate single step metabolic reactions; dashed black lines indicate multi-step metabolic reactions; blue arrows indicate indirect transcriptional cascades. </w:t>
      </w:r>
      <w:r w:rsidRPr="005909A8">
        <w:rPr>
          <w:rFonts w:ascii="Arial" w:hAnsi="Arial" w:cs="Arial"/>
          <w:color w:val="000000" w:themeColor="text1"/>
          <w:sz w:val="22"/>
          <w:szCs w:val="22"/>
          <w:lang w:val="en-GB"/>
        </w:rPr>
        <w:t xml:space="preserve">Abbreviations: </w:t>
      </w:r>
      <w:r>
        <w:rPr>
          <w:rFonts w:ascii="Arial" w:hAnsi="Arial" w:cs="Arial"/>
          <w:color w:val="000000" w:themeColor="text1"/>
          <w:sz w:val="22"/>
          <w:szCs w:val="22"/>
          <w:lang w:val="en-GB"/>
        </w:rPr>
        <w:lastRenderedPageBreak/>
        <w:t xml:space="preserve">AcCoA (Acetyl-CoA); </w:t>
      </w:r>
      <w:r w:rsidRPr="005909A8">
        <w:rPr>
          <w:rFonts w:ascii="Arial" w:hAnsi="Arial" w:cs="Arial"/>
          <w:color w:val="000000" w:themeColor="text1"/>
          <w:sz w:val="22"/>
          <w:szCs w:val="22"/>
          <w:lang w:val="en-GB"/>
        </w:rPr>
        <w:t>ACO (aconitase)</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ADCY (adenylate cyclase)</w:t>
      </w:r>
      <w:r>
        <w:rPr>
          <w:rFonts w:ascii="Arial" w:hAnsi="Arial" w:cs="Arial"/>
          <w:color w:val="000000" w:themeColor="text1"/>
          <w:sz w:val="22"/>
          <w:szCs w:val="22"/>
          <w:lang w:val="en-GB"/>
        </w:rPr>
        <w:t>; ADIPEG (</w:t>
      </w:r>
      <w:proofErr w:type="spellStart"/>
      <w:r>
        <w:rPr>
          <w:rFonts w:ascii="Arial" w:hAnsi="Arial" w:cs="Arial"/>
          <w:color w:val="000000" w:themeColor="text1"/>
          <w:sz w:val="22"/>
          <w:szCs w:val="22"/>
          <w:lang w:val="en-GB"/>
        </w:rPr>
        <w:t>pegylated</w:t>
      </w:r>
      <w:proofErr w:type="spellEnd"/>
      <w:r>
        <w:rPr>
          <w:rFonts w:ascii="Arial" w:hAnsi="Arial" w:cs="Arial"/>
          <w:color w:val="000000" w:themeColor="text1"/>
          <w:sz w:val="22"/>
          <w:szCs w:val="22"/>
          <w:lang w:val="en-GB"/>
        </w:rPr>
        <w:t xml:space="preserve"> arginine deiminase); ASL (argininosuccinate lyase); ASS1 (argininosuccinate </w:t>
      </w:r>
      <w:proofErr w:type="spellStart"/>
      <w:r>
        <w:rPr>
          <w:rFonts w:ascii="Arial" w:hAnsi="Arial" w:cs="Arial"/>
          <w:color w:val="000000" w:themeColor="text1"/>
          <w:sz w:val="22"/>
          <w:szCs w:val="22"/>
          <w:lang w:val="en-GB"/>
        </w:rPr>
        <w:t>synthetase</w:t>
      </w:r>
      <w:proofErr w:type="spellEnd"/>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ATP (adenosine triphosphate)</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BAX (BCL-2 associated X protein</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 xml:space="preserve">BCL-2 (B-cell lymphoma 2), , </w:t>
      </w:r>
      <w:r>
        <w:rPr>
          <w:rFonts w:ascii="Arial" w:hAnsi="Arial" w:cs="Arial"/>
          <w:color w:val="000000" w:themeColor="text1"/>
          <w:sz w:val="22"/>
          <w:szCs w:val="22"/>
          <w:lang w:val="en-GB"/>
        </w:rPr>
        <w:t>BPTES (</w:t>
      </w:r>
      <w:r w:rsidRPr="00796096">
        <w:rPr>
          <w:rFonts w:ascii="Arial" w:hAnsi="Arial" w:cs="Arial"/>
          <w:color w:val="000000" w:themeColor="text1"/>
          <w:sz w:val="22"/>
          <w:szCs w:val="22"/>
          <w:lang w:val="en-GB"/>
        </w:rPr>
        <w:t>N,Nʹ-(5,5ʹ-(2,2ʹ-Thiobis(ethane-2,1-diyl))bis(1,3,4-thiadiazole-5,2-diyl))bis(2-phenylacetamide)</w:t>
      </w:r>
      <w:r>
        <w:rPr>
          <w:rFonts w:ascii="Arial" w:hAnsi="Arial" w:cs="Arial"/>
          <w:color w:val="000000" w:themeColor="text1"/>
          <w:sz w:val="22"/>
          <w:szCs w:val="22"/>
          <w:lang w:val="en-GB"/>
        </w:rPr>
        <w:t xml:space="preserve">; </w:t>
      </w:r>
      <w:proofErr w:type="spellStart"/>
      <w:r w:rsidRPr="005909A8">
        <w:rPr>
          <w:rFonts w:ascii="Arial" w:hAnsi="Arial" w:cs="Arial"/>
          <w:color w:val="000000" w:themeColor="text1"/>
          <w:sz w:val="22"/>
          <w:szCs w:val="22"/>
          <w:lang w:val="en-GB"/>
        </w:rPr>
        <w:t>cAMP</w:t>
      </w:r>
      <w:proofErr w:type="spellEnd"/>
      <w:r w:rsidRPr="005909A8">
        <w:rPr>
          <w:rFonts w:ascii="Arial" w:hAnsi="Arial" w:cs="Arial"/>
          <w:color w:val="000000" w:themeColor="text1"/>
          <w:sz w:val="22"/>
          <w:szCs w:val="22"/>
          <w:lang w:val="en-GB"/>
        </w:rPr>
        <w:t xml:space="preserve"> (cyclic adenosine monophosphate)</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CS (citrate synthase)</w:t>
      </w:r>
      <w:r>
        <w:rPr>
          <w:rFonts w:ascii="Arial" w:hAnsi="Arial" w:cs="Arial"/>
          <w:color w:val="000000" w:themeColor="text1"/>
          <w:sz w:val="22"/>
          <w:szCs w:val="22"/>
          <w:lang w:val="en-GB"/>
        </w:rPr>
        <w:t xml:space="preserve">; </w:t>
      </w:r>
      <w:proofErr w:type="spellStart"/>
      <w:r w:rsidRPr="005909A8">
        <w:rPr>
          <w:rFonts w:ascii="Arial" w:hAnsi="Arial" w:cs="Arial"/>
          <w:color w:val="000000" w:themeColor="text1"/>
          <w:sz w:val="22"/>
          <w:szCs w:val="22"/>
          <w:lang w:val="en-GB"/>
        </w:rPr>
        <w:t>CytoC</w:t>
      </w:r>
      <w:proofErr w:type="spellEnd"/>
      <w:r w:rsidRPr="005909A8">
        <w:rPr>
          <w:rFonts w:ascii="Arial" w:hAnsi="Arial" w:cs="Arial"/>
          <w:color w:val="000000" w:themeColor="text1"/>
          <w:sz w:val="22"/>
          <w:szCs w:val="22"/>
          <w:lang w:val="en-GB"/>
        </w:rPr>
        <w:t xml:space="preserve"> (cytochrome </w:t>
      </w:r>
      <w:r w:rsidRPr="005909A8">
        <w:rPr>
          <w:rFonts w:ascii="Arial" w:hAnsi="Arial" w:cs="Arial"/>
          <w:i/>
          <w:color w:val="000000" w:themeColor="text1"/>
          <w:sz w:val="22"/>
          <w:szCs w:val="22"/>
          <w:lang w:val="en-GB"/>
        </w:rPr>
        <w:t>c</w:t>
      </w:r>
      <w:r w:rsidRPr="005909A8">
        <w:rPr>
          <w:rFonts w:ascii="Arial" w:hAnsi="Arial" w:cs="Arial"/>
          <w:color w:val="000000" w:themeColor="text1"/>
          <w:sz w:val="22"/>
          <w:szCs w:val="22"/>
          <w:lang w:val="en-GB"/>
        </w:rPr>
        <w:t>)</w:t>
      </w:r>
      <w:r>
        <w:rPr>
          <w:rFonts w:ascii="Arial" w:hAnsi="Arial" w:cs="Arial"/>
          <w:color w:val="000000" w:themeColor="text1"/>
          <w:sz w:val="22"/>
          <w:szCs w:val="22"/>
          <w:lang w:val="en-GB"/>
        </w:rPr>
        <w:t>;</w:t>
      </w:r>
      <w:r w:rsidRPr="00796096">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CI to V (complex I to V</w:t>
      </w:r>
      <w:r>
        <w:rPr>
          <w:rFonts w:ascii="Arial" w:hAnsi="Arial" w:cs="Arial"/>
          <w:color w:val="000000" w:themeColor="text1"/>
          <w:sz w:val="22"/>
          <w:szCs w:val="22"/>
          <w:lang w:val="en-GB"/>
        </w:rPr>
        <w:t xml:space="preserve"> of the respiratory chain</w:t>
      </w:r>
      <w:r w:rsidRPr="005909A8">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FH (fumarate hydratase)</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GLS (</w:t>
      </w:r>
      <w:proofErr w:type="spellStart"/>
      <w:r w:rsidRPr="005909A8">
        <w:rPr>
          <w:rFonts w:ascii="Arial" w:hAnsi="Arial" w:cs="Arial"/>
          <w:color w:val="000000" w:themeColor="text1"/>
          <w:sz w:val="22"/>
          <w:szCs w:val="22"/>
          <w:lang w:val="en-GB"/>
        </w:rPr>
        <w:t>glutaminase</w:t>
      </w:r>
      <w:proofErr w:type="spellEnd"/>
      <w:r w:rsidRPr="005909A8">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GSH (glutathione); </w:t>
      </w:r>
      <w:r w:rsidRPr="005909A8">
        <w:rPr>
          <w:rFonts w:ascii="Arial" w:hAnsi="Arial" w:cs="Arial"/>
          <w:color w:val="000000" w:themeColor="text1"/>
          <w:sz w:val="22"/>
          <w:szCs w:val="22"/>
          <w:lang w:val="en-GB"/>
        </w:rPr>
        <w:t>HMOX (haem oxygenase)</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IDH (isocitrate dehydrogenase)</w:t>
      </w:r>
      <w:r>
        <w:rPr>
          <w:rFonts w:ascii="Arial" w:hAnsi="Arial" w:cs="Arial"/>
          <w:color w:val="000000" w:themeColor="text1"/>
          <w:sz w:val="22"/>
          <w:szCs w:val="22"/>
          <w:lang w:val="en-GB"/>
        </w:rPr>
        <w:t xml:space="preserve">; </w:t>
      </w:r>
      <w:proofErr w:type="spellStart"/>
      <w:r>
        <w:rPr>
          <w:rFonts w:ascii="Arial" w:hAnsi="Arial" w:cs="Arial"/>
          <w:color w:val="000000" w:themeColor="text1"/>
          <w:sz w:val="22"/>
          <w:szCs w:val="22"/>
          <w:lang w:val="en-GB"/>
        </w:rPr>
        <w:t>IDHmut</w:t>
      </w:r>
      <w:proofErr w:type="spellEnd"/>
      <w:r>
        <w:rPr>
          <w:rFonts w:ascii="Arial" w:hAnsi="Arial" w:cs="Arial"/>
          <w:color w:val="000000" w:themeColor="text1"/>
          <w:sz w:val="22"/>
          <w:szCs w:val="22"/>
          <w:lang w:val="en-GB"/>
        </w:rPr>
        <w:t xml:space="preserve">  (mutant IDH); </w:t>
      </w:r>
      <w:r w:rsidRPr="005909A8">
        <w:rPr>
          <w:rFonts w:ascii="Arial" w:hAnsi="Arial" w:cs="Arial"/>
          <w:color w:val="000000" w:themeColor="text1"/>
          <w:sz w:val="22"/>
          <w:szCs w:val="22"/>
          <w:lang w:val="en-GB"/>
        </w:rPr>
        <w:t>KEAP1 (Kelch-like ECH-associated protein 1)</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MDH (malate dehydrogenase)</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NRF2 (nuclear factor erythroid 2-related factor)</w:t>
      </w:r>
      <w:r>
        <w:rPr>
          <w:rFonts w:ascii="Arial" w:hAnsi="Arial" w:cs="Arial"/>
          <w:color w:val="000000" w:themeColor="text1"/>
          <w:sz w:val="22"/>
          <w:szCs w:val="22"/>
          <w:lang w:val="en-GB"/>
        </w:rPr>
        <w:t xml:space="preserve">; 2-OG (2-oxoglutarate); </w:t>
      </w:r>
      <w:r w:rsidRPr="005909A8">
        <w:rPr>
          <w:rFonts w:ascii="Arial" w:hAnsi="Arial" w:cs="Arial"/>
          <w:color w:val="000000" w:themeColor="text1"/>
          <w:sz w:val="22"/>
          <w:szCs w:val="22"/>
          <w:lang w:val="en-GB"/>
        </w:rPr>
        <w:t>OGDH (oxoglutarate dehydrogenase)</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PC (pyruvate carboxylase)</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PHD (pyruvate dehydrogenase)</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 xml:space="preserve">SCS (succinyl-CoA </w:t>
      </w:r>
      <w:proofErr w:type="spellStart"/>
      <w:r w:rsidRPr="005909A8">
        <w:rPr>
          <w:rFonts w:ascii="Arial" w:hAnsi="Arial" w:cs="Arial"/>
          <w:color w:val="000000" w:themeColor="text1"/>
          <w:sz w:val="22"/>
          <w:szCs w:val="22"/>
          <w:lang w:val="en-GB"/>
        </w:rPr>
        <w:t>synthetase</w:t>
      </w:r>
      <w:proofErr w:type="spellEnd"/>
      <w:r w:rsidRPr="005909A8">
        <w:rPr>
          <w:rFonts w:ascii="Arial" w:hAnsi="Arial" w:cs="Arial"/>
          <w:color w:val="000000" w:themeColor="text1"/>
          <w:sz w:val="22"/>
          <w:szCs w:val="22"/>
          <w:lang w:val="en-GB"/>
        </w:rPr>
        <w:t>)</w:t>
      </w:r>
      <w:r>
        <w:rPr>
          <w:rFonts w:ascii="Arial" w:hAnsi="Arial" w:cs="Arial"/>
          <w:color w:val="000000" w:themeColor="text1"/>
          <w:sz w:val="22"/>
          <w:szCs w:val="22"/>
          <w:lang w:val="en-GB"/>
        </w:rPr>
        <w:t xml:space="preserve">; </w:t>
      </w:r>
      <w:r w:rsidRPr="005909A8">
        <w:rPr>
          <w:rFonts w:ascii="Arial" w:hAnsi="Arial" w:cs="Arial"/>
          <w:color w:val="000000" w:themeColor="text1"/>
          <w:sz w:val="22"/>
          <w:szCs w:val="22"/>
          <w:lang w:val="en-GB"/>
        </w:rPr>
        <w:t xml:space="preserve">SDH (succinate dehydrogenase), </w:t>
      </w:r>
      <w:proofErr w:type="spellStart"/>
      <w:r>
        <w:rPr>
          <w:rFonts w:ascii="Arial" w:hAnsi="Arial" w:cs="Arial"/>
          <w:color w:val="000000" w:themeColor="text1"/>
          <w:sz w:val="22"/>
          <w:szCs w:val="22"/>
          <w:lang w:val="en-GB"/>
        </w:rPr>
        <w:t>succGSH</w:t>
      </w:r>
      <w:proofErr w:type="spellEnd"/>
      <w:r>
        <w:rPr>
          <w:rFonts w:ascii="Arial" w:hAnsi="Arial" w:cs="Arial"/>
          <w:color w:val="000000" w:themeColor="text1"/>
          <w:sz w:val="22"/>
          <w:szCs w:val="22"/>
          <w:lang w:val="en-GB"/>
        </w:rPr>
        <w:t xml:space="preserve"> (succinic glutathione) </w:t>
      </w:r>
      <w:r w:rsidRPr="005909A8">
        <w:rPr>
          <w:rFonts w:ascii="Arial" w:hAnsi="Arial" w:cs="Arial"/>
          <w:color w:val="000000" w:themeColor="text1"/>
          <w:sz w:val="22"/>
          <w:szCs w:val="22"/>
          <w:lang w:val="en-GB"/>
        </w:rPr>
        <w:t>.</w:t>
      </w:r>
    </w:p>
    <w:p w:rsidR="00F43308" w:rsidRPr="005909A8" w:rsidRDefault="00F43308" w:rsidP="0040350D">
      <w:pPr>
        <w:spacing w:line="360" w:lineRule="auto"/>
        <w:jc w:val="both"/>
        <w:rPr>
          <w:rFonts w:ascii="Arial" w:hAnsi="Arial" w:cs="Arial"/>
          <w:color w:val="000000" w:themeColor="text1"/>
          <w:sz w:val="22"/>
          <w:szCs w:val="22"/>
          <w:lang w:val="en-GB"/>
        </w:rPr>
      </w:pPr>
    </w:p>
    <w:p w:rsidR="00F43308" w:rsidRPr="005909A8" w:rsidRDefault="00F43308" w:rsidP="0040350D">
      <w:pPr>
        <w:spacing w:line="360" w:lineRule="auto"/>
        <w:jc w:val="both"/>
        <w:rPr>
          <w:rFonts w:ascii="Arial" w:hAnsi="Arial" w:cs="Arial"/>
          <w:color w:val="000000" w:themeColor="text1"/>
          <w:sz w:val="22"/>
          <w:szCs w:val="22"/>
          <w:lang w:val="en-GB"/>
        </w:rPr>
      </w:pPr>
      <w:r w:rsidRPr="005909A8">
        <w:rPr>
          <w:rFonts w:ascii="Arial" w:hAnsi="Arial" w:cs="Arial"/>
          <w:b/>
          <w:color w:val="000000" w:themeColor="text1"/>
          <w:sz w:val="22"/>
          <w:szCs w:val="22"/>
          <w:lang w:val="en-GB"/>
        </w:rPr>
        <w:t>Fig. 2: Metabolic synthetic lethality</w:t>
      </w:r>
      <w:r>
        <w:rPr>
          <w:rFonts w:ascii="Arial" w:hAnsi="Arial" w:cs="Arial"/>
          <w:b/>
          <w:color w:val="000000" w:themeColor="text1"/>
          <w:sz w:val="22"/>
          <w:szCs w:val="22"/>
          <w:lang w:val="en-GB"/>
        </w:rPr>
        <w:t xml:space="preserve"> in cancer therapy</w:t>
      </w:r>
      <w:r w:rsidRPr="005909A8">
        <w:rPr>
          <w:rFonts w:ascii="Arial" w:hAnsi="Arial" w:cs="Arial"/>
          <w:b/>
          <w:color w:val="000000" w:themeColor="text1"/>
          <w:sz w:val="22"/>
          <w:szCs w:val="22"/>
          <w:lang w:val="en-GB"/>
        </w:rPr>
        <w:t>.</w:t>
      </w:r>
      <w:r w:rsidRPr="005909A8">
        <w:rPr>
          <w:rFonts w:ascii="Arial" w:hAnsi="Arial" w:cs="Arial"/>
          <w:color w:val="000000" w:themeColor="text1"/>
          <w:sz w:val="22"/>
          <w:szCs w:val="22"/>
          <w:lang w:val="en-GB"/>
        </w:rPr>
        <w:t xml:space="preserve"> </w:t>
      </w:r>
      <w:r>
        <w:rPr>
          <w:rFonts w:ascii="Arial" w:hAnsi="Arial" w:cs="Arial"/>
          <w:color w:val="000000" w:themeColor="text1"/>
          <w:sz w:val="22"/>
          <w:szCs w:val="22"/>
          <w:lang w:val="en-GB"/>
        </w:rPr>
        <w:t xml:space="preserve">The figure represents the role of early metabolic adaptations in tumorigenesis. Oncogenic mutations induce novel metabolic essentialities in a transformed cancer cells. Targeting these cancer specific metabolic changes will selectively kill cancer cells, sparing the normal cells. </w:t>
      </w:r>
    </w:p>
    <w:p w:rsidR="00F43308" w:rsidRPr="006A6D89" w:rsidRDefault="00F43308" w:rsidP="0040350D">
      <w:pPr>
        <w:spacing w:line="360" w:lineRule="auto"/>
        <w:jc w:val="both"/>
        <w:rPr>
          <w:rFonts w:ascii="Arial" w:hAnsi="Arial" w:cs="Arial"/>
          <w:color w:val="000000" w:themeColor="text1"/>
          <w:sz w:val="20"/>
          <w:szCs w:val="20"/>
          <w:lang w:val="en-GB"/>
        </w:rPr>
      </w:pPr>
    </w:p>
    <w:p w:rsidR="00F43308" w:rsidRPr="00F43308" w:rsidRDefault="00F43308" w:rsidP="0040350D">
      <w:pPr>
        <w:spacing w:line="360" w:lineRule="auto"/>
        <w:jc w:val="both"/>
        <w:rPr>
          <w:rFonts w:ascii="Arial" w:hAnsi="Arial" w:cs="Arial"/>
          <w:b/>
          <w:color w:val="000000" w:themeColor="text1"/>
          <w:szCs w:val="22"/>
          <w:lang w:val="en-GB"/>
        </w:rPr>
      </w:pPr>
      <w:r w:rsidRPr="00F43308">
        <w:rPr>
          <w:rFonts w:ascii="Arial" w:hAnsi="Arial" w:cs="Arial"/>
          <w:b/>
          <w:color w:val="000000" w:themeColor="text1"/>
          <w:szCs w:val="22"/>
          <w:lang w:val="en-GB"/>
        </w:rPr>
        <w:t>References</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 D. Hanahan, R.A. Weinberg, Hallmarks of cancer: the next generation, Cell, 144 (2011) 646-674.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[2] O. Warburg, F. Wind, E. Negelein, The Metabolism of Tumors in the Body, J Gen Physiol, 8 (1927) 519-530.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[3] A.J. Levine, A.M. Puzio-Kuter, The control of the metabolic switch in cancers by oncogenes and tumor suppressor genes, Science, 330 (2010) 1340-1344.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[4] C.V. Dang, Links between metabolism and cancer, Genes Dev, 26 (2012) 877-890.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[5] F. Kruiswijk, C.F. Labuschagne, K.H. Vousden, p53 in survival, death and metabolic health: a lifeguard with a licence to kill, Nat Rev Mol Cell Biol, 16 (2015) 393-405.</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[6] N.N. Pavlova, C.B. Thompson, The Emerging Hallmarks of Cancer Metabolism, Cell Metab, 23 (2016) 27-47.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[7] E. Gaude, C. Frezza, Defects in mitochondrial metabolism and cancer, Cancer Metab, 2 (2014) 10.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[8] S. Farber, L.K. Diamond, Temporary remissions in acute leukemia in children produced by folic acid antagonist, 4-aminopteroyl-glutamic acid, N Engl J Med, 238 (1948) 787-793.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[9] M.G. Vander Heiden, Targeting cancer metabolism: a therapeutic window opens, Nat Rev Drug Discov, 10 (2011) 671-684.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[10] S.B. Kaye, New antimetabolites in cancer chemotherapy and their clinical impact, Br J Cancer, 78 Suppl 3 (1998) 1-7.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[11] O. Warburg, On the origin of cancer cells, Science, 123 (1956) 309-314.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[12] C.E. Zois, A.L. Harris, Glycogen metabolism has a key role in the cancer microenvironment and provides new targets for cancer therapy, J Mol Med (Berl), 94 (2016) 137-154.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 xml:space="preserve">[13] E. Favaro, K. Bensaad, M.G. Chong, D.A. Tennant, D.J. Ferguson, C. Snell, G. Steers, H. Turley, J.L. Li, U.L. Gunther, F.M. Buffa, A. McIntyre, A.L. Harris, Glucose utilization via </w:t>
      </w:r>
      <w:r w:rsidRPr="00F43308">
        <w:rPr>
          <w:rFonts w:ascii="Arial" w:hAnsi="Arial" w:cs="Arial"/>
          <w:noProof/>
          <w:color w:val="000000" w:themeColor="text1"/>
          <w:sz w:val="22"/>
          <w:szCs w:val="22"/>
          <w:lang w:val="en-GB"/>
        </w:rPr>
        <w:lastRenderedPageBreak/>
        <w:t>glycogen phosphorylase sustains proliferation and prevents premature senescence in cancer cells, Cell Metab, 16 (2012) 751-764.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[14] Z.Y. Tsun, R. Possemato, Amino acid management in cancer, Semin Cell Dev Biol, 43 (2015) 22-32.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[15] E. Mullarky, N.C. Lucki, R. Beheshti Zavareh, J.L. Anglin, A.P. Gomes, B.N. Nicolay, J.C. Wong, S. Christen, H. Takahashi, P.K. Singh, J. Blenis, J.D. Warren, S.M. Fendt, J.M. Asara, G.M. DeNicola, C.A. Lyssiotis, L.L. Lairson, L.C. Cantley, Identification of a small molecule inhibitor of 3-phosphoglycerate dehydrogenase to target serine biosynthesis in cancers, Proc Natl Acad Sci U S A, 113 (2016) 1778-1783.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[16] M.E. Pacold, K.R. Brimacombe, S.H. Chan, J.M. Rohde, C.A. Lewis, L.J. Swier, R. Possemato, W.W. Chen, L.B. Sullivan, B.P. Fiske, S. Cho, E. Freinkman, K. Birsoy, M. Abu-Remaileh, Y.D. Shaul, C.M. Liu, M. Zhou, M.J. Koh, H. Chung, S.M. Davidson, A. Luengo, A.Q. Wang, X. Xu, A. Yasgar, L. Liu, G. Rai, K.D. Westover, M.G. Vander Heiden, M. Shen, N.S. Gray, M.B. Boxer, D.M. Sabatini, A PHGDH inhibitor reveals coordination of serine synthesis and one-carbon unit fate, Nat Chem Biol, 12 (2016) 452-458.</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[17] M.J. Lukey, K.F. Wilson, R.A. Cerione, Therapeutic strategies impacting cancer cell glutamine metabolism, Future Med Chem, 5 (2013) 1685-1700.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[18] Y.Z. Lee, C.W. Yang, H.Y. Chang, H.Y. Hsu, I.S. Chen, H.S. Chang, C.H. Lee, J.C. Lee, C.R. Kumar, Y.Q. Qiu, Y.S. Chao, S.J. Lee, Discovery of selective inhibitors of Glutaminase-2, which inhibit mTORC1, activate autophagy and inhibit proliferation in cancer cells, Oncotarget, 5 (2014) 6087-6101.</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[19] S. Roy, S. Ghosh, P. Mallick, P. Maity, Acivicin with glutaminase regulates proliferation and invasion of human MCF-7 and OAW-42 cells--an in vitro study, Indian J Exp Biol, 46 (2008) 22-26.</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[20] J.M. Phang, W. Liu, C. Hancock, K.J. Christian, The proline regulatory axis and cancer, Front Oncol, 2 (2012) 60.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[21] J.M. Phang, W. Liu, C.N. Hancock, J.W. Fischer, Proline metabolism and cancer: emerging links to glutamine and collagen, Curr Opin Clin Nutr Metab Care, 18 (2015) 71-77.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[22] W. Liu, A. Le, C. Hancock, A.N. Lane, C.V. Dang, T.W. Fan, J.M. Phang, Reprogramming of proline and glutamine metabolism contributes to the proliferative and metabolic responses regulated by oncogenic transcription factor c-MYC, Proc Natl Acad Sci U S A, 109 (2012) 8983-8988.</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[23] W. Liu, C.N. Hancock, J.W. Fischer, M. Harman, J.M. Phang, Proline biosynthesis augments tumor cell growth and aerobic glycolysis: involvement of pyridine nucleotides, Sci Rep, 5 (2015) 17206.</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[24] J. Kononczuk, U. Czyzewska, J. Moczydlowska, A. Surazynski, J. Palka, W. Miltyk, Proline Oxidase (POX) as A Target for Cancer Therapy, Curr Drug Targets, 16 (2015) 1464-1469.</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[25] R. Pieters, S.P. Hunger, J. Boos, C. Rizzari, L. Silverman, A. Baruchel, N. Goekbuget, M. Schrappe, C.H. Pui, L-asparaginase treatment in acute lymphoblastic leukemia: a focus on Erwinia asparaginase, Cancer, 117 (2011) 238-249.</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[26] S. Hettmer, A.C. Schinzel, D. Tchessalova, M. Schneider, C.L. Parker, R.T. Bronson, N.G. Richards, W.C. Hahn, A.J. Wagers, Functional genomic screening reveals asparagine dependence as a metabolic vulnerability in sarcoma, Elife, 4 (2015).</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[27] M.M. Phillips, M.T. Sheaff, P.W. Szlosarek, Targeting arginine-dependent cancers with arginine-degrading enzymes: opportunities and challenges, Cancer Res Treat, 45 (2013) 251-262.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[28] F. Baenke, B. Peck, H. Miess, A. Schulze, Hooked on fat: the role of lipid synthesis in cancer metabolism and tumour development, Dis Model Mech, 6 (2013) 1353-1363.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[29] R. Flavin, G. Zadra, M. Loda, Metabolic alterations and targeted therapies in prostate cancer, J Pathol, 223 (2011) 283-294.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[30] G. Hatzivassiliou, F. Zhao, D.E. Bauer, C. Andreadis, A.N. Shaw, D. Dhanak, S.R. Hingorani, D.A. Tuveson, C.B. Thompson, ATP citrate lyase inhibition can suppress tumor cell growth, Cancer Cell, 8 (2005) 311-321.</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lastRenderedPageBreak/>
        <w:t>[31] K. Garber, Cancer anabolic metabolism inhibitors move into clinic, Nat Biotechnol, 34 (2016) 794-795.</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[32] C.B. Bridges, The origin of variations in sexual and sex-limited characters, American Naturalist, 56 (1922) 51-63.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[33] T. Dobzhansky, Genetics of natural populations; recombination and variability in populations of Drosophila pseudoobscura, Genetics, 31 (1946) 269-290.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[34] J.C. Lucchesi, Synthetic lethality and semi-lethality among functionally related mutants of Drosophila melanfgaster, Genetics, 59 (1968) 37-44.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[35] F. Fece de la Cruz, B.V. Gapp, S.M. Nijman, Synthetic lethal vulnerabilities of cancer, Annu Rev Pharmacol Toxicol, 55 (2015) 513-531.</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[36] H. Farmer, N. McCabe, C.J. Lord, A.N. Tutt, D.A. Johnson, T.B. Richardson, M. Santarosa, K.J. Dillon, I. Hickson, C. Knights, N.M. Martin, S.P. Jackson, G.C. Smith, A. Ashworth, Targeting the DNA repair defect in BRCA mutant cells as a therapeutic strategy, Nature, 434 (2005) 917-921.</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[37] M. Koldehoff, L. Kordelas, D.W. Beelen, A.H. Elmaagacli, Small interfering RNA against BCR-ABL transcripts sensitize mutated T315I cells to nilotinib, Haematologica, 95 (2010) 388-397.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[38] A.M. Eiring, B.D. Page, I.L. Kraft, C.C. Mason, N.A. Vellore, D. Resetca, M.S. Zabriskie, T.Y. Zhang, J.S. Khorashad, A.J. Engar, K.R. Reynolds, D.J. Anderson, A. Senina, A.D. Pomicter, C.C. Arpin, S. Ahmad, W.L. Heaton, S.K. Tantravahi, A. Todic, R. Colaguori, R. Moriggl, D.J. Wilson, R. Baron, T. O'Hare, P.T. Gunning, M.W. Deininger, Combined STAT3 and BCR-ABL1 inhibition induces synthetic lethality in therapy-resistant chronic myeloid leukemia, Leukemia, 29 (2015) 586-597.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[39] S. Cermelli, I.S. Jang, B. Bernard, C. Grandori, Synthetic lethal screens as a means to understand and treat MYC-driven cancers, Cold Spring Harb Perspect Med, 4 (2014).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[40] J.D. Kessler, K.T. Kahle, T. Sun, K.L. Meerbrey, M.R. Schlabach, E.M. Schmitt, S.O. Skinner, Q. Xu, M.Z. Li, Z.C. Hartman, M. Rao, P. Yu, R. Dominguez-Vidana, A.C. Liang, N.L. Solimini, R.J. Bernardi, B. Yu, T. Hsu, I. Golding, J. Luo, C.K. Osborne, C.J. Creighton, S.G. Hilsenbeck, R. Schiff, C.A. Shaw, S.J. Elledge, T.F. Westbrook, A SUMOylation-dependent transcriptional subprogram is required for Myc-driven tumorigenesis, Science, 335 (2012) 348-353.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[41] M.B. Raeder, E. Birkeland, J. Trovik, C. Krakstad, S. Shehata, S. Schumacher, T.I. Zack, A. Krohn, H.M. Werner, S.E. Moody, E. Wik, I.M. Stefansson, F. Holst, A.M. Oyan, P. Tamayo, J.P. Mesirov, K.H. Kalland, L.A. Akslen, R. Simon, R. Beroukhim, H.B. Salvesen, Integrated genomic analysis of the 8q24 amplification in endometrial cancers identifies ATAD2 as essential to MYC-dependent cancers, PLoS One, 8 (2013) e54873.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[42] M. Toyoshima, H.L. Howie, M. Imakura, R.M. Walsh, J.E. Annis, A.N. Chang, J. Frazier, B.N. Chau, A. Loboda, P.S. Linsley, M.A. Cleary, J.R. Park, C. Grandori, Functional genomics identifies therapeutic targets for MYC-driven cancer, Proc Natl Acad Sci U S A, 109 (2012) 9545-9550.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[43] L. Liu, J. Ulbrich, J. Muller, T. Wustefeld, L. Aeberhard, T.R. Kress, N. Muthalagu, L. Rycak, R. Rudalska, R. Moll, S. Kempa, L. Zender, M. Eilers, D.J. Murphy, Deregulated MYC expression induces dependence upon AMPK-related kinase 5, Nature, 483 (2012) 608-612.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[44] A. Le, C.R. Cooper, A.M. Gouw, R. Dinavahi, A. Maitra, L.M. Deck, R.E. Royer, D.L. Vander Jagt, G.L. Semenza, C.V. Dang, Inhibition of lactate dehydrogenase A induces oxidative stress and inhibits tumor progression, Proc Natl Acad Sci U S A, 107 (2010) 2037-2042.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[45] P. Ghaffari, A. Mardinoglu, J. Nielsen, Cancer Metabolism: A Modeling Perspective, Front Physiol, 6 (2015) 382.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[46] O. Folger, L. Jerby, C. Frezza, E. Gottlieb, E. Ruppin, T. Shlomi, Predicting selective drug targets in cancer through metabolic networks, Mol Syst Biol, 7 (2011) 501.</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[47] K. Yizhak, E. Gaude, S. Le Devedec, Y.Y. Waldman, G.Y. Stein, B. van de Water, C. Frezza, E. Ruppin, Phenotype-based cell-specific metabolic modeling reveals metabolic liabilities of cancer, Elife, 3 (2014).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lastRenderedPageBreak/>
        <w:t>[48] W. Megchelenbrink, R. Katzir, X. Lu, E. Ruppin, R.A. Notebaart, Synthetic dosage lethality in the human metabolic network is highly predictive of tumor growth and cancer patient survival, Proc Natl Acad Sci U S A, 112 (2015) 12217-12222.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[49] P. Rustin, T. Bourgeron, B. Parfait, D. Chretien, A. Munnich, A. Rotig, Inborn errors of the Krebs cycle: a group of unusual mitochondrial diseases in human, Biochim Biophys Acta, 1361 (1997) 185-197.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[50] A. King, M.A. Selak, E. Gottlieb, Succinate dehydrogenase and fumarate hydratase: linking mitochondrial dysfunction and cancer, Oncogene, 25 (2006) 4675-4682.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[51] B.E. Baysal, R.E. Ferrell, J.E. Willett-Brozick, E.C. Lawrence, D. Myssiorek, A. Bosch, A. van der Mey, P.E. Taschner, W.S. Rubinstein, E.N. Myers, C.W. Richard, 3rd, C.J. Cornelisse, P. Devilee, B. Devlin, Mutations in SDHD, a mitochondrial complex II gene, in hereditary paraganglioma, Science, 287 (2000) 848-851.</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[52] N. Burnichon, J.-J. Brière, R. Libé, L. Vescovo, J. Rivière, F. Tissier, E. Jouanno, X. Jeunemaitre, P. Bénit, A. Tzagoloff, P. Rustin, J. Bertherat, J. Favier, A.-P. Gimenez-Roqueplo, SDHA is a tumor suppressor gene causing paraganglioma, Human Molecular Genetics, 19 (2010) 3011-3020.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[53] D. Astuti, F. Latif, A. Dallol, P.L.M. Dahia, F. Douglas, E. George, F. Sköldberg, E.S. Husebye, C. Eng, E.R. Maher, Gene Mutations in the Succinate Dehydrogenase Subunit SDHB Cause Susceptibility to Familial Pheochromocytoma and to Familial Paraganglioma, The American Journal of Human Genetics, 69 (2001) 49-54.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[54] S. Niemann, U. Muller, Mutations in SDHC cause autosomal dominant paraganglioma, type 3, Nat Genet, 26 (2000) 268-270.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[55] H.-X. Hao, O. Khalimonchuk, M. Schraders, N. Dephoure, J.-P. Bayley, H. Kunst, P. Devilee, C.W.R.J. Cremers, J.D. Schiffman, B.G. Bentz, S.P. Gygi, D.R. Winge, H. Kremer, J. Rutter, &lt;em&gt;SDH5&lt;/em&gt;, a Gene Required for Flavination of Succinate Dehydrogenase, Is Mutated in Paraganglioma, Science, 325 (2009) 1139-1142.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[56] C. Bardella, P.J. Pollard, I. Tomlinson, SDH mutations in cancer, Biochim Biophys Acta, 1807 (2011) 1432-1443.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[57] K.A. Janeway, S.Y. Kim, M. Lodish, V. Nose, P. Rustin, J. Gaal, P.L. Dahia, B. Liegl, E.R. Ball, M. Raygada, A.H. Lai, L. Kelly, J.L. Hornick, M. O'Sullivan, R.R. de Krijger, W.N. Dinjens, G.D. Demetri, C.R. Antonescu, J.A. Fletcher, L. Helman, C.A. Stratakis, Defects in succinate dehydrogenase in gastrointestinal stromal tumors lacking KIT and PDGFRA mutations, Proc Natl Acad Sci U S A, 108 (2011) 314-318.</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[58] S. Vanharanta, M. Buchta, S.R. McWhinney, S.K. Virta, M. Peçzkowska, C.D. Morrison, R. Lehtonen, A. Januszewicz, H. Järvinen, M. Juhola, J.-P. Mecklin, E. Pukkala, R. Herva, M. Kiuru, N.N. Nupponen, L.A. Aaltonen, H.P.H. Neumann, C. Eng, Early-Onset Renal Cell Carcinoma as a Novel Extraparaganglial Component of SDHB-Associated Heritable Paraganglioma, The American Journal of Human Genetics, 74 (2004) 153-159.</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[59] Y. Ni, K.M. Zbuk, T. Sadler, A. Patocs, G. Lobo, E. Edelman, P. Platzer, M.S. Orloff, K.A. Waite, C. Eng, Germline mutations and variants in the succinate dehydrogenase genes in Cowden and Cowden-like syndromes, Am J Hum Genet, 83 (2008) 261-268.</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[60] H. Galera-Ruiz, R. Gonzalez-Campora, M. Rey-Barrera, A. Rollon-Mayordomo, A. Garcia-Escudero, J.M. Fernandez-Santos, M. DeMiguel, H. Galera-Davidson, W43X SDHD mutation in sporadic head and neck paraganglioma, Anal Quant Cytol Histol, 30 (2008) 119-123.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[61] A. Fieuw, C. Kumps, A. Schramm, F. Pattyn, B. Menten, F. Antonacci, P. Sudmant, J.H. Schulte, N. Van Roy, S. Vergult, P.G. Buckley, A. De Paepe, R. Noguera, R. Versteeg, R. Stallings, A. Eggert, J. Vandesompele, K. De Preter, F. Speleman, Identification of a novel recurrent 1q42.2-1qter deletion in high risk MYCN single copy 11q deleted neuroblastomas, Int J Cancer, 130 (2012) 2599-2606.</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[62] C. Pawlu, B. Bausch, H.P. Neumann, Mutations of the SDHB and SDHD genes, Fam Cancer, 4 (2005) 49-54.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[63] M.A. Selak, S.M. Armour, E.D. MacKenzie, H. Boulahbel, D.G. Watson, K.D. Mansfield, Y. Pan, M.C. Simon, C.B. Thompson, E. Gottlieb, Succinate links TCA cycle dysfunction to oncogenesis by inhibiting HIF-alpha prolyl hydroxylase, Cancer Cell, 7 (2005) 77-85.</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lastRenderedPageBreak/>
        <w:t>[64] E. Letouze, C. Martinelli, C. Loriot, N. Burnichon, N. Abermil, C. Ottolenghi, M. Janin, M. Menara, A.T. Nguyen, P. Benit, A. Buffet, C. Marcaillou, J. Bertherat, L. Amar, P. Rustin, A. De Reynies, A.P. Gimenez-Roqueplo, J. Favier, SDH mutations establish a hypermethylator phenotype in paraganglioma, Cancer Cell, 23 (2013) 739-752.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[65] S. Cardaci, L. Zheng, G. MacKay, N.J. van den Broek, E.D. MacKenzie, C. Nixon, D. Stevenson, S. Tumanov, V. Bulusu, J.J. Kamphorst, A. Vazquez, S. Fleming, F. Schiavi, G. Kalna, K. Blyth, D. Strathdee, E. Gottlieb, Pyruvate carboxylation enables growth of SDH-deficient cells by supporting aspartate biosynthesis, Nat Cell Biol, 17 (2015) 1317-1326.</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[66] C. Lussey-Lepoutre, K.E. Hollinshead, C. Ludwig, M. Menara, A. Morin, L.J. Castro-Vega, S.J. Parker, M. Janin, C. Martinelli, C. Ottolenghi, C. Metallo, A.P. Gimenez-Roqueplo, J. Favier, D.A. Tennant, Loss of succinate dehydrogenase activity results in dependency on pyruvate carboxylation for cellular anabolism, Nat Commun, 6 (2015) 8784.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[67] I.P. Tomlinson, N.A. Alam, A.J. Rowan, E. Barclay, E.E. Jaeger, D. Kelsell, I. Leigh, P. Gorman, H. Lamlum, S. Rahman, R.R. Roylance, S. Olpin, S. Bevan, K. Barker, N. Hearle, R.S. Houlston, M. Kiuru, R. Lehtonen, A. Karhu, S. Vilkki, P. Laiho, C. Eklund, O. Vierimaa, K. Aittomaki, M. Hietala, P. Sistonen, A. Paetau, R. Salovaara, R. Herva, V. Launonen, L.A. Aaltonen, C. Multiple Leiomyoma, Germline mutations in FH predispose to dominantly inherited uterine fibroids, skin leiomyomata and papillary renal cell cancer, Nat Genet, 30 (2002) 406-410.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[68] E. Campione, A. Terrinoni, A. Orlandi, A. Codispoti, G. Melino, L. Bianchi, A. Mazzotta, F.G. Garaci, A. Ludovici, S. Chimenti, Cerebral cavernomas in a family with multiple cutaneous and uterine leiomyomas associated with a new mutation in the fumarate hydratase gene, J Invest Dermatol, 127 (2007) 2271-2273.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[69] L.G. Carvajal-Carmona, N.A. Alam, P.J. Pollard, A.M. Jones, E. Barclay, N. Wortham, M. Pignatelli, A. Freeman, S. Pomplun, I. Ellis, R. Poulsom, M.A. El-Bahrawy, D.M. Berney, I.P. Tomlinson, Adult leydig cell tumors of the testis caused by germline fumarate hydratase mutations, J Clin Endocrinol Metab, 91 (2006) 3071-3075.</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[70] S.K. Ylisaukko-oja, C. Cybulski, R. Lehtonen, M. Kiuru, J. Matyjasik, A. Szymanska, J. Szymanska-Pasternak, L. Dyrskjot, R. Butzow, T.F. Orntoft, V. Launonen, J. Lubinski, L.A. Aaltonen, Germline fumarate hydratase mutations in patients with ovarian mucinous cystadenoma, Eur J Hum Genet, 14 (2006) 880-883.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[71] L.J. Castro-Vega, A. Buffet, A.A. De Cubas, A. Cascon, M. Menara, E. Khalifa, L. Amar, S. Azriel, I. Bourdeau, O. Chabre, M. Curras-Freixes, V. Franco-Vidal, M. Guillaud-Bataille, C. Simian, A. Morin, R. Leton, A. Gomez-Grana, P.J. Pollard, P. Rustin, M. Robledo, J. Favier, A.P. Gimenez-Roqueplo, Germline mutations in FH confer predisposition to malignant pheochromocytomas and paragangliomas, Hum Mol Genet, 23 (2014) 2440-2446.</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[72] G.R. Clark, M. Sciacovelli, E. Gaude, D.M. Walsh, G. Kirby, M.A. Simpson, R.C. Trembath, J.N. Berg, E.R. Woodward, E. Kinning, P.J. Morrison, C. Frezza, E.R. Maher, Germline FH mutations presenting with pheochromocytoma, J Clin Endocrinol Metab, 99 (2014) E2046-2050.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[73] M.H. Wei, O. Toure, G.M. Glenn, M. Pithukpakorn, L. Neckers, C. Stolle, P. Choyke, R. Grubb, L. Middelton, M.L. Turner, M.M. Walther, M.J. Merino, B. Zbar, W.M. Linehan, J.R. Toro, Novel mutations in FH and expansion of the spectrum of phenotypes expressed in families with hereditary leiomyomatosis and renal cell cancer, J Med Genet, 43 (2006) 18-27.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[74] M. Yang, T. Soga, P.J. Pollard, J. Adam, The emerging role of fumarate as an oncometabolite, Front Oncol, 2 (2012) 85.</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[75] J.S. Isaacs, Y.J. Jung, D.R. Mole, S. Lee, C. Torres-Cabala, Y.L. Chung, M. Merino, J. Trepel, B. Zbar, J. Toro, P.J. Ratcliffe, W.M. Linehan, L. Neckers, HIF overexpression correlates with biallelic loss of fumarate hydratase in renal cancer: novel role of fumarate in regulation of HIF stability, Cancer Cell, 8 (2005) 143-153.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[76] M. Xiao, H. Yang, W. Xu, S. Ma, H. Lin, H. Zhu, L. Liu, Y. Liu, C. Yang, Y. Xu, S. Zhao, D. Ye, Y. Xiong, K.L. Guan, Inhibition of alpha-KG-dependent histone and DNA demethylases by fumarate and succinate that are accumulated in mutations of FH and SDH tumor suppressors, Genes Dev, 26 (2012) 1326-1338.</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lastRenderedPageBreak/>
        <w:t>[77] P.J. Pollard, B. Spencer-Dene, D. Shukla, K. Howarth, E. Nye, M. El-Bahrawy, M. Deheragoda, M. Joannou, S. McDonald, A. Martin, P. Igarashi, S. Varsani-Brown, I. Rosewell, R. Poulsom, P. Maxwell, G.W. Stamp, I.P. Tomlinson, Targeted inactivation of fh1 causes proliferative renal cyst development and activation of the hypoxia pathway, Cancer Cell, 11 (2007) 311-319.</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[78] J. Adam, E. Hatipoglu, L. O'Flaherty, N. Ternette, N. Sahgal, H. Lockstone, D. Baban, E. Nye, G.W. Stamp, K. Wolhuter, M. Stevens, R. Fischer, P. Carmeliet, P.H. Maxwell, C.W. Pugh, N. Frizzell, T. Soga, B.M. Kessler, M. El-Bahrawy, P.J. Ratcliffe, P.J. Pollard, Renal cyst formation in Fh1-deficient mice is independent of the Hif/Phd pathway: roles for fumarate in KEAP1 succination and Nrf2 signaling, Cancer Cell, 20 (2011) 524-537.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[79] A. Ooi, J.C. Wong, D. Petillo, D. Roossien, V. Perrier-Trudova, D. Whitten, B.W. Min, M.H. Tan, Z. Zhang, X.J. Yang, M. Zhou, B. Gardie, V. Molinie, S. Richard, P.H. Tan, B.T. Teh, K.A. Furge, An antioxidant response phenotype shared between hereditary and sporadic type 2 papillary renal cell carcinoma, Cancer Cell, 20 (2011) 511-523.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[80] L. Kinch, N.V. Grishin, J. Brugarolas, Succination of Keap1 and activation of Nrf2-dependent antioxidant pathways in FH-deficient papillary renal cell carcinoma type 2, Cancer Cell, 20 (2011) 418-420.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[81] A. Ooi, K.A. Furge, Fumarate hydratase inactivation in renal tumors: HIF1alpha, NRF2, and "cryptic targets" of transcription factors, Chin J Cancer, 31 (2012) 413-420.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[82] M. Sciacovelli, E. Goncalves, T.I. Johnson, V.R. Zecchini, A.S. da Costa, E. Gaude, A.V. Drubbel, S.J. Theobald, S.R. Abbo, M.G. Tran, V. Rajeeve, S. Cardaci, S. Foster, H. Yun, P. Cutillas, A. Warren, V. Gnanapragasam, E. Gottlieb, K. Franze, B. Huntly, E.R. Maher, P.H. Maxwell, J. Saez-Rodriguez, C. Frezza, Fumarate is an epigenetic modifier that elicits epithelial-to-mesenchymal transition, Nature, 537 (2016) 544-547.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[83] C. Frezza, L. Zheng, O. Folger, K.N. Rajagopalan, E.D. MacKenzie, L. Jerby, M. Micaroni, B. Chaneton, J. Adam, A. Hedley, G. Kalna, I.P. Tomlinson, P.J. Pollard, D.G. Watson, R.J. Deberardinis, T. Shlomi, E. Ruppin, E. Gottlieb, Haem oxygenase is synthetically lethal with the tumour suppressor fumarate hydratase, Nature, 477 (2011) 225-228.</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[84] L. Zheng, E.D. Mackenzie, S.A. Karim, A. Hedley, K. Blyth, G. Kalna, D.G. Watson, P. Szlosarek, C. Frezza, E. Gottlieb, Reversed argininosuccinate lyase activity in fumarate hydratase-deficient cancer cells, Cancer Metab, 1 (2013) 12.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[85] L.B. Sullivan, E. Martinez-Garcia, H. Nguyen, A.R. Mullen, E. Dufour, S. Sudarshan, J.D. Licht, R.J. Deberardinis, N.S. Chandel, The proto-oncometabolite fumarate binds glutathione to amplify ROS-dependent signaling, Mol Cell, 51 (2013) 236-248.</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[86] L. Zheng, S. Cardaci, L. Jerby, E.D. MacKenzie, M. Sciacovelli, T.I. Johnson, E. Gaude, A. King, J.D. Leach, R. Edrada-Ebel, A. Hedley, N.A. Morrice, G. Kalna, K. Blyth, E. Ruppin, C. Frezza, E. Gottlieb, Fumarate induces redox-dependent senescence by modifying glutathione metabolism, Nat Commun, 6 (2015) 6001.</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[87] M. Boettcher, A. Lawson, V. Ladenburger, J. Fredebohm, J. Wolf, J.D. Hoheisel, C. Frezza, T. Shlomi, High throughput synthetic lethality screen reveals a tumorigenic role of adenylate cyclase in fumarate hydratase-deficient cancer cells, BMC Genomics, 15 (2014) 158.</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[88] W. Durante, N. Christodoulides, K. Cheng, K.J. Peyton, R.K. Sunahara, A.I. Schafer, cAMP induces heme oxygenase-1 gene expression and carbon monoxide production in vascular smooth muscle, Am J Physiol, 273 (1997) H317-323.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[89] S.W. Ryter, J. Alam, A.M. Choi, Heme oxygenase-1/carbon monoxide: from basic science to therapeutic applications, Physiol Rev, 86 (2006) 583-650.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[90] D.W. Parsons, S. Jones, X. Zhang, J.C. Lin, R.J. Leary, P. Angenendt, P. Mankoo, H. Carter, I.M. Siu, G.L. Gallia, A. Olivi, R. McLendon, B.A. Rasheed, S. Keir, T. Nikolskaya, Y. Nikolsky, D.A. Busam, H. Tekleab, L.A. Diaz, Jr., J. Hartigan, D.R. Smith, R.L. Strausberg, S.K. Marie, S.M. Shinjo, H. Yan, G.J. Riggins, D.D. Bigner, R. Karchin, N. Papadopoulos, G. Parmigiani, B. Vogelstein, V.E. Velculescu, K.W. Kinzler, An integrated genomic analysis of human glioblastoma multiforme, Science, 321 (2008) 1807-1812.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 xml:space="preserve">[91] E.R. Mardis, L. Ding, D.J. Dooling, D.E. Larson, M.D. McLellan, K. Chen, D.C. Koboldt, R.S. Fulton, K.D. Delehaunty, S.D. McGrath, L.A. Fulton, D.P. Locke, V.J. Magrini, R.M. </w:t>
      </w:r>
      <w:r w:rsidRPr="00F43308">
        <w:rPr>
          <w:rFonts w:ascii="Arial" w:hAnsi="Arial" w:cs="Arial"/>
          <w:noProof/>
          <w:color w:val="000000" w:themeColor="text1"/>
          <w:sz w:val="22"/>
          <w:szCs w:val="22"/>
          <w:lang w:val="en-GB"/>
        </w:rPr>
        <w:lastRenderedPageBreak/>
        <w:t>Abbott, T.L. Vickery, J.S. Reed, J.S. Robinson, T. Wylie, S.M. Smith, L. Carmichael, J.M. Eldred, C.C. Harris, J. Walker, J.B. Peck, F. Du, A.F. Dukes, G.E. Sanderson, A.M. Brummett, E. Clark, J.F. McMichael, R.J. Meyer, J.K. Schindler, C.S. Pohl, J.W. Wallis, X. Shi, L. Lin, H. Schmidt, Y. Tang, C. Haipek, M.E. Wiechert, J.V. Ivy, J. Kalicki, G. Elliott, R.E. Ries, J.E. Payton, P. Westervelt, M.H. Tomasson, M.A. Watson, J. Baty, S. Heath, W.D. Shannon, R. Nagarajan, D.C. Link, M.J. Walter, T.A. Graubert, J.F. DiPersio, R.K. Wilson, T.J. Ley, Recurring mutations found by sequencing an acute myeloid leukemia genome, N Engl J Med, 361 (2009) 1058-1066.</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[92] A.H. Shih, O. Abdel-Wahab, J.P. Patel, R.L. Levine, The role of mutations in epigenetic regulators in myeloid malignancies, Nat Rev Cancer, 12 (2012) 599-612.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[93] H. Yan, D.D. Bigner, V. Velculescu, D.W. Parsons, Mutant metabolic enzymes are at the origin of gliomas, Cancer Res, 69 (2009) 9157-9159.</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[94] H. Yan, D.W. Parsons, G. Jin, R. McLendon, B.A. Rasheed, W. Yuan, I. Kos, I. Batinic-Haberle, S. Jones, G.J. Riggins, H. Friedman, A. Friedman, D. Reardon, J. Herndon, K.W. Kinzler, V.E. Velculescu, B. Vogelstein, D.D. Bigner, IDH1 and IDH2 mutations in gliomas, N Engl J Med, 360 (2009) 765-773.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[95] H. Bai, A.S. Harmanci, E.Z. Erson-Omay, J. Li, S. Coskun, M. Simon, B. Krischek, K. Ozduman, S.B. Omay, E.A. Sorensen, S. Turcan, M. Bakirciglu, G. Carrion-Grant, P.B. Murray, V.E. Clark, A.G. Ercan-Sencicek, J. Knight, L. Sencar, S. Altinok, L.D. Kaulen, B. Gulez, M. Timmer, J. Schramm, K. Mishra-Gorur, O. Henegariu, J. Moliterno, A. Louvi, T.A. Chan, S.L. Tannheimer, M.N. Pamir, A.O. Vortmeyer, K. Bilguvar, K. Yasuno, M. Gunel, Integrated genomic characterization of IDH1-mutant glioma malignant progression, Nat Genet, 48 (2016) 59-66.</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[96] F.E. Bleeker, R.J. Molenaar, S. Leenstra, Recent advances in the molecular understanding of glioblastoma, J Neurooncol, 108 (2012) 11-27.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[97] T. Watanabe, S. Nobusawa, P. Kleihues, H. Ohgaki, IDH1 mutations are early events in the development of astrocytomas and oligodendrogliomas, Am J Pathol, 174 (2009) 1149-1153.</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[98] L. Dang, D.W. White, S. Gross, B.D. Bennett, M.A. Bittinger, E.M. Driggers, V.R. Fantin, H.G. Jang, S. Jin, M.C. Keenan, K.M. Marks, R.M. Prins, P.S. Ward, K.E. Yen, L.M. Liau, J.D. Rabinowitz, L.C. Cantley, C.B. Thompson, M.G. Vander Heiden, S.M. Su, Cancer-associated IDH1 mutations produce 2-hydroxyglutarate, Nature, 462 (2009) 739-744.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[99] T. Fujii, M.R. Khawaja, C.D. DiNardo, J.T. Atkins, F. Janku, Targeting isocitrate dehydrogenase (IDH) in cancer, Discov Med, 21 (2016) 373-380.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[100] M.J. Seltzer, B.D. Bennett, A.D. Joshi, P. Gao, A.G. Thomas, D.V. Ferraris, T. Tsukamoto, C.J. Rojas, B.S. Slusher, J.D. Rabinowitz, C.V. Dang, G.J. Riggins, Inhibition of glutaminase preferentially slows growth of glioma cells with mutant IDH1, Cancer Res, 70 (2010) 8981-8987.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[101] S.M. Chan, D. Thomas, M.R. Corces-Zimmerman, S. Xavy, S. Rastogi, W.J. Hong, F. Zhao, B.C. Medeiros, D.A. Tyvoll, R. Majeti, Isocitrate dehydrogenase 1 and 2 mutations induce BCL-2 dependence in acute myeloid leukemia, Nat Med, 21 (2015) 178-184.</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[102] C. Lu, P.S. Ward, G.S. Kapoor, D. Rohle, S. Turcan, O. Abdel-Wahab, C.R. Edwards, R. Khanin, M.E. Figueroa, A. Melnick, K.E. Wellen, D.M. O'Rourke, S.L. Berger, T.A. Chan, R.L. Levine, I.K. Mellinghoff, C.B. Thompson, IDH mutation impairs histone demethylation and results in a block to cell differentiation, Nature, 483 (2012) 474-478.</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[103] W. Xu, H. Yang, Y. Liu, Y. Yang, P. Wang, S.H. Kim, S. Ito, C. Yang, P. Wang, M.T. Xiao, L.X. Liu, W.Q. Jiang, J. Liu, J.Y. Zhang, B. Wang, S. Frye, Y. Zhang, Y.H. Xu, Q.Y. Lei, K.L. Guan, S.M. Zhao, Y. Xiong, Oncometabolite 2-hydroxyglutarate is a competitive inhibitor of alpha-ketoglutarate-dependent dioxygenases, Cancer Cell, 19 (2011) 17-30.</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 xml:space="preserve">[104] A.J. Souers, J.D. Leverson, E.R. Boghaert, S.L. Ackler, N.D. Catron, J. Chen, B.D. Dayton, H. Ding, S.H. Enschede, W.J. Fairbrother, D.C.S. Huang, S.G. Hymowitz, S. Jin, S.L. Khaw, P.J. Kovar, L.T. Lam, J. Lee, H.L. Maecker, K.C. Marsh, K.D. Mason, M.J. Mitten, P.M. Nimmer, A. Oleksijew, C.H. Park, C.-M. Park, D.C. Phillips, A.W. Roberts, D. Sampath, J.F. Seymour, M.L. Smith, G.M. Sullivan, S.K. Tahir, C. Tse, M.D. Wendt, Y. Xiao, J.C. Xue, H. Zhang, R.A. Humerickhouse, S.H. Rosenberg, S.W. Elmore, ABT-199, a potent and selective </w:t>
      </w:r>
      <w:r w:rsidRPr="00F43308">
        <w:rPr>
          <w:rFonts w:ascii="Arial" w:hAnsi="Arial" w:cs="Arial"/>
          <w:noProof/>
          <w:color w:val="000000" w:themeColor="text1"/>
          <w:sz w:val="22"/>
          <w:szCs w:val="22"/>
          <w:lang w:val="en-GB"/>
        </w:rPr>
        <w:lastRenderedPageBreak/>
        <w:t>BCL-2 inhibitor, achieves antitumor activity while sparing platelets, Nat Med, 19 (2013) 202-208.</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[105] K. Birsoy, R. Possemato, F.K. Lorbeer, E.C. Bayraktar, P. Thiru, B. Yucel, T. Wang, W.W. Chen, C.B. Clish, D.M. Sabatini, Metabolic determinants of cancer cell sensitivity to glucose limitation and biguanides, Nature, 508 (2014) 108-112.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[106] S. Amin, G. Mhango, J. Lin, A. Aronson, J. Wisnivesky, P. Boffetta, A.L. Lucas, Metformin Improves Survival in Patients with Pancreatic Ductal Adenocarcinoma and Pre-Existing Diabetes: A Propensity Score Analysis, Am J Gastroenterol, 111 (2016) 1350-1357.</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[107] J.M. Evans, L.A. Donnelly, A.M. Emslie-Smith, D.R. Alessi, A.D. Morris, Metformin and reduced risk of cancer in diabetic patients, BMJ, 330 (2005) 1304-1305.</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[108] S. Suissa, L. Azoulay, Metformin and cancer: mounting evidence against an association, Diabetes Care, 37 (2014) 1786-1788.</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[109] W.W. Wheaton, S.E. Weinberg, R.B. Hamanaka, S. Soberanes, L.B. Sullivan, E. Anso, A. Glasauer, E. Dufour, G.M. Mutlu, G.S. Budigner, N.S. Chandel, Metformin inhibits mitochondrial complex I of cancer cells to reduce tumorigenesis, Elife, 3 (2014) e02242.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[110] I. Ben Sahra, K. Laurent, A. Loubat, S. Giorgetti-Peraldi, P. Colosetti, P. Auberger, J.F. Tanti, Y. Le Marchand-Brustel, F. Bost, The antidiabetic drug metformin exerts an antitumoral effect in vitro and in vivo through a decrease of cyclin D1 level, Oncogene, 27 (2008) 3576-3586.</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[111] M. Buzzai, R.G. Jones, R.K. Amaravadi, J.J. Lum, R.J. DeBerardinis, F. Zhao, B. Viollet, C.B. Thompson, Systemic treatment with the antidiabetic drug metformin selectively impairs p53-deficient tumor cell growth, Cancer Res, 67 (2007) 6745-6752.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[112] J.H. Cheong, E.S. Park, J. Liang, J.B. Dennison, D. Tsavachidou, C. Nguyen-Charles, K. Wa Cheng, H. Hall, D. Zhang, Y. Lu, M. Ravoori, V. Kundra, J. Ajani, J.S. Lee, W. Ki Hong, G.B. Mills, Dual inhibition of tumor energy pathway by 2-deoxyglucose and metformin is effective against a broad spectrum of preclinical cancer models, Mol Cancer Ther, 10 (2011) 2350-2362.</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[113] H.A. Hirsch, D. Iliopoulos, P.N. Tsichlis, K. Struhl, Metformin selectively targets cancer stem cells, and acts together with chemotherapy to block tumor growth and prolong remission, Cancer Res, 69 (2009) 7507-7511.</w:t>
      </w:r>
    </w:p>
    <w:p w:rsidR="00F43308" w:rsidRPr="00F43308" w:rsidRDefault="00F43308" w:rsidP="0040350D">
      <w:pPr>
        <w:jc w:val="both"/>
        <w:rPr>
          <w:rFonts w:ascii="Arial" w:hAnsi="Arial" w:cs="Arial"/>
          <w:noProof/>
          <w:color w:val="000000" w:themeColor="text1"/>
          <w:sz w:val="22"/>
          <w:szCs w:val="22"/>
          <w:lang w:val="en-GB"/>
        </w:rPr>
      </w:pPr>
      <w:r w:rsidRPr="00F43308">
        <w:rPr>
          <w:rFonts w:ascii="Arial" w:hAnsi="Arial" w:cs="Arial"/>
          <w:noProof/>
          <w:color w:val="000000" w:themeColor="text1"/>
          <w:sz w:val="22"/>
          <w:szCs w:val="22"/>
          <w:lang w:val="en-GB"/>
        </w:rPr>
        <w:t>[114] M. Zakikhani, R. Dowling, I.G. Fantus, N. Sonenberg, M. Pollak, Metformin is an AMP kinase-dependent growth inhibitor for breast cancer cells, Cancer Res, 66 (2006) 10269-10273.</w:t>
      </w:r>
    </w:p>
    <w:p w:rsidR="002C3B8A" w:rsidRPr="00F43308" w:rsidRDefault="002C3B8A">
      <w:pPr>
        <w:rPr>
          <w:rFonts w:ascii="Arial" w:hAnsi="Arial" w:cs="Arial"/>
          <w:sz w:val="22"/>
          <w:szCs w:val="22"/>
        </w:rPr>
      </w:pPr>
    </w:p>
    <w:sectPr w:rsidR="002C3B8A" w:rsidRPr="00F43308" w:rsidSect="0040350D">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350D" w:rsidRDefault="0040350D">
      <w:r>
        <w:separator/>
      </w:r>
    </w:p>
  </w:endnote>
  <w:endnote w:type="continuationSeparator" w:id="0">
    <w:p w:rsidR="0040350D" w:rsidRDefault="004035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2280558"/>
      <w:docPartObj>
        <w:docPartGallery w:val="Page Numbers (Bottom of Page)"/>
        <w:docPartUnique/>
      </w:docPartObj>
    </w:sdtPr>
    <w:sdtEndPr>
      <w:rPr>
        <w:noProof/>
      </w:rPr>
    </w:sdtEndPr>
    <w:sdtContent>
      <w:p w:rsidR="0040350D" w:rsidRDefault="0040350D">
        <w:pPr>
          <w:pStyle w:val="Footer"/>
          <w:jc w:val="center"/>
        </w:pPr>
        <w:r>
          <w:fldChar w:fldCharType="begin"/>
        </w:r>
        <w:r>
          <w:instrText xml:space="preserve"> PAGE   \* MERGEFORMAT </w:instrText>
        </w:r>
        <w:r>
          <w:fldChar w:fldCharType="separate"/>
        </w:r>
        <w:r w:rsidR="009060B0">
          <w:rPr>
            <w:noProof/>
          </w:rPr>
          <w:t>6</w:t>
        </w:r>
        <w:r>
          <w:rPr>
            <w:noProof/>
          </w:rPr>
          <w:fldChar w:fldCharType="end"/>
        </w:r>
      </w:p>
    </w:sdtContent>
  </w:sdt>
  <w:p w:rsidR="0040350D" w:rsidRDefault="004035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350D" w:rsidRDefault="0040350D">
      <w:r>
        <w:separator/>
      </w:r>
    </w:p>
  </w:footnote>
  <w:footnote w:type="continuationSeparator" w:id="0">
    <w:p w:rsidR="0040350D" w:rsidRDefault="004035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0&lt;/ScanChanges&gt;&lt;/ENInstantFormat&gt;"/>
  </w:docVars>
  <w:rsids>
    <w:rsidRoot w:val="00F43308"/>
    <w:rsid w:val="002C3B8A"/>
    <w:rsid w:val="0040350D"/>
    <w:rsid w:val="005320F2"/>
    <w:rsid w:val="005B2062"/>
    <w:rsid w:val="009060B0"/>
    <w:rsid w:val="00F433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80CD2"/>
  <w15:chartTrackingRefBased/>
  <w15:docId w15:val="{AB4574AD-D120-4E49-8DFC-DDE47872B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3308"/>
    <w:pPr>
      <w:spacing w:after="0" w:line="240" w:lineRule="auto"/>
    </w:pPr>
    <w:rPr>
      <w:rFonts w:eastAsiaTheme="minorEastAsia"/>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43308"/>
    <w:rPr>
      <w:color w:val="0563C1" w:themeColor="hyperlink"/>
      <w:u w:val="single"/>
    </w:rPr>
  </w:style>
  <w:style w:type="paragraph" w:styleId="BalloonText">
    <w:name w:val="Balloon Text"/>
    <w:basedOn w:val="Normal"/>
    <w:link w:val="BalloonTextChar"/>
    <w:uiPriority w:val="99"/>
    <w:semiHidden/>
    <w:unhideWhenUsed/>
    <w:rsid w:val="00F4330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3308"/>
    <w:rPr>
      <w:rFonts w:ascii="Segoe UI" w:eastAsiaTheme="minorEastAsia" w:hAnsi="Segoe UI" w:cs="Segoe UI"/>
      <w:sz w:val="18"/>
      <w:szCs w:val="18"/>
      <w:lang w:val="en-US"/>
    </w:rPr>
  </w:style>
  <w:style w:type="character" w:styleId="CommentReference">
    <w:name w:val="annotation reference"/>
    <w:basedOn w:val="DefaultParagraphFont"/>
    <w:uiPriority w:val="99"/>
    <w:semiHidden/>
    <w:unhideWhenUsed/>
    <w:rsid w:val="00F43308"/>
    <w:rPr>
      <w:sz w:val="16"/>
      <w:szCs w:val="16"/>
    </w:rPr>
  </w:style>
  <w:style w:type="paragraph" w:styleId="CommentText">
    <w:name w:val="annotation text"/>
    <w:basedOn w:val="Normal"/>
    <w:link w:val="CommentTextChar"/>
    <w:uiPriority w:val="99"/>
    <w:semiHidden/>
    <w:unhideWhenUsed/>
    <w:rsid w:val="00F43308"/>
    <w:rPr>
      <w:sz w:val="20"/>
      <w:szCs w:val="20"/>
    </w:rPr>
  </w:style>
  <w:style w:type="character" w:customStyle="1" w:styleId="CommentTextChar">
    <w:name w:val="Comment Text Char"/>
    <w:basedOn w:val="DefaultParagraphFont"/>
    <w:link w:val="CommentText"/>
    <w:uiPriority w:val="99"/>
    <w:semiHidden/>
    <w:rsid w:val="00F43308"/>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F43308"/>
    <w:rPr>
      <w:b/>
      <w:bCs/>
    </w:rPr>
  </w:style>
  <w:style w:type="character" w:customStyle="1" w:styleId="CommentSubjectChar">
    <w:name w:val="Comment Subject Char"/>
    <w:basedOn w:val="CommentTextChar"/>
    <w:link w:val="CommentSubject"/>
    <w:uiPriority w:val="99"/>
    <w:semiHidden/>
    <w:rsid w:val="00F43308"/>
    <w:rPr>
      <w:rFonts w:eastAsiaTheme="minorEastAsia"/>
      <w:b/>
      <w:bCs/>
      <w:sz w:val="20"/>
      <w:szCs w:val="20"/>
      <w:lang w:val="en-US"/>
    </w:rPr>
  </w:style>
  <w:style w:type="paragraph" w:styleId="Header">
    <w:name w:val="header"/>
    <w:basedOn w:val="Normal"/>
    <w:link w:val="HeaderChar"/>
    <w:uiPriority w:val="99"/>
    <w:unhideWhenUsed/>
    <w:rsid w:val="00F43308"/>
    <w:pPr>
      <w:tabs>
        <w:tab w:val="center" w:pos="4513"/>
        <w:tab w:val="right" w:pos="9026"/>
      </w:tabs>
    </w:pPr>
  </w:style>
  <w:style w:type="character" w:customStyle="1" w:styleId="HeaderChar">
    <w:name w:val="Header Char"/>
    <w:basedOn w:val="DefaultParagraphFont"/>
    <w:link w:val="Header"/>
    <w:uiPriority w:val="99"/>
    <w:rsid w:val="00F43308"/>
    <w:rPr>
      <w:rFonts w:eastAsiaTheme="minorEastAsia"/>
      <w:sz w:val="24"/>
      <w:szCs w:val="24"/>
      <w:lang w:val="en-US"/>
    </w:rPr>
  </w:style>
  <w:style w:type="paragraph" w:styleId="Footer">
    <w:name w:val="footer"/>
    <w:basedOn w:val="Normal"/>
    <w:link w:val="FooterChar"/>
    <w:uiPriority w:val="99"/>
    <w:unhideWhenUsed/>
    <w:rsid w:val="00F43308"/>
    <w:pPr>
      <w:tabs>
        <w:tab w:val="center" w:pos="4513"/>
        <w:tab w:val="right" w:pos="9026"/>
      </w:tabs>
    </w:pPr>
  </w:style>
  <w:style w:type="character" w:customStyle="1" w:styleId="FooterChar">
    <w:name w:val="Footer Char"/>
    <w:basedOn w:val="DefaultParagraphFont"/>
    <w:link w:val="Footer"/>
    <w:uiPriority w:val="99"/>
    <w:rsid w:val="00F43308"/>
    <w:rPr>
      <w:rFonts w:eastAsiaTheme="minorEastAsia"/>
      <w:sz w:val="24"/>
      <w:szCs w:val="24"/>
      <w:lang w:val="en-US"/>
    </w:rPr>
  </w:style>
  <w:style w:type="character" w:styleId="LineNumber">
    <w:name w:val="line number"/>
    <w:basedOn w:val="DefaultParagraphFont"/>
    <w:uiPriority w:val="99"/>
    <w:semiHidden/>
    <w:unhideWhenUsed/>
    <w:rsid w:val="00F43308"/>
  </w:style>
  <w:style w:type="paragraph" w:customStyle="1" w:styleId="EndNoteBibliographyTitle">
    <w:name w:val="EndNote Bibliography Title"/>
    <w:basedOn w:val="Normal"/>
    <w:rsid w:val="00F43308"/>
    <w:pPr>
      <w:jc w:val="center"/>
    </w:pPr>
    <w:rPr>
      <w:rFonts w:ascii="Cambria" w:hAnsi="Cambria"/>
    </w:rPr>
  </w:style>
  <w:style w:type="paragraph" w:customStyle="1" w:styleId="EndNoteBibliography">
    <w:name w:val="EndNote Bibliography"/>
    <w:basedOn w:val="Normal"/>
    <w:rsid w:val="00F43308"/>
    <w:pPr>
      <w:jc w:val="both"/>
    </w:pPr>
    <w:rPr>
      <w:rFonts w:ascii="Cambria" w:hAnsi="Cambr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ature.com/nature/journal/v537/n7621/full/nature19353.htm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n.wikipedia.org/wiki/Serin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en.wikipedia.org/wiki/Proteins" TargetMode="External"/><Relationship Id="rId4" Type="http://schemas.openxmlformats.org/officeDocument/2006/relationships/webSettings" Target="webSettings.xml"/><Relationship Id="rId9" Type="http://schemas.openxmlformats.org/officeDocument/2006/relationships/hyperlink" Target="https://en.wikipedia.org/wiki/Catalys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2FCA8437</Template>
  <TotalTime>27</TotalTime>
  <Pages>21</Pages>
  <Words>10367</Words>
  <Characters>59098</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 Frezza</dc:creator>
  <cp:keywords/>
  <dc:description/>
  <cp:lastModifiedBy>Christian Frezza</cp:lastModifiedBy>
  <cp:revision>3</cp:revision>
  <dcterms:created xsi:type="dcterms:W3CDTF">2016-11-23T09:28:00Z</dcterms:created>
  <dcterms:modified xsi:type="dcterms:W3CDTF">2016-11-23T11:41:00Z</dcterms:modified>
</cp:coreProperties>
</file>